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29" w:rsidRPr="00EB6A11" w:rsidRDefault="001D570D" w:rsidP="00155829">
      <w:pPr>
        <w:rPr>
          <w:highlight w:val="yellow"/>
        </w:rPr>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3.25pt;margin-top:-72.7pt;width:598.5pt;height:850pt;z-index:-251658752">
            <v:imagedata r:id="rId9" o:title="AER-final-orange"/>
          </v:shape>
        </w:pict>
      </w:r>
    </w:p>
    <w:p w:rsidR="00155829" w:rsidRPr="00EB6A11" w:rsidRDefault="00155829" w:rsidP="00155829">
      <w:pPr>
        <w:rPr>
          <w:highlight w:val="yellow"/>
        </w:rPr>
      </w:pPr>
    </w:p>
    <w:p w:rsidR="00155829" w:rsidRPr="00EB6A11" w:rsidRDefault="00155829" w:rsidP="00155829">
      <w:pPr>
        <w:pStyle w:val="AERTitle1"/>
        <w:rPr>
          <w:highlight w:val="yellow"/>
        </w:rPr>
      </w:pPr>
      <w:bookmarkStart w:id="0" w:name="OLE_LINK1"/>
      <w:bookmarkStart w:id="1" w:name="OLE_LINK2"/>
    </w:p>
    <w:p w:rsidR="00155829" w:rsidRPr="00EB6A11" w:rsidRDefault="00155829" w:rsidP="00155829">
      <w:pPr>
        <w:pStyle w:val="AERTitle1"/>
        <w:rPr>
          <w:highlight w:val="yellow"/>
        </w:rPr>
      </w:pPr>
    </w:p>
    <w:p w:rsidR="00155829" w:rsidRPr="00EB6A11" w:rsidRDefault="00155829" w:rsidP="00155829">
      <w:pPr>
        <w:pStyle w:val="AERTitle1"/>
        <w:rPr>
          <w:highlight w:val="yellow"/>
        </w:rPr>
      </w:pPr>
    </w:p>
    <w:p w:rsidR="00155829" w:rsidRPr="00EB6A11" w:rsidRDefault="00155829" w:rsidP="00155829">
      <w:pPr>
        <w:pStyle w:val="AERTitle1"/>
        <w:rPr>
          <w:highlight w:val="yellow"/>
        </w:rPr>
      </w:pPr>
    </w:p>
    <w:p w:rsidR="00155829" w:rsidRPr="00EB6A11" w:rsidRDefault="00155829" w:rsidP="00155829">
      <w:pPr>
        <w:pStyle w:val="AERTitle1"/>
      </w:pPr>
      <w:r w:rsidRPr="00EB6A11">
        <w:t>Decision</w:t>
      </w:r>
    </w:p>
    <w:p w:rsidR="00155829" w:rsidRPr="00EB6A11" w:rsidRDefault="00155829" w:rsidP="00155829">
      <w:pPr>
        <w:pStyle w:val="AERTitle1"/>
      </w:pPr>
    </w:p>
    <w:p w:rsidR="00155829" w:rsidRPr="00EB6A11" w:rsidRDefault="00155829" w:rsidP="00155829">
      <w:pPr>
        <w:pStyle w:val="AERTitle1"/>
      </w:pPr>
    </w:p>
    <w:p w:rsidR="00155829" w:rsidRPr="00EB6A11" w:rsidRDefault="00155829" w:rsidP="00155829">
      <w:pPr>
        <w:pStyle w:val="AERTitle1"/>
      </w:pPr>
      <w:r w:rsidRPr="00EB6A11">
        <w:t xml:space="preserve">2011–12 </w:t>
      </w:r>
      <w:r w:rsidR="00DB4081" w:rsidRPr="00EB6A11">
        <w:t xml:space="preserve">and </w:t>
      </w:r>
      <w:r w:rsidR="00EB6A11">
        <w:t xml:space="preserve">2012 </w:t>
      </w:r>
      <w:r w:rsidRPr="00EB6A11">
        <w:t>DMI</w:t>
      </w:r>
      <w:r w:rsidR="004D232D">
        <w:t>A</w:t>
      </w:r>
      <w:r w:rsidRPr="00EB6A11">
        <w:t xml:space="preserve"> assessment </w:t>
      </w:r>
    </w:p>
    <w:p w:rsidR="00155829" w:rsidRPr="00EB6A11" w:rsidRDefault="00155829" w:rsidP="00155829"/>
    <w:bookmarkEnd w:id="0"/>
    <w:bookmarkEnd w:id="1"/>
    <w:p w:rsidR="00155829" w:rsidRPr="00EB6A11" w:rsidRDefault="00DB4081" w:rsidP="00155829">
      <w:pPr>
        <w:pStyle w:val="AERTitle2"/>
      </w:pPr>
      <w:r w:rsidRPr="00EB6A11">
        <w:t>Ju</w:t>
      </w:r>
      <w:r w:rsidR="00817538">
        <w:t>ly</w:t>
      </w:r>
      <w:r w:rsidR="00155829" w:rsidRPr="00EB6A11">
        <w:t xml:space="preserve"> 2013</w:t>
      </w:r>
    </w:p>
    <w:p w:rsidR="00155829" w:rsidRPr="00EB6A11" w:rsidRDefault="00155829" w:rsidP="00155829">
      <w:pPr>
        <w:pStyle w:val="AERbodytext"/>
        <w:rPr>
          <w:highlight w:val="yellow"/>
        </w:rPr>
      </w:pPr>
      <w:r w:rsidRPr="00EB6A11">
        <w:rPr>
          <w:highlight w:val="yellow"/>
        </w:rPr>
        <w:t xml:space="preserve"> </w:t>
      </w:r>
    </w:p>
    <w:p w:rsidR="00155829" w:rsidRPr="00EB6A11" w:rsidRDefault="00155829" w:rsidP="00155829">
      <w:pPr>
        <w:pStyle w:val="TOC1"/>
      </w:pPr>
      <w:r w:rsidRPr="00EB6A11">
        <w:rPr>
          <w:highlight w:val="yellow"/>
        </w:rPr>
        <w:br w:type="page"/>
      </w:r>
      <w:r w:rsidRPr="00EB6A11">
        <w:lastRenderedPageBreak/>
        <w:t>© Commonwealth of Australia 2013</w:t>
      </w:r>
    </w:p>
    <w:p w:rsidR="00155829" w:rsidRPr="00EB6A11" w:rsidRDefault="00155829" w:rsidP="00155829">
      <w:pPr>
        <w:pStyle w:val="AERbodytext"/>
      </w:pPr>
      <w:r w:rsidRPr="00EB6A11">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EB6A11">
            <w:t>Canberra</w:t>
          </w:r>
        </w:smartTag>
      </w:smartTag>
      <w:r w:rsidRPr="00EB6A11">
        <w:t xml:space="preserve"> ACT 2601.</w:t>
      </w:r>
    </w:p>
    <w:p w:rsidR="00155829" w:rsidRPr="00EB6A11" w:rsidRDefault="00155829" w:rsidP="00155829">
      <w:pPr>
        <w:pStyle w:val="AERbodytext"/>
      </w:pPr>
      <w:r w:rsidRPr="00EB6A11">
        <w:t>Inquiries about these guidelines should be addressed to:</w:t>
      </w:r>
    </w:p>
    <w:p w:rsidR="00155829" w:rsidRPr="00EB6A11" w:rsidRDefault="00155829" w:rsidP="00155829">
      <w:pPr>
        <w:pStyle w:val="AERbodytext"/>
        <w:spacing w:after="0"/>
      </w:pPr>
      <w:r w:rsidRPr="00EB6A11">
        <w:t>Australian Energy Regulator</w:t>
      </w:r>
    </w:p>
    <w:p w:rsidR="00155829" w:rsidRPr="00EB6A11" w:rsidRDefault="00155829" w:rsidP="00155829">
      <w:pPr>
        <w:pStyle w:val="AERbodytext"/>
        <w:spacing w:after="0"/>
      </w:pPr>
      <w:r w:rsidRPr="00EB6A11">
        <w:t>GPO Box 3131</w:t>
      </w:r>
    </w:p>
    <w:p w:rsidR="00155829" w:rsidRPr="00EB6A11" w:rsidRDefault="00155829" w:rsidP="00155829">
      <w:pPr>
        <w:pStyle w:val="AERbodytext"/>
        <w:spacing w:after="0"/>
      </w:pPr>
      <w:r w:rsidRPr="00EB6A11">
        <w:t>Canberra  ACT 2601</w:t>
      </w:r>
    </w:p>
    <w:p w:rsidR="00155829" w:rsidRPr="00EB6A11" w:rsidRDefault="00155829" w:rsidP="00155829">
      <w:pPr>
        <w:pStyle w:val="AERbodytext"/>
        <w:spacing w:after="0"/>
      </w:pPr>
      <w:r w:rsidRPr="00EB6A11">
        <w:t>Tel: (02) 6243 1233</w:t>
      </w:r>
    </w:p>
    <w:p w:rsidR="00155829" w:rsidRPr="00EB6A11" w:rsidRDefault="00155829" w:rsidP="00155829">
      <w:pPr>
        <w:pStyle w:val="AERbodytext"/>
        <w:spacing w:after="0"/>
      </w:pPr>
      <w:r w:rsidRPr="00EB6A11">
        <w:t>Fax: (02) 6243 1205</w:t>
      </w:r>
    </w:p>
    <w:p w:rsidR="00155829" w:rsidRPr="00EB6A11" w:rsidRDefault="00155829" w:rsidP="00155829">
      <w:pPr>
        <w:pStyle w:val="AERbodytext"/>
      </w:pPr>
      <w:r w:rsidRPr="00EB6A11">
        <w:t xml:space="preserve">Email: </w:t>
      </w:r>
      <w:hyperlink r:id="rId10" w:history="1">
        <w:r w:rsidRPr="00EB6A11">
          <w:rPr>
            <w:rStyle w:val="Hyperlink"/>
          </w:rPr>
          <w:t>AERInquiry@aer.gov.au</w:t>
        </w:r>
      </w:hyperlink>
    </w:p>
    <w:p w:rsidR="00155829" w:rsidRPr="00EB6A11" w:rsidRDefault="00155829" w:rsidP="00155829">
      <w:pPr>
        <w:pStyle w:val="AERbodytext"/>
        <w:rPr>
          <w:lang w:eastAsia="en-AU"/>
        </w:rPr>
      </w:pPr>
    </w:p>
    <w:p w:rsidR="00155829" w:rsidRPr="00EB6A11" w:rsidRDefault="00ED6B20" w:rsidP="00155829">
      <w:pPr>
        <w:pStyle w:val="AERbodytext"/>
      </w:pPr>
      <w:r>
        <w:t>AER reference:   50362</w:t>
      </w:r>
    </w:p>
    <w:p w:rsidR="00155829" w:rsidRPr="00EB6A11" w:rsidRDefault="00155829" w:rsidP="00155829">
      <w:pPr>
        <w:pStyle w:val="AERbodytext"/>
        <w:rPr>
          <w:highlight w:val="yellow"/>
        </w:rPr>
      </w:pPr>
    </w:p>
    <w:p w:rsidR="00155829" w:rsidRPr="00EB6A11" w:rsidRDefault="00155829" w:rsidP="00155829">
      <w:pPr>
        <w:pStyle w:val="AERbodytext"/>
        <w:rPr>
          <w:highlight w:val="yellow"/>
        </w:rPr>
      </w:pPr>
    </w:p>
    <w:p w:rsidR="00155829" w:rsidRPr="00EB6A11" w:rsidRDefault="00155829" w:rsidP="00155829">
      <w:pPr>
        <w:pStyle w:val="AERbodytext"/>
        <w:rPr>
          <w:highlight w:val="yellow"/>
        </w:rPr>
        <w:sectPr w:rsidR="00155829" w:rsidRPr="00EB6A11" w:rsidSect="00846193">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docGrid w:linePitch="360"/>
        </w:sectPr>
      </w:pPr>
    </w:p>
    <w:p w:rsidR="00B85A41" w:rsidRDefault="00B85A41">
      <w:pPr>
        <w:pStyle w:val="TOCHeading"/>
      </w:pPr>
      <w:r>
        <w:lastRenderedPageBreak/>
        <w:t>Contents</w:t>
      </w:r>
    </w:p>
    <w:p w:rsidR="00B85A41" w:rsidRPr="00B85A41" w:rsidRDefault="00B85A41">
      <w:pPr>
        <w:pStyle w:val="TOC1"/>
        <w:rPr>
          <w:rFonts w:ascii="Calibri" w:hAnsi="Calibri"/>
          <w:b w:val="0"/>
          <w:noProof/>
          <w:sz w:val="22"/>
          <w:szCs w:val="22"/>
          <w:lang w:eastAsia="en-AU"/>
        </w:rPr>
      </w:pPr>
      <w:r>
        <w:fldChar w:fldCharType="begin"/>
      </w:r>
      <w:r>
        <w:instrText xml:space="preserve"> TOC \o "1-3" \h \z \u </w:instrText>
      </w:r>
      <w:r>
        <w:fldChar w:fldCharType="separate"/>
      </w:r>
      <w:hyperlink w:anchor="_Toc361034296" w:history="1">
        <w:r w:rsidRPr="00C2693D">
          <w:rPr>
            <w:rStyle w:val="Hyperlink"/>
            <w:noProof/>
          </w:rPr>
          <w:t>1</w:t>
        </w:r>
        <w:r w:rsidRPr="00B85A41">
          <w:rPr>
            <w:rFonts w:ascii="Calibri" w:hAnsi="Calibri"/>
            <w:b w:val="0"/>
            <w:noProof/>
            <w:sz w:val="22"/>
            <w:szCs w:val="22"/>
            <w:lang w:eastAsia="en-AU"/>
          </w:rPr>
          <w:tab/>
        </w:r>
        <w:r w:rsidRPr="00C2693D">
          <w:rPr>
            <w:rStyle w:val="Hyperlink"/>
            <w:noProof/>
          </w:rPr>
          <w:t>Overview</w:t>
        </w:r>
        <w:r>
          <w:rPr>
            <w:noProof/>
            <w:webHidden/>
          </w:rPr>
          <w:tab/>
        </w:r>
        <w:r>
          <w:rPr>
            <w:noProof/>
            <w:webHidden/>
          </w:rPr>
          <w:fldChar w:fldCharType="begin"/>
        </w:r>
        <w:r>
          <w:rPr>
            <w:noProof/>
            <w:webHidden/>
          </w:rPr>
          <w:instrText xml:space="preserve"> PAGEREF _Toc361034296 \h </w:instrText>
        </w:r>
        <w:r>
          <w:rPr>
            <w:noProof/>
            <w:webHidden/>
          </w:rPr>
        </w:r>
        <w:r>
          <w:rPr>
            <w:noProof/>
            <w:webHidden/>
          </w:rPr>
          <w:fldChar w:fldCharType="separate"/>
        </w:r>
        <w:r>
          <w:rPr>
            <w:noProof/>
            <w:webHidden/>
          </w:rPr>
          <w:t>2</w:t>
        </w:r>
        <w:r>
          <w:rPr>
            <w:noProof/>
            <w:webHidden/>
          </w:rPr>
          <w:fldChar w:fldCharType="end"/>
        </w:r>
      </w:hyperlink>
    </w:p>
    <w:p w:rsidR="00B85A41" w:rsidRPr="00B85A41" w:rsidRDefault="00B85A41">
      <w:pPr>
        <w:pStyle w:val="TOC1"/>
        <w:rPr>
          <w:rFonts w:ascii="Calibri" w:hAnsi="Calibri"/>
          <w:b w:val="0"/>
          <w:noProof/>
          <w:sz w:val="22"/>
          <w:szCs w:val="22"/>
          <w:lang w:eastAsia="en-AU"/>
        </w:rPr>
      </w:pPr>
      <w:hyperlink w:anchor="_Toc361034297" w:history="1">
        <w:r w:rsidRPr="00C2693D">
          <w:rPr>
            <w:rStyle w:val="Hyperlink"/>
            <w:noProof/>
          </w:rPr>
          <w:t>2</w:t>
        </w:r>
        <w:r w:rsidRPr="00B85A41">
          <w:rPr>
            <w:rFonts w:ascii="Calibri" w:hAnsi="Calibri"/>
            <w:b w:val="0"/>
            <w:noProof/>
            <w:sz w:val="22"/>
            <w:szCs w:val="22"/>
            <w:lang w:eastAsia="en-AU"/>
          </w:rPr>
          <w:tab/>
        </w:r>
        <w:r w:rsidRPr="00C2693D">
          <w:rPr>
            <w:rStyle w:val="Hyperlink"/>
            <w:noProof/>
          </w:rPr>
          <w:t>Background</w:t>
        </w:r>
        <w:r>
          <w:rPr>
            <w:noProof/>
            <w:webHidden/>
          </w:rPr>
          <w:tab/>
        </w:r>
        <w:r>
          <w:rPr>
            <w:noProof/>
            <w:webHidden/>
          </w:rPr>
          <w:fldChar w:fldCharType="begin"/>
        </w:r>
        <w:r>
          <w:rPr>
            <w:noProof/>
            <w:webHidden/>
          </w:rPr>
          <w:instrText xml:space="preserve"> PAGEREF _Toc361034297 \h </w:instrText>
        </w:r>
        <w:r>
          <w:rPr>
            <w:noProof/>
            <w:webHidden/>
          </w:rPr>
        </w:r>
        <w:r>
          <w:rPr>
            <w:noProof/>
            <w:webHidden/>
          </w:rPr>
          <w:fldChar w:fldCharType="separate"/>
        </w:r>
        <w:r>
          <w:rPr>
            <w:noProof/>
            <w:webHidden/>
          </w:rPr>
          <w:t>3</w:t>
        </w:r>
        <w:r>
          <w:rPr>
            <w:noProof/>
            <w:webHidden/>
          </w:rPr>
          <w:fldChar w:fldCharType="end"/>
        </w:r>
      </w:hyperlink>
    </w:p>
    <w:p w:rsidR="00B85A41" w:rsidRPr="00B85A41" w:rsidRDefault="00B85A41">
      <w:pPr>
        <w:pStyle w:val="TOC1"/>
        <w:rPr>
          <w:rFonts w:ascii="Calibri" w:hAnsi="Calibri"/>
          <w:b w:val="0"/>
          <w:noProof/>
          <w:sz w:val="22"/>
          <w:szCs w:val="22"/>
          <w:lang w:eastAsia="en-AU"/>
        </w:rPr>
      </w:pPr>
      <w:hyperlink w:anchor="_Toc361034298" w:history="1">
        <w:r w:rsidRPr="00C2693D">
          <w:rPr>
            <w:rStyle w:val="Hyperlink"/>
            <w:noProof/>
          </w:rPr>
          <w:t>3</w:t>
        </w:r>
        <w:r w:rsidRPr="00B85A41">
          <w:rPr>
            <w:rFonts w:ascii="Calibri" w:hAnsi="Calibri"/>
            <w:b w:val="0"/>
            <w:noProof/>
            <w:sz w:val="22"/>
            <w:szCs w:val="22"/>
            <w:lang w:eastAsia="en-AU"/>
          </w:rPr>
          <w:tab/>
        </w:r>
        <w:r w:rsidRPr="00C2693D">
          <w:rPr>
            <w:rStyle w:val="Hyperlink"/>
            <w:noProof/>
          </w:rPr>
          <w:t>DMIA assessment</w:t>
        </w:r>
        <w:r>
          <w:rPr>
            <w:noProof/>
            <w:webHidden/>
          </w:rPr>
          <w:tab/>
        </w:r>
        <w:r>
          <w:rPr>
            <w:noProof/>
            <w:webHidden/>
          </w:rPr>
          <w:fldChar w:fldCharType="begin"/>
        </w:r>
        <w:r>
          <w:rPr>
            <w:noProof/>
            <w:webHidden/>
          </w:rPr>
          <w:instrText xml:space="preserve"> PAGEREF _Toc361034298 \h </w:instrText>
        </w:r>
        <w:r>
          <w:rPr>
            <w:noProof/>
            <w:webHidden/>
          </w:rPr>
        </w:r>
        <w:r>
          <w:rPr>
            <w:noProof/>
            <w:webHidden/>
          </w:rPr>
          <w:fldChar w:fldCharType="separate"/>
        </w:r>
        <w:r>
          <w:rPr>
            <w:noProof/>
            <w:webHidden/>
          </w:rPr>
          <w:t>4</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299" w:history="1">
        <w:r w:rsidRPr="00C2693D">
          <w:rPr>
            <w:rStyle w:val="Hyperlink"/>
            <w:noProof/>
          </w:rPr>
          <w:t>3.1</w:t>
        </w:r>
        <w:r w:rsidRPr="00B85A41">
          <w:rPr>
            <w:rFonts w:ascii="Calibri" w:hAnsi="Calibri"/>
            <w:b w:val="0"/>
            <w:noProof/>
            <w:sz w:val="22"/>
            <w:szCs w:val="22"/>
            <w:lang w:eastAsia="en-AU"/>
          </w:rPr>
          <w:tab/>
        </w:r>
        <w:r w:rsidRPr="00C2693D">
          <w:rPr>
            <w:rStyle w:val="Hyperlink"/>
            <w:noProof/>
          </w:rPr>
          <w:t>ActewAGL</w:t>
        </w:r>
        <w:r>
          <w:rPr>
            <w:noProof/>
            <w:webHidden/>
          </w:rPr>
          <w:tab/>
        </w:r>
        <w:r>
          <w:rPr>
            <w:noProof/>
            <w:webHidden/>
          </w:rPr>
          <w:fldChar w:fldCharType="begin"/>
        </w:r>
        <w:r>
          <w:rPr>
            <w:noProof/>
            <w:webHidden/>
          </w:rPr>
          <w:instrText xml:space="preserve"> PAGEREF _Toc361034299 \h </w:instrText>
        </w:r>
        <w:r>
          <w:rPr>
            <w:noProof/>
            <w:webHidden/>
          </w:rPr>
        </w:r>
        <w:r>
          <w:rPr>
            <w:noProof/>
            <w:webHidden/>
          </w:rPr>
          <w:fldChar w:fldCharType="separate"/>
        </w:r>
        <w:r>
          <w:rPr>
            <w:noProof/>
            <w:webHidden/>
          </w:rPr>
          <w:t>5</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0" w:history="1">
        <w:r w:rsidRPr="00C2693D">
          <w:rPr>
            <w:rStyle w:val="Hyperlink"/>
            <w:noProof/>
          </w:rPr>
          <w:t>3.2</w:t>
        </w:r>
        <w:r w:rsidRPr="00B85A41">
          <w:rPr>
            <w:rFonts w:ascii="Calibri" w:hAnsi="Calibri"/>
            <w:b w:val="0"/>
            <w:noProof/>
            <w:sz w:val="22"/>
            <w:szCs w:val="22"/>
            <w:lang w:eastAsia="en-AU"/>
          </w:rPr>
          <w:tab/>
        </w:r>
        <w:r w:rsidRPr="00C2693D">
          <w:rPr>
            <w:rStyle w:val="Hyperlink"/>
            <w:noProof/>
          </w:rPr>
          <w:t>Ausgrid</w:t>
        </w:r>
        <w:r>
          <w:rPr>
            <w:noProof/>
            <w:webHidden/>
          </w:rPr>
          <w:tab/>
        </w:r>
        <w:r>
          <w:rPr>
            <w:noProof/>
            <w:webHidden/>
          </w:rPr>
          <w:fldChar w:fldCharType="begin"/>
        </w:r>
        <w:r>
          <w:rPr>
            <w:noProof/>
            <w:webHidden/>
          </w:rPr>
          <w:instrText xml:space="preserve"> PAGEREF _Toc361034300 \h </w:instrText>
        </w:r>
        <w:r>
          <w:rPr>
            <w:noProof/>
            <w:webHidden/>
          </w:rPr>
        </w:r>
        <w:r>
          <w:rPr>
            <w:noProof/>
            <w:webHidden/>
          </w:rPr>
          <w:fldChar w:fldCharType="separate"/>
        </w:r>
        <w:r>
          <w:rPr>
            <w:noProof/>
            <w:webHidden/>
          </w:rPr>
          <w:t>5</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1" w:history="1">
        <w:r w:rsidRPr="00C2693D">
          <w:rPr>
            <w:rStyle w:val="Hyperlink"/>
            <w:noProof/>
          </w:rPr>
          <w:t>3.3</w:t>
        </w:r>
        <w:r w:rsidRPr="00B85A41">
          <w:rPr>
            <w:rFonts w:ascii="Calibri" w:hAnsi="Calibri"/>
            <w:b w:val="0"/>
            <w:noProof/>
            <w:sz w:val="22"/>
            <w:szCs w:val="22"/>
            <w:lang w:eastAsia="en-AU"/>
          </w:rPr>
          <w:tab/>
        </w:r>
        <w:r w:rsidRPr="00C2693D">
          <w:rPr>
            <w:rStyle w:val="Hyperlink"/>
            <w:noProof/>
          </w:rPr>
          <w:t>CitiPower</w:t>
        </w:r>
        <w:r>
          <w:rPr>
            <w:noProof/>
            <w:webHidden/>
          </w:rPr>
          <w:tab/>
        </w:r>
        <w:r>
          <w:rPr>
            <w:noProof/>
            <w:webHidden/>
          </w:rPr>
          <w:fldChar w:fldCharType="begin"/>
        </w:r>
        <w:r>
          <w:rPr>
            <w:noProof/>
            <w:webHidden/>
          </w:rPr>
          <w:instrText xml:space="preserve"> PAGEREF _Toc361034301 \h </w:instrText>
        </w:r>
        <w:r>
          <w:rPr>
            <w:noProof/>
            <w:webHidden/>
          </w:rPr>
        </w:r>
        <w:r>
          <w:rPr>
            <w:noProof/>
            <w:webHidden/>
          </w:rPr>
          <w:fldChar w:fldCharType="separate"/>
        </w:r>
        <w:r>
          <w:rPr>
            <w:noProof/>
            <w:webHidden/>
          </w:rPr>
          <w:t>6</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2" w:history="1">
        <w:r w:rsidRPr="00C2693D">
          <w:rPr>
            <w:rStyle w:val="Hyperlink"/>
            <w:noProof/>
          </w:rPr>
          <w:t>3.4</w:t>
        </w:r>
        <w:r w:rsidRPr="00B85A41">
          <w:rPr>
            <w:rFonts w:ascii="Calibri" w:hAnsi="Calibri"/>
            <w:b w:val="0"/>
            <w:noProof/>
            <w:sz w:val="22"/>
            <w:szCs w:val="22"/>
            <w:lang w:eastAsia="en-AU"/>
          </w:rPr>
          <w:tab/>
        </w:r>
        <w:r w:rsidRPr="00C2693D">
          <w:rPr>
            <w:rStyle w:val="Hyperlink"/>
            <w:noProof/>
          </w:rPr>
          <w:t>Endeavour Energy</w:t>
        </w:r>
        <w:r>
          <w:rPr>
            <w:noProof/>
            <w:webHidden/>
          </w:rPr>
          <w:tab/>
        </w:r>
        <w:r>
          <w:rPr>
            <w:noProof/>
            <w:webHidden/>
          </w:rPr>
          <w:fldChar w:fldCharType="begin"/>
        </w:r>
        <w:r>
          <w:rPr>
            <w:noProof/>
            <w:webHidden/>
          </w:rPr>
          <w:instrText xml:space="preserve"> PAGEREF _Toc361034302 \h </w:instrText>
        </w:r>
        <w:r>
          <w:rPr>
            <w:noProof/>
            <w:webHidden/>
          </w:rPr>
        </w:r>
        <w:r>
          <w:rPr>
            <w:noProof/>
            <w:webHidden/>
          </w:rPr>
          <w:fldChar w:fldCharType="separate"/>
        </w:r>
        <w:r>
          <w:rPr>
            <w:noProof/>
            <w:webHidden/>
          </w:rPr>
          <w:t>7</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3" w:history="1">
        <w:r w:rsidRPr="00C2693D">
          <w:rPr>
            <w:rStyle w:val="Hyperlink"/>
            <w:noProof/>
          </w:rPr>
          <w:t>3.5</w:t>
        </w:r>
        <w:r w:rsidRPr="00B85A41">
          <w:rPr>
            <w:rFonts w:ascii="Calibri" w:hAnsi="Calibri"/>
            <w:b w:val="0"/>
            <w:noProof/>
            <w:sz w:val="22"/>
            <w:szCs w:val="22"/>
            <w:lang w:eastAsia="en-AU"/>
          </w:rPr>
          <w:tab/>
        </w:r>
        <w:r w:rsidRPr="00C2693D">
          <w:rPr>
            <w:rStyle w:val="Hyperlink"/>
            <w:noProof/>
          </w:rPr>
          <w:t>Ergon Energy</w:t>
        </w:r>
        <w:r>
          <w:rPr>
            <w:noProof/>
            <w:webHidden/>
          </w:rPr>
          <w:tab/>
        </w:r>
        <w:r>
          <w:rPr>
            <w:noProof/>
            <w:webHidden/>
          </w:rPr>
          <w:fldChar w:fldCharType="begin"/>
        </w:r>
        <w:r>
          <w:rPr>
            <w:noProof/>
            <w:webHidden/>
          </w:rPr>
          <w:instrText xml:space="preserve"> PAGEREF _Toc361034303 \h </w:instrText>
        </w:r>
        <w:r>
          <w:rPr>
            <w:noProof/>
            <w:webHidden/>
          </w:rPr>
        </w:r>
        <w:r>
          <w:rPr>
            <w:noProof/>
            <w:webHidden/>
          </w:rPr>
          <w:fldChar w:fldCharType="separate"/>
        </w:r>
        <w:r>
          <w:rPr>
            <w:noProof/>
            <w:webHidden/>
          </w:rPr>
          <w:t>8</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4" w:history="1">
        <w:r w:rsidRPr="00C2693D">
          <w:rPr>
            <w:rStyle w:val="Hyperlink"/>
            <w:noProof/>
          </w:rPr>
          <w:t>3.6</w:t>
        </w:r>
        <w:r w:rsidRPr="00B85A41">
          <w:rPr>
            <w:rFonts w:ascii="Calibri" w:hAnsi="Calibri"/>
            <w:b w:val="0"/>
            <w:noProof/>
            <w:sz w:val="22"/>
            <w:szCs w:val="22"/>
            <w:lang w:eastAsia="en-AU"/>
          </w:rPr>
          <w:tab/>
        </w:r>
        <w:r w:rsidRPr="00C2693D">
          <w:rPr>
            <w:rStyle w:val="Hyperlink"/>
            <w:noProof/>
          </w:rPr>
          <w:t>Essential Energy</w:t>
        </w:r>
        <w:r>
          <w:rPr>
            <w:noProof/>
            <w:webHidden/>
          </w:rPr>
          <w:tab/>
        </w:r>
        <w:r>
          <w:rPr>
            <w:noProof/>
            <w:webHidden/>
          </w:rPr>
          <w:fldChar w:fldCharType="begin"/>
        </w:r>
        <w:r>
          <w:rPr>
            <w:noProof/>
            <w:webHidden/>
          </w:rPr>
          <w:instrText xml:space="preserve"> PAGEREF _Toc361034304 \h </w:instrText>
        </w:r>
        <w:r>
          <w:rPr>
            <w:noProof/>
            <w:webHidden/>
          </w:rPr>
        </w:r>
        <w:r>
          <w:rPr>
            <w:noProof/>
            <w:webHidden/>
          </w:rPr>
          <w:fldChar w:fldCharType="separate"/>
        </w:r>
        <w:r>
          <w:rPr>
            <w:noProof/>
            <w:webHidden/>
          </w:rPr>
          <w:t>9</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5" w:history="1">
        <w:r w:rsidRPr="00C2693D">
          <w:rPr>
            <w:rStyle w:val="Hyperlink"/>
            <w:noProof/>
          </w:rPr>
          <w:t>3.7</w:t>
        </w:r>
        <w:r w:rsidRPr="00B85A41">
          <w:rPr>
            <w:rFonts w:ascii="Calibri" w:hAnsi="Calibri"/>
            <w:b w:val="0"/>
            <w:noProof/>
            <w:sz w:val="22"/>
            <w:szCs w:val="22"/>
            <w:lang w:eastAsia="en-AU"/>
          </w:rPr>
          <w:tab/>
        </w:r>
        <w:r w:rsidRPr="00C2693D">
          <w:rPr>
            <w:rStyle w:val="Hyperlink"/>
            <w:noProof/>
          </w:rPr>
          <w:t>Jemena Electricity Networks</w:t>
        </w:r>
        <w:r>
          <w:rPr>
            <w:noProof/>
            <w:webHidden/>
          </w:rPr>
          <w:tab/>
        </w:r>
        <w:r>
          <w:rPr>
            <w:noProof/>
            <w:webHidden/>
          </w:rPr>
          <w:fldChar w:fldCharType="begin"/>
        </w:r>
        <w:r>
          <w:rPr>
            <w:noProof/>
            <w:webHidden/>
          </w:rPr>
          <w:instrText xml:space="preserve"> PAGEREF _Toc361034305 \h </w:instrText>
        </w:r>
        <w:r>
          <w:rPr>
            <w:noProof/>
            <w:webHidden/>
          </w:rPr>
        </w:r>
        <w:r>
          <w:rPr>
            <w:noProof/>
            <w:webHidden/>
          </w:rPr>
          <w:fldChar w:fldCharType="separate"/>
        </w:r>
        <w:r>
          <w:rPr>
            <w:noProof/>
            <w:webHidden/>
          </w:rPr>
          <w:t>10</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6" w:history="1">
        <w:r w:rsidRPr="00C2693D">
          <w:rPr>
            <w:rStyle w:val="Hyperlink"/>
            <w:noProof/>
          </w:rPr>
          <w:t>3.8</w:t>
        </w:r>
        <w:r w:rsidRPr="00B85A41">
          <w:rPr>
            <w:rFonts w:ascii="Calibri" w:hAnsi="Calibri"/>
            <w:b w:val="0"/>
            <w:noProof/>
            <w:sz w:val="22"/>
            <w:szCs w:val="22"/>
            <w:lang w:eastAsia="en-AU"/>
          </w:rPr>
          <w:tab/>
        </w:r>
        <w:r w:rsidRPr="00C2693D">
          <w:rPr>
            <w:rStyle w:val="Hyperlink"/>
            <w:noProof/>
          </w:rPr>
          <w:t>Powercor</w:t>
        </w:r>
        <w:r>
          <w:rPr>
            <w:noProof/>
            <w:webHidden/>
          </w:rPr>
          <w:tab/>
        </w:r>
        <w:r>
          <w:rPr>
            <w:noProof/>
            <w:webHidden/>
          </w:rPr>
          <w:fldChar w:fldCharType="begin"/>
        </w:r>
        <w:r>
          <w:rPr>
            <w:noProof/>
            <w:webHidden/>
          </w:rPr>
          <w:instrText xml:space="preserve"> PAGEREF _Toc361034306 \h </w:instrText>
        </w:r>
        <w:r>
          <w:rPr>
            <w:noProof/>
            <w:webHidden/>
          </w:rPr>
        </w:r>
        <w:r>
          <w:rPr>
            <w:noProof/>
            <w:webHidden/>
          </w:rPr>
          <w:fldChar w:fldCharType="separate"/>
        </w:r>
        <w:r>
          <w:rPr>
            <w:noProof/>
            <w:webHidden/>
          </w:rPr>
          <w:t>10</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7" w:history="1">
        <w:r w:rsidRPr="00C2693D">
          <w:rPr>
            <w:rStyle w:val="Hyperlink"/>
            <w:noProof/>
          </w:rPr>
          <w:t>3.9</w:t>
        </w:r>
        <w:r w:rsidRPr="00B85A41">
          <w:rPr>
            <w:rFonts w:ascii="Calibri" w:hAnsi="Calibri"/>
            <w:b w:val="0"/>
            <w:noProof/>
            <w:sz w:val="22"/>
            <w:szCs w:val="22"/>
            <w:lang w:eastAsia="en-AU"/>
          </w:rPr>
          <w:tab/>
        </w:r>
        <w:r w:rsidRPr="00C2693D">
          <w:rPr>
            <w:rStyle w:val="Hyperlink"/>
            <w:noProof/>
          </w:rPr>
          <w:t>SP AusNet</w:t>
        </w:r>
        <w:r>
          <w:rPr>
            <w:noProof/>
            <w:webHidden/>
          </w:rPr>
          <w:tab/>
        </w:r>
        <w:r>
          <w:rPr>
            <w:noProof/>
            <w:webHidden/>
          </w:rPr>
          <w:fldChar w:fldCharType="begin"/>
        </w:r>
        <w:r>
          <w:rPr>
            <w:noProof/>
            <w:webHidden/>
          </w:rPr>
          <w:instrText xml:space="preserve"> PAGEREF _Toc361034307 \h </w:instrText>
        </w:r>
        <w:r>
          <w:rPr>
            <w:noProof/>
            <w:webHidden/>
          </w:rPr>
        </w:r>
        <w:r>
          <w:rPr>
            <w:noProof/>
            <w:webHidden/>
          </w:rPr>
          <w:fldChar w:fldCharType="separate"/>
        </w:r>
        <w:r>
          <w:rPr>
            <w:noProof/>
            <w:webHidden/>
          </w:rPr>
          <w:t>11</w:t>
        </w:r>
        <w:r>
          <w:rPr>
            <w:noProof/>
            <w:webHidden/>
          </w:rPr>
          <w:fldChar w:fldCharType="end"/>
        </w:r>
      </w:hyperlink>
    </w:p>
    <w:p w:rsidR="00B85A41" w:rsidRPr="00B85A41" w:rsidRDefault="00B85A41" w:rsidP="00B85A41">
      <w:pPr>
        <w:pStyle w:val="TOC1"/>
        <w:tabs>
          <w:tab w:val="clear" w:pos="567"/>
          <w:tab w:val="left" w:pos="993"/>
        </w:tabs>
        <w:ind w:left="567"/>
        <w:rPr>
          <w:rFonts w:ascii="Calibri" w:hAnsi="Calibri"/>
          <w:b w:val="0"/>
          <w:noProof/>
          <w:sz w:val="22"/>
          <w:szCs w:val="22"/>
          <w:lang w:eastAsia="en-AU"/>
        </w:rPr>
      </w:pPr>
      <w:hyperlink w:anchor="_Toc361034308" w:history="1">
        <w:r w:rsidRPr="00C2693D">
          <w:rPr>
            <w:rStyle w:val="Hyperlink"/>
            <w:noProof/>
          </w:rPr>
          <w:t>3.10</w:t>
        </w:r>
        <w:r w:rsidRPr="00B85A41">
          <w:rPr>
            <w:rFonts w:ascii="Calibri" w:hAnsi="Calibri"/>
            <w:b w:val="0"/>
            <w:noProof/>
            <w:sz w:val="22"/>
            <w:szCs w:val="22"/>
            <w:lang w:eastAsia="en-AU"/>
          </w:rPr>
          <w:tab/>
        </w:r>
        <w:r w:rsidRPr="00C2693D">
          <w:rPr>
            <w:rStyle w:val="Hyperlink"/>
            <w:noProof/>
          </w:rPr>
          <w:t>United Energy</w:t>
        </w:r>
        <w:r>
          <w:rPr>
            <w:noProof/>
            <w:webHidden/>
          </w:rPr>
          <w:tab/>
        </w:r>
        <w:r>
          <w:rPr>
            <w:noProof/>
            <w:webHidden/>
          </w:rPr>
          <w:fldChar w:fldCharType="begin"/>
        </w:r>
        <w:r>
          <w:rPr>
            <w:noProof/>
            <w:webHidden/>
          </w:rPr>
          <w:instrText xml:space="preserve"> PAGEREF _Toc361034308 \h </w:instrText>
        </w:r>
        <w:r>
          <w:rPr>
            <w:noProof/>
            <w:webHidden/>
          </w:rPr>
        </w:r>
        <w:r>
          <w:rPr>
            <w:noProof/>
            <w:webHidden/>
          </w:rPr>
          <w:fldChar w:fldCharType="separate"/>
        </w:r>
        <w:r>
          <w:rPr>
            <w:noProof/>
            <w:webHidden/>
          </w:rPr>
          <w:t>11</w:t>
        </w:r>
        <w:r>
          <w:rPr>
            <w:noProof/>
            <w:webHidden/>
          </w:rPr>
          <w:fldChar w:fldCharType="end"/>
        </w:r>
      </w:hyperlink>
    </w:p>
    <w:p w:rsidR="00B85A41" w:rsidRPr="00B85A41" w:rsidRDefault="00B85A41">
      <w:pPr>
        <w:pStyle w:val="TOC1"/>
        <w:rPr>
          <w:rFonts w:ascii="Calibri" w:hAnsi="Calibri"/>
          <w:b w:val="0"/>
          <w:noProof/>
          <w:sz w:val="22"/>
          <w:szCs w:val="22"/>
          <w:lang w:eastAsia="en-AU"/>
        </w:rPr>
      </w:pPr>
      <w:hyperlink w:anchor="_Toc361034309" w:history="1">
        <w:r w:rsidRPr="00C2693D">
          <w:rPr>
            <w:rStyle w:val="Hyperlink"/>
            <w:noProof/>
          </w:rPr>
          <w:t>4</w:t>
        </w:r>
        <w:r w:rsidRPr="00B85A41">
          <w:rPr>
            <w:rFonts w:ascii="Calibri" w:hAnsi="Calibri"/>
            <w:b w:val="0"/>
            <w:noProof/>
            <w:sz w:val="22"/>
            <w:szCs w:val="22"/>
            <w:lang w:eastAsia="en-AU"/>
          </w:rPr>
          <w:tab/>
        </w:r>
        <w:r w:rsidRPr="00C2693D">
          <w:rPr>
            <w:rStyle w:val="Hyperlink"/>
            <w:noProof/>
          </w:rPr>
          <w:t>Conclusion</w:t>
        </w:r>
        <w:r>
          <w:rPr>
            <w:noProof/>
            <w:webHidden/>
          </w:rPr>
          <w:tab/>
        </w:r>
        <w:r>
          <w:rPr>
            <w:noProof/>
            <w:webHidden/>
          </w:rPr>
          <w:fldChar w:fldCharType="begin"/>
        </w:r>
        <w:r>
          <w:rPr>
            <w:noProof/>
            <w:webHidden/>
          </w:rPr>
          <w:instrText xml:space="preserve"> PAGEREF _Toc361034309 \h </w:instrText>
        </w:r>
        <w:r>
          <w:rPr>
            <w:noProof/>
            <w:webHidden/>
          </w:rPr>
        </w:r>
        <w:r>
          <w:rPr>
            <w:noProof/>
            <w:webHidden/>
          </w:rPr>
          <w:fldChar w:fldCharType="separate"/>
        </w:r>
        <w:r>
          <w:rPr>
            <w:noProof/>
            <w:webHidden/>
          </w:rPr>
          <w:t>12</w:t>
        </w:r>
        <w:r>
          <w:rPr>
            <w:noProof/>
            <w:webHidden/>
          </w:rPr>
          <w:fldChar w:fldCharType="end"/>
        </w:r>
      </w:hyperlink>
    </w:p>
    <w:p w:rsidR="00B85A41" w:rsidRPr="00B85A41" w:rsidRDefault="00B85A41">
      <w:pPr>
        <w:pStyle w:val="TOC1"/>
        <w:rPr>
          <w:rFonts w:ascii="Calibri" w:hAnsi="Calibri"/>
          <w:b w:val="0"/>
          <w:noProof/>
          <w:sz w:val="22"/>
          <w:szCs w:val="22"/>
          <w:lang w:eastAsia="en-AU"/>
        </w:rPr>
      </w:pPr>
      <w:hyperlink w:anchor="_Toc361034310" w:history="1">
        <w:r w:rsidRPr="00C2693D">
          <w:rPr>
            <w:rStyle w:val="Hyperlink"/>
            <w:noProof/>
          </w:rPr>
          <w:t>Appendix A</w:t>
        </w:r>
        <w:r>
          <w:rPr>
            <w:noProof/>
            <w:webHidden/>
          </w:rPr>
          <w:tab/>
        </w:r>
        <w:r>
          <w:rPr>
            <w:noProof/>
            <w:webHidden/>
          </w:rPr>
          <w:fldChar w:fldCharType="begin"/>
        </w:r>
        <w:r>
          <w:rPr>
            <w:noProof/>
            <w:webHidden/>
          </w:rPr>
          <w:instrText xml:space="preserve"> PAGEREF _Toc361034310 \h </w:instrText>
        </w:r>
        <w:r>
          <w:rPr>
            <w:noProof/>
            <w:webHidden/>
          </w:rPr>
        </w:r>
        <w:r>
          <w:rPr>
            <w:noProof/>
            <w:webHidden/>
          </w:rPr>
          <w:fldChar w:fldCharType="separate"/>
        </w:r>
        <w:r>
          <w:rPr>
            <w:noProof/>
            <w:webHidden/>
          </w:rPr>
          <w:t>13</w:t>
        </w:r>
        <w:r>
          <w:rPr>
            <w:noProof/>
            <w:webHidden/>
          </w:rPr>
          <w:fldChar w:fldCharType="end"/>
        </w:r>
      </w:hyperlink>
    </w:p>
    <w:p w:rsidR="00B85A41" w:rsidRPr="00B85A41" w:rsidRDefault="00B85A41">
      <w:pPr>
        <w:pStyle w:val="TOC1"/>
        <w:rPr>
          <w:rFonts w:ascii="Calibri" w:hAnsi="Calibri"/>
          <w:b w:val="0"/>
          <w:noProof/>
          <w:sz w:val="22"/>
          <w:szCs w:val="22"/>
          <w:lang w:eastAsia="en-AU"/>
        </w:rPr>
      </w:pPr>
      <w:hyperlink w:anchor="_Toc361034311" w:history="1">
        <w:r w:rsidRPr="00C2693D">
          <w:rPr>
            <w:rStyle w:val="Hyperlink"/>
            <w:noProof/>
          </w:rPr>
          <w:t>Appendix B</w:t>
        </w:r>
        <w:r>
          <w:rPr>
            <w:noProof/>
            <w:webHidden/>
          </w:rPr>
          <w:tab/>
        </w:r>
        <w:r>
          <w:rPr>
            <w:noProof/>
            <w:webHidden/>
          </w:rPr>
          <w:fldChar w:fldCharType="begin"/>
        </w:r>
        <w:r>
          <w:rPr>
            <w:noProof/>
            <w:webHidden/>
          </w:rPr>
          <w:instrText xml:space="preserve"> PAGEREF _Toc361034311 \h </w:instrText>
        </w:r>
        <w:r>
          <w:rPr>
            <w:noProof/>
            <w:webHidden/>
          </w:rPr>
        </w:r>
        <w:r>
          <w:rPr>
            <w:noProof/>
            <w:webHidden/>
          </w:rPr>
          <w:fldChar w:fldCharType="separate"/>
        </w:r>
        <w:r>
          <w:rPr>
            <w:noProof/>
            <w:webHidden/>
          </w:rPr>
          <w:t>35</w:t>
        </w:r>
        <w:r>
          <w:rPr>
            <w:noProof/>
            <w:webHidden/>
          </w:rPr>
          <w:fldChar w:fldCharType="end"/>
        </w:r>
      </w:hyperlink>
    </w:p>
    <w:p w:rsidR="00B85A41" w:rsidRDefault="00B85A41">
      <w:r>
        <w:rPr>
          <w:b/>
          <w:bCs/>
          <w:noProof/>
        </w:rPr>
        <w:fldChar w:fldCharType="end"/>
      </w:r>
      <w:bookmarkStart w:id="2" w:name="_GoBack"/>
      <w:bookmarkEnd w:id="2"/>
    </w:p>
    <w:p w:rsidR="00155829" w:rsidRPr="00937ECC" w:rsidRDefault="00155829" w:rsidP="00155829">
      <w:pPr>
        <w:pStyle w:val="AERheading1"/>
      </w:pPr>
      <w:bookmarkStart w:id="3" w:name="_Toc361034296"/>
      <w:r w:rsidRPr="00937ECC">
        <w:t>Overview</w:t>
      </w:r>
      <w:bookmarkEnd w:id="3"/>
    </w:p>
    <w:p w:rsidR="00155829" w:rsidRPr="00937ECC" w:rsidRDefault="00EB74C9" w:rsidP="00155829">
      <w:pPr>
        <w:pStyle w:val="AERbodytext"/>
      </w:pPr>
      <w:r w:rsidRPr="00937ECC">
        <w:t>The Demand Management Incentive Scheme (DMIS) aims to provide incentives for Distribution Network Service Providers (DNSPs) to conduct research and investigation into innovative techniques for managing demand</w:t>
      </w:r>
      <w:r>
        <w:t>. It also aims to enhance</w:t>
      </w:r>
      <w:r w:rsidRPr="00937ECC">
        <w:t xml:space="preserve"> industry knowledge of practical demand management projects and programs through the publication of </w:t>
      </w:r>
      <w:r w:rsidR="00624C9D">
        <w:t xml:space="preserve">annual </w:t>
      </w:r>
      <w:r w:rsidRPr="00937ECC">
        <w:t>DMIS reports.</w:t>
      </w:r>
      <w:r>
        <w:t xml:space="preserve"> The DMIS</w:t>
      </w:r>
      <w:r w:rsidRPr="00937ECC">
        <w:t xml:space="preserve"> </w:t>
      </w:r>
      <w:r w:rsidR="00155829" w:rsidRPr="00937ECC">
        <w:t xml:space="preserve">has been applied to all DNSPs in the NEM as part of </w:t>
      </w:r>
      <w:r w:rsidR="00DB6FF5">
        <w:t>our</w:t>
      </w:r>
      <w:r w:rsidR="00155829" w:rsidRPr="00937ECC">
        <w:t xml:space="preserve"> current distribution determinations. </w:t>
      </w:r>
      <w:r w:rsidR="00DB6FF5">
        <w:t>We are</w:t>
      </w:r>
      <w:r w:rsidR="00155829" w:rsidRPr="00937ECC">
        <w:t xml:space="preserve"> required to annually assess any claims for the Demand Management Innovation Allowance (DMIA) against the criteria contained in the DMIS. The criteria are descriptive and allow for a wide range of projects to be approved.</w:t>
      </w:r>
    </w:p>
    <w:p w:rsidR="009F7258" w:rsidRDefault="00155829" w:rsidP="009F7258">
      <w:pPr>
        <w:pStyle w:val="AERbulletlistfirststyle"/>
        <w:numPr>
          <w:ilvl w:val="0"/>
          <w:numId w:val="0"/>
        </w:numPr>
        <w:tabs>
          <w:tab w:val="left" w:pos="567"/>
        </w:tabs>
        <w:spacing w:after="240"/>
      </w:pPr>
      <w:r w:rsidRPr="000F0DC2">
        <w:t>DMIA reports from ActewGL, Ausgrid, Endeavour Energy, Ergon Energy and Essential Energy (the</w:t>
      </w:r>
      <w:r w:rsidR="00666F55">
        <w:t xml:space="preserve"> non-Victorian </w:t>
      </w:r>
      <w:r w:rsidRPr="000F0DC2">
        <w:t xml:space="preserve">DNSPs) were provided to </w:t>
      </w:r>
      <w:r w:rsidR="00DB6FF5">
        <w:t>us</w:t>
      </w:r>
      <w:r w:rsidRPr="000F0DC2">
        <w:t xml:space="preserve"> as part of </w:t>
      </w:r>
      <w:r w:rsidR="00DB6FF5">
        <w:t>the DNSPs’</w:t>
      </w:r>
      <w:r w:rsidRPr="000F0DC2">
        <w:t xml:space="preserve"> 2011–12 RIN responses. Energex and SA Power Networks did not claim DMIA </w:t>
      </w:r>
      <w:r w:rsidR="00F14339">
        <w:t xml:space="preserve">expenditure </w:t>
      </w:r>
      <w:r w:rsidRPr="000F0DC2">
        <w:t>in 2011–12.</w:t>
      </w:r>
      <w:r w:rsidR="009F7258">
        <w:t xml:space="preserve"> </w:t>
      </w:r>
      <w:r w:rsidR="009F7258" w:rsidRPr="000F0DC2">
        <w:t>DMIA reports</w:t>
      </w:r>
      <w:r w:rsidR="00DA24DF">
        <w:t xml:space="preserve"> for</w:t>
      </w:r>
      <w:r w:rsidR="009F7258" w:rsidRPr="000F0DC2">
        <w:t xml:space="preserve"> </w:t>
      </w:r>
      <w:r w:rsidR="009F7258">
        <w:t xml:space="preserve">CitiPower, Jemena Energy Networks, </w:t>
      </w:r>
      <w:r w:rsidR="007824B8">
        <w:t>Powercor</w:t>
      </w:r>
      <w:r w:rsidR="009F7258">
        <w:t xml:space="preserve">, SP AusNet and United Energy </w:t>
      </w:r>
      <w:r w:rsidR="00F14339">
        <w:t xml:space="preserve">(the Victorian DNSPs) </w:t>
      </w:r>
      <w:r w:rsidR="009F7258" w:rsidRPr="000F0DC2">
        <w:t xml:space="preserve">were provided to </w:t>
      </w:r>
      <w:r w:rsidR="00DB6FF5">
        <w:t>us</w:t>
      </w:r>
      <w:r w:rsidR="009F7258" w:rsidRPr="000F0DC2">
        <w:t xml:space="preserve"> as part of their 2012 RIN responses.</w:t>
      </w:r>
      <w:r w:rsidR="009F7258">
        <w:rPr>
          <w:rStyle w:val="FootnoteReference"/>
        </w:rPr>
        <w:footnoteReference w:id="1"/>
      </w:r>
      <w:r w:rsidR="009F7258" w:rsidRPr="000F0DC2">
        <w:t xml:space="preserve"> </w:t>
      </w:r>
      <w:r w:rsidR="00B2468C">
        <w:t>No DNSPs</w:t>
      </w:r>
      <w:r w:rsidR="009F7258">
        <w:t xml:space="preserve"> </w:t>
      </w:r>
      <w:r w:rsidR="00B2468C">
        <w:t>sought</w:t>
      </w:r>
      <w:r w:rsidR="009F7258">
        <w:t xml:space="preserve"> forgone revenue as part of their DMIA expenditure.</w:t>
      </w:r>
      <w:r w:rsidR="00F42E67">
        <w:t xml:space="preserve"> This report has been updated to include the Victorian DNSPs DMIA expenditure for the 2012 regulatory year.</w:t>
      </w:r>
    </w:p>
    <w:p w:rsidR="009F7258" w:rsidRPr="000F0DC2" w:rsidRDefault="00155829" w:rsidP="00B76AE9">
      <w:pPr>
        <w:pStyle w:val="AERbodytext"/>
      </w:pPr>
      <w:r w:rsidRPr="000F0DC2">
        <w:t xml:space="preserve">The </w:t>
      </w:r>
      <w:r w:rsidR="00666F55">
        <w:t xml:space="preserve">non-Victorian </w:t>
      </w:r>
      <w:r w:rsidRPr="000F0DC2">
        <w:t xml:space="preserve">DNSPs claimed $2.2 million in DMIA expenditures for 22 projects aimed at managing demand. </w:t>
      </w:r>
      <w:r w:rsidR="00DA24DF">
        <w:t>In comparison</w:t>
      </w:r>
      <w:r w:rsidR="00184D6B">
        <w:t>, the Victorian DNSPs claimed $564</w:t>
      </w:r>
      <w:r w:rsidR="00F42E67">
        <w:t>,</w:t>
      </w:r>
      <w:r w:rsidR="005F3400">
        <w:t xml:space="preserve">515 </w:t>
      </w:r>
      <w:r w:rsidR="00184D6B">
        <w:t xml:space="preserve">in DMIA expenditure for six demand management projects. </w:t>
      </w:r>
      <w:r w:rsidRPr="000F0DC2">
        <w:t>The projects undertake</w:t>
      </w:r>
      <w:r w:rsidR="00666F55">
        <w:t>n</w:t>
      </w:r>
      <w:r w:rsidRPr="000F0DC2">
        <w:t xml:space="preserve"> vary considerably in both their nature and scale. They range from those which assess customers</w:t>
      </w:r>
      <w:r w:rsidR="00DA24DF">
        <w:t>’</w:t>
      </w:r>
      <w:r w:rsidRPr="000F0DC2">
        <w:t xml:space="preserve"> responses to financial incentives </w:t>
      </w:r>
      <w:r w:rsidRPr="00184D6B">
        <w:t>to the promotion of energy sustainability in new residential areas</w:t>
      </w:r>
      <w:r w:rsidR="00184D6B" w:rsidRPr="00184D6B">
        <w:t xml:space="preserve"> to</w:t>
      </w:r>
      <w:r w:rsidR="009F7258" w:rsidRPr="00B2468C">
        <w:t xml:space="preserve"> testing residential battery storage. </w:t>
      </w:r>
    </w:p>
    <w:p w:rsidR="00155829" w:rsidRPr="0048662F" w:rsidRDefault="00DB6FF5" w:rsidP="004D232D">
      <w:pPr>
        <w:pStyle w:val="AERbodytext"/>
      </w:pPr>
      <w:r>
        <w:t>We have</w:t>
      </w:r>
      <w:r w:rsidR="00155829" w:rsidRPr="000F0DC2">
        <w:t xml:space="preserve"> approved the DMIA expenditure claimed by</w:t>
      </w:r>
      <w:r w:rsidR="009F7258">
        <w:t xml:space="preserve"> all of</w:t>
      </w:r>
      <w:r w:rsidR="00155829" w:rsidRPr="000F0DC2">
        <w:t xml:space="preserve"> the DNSPs as the expenditure complies with the DMIA criteria. </w:t>
      </w:r>
      <w:r>
        <w:t xml:space="preserve">The </w:t>
      </w:r>
      <w:r w:rsidR="00B2468C" w:rsidRPr="0048662F">
        <w:t xml:space="preserve">DMIA expenditure </w:t>
      </w:r>
      <w:r>
        <w:t xml:space="preserve">we have </w:t>
      </w:r>
      <w:r w:rsidR="00B2468C">
        <w:t xml:space="preserve">approved to date (within current regulatory periods) </w:t>
      </w:r>
      <w:r w:rsidR="00155829" w:rsidRPr="0048662F">
        <w:t xml:space="preserve">accounts for approximately 14 per cent </w:t>
      </w:r>
      <w:r w:rsidR="00B2468C">
        <w:t xml:space="preserve">and </w:t>
      </w:r>
      <w:r w:rsidR="00DA24DF">
        <w:t>1</w:t>
      </w:r>
      <w:r w:rsidR="00B2468C">
        <w:t xml:space="preserve">1 per cent </w:t>
      </w:r>
      <w:r w:rsidR="00155829" w:rsidRPr="0048662F">
        <w:t xml:space="preserve">of the total allowance available to the non-Victorian DNSPs </w:t>
      </w:r>
      <w:r w:rsidR="00B2468C">
        <w:t xml:space="preserve">and </w:t>
      </w:r>
      <w:r w:rsidR="00B2468C" w:rsidRPr="0048662F">
        <w:t>Victorian DNSPs</w:t>
      </w:r>
      <w:r w:rsidR="00B2468C">
        <w:t xml:space="preserve"> respectively</w:t>
      </w:r>
      <w:r w:rsidR="00F14339">
        <w:t>.</w:t>
      </w:r>
      <w:r w:rsidR="0048662F" w:rsidRPr="0048662F">
        <w:t xml:space="preserve"> </w:t>
      </w:r>
      <w:r w:rsidR="00F14339">
        <w:t xml:space="preserve">Table 1.1 </w:t>
      </w:r>
      <w:r w:rsidR="00155829" w:rsidRPr="0048662F">
        <w:t xml:space="preserve">shows annual </w:t>
      </w:r>
      <w:r w:rsidR="00F14339">
        <w:t xml:space="preserve">approved </w:t>
      </w:r>
      <w:r w:rsidR="00155829" w:rsidRPr="0048662F">
        <w:t>DMIA expenditure for the DNSPs</w:t>
      </w:r>
      <w:r w:rsidR="00F14339">
        <w:t xml:space="preserve"> by regulatory year.</w:t>
      </w:r>
    </w:p>
    <w:p w:rsidR="00155829" w:rsidRPr="000F0DC2" w:rsidRDefault="00155829" w:rsidP="00155829">
      <w:pPr>
        <w:pStyle w:val="AERtabletitle"/>
        <w:ind w:left="964" w:hanging="964"/>
        <w:jc w:val="left"/>
      </w:pPr>
      <w:r w:rsidRPr="000F0DC2">
        <w:t>Annual approved DMIA expenditure by regulatory year</w:t>
      </w:r>
      <w:r w:rsidR="00DA24DF">
        <w:t>*</w:t>
      </w:r>
      <w:r w:rsidRPr="000F0DC2">
        <w:t xml:space="preserve"> </w:t>
      </w:r>
      <w:r w:rsidR="002706A5">
        <w:br/>
      </w:r>
    </w:p>
    <w:tbl>
      <w:tblPr>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1905"/>
        <w:gridCol w:w="1905"/>
        <w:gridCol w:w="1905"/>
        <w:gridCol w:w="1906"/>
      </w:tblGrid>
      <w:tr w:rsidR="00155829" w:rsidRPr="000F0DC2" w:rsidTr="00846193">
        <w:tc>
          <w:tcPr>
            <w:tcW w:w="1905" w:type="dxa"/>
            <w:shd w:val="clear" w:color="auto" w:fill="E36C0A"/>
          </w:tcPr>
          <w:p w:rsidR="00155829" w:rsidRPr="000F0DC2" w:rsidRDefault="00155829" w:rsidP="00846193">
            <w:pPr>
              <w:pStyle w:val="AERbulletlistfirststyle"/>
              <w:numPr>
                <w:ilvl w:val="0"/>
                <w:numId w:val="0"/>
              </w:numPr>
              <w:rPr>
                <w:rFonts w:cs="Gautami"/>
                <w:b/>
                <w:sz w:val="16"/>
                <w:szCs w:val="16"/>
              </w:rPr>
            </w:pPr>
            <w:r w:rsidRPr="000F0DC2">
              <w:rPr>
                <w:rFonts w:cs="Gautami"/>
                <w:b/>
                <w:sz w:val="16"/>
                <w:szCs w:val="16"/>
              </w:rPr>
              <w:t>DNSPs</w:t>
            </w:r>
          </w:p>
        </w:tc>
        <w:tc>
          <w:tcPr>
            <w:tcW w:w="1905" w:type="dxa"/>
            <w:shd w:val="clear" w:color="auto" w:fill="E36C0A"/>
          </w:tcPr>
          <w:p w:rsidR="00155829" w:rsidRPr="000F0DC2" w:rsidRDefault="00155829" w:rsidP="00846193">
            <w:pPr>
              <w:pStyle w:val="AERbulletlistfirststyle"/>
              <w:numPr>
                <w:ilvl w:val="0"/>
                <w:numId w:val="0"/>
              </w:numPr>
              <w:rPr>
                <w:rFonts w:cs="Gautami"/>
                <w:b/>
                <w:sz w:val="16"/>
                <w:szCs w:val="16"/>
              </w:rPr>
            </w:pPr>
            <w:r w:rsidRPr="000F0DC2">
              <w:rPr>
                <w:rFonts w:cs="Gautami"/>
                <w:b/>
                <w:sz w:val="16"/>
                <w:szCs w:val="16"/>
              </w:rPr>
              <w:t>2009–10**</w:t>
            </w:r>
          </w:p>
        </w:tc>
        <w:tc>
          <w:tcPr>
            <w:tcW w:w="1905" w:type="dxa"/>
            <w:shd w:val="clear" w:color="auto" w:fill="E36C0A"/>
          </w:tcPr>
          <w:p w:rsidR="00155829" w:rsidRPr="000F0DC2" w:rsidRDefault="00155829" w:rsidP="00846193">
            <w:pPr>
              <w:pStyle w:val="AERbulletlistfirststyle"/>
              <w:numPr>
                <w:ilvl w:val="0"/>
                <w:numId w:val="0"/>
              </w:numPr>
              <w:rPr>
                <w:rFonts w:cs="Gautami"/>
                <w:b/>
                <w:sz w:val="16"/>
                <w:szCs w:val="16"/>
              </w:rPr>
            </w:pPr>
            <w:r w:rsidRPr="000F0DC2">
              <w:rPr>
                <w:rFonts w:cs="Gautami"/>
                <w:b/>
                <w:sz w:val="16"/>
                <w:szCs w:val="16"/>
              </w:rPr>
              <w:t>2010–11/2011</w:t>
            </w:r>
          </w:p>
        </w:tc>
        <w:tc>
          <w:tcPr>
            <w:tcW w:w="1906" w:type="dxa"/>
            <w:shd w:val="clear" w:color="auto" w:fill="E36C0A"/>
          </w:tcPr>
          <w:p w:rsidR="00155829" w:rsidRPr="000F0DC2" w:rsidRDefault="00155829" w:rsidP="00846193">
            <w:pPr>
              <w:pStyle w:val="AERbulletlistfirststyle"/>
              <w:numPr>
                <w:ilvl w:val="0"/>
                <w:numId w:val="0"/>
              </w:numPr>
              <w:rPr>
                <w:rFonts w:cs="Gautami"/>
                <w:b/>
                <w:sz w:val="16"/>
                <w:szCs w:val="16"/>
              </w:rPr>
            </w:pPr>
            <w:r w:rsidRPr="000F0DC2">
              <w:rPr>
                <w:rFonts w:cs="Gautami"/>
                <w:b/>
                <w:sz w:val="16"/>
                <w:szCs w:val="16"/>
              </w:rPr>
              <w:t>2011–12/2012</w:t>
            </w:r>
          </w:p>
        </w:tc>
      </w:tr>
      <w:tr w:rsidR="00155829" w:rsidRPr="000F0DC2" w:rsidTr="00846193">
        <w:tc>
          <w:tcPr>
            <w:tcW w:w="1905" w:type="dxa"/>
          </w:tcPr>
          <w:p w:rsidR="00155829" w:rsidRPr="000F0DC2" w:rsidRDefault="00155829" w:rsidP="00846193">
            <w:pPr>
              <w:pStyle w:val="AERbulletlistfirststyle"/>
              <w:numPr>
                <w:ilvl w:val="0"/>
                <w:numId w:val="0"/>
              </w:numPr>
              <w:rPr>
                <w:rFonts w:cs="Gautami"/>
                <w:sz w:val="16"/>
                <w:szCs w:val="16"/>
              </w:rPr>
            </w:pPr>
            <w:r w:rsidRPr="000F0DC2">
              <w:rPr>
                <w:rFonts w:cs="Gautami"/>
                <w:sz w:val="16"/>
                <w:szCs w:val="16"/>
              </w:rPr>
              <w:t>Non-Victorian</w:t>
            </w:r>
            <w:r w:rsidR="00B2468C">
              <w:rPr>
                <w:rFonts w:cs="Gautami"/>
                <w:sz w:val="16"/>
                <w:szCs w:val="16"/>
              </w:rPr>
              <w:br/>
              <w:t>(2009–10 to 2014–15)</w:t>
            </w:r>
          </w:p>
        </w:tc>
        <w:tc>
          <w:tcPr>
            <w:tcW w:w="1905" w:type="dxa"/>
          </w:tcPr>
          <w:p w:rsidR="00155829" w:rsidRPr="000F0DC2" w:rsidRDefault="00155829" w:rsidP="00846193">
            <w:pPr>
              <w:pStyle w:val="AERbulletlistfirststyle"/>
              <w:numPr>
                <w:ilvl w:val="0"/>
                <w:numId w:val="0"/>
              </w:numPr>
              <w:jc w:val="right"/>
              <w:rPr>
                <w:rFonts w:cs="Gautami"/>
                <w:sz w:val="16"/>
                <w:szCs w:val="16"/>
              </w:rPr>
            </w:pPr>
            <w:r w:rsidRPr="000F0DC2">
              <w:rPr>
                <w:rFonts w:cs="Gautami"/>
                <w:sz w:val="16"/>
                <w:szCs w:val="16"/>
              </w:rPr>
              <w:t>360 398</w:t>
            </w:r>
          </w:p>
        </w:tc>
        <w:tc>
          <w:tcPr>
            <w:tcW w:w="1905" w:type="dxa"/>
          </w:tcPr>
          <w:p w:rsidR="00155829" w:rsidRPr="000F0DC2" w:rsidRDefault="00155829" w:rsidP="00846193">
            <w:pPr>
              <w:pStyle w:val="AERbulletlistfirststyle"/>
              <w:numPr>
                <w:ilvl w:val="0"/>
                <w:numId w:val="0"/>
              </w:numPr>
              <w:jc w:val="right"/>
              <w:rPr>
                <w:rFonts w:cs="Gautami"/>
                <w:sz w:val="16"/>
                <w:szCs w:val="16"/>
              </w:rPr>
            </w:pPr>
            <w:r w:rsidRPr="000F0DC2">
              <w:rPr>
                <w:rFonts w:cs="Gautami"/>
                <w:sz w:val="16"/>
                <w:szCs w:val="16"/>
              </w:rPr>
              <w:t>1 005 751</w:t>
            </w:r>
          </w:p>
        </w:tc>
        <w:tc>
          <w:tcPr>
            <w:tcW w:w="1906" w:type="dxa"/>
          </w:tcPr>
          <w:p w:rsidR="00155829" w:rsidRPr="000F0DC2" w:rsidRDefault="00155829" w:rsidP="00846193">
            <w:pPr>
              <w:pStyle w:val="AERbulletlistfirststyle"/>
              <w:numPr>
                <w:ilvl w:val="0"/>
                <w:numId w:val="0"/>
              </w:numPr>
              <w:jc w:val="right"/>
              <w:rPr>
                <w:rFonts w:cs="Gautami"/>
                <w:sz w:val="16"/>
                <w:szCs w:val="16"/>
              </w:rPr>
            </w:pPr>
            <w:r w:rsidRPr="000F0DC2">
              <w:rPr>
                <w:rFonts w:cs="Gautami"/>
                <w:sz w:val="16"/>
                <w:szCs w:val="16"/>
              </w:rPr>
              <w:t xml:space="preserve">2 218 </w:t>
            </w:r>
            <w:r w:rsidR="00485A21">
              <w:rPr>
                <w:rFonts w:cs="Gautami"/>
                <w:sz w:val="16"/>
                <w:szCs w:val="16"/>
              </w:rPr>
              <w:t>1</w:t>
            </w:r>
            <w:r w:rsidRPr="000F0DC2">
              <w:rPr>
                <w:rFonts w:cs="Gautami"/>
                <w:sz w:val="16"/>
                <w:szCs w:val="16"/>
              </w:rPr>
              <w:t>25</w:t>
            </w:r>
          </w:p>
        </w:tc>
      </w:tr>
      <w:tr w:rsidR="00155829" w:rsidRPr="000F0DC2" w:rsidTr="00846193">
        <w:tc>
          <w:tcPr>
            <w:tcW w:w="1905" w:type="dxa"/>
            <w:shd w:val="clear" w:color="auto" w:fill="FABF8F"/>
          </w:tcPr>
          <w:p w:rsidR="00B2468C" w:rsidRPr="000F0DC2" w:rsidRDefault="00155829" w:rsidP="00B2468C">
            <w:pPr>
              <w:pStyle w:val="AERbulletlistfirststyle"/>
              <w:numPr>
                <w:ilvl w:val="0"/>
                <w:numId w:val="0"/>
              </w:numPr>
              <w:rPr>
                <w:rFonts w:cs="Gautami"/>
                <w:sz w:val="16"/>
                <w:szCs w:val="16"/>
              </w:rPr>
            </w:pPr>
            <w:r w:rsidRPr="000F0DC2">
              <w:rPr>
                <w:rFonts w:cs="Gautami"/>
                <w:sz w:val="16"/>
                <w:szCs w:val="16"/>
              </w:rPr>
              <w:t>Victorian</w:t>
            </w:r>
            <w:r w:rsidR="00B2468C">
              <w:rPr>
                <w:rFonts w:cs="Gautami"/>
                <w:sz w:val="16"/>
                <w:szCs w:val="16"/>
              </w:rPr>
              <w:br/>
              <w:t>(2011–2016)</w:t>
            </w:r>
          </w:p>
        </w:tc>
        <w:tc>
          <w:tcPr>
            <w:tcW w:w="1905" w:type="dxa"/>
            <w:shd w:val="clear" w:color="auto" w:fill="FABF8F"/>
          </w:tcPr>
          <w:p w:rsidR="00155829" w:rsidRPr="000F0DC2" w:rsidRDefault="00155829" w:rsidP="00846193">
            <w:pPr>
              <w:pStyle w:val="AERbulletlistfirststyle"/>
              <w:numPr>
                <w:ilvl w:val="0"/>
                <w:numId w:val="0"/>
              </w:numPr>
              <w:jc w:val="right"/>
              <w:rPr>
                <w:rFonts w:cs="Gautami"/>
                <w:sz w:val="16"/>
                <w:szCs w:val="16"/>
              </w:rPr>
            </w:pPr>
            <w:r w:rsidRPr="000F0DC2">
              <w:rPr>
                <w:rFonts w:cs="Gautami"/>
                <w:sz w:val="16"/>
                <w:szCs w:val="16"/>
              </w:rPr>
              <w:t>N/A</w:t>
            </w:r>
          </w:p>
        </w:tc>
        <w:tc>
          <w:tcPr>
            <w:tcW w:w="1905" w:type="dxa"/>
            <w:shd w:val="clear" w:color="auto" w:fill="FABF8F"/>
          </w:tcPr>
          <w:p w:rsidR="00155829" w:rsidRPr="000F0DC2" w:rsidRDefault="0060378D" w:rsidP="00846193">
            <w:pPr>
              <w:pStyle w:val="AERbulletlistfirststyle"/>
              <w:numPr>
                <w:ilvl w:val="0"/>
                <w:numId w:val="0"/>
              </w:numPr>
              <w:jc w:val="right"/>
              <w:rPr>
                <w:rFonts w:cs="Gautami"/>
                <w:sz w:val="16"/>
                <w:szCs w:val="16"/>
              </w:rPr>
            </w:pPr>
            <w:r>
              <w:rPr>
                <w:rFonts w:cs="Gautami"/>
                <w:sz w:val="16"/>
                <w:szCs w:val="16"/>
              </w:rPr>
              <w:t>567 165</w:t>
            </w:r>
          </w:p>
        </w:tc>
        <w:tc>
          <w:tcPr>
            <w:tcW w:w="1906" w:type="dxa"/>
            <w:shd w:val="clear" w:color="auto" w:fill="FABF8F"/>
          </w:tcPr>
          <w:p w:rsidR="00155829" w:rsidRPr="000F0DC2" w:rsidRDefault="00801E6B" w:rsidP="00846193">
            <w:pPr>
              <w:pStyle w:val="AERbulletlistfirststyle"/>
              <w:numPr>
                <w:ilvl w:val="0"/>
                <w:numId w:val="0"/>
              </w:numPr>
              <w:jc w:val="right"/>
              <w:rPr>
                <w:rFonts w:cs="Gautami"/>
                <w:sz w:val="16"/>
                <w:szCs w:val="16"/>
              </w:rPr>
            </w:pPr>
            <w:r>
              <w:rPr>
                <w:rFonts w:cs="Gautami"/>
                <w:sz w:val="16"/>
                <w:szCs w:val="16"/>
              </w:rPr>
              <w:t>564 515</w:t>
            </w:r>
          </w:p>
        </w:tc>
      </w:tr>
    </w:tbl>
    <w:p w:rsidR="00155829" w:rsidRPr="000F0DC2" w:rsidRDefault="00155829" w:rsidP="00155829">
      <w:pPr>
        <w:pStyle w:val="AERtablesource"/>
      </w:pPr>
      <w:r w:rsidRPr="000F0DC2">
        <w:t>* Non-Victorian data in December 2011</w:t>
      </w:r>
      <w:r w:rsidR="00F14339">
        <w:t xml:space="preserve"> dollars</w:t>
      </w:r>
      <w:r w:rsidRPr="000F0DC2">
        <w:t xml:space="preserve"> and Victorian data in June </w:t>
      </w:r>
      <w:r w:rsidR="0013077B">
        <w:t xml:space="preserve"> </w:t>
      </w:r>
      <w:r w:rsidRPr="000F0DC2">
        <w:t>201</w:t>
      </w:r>
      <w:r w:rsidR="002706A5">
        <w:t>2</w:t>
      </w:r>
      <w:r w:rsidR="00F14339">
        <w:t xml:space="preserve"> dollars</w:t>
      </w:r>
      <w:r w:rsidR="00D51CCB">
        <w:t>.</w:t>
      </w:r>
    </w:p>
    <w:p w:rsidR="00155829" w:rsidRPr="000F0DC2" w:rsidRDefault="00155829" w:rsidP="00155829">
      <w:pPr>
        <w:pStyle w:val="AERtablesource"/>
        <w:tabs>
          <w:tab w:val="clear" w:pos="1361"/>
        </w:tabs>
        <w:ind w:left="0" w:firstLine="0"/>
      </w:pPr>
      <w:r w:rsidRPr="000F0DC2">
        <w:t xml:space="preserve">** In 2009-10 only the NSW and ACT DNSPs were regulated by </w:t>
      </w:r>
      <w:r w:rsidR="00624C9D">
        <w:t>the AER</w:t>
      </w:r>
      <w:r w:rsidRPr="000F0DC2">
        <w:t>.</w:t>
      </w:r>
    </w:p>
    <w:p w:rsidR="00155829" w:rsidRPr="008072B8" w:rsidRDefault="00155829" w:rsidP="00155829">
      <w:pPr>
        <w:rPr>
          <w:rFonts w:ascii="Gautami" w:hAnsi="Gautami" w:cs="Gautami"/>
          <w:sz w:val="20"/>
          <w:szCs w:val="20"/>
        </w:rPr>
      </w:pPr>
      <w:r w:rsidRPr="008072B8">
        <w:rPr>
          <w:rFonts w:ascii="Gautami" w:hAnsi="Gautami" w:cs="Gautami"/>
          <w:sz w:val="20"/>
          <w:szCs w:val="20"/>
        </w:rPr>
        <w:t xml:space="preserve">The DMIS reports from each of the DNSPs are available on </w:t>
      </w:r>
      <w:r w:rsidR="00DB6FF5">
        <w:rPr>
          <w:rFonts w:ascii="Gautami" w:hAnsi="Gautami" w:cs="Gautami"/>
          <w:sz w:val="20"/>
          <w:szCs w:val="20"/>
        </w:rPr>
        <w:t>our</w:t>
      </w:r>
      <w:r w:rsidRPr="008072B8">
        <w:rPr>
          <w:rFonts w:ascii="Gautami" w:hAnsi="Gautami" w:cs="Gautami"/>
          <w:sz w:val="20"/>
          <w:szCs w:val="20"/>
        </w:rPr>
        <w:t xml:space="preserve"> website at </w:t>
      </w:r>
      <w:hyperlink r:id="rId17" w:history="1">
        <w:r w:rsidRPr="008072B8">
          <w:rPr>
            <w:rStyle w:val="AERbody"/>
            <w:rFonts w:cs="Gautami"/>
            <w:szCs w:val="20"/>
          </w:rPr>
          <w:t>www.aer.gov.au</w:t>
        </w:r>
      </w:hyperlink>
      <w:r w:rsidRPr="008072B8">
        <w:rPr>
          <w:rFonts w:ascii="Gautami" w:hAnsi="Gautami" w:cs="Gautami"/>
          <w:sz w:val="20"/>
          <w:szCs w:val="20"/>
        </w:rPr>
        <w:t xml:space="preserve">. </w:t>
      </w:r>
    </w:p>
    <w:p w:rsidR="00155829" w:rsidRPr="00EB6A11" w:rsidRDefault="00155829" w:rsidP="00155829">
      <w:pPr>
        <w:rPr>
          <w:highlight w:val="yellow"/>
        </w:rPr>
      </w:pPr>
    </w:p>
    <w:p w:rsidR="00155829" w:rsidRPr="00937ECC" w:rsidRDefault="00155829" w:rsidP="00155829">
      <w:pPr>
        <w:pStyle w:val="AERheading1"/>
      </w:pPr>
      <w:bookmarkStart w:id="4" w:name="_Toc361034297"/>
      <w:r w:rsidRPr="00937ECC">
        <w:lastRenderedPageBreak/>
        <w:t>Background</w:t>
      </w:r>
      <w:bookmarkEnd w:id="4"/>
    </w:p>
    <w:p w:rsidR="00155829" w:rsidRPr="00937ECC" w:rsidRDefault="00155829" w:rsidP="00155829">
      <w:pPr>
        <w:pStyle w:val="AERbodytext"/>
      </w:pPr>
      <w:r w:rsidRPr="00937ECC">
        <w:t xml:space="preserve">The Demand Management Incentive Scheme (DMIS) is a research and development fund which aims to provide incentives for Distribution Network Service Providers (DNSPs) to conduct research and investigation into innovative techniques for managing demand. </w:t>
      </w:r>
      <w:r w:rsidR="00A74E04">
        <w:t>We</w:t>
      </w:r>
      <w:r w:rsidRPr="00937ECC">
        <w:t xml:space="preserve"> published </w:t>
      </w:r>
      <w:r w:rsidR="00A74E04">
        <w:t>the</w:t>
      </w:r>
      <w:r w:rsidRPr="00937ECC">
        <w:t xml:space="preserve"> DMIS for the non-Victorian DNSPs (in October and November 2008) and Victorian DNSPs (in April 2009) in accordance with clause 6.6.3 of the National Electricity Rules (NER). </w:t>
      </w:r>
    </w:p>
    <w:p w:rsidR="00155829" w:rsidRPr="00937ECC" w:rsidRDefault="00155829" w:rsidP="00155829">
      <w:pPr>
        <w:pStyle w:val="AERbodytext"/>
      </w:pPr>
      <w:r w:rsidRPr="00937ECC">
        <w:t xml:space="preserve">The Demand Management Innovation Allowance (DMIA) is part A of the DMIS. DMIA is provided to a DNSP in the form of a fixed amount of additional revenue at the commencement of each year of the regulatory period. As part of </w:t>
      </w:r>
      <w:r w:rsidR="0088172B">
        <w:t>our</w:t>
      </w:r>
      <w:r w:rsidRPr="00937ECC">
        <w:t xml:space="preserve"> distribution determination </w:t>
      </w:r>
      <w:r w:rsidR="0088172B">
        <w:t>we</w:t>
      </w:r>
      <w:r w:rsidRPr="00937ECC">
        <w:t xml:space="preserve"> </w:t>
      </w:r>
      <w:r w:rsidR="0088172B">
        <w:t>have</w:t>
      </w:r>
      <w:r w:rsidRPr="00937ECC">
        <w:t xml:space="preserve"> previously approved the allowances in accordance with Part A of the DMIS. </w:t>
      </w:r>
    </w:p>
    <w:p w:rsidR="00155829" w:rsidRPr="00937ECC" w:rsidRDefault="00155829" w:rsidP="00155829">
      <w:pPr>
        <w:pStyle w:val="AERbodytext"/>
      </w:pPr>
      <w:r w:rsidRPr="00937ECC">
        <w:t xml:space="preserve">In the second year of the next regulatory control period, when results for the five years of the current regulatory control period are known, a single adjustment will be made to return the amount of any underspends or unapproved DMIA amounts to customers. This ensures that the scheme remains neutral in terms of the expenditure profile which the DNSP adopts during the regulatory control period. </w:t>
      </w:r>
    </w:p>
    <w:p w:rsidR="00155829" w:rsidRPr="00937ECC" w:rsidRDefault="00155829" w:rsidP="00155829">
      <w:pPr>
        <w:pStyle w:val="AERbodytext"/>
      </w:pPr>
      <w:r w:rsidRPr="00937ECC">
        <w:t xml:space="preserve">Part B of the DMIS relates to forgone revenue. It allows the DNSPs to recover foregone revenue in a regulatory control period resulting from a reduction in the quantity of energy sold directly attributable to demand management projects or programs approved under Part A of the scheme. </w:t>
      </w:r>
    </w:p>
    <w:p w:rsidR="00155829" w:rsidRPr="00937ECC" w:rsidRDefault="00155829" w:rsidP="00155829">
      <w:pPr>
        <w:pStyle w:val="AERbodytext"/>
      </w:pPr>
      <w:r w:rsidRPr="00937ECC">
        <w:t xml:space="preserve">A key objective of the DMIS is to assist in enhancing industry knowledge of practical demand management projects and programs through the annual publication of DMIS reports from DNSPs. As such, the DMIS sets out annual reporting requirements for DNSPs for the regulatory control period. DNSPs are required to submit a report to </w:t>
      </w:r>
      <w:r w:rsidR="009C5FC7">
        <w:t>us</w:t>
      </w:r>
      <w:r w:rsidRPr="00937ECC">
        <w:t xml:space="preserve"> on their DMIS expenditure at the end of each year. The information provided in a DNSP’s annual DMIS report is used in </w:t>
      </w:r>
      <w:r w:rsidR="009C5FC7">
        <w:t>our</w:t>
      </w:r>
      <w:r w:rsidRPr="00937ECC">
        <w:t xml:space="preserve"> assessment of a DNSP’s compliance with the DMIA criteria and entitlement to recover expenditure under the DMIA.</w:t>
      </w:r>
    </w:p>
    <w:p w:rsidR="00155829" w:rsidRPr="00846193" w:rsidRDefault="00155829" w:rsidP="00155829">
      <w:pPr>
        <w:pStyle w:val="AERheading1"/>
      </w:pPr>
      <w:bookmarkStart w:id="5" w:name="_Toc361034298"/>
      <w:r w:rsidRPr="00846193">
        <w:lastRenderedPageBreak/>
        <w:t>DMIA assessment</w:t>
      </w:r>
      <w:bookmarkEnd w:id="5"/>
      <w:r w:rsidRPr="00846193">
        <w:t xml:space="preserve"> </w:t>
      </w:r>
    </w:p>
    <w:p w:rsidR="00155829" w:rsidRPr="00846193" w:rsidRDefault="009C5FC7" w:rsidP="00155829">
      <w:pPr>
        <w:pStyle w:val="AERbodytext"/>
      </w:pPr>
      <w:r>
        <w:t>We</w:t>
      </w:r>
      <w:r w:rsidR="00155829" w:rsidRPr="00846193">
        <w:t xml:space="preserve"> conducted </w:t>
      </w:r>
      <w:r>
        <w:t>our</w:t>
      </w:r>
      <w:r w:rsidR="00155829" w:rsidRPr="00846193">
        <w:t xml:space="preserve"> 2011–12 </w:t>
      </w:r>
      <w:r w:rsidR="00846193" w:rsidRPr="00846193">
        <w:t xml:space="preserve">and 2012 </w:t>
      </w:r>
      <w:r w:rsidR="00155829" w:rsidRPr="00846193">
        <w:t xml:space="preserve">DMIA compliance assessments based on the DMIS reports and responses to further information requests received from the following DNSPs: </w:t>
      </w:r>
    </w:p>
    <w:p w:rsidR="00155829" w:rsidRPr="00E11B78" w:rsidRDefault="00155829" w:rsidP="00155829">
      <w:pPr>
        <w:pStyle w:val="AERbulletlistfirststyle"/>
        <w:spacing w:after="120"/>
      </w:pPr>
      <w:r w:rsidRPr="00E11B78">
        <w:t xml:space="preserve">ActewAGL </w:t>
      </w:r>
    </w:p>
    <w:p w:rsidR="00155829" w:rsidRPr="00E11B78" w:rsidRDefault="00155829" w:rsidP="00155829">
      <w:pPr>
        <w:pStyle w:val="AERbulletlistfirststyle"/>
        <w:spacing w:after="120"/>
      </w:pPr>
      <w:r w:rsidRPr="00E11B78">
        <w:t>Ausgrid</w:t>
      </w:r>
    </w:p>
    <w:p w:rsidR="00846193" w:rsidRPr="00E11B78" w:rsidRDefault="00846193" w:rsidP="00155829">
      <w:pPr>
        <w:pStyle w:val="AERbulletlistfirststyle"/>
        <w:spacing w:after="120"/>
      </w:pPr>
      <w:r w:rsidRPr="00E11B78">
        <w:t>CitiPower</w:t>
      </w:r>
    </w:p>
    <w:p w:rsidR="00155829" w:rsidRPr="00E11B78" w:rsidRDefault="00155829" w:rsidP="00155829">
      <w:pPr>
        <w:pStyle w:val="AERbulletlistfirststyle"/>
        <w:spacing w:after="120"/>
      </w:pPr>
      <w:r w:rsidRPr="00E11B78">
        <w:t>Endeavour Energy</w:t>
      </w:r>
    </w:p>
    <w:p w:rsidR="00155829" w:rsidRPr="00E11B78" w:rsidRDefault="00155829" w:rsidP="00155829">
      <w:pPr>
        <w:pStyle w:val="AERbulletlistfirststyle"/>
        <w:spacing w:after="120"/>
      </w:pPr>
      <w:r w:rsidRPr="00E11B78">
        <w:t>Ergon Energy</w:t>
      </w:r>
    </w:p>
    <w:p w:rsidR="00155829" w:rsidRPr="00E11B78" w:rsidRDefault="00155829" w:rsidP="00846193">
      <w:pPr>
        <w:pStyle w:val="AERbulletlistfirststyle"/>
        <w:spacing w:after="0" w:line="360" w:lineRule="auto"/>
      </w:pPr>
      <w:r w:rsidRPr="00E11B78">
        <w:t>Essential Energy</w:t>
      </w:r>
    </w:p>
    <w:p w:rsidR="00846193" w:rsidRPr="00E11B78" w:rsidRDefault="00846193" w:rsidP="00846193">
      <w:pPr>
        <w:pStyle w:val="AERbulletlistfirststyle"/>
        <w:spacing w:after="0" w:line="360" w:lineRule="auto"/>
      </w:pPr>
      <w:r w:rsidRPr="00E11B78">
        <w:t>Jemena Electricity Networks</w:t>
      </w:r>
    </w:p>
    <w:p w:rsidR="00846193" w:rsidRPr="00E11B78" w:rsidRDefault="007824B8" w:rsidP="00846193">
      <w:pPr>
        <w:pStyle w:val="AERbulletlistfirststyle"/>
        <w:spacing w:after="0" w:line="360" w:lineRule="auto"/>
      </w:pPr>
      <w:r>
        <w:t>Powercor</w:t>
      </w:r>
    </w:p>
    <w:p w:rsidR="00846193" w:rsidRPr="00E11B78" w:rsidRDefault="00FC7EC0" w:rsidP="00846193">
      <w:pPr>
        <w:pStyle w:val="AERbulletlistfirststyle"/>
        <w:spacing w:after="0" w:line="360" w:lineRule="auto"/>
      </w:pPr>
      <w:r>
        <w:t>SP AusN</w:t>
      </w:r>
      <w:r w:rsidR="00846193" w:rsidRPr="00E11B78">
        <w:t>et</w:t>
      </w:r>
    </w:p>
    <w:p w:rsidR="00846193" w:rsidRPr="00E11B78" w:rsidRDefault="00846193" w:rsidP="00846193">
      <w:pPr>
        <w:pStyle w:val="AERbulletlistfirststyle"/>
        <w:spacing w:line="360" w:lineRule="auto"/>
      </w:pPr>
      <w:r w:rsidRPr="00E11B78">
        <w:t>United Energy.</w:t>
      </w:r>
    </w:p>
    <w:p w:rsidR="00155829" w:rsidRPr="00E11B78" w:rsidRDefault="00FD7EAC" w:rsidP="00846193">
      <w:pPr>
        <w:pStyle w:val="AERbodytext"/>
        <w:spacing w:after="0"/>
      </w:pPr>
      <w:r>
        <w:t>Table 3</w:t>
      </w:r>
      <w:r w:rsidR="00155829" w:rsidRPr="00E11B78">
        <w:t xml:space="preserve">.1 shows the amount of DMIA expenditure </w:t>
      </w:r>
      <w:r w:rsidR="009C5FC7">
        <w:t xml:space="preserve">we </w:t>
      </w:r>
      <w:r w:rsidR="00155829" w:rsidRPr="00E11B78">
        <w:t xml:space="preserve">approved for the non-Victorian DNSPs for 2011–12 and the remaining allowance for each DNSP in </w:t>
      </w:r>
      <w:r w:rsidR="00F14339">
        <w:t>their</w:t>
      </w:r>
      <w:r w:rsidR="00F14339" w:rsidRPr="00E11B78">
        <w:t xml:space="preserve"> </w:t>
      </w:r>
      <w:r w:rsidR="00155829" w:rsidRPr="00E11B78">
        <w:t>current regulatory control period</w:t>
      </w:r>
      <w:r w:rsidR="00F14339">
        <w:t>s</w:t>
      </w:r>
      <w:r w:rsidR="00155829" w:rsidRPr="00E11B78">
        <w:t>. Energex and South Australia Power Networks (SAPN) did not claim DMIA expenditure in 2011–12. To date (2009–10 to 2011–12) the non-Victorian DNSPs have claimed around 14 per cent of the total DMIA approved for their respective regulatory periods.</w:t>
      </w:r>
    </w:p>
    <w:p w:rsidR="00155829" w:rsidRPr="00E11B78" w:rsidRDefault="00B2468C" w:rsidP="00155829">
      <w:pPr>
        <w:pStyle w:val="AERtabletitle"/>
        <w:ind w:left="964" w:hanging="964"/>
      </w:pPr>
      <w:r>
        <w:t xml:space="preserve">Non-Victorian </w:t>
      </w:r>
      <w:r w:rsidR="00155829" w:rsidRPr="00E11B78">
        <w:t>DNSP</w:t>
      </w:r>
      <w:r w:rsidR="006914DC">
        <w:t>s</w:t>
      </w:r>
      <w:r w:rsidR="00155829" w:rsidRPr="00E11B78">
        <w:t xml:space="preserve"> DMIA expenditure claimed, approved and remaining </w:t>
      </w:r>
      <w:r>
        <w:br/>
      </w:r>
      <w:r w:rsidR="00155829" w:rsidRPr="00E11B78">
        <w:t>($ Dec</w:t>
      </w:r>
      <w:r w:rsidR="00F14339">
        <w:t>ember</w:t>
      </w:r>
      <w:r w:rsidR="00155829" w:rsidRPr="00E11B78">
        <w:t xml:space="preserve"> 2011)</w:t>
      </w:r>
    </w:p>
    <w:tbl>
      <w:tblPr>
        <w:tblW w:w="8626" w:type="dxa"/>
        <w:tblBorders>
          <w:top w:val="single" w:sz="8" w:space="0" w:color="F79646"/>
          <w:left w:val="single" w:sz="8" w:space="0" w:color="F79646"/>
          <w:bottom w:val="single" w:sz="8" w:space="0" w:color="F79646"/>
          <w:right w:val="single" w:sz="8" w:space="0" w:color="F79646"/>
        </w:tblBorders>
        <w:tblLayout w:type="fixed"/>
        <w:tblLook w:val="0040" w:firstRow="0" w:lastRow="1" w:firstColumn="0" w:lastColumn="0" w:noHBand="0" w:noVBand="0"/>
      </w:tblPr>
      <w:tblGrid>
        <w:gridCol w:w="1657"/>
        <w:gridCol w:w="1393"/>
        <w:gridCol w:w="1394"/>
        <w:gridCol w:w="1394"/>
        <w:gridCol w:w="1394"/>
        <w:gridCol w:w="1394"/>
      </w:tblGrid>
      <w:tr w:rsidR="00155829" w:rsidRPr="00E11B78" w:rsidTr="00846193">
        <w:tc>
          <w:tcPr>
            <w:tcW w:w="1657" w:type="dxa"/>
            <w:tcBorders>
              <w:top w:val="single" w:sz="8" w:space="0" w:color="F79646"/>
              <w:left w:val="single" w:sz="8" w:space="0" w:color="F79646"/>
              <w:bottom w:val="single" w:sz="8" w:space="0" w:color="F79646"/>
              <w:right w:val="single" w:sz="8" w:space="0" w:color="F79646"/>
            </w:tcBorders>
            <w:shd w:val="clear" w:color="auto" w:fill="E36C0A"/>
          </w:tcPr>
          <w:p w:rsidR="00155829" w:rsidRPr="00E11B78" w:rsidRDefault="00155829" w:rsidP="00846193">
            <w:pPr>
              <w:pStyle w:val="AERtabletextheading"/>
            </w:pPr>
            <w:r w:rsidRPr="00E11B78">
              <w:t>DNSP</w:t>
            </w:r>
          </w:p>
        </w:tc>
        <w:tc>
          <w:tcPr>
            <w:tcW w:w="1393" w:type="dxa"/>
            <w:tcBorders>
              <w:top w:val="single" w:sz="8" w:space="0" w:color="F79646"/>
              <w:bottom w:val="single" w:sz="8" w:space="0" w:color="F79646"/>
            </w:tcBorders>
            <w:shd w:val="clear" w:color="auto" w:fill="E36C0A"/>
          </w:tcPr>
          <w:p w:rsidR="00155829" w:rsidRPr="00E11B78" w:rsidRDefault="00155829" w:rsidP="00846193">
            <w:pPr>
              <w:pStyle w:val="AERtabletextheading"/>
              <w:jc w:val="right"/>
            </w:pPr>
            <w:r w:rsidRPr="00E11B78">
              <w:t>DMIA claimed 2011–12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155829" w:rsidRPr="00E11B78" w:rsidRDefault="00155829" w:rsidP="00846193">
            <w:pPr>
              <w:pStyle w:val="AERtabletextheading"/>
              <w:jc w:val="right"/>
            </w:pPr>
            <w:r w:rsidRPr="00E11B78">
              <w:t>DMIA approved 2011–12</w:t>
            </w:r>
          </w:p>
        </w:tc>
        <w:tc>
          <w:tcPr>
            <w:tcW w:w="1394" w:type="dxa"/>
            <w:tcBorders>
              <w:top w:val="single" w:sz="8" w:space="0" w:color="F79646"/>
              <w:bottom w:val="single" w:sz="8" w:space="0" w:color="F79646"/>
            </w:tcBorders>
            <w:shd w:val="clear" w:color="auto" w:fill="E36C0A"/>
          </w:tcPr>
          <w:p w:rsidR="00155829" w:rsidRPr="00E11B78" w:rsidRDefault="00155829" w:rsidP="00846193">
            <w:pPr>
              <w:pStyle w:val="AERtabletextheading"/>
              <w:jc w:val="right"/>
            </w:pPr>
            <w:r w:rsidRPr="00E11B78">
              <w:t xml:space="preserve">DMIA approved </w:t>
            </w:r>
            <w:r w:rsidRPr="00E11B78">
              <w:br/>
              <w:t>to date</w:t>
            </w:r>
            <w:r w:rsidRPr="00E11B78">
              <w:br/>
              <w:t>(inclusive of 2011–12)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155829" w:rsidRPr="00E11B78" w:rsidRDefault="00155829" w:rsidP="00846193">
            <w:pPr>
              <w:pStyle w:val="AERtabletextheading"/>
              <w:jc w:val="right"/>
            </w:pPr>
            <w:r w:rsidRPr="00E11B78">
              <w:t>DMIA remaining for the period</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155829" w:rsidRPr="00E11B78" w:rsidRDefault="00155829" w:rsidP="00846193">
            <w:pPr>
              <w:pStyle w:val="AERtabletextheading"/>
              <w:jc w:val="right"/>
            </w:pPr>
            <w:r w:rsidRPr="00E11B78">
              <w:t>Proportion of approved DMIA spent (%)</w:t>
            </w:r>
          </w:p>
        </w:tc>
      </w:tr>
      <w:tr w:rsidR="00155829" w:rsidRPr="00E11B78" w:rsidTr="00846193">
        <w:tc>
          <w:tcPr>
            <w:tcW w:w="1657" w:type="dxa"/>
            <w:tcBorders>
              <w:left w:val="single" w:sz="8" w:space="0" w:color="F79646"/>
              <w:right w:val="single" w:sz="8" w:space="0" w:color="F79646"/>
            </w:tcBorders>
            <w:shd w:val="clear" w:color="auto" w:fill="FABF8F"/>
          </w:tcPr>
          <w:p w:rsidR="00155829" w:rsidRPr="00E11B78" w:rsidRDefault="00155829" w:rsidP="00846193">
            <w:pPr>
              <w:pStyle w:val="AERtabletext"/>
              <w:spacing w:line="240" w:lineRule="auto"/>
            </w:pPr>
            <w:r w:rsidRPr="00E11B78">
              <w:t>ActewAGL</w:t>
            </w:r>
          </w:p>
        </w:tc>
        <w:tc>
          <w:tcPr>
            <w:tcW w:w="1393" w:type="dxa"/>
            <w:shd w:val="clear" w:color="auto" w:fill="FABF8F"/>
          </w:tcPr>
          <w:p w:rsidR="00155829" w:rsidRPr="00E11B78" w:rsidRDefault="00155829" w:rsidP="00846193">
            <w:pPr>
              <w:pStyle w:val="AERtabletext-numbers"/>
              <w:spacing w:line="240" w:lineRule="auto"/>
            </w:pPr>
            <w:r w:rsidRPr="00E11B78">
              <w:t>19 675</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19 675</w:t>
            </w:r>
          </w:p>
        </w:tc>
        <w:tc>
          <w:tcPr>
            <w:tcW w:w="1394" w:type="dxa"/>
            <w:shd w:val="clear" w:color="auto" w:fill="FABF8F"/>
          </w:tcPr>
          <w:p w:rsidR="00155829" w:rsidRPr="00E11B78" w:rsidRDefault="00155829" w:rsidP="00846193">
            <w:pPr>
              <w:pStyle w:val="AERtabletext-numbers"/>
              <w:spacing w:line="240" w:lineRule="auto"/>
            </w:pPr>
            <w:r w:rsidRPr="00E11B78">
              <w:t>58 521</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473 890</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 xml:space="preserve">11.0 </w:t>
            </w:r>
          </w:p>
        </w:tc>
      </w:tr>
      <w:tr w:rsidR="00155829" w:rsidRPr="00E11B78" w:rsidTr="00846193">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
              <w:spacing w:line="240" w:lineRule="auto"/>
            </w:pPr>
            <w:r w:rsidRPr="00E11B78">
              <w:t>Ausgrid</w:t>
            </w:r>
          </w:p>
        </w:tc>
        <w:tc>
          <w:tcPr>
            <w:tcW w:w="1393"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661 335</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661 335</w:t>
            </w:r>
          </w:p>
        </w:tc>
        <w:tc>
          <w:tcPr>
            <w:tcW w:w="1394"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715 950</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4 608 155</w:t>
            </w:r>
          </w:p>
        </w:tc>
        <w:tc>
          <w:tcPr>
            <w:tcW w:w="1394" w:type="dxa"/>
            <w:tcBorders>
              <w:top w:val="single" w:sz="8" w:space="0" w:color="F79646"/>
              <w:left w:val="single" w:sz="8" w:space="0" w:color="F79646"/>
              <w:bottom w:val="single" w:sz="8" w:space="0" w:color="F79646"/>
              <w:right w:val="single" w:sz="8" w:space="0" w:color="F79646"/>
            </w:tcBorders>
          </w:tcPr>
          <w:p w:rsidR="00155829" w:rsidRPr="00E11B78" w:rsidRDefault="00155829" w:rsidP="00846193">
            <w:pPr>
              <w:pStyle w:val="AERtabletext-numbers"/>
              <w:spacing w:line="240" w:lineRule="auto"/>
            </w:pPr>
            <w:r w:rsidRPr="00E11B78">
              <w:t>13.4</w:t>
            </w:r>
          </w:p>
        </w:tc>
      </w:tr>
      <w:tr w:rsidR="00155829" w:rsidRPr="00E11B78" w:rsidTr="00846193">
        <w:tc>
          <w:tcPr>
            <w:tcW w:w="1657" w:type="dxa"/>
            <w:tcBorders>
              <w:left w:val="single" w:sz="8" w:space="0" w:color="F79646"/>
              <w:right w:val="single" w:sz="8" w:space="0" w:color="F79646"/>
            </w:tcBorders>
            <w:shd w:val="clear" w:color="auto" w:fill="FABF8F"/>
          </w:tcPr>
          <w:p w:rsidR="00155829" w:rsidRPr="00E11B78" w:rsidRDefault="00155829" w:rsidP="00846193">
            <w:pPr>
              <w:pStyle w:val="AERtabletext"/>
              <w:spacing w:line="240" w:lineRule="auto"/>
            </w:pPr>
            <w:r w:rsidRPr="00E11B78">
              <w:t>Endeavour Energy</w:t>
            </w:r>
          </w:p>
        </w:tc>
        <w:tc>
          <w:tcPr>
            <w:tcW w:w="1393" w:type="dxa"/>
            <w:shd w:val="clear" w:color="auto" w:fill="FABF8F"/>
          </w:tcPr>
          <w:p w:rsidR="00155829" w:rsidRPr="00E11B78" w:rsidRDefault="00155829" w:rsidP="00846193">
            <w:pPr>
              <w:pStyle w:val="AERtabletext-numbers"/>
              <w:spacing w:line="240" w:lineRule="auto"/>
            </w:pPr>
            <w:r w:rsidRPr="00E11B78">
              <w:t>268 642</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268 642</w:t>
            </w:r>
          </w:p>
        </w:tc>
        <w:tc>
          <w:tcPr>
            <w:tcW w:w="1394" w:type="dxa"/>
            <w:shd w:val="clear" w:color="auto" w:fill="FABF8F"/>
          </w:tcPr>
          <w:p w:rsidR="00155829" w:rsidRPr="00E11B78" w:rsidRDefault="00155829" w:rsidP="00846193">
            <w:pPr>
              <w:pStyle w:val="AERtabletext-numbers"/>
              <w:spacing w:line="240" w:lineRule="auto"/>
            </w:pPr>
            <w:r w:rsidRPr="00E11B78">
              <w:t>437 580</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2 756 884</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13.7</w:t>
            </w:r>
          </w:p>
        </w:tc>
      </w:tr>
      <w:tr w:rsidR="00155829" w:rsidRPr="00E11B78" w:rsidTr="00846193">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
              <w:spacing w:line="240" w:lineRule="auto"/>
            </w:pPr>
            <w:r w:rsidRPr="00E11B78">
              <w:t>Energex</w:t>
            </w:r>
          </w:p>
        </w:tc>
        <w:tc>
          <w:tcPr>
            <w:tcW w:w="1393"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N/A</w:t>
            </w:r>
            <w:r w:rsidRPr="00E11B78" w:rsidDel="004500DF">
              <w:t xml:space="preserve"> </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N/A</w:t>
            </w:r>
            <w:r w:rsidRPr="00E11B78" w:rsidDel="004500DF">
              <w:t xml:space="preserve"> </w:t>
            </w:r>
          </w:p>
        </w:tc>
        <w:tc>
          <w:tcPr>
            <w:tcW w:w="1394"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51 553</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5 515 602</w:t>
            </w:r>
          </w:p>
        </w:tc>
        <w:tc>
          <w:tcPr>
            <w:tcW w:w="1394" w:type="dxa"/>
            <w:tcBorders>
              <w:top w:val="single" w:sz="8" w:space="0" w:color="F79646"/>
              <w:left w:val="single" w:sz="8" w:space="0" w:color="F79646"/>
              <w:bottom w:val="single" w:sz="8" w:space="0" w:color="F79646"/>
              <w:right w:val="single" w:sz="8" w:space="0" w:color="F79646"/>
            </w:tcBorders>
          </w:tcPr>
          <w:p w:rsidR="00155829" w:rsidRPr="00E11B78" w:rsidRDefault="00155829" w:rsidP="00846193">
            <w:pPr>
              <w:pStyle w:val="AERtabletext-numbers"/>
              <w:spacing w:line="240" w:lineRule="auto"/>
            </w:pPr>
            <w:r w:rsidRPr="00E11B78">
              <w:t>1.0</w:t>
            </w:r>
          </w:p>
        </w:tc>
      </w:tr>
      <w:tr w:rsidR="00155829" w:rsidRPr="00E11B78" w:rsidTr="00846193">
        <w:tc>
          <w:tcPr>
            <w:tcW w:w="1657" w:type="dxa"/>
            <w:tcBorders>
              <w:left w:val="single" w:sz="8" w:space="0" w:color="F79646"/>
              <w:right w:val="single" w:sz="8" w:space="0" w:color="F79646"/>
            </w:tcBorders>
            <w:shd w:val="clear" w:color="auto" w:fill="FABF8F"/>
          </w:tcPr>
          <w:p w:rsidR="00155829" w:rsidRPr="00E11B78" w:rsidRDefault="00155829" w:rsidP="00846193">
            <w:pPr>
              <w:pStyle w:val="AERtabletext"/>
              <w:spacing w:line="240" w:lineRule="auto"/>
            </w:pPr>
            <w:r w:rsidRPr="00E11B78">
              <w:t>Ergon Energy</w:t>
            </w:r>
          </w:p>
        </w:tc>
        <w:tc>
          <w:tcPr>
            <w:tcW w:w="1393" w:type="dxa"/>
            <w:shd w:val="clear" w:color="auto" w:fill="FABF8F"/>
          </w:tcPr>
          <w:p w:rsidR="00155829" w:rsidRPr="00E11B78" w:rsidRDefault="00155829" w:rsidP="00846193">
            <w:pPr>
              <w:pStyle w:val="AERtabletext-numbers"/>
              <w:spacing w:line="240" w:lineRule="auto"/>
            </w:pPr>
            <w:r w:rsidRPr="00E11B78">
              <w:t>540 108</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540 108</w:t>
            </w:r>
          </w:p>
        </w:tc>
        <w:tc>
          <w:tcPr>
            <w:tcW w:w="1394" w:type="dxa"/>
            <w:shd w:val="clear" w:color="auto" w:fill="FABF8F"/>
          </w:tcPr>
          <w:p w:rsidR="00155829" w:rsidRPr="00E11B78" w:rsidRDefault="00155829" w:rsidP="00846193">
            <w:pPr>
              <w:pStyle w:val="AERtabletext-numbers"/>
              <w:spacing w:line="240" w:lineRule="auto"/>
            </w:pPr>
            <w:r w:rsidRPr="00E11B78">
              <w:t>1 009 486</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4 197 669</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19.4</w:t>
            </w:r>
          </w:p>
        </w:tc>
      </w:tr>
      <w:tr w:rsidR="00155829" w:rsidRPr="00E11B78" w:rsidTr="00846193">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
              <w:spacing w:line="240" w:lineRule="auto"/>
            </w:pPr>
            <w:r w:rsidRPr="00E11B78">
              <w:t>Essential Energy</w:t>
            </w:r>
          </w:p>
        </w:tc>
        <w:tc>
          <w:tcPr>
            <w:tcW w:w="1393"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728 365</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728 365</w:t>
            </w:r>
          </w:p>
        </w:tc>
        <w:tc>
          <w:tcPr>
            <w:tcW w:w="1394" w:type="dxa"/>
            <w:tcBorders>
              <w:top w:val="single" w:sz="8" w:space="0" w:color="F79646"/>
              <w:bottom w:val="single" w:sz="8" w:space="0" w:color="F79646"/>
            </w:tcBorders>
            <w:shd w:val="clear" w:color="auto" w:fill="auto"/>
          </w:tcPr>
          <w:p w:rsidR="00155829" w:rsidRPr="00E11B78" w:rsidRDefault="00155829" w:rsidP="00846193">
            <w:pPr>
              <w:pStyle w:val="AERtabletext-numbers"/>
              <w:spacing w:line="240" w:lineRule="auto"/>
            </w:pPr>
            <w:r w:rsidRPr="00E11B78">
              <w:t>1 311 084</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155829" w:rsidRPr="00E11B78" w:rsidRDefault="00155829" w:rsidP="00846193">
            <w:pPr>
              <w:pStyle w:val="AERtabletext-numbers"/>
              <w:spacing w:line="240" w:lineRule="auto"/>
            </w:pPr>
            <w:r w:rsidRPr="00E11B78">
              <w:t>1 883 380</w:t>
            </w:r>
          </w:p>
        </w:tc>
        <w:tc>
          <w:tcPr>
            <w:tcW w:w="1394" w:type="dxa"/>
            <w:tcBorders>
              <w:top w:val="single" w:sz="8" w:space="0" w:color="F79646"/>
              <w:left w:val="single" w:sz="8" w:space="0" w:color="F79646"/>
              <w:bottom w:val="single" w:sz="8" w:space="0" w:color="F79646"/>
              <w:right w:val="single" w:sz="8" w:space="0" w:color="F79646"/>
            </w:tcBorders>
          </w:tcPr>
          <w:p w:rsidR="00155829" w:rsidRPr="00E11B78" w:rsidRDefault="00155829" w:rsidP="00846193">
            <w:pPr>
              <w:pStyle w:val="AERtabletext-numbers"/>
              <w:spacing w:line="240" w:lineRule="auto"/>
            </w:pPr>
            <w:r w:rsidRPr="00E11B78">
              <w:t>41.0</w:t>
            </w:r>
          </w:p>
        </w:tc>
      </w:tr>
      <w:tr w:rsidR="00155829" w:rsidRPr="00E11B78" w:rsidTr="00846193">
        <w:tc>
          <w:tcPr>
            <w:tcW w:w="1657" w:type="dxa"/>
            <w:tcBorders>
              <w:left w:val="single" w:sz="8" w:space="0" w:color="F79646"/>
              <w:right w:val="single" w:sz="8" w:space="0" w:color="F79646"/>
            </w:tcBorders>
            <w:shd w:val="clear" w:color="auto" w:fill="FABF8F"/>
          </w:tcPr>
          <w:p w:rsidR="00155829" w:rsidRPr="00E11B78" w:rsidRDefault="00155829" w:rsidP="00846193">
            <w:pPr>
              <w:pStyle w:val="AERtabletext"/>
              <w:spacing w:line="240" w:lineRule="auto"/>
            </w:pPr>
            <w:r w:rsidRPr="00E11B78">
              <w:t>SA Power Networks</w:t>
            </w:r>
          </w:p>
        </w:tc>
        <w:tc>
          <w:tcPr>
            <w:tcW w:w="1393" w:type="dxa"/>
            <w:shd w:val="clear" w:color="auto" w:fill="FABF8F"/>
          </w:tcPr>
          <w:p w:rsidR="00155829" w:rsidRPr="00E11B78" w:rsidRDefault="00155829" w:rsidP="00846193">
            <w:pPr>
              <w:pStyle w:val="AERtabletext-numbers"/>
              <w:spacing w:line="240" w:lineRule="auto"/>
            </w:pPr>
            <w:r w:rsidRPr="00E11B78">
              <w:t>N/A</w:t>
            </w:r>
            <w:r w:rsidRPr="00E11B78" w:rsidDel="00924731">
              <w:t xml:space="preserve"> </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N/A</w:t>
            </w:r>
            <w:r w:rsidRPr="00E11B78" w:rsidDel="00924731">
              <w:t xml:space="preserve"> </w:t>
            </w:r>
          </w:p>
        </w:tc>
        <w:tc>
          <w:tcPr>
            <w:tcW w:w="1394" w:type="dxa"/>
            <w:shd w:val="clear" w:color="auto" w:fill="FABF8F"/>
          </w:tcPr>
          <w:p w:rsidR="00155829" w:rsidRPr="00E11B78" w:rsidRDefault="00155829" w:rsidP="00846193">
            <w:pPr>
              <w:pStyle w:val="AERtabletext-numbers"/>
              <w:spacing w:line="240" w:lineRule="auto"/>
            </w:pPr>
            <w:r w:rsidRPr="00E11B78">
              <w:t>N/A</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3 124 293</w:t>
            </w:r>
          </w:p>
        </w:tc>
        <w:tc>
          <w:tcPr>
            <w:tcW w:w="1394" w:type="dxa"/>
            <w:tcBorders>
              <w:left w:val="single" w:sz="8" w:space="0" w:color="F79646"/>
              <w:right w:val="single" w:sz="8" w:space="0" w:color="F79646"/>
            </w:tcBorders>
            <w:shd w:val="clear" w:color="auto" w:fill="FABF8F"/>
          </w:tcPr>
          <w:p w:rsidR="00155829" w:rsidRPr="00E11B78" w:rsidRDefault="00155829" w:rsidP="00846193">
            <w:pPr>
              <w:pStyle w:val="AERtabletext-numbers"/>
              <w:spacing w:line="240" w:lineRule="auto"/>
            </w:pPr>
            <w:r w:rsidRPr="00E11B78">
              <w:t>0.0</w:t>
            </w:r>
          </w:p>
        </w:tc>
      </w:tr>
      <w:tr w:rsidR="00155829" w:rsidRPr="0064455D" w:rsidTr="00846193">
        <w:tc>
          <w:tcPr>
            <w:tcW w:w="1657" w:type="dxa"/>
            <w:tcBorders>
              <w:top w:val="double" w:sz="6" w:space="0" w:color="F79646"/>
              <w:left w:val="single" w:sz="8" w:space="0" w:color="F79646"/>
              <w:bottom w:val="single" w:sz="8" w:space="0" w:color="F79646"/>
              <w:right w:val="single" w:sz="8" w:space="0" w:color="F79646"/>
            </w:tcBorders>
            <w:shd w:val="clear" w:color="auto" w:fill="auto"/>
          </w:tcPr>
          <w:p w:rsidR="00155829" w:rsidRPr="0064455D" w:rsidRDefault="00155829" w:rsidP="00846193">
            <w:pPr>
              <w:pStyle w:val="AERtabletext"/>
              <w:spacing w:line="240" w:lineRule="auto"/>
              <w:rPr>
                <w:b/>
                <w:bCs/>
              </w:rPr>
            </w:pPr>
            <w:r w:rsidRPr="0064455D">
              <w:rPr>
                <w:b/>
                <w:bCs/>
              </w:rPr>
              <w:t>TOTAL</w:t>
            </w:r>
          </w:p>
        </w:tc>
        <w:tc>
          <w:tcPr>
            <w:tcW w:w="1393" w:type="dxa"/>
            <w:tcBorders>
              <w:top w:val="double" w:sz="6" w:space="0" w:color="F79646"/>
              <w:bottom w:val="single" w:sz="8" w:space="0" w:color="F79646"/>
            </w:tcBorders>
            <w:shd w:val="clear" w:color="auto" w:fill="auto"/>
          </w:tcPr>
          <w:p w:rsidR="00155829" w:rsidRPr="0064455D" w:rsidRDefault="00155829" w:rsidP="00846193">
            <w:pPr>
              <w:pStyle w:val="AERtabletext-numbers"/>
              <w:spacing w:line="240" w:lineRule="auto"/>
              <w:rPr>
                <w:b/>
                <w:bCs/>
              </w:rPr>
            </w:pPr>
            <w:r w:rsidRPr="0064455D">
              <w:rPr>
                <w:b/>
              </w:rPr>
              <w:t xml:space="preserve">2 218 </w:t>
            </w:r>
            <w:r w:rsidR="00944CB1">
              <w:rPr>
                <w:b/>
              </w:rPr>
              <w:t>125</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155829" w:rsidRPr="0064455D" w:rsidRDefault="00155829" w:rsidP="00846193">
            <w:pPr>
              <w:pStyle w:val="AERtabletext-numbers"/>
              <w:spacing w:line="240" w:lineRule="auto"/>
              <w:rPr>
                <w:b/>
                <w:bCs/>
              </w:rPr>
            </w:pPr>
            <w:r w:rsidRPr="0064455D">
              <w:rPr>
                <w:b/>
              </w:rPr>
              <w:t xml:space="preserve">2 218 </w:t>
            </w:r>
            <w:r w:rsidR="00944CB1">
              <w:rPr>
                <w:b/>
              </w:rPr>
              <w:t>125</w:t>
            </w:r>
          </w:p>
        </w:tc>
        <w:tc>
          <w:tcPr>
            <w:tcW w:w="1394" w:type="dxa"/>
            <w:tcBorders>
              <w:top w:val="double" w:sz="6" w:space="0" w:color="F79646"/>
              <w:bottom w:val="single" w:sz="8" w:space="0" w:color="F79646"/>
            </w:tcBorders>
            <w:shd w:val="clear" w:color="auto" w:fill="auto"/>
          </w:tcPr>
          <w:p w:rsidR="00155829" w:rsidRPr="0064455D" w:rsidRDefault="00155829" w:rsidP="00846193">
            <w:pPr>
              <w:pStyle w:val="AERtabletext-numbers"/>
              <w:spacing w:line="240" w:lineRule="auto"/>
              <w:rPr>
                <w:b/>
                <w:bCs/>
              </w:rPr>
            </w:pPr>
            <w:r w:rsidRPr="0064455D">
              <w:rPr>
                <w:b/>
                <w:bCs/>
              </w:rPr>
              <w:t>3 584 174</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155829" w:rsidRPr="0064455D" w:rsidRDefault="00155829" w:rsidP="00846193">
            <w:pPr>
              <w:pStyle w:val="AERtabletext-numbers"/>
              <w:spacing w:line="240" w:lineRule="auto"/>
              <w:rPr>
                <w:b/>
                <w:bCs/>
              </w:rPr>
            </w:pPr>
            <w:r w:rsidRPr="0064455D">
              <w:rPr>
                <w:b/>
                <w:bCs/>
              </w:rPr>
              <w:t>22 199 873</w:t>
            </w:r>
          </w:p>
        </w:tc>
        <w:tc>
          <w:tcPr>
            <w:tcW w:w="1394" w:type="dxa"/>
            <w:tcBorders>
              <w:top w:val="double" w:sz="6" w:space="0" w:color="F79646"/>
              <w:left w:val="single" w:sz="8" w:space="0" w:color="F79646"/>
              <w:bottom w:val="single" w:sz="8" w:space="0" w:color="F79646"/>
              <w:right w:val="single" w:sz="8" w:space="0" w:color="F79646"/>
            </w:tcBorders>
          </w:tcPr>
          <w:p w:rsidR="00155829" w:rsidRPr="0064455D" w:rsidRDefault="00155829" w:rsidP="00846193">
            <w:pPr>
              <w:pStyle w:val="AERtabletext-numbers"/>
              <w:spacing w:line="240" w:lineRule="auto"/>
              <w:rPr>
                <w:b/>
                <w:bCs/>
              </w:rPr>
            </w:pPr>
            <w:r w:rsidRPr="0064455D">
              <w:rPr>
                <w:b/>
                <w:bCs/>
              </w:rPr>
              <w:t>13.9</w:t>
            </w:r>
          </w:p>
        </w:tc>
      </w:tr>
    </w:tbl>
    <w:p w:rsidR="00155829" w:rsidRPr="0064455D" w:rsidRDefault="00155829" w:rsidP="0064455D">
      <w:pPr>
        <w:pStyle w:val="AERbulletlistfirststyle"/>
        <w:numPr>
          <w:ilvl w:val="0"/>
          <w:numId w:val="0"/>
        </w:numPr>
        <w:spacing w:line="276" w:lineRule="auto"/>
      </w:pPr>
    </w:p>
    <w:p w:rsidR="0064455D" w:rsidRDefault="00FD7EAC" w:rsidP="0064455D">
      <w:pPr>
        <w:pStyle w:val="AERbulletlistfirststyle"/>
        <w:numPr>
          <w:ilvl w:val="0"/>
          <w:numId w:val="0"/>
        </w:numPr>
        <w:spacing w:line="276" w:lineRule="auto"/>
      </w:pPr>
      <w:r>
        <w:lastRenderedPageBreak/>
        <w:t>Table 3</w:t>
      </w:r>
      <w:r w:rsidR="0064455D" w:rsidRPr="0064455D">
        <w:t xml:space="preserve">.2 shows the amount of DMIA expenditure </w:t>
      </w:r>
      <w:r w:rsidR="009C5FC7">
        <w:t xml:space="preserve">we </w:t>
      </w:r>
      <w:r w:rsidR="0064455D" w:rsidRPr="0064455D">
        <w:t xml:space="preserve">approved for the Victorian DNSPs for 2012 and the remaining allowance for each DNSP in the current regulatory period. All of the Victorian DNSPs claimed DMIA in 2012. </w:t>
      </w:r>
      <w:r w:rsidR="00F14339">
        <w:t xml:space="preserve">To date (2011 and 2012) </w:t>
      </w:r>
      <w:r w:rsidR="0064455D" w:rsidRPr="0064455D">
        <w:t>the Victorian</w:t>
      </w:r>
      <w:r w:rsidR="00F14339">
        <w:t xml:space="preserve"> </w:t>
      </w:r>
      <w:r w:rsidR="0064455D" w:rsidRPr="0064455D">
        <w:t>DNSPs</w:t>
      </w:r>
      <w:r w:rsidR="00F14339">
        <w:t xml:space="preserve"> have </w:t>
      </w:r>
      <w:r w:rsidR="0064455D" w:rsidRPr="0064455D">
        <w:t xml:space="preserve">claimed </w:t>
      </w:r>
      <w:r w:rsidR="00F14339">
        <w:t>approximately 11</w:t>
      </w:r>
      <w:r w:rsidR="007824B8" w:rsidRPr="00B76AE9">
        <w:t xml:space="preserve"> </w:t>
      </w:r>
      <w:r w:rsidR="0064455D" w:rsidRPr="00B76AE9">
        <w:t>per cent</w:t>
      </w:r>
      <w:r w:rsidR="0064455D" w:rsidRPr="00DE72EB">
        <w:t xml:space="preserve"> </w:t>
      </w:r>
      <w:r w:rsidR="0064455D" w:rsidRPr="00283505">
        <w:t>of the</w:t>
      </w:r>
      <w:r w:rsidR="0064455D" w:rsidRPr="0064455D">
        <w:t xml:space="preserve"> total DMIA approved for the</w:t>
      </w:r>
      <w:r w:rsidR="00F14339">
        <w:t>ir current</w:t>
      </w:r>
      <w:r w:rsidR="0064455D" w:rsidRPr="0064455D">
        <w:t xml:space="preserve"> regulatory period.</w:t>
      </w:r>
    </w:p>
    <w:p w:rsidR="00B2468C" w:rsidRPr="00E11B78" w:rsidRDefault="00B2468C" w:rsidP="00B2468C">
      <w:pPr>
        <w:pStyle w:val="AERtabletitle"/>
        <w:ind w:left="964" w:hanging="964"/>
      </w:pPr>
      <w:r w:rsidRPr="006914DC">
        <w:t xml:space="preserve">Victorian </w:t>
      </w:r>
      <w:r w:rsidRPr="00E11B78">
        <w:t>DNSP</w:t>
      </w:r>
      <w:r w:rsidR="006914DC">
        <w:t>s</w:t>
      </w:r>
      <w:r w:rsidRPr="00E11B78">
        <w:t xml:space="preserve"> DMIA expenditure claimed, approved and remaining </w:t>
      </w:r>
      <w:r>
        <w:br/>
      </w:r>
      <w:r w:rsidRPr="00E11B78">
        <w:t xml:space="preserve">($ </w:t>
      </w:r>
      <w:r w:rsidR="006914DC">
        <w:t>June 2012</w:t>
      </w:r>
      <w:r w:rsidRPr="00E11B78">
        <w:t>)</w:t>
      </w:r>
    </w:p>
    <w:tbl>
      <w:tblPr>
        <w:tblW w:w="8626" w:type="dxa"/>
        <w:tblBorders>
          <w:top w:val="single" w:sz="8" w:space="0" w:color="F79646"/>
          <w:left w:val="single" w:sz="8" w:space="0" w:color="F79646"/>
          <w:bottom w:val="single" w:sz="8" w:space="0" w:color="F79646"/>
          <w:right w:val="single" w:sz="8" w:space="0" w:color="F79646"/>
        </w:tblBorders>
        <w:tblLayout w:type="fixed"/>
        <w:tblLook w:val="0040" w:firstRow="0" w:lastRow="1" w:firstColumn="0" w:lastColumn="0" w:noHBand="0" w:noVBand="0"/>
      </w:tblPr>
      <w:tblGrid>
        <w:gridCol w:w="1657"/>
        <w:gridCol w:w="1393"/>
        <w:gridCol w:w="1394"/>
        <w:gridCol w:w="1394"/>
        <w:gridCol w:w="1394"/>
        <w:gridCol w:w="1394"/>
      </w:tblGrid>
      <w:tr w:rsidR="00FD7EAC" w:rsidRPr="00E11B78" w:rsidTr="00FD7EAC">
        <w:tc>
          <w:tcPr>
            <w:tcW w:w="1657" w:type="dxa"/>
            <w:tcBorders>
              <w:top w:val="single" w:sz="8" w:space="0" w:color="F79646"/>
              <w:left w:val="single" w:sz="8" w:space="0" w:color="F79646"/>
              <w:bottom w:val="single" w:sz="8" w:space="0" w:color="F79646"/>
              <w:right w:val="single" w:sz="8" w:space="0" w:color="F79646"/>
            </w:tcBorders>
            <w:shd w:val="clear" w:color="auto" w:fill="E36C0A"/>
          </w:tcPr>
          <w:p w:rsidR="00FD7EAC" w:rsidRPr="00E11B78" w:rsidRDefault="00FD7EAC" w:rsidP="00FD7EAC">
            <w:pPr>
              <w:pStyle w:val="AERtabletextheading"/>
            </w:pPr>
            <w:r w:rsidRPr="00E11B78">
              <w:t>DNSP</w:t>
            </w:r>
          </w:p>
        </w:tc>
        <w:tc>
          <w:tcPr>
            <w:tcW w:w="1393" w:type="dxa"/>
            <w:tcBorders>
              <w:top w:val="single" w:sz="8" w:space="0" w:color="F79646"/>
              <w:bottom w:val="single" w:sz="8" w:space="0" w:color="F79646"/>
            </w:tcBorders>
            <w:shd w:val="clear" w:color="auto" w:fill="E36C0A"/>
          </w:tcPr>
          <w:p w:rsidR="00FD7EAC" w:rsidRPr="00E11B78" w:rsidRDefault="00FD7EAC" w:rsidP="00FD7EAC">
            <w:pPr>
              <w:pStyle w:val="AERtabletextheading"/>
              <w:jc w:val="right"/>
            </w:pPr>
            <w:r>
              <w:t>DMIA claimed 20</w:t>
            </w:r>
            <w:r w:rsidRPr="00E11B78">
              <w:t>12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FD7EAC" w:rsidRPr="00E11B78" w:rsidRDefault="00FD7EAC" w:rsidP="00FD7EAC">
            <w:pPr>
              <w:pStyle w:val="AERtabletextheading"/>
              <w:jc w:val="right"/>
            </w:pPr>
            <w:r>
              <w:t>DMIA approved 201</w:t>
            </w:r>
            <w:r w:rsidRPr="00E11B78">
              <w:t>2</w:t>
            </w:r>
          </w:p>
        </w:tc>
        <w:tc>
          <w:tcPr>
            <w:tcW w:w="1394" w:type="dxa"/>
            <w:tcBorders>
              <w:top w:val="single" w:sz="8" w:space="0" w:color="F79646"/>
              <w:bottom w:val="single" w:sz="8" w:space="0" w:color="F79646"/>
            </w:tcBorders>
            <w:shd w:val="clear" w:color="auto" w:fill="E36C0A"/>
          </w:tcPr>
          <w:p w:rsidR="00FD7EAC" w:rsidRPr="00E11B78" w:rsidRDefault="00FD7EAC" w:rsidP="00FD7EAC">
            <w:pPr>
              <w:pStyle w:val="AERtabletextheading"/>
              <w:jc w:val="right"/>
            </w:pPr>
            <w:r w:rsidRPr="00E11B78">
              <w:t>DMIA appro</w:t>
            </w:r>
            <w:r>
              <w:t xml:space="preserve">ved </w:t>
            </w:r>
            <w:r>
              <w:br/>
              <w:t>to date</w:t>
            </w:r>
            <w:r>
              <w:br/>
              <w:t>(inclusive of 20</w:t>
            </w:r>
            <w:r w:rsidRPr="00E11B78">
              <w:t>12)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FD7EAC" w:rsidRPr="00E11B78" w:rsidRDefault="00FD7EAC" w:rsidP="00FD7EAC">
            <w:pPr>
              <w:pStyle w:val="AERtabletextheading"/>
              <w:jc w:val="right"/>
            </w:pPr>
            <w:r w:rsidRPr="00E11B78">
              <w:t>DMIA remaining for the period</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cPr>
          <w:p w:rsidR="00FD7EAC" w:rsidRPr="00E11B78" w:rsidRDefault="00FD7EAC" w:rsidP="00FD7EAC">
            <w:pPr>
              <w:pStyle w:val="AERtabletextheading"/>
              <w:jc w:val="right"/>
            </w:pPr>
            <w:r w:rsidRPr="00E11B78">
              <w:t>Proportion of approved DMIA spent (%)</w:t>
            </w:r>
          </w:p>
        </w:tc>
      </w:tr>
      <w:tr w:rsidR="00FD7EAC" w:rsidRPr="00E11B78" w:rsidTr="00FD7EAC">
        <w:tc>
          <w:tcPr>
            <w:tcW w:w="1657" w:type="dxa"/>
            <w:tcBorders>
              <w:left w:val="single" w:sz="8" w:space="0" w:color="F79646"/>
              <w:right w:val="single" w:sz="8" w:space="0" w:color="F79646"/>
            </w:tcBorders>
            <w:shd w:val="clear" w:color="auto" w:fill="FABF8F"/>
          </w:tcPr>
          <w:p w:rsidR="00FD7EAC" w:rsidRPr="00476264" w:rsidRDefault="00FD7EAC" w:rsidP="00FD7EAC">
            <w:pPr>
              <w:pStyle w:val="AERtabletext"/>
              <w:spacing w:line="240" w:lineRule="auto"/>
              <w:rPr>
                <w:highlight w:val="yellow"/>
              </w:rPr>
            </w:pPr>
            <w:r w:rsidRPr="00634E6C">
              <w:t>CitiPower</w:t>
            </w:r>
          </w:p>
        </w:tc>
        <w:tc>
          <w:tcPr>
            <w:tcW w:w="1393" w:type="dxa"/>
            <w:shd w:val="clear" w:color="auto" w:fill="FABF8F"/>
          </w:tcPr>
          <w:p w:rsidR="00FD7EAC" w:rsidRPr="00E11B78" w:rsidRDefault="00634E6C" w:rsidP="00FD7EAC">
            <w:pPr>
              <w:pStyle w:val="AERtabletext-numbers"/>
              <w:spacing w:line="240" w:lineRule="auto"/>
            </w:pPr>
            <w:r>
              <w:t>45 290</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45 290</w:t>
            </w:r>
          </w:p>
        </w:tc>
        <w:tc>
          <w:tcPr>
            <w:tcW w:w="1394" w:type="dxa"/>
            <w:shd w:val="clear" w:color="auto" w:fill="FABF8F"/>
          </w:tcPr>
          <w:p w:rsidR="00FD7EAC" w:rsidRPr="00E11B78" w:rsidRDefault="00634E6C" w:rsidP="00FD7EAC">
            <w:pPr>
              <w:pStyle w:val="AERtabletext-numbers"/>
              <w:spacing w:line="240" w:lineRule="auto"/>
            </w:pPr>
            <w:r>
              <w:t>121 129</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924 392</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11.5</w:t>
            </w:r>
          </w:p>
        </w:tc>
      </w:tr>
      <w:tr w:rsidR="00FD7EAC" w:rsidRPr="00E11B78" w:rsidTr="00FD7EAC">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FD7EAC" w:rsidRPr="00476264" w:rsidRDefault="00FD7EAC" w:rsidP="00FD7EAC">
            <w:pPr>
              <w:pStyle w:val="AERtabletext"/>
              <w:spacing w:line="240" w:lineRule="auto"/>
              <w:rPr>
                <w:highlight w:val="yellow"/>
              </w:rPr>
            </w:pPr>
            <w:r w:rsidRPr="00634E6C">
              <w:t>Jemena Electricity Networks</w:t>
            </w:r>
          </w:p>
        </w:tc>
        <w:tc>
          <w:tcPr>
            <w:tcW w:w="1393" w:type="dxa"/>
            <w:tcBorders>
              <w:top w:val="single" w:sz="8" w:space="0" w:color="F79646"/>
              <w:bottom w:val="single" w:sz="8" w:space="0" w:color="F79646"/>
            </w:tcBorders>
            <w:shd w:val="clear" w:color="auto" w:fill="auto"/>
          </w:tcPr>
          <w:p w:rsidR="00FD7EAC" w:rsidRPr="00E11B78" w:rsidRDefault="00634E6C" w:rsidP="00FD7EAC">
            <w:pPr>
              <w:pStyle w:val="AERtabletext-numbers"/>
              <w:spacing w:line="240" w:lineRule="auto"/>
            </w:pPr>
            <w:r>
              <w:t>223 925</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FD7EAC" w:rsidRPr="00E11B78" w:rsidRDefault="00634E6C" w:rsidP="00FD7EAC">
            <w:pPr>
              <w:pStyle w:val="AERtabletext-numbers"/>
              <w:spacing w:line="240" w:lineRule="auto"/>
            </w:pPr>
            <w:r>
              <w:t>223 925</w:t>
            </w:r>
          </w:p>
        </w:tc>
        <w:tc>
          <w:tcPr>
            <w:tcW w:w="1394" w:type="dxa"/>
            <w:tcBorders>
              <w:top w:val="single" w:sz="8" w:space="0" w:color="F79646"/>
              <w:bottom w:val="single" w:sz="8" w:space="0" w:color="F79646"/>
            </w:tcBorders>
            <w:shd w:val="clear" w:color="auto" w:fill="auto"/>
          </w:tcPr>
          <w:p w:rsidR="00FD7EAC" w:rsidRPr="00E11B78" w:rsidRDefault="00634E6C" w:rsidP="00FD7EAC">
            <w:pPr>
              <w:pStyle w:val="AERtabletext-numbers"/>
              <w:spacing w:line="240" w:lineRule="auto"/>
            </w:pPr>
            <w:r>
              <w:t>704 240</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FD7EAC" w:rsidRPr="00E11B78" w:rsidRDefault="00634E6C" w:rsidP="00FD7EAC">
            <w:pPr>
              <w:pStyle w:val="AERtabletext-numbers"/>
              <w:spacing w:line="240" w:lineRule="auto"/>
            </w:pPr>
            <w:r>
              <w:t>341 281</w:t>
            </w:r>
          </w:p>
        </w:tc>
        <w:tc>
          <w:tcPr>
            <w:tcW w:w="1394" w:type="dxa"/>
            <w:tcBorders>
              <w:top w:val="single" w:sz="8" w:space="0" w:color="F79646"/>
              <w:left w:val="single" w:sz="8" w:space="0" w:color="F79646"/>
              <w:bottom w:val="single" w:sz="8" w:space="0" w:color="F79646"/>
              <w:right w:val="single" w:sz="8" w:space="0" w:color="F79646"/>
            </w:tcBorders>
          </w:tcPr>
          <w:p w:rsidR="00FD7EAC" w:rsidRPr="00E11B78" w:rsidRDefault="00634E6C" w:rsidP="00FD7EAC">
            <w:pPr>
              <w:pStyle w:val="AERtabletext-numbers"/>
              <w:spacing w:line="240" w:lineRule="auto"/>
            </w:pPr>
            <w:r>
              <w:t>67.3</w:t>
            </w:r>
          </w:p>
        </w:tc>
      </w:tr>
      <w:tr w:rsidR="00FD7EAC" w:rsidRPr="00E11B78" w:rsidTr="00FD7EAC">
        <w:tc>
          <w:tcPr>
            <w:tcW w:w="1657" w:type="dxa"/>
            <w:tcBorders>
              <w:left w:val="single" w:sz="8" w:space="0" w:color="F79646"/>
              <w:right w:val="single" w:sz="8" w:space="0" w:color="F79646"/>
            </w:tcBorders>
            <w:shd w:val="clear" w:color="auto" w:fill="FABF8F"/>
          </w:tcPr>
          <w:p w:rsidR="00FD7EAC" w:rsidRPr="00476264" w:rsidRDefault="007824B8" w:rsidP="00FD7EAC">
            <w:pPr>
              <w:pStyle w:val="AERtabletext"/>
              <w:spacing w:line="240" w:lineRule="auto"/>
              <w:rPr>
                <w:highlight w:val="yellow"/>
              </w:rPr>
            </w:pPr>
            <w:r>
              <w:t>Powercor</w:t>
            </w:r>
          </w:p>
        </w:tc>
        <w:tc>
          <w:tcPr>
            <w:tcW w:w="1393" w:type="dxa"/>
            <w:shd w:val="clear" w:color="auto" w:fill="FABF8F"/>
          </w:tcPr>
          <w:p w:rsidR="00FD7EAC" w:rsidRPr="00E11B78" w:rsidRDefault="00634E6C" w:rsidP="00FD7EAC">
            <w:pPr>
              <w:pStyle w:val="AERtabletext-numbers"/>
              <w:spacing w:line="240" w:lineRule="auto"/>
            </w:pPr>
            <w:r>
              <w:t>19 180</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19 180</w:t>
            </w:r>
          </w:p>
        </w:tc>
        <w:tc>
          <w:tcPr>
            <w:tcW w:w="1394" w:type="dxa"/>
            <w:shd w:val="clear" w:color="auto" w:fill="FABF8F"/>
          </w:tcPr>
          <w:p w:rsidR="00FD7EAC" w:rsidRPr="00E11B78" w:rsidRDefault="00634E6C" w:rsidP="00FD7EAC">
            <w:pPr>
              <w:pStyle w:val="AERtabletext-numbers"/>
              <w:spacing w:line="240" w:lineRule="auto"/>
            </w:pPr>
            <w:r>
              <w:t>19 180</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3 117 384</w:t>
            </w:r>
          </w:p>
        </w:tc>
        <w:tc>
          <w:tcPr>
            <w:tcW w:w="1394" w:type="dxa"/>
            <w:tcBorders>
              <w:left w:val="single" w:sz="8" w:space="0" w:color="F79646"/>
              <w:right w:val="single" w:sz="8" w:space="0" w:color="F79646"/>
            </w:tcBorders>
            <w:shd w:val="clear" w:color="auto" w:fill="FABF8F"/>
          </w:tcPr>
          <w:p w:rsidR="00FD7EAC" w:rsidRPr="00E11B78" w:rsidRDefault="00634E6C" w:rsidP="00FD7EAC">
            <w:pPr>
              <w:pStyle w:val="AERtabletext-numbers"/>
              <w:spacing w:line="240" w:lineRule="auto"/>
            </w:pPr>
            <w:r>
              <w:t>0.6</w:t>
            </w:r>
          </w:p>
        </w:tc>
      </w:tr>
      <w:tr w:rsidR="00FD7EAC" w:rsidRPr="00E11B78" w:rsidTr="00FD7EAC">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FD7EAC" w:rsidRPr="00476264" w:rsidRDefault="00FC7EC0" w:rsidP="00FD7EAC">
            <w:pPr>
              <w:pStyle w:val="AERtabletext"/>
              <w:spacing w:line="240" w:lineRule="auto"/>
              <w:rPr>
                <w:highlight w:val="yellow"/>
              </w:rPr>
            </w:pPr>
            <w:r w:rsidRPr="00634E6C">
              <w:t>SP AusN</w:t>
            </w:r>
            <w:r w:rsidR="00FD7EAC" w:rsidRPr="00634E6C">
              <w:t>et</w:t>
            </w:r>
          </w:p>
        </w:tc>
        <w:tc>
          <w:tcPr>
            <w:tcW w:w="1393" w:type="dxa"/>
            <w:tcBorders>
              <w:top w:val="single" w:sz="8" w:space="0" w:color="F79646"/>
              <w:bottom w:val="single" w:sz="8" w:space="0" w:color="F79646"/>
            </w:tcBorders>
            <w:shd w:val="clear" w:color="auto" w:fill="auto"/>
          </w:tcPr>
          <w:p w:rsidR="00FD7EAC" w:rsidRPr="00E11B78" w:rsidRDefault="00634E6C" w:rsidP="00FD7EAC">
            <w:pPr>
              <w:pStyle w:val="AERtabletext-numbers"/>
              <w:spacing w:line="240" w:lineRule="auto"/>
            </w:pPr>
            <w:r>
              <w:t>188 760</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FD7EAC" w:rsidRPr="00E11B78" w:rsidRDefault="00634E6C" w:rsidP="00FD7EAC">
            <w:pPr>
              <w:pStyle w:val="AERtabletext-numbers"/>
              <w:spacing w:line="240" w:lineRule="auto"/>
            </w:pPr>
            <w:r>
              <w:t>188 760</w:t>
            </w:r>
          </w:p>
        </w:tc>
        <w:tc>
          <w:tcPr>
            <w:tcW w:w="1394" w:type="dxa"/>
            <w:tcBorders>
              <w:top w:val="single" w:sz="8" w:space="0" w:color="F79646"/>
              <w:bottom w:val="single" w:sz="8" w:space="0" w:color="F79646"/>
            </w:tcBorders>
            <w:shd w:val="clear" w:color="auto" w:fill="auto"/>
          </w:tcPr>
          <w:p w:rsidR="00FD7EAC" w:rsidRPr="00E11B78" w:rsidRDefault="00634E6C" w:rsidP="00FD7EAC">
            <w:pPr>
              <w:pStyle w:val="AERtabletext-numbers"/>
              <w:spacing w:line="240" w:lineRule="auto"/>
            </w:pPr>
            <w:r>
              <w:t>199 771</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FD7EAC" w:rsidRPr="00E11B78" w:rsidRDefault="00634E6C" w:rsidP="00FD7EAC">
            <w:pPr>
              <w:pStyle w:val="AERtabletext-numbers"/>
              <w:spacing w:line="240" w:lineRule="auto"/>
            </w:pPr>
            <w:r>
              <w:t>2 936 793</w:t>
            </w:r>
          </w:p>
        </w:tc>
        <w:tc>
          <w:tcPr>
            <w:tcW w:w="1394" w:type="dxa"/>
            <w:tcBorders>
              <w:top w:val="single" w:sz="8" w:space="0" w:color="F79646"/>
              <w:left w:val="single" w:sz="8" w:space="0" w:color="F79646"/>
              <w:bottom w:val="single" w:sz="8" w:space="0" w:color="F79646"/>
              <w:right w:val="single" w:sz="8" w:space="0" w:color="F79646"/>
            </w:tcBorders>
          </w:tcPr>
          <w:p w:rsidR="00FD7EAC" w:rsidRPr="00E11B78" w:rsidRDefault="00634E6C" w:rsidP="00FD7EAC">
            <w:pPr>
              <w:pStyle w:val="AERtabletext-numbers"/>
              <w:spacing w:line="240" w:lineRule="auto"/>
            </w:pPr>
            <w:r>
              <w:t>6.3</w:t>
            </w:r>
          </w:p>
        </w:tc>
      </w:tr>
      <w:tr w:rsidR="00FD7EAC" w:rsidRPr="00E11B78" w:rsidTr="00FD7EAC">
        <w:tc>
          <w:tcPr>
            <w:tcW w:w="1657" w:type="dxa"/>
            <w:tcBorders>
              <w:left w:val="single" w:sz="8" w:space="0" w:color="F79646"/>
              <w:right w:val="single" w:sz="8" w:space="0" w:color="F79646"/>
            </w:tcBorders>
            <w:shd w:val="clear" w:color="auto" w:fill="FABF8F"/>
          </w:tcPr>
          <w:p w:rsidR="00FD7EAC" w:rsidRPr="00476264" w:rsidRDefault="00FD7EAC" w:rsidP="00FD7EAC">
            <w:pPr>
              <w:pStyle w:val="AERtabletext"/>
              <w:spacing w:line="240" w:lineRule="auto"/>
              <w:rPr>
                <w:highlight w:val="yellow"/>
              </w:rPr>
            </w:pPr>
            <w:r w:rsidRPr="00D4745A">
              <w:t>United Energy</w:t>
            </w:r>
          </w:p>
        </w:tc>
        <w:tc>
          <w:tcPr>
            <w:tcW w:w="1393" w:type="dxa"/>
            <w:shd w:val="clear" w:color="auto" w:fill="FABF8F"/>
          </w:tcPr>
          <w:p w:rsidR="00FD7EAC" w:rsidRPr="00E11B78" w:rsidRDefault="00D4745A" w:rsidP="00FD7EAC">
            <w:pPr>
              <w:pStyle w:val="AERtabletext-numbers"/>
              <w:spacing w:line="240" w:lineRule="auto"/>
            </w:pPr>
            <w:r>
              <w:t>87 360</w:t>
            </w:r>
          </w:p>
        </w:tc>
        <w:tc>
          <w:tcPr>
            <w:tcW w:w="1394" w:type="dxa"/>
            <w:tcBorders>
              <w:left w:val="single" w:sz="8" w:space="0" w:color="F79646"/>
              <w:right w:val="single" w:sz="8" w:space="0" w:color="F79646"/>
            </w:tcBorders>
            <w:shd w:val="clear" w:color="auto" w:fill="FABF8F"/>
          </w:tcPr>
          <w:p w:rsidR="00FD7EAC" w:rsidRPr="00E11B78" w:rsidRDefault="00D4745A" w:rsidP="00FD7EAC">
            <w:pPr>
              <w:pStyle w:val="AERtabletext-numbers"/>
              <w:spacing w:line="240" w:lineRule="auto"/>
            </w:pPr>
            <w:r>
              <w:t>87 360</w:t>
            </w:r>
          </w:p>
        </w:tc>
        <w:tc>
          <w:tcPr>
            <w:tcW w:w="1394" w:type="dxa"/>
            <w:shd w:val="clear" w:color="auto" w:fill="FABF8F"/>
          </w:tcPr>
          <w:p w:rsidR="00FD7EAC" w:rsidRPr="00E11B78" w:rsidRDefault="00D4745A" w:rsidP="00FD7EAC">
            <w:pPr>
              <w:pStyle w:val="AERtabletext-numbers"/>
              <w:spacing w:line="240" w:lineRule="auto"/>
            </w:pPr>
            <w:r>
              <w:t>87 360</w:t>
            </w:r>
          </w:p>
        </w:tc>
        <w:tc>
          <w:tcPr>
            <w:tcW w:w="1394" w:type="dxa"/>
            <w:tcBorders>
              <w:left w:val="single" w:sz="8" w:space="0" w:color="F79646"/>
              <w:right w:val="single" w:sz="8" w:space="0" w:color="F79646"/>
            </w:tcBorders>
            <w:shd w:val="clear" w:color="auto" w:fill="FABF8F"/>
          </w:tcPr>
          <w:p w:rsidR="00FD7EAC" w:rsidRPr="00E11B78" w:rsidRDefault="00D4745A" w:rsidP="00FD7EAC">
            <w:pPr>
              <w:pStyle w:val="AERtabletext-numbers"/>
              <w:spacing w:line="240" w:lineRule="auto"/>
            </w:pPr>
            <w:r>
              <w:t>2 003 683</w:t>
            </w:r>
          </w:p>
        </w:tc>
        <w:tc>
          <w:tcPr>
            <w:tcW w:w="1394" w:type="dxa"/>
            <w:tcBorders>
              <w:left w:val="single" w:sz="8" w:space="0" w:color="F79646"/>
              <w:right w:val="single" w:sz="8" w:space="0" w:color="F79646"/>
            </w:tcBorders>
            <w:shd w:val="clear" w:color="auto" w:fill="FABF8F"/>
          </w:tcPr>
          <w:p w:rsidR="00FD7EAC" w:rsidRPr="00E11B78" w:rsidRDefault="00D4745A" w:rsidP="00FD7EAC">
            <w:pPr>
              <w:pStyle w:val="AERtabletext-numbers"/>
              <w:spacing w:line="240" w:lineRule="auto"/>
            </w:pPr>
            <w:r>
              <w:t>4.1</w:t>
            </w:r>
          </w:p>
        </w:tc>
      </w:tr>
      <w:tr w:rsidR="00FD7EAC" w:rsidRPr="0064455D" w:rsidTr="00FD7EAC">
        <w:tc>
          <w:tcPr>
            <w:tcW w:w="1657" w:type="dxa"/>
            <w:tcBorders>
              <w:top w:val="double" w:sz="6" w:space="0" w:color="F79646"/>
              <w:left w:val="single" w:sz="8" w:space="0" w:color="F79646"/>
              <w:bottom w:val="single" w:sz="8" w:space="0" w:color="F79646"/>
              <w:right w:val="single" w:sz="8" w:space="0" w:color="F79646"/>
            </w:tcBorders>
            <w:shd w:val="clear" w:color="auto" w:fill="auto"/>
          </w:tcPr>
          <w:p w:rsidR="00FD7EAC" w:rsidRPr="00B76AE9" w:rsidRDefault="00FD7EAC" w:rsidP="00FD7EAC">
            <w:pPr>
              <w:pStyle w:val="AERtabletext"/>
              <w:spacing w:line="240" w:lineRule="auto"/>
              <w:rPr>
                <w:b/>
                <w:bCs/>
              </w:rPr>
            </w:pPr>
            <w:r w:rsidRPr="00B76AE9">
              <w:rPr>
                <w:b/>
                <w:bCs/>
              </w:rPr>
              <w:t>TOTAL</w:t>
            </w:r>
          </w:p>
        </w:tc>
        <w:tc>
          <w:tcPr>
            <w:tcW w:w="1393" w:type="dxa"/>
            <w:tcBorders>
              <w:top w:val="double" w:sz="6" w:space="0" w:color="F79646"/>
              <w:bottom w:val="single" w:sz="8" w:space="0" w:color="F79646"/>
            </w:tcBorders>
            <w:shd w:val="clear" w:color="auto" w:fill="auto"/>
          </w:tcPr>
          <w:p w:rsidR="00FD7EAC" w:rsidRPr="007824B8" w:rsidRDefault="00D4745A" w:rsidP="00FD7EAC">
            <w:pPr>
              <w:pStyle w:val="AERtabletext-numbers"/>
              <w:spacing w:line="240" w:lineRule="auto"/>
              <w:rPr>
                <w:b/>
                <w:bCs/>
              </w:rPr>
            </w:pPr>
            <w:r w:rsidRPr="007824B8">
              <w:rPr>
                <w:b/>
                <w:bCs/>
              </w:rPr>
              <w:t>564 515</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FD7EAC" w:rsidRPr="00283505" w:rsidRDefault="00D4745A" w:rsidP="00FD7EAC">
            <w:pPr>
              <w:pStyle w:val="AERtabletext-numbers"/>
              <w:spacing w:line="240" w:lineRule="auto"/>
              <w:rPr>
                <w:b/>
                <w:bCs/>
              </w:rPr>
            </w:pPr>
            <w:r w:rsidRPr="00283505">
              <w:rPr>
                <w:b/>
                <w:bCs/>
              </w:rPr>
              <w:t>564 515</w:t>
            </w:r>
          </w:p>
        </w:tc>
        <w:tc>
          <w:tcPr>
            <w:tcW w:w="1394" w:type="dxa"/>
            <w:tcBorders>
              <w:top w:val="double" w:sz="6" w:space="0" w:color="F79646"/>
              <w:bottom w:val="single" w:sz="8" w:space="0" w:color="F79646"/>
            </w:tcBorders>
            <w:shd w:val="clear" w:color="auto" w:fill="auto"/>
          </w:tcPr>
          <w:p w:rsidR="00FD7EAC" w:rsidRPr="00283505" w:rsidRDefault="00D4745A" w:rsidP="00FD7EAC">
            <w:pPr>
              <w:pStyle w:val="AERtabletext-numbers"/>
              <w:spacing w:line="240" w:lineRule="auto"/>
              <w:rPr>
                <w:b/>
                <w:bCs/>
              </w:rPr>
            </w:pPr>
            <w:r w:rsidRPr="00283505">
              <w:rPr>
                <w:b/>
                <w:bCs/>
              </w:rPr>
              <w:t>1 131 680</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FD7EAC" w:rsidRPr="00283505" w:rsidRDefault="00D4745A" w:rsidP="00FD7EAC">
            <w:pPr>
              <w:pStyle w:val="AERtabletext-numbers"/>
              <w:spacing w:line="240" w:lineRule="auto"/>
              <w:rPr>
                <w:b/>
                <w:bCs/>
              </w:rPr>
            </w:pPr>
            <w:r w:rsidRPr="00283505">
              <w:rPr>
                <w:b/>
                <w:bCs/>
              </w:rPr>
              <w:t>9 323 533</w:t>
            </w:r>
          </w:p>
        </w:tc>
        <w:tc>
          <w:tcPr>
            <w:tcW w:w="1394" w:type="dxa"/>
            <w:tcBorders>
              <w:top w:val="double" w:sz="6" w:space="0" w:color="F79646"/>
              <w:left w:val="single" w:sz="8" w:space="0" w:color="F79646"/>
              <w:bottom w:val="single" w:sz="8" w:space="0" w:color="F79646"/>
              <w:right w:val="single" w:sz="8" w:space="0" w:color="F79646"/>
            </w:tcBorders>
          </w:tcPr>
          <w:p w:rsidR="00FD7EAC" w:rsidRPr="00DE72EB" w:rsidRDefault="007824B8" w:rsidP="00FD7EAC">
            <w:pPr>
              <w:pStyle w:val="AERtabletext-numbers"/>
              <w:spacing w:line="240" w:lineRule="auto"/>
              <w:rPr>
                <w:b/>
                <w:bCs/>
              </w:rPr>
            </w:pPr>
            <w:r w:rsidRPr="007824B8">
              <w:rPr>
                <w:b/>
                <w:bCs/>
              </w:rPr>
              <w:t>10.8</w:t>
            </w:r>
          </w:p>
        </w:tc>
      </w:tr>
    </w:tbl>
    <w:p w:rsidR="00155829" w:rsidRPr="00CD2B41" w:rsidRDefault="00155829" w:rsidP="00155829">
      <w:pPr>
        <w:pStyle w:val="AERheading2"/>
        <w:numPr>
          <w:ilvl w:val="1"/>
          <w:numId w:val="8"/>
        </w:numPr>
      </w:pPr>
      <w:bookmarkStart w:id="6" w:name="_Toc361034299"/>
      <w:r w:rsidRPr="00CD2B41">
        <w:t>ActewAGL</w:t>
      </w:r>
      <w:bookmarkEnd w:id="6"/>
    </w:p>
    <w:p w:rsidR="00155829" w:rsidRPr="00CD2B41" w:rsidRDefault="00155829" w:rsidP="00155829">
      <w:pPr>
        <w:pStyle w:val="AERbodytext"/>
      </w:pPr>
      <w:r w:rsidRPr="00CD2B41">
        <w:t xml:space="preserve">ActewAGL’s Power Factor Correction (PFC) project is a continuation of the project commenced in 2009–10. In 2011–12 ActewAGL spent $39 349 on this project. As part of an agreement between ActewAGL and TransGrid, ActewAGL intends to claim half of the </w:t>
      </w:r>
      <w:r w:rsidRPr="00CD2B41">
        <w:br/>
        <w:t xml:space="preserve">2011–12 project costs from TransGrid. As such, ActewAGL has claimed DMIA expenditure of $19 675 for continued development work on the PFC project. The project aims to reduce demand for standard control services for large commercial customers who record 15 minute interval consumption data across its network. ActewAGL anticipates this project will be completed in May 2014. Details about this project can be found in ActewAGL's DMIS report. </w:t>
      </w:r>
      <w:r w:rsidR="009C5FC7">
        <w:t>We</w:t>
      </w:r>
      <w:r w:rsidRPr="00CD2B41">
        <w:t xml:space="preserve"> approved ActewAGL's claimed DMIA expenditure in 2011–12 because it meets the DMIA criteria as set out in table A.1.</w:t>
      </w:r>
    </w:p>
    <w:p w:rsidR="00155829" w:rsidRPr="00CD2B41" w:rsidRDefault="00155829" w:rsidP="00155829">
      <w:pPr>
        <w:pStyle w:val="AERheading2"/>
      </w:pPr>
      <w:bookmarkStart w:id="7" w:name="_Toc361034300"/>
      <w:r w:rsidRPr="00CD2B41">
        <w:t>Ausgrid</w:t>
      </w:r>
      <w:bookmarkEnd w:id="7"/>
    </w:p>
    <w:p w:rsidR="00155829" w:rsidRPr="00E47A9C" w:rsidRDefault="00155829" w:rsidP="00155829">
      <w:pPr>
        <w:pStyle w:val="AERbodytext"/>
      </w:pPr>
      <w:r w:rsidRPr="00E47A9C">
        <w:t xml:space="preserve">Ausgrid claimed DMIA expenditure of $661 335 for six projects. Of the six projects, four are new projects and two are ongoing projects (for which expenditures were approved in </w:t>
      </w:r>
      <w:r w:rsidRPr="00E47A9C">
        <w:br/>
        <w:t>2010–11).</w:t>
      </w:r>
    </w:p>
    <w:p w:rsidR="00155829" w:rsidRPr="00E47A9C" w:rsidRDefault="00155829" w:rsidP="00155829">
      <w:pPr>
        <w:pStyle w:val="AERbodytext"/>
      </w:pPr>
      <w:r w:rsidRPr="00E47A9C">
        <w:t xml:space="preserve">Ausgrid’s Reliability Improvements for Large Embedded Generators (RILEG) project is a continuing project from 2010–11. Ausgrid stated that its RILEG project involves the provision of network support from embedded generators. The objective of the project is to achieve satisfactory reliability which will be demonstrated if the generation delivers more than 14 MVA </w:t>
      </w:r>
      <w:r w:rsidRPr="00E47A9C">
        <w:lastRenderedPageBreak/>
        <w:t xml:space="preserve">during all critical (or potentially critical) peak demand periods. Ausgrid claimed $434 863 in 2011–12 for its RILEG project. </w:t>
      </w:r>
    </w:p>
    <w:p w:rsidR="00155829" w:rsidRPr="00E47A9C" w:rsidRDefault="00155829" w:rsidP="00155829">
      <w:pPr>
        <w:pStyle w:val="AERbodytext"/>
      </w:pPr>
      <w:r w:rsidRPr="00E47A9C">
        <w:t>Ausgrid’s Dynamic Load Control (DLC) of Small Hot Water Systems project is a continuing project from 2010–11. The DLC project trials dynamic load control of small and medium sized hot water systems to turn off hot water systems for typically three to five hours which actively manage network demand. Ausgrid spent $118 102 in 2011–12 on project costs. However, Ausgrid is only seeking to claim $91 102 as it billed TransGrid for $27 000. Ausgrid intends this project will be completed in 2012–13.</w:t>
      </w:r>
    </w:p>
    <w:p w:rsidR="00155829" w:rsidRPr="002D4B2D" w:rsidRDefault="00155829" w:rsidP="00155829">
      <w:pPr>
        <w:pStyle w:val="AERbodytext"/>
      </w:pPr>
      <w:r w:rsidRPr="00E47A9C">
        <w:t xml:space="preserve">Ausgrid claimed DMIA expenditure of $39 251 in 2011–12 for its CBD Embedded Generator Connection Trial. The trial aims to develop technical solutions to the key connection issues, of equipment fault level limitations and feeder imbalance for high voltage (11kV) connections to </w:t>
      </w:r>
      <w:r w:rsidRPr="002D4B2D">
        <w:t>Ausgrid’s triplex distribution network.</w:t>
      </w:r>
    </w:p>
    <w:p w:rsidR="00155829" w:rsidRPr="00D02E62" w:rsidRDefault="00155829" w:rsidP="00155829">
      <w:pPr>
        <w:pStyle w:val="AERbodytext"/>
      </w:pPr>
      <w:r w:rsidRPr="002D4B2D">
        <w:t xml:space="preserve">Ausgrid’s Subsidised Off-peak Hot Water Connections program aims to encourage customers to connect large electric hot water systems to off peak electricity. The program includes developing and demonstrating market approaches to achieve high take up rates. In 2011–12, total project costs totalled $91 007, of which Ausgrid claimed $79 007. The remaining $12 000 </w:t>
      </w:r>
      <w:r w:rsidRPr="00D02E62">
        <w:t xml:space="preserve">has been billed to TransGrid.  </w:t>
      </w:r>
    </w:p>
    <w:p w:rsidR="00155829" w:rsidRPr="00D02E62" w:rsidRDefault="00155829" w:rsidP="00155829">
      <w:pPr>
        <w:pStyle w:val="AERbodytext"/>
      </w:pPr>
      <w:r w:rsidRPr="00D02E62">
        <w:t>Ausgrid claimed $863 in DMIA expenditure for its Market Research for residential air conditioner and pool pumps options. Ausgrid intends to gain an understanding of the take up rates for these products and the extent these rates can change for a range of customer incentives. Ausgrid also intends to gain an understanding of the number of households that might participate in a program and the associated costs. Ausgrid expects this program to be completed in 2012–13 with the majority of DMIA expenditure falling in that regulatory year.</w:t>
      </w:r>
    </w:p>
    <w:p w:rsidR="00155829" w:rsidRPr="00D02E62" w:rsidRDefault="00155829" w:rsidP="00155829">
      <w:pPr>
        <w:pStyle w:val="AERbodytext"/>
      </w:pPr>
      <w:r w:rsidRPr="00D02E62">
        <w:t>Ausgrid’s Dynamic Peak Rebate (DPR) for medium to large non-residential customer’s trial provides an incentive for customers to reduce demand when network assets are operating at capacity. Ausgrid anticipates this peak period will be approximately 10–20 days annually. Ausgrid is seeking to determine a methodology to estimate expected customer electricity demand and rebate levels from the customer response. Ausgrid has claimed $16 248 for the DPR trial.</w:t>
      </w:r>
    </w:p>
    <w:p w:rsidR="00155829" w:rsidRPr="00D02E62" w:rsidRDefault="00155829" w:rsidP="00155829">
      <w:pPr>
        <w:pStyle w:val="AERbodytext"/>
      </w:pPr>
      <w:r w:rsidRPr="00D02E62">
        <w:t xml:space="preserve">Further details about these projects can be found in Ausgrid's DMIS report. </w:t>
      </w:r>
      <w:r w:rsidR="00652870">
        <w:t>We have</w:t>
      </w:r>
      <w:r w:rsidRPr="00D02E62">
        <w:t xml:space="preserve"> approved Ausgrid's claimed DMIA expenditure in 2011–12 because it meets the DMIA criteria as set out in tables A.2–A.7.</w:t>
      </w:r>
    </w:p>
    <w:p w:rsidR="00AE2744" w:rsidRPr="00F63FAE" w:rsidRDefault="00AE2744" w:rsidP="00AE2744">
      <w:pPr>
        <w:pStyle w:val="AERheading2"/>
      </w:pPr>
      <w:bookmarkStart w:id="8" w:name="_Toc361034301"/>
      <w:r w:rsidRPr="00F63FAE">
        <w:t>CitiPower</w:t>
      </w:r>
      <w:bookmarkEnd w:id="8"/>
    </w:p>
    <w:p w:rsidR="00AE2744" w:rsidRDefault="00AE2744" w:rsidP="00AE2744">
      <w:pPr>
        <w:pStyle w:val="AERbodytext"/>
      </w:pPr>
      <w:r>
        <w:t xml:space="preserve">CitiPower claimed DMIA expenditure of $45 290 for its Inner Urban Demand Management (IUDM) program, a continuation on </w:t>
      </w:r>
      <w:r w:rsidR="00F14339">
        <w:t>the</w:t>
      </w:r>
      <w:r>
        <w:t xml:space="preserve"> program from 2011. The IUDM program intends to address maximum demand on very hot days. The program involved trialling large commercial and industrial customer demand management programs in the area served by Richmond Terminal Station in order to reduce maximum demand during the </w:t>
      </w:r>
      <w:r w:rsidR="00007589">
        <w:t>summer</w:t>
      </w:r>
      <w:r>
        <w:t xml:space="preserve"> period, through shifting and curtailing demand. CitiPower established the trial to target a maximum of 4MW of maximum demand if a sufficient number of customers were willing to participate.</w:t>
      </w:r>
    </w:p>
    <w:p w:rsidR="00AE2744" w:rsidRDefault="00AE2744" w:rsidP="002557CA">
      <w:pPr>
        <w:pStyle w:val="AERbodytext"/>
      </w:pPr>
      <w:r>
        <w:lastRenderedPageBreak/>
        <w:t xml:space="preserve">CitiPower sought to achieve this by testing customers’ level of interest in the program and trialling their ability to respond using pre-arranged agreements and a communication protocol. Each participating customer is paid a fixed fee for participation and a fee for each demand management response. CitiPower </w:t>
      </w:r>
      <w:r w:rsidR="00083421">
        <w:t>advise</w:t>
      </w:r>
      <w:r w:rsidR="002557CA">
        <w:t>d</w:t>
      </w:r>
      <w:r>
        <w:t xml:space="preserve"> that a combination of generation agreements and demand management agreements </w:t>
      </w:r>
      <w:r w:rsidR="0024617D">
        <w:t>from the</w:t>
      </w:r>
      <w:r w:rsidR="0024617D" w:rsidRPr="0024617D">
        <w:t xml:space="preserve"> </w:t>
      </w:r>
      <w:r w:rsidR="0024617D">
        <w:t xml:space="preserve">IUDM program </w:t>
      </w:r>
      <w:r>
        <w:t>resulted in potential 8.3MW of curtailment in the summer period of 2011</w:t>
      </w:r>
      <w:r w:rsidR="00E967B1">
        <w:t>-</w:t>
      </w:r>
      <w:r>
        <w:t>12. CitiPower expects the IUDM program to conclude in 2014.</w:t>
      </w:r>
    </w:p>
    <w:p w:rsidR="00AE2744" w:rsidRPr="000F1082" w:rsidRDefault="00AE2744" w:rsidP="00AE2744">
      <w:pPr>
        <w:pStyle w:val="AERbodytext"/>
      </w:pPr>
      <w:r>
        <w:t xml:space="preserve">Details about this </w:t>
      </w:r>
      <w:r w:rsidR="00DC7DAC">
        <w:t xml:space="preserve">program </w:t>
      </w:r>
      <w:r>
        <w:t xml:space="preserve">can be found in CitiPower’s DMIA report. </w:t>
      </w:r>
      <w:r w:rsidR="00652870">
        <w:t>We</w:t>
      </w:r>
      <w:r>
        <w:t xml:space="preserve"> approved CitiPower’s claimed DMIA expenditure in 2012 because it meets the criteria as s</w:t>
      </w:r>
      <w:r w:rsidR="00083421">
        <w:t>et out in table</w:t>
      </w:r>
      <w:r w:rsidR="00F14339">
        <w:t> </w:t>
      </w:r>
      <w:r w:rsidR="00083421">
        <w:t>B.</w:t>
      </w:r>
      <w:r w:rsidR="00F14339">
        <w:t>1</w:t>
      </w:r>
      <w:r>
        <w:t>.</w:t>
      </w:r>
    </w:p>
    <w:p w:rsidR="00155829" w:rsidRPr="00DB6996" w:rsidRDefault="00155829" w:rsidP="00155829">
      <w:pPr>
        <w:pStyle w:val="AERheading2"/>
      </w:pPr>
      <w:bookmarkStart w:id="9" w:name="_Toc361034302"/>
      <w:r w:rsidRPr="00DB6996">
        <w:t>Endeavour Energy</w:t>
      </w:r>
      <w:bookmarkEnd w:id="9"/>
      <w:r w:rsidRPr="00DB6996">
        <w:t xml:space="preserve"> </w:t>
      </w:r>
    </w:p>
    <w:p w:rsidR="00155829" w:rsidRPr="0035433B" w:rsidRDefault="00155829" w:rsidP="00155829">
      <w:pPr>
        <w:pStyle w:val="AERbodytext"/>
      </w:pPr>
      <w:r w:rsidRPr="0035433B">
        <w:t xml:space="preserve">Endeavour Energy claimed DMIA expenditure of $268 642 in 2011–12 for four demand management projects, two </w:t>
      </w:r>
      <w:r w:rsidR="0088172B">
        <w:t>which we</w:t>
      </w:r>
      <w:r w:rsidRPr="0035433B">
        <w:t xml:space="preserve"> approved in 2010–11 and two new projects which were developed and commenced in 2011–12. </w:t>
      </w:r>
    </w:p>
    <w:p w:rsidR="00155829" w:rsidRPr="003237F4" w:rsidRDefault="00155829" w:rsidP="00155829">
      <w:pPr>
        <w:pStyle w:val="AERbodytext"/>
      </w:pPr>
      <w:r w:rsidRPr="003237F4">
        <w:t xml:space="preserve">In August 2010, </w:t>
      </w:r>
      <w:r w:rsidR="0088172B">
        <w:t>we</w:t>
      </w:r>
      <w:r w:rsidRPr="003237F4">
        <w:t xml:space="preserve"> approved phase 1 of the Rooty Hill Residential Demand Management Program. Endeavour Energy commenced enlisting residential customers to the air conditioning cycling (Cool Saver) program and the peak time rebate (Peak Saver) program. The programs are based on providing financial reward to customers that reduce electricity consumption rather than penalising them for electricity consumed. They are paid for the quantity of electricity not consumed. Endeavour Energy claimed DMIA expenditure of $96 388 for its Rooty Hill Residential Demand Management Program in 2011</w:t>
      </w:r>
      <w:r w:rsidR="0024617D">
        <w:t>–</w:t>
      </w:r>
      <w:r w:rsidRPr="003237F4">
        <w:t>12. Expenditures sought for this project will provide for the purchase and installation of metering and communications equipment.</w:t>
      </w:r>
      <w:r w:rsidRPr="003237F4">
        <w:rPr>
          <w:rStyle w:val="FootnoteReference"/>
        </w:rPr>
        <w:footnoteReference w:id="2"/>
      </w:r>
    </w:p>
    <w:p w:rsidR="00155829" w:rsidRPr="008456D8" w:rsidRDefault="00155829" w:rsidP="00155829">
      <w:pPr>
        <w:pStyle w:val="AERbodytext"/>
      </w:pPr>
      <w:r w:rsidRPr="008456D8">
        <w:t xml:space="preserve">Endeavour Energy claimed DMIA expenditure of $48 000 for its Standby Power Reporting (PowerView) project in 2011–12. The PowerView project was developed to inform customers of their standby power usage via a web portal. The trial seeks to change customers behavioural and consumption patterns by enabling them to take action to reduce their standby power consumption. </w:t>
      </w:r>
    </w:p>
    <w:p w:rsidR="00155829" w:rsidRPr="008456D8" w:rsidRDefault="00155829" w:rsidP="00155829">
      <w:pPr>
        <w:pStyle w:val="AERbodytext"/>
      </w:pPr>
      <w:r w:rsidRPr="008456D8">
        <w:t>Endeavour Energy claimed DMIA expenditure of $51 749 for the first phase of its Glenmore Park Demand Response Trial. The trial will provide an insight into how smart meters can be used to reduce peak demand through time-based financial incentives, information from in</w:t>
      </w:r>
      <w:r w:rsidRPr="008456D8">
        <w:noBreakHyphen/>
        <w:t xml:space="preserve">home displays and control of air conditioners. This phase involves selecting technology and testing the usability and technical performance of in-home displays (IHDs) which will educate customers on their household electricity consumption (in real time) and their historical use. The trial aims to quantify the electricity use (and associated demand reduction) and compare it with the electricity use of non-trial participants. The second and third phases will involve Glenmore Park residents with existing smart meters and expanding the pilot area, respectively. </w:t>
      </w:r>
    </w:p>
    <w:p w:rsidR="00155829" w:rsidRPr="003C49D1" w:rsidRDefault="00155829" w:rsidP="00155829">
      <w:pPr>
        <w:pStyle w:val="AERbodytext"/>
        <w:rPr>
          <w:i/>
        </w:rPr>
      </w:pPr>
      <w:r w:rsidRPr="003C49D1">
        <w:t xml:space="preserve">Endeavour Energy’s Data Analysis and Reporting project is a new initiative. This project is designed to provide statistical and data analytical services to continue analysis and reporting of the Blacktown Solar City project, PeakSaver and CoolSaver Residential Demand Management Programs, as well as pilots and trials of current energy and efficiency demand </w:t>
      </w:r>
      <w:r w:rsidRPr="003C49D1">
        <w:lastRenderedPageBreak/>
        <w:t>management programs. Endeavour Energy considered the use of expert statistical analysts will reduce the margin of error in predicting the expected demand reductions of current and future projects. Endeavour Energy also undertook this project to determine if target numbers are statistically robust to project impacts of increases in the scale of trials. Endeavour Energy claimed $72 505 in DMIA expenditure for its Data Analysis and Reporting project.</w:t>
      </w:r>
    </w:p>
    <w:p w:rsidR="00155829" w:rsidRPr="003C49D1" w:rsidRDefault="00652870" w:rsidP="00155829">
      <w:pPr>
        <w:pStyle w:val="AERbodytext"/>
      </w:pPr>
      <w:r>
        <w:t>We have</w:t>
      </w:r>
      <w:r w:rsidR="00155829" w:rsidRPr="003C49D1">
        <w:t xml:space="preserve"> approved Endeavour Energy's claimed DMIA expenditure for 2011–12 because it meets the DMIA criteria as set out in tables A.8–A.11. Further details about these projects can be found in Endeavour Energy's DMIS report.</w:t>
      </w:r>
    </w:p>
    <w:p w:rsidR="00155829" w:rsidRPr="00531E29" w:rsidRDefault="00155829" w:rsidP="00155829">
      <w:pPr>
        <w:pStyle w:val="AERheading2"/>
      </w:pPr>
      <w:bookmarkStart w:id="10" w:name="_Toc361034303"/>
      <w:r w:rsidRPr="00531E29">
        <w:t>Ergon Energy</w:t>
      </w:r>
      <w:bookmarkEnd w:id="10"/>
      <w:r w:rsidRPr="00531E29">
        <w:t xml:space="preserve"> </w:t>
      </w:r>
    </w:p>
    <w:p w:rsidR="00155829" w:rsidRPr="00531E29" w:rsidRDefault="00155829" w:rsidP="00155829">
      <w:pPr>
        <w:pStyle w:val="AERbodytext"/>
      </w:pPr>
      <w:r w:rsidRPr="00531E29">
        <w:t xml:space="preserve">Ergon Energy claimed DMIA expenditure of $540 108 in 2011–12 for 10 demand management projects. Of these, four projects are existing projects and had expenditure approved by </w:t>
      </w:r>
      <w:r w:rsidR="0088172B">
        <w:t>us</w:t>
      </w:r>
      <w:r w:rsidRPr="00531E29">
        <w:t xml:space="preserve"> in 2010–11. The remaining six projects were added to the program in 2011–12 after being subject to a screening and feasibility process and a subsequent cost benefit analysis by Ergon Energy.</w:t>
      </w:r>
      <w:r w:rsidRPr="00531E29">
        <w:rPr>
          <w:rStyle w:val="FootnoteReference"/>
        </w:rPr>
        <w:footnoteReference w:id="3"/>
      </w:r>
      <w:r w:rsidRPr="00531E29">
        <w:t xml:space="preserve"> </w:t>
      </w:r>
    </w:p>
    <w:p w:rsidR="00155829" w:rsidRPr="003A0639" w:rsidRDefault="00155829" w:rsidP="00155829">
      <w:pPr>
        <w:pStyle w:val="AERbulletlistthirdstyle"/>
        <w:numPr>
          <w:ilvl w:val="0"/>
          <w:numId w:val="0"/>
        </w:numPr>
      </w:pPr>
      <w:r w:rsidRPr="003A0639">
        <w:t>Ergon Energy claimed DMIA expenditure of $95 148 for its Auto Demand Response trial (formerly Commercial Building Management Network project). The trial involves working with customers to reduce peak demand virtually aggregating controlled load at multiple sites for three host customers to enable critical peak demand reduction.</w:t>
      </w:r>
      <w:r w:rsidRPr="003A0639">
        <w:rPr>
          <w:rFonts w:ascii="Arial" w:hAnsi="Arial" w:cs="Arial"/>
        </w:rPr>
        <w:t xml:space="preserve"> </w:t>
      </w:r>
      <w:r w:rsidRPr="003A0639">
        <w:t>Ergon Energy advised t</w:t>
      </w:r>
      <w:r w:rsidRPr="003A0639">
        <w:rPr>
          <w:rFonts w:ascii="Arial" w:hAnsi="Arial" w:cs="Arial"/>
        </w:rPr>
        <w:t>wo events occurred during 2011–12 where the load to customer equipment was dialled back or shut down resulting in a 20 per cent demand reduction. </w:t>
      </w:r>
    </w:p>
    <w:p w:rsidR="00155829" w:rsidRPr="003A0639" w:rsidRDefault="00155829" w:rsidP="00155829">
      <w:pPr>
        <w:pStyle w:val="AERbulletlistthirdstyle"/>
        <w:numPr>
          <w:ilvl w:val="0"/>
          <w:numId w:val="0"/>
        </w:numPr>
      </w:pPr>
      <w:r w:rsidRPr="003A0639">
        <w:t xml:space="preserve">Ergon Energy's Residential Air Conditioning Cleaning (RACC) Trial is a continuation from the Residential Air Conditioning Cleaning and Maintenance Trial. The RACC involves Ergon Energy paying for the professional cleaning of residential participants' split system </w:t>
      </w:r>
      <w:r w:rsidRPr="003A0639">
        <w:br/>
        <w:t>air-conditioners. Ergon Energy expects at the completion of this project, it will gain an understanding of the energy reduction achieved in cleaning split system air-conditioners. Ergon Energy stated this will reduce network demand as more efficient air conditioners will require less electricity to operate. DMIA expenditure claimed for the RACC trial is $5 040.</w:t>
      </w:r>
    </w:p>
    <w:p w:rsidR="00155829" w:rsidRPr="003A0639" w:rsidRDefault="00155829" w:rsidP="00155829">
      <w:pPr>
        <w:pStyle w:val="AERbulletlistthirdstyle"/>
        <w:numPr>
          <w:ilvl w:val="0"/>
          <w:numId w:val="0"/>
        </w:numPr>
      </w:pPr>
      <w:r w:rsidRPr="003A0639">
        <w:t>In 2011–12 Ergon Energy claimed $31 201 in DMIA expenditure for Phase 2 of its Grid Utility Support System (GUSS) project. GUSS addresses integration of photovoltaics (PV) into the single wire earth return network and enables the generation of PV energy to be stored. Ergon Energy expects this project will reduce peak demand in specific network constrained areas.</w:t>
      </w:r>
    </w:p>
    <w:p w:rsidR="00155829" w:rsidRPr="003A0639" w:rsidRDefault="00155829" w:rsidP="00155829">
      <w:pPr>
        <w:pStyle w:val="AERbulletlistthirdstyle"/>
        <w:numPr>
          <w:ilvl w:val="0"/>
          <w:numId w:val="0"/>
        </w:numPr>
      </w:pPr>
      <w:r w:rsidRPr="003A0639">
        <w:t>Ergon Energy claimed $88 489 in DMIA expenditure for the Stockland North Shore Living Display Centre project. This project aims to shift and reduce demand on the network through the promotion of energy sustainability to local builders and home buyers at a residential development in Townsville. Ergon Energy is seeking to conduct a survey to determine the impacts of marketing on builder’s attitudes and buyers attitudes. Ergon Energy advised that, to date, it has received positive responses to this project.</w:t>
      </w:r>
    </w:p>
    <w:p w:rsidR="00155829" w:rsidRPr="00A426FC" w:rsidRDefault="00155829" w:rsidP="00155829">
      <w:pPr>
        <w:pStyle w:val="AERbulletlistthirdstyle"/>
        <w:numPr>
          <w:ilvl w:val="0"/>
          <w:numId w:val="0"/>
        </w:numPr>
      </w:pPr>
      <w:r w:rsidRPr="00A426FC">
        <w:t xml:space="preserve">Ergon Energy’s Passive Air Cooling Trial (PAC) is a new project developed at installing underground cooling units in a commercial capacity. Ergon Energy’s PAC trial seeks to </w:t>
      </w:r>
      <w:r w:rsidRPr="00A426FC">
        <w:lastRenderedPageBreak/>
        <w:t xml:space="preserve">determine if this product can be applied to the residential market, thereby reducing network peak demand. Ergon Energy claimed $97 058 in DMIA expenditure for the PAC Trial. </w:t>
      </w:r>
    </w:p>
    <w:p w:rsidR="00155829" w:rsidRPr="00627502" w:rsidRDefault="00155829" w:rsidP="00155829">
      <w:pPr>
        <w:pStyle w:val="AERbulletlistthirdstyle"/>
        <w:numPr>
          <w:ilvl w:val="0"/>
          <w:numId w:val="0"/>
        </w:numPr>
      </w:pPr>
      <w:r w:rsidRPr="00627502">
        <w:t>The purpose of Ergon Energy’s Smart Camp Feasibility project is to develop a cost benefit model which will be used to evaluate efficiency improvements for camp load reductions.</w:t>
      </w:r>
      <w:r w:rsidRPr="00627502">
        <w:rPr>
          <w:rStyle w:val="FootnoteReference"/>
        </w:rPr>
        <w:footnoteReference w:id="4"/>
      </w:r>
      <w:r w:rsidRPr="00627502">
        <w:t xml:space="preserve"> Ergon Energy intends to review current and existing camp loads and customer needs to build on demand management. Ergon Energy claimed $30 125 in DMIA expenditure for its Smart Camp Feasibility project.</w:t>
      </w:r>
    </w:p>
    <w:p w:rsidR="00155829" w:rsidRPr="00645E2C" w:rsidRDefault="00155829" w:rsidP="00155829">
      <w:pPr>
        <w:pStyle w:val="AERbulletlistthirdstyle"/>
        <w:numPr>
          <w:ilvl w:val="0"/>
          <w:numId w:val="0"/>
        </w:numPr>
      </w:pPr>
      <w:r w:rsidRPr="00645E2C">
        <w:t xml:space="preserve">Ergon Energy claimed $92 526 in DMIA expenditure for its Large Statcom project. This project will trail a three phase 400 kVAr unit on Ergon Energy’s network. The Large Statcom project aims to inject capacitive and inductive reactive power into the electricity network and avoid a conventional network upgrade. </w:t>
      </w:r>
    </w:p>
    <w:p w:rsidR="00155829" w:rsidRPr="0033283D" w:rsidRDefault="00155829" w:rsidP="00155829">
      <w:pPr>
        <w:pStyle w:val="AERbulletlistthirdstyle"/>
        <w:numPr>
          <w:ilvl w:val="0"/>
          <w:numId w:val="0"/>
        </w:numPr>
      </w:pPr>
      <w:r w:rsidRPr="0033283D">
        <w:t>Ergon Energy’s Urban Statcom project seeks to assess three STATCOMs</w:t>
      </w:r>
      <w:r w:rsidRPr="0033283D">
        <w:rPr>
          <w:rStyle w:val="FootnoteReference"/>
        </w:rPr>
        <w:footnoteReference w:id="5"/>
      </w:r>
      <w:r w:rsidRPr="0033283D">
        <w:t xml:space="preserve"> units to regulate the low voltage network in residential areas which are being impacted by the increasing prevalence of residential photovoltaic systems and non</w:t>
      </w:r>
      <w:r w:rsidR="00EB74C9">
        <w:t>-</w:t>
      </w:r>
      <w:r w:rsidRPr="0033283D">
        <w:t>linear loads. Ergon Energy noted the delivery of units was delayed due to manufacturing production schedule issues and supplier lead time on key components. Ergon Energy claimed $5 848 in DMIA expenditure for its Urban Statcom project.</w:t>
      </w:r>
    </w:p>
    <w:p w:rsidR="00155829" w:rsidRPr="00685038" w:rsidRDefault="00155829" w:rsidP="00155829">
      <w:pPr>
        <w:pStyle w:val="AERbulletlistthirdstyle"/>
        <w:numPr>
          <w:ilvl w:val="0"/>
          <w:numId w:val="0"/>
        </w:numPr>
      </w:pPr>
      <w:r w:rsidRPr="00685038">
        <w:t xml:space="preserve">Similarly, Ergon Energy’s SWER Statcom project will laboratory test one and field trial two 20 kVAr single phase low voltage static compensators. Ergon Energy aims to provide reactive power support to assist with the network voltage management. Ergon Energy claimed </w:t>
      </w:r>
      <w:r w:rsidRPr="00685038">
        <w:br/>
        <w:t>$52 600 in DMIA expenditure for this project.</w:t>
      </w:r>
    </w:p>
    <w:p w:rsidR="00155829" w:rsidRPr="00685038" w:rsidRDefault="00155829" w:rsidP="00155829">
      <w:pPr>
        <w:pStyle w:val="AERbulletlistthirdstyle"/>
        <w:numPr>
          <w:ilvl w:val="0"/>
          <w:numId w:val="0"/>
        </w:numPr>
      </w:pPr>
      <w:r w:rsidRPr="00685038">
        <w:t>Ergon Energy claimed $42 072 in DMIA expenditure for its Smart Voltage Regulator (SVR) Validation project. The project will laboratory test the effectiveness of three phase SVRs in maintaining distribution network power quality</w:t>
      </w:r>
      <w:r w:rsidRPr="00685038">
        <w:rPr>
          <w:rFonts w:ascii="Arial" w:hAnsi="Arial" w:cs="Arial"/>
        </w:rPr>
        <w:t xml:space="preserve"> and is focused on the low voltage network and the customers it supplies.</w:t>
      </w:r>
      <w:r w:rsidRPr="00685038">
        <w:t xml:space="preserve"> Where laboratory testing demonstrates the SVR trial is suitable, Ergon Energy intends to undertake a cost benefit analysis against competitor technologies. </w:t>
      </w:r>
    </w:p>
    <w:p w:rsidR="00155829" w:rsidRPr="00685038" w:rsidRDefault="00155829" w:rsidP="00155829">
      <w:pPr>
        <w:pStyle w:val="AERbulletlistthirdstyle"/>
        <w:numPr>
          <w:ilvl w:val="0"/>
          <w:numId w:val="0"/>
        </w:numPr>
      </w:pPr>
      <w:r w:rsidRPr="00685038">
        <w:t xml:space="preserve">Further details about the projects can be found in Ergon Energy's DMIS report. </w:t>
      </w:r>
      <w:r w:rsidR="00652870">
        <w:t>We</w:t>
      </w:r>
      <w:r w:rsidRPr="00685038">
        <w:t xml:space="preserve"> approved Ergon Energy's DMIA expenditure in 2011–12 because it meets the DMIA criteria set out in tables A.12–A.21. </w:t>
      </w:r>
    </w:p>
    <w:p w:rsidR="00155829" w:rsidRPr="004E5AFD" w:rsidRDefault="00155829" w:rsidP="00155829">
      <w:pPr>
        <w:pStyle w:val="AERheading2"/>
      </w:pPr>
      <w:bookmarkStart w:id="11" w:name="_Toc361034304"/>
      <w:r w:rsidRPr="004E5AFD">
        <w:t>Essential Energy</w:t>
      </w:r>
      <w:bookmarkEnd w:id="11"/>
      <w:r w:rsidRPr="004E5AFD">
        <w:t xml:space="preserve"> </w:t>
      </w:r>
    </w:p>
    <w:p w:rsidR="00155829" w:rsidRPr="004E5AFD" w:rsidRDefault="00155829" w:rsidP="00155829">
      <w:pPr>
        <w:pStyle w:val="AERbodytext"/>
      </w:pPr>
      <w:r w:rsidRPr="004E5AFD">
        <w:t xml:space="preserve">Essential Energy claimed DMIA expenditure of $728 365 for its Grid Interactive Inverter (GII) program, a continuation and expansion on Essential Energy’s DMIA program from 2010–11. The GII program is aimed at developing cost effective, flexible, low voltage four quadrant inverters, used to address specific network constraints by reducing demand on (including demand for generation export capacity) or providing reactive support to the network. Details about the project can be found in Essential Energy's DMIS report. </w:t>
      </w:r>
      <w:r w:rsidR="00652870">
        <w:t>We</w:t>
      </w:r>
      <w:r w:rsidRPr="004E5AFD">
        <w:t xml:space="preserve"> approved Essential Energy's claimed DMIA expenditure in 2011–12 because it meets the DMIA criteria set out in table A.22.</w:t>
      </w:r>
    </w:p>
    <w:p w:rsidR="00465988" w:rsidRPr="00074D0A" w:rsidRDefault="00465988" w:rsidP="00465988">
      <w:pPr>
        <w:pStyle w:val="AERheading2"/>
      </w:pPr>
      <w:bookmarkStart w:id="12" w:name="_Toc361034305"/>
      <w:r w:rsidRPr="00074D0A">
        <w:lastRenderedPageBreak/>
        <w:t>Jemena Electricity Networks</w:t>
      </w:r>
      <w:bookmarkEnd w:id="12"/>
    </w:p>
    <w:p w:rsidR="00465988" w:rsidRPr="00465988" w:rsidRDefault="00465988" w:rsidP="00465988">
      <w:pPr>
        <w:rPr>
          <w:rFonts w:ascii="Gautami" w:hAnsi="Gautami" w:cs="Gautami"/>
          <w:sz w:val="20"/>
          <w:szCs w:val="20"/>
        </w:rPr>
      </w:pPr>
      <w:r w:rsidRPr="00465988">
        <w:rPr>
          <w:rFonts w:ascii="Gautami" w:hAnsi="Gautami" w:cs="Gautami"/>
          <w:sz w:val="20"/>
          <w:szCs w:val="20"/>
        </w:rPr>
        <w:t>Jemena Electricity Networks (JEN) has claimed DMIA expenditure of $223 925 for its Energy Portal project</w:t>
      </w:r>
      <w:r w:rsidR="0038388A">
        <w:rPr>
          <w:rFonts w:ascii="Gautami" w:hAnsi="Gautami" w:cs="Gautami"/>
          <w:sz w:val="20"/>
          <w:szCs w:val="20"/>
        </w:rPr>
        <w:t xml:space="preserve">, a continuation of </w:t>
      </w:r>
      <w:r w:rsidR="00F14339">
        <w:rPr>
          <w:rFonts w:ascii="Gautami" w:hAnsi="Gautami" w:cs="Gautami"/>
          <w:sz w:val="20"/>
          <w:szCs w:val="20"/>
        </w:rPr>
        <w:t xml:space="preserve">the </w:t>
      </w:r>
      <w:r w:rsidR="0038388A">
        <w:rPr>
          <w:rFonts w:ascii="Gautami" w:hAnsi="Gautami" w:cs="Gautami"/>
          <w:sz w:val="20"/>
          <w:szCs w:val="20"/>
        </w:rPr>
        <w:t>project from 2011</w:t>
      </w:r>
      <w:r w:rsidRPr="00465988">
        <w:rPr>
          <w:rFonts w:ascii="Gautami" w:hAnsi="Gautami" w:cs="Gautami"/>
          <w:sz w:val="20"/>
          <w:szCs w:val="20"/>
        </w:rPr>
        <w:t>. JEN note</w:t>
      </w:r>
      <w:r w:rsidR="006C04D3">
        <w:rPr>
          <w:rFonts w:ascii="Gautami" w:hAnsi="Gautami" w:cs="Gautami"/>
          <w:sz w:val="20"/>
          <w:szCs w:val="20"/>
        </w:rPr>
        <w:t>d</w:t>
      </w:r>
      <w:r w:rsidRPr="00465988">
        <w:rPr>
          <w:rFonts w:ascii="Gautami" w:hAnsi="Gautami" w:cs="Gautami"/>
          <w:sz w:val="20"/>
          <w:szCs w:val="20"/>
        </w:rPr>
        <w:t xml:space="preserve"> that the Energy Portal project is a joint project with United Energy Distribution, with an agreed cost split between the two DNSPs.</w:t>
      </w:r>
    </w:p>
    <w:p w:rsidR="00465988" w:rsidRPr="00465988" w:rsidRDefault="00465988" w:rsidP="00465988">
      <w:pPr>
        <w:rPr>
          <w:rFonts w:ascii="Gautami" w:hAnsi="Gautami" w:cs="Gautami"/>
          <w:sz w:val="20"/>
          <w:szCs w:val="20"/>
        </w:rPr>
      </w:pPr>
      <w:r w:rsidRPr="00465988">
        <w:rPr>
          <w:rFonts w:ascii="Gautami" w:hAnsi="Gautami" w:cs="Gautami"/>
          <w:sz w:val="20"/>
          <w:szCs w:val="20"/>
        </w:rPr>
        <w:t xml:space="preserve">The </w:t>
      </w:r>
      <w:r w:rsidR="002A5A6D">
        <w:rPr>
          <w:rFonts w:ascii="Gautami" w:hAnsi="Gautami" w:cs="Gautami"/>
          <w:sz w:val="20"/>
          <w:szCs w:val="20"/>
        </w:rPr>
        <w:t xml:space="preserve">Energy Portal </w:t>
      </w:r>
      <w:r w:rsidRPr="00465988">
        <w:rPr>
          <w:rFonts w:ascii="Gautami" w:hAnsi="Gautami" w:cs="Gautami"/>
          <w:sz w:val="20"/>
          <w:szCs w:val="20"/>
        </w:rPr>
        <w:t xml:space="preserve">project is a demand management initiative designed to enhance electricity consumers’ demand management capability. The project intends to provide better information on electricity usage, empowering consumers to make informed decisions about when and how much energy they consume. It uses advanced metering </w:t>
      </w:r>
      <w:r w:rsidR="006247B6">
        <w:rPr>
          <w:rFonts w:ascii="Gautami" w:hAnsi="Gautami" w:cs="Gautami"/>
          <w:sz w:val="20"/>
          <w:szCs w:val="20"/>
        </w:rPr>
        <w:t>infrastructure</w:t>
      </w:r>
      <w:r w:rsidR="006247B6" w:rsidRPr="00465988">
        <w:rPr>
          <w:rFonts w:ascii="Gautami" w:hAnsi="Gautami" w:cs="Gautami"/>
          <w:sz w:val="20"/>
          <w:szCs w:val="20"/>
        </w:rPr>
        <w:t xml:space="preserve"> </w:t>
      </w:r>
      <w:r w:rsidRPr="00465988">
        <w:rPr>
          <w:rFonts w:ascii="Gautami" w:hAnsi="Gautami" w:cs="Gautami"/>
          <w:sz w:val="20"/>
          <w:szCs w:val="20"/>
        </w:rPr>
        <w:t>(AMI) to provide near real</w:t>
      </w:r>
      <w:r w:rsidR="00DA24DF">
        <w:rPr>
          <w:rFonts w:ascii="Gautami" w:hAnsi="Gautami" w:cs="Gautami"/>
          <w:sz w:val="20"/>
          <w:szCs w:val="20"/>
        </w:rPr>
        <w:t>-</w:t>
      </w:r>
      <w:r w:rsidRPr="00465988">
        <w:rPr>
          <w:rFonts w:ascii="Gautami" w:hAnsi="Gautami" w:cs="Gautami"/>
          <w:sz w:val="20"/>
          <w:szCs w:val="20"/>
        </w:rPr>
        <w:t>time electricity consumption information.</w:t>
      </w:r>
      <w:r w:rsidRPr="00465988">
        <w:rPr>
          <w:rStyle w:val="FootnoteReference"/>
          <w:rFonts w:ascii="Gautami" w:hAnsi="Gautami" w:cs="Gautami"/>
          <w:sz w:val="20"/>
          <w:szCs w:val="20"/>
        </w:rPr>
        <w:footnoteReference w:id="6"/>
      </w:r>
      <w:r w:rsidRPr="00465988">
        <w:rPr>
          <w:rFonts w:ascii="Gautami" w:hAnsi="Gautami" w:cs="Gautami"/>
          <w:sz w:val="20"/>
          <w:szCs w:val="20"/>
        </w:rPr>
        <w:t xml:space="preserve"> It also allows binding of Home Area Network appliances to the AMI meter, allowing customers to control appliances in order to shift and/or reduce electricity consumption.</w:t>
      </w:r>
    </w:p>
    <w:p w:rsidR="00465988" w:rsidRPr="00465988" w:rsidRDefault="00465988" w:rsidP="00465988">
      <w:pPr>
        <w:rPr>
          <w:rFonts w:ascii="Gautami" w:hAnsi="Gautami" w:cs="Gautami"/>
          <w:sz w:val="20"/>
          <w:szCs w:val="20"/>
        </w:rPr>
      </w:pPr>
      <w:r w:rsidRPr="00465988">
        <w:rPr>
          <w:rFonts w:ascii="Gautami" w:hAnsi="Gautami" w:cs="Gautami"/>
          <w:sz w:val="20"/>
          <w:szCs w:val="20"/>
        </w:rPr>
        <w:t>JEN state</w:t>
      </w:r>
      <w:r w:rsidR="006C04D3">
        <w:rPr>
          <w:rFonts w:ascii="Gautami" w:hAnsi="Gautami" w:cs="Gautami"/>
          <w:sz w:val="20"/>
          <w:szCs w:val="20"/>
        </w:rPr>
        <w:t>d</w:t>
      </w:r>
      <w:r w:rsidRPr="00465988">
        <w:rPr>
          <w:rFonts w:ascii="Gautami" w:hAnsi="Gautami" w:cs="Gautami"/>
          <w:sz w:val="20"/>
          <w:szCs w:val="20"/>
        </w:rPr>
        <w:t xml:space="preserve"> that it is still too early to quantify the demand side benefits that have arisen from the Energy Portal</w:t>
      </w:r>
      <w:r w:rsidR="001A0D92">
        <w:rPr>
          <w:rFonts w:ascii="Gautami" w:hAnsi="Gautami" w:cs="Gautami"/>
          <w:sz w:val="20"/>
          <w:szCs w:val="20"/>
        </w:rPr>
        <w:t>,</w:t>
      </w:r>
      <w:r w:rsidRPr="00465988">
        <w:rPr>
          <w:rFonts w:ascii="Gautami" w:hAnsi="Gautami" w:cs="Gautami"/>
          <w:sz w:val="20"/>
          <w:szCs w:val="20"/>
        </w:rPr>
        <w:t xml:space="preserve"> because </w:t>
      </w:r>
      <w:r w:rsidR="00C20EBC">
        <w:rPr>
          <w:rFonts w:ascii="Gautami" w:hAnsi="Gautami" w:cs="Gautami"/>
          <w:sz w:val="20"/>
          <w:szCs w:val="20"/>
        </w:rPr>
        <w:t xml:space="preserve">the project’s consumer base is continually increasing as more households utilise AMI technology. </w:t>
      </w:r>
      <w:r w:rsidRPr="00465988">
        <w:rPr>
          <w:rFonts w:ascii="Gautami" w:hAnsi="Gautami" w:cs="Gautami"/>
          <w:sz w:val="20"/>
          <w:szCs w:val="20"/>
        </w:rPr>
        <w:t xml:space="preserve">However, </w:t>
      </w:r>
      <w:r w:rsidR="00C20EBC">
        <w:rPr>
          <w:rFonts w:ascii="Gautami" w:hAnsi="Gautami" w:cs="Gautami"/>
          <w:sz w:val="20"/>
          <w:szCs w:val="20"/>
        </w:rPr>
        <w:t>JEN</w:t>
      </w:r>
      <w:r w:rsidR="00C20EBC" w:rsidRPr="00465988">
        <w:rPr>
          <w:rFonts w:ascii="Gautami" w:hAnsi="Gautami" w:cs="Gautami"/>
          <w:sz w:val="20"/>
          <w:szCs w:val="20"/>
        </w:rPr>
        <w:t xml:space="preserve"> </w:t>
      </w:r>
      <w:r w:rsidRPr="00465988">
        <w:rPr>
          <w:rFonts w:ascii="Gautami" w:hAnsi="Gautami" w:cs="Gautami"/>
          <w:sz w:val="20"/>
          <w:szCs w:val="20"/>
        </w:rPr>
        <w:t>note</w:t>
      </w:r>
      <w:r w:rsidR="006C04D3">
        <w:rPr>
          <w:rFonts w:ascii="Gautami" w:hAnsi="Gautami" w:cs="Gautami"/>
          <w:sz w:val="20"/>
          <w:szCs w:val="20"/>
        </w:rPr>
        <w:t>d</w:t>
      </w:r>
      <w:r w:rsidRPr="00465988">
        <w:rPr>
          <w:rFonts w:ascii="Gautami" w:hAnsi="Gautami" w:cs="Gautami"/>
          <w:sz w:val="20"/>
          <w:szCs w:val="20"/>
        </w:rPr>
        <w:t xml:space="preserve"> that the initial assessment and customer feedback indicates that this program is beneficial and some consumers have been able to consider ways to reduce their electricity bills. </w:t>
      </w:r>
      <w:r w:rsidR="006C04D3">
        <w:rPr>
          <w:rFonts w:ascii="Gautami" w:hAnsi="Gautami" w:cs="Gautami"/>
          <w:sz w:val="20"/>
          <w:szCs w:val="20"/>
        </w:rPr>
        <w:t xml:space="preserve">JEN </w:t>
      </w:r>
      <w:r w:rsidR="002557CA">
        <w:rPr>
          <w:rFonts w:ascii="Gautami" w:hAnsi="Gautami" w:cs="Gautami"/>
          <w:sz w:val="20"/>
          <w:szCs w:val="20"/>
        </w:rPr>
        <w:t xml:space="preserve">intends to provide </w:t>
      </w:r>
      <w:r w:rsidR="002A5A6D">
        <w:rPr>
          <w:rFonts w:ascii="Gautami" w:hAnsi="Gautami" w:cs="Gautami"/>
          <w:sz w:val="20"/>
          <w:szCs w:val="20"/>
        </w:rPr>
        <w:t xml:space="preserve">a </w:t>
      </w:r>
      <w:r w:rsidR="002557CA">
        <w:rPr>
          <w:rFonts w:ascii="Gautami" w:hAnsi="Gautami" w:cs="Gautami"/>
          <w:sz w:val="20"/>
          <w:szCs w:val="20"/>
        </w:rPr>
        <w:t xml:space="preserve">further update </w:t>
      </w:r>
      <w:r w:rsidR="00F14339">
        <w:rPr>
          <w:rFonts w:ascii="Gautami" w:hAnsi="Gautami" w:cs="Gautami"/>
          <w:sz w:val="20"/>
          <w:szCs w:val="20"/>
        </w:rPr>
        <w:t xml:space="preserve">on this project in its </w:t>
      </w:r>
      <w:r w:rsidR="002557CA">
        <w:rPr>
          <w:rFonts w:ascii="Gautami" w:hAnsi="Gautami" w:cs="Gautami"/>
          <w:sz w:val="20"/>
          <w:szCs w:val="20"/>
        </w:rPr>
        <w:t>2013 DMIA report</w:t>
      </w:r>
      <w:r w:rsidRPr="00465988">
        <w:rPr>
          <w:rFonts w:ascii="Gautami" w:hAnsi="Gautami" w:cs="Gautami"/>
          <w:sz w:val="20"/>
          <w:szCs w:val="20"/>
        </w:rPr>
        <w:t>.</w:t>
      </w:r>
    </w:p>
    <w:p w:rsidR="00465988" w:rsidRPr="00936DAA" w:rsidRDefault="00465988" w:rsidP="00465988">
      <w:r w:rsidRPr="00465988">
        <w:rPr>
          <w:rFonts w:ascii="Gautami" w:hAnsi="Gautami" w:cs="Gautami"/>
          <w:sz w:val="20"/>
          <w:szCs w:val="20"/>
        </w:rPr>
        <w:t xml:space="preserve">Details about the project can be found in JEN’s DMIS report. </w:t>
      </w:r>
      <w:r w:rsidR="00652870">
        <w:rPr>
          <w:rFonts w:ascii="Gautami" w:hAnsi="Gautami" w:cs="Gautami"/>
          <w:sz w:val="20"/>
          <w:szCs w:val="20"/>
        </w:rPr>
        <w:t>We</w:t>
      </w:r>
      <w:r w:rsidRPr="00465988">
        <w:rPr>
          <w:rFonts w:ascii="Gautami" w:hAnsi="Gautami" w:cs="Gautami"/>
          <w:sz w:val="20"/>
          <w:szCs w:val="20"/>
        </w:rPr>
        <w:t xml:space="preserve"> approved JEN’s claimed DMIA expenditure in 2012 because it meets the DMIA criteria set out in table </w:t>
      </w:r>
      <w:r w:rsidR="00083421" w:rsidRPr="00083421">
        <w:rPr>
          <w:rFonts w:ascii="Gautami" w:hAnsi="Gautami" w:cs="Gautami"/>
          <w:sz w:val="20"/>
          <w:szCs w:val="20"/>
        </w:rPr>
        <w:t>B.2</w:t>
      </w:r>
      <w:r w:rsidRPr="00083421">
        <w:rPr>
          <w:rFonts w:ascii="Gautami" w:hAnsi="Gautami" w:cs="Gautami"/>
          <w:sz w:val="20"/>
          <w:szCs w:val="20"/>
        </w:rPr>
        <w:t>.</w:t>
      </w:r>
    </w:p>
    <w:p w:rsidR="0038388A" w:rsidRPr="00067FFB" w:rsidRDefault="007824B8" w:rsidP="0038388A">
      <w:pPr>
        <w:pStyle w:val="AERheading2"/>
      </w:pPr>
      <w:bookmarkStart w:id="13" w:name="_Toc361034306"/>
      <w:r>
        <w:t>Powercor</w:t>
      </w:r>
      <w:bookmarkEnd w:id="13"/>
    </w:p>
    <w:p w:rsidR="004309FC" w:rsidRDefault="007824B8" w:rsidP="0038388A">
      <w:pPr>
        <w:pStyle w:val="AERbodytext"/>
      </w:pPr>
      <w:r>
        <w:t>Powercor</w:t>
      </w:r>
      <w:r w:rsidR="0038388A">
        <w:t xml:space="preserve"> claimed DMIA expenditure of $19 180 for its Water Treatment Business Demand Management (WTBDM) trial. </w:t>
      </w:r>
      <w:r w:rsidR="00171433" w:rsidRPr="004309FC">
        <w:rPr>
          <w:rFonts w:ascii="Arial" w:hAnsi="Arial" w:cs="Arial"/>
          <w:color w:val="000000"/>
          <w:szCs w:val="20"/>
        </w:rPr>
        <w:t xml:space="preserve">The WTBDM trial addresses </w:t>
      </w:r>
      <w:r w:rsidR="00671124">
        <w:rPr>
          <w:rFonts w:ascii="Arial" w:hAnsi="Arial" w:cs="Arial"/>
          <w:color w:val="000000"/>
          <w:szCs w:val="20"/>
        </w:rPr>
        <w:t xml:space="preserve">the maximum demand of </w:t>
      </w:r>
      <w:r w:rsidR="00171433" w:rsidRPr="004309FC">
        <w:rPr>
          <w:rFonts w:ascii="Arial" w:hAnsi="Arial" w:cs="Arial"/>
          <w:color w:val="000000"/>
          <w:szCs w:val="20"/>
        </w:rPr>
        <w:t>a commercial customer</w:t>
      </w:r>
      <w:r w:rsidR="00171433" w:rsidRPr="004309FC">
        <w:t xml:space="preserve"> at specific parts of the network, with a view to communicating the initiative to customers with similar demand management opportunities.</w:t>
      </w:r>
      <w:r w:rsidR="00171433">
        <w:t xml:space="preserve"> </w:t>
      </w:r>
      <w:r w:rsidR="004309FC">
        <w:t xml:space="preserve">The WTBDM trial involves the integration of current </w:t>
      </w:r>
      <w:r w:rsidR="00537611">
        <w:t xml:space="preserve">network </w:t>
      </w:r>
      <w:r w:rsidR="004309FC">
        <w:t xml:space="preserve">monitoring capability with the process management system in water treatment plants. </w:t>
      </w:r>
      <w:r w:rsidR="004309FC">
        <w:rPr>
          <w:rFonts w:ascii="Arial" w:hAnsi="Arial" w:cs="Arial"/>
          <w:color w:val="000000"/>
          <w:szCs w:val="20"/>
        </w:rPr>
        <w:t>These water treatment plants typically have high maximum demand events during backwashes</w:t>
      </w:r>
      <w:r w:rsidR="00DC7DAC">
        <w:rPr>
          <w:rStyle w:val="FootnoteReference"/>
          <w:rFonts w:ascii="Arial" w:hAnsi="Arial" w:cs="Arial"/>
          <w:color w:val="000000"/>
          <w:szCs w:val="20"/>
        </w:rPr>
        <w:footnoteReference w:id="7"/>
      </w:r>
      <w:r w:rsidR="004309FC">
        <w:rPr>
          <w:rFonts w:ascii="Arial" w:hAnsi="Arial" w:cs="Arial"/>
          <w:color w:val="000000"/>
          <w:szCs w:val="20"/>
        </w:rPr>
        <w:t xml:space="preserve"> and at other times during the process. The WTBDM trial enables the automatic control of processes to shift or reduce demand, and provides analytical data that enables operators to improve or adjust sequences. This has the effect of shifting and reducing demand for standard control </w:t>
      </w:r>
      <w:r w:rsidR="004309FC" w:rsidRPr="004309FC">
        <w:rPr>
          <w:rFonts w:ascii="Arial" w:hAnsi="Arial" w:cs="Arial"/>
          <w:color w:val="000000"/>
          <w:szCs w:val="20"/>
        </w:rPr>
        <w:t xml:space="preserve">services including the potential for shifting processes to off-peak periods on peak demand days, and identifying contributing factors to overall demand. </w:t>
      </w:r>
    </w:p>
    <w:p w:rsidR="0038388A" w:rsidRPr="00BA26B1" w:rsidRDefault="0038388A" w:rsidP="0038388A">
      <w:pPr>
        <w:pStyle w:val="AERbodytext"/>
      </w:pPr>
      <w:r>
        <w:t xml:space="preserve">Details about the project can be found in </w:t>
      </w:r>
      <w:r w:rsidR="007824B8">
        <w:t>Powercor</w:t>
      </w:r>
      <w:r>
        <w:t xml:space="preserve">’s DMIS report. </w:t>
      </w:r>
      <w:r w:rsidR="00652870">
        <w:t>We have</w:t>
      </w:r>
      <w:r>
        <w:t xml:space="preserve"> approved </w:t>
      </w:r>
      <w:r w:rsidR="007824B8">
        <w:t>Powercor</w:t>
      </w:r>
      <w:r>
        <w:t xml:space="preserve">’s claimed DMIA expenditure in 2012 because it meets the DMIA criteria set out in table </w:t>
      </w:r>
      <w:r w:rsidR="00171433" w:rsidRPr="00171433">
        <w:t>B.3</w:t>
      </w:r>
      <w:r w:rsidRPr="00171433">
        <w:t>.</w:t>
      </w:r>
      <w:r>
        <w:t xml:space="preserve"> </w:t>
      </w:r>
    </w:p>
    <w:p w:rsidR="007A6C72" w:rsidRPr="00067FFB" w:rsidRDefault="007A6C72" w:rsidP="007A6C72">
      <w:pPr>
        <w:pStyle w:val="AERheading2"/>
      </w:pPr>
      <w:bookmarkStart w:id="14" w:name="_Toc361034307"/>
      <w:r>
        <w:lastRenderedPageBreak/>
        <w:t>SP AusNet</w:t>
      </w:r>
      <w:bookmarkEnd w:id="14"/>
    </w:p>
    <w:p w:rsidR="007A6C72" w:rsidRDefault="007A6C72" w:rsidP="007A6C72">
      <w:pPr>
        <w:pStyle w:val="AERbodytext"/>
      </w:pPr>
      <w:r>
        <w:t>SP AusNet claimed DMIA expenditure of $188 760 in 2012 for two demand management projects, both of which are new projects that commenced in 2012.</w:t>
      </w:r>
    </w:p>
    <w:p w:rsidR="00000B1C" w:rsidRDefault="00000B1C" w:rsidP="007A6C72">
      <w:pPr>
        <w:pStyle w:val="AERbodytext"/>
      </w:pPr>
      <w:r>
        <w:t xml:space="preserve">SP AusNet’s Residential Battery Storage trial </w:t>
      </w:r>
      <w:r w:rsidR="007A6C72">
        <w:t xml:space="preserve">will </w:t>
      </w:r>
      <w:r w:rsidR="00A43CAC">
        <w:t xml:space="preserve">use stationary batteries connected to residential homes to simulate the potential characteristics of a </w:t>
      </w:r>
      <w:r w:rsidR="005F3400">
        <w:t xml:space="preserve">demand management </w:t>
      </w:r>
      <w:r w:rsidR="00A43CAC">
        <w:t xml:space="preserve">enabled electric vehicle. </w:t>
      </w:r>
      <w:r w:rsidR="00F920CE">
        <w:t xml:space="preserve">The trial will </w:t>
      </w:r>
      <w:r w:rsidR="00A43CAC">
        <w:t xml:space="preserve">deliver an integrated residential storage solution to ten customers, half of which are provided with batteries and the remaining </w:t>
      </w:r>
      <w:r w:rsidR="00DA24DF">
        <w:t xml:space="preserve">half </w:t>
      </w:r>
      <w:r w:rsidR="00A43CAC">
        <w:t xml:space="preserve">provided </w:t>
      </w:r>
      <w:r w:rsidR="00DA24DF">
        <w:t xml:space="preserve">with </w:t>
      </w:r>
      <w:r w:rsidR="00A43CAC">
        <w:t>a batter</w:t>
      </w:r>
      <w:r w:rsidR="00F920CE">
        <w:t>y</w:t>
      </w:r>
      <w:r w:rsidR="00A43CAC">
        <w:t xml:space="preserve"> and solar photovoltaic cells. </w:t>
      </w:r>
      <w:r w:rsidR="007A6C72">
        <w:t>The storage system</w:t>
      </w:r>
      <w:r w:rsidR="00783D80">
        <w:t>s</w:t>
      </w:r>
      <w:r w:rsidR="007A6C72">
        <w:t xml:space="preserve"> will have internet connectivity </w:t>
      </w:r>
      <w:r w:rsidR="00F920CE">
        <w:t>where</w:t>
      </w:r>
      <w:r w:rsidR="00A43CAC">
        <w:t xml:space="preserve"> </w:t>
      </w:r>
      <w:r w:rsidR="007A6C72">
        <w:t xml:space="preserve">control signals </w:t>
      </w:r>
      <w:r w:rsidR="00F920CE">
        <w:t>will</w:t>
      </w:r>
      <w:r w:rsidR="00A43CAC">
        <w:t xml:space="preserve"> instruct the battery to commence</w:t>
      </w:r>
      <w:r w:rsidR="007A6C72">
        <w:t xml:space="preserve"> charging</w:t>
      </w:r>
      <w:r w:rsidR="00F920CE">
        <w:t>/</w:t>
      </w:r>
      <w:r w:rsidR="007A6C72">
        <w:t>discharging and to retrieve measurement data</w:t>
      </w:r>
      <w:r w:rsidR="00783D80">
        <w:t xml:space="preserve">. </w:t>
      </w:r>
      <w:r w:rsidR="007A6C72">
        <w:t>The</w:t>
      </w:r>
      <w:r w:rsidR="00F920CE">
        <w:t xml:space="preserve"> objective of the </w:t>
      </w:r>
      <w:r w:rsidR="007A6C72">
        <w:t xml:space="preserve">Residential Battery Storage trial </w:t>
      </w:r>
      <w:r w:rsidR="00F920CE">
        <w:t xml:space="preserve">is to explore how battery storage at the residential level can be used for peak </w:t>
      </w:r>
      <w:r w:rsidR="005F3400">
        <w:t>demand</w:t>
      </w:r>
      <w:r w:rsidR="00DA24DF">
        <w:t xml:space="preserve"> management</w:t>
      </w:r>
      <w:r w:rsidR="00F920CE">
        <w:t xml:space="preserve">, in addition to developing key insights into how electric </w:t>
      </w:r>
      <w:r w:rsidR="005F3400">
        <w:t>vehicles</w:t>
      </w:r>
      <w:r w:rsidR="00F920CE">
        <w:t xml:space="preserve"> may interact in future networks. </w:t>
      </w:r>
      <w:r>
        <w:t xml:space="preserve">SP AusNet claimed $148 760 in DMIA expenditure for its Residential Battery Storage trial. </w:t>
      </w:r>
    </w:p>
    <w:p w:rsidR="007A6C72" w:rsidRPr="00BA26B1" w:rsidRDefault="00000B1C" w:rsidP="007A6C72">
      <w:pPr>
        <w:pStyle w:val="AERbodytext"/>
      </w:pPr>
      <w:r>
        <w:t>SP AusNet claimed $40 000 in DMIA expenditure for its</w:t>
      </w:r>
      <w:r w:rsidR="007A6C72">
        <w:t xml:space="preserve"> Grid Energy Storage System (GESS) trial</w:t>
      </w:r>
      <w:r>
        <w:t>. The GESS trial</w:t>
      </w:r>
      <w:r w:rsidR="007A6C72">
        <w:t xml:space="preserve"> involves installing a large (1MW / 1MWhr) battery system to support the peak load at Watsonia. </w:t>
      </w:r>
      <w:r w:rsidR="00686F96">
        <w:t xml:space="preserve">The system includes a 1MW diesel generator set to extend the MWh rating of the battery system to provide full coverage of the peak demand period. </w:t>
      </w:r>
      <w:r w:rsidR="007A6C72">
        <w:t xml:space="preserve">The trial is also expected to improve the supply of electricity and network voltage stability during network disturbances. </w:t>
      </w:r>
    </w:p>
    <w:p w:rsidR="007A6C72" w:rsidRPr="00713C9C" w:rsidRDefault="007A6C72" w:rsidP="007A6C72">
      <w:pPr>
        <w:pStyle w:val="AERbulletlistthirdstyle"/>
        <w:numPr>
          <w:ilvl w:val="0"/>
          <w:numId w:val="0"/>
        </w:numPr>
      </w:pPr>
      <w:r w:rsidRPr="00685038">
        <w:t xml:space="preserve">Further details about the projects can be found in </w:t>
      </w:r>
      <w:r>
        <w:t>SP AusNet’s</w:t>
      </w:r>
      <w:r w:rsidRPr="00685038">
        <w:t xml:space="preserve"> DMIS report. </w:t>
      </w:r>
      <w:r w:rsidR="0088172B">
        <w:t>We</w:t>
      </w:r>
      <w:r w:rsidRPr="00685038">
        <w:t xml:space="preserve"> approved </w:t>
      </w:r>
      <w:r>
        <w:t>SP</w:t>
      </w:r>
      <w:r w:rsidR="00A91E1E">
        <w:t> </w:t>
      </w:r>
      <w:r>
        <w:t>AusNet’s</w:t>
      </w:r>
      <w:r w:rsidRPr="00685038">
        <w:t xml:space="preserve"> DMIA expenditure in 2012 because it meets the DMIA criteria set </w:t>
      </w:r>
      <w:r w:rsidRPr="00C20EBC">
        <w:t>out in tables </w:t>
      </w:r>
      <w:r w:rsidR="00E75869" w:rsidRPr="00C20EBC">
        <w:t>B.4</w:t>
      </w:r>
      <w:r w:rsidR="00A91E1E">
        <w:noBreakHyphen/>
      </w:r>
      <w:r w:rsidR="00E75869" w:rsidRPr="00C20EBC">
        <w:t>B.5</w:t>
      </w:r>
      <w:r w:rsidRPr="00713C9C">
        <w:t xml:space="preserve">. </w:t>
      </w:r>
    </w:p>
    <w:p w:rsidR="004B1E5D" w:rsidRPr="00713C9C" w:rsidRDefault="004B1E5D" w:rsidP="00155829">
      <w:pPr>
        <w:pStyle w:val="AERheading2"/>
      </w:pPr>
      <w:bookmarkStart w:id="15" w:name="_Toc361034308"/>
      <w:r w:rsidRPr="00713C9C">
        <w:t>United Energy</w:t>
      </w:r>
      <w:bookmarkEnd w:id="15"/>
    </w:p>
    <w:p w:rsidR="006247B6" w:rsidRDefault="006247B6" w:rsidP="006247B6">
      <w:pPr>
        <w:pStyle w:val="AERbodytext"/>
      </w:pPr>
      <w:r w:rsidRPr="008C65CD">
        <w:t xml:space="preserve">United Energy claimed $87 360 in DMIA expenditure for </w:t>
      </w:r>
      <w:r>
        <w:t xml:space="preserve">the </w:t>
      </w:r>
      <w:r w:rsidRPr="008C65CD">
        <w:t xml:space="preserve">District Energy Service Scheme </w:t>
      </w:r>
      <w:r>
        <w:t xml:space="preserve">(DESS) </w:t>
      </w:r>
      <w:r w:rsidRPr="00CB59CA">
        <w:t>project</w:t>
      </w:r>
      <w:r>
        <w:t xml:space="preserve">. United Energy </w:t>
      </w:r>
      <w:r w:rsidR="0033263A">
        <w:t xml:space="preserve">formalised a Memorandum of Understanding (MoU) with Manningham City Council in providing support for </w:t>
      </w:r>
      <w:r>
        <w:t>joint</w:t>
      </w:r>
      <w:r w:rsidR="0033263A">
        <w:t>ly planned</w:t>
      </w:r>
      <w:r>
        <w:t xml:space="preserve"> initiative</w:t>
      </w:r>
      <w:r w:rsidR="0033263A">
        <w:t>s</w:t>
      </w:r>
      <w:r>
        <w:t xml:space="preserve"> </w:t>
      </w:r>
      <w:r w:rsidR="0033263A">
        <w:t>within the Doncaster Hill Smart Energy Zone. The MoU provides for United Energy to assist the Coun</w:t>
      </w:r>
      <w:r w:rsidR="00290368">
        <w:t>c</w:t>
      </w:r>
      <w:r w:rsidR="0033263A">
        <w:t>il to explore and facilitate projects which promote sustai</w:t>
      </w:r>
      <w:r w:rsidR="00290368">
        <w:t>n</w:t>
      </w:r>
      <w:r w:rsidR="0033263A">
        <w:t xml:space="preserve">able energy development and demand management opportunities within Doncaster Hill Smart Energy Zone. </w:t>
      </w:r>
      <w:r>
        <w:t xml:space="preserve">United Energy </w:t>
      </w:r>
      <w:r w:rsidR="0033263A">
        <w:t xml:space="preserve">is also providing in-kind labour and </w:t>
      </w:r>
      <w:r w:rsidR="00DB750F">
        <w:t xml:space="preserve">financial </w:t>
      </w:r>
      <w:r>
        <w:t xml:space="preserve">support to the </w:t>
      </w:r>
      <w:r w:rsidR="0033263A">
        <w:t>C</w:t>
      </w:r>
      <w:r>
        <w:t>ouncil through the DMIA allowance where external consulting resources were required for the development of the project.</w:t>
      </w:r>
    </w:p>
    <w:p w:rsidR="006247B6" w:rsidRDefault="006247B6" w:rsidP="006247B6">
      <w:pPr>
        <w:pStyle w:val="AERbodytext"/>
      </w:pPr>
      <w:r>
        <w:t xml:space="preserve">The DESS project aims to establish a working, commercially feasible district energy services scheme in the Doncaster Hill Smart Energy Zone. </w:t>
      </w:r>
      <w:r w:rsidR="00E63DBE">
        <w:t xml:space="preserve">The project </w:t>
      </w:r>
      <w:r w:rsidR="00DA56F5">
        <w:t>will</w:t>
      </w:r>
      <w:r w:rsidR="00E63DBE">
        <w:t xml:space="preserve"> combine tri-generation and demand management (thermal storage) facilities to allow a shift and reduction in peak demand. </w:t>
      </w:r>
      <w:r>
        <w:t xml:space="preserve">The DESS project focuses on meeting </w:t>
      </w:r>
      <w:r w:rsidR="005D7873">
        <w:t xml:space="preserve">both </w:t>
      </w:r>
      <w:r>
        <w:t>the Council’s objective of reducing greenhouse gas emissions</w:t>
      </w:r>
      <w:r w:rsidR="00E63DBE">
        <w:t xml:space="preserve"> and United Energy’s objective </w:t>
      </w:r>
      <w:r w:rsidR="005D7873">
        <w:t>to</w:t>
      </w:r>
      <w:r w:rsidR="00E63DBE">
        <w:t xml:space="preserve"> defer network augmentation</w:t>
      </w:r>
      <w:r w:rsidR="00DB750F">
        <w:t>.</w:t>
      </w:r>
    </w:p>
    <w:p w:rsidR="006247B6" w:rsidRPr="008C65CD" w:rsidRDefault="006247B6" w:rsidP="006247B6">
      <w:pPr>
        <w:pStyle w:val="AERbodytext"/>
        <w:rPr>
          <w:b/>
        </w:rPr>
      </w:pPr>
      <w:r>
        <w:t xml:space="preserve">Further details about the project can be found in United Energy’s DMIS report. </w:t>
      </w:r>
      <w:r w:rsidR="0088172B">
        <w:t>We</w:t>
      </w:r>
      <w:r>
        <w:t xml:space="preserve"> approved United Energy’s DMIA expenditure in 2012 because it meets the DMIA criteria set out in table</w:t>
      </w:r>
      <w:r w:rsidR="00A91E1E">
        <w:t> </w:t>
      </w:r>
      <w:r>
        <w:t>B.6.</w:t>
      </w:r>
    </w:p>
    <w:p w:rsidR="00D577AD" w:rsidRPr="00713C9C" w:rsidRDefault="00D577AD" w:rsidP="004B1E5D">
      <w:pPr>
        <w:pStyle w:val="AERbodytext"/>
        <w:rPr>
          <w:b/>
        </w:rPr>
      </w:pPr>
    </w:p>
    <w:p w:rsidR="002E26C8" w:rsidRDefault="00155829" w:rsidP="00B85A41">
      <w:pPr>
        <w:pStyle w:val="AERheading1"/>
      </w:pPr>
      <w:bookmarkStart w:id="16" w:name="_Toc361034309"/>
      <w:r w:rsidRPr="00BC3E30">
        <w:lastRenderedPageBreak/>
        <w:t>Conclusion</w:t>
      </w:r>
      <w:bookmarkEnd w:id="16"/>
    </w:p>
    <w:p w:rsidR="002E26C8" w:rsidRDefault="0088172B" w:rsidP="002E26C8">
      <w:pPr>
        <w:pStyle w:val="AERbulletlistfirststyle"/>
        <w:numPr>
          <w:ilvl w:val="0"/>
          <w:numId w:val="0"/>
        </w:numPr>
        <w:tabs>
          <w:tab w:val="left" w:pos="567"/>
        </w:tabs>
        <w:spacing w:after="240" w:line="360" w:lineRule="auto"/>
      </w:pPr>
      <w:r>
        <w:t>We</w:t>
      </w:r>
      <w:r w:rsidR="002E26C8" w:rsidRPr="00BC3E30">
        <w:t xml:space="preserve"> conducted the 2011–12 and 2012 DMIA compliance assessments based on the annual DMIS reports </w:t>
      </w:r>
      <w:r>
        <w:t>we</w:t>
      </w:r>
      <w:r w:rsidR="002E26C8" w:rsidRPr="00BC3E30">
        <w:t xml:space="preserve"> received from DNSPs, excluding Energex and SAPN who did not claim DMIA expenditure in 2011–12. </w:t>
      </w:r>
    </w:p>
    <w:p w:rsidR="002E26C8" w:rsidRDefault="002E26C8" w:rsidP="002E26C8">
      <w:pPr>
        <w:pStyle w:val="AERbulletlistfirststyle"/>
        <w:numPr>
          <w:ilvl w:val="0"/>
          <w:numId w:val="0"/>
        </w:numPr>
        <w:tabs>
          <w:tab w:val="left" w:pos="567"/>
        </w:tabs>
        <w:spacing w:after="240" w:line="360" w:lineRule="auto"/>
      </w:pPr>
      <w:r w:rsidRPr="00424B09">
        <w:t xml:space="preserve">The DNSPs have claimed DMIA expenditure for a variety of projects aimed at managing demand. The projects undertaken vary considerably in both their nature and scale. </w:t>
      </w:r>
      <w:r w:rsidRPr="000F0DC2">
        <w:t>They range from those which assess cu</w:t>
      </w:r>
      <w:r>
        <w:t>stomer</w:t>
      </w:r>
      <w:r w:rsidRPr="000F0DC2">
        <w:t>s</w:t>
      </w:r>
      <w:r>
        <w:t>’</w:t>
      </w:r>
      <w:r w:rsidRPr="000F0DC2">
        <w:t xml:space="preserve"> responses to financial incentives </w:t>
      </w:r>
      <w:r w:rsidRPr="00184D6B">
        <w:t>to the promotion of energy sustainability in new residential areas to</w:t>
      </w:r>
      <w:r w:rsidRPr="00B2468C">
        <w:t xml:space="preserve"> testing residential battery storage</w:t>
      </w:r>
      <w:r w:rsidRPr="00424B09">
        <w:t xml:space="preserve">. </w:t>
      </w:r>
    </w:p>
    <w:p w:rsidR="002E26C8" w:rsidRPr="00BC3E30" w:rsidRDefault="002E26C8" w:rsidP="002E26C8">
      <w:pPr>
        <w:pStyle w:val="AERbulletlistfirststyle"/>
        <w:numPr>
          <w:ilvl w:val="0"/>
          <w:numId w:val="0"/>
        </w:numPr>
        <w:tabs>
          <w:tab w:val="left" w:pos="567"/>
        </w:tabs>
        <w:spacing w:after="240" w:line="360" w:lineRule="auto"/>
      </w:pPr>
      <w:r w:rsidRPr="00BC3E30">
        <w:t xml:space="preserve">The </w:t>
      </w:r>
      <w:r w:rsidR="00F920CE" w:rsidRPr="00BC3E30">
        <w:t xml:space="preserve">non-Victorian DNSPs </w:t>
      </w:r>
      <w:r w:rsidRPr="00BC3E30">
        <w:t xml:space="preserve">sought approval of 22 DMIA projects totalling $2 218 125. This is more than double the DMIA expenditure spent in </w:t>
      </w:r>
      <w:r w:rsidR="00F920CE">
        <w:t>the previous regulatory year</w:t>
      </w:r>
      <w:r w:rsidRPr="00BC3E30">
        <w:t xml:space="preserve">. </w:t>
      </w:r>
      <w:r w:rsidR="003475A9">
        <w:t>T</w:t>
      </w:r>
      <w:r>
        <w:t xml:space="preserve">he Victorian DNSPs claimed </w:t>
      </w:r>
      <w:r w:rsidRPr="00263E25">
        <w:t>$564 515</w:t>
      </w:r>
      <w:r>
        <w:t xml:space="preserve"> in DMIA expenditure for six projects. </w:t>
      </w:r>
      <w:r w:rsidR="00537611">
        <w:t>This is about the same level of expenditure claimed in 2011. However, the</w:t>
      </w:r>
      <w:r w:rsidR="005F3400">
        <w:t xml:space="preserve"> number of DMIA projects </w:t>
      </w:r>
      <w:r w:rsidR="00DB750F">
        <w:t xml:space="preserve">increased </w:t>
      </w:r>
      <w:r w:rsidR="005F3400">
        <w:t xml:space="preserve">from three projects </w:t>
      </w:r>
      <w:r w:rsidR="00537611">
        <w:t xml:space="preserve">in 2011 to </w:t>
      </w:r>
      <w:r w:rsidR="00DB750F">
        <w:t xml:space="preserve">six </w:t>
      </w:r>
      <w:r w:rsidR="005F3400">
        <w:t>in 2012</w:t>
      </w:r>
      <w:r>
        <w:t xml:space="preserve">. </w:t>
      </w:r>
      <w:r w:rsidR="00FB07A0">
        <w:t>In the current regulatory control period</w:t>
      </w:r>
      <w:r>
        <w:t xml:space="preserve">, the Victorian DNSPs </w:t>
      </w:r>
      <w:r w:rsidR="001B5715">
        <w:t xml:space="preserve">have </w:t>
      </w:r>
      <w:r>
        <w:t>claimed $1 131 680 in DMIA expenditure.</w:t>
      </w:r>
    </w:p>
    <w:p w:rsidR="002E26C8" w:rsidRDefault="0088172B" w:rsidP="002E26C8">
      <w:pPr>
        <w:pStyle w:val="AERbulletlistfirststyle"/>
        <w:numPr>
          <w:ilvl w:val="0"/>
          <w:numId w:val="0"/>
        </w:numPr>
        <w:tabs>
          <w:tab w:val="left" w:pos="567"/>
        </w:tabs>
        <w:spacing w:after="240" w:line="360" w:lineRule="auto"/>
      </w:pPr>
      <w:r>
        <w:t>We have</w:t>
      </w:r>
      <w:r w:rsidR="002E26C8" w:rsidRPr="00424B09">
        <w:t xml:space="preserve"> approved the DMIA expenditure claimed by the DNSPs as the expenditure complies with the DMIA criteria. </w:t>
      </w:r>
      <w:r w:rsidR="002E26C8" w:rsidRPr="00951CE0">
        <w:t>This expenditure accounts for approximately 14</w:t>
      </w:r>
      <w:r w:rsidR="002E26C8" w:rsidRPr="00951CE0" w:rsidDel="00D17D4D">
        <w:t xml:space="preserve"> </w:t>
      </w:r>
      <w:r w:rsidR="002E26C8" w:rsidRPr="00951CE0">
        <w:t>per cent of the total DMIA allowance available to the non-Victorian DNSPs, and 1</w:t>
      </w:r>
      <w:r w:rsidR="00537611">
        <w:t>1</w:t>
      </w:r>
      <w:r w:rsidR="002E26C8" w:rsidRPr="00951CE0">
        <w:t xml:space="preserve"> per cent </w:t>
      </w:r>
      <w:r w:rsidR="002E26C8">
        <w:t>available to</w:t>
      </w:r>
      <w:r w:rsidR="002E26C8" w:rsidRPr="00951CE0">
        <w:t xml:space="preserve"> the Victorian DNSPs, in their respective regulatory periods. </w:t>
      </w:r>
    </w:p>
    <w:p w:rsidR="00537611" w:rsidRDefault="00537611" w:rsidP="002E26C8">
      <w:pPr>
        <w:pStyle w:val="AERbulletlistfirststyle"/>
        <w:numPr>
          <w:ilvl w:val="0"/>
          <w:numId w:val="0"/>
        </w:numPr>
        <w:tabs>
          <w:tab w:val="left" w:pos="567"/>
        </w:tabs>
        <w:spacing w:after="240" w:line="360" w:lineRule="auto"/>
      </w:pPr>
      <w:r>
        <w:t xml:space="preserve">In general the businesses have not made significant use of the DMIA, however, it is noted that the DMIS allows the businesses to spend their allowances in any profile they chose subject to the constraint that they cannot recover more than the approved allowance. </w:t>
      </w:r>
    </w:p>
    <w:p w:rsidR="00537611" w:rsidRPr="00537611" w:rsidRDefault="00537611" w:rsidP="002E26C8">
      <w:pPr>
        <w:pStyle w:val="AERbulletlistfirststyle"/>
        <w:numPr>
          <w:ilvl w:val="0"/>
          <w:numId w:val="0"/>
        </w:numPr>
        <w:tabs>
          <w:tab w:val="left" w:pos="567"/>
        </w:tabs>
        <w:spacing w:after="240" w:line="360" w:lineRule="auto"/>
      </w:pPr>
    </w:p>
    <w:p w:rsidR="002E26C8" w:rsidRPr="002E26C8" w:rsidRDefault="002E26C8" w:rsidP="005F3400"/>
    <w:p w:rsidR="00155829" w:rsidRPr="00C36D0C" w:rsidRDefault="00155829" w:rsidP="00155829">
      <w:pPr>
        <w:pStyle w:val="AERunnumberedheading"/>
      </w:pPr>
      <w:bookmarkStart w:id="17" w:name="_Toc361034310"/>
      <w:r w:rsidRPr="00C36D0C">
        <w:lastRenderedPageBreak/>
        <w:t>Appendix A</w:t>
      </w:r>
      <w:bookmarkEnd w:id="17"/>
    </w:p>
    <w:p w:rsidR="00155829" w:rsidRPr="00C36D0C" w:rsidRDefault="00155829" w:rsidP="00155829">
      <w:pPr>
        <w:pStyle w:val="AERheading4"/>
      </w:pPr>
      <w:r w:rsidRPr="00C36D0C">
        <w:t>Table A.1</w:t>
      </w:r>
      <w:r w:rsidRPr="00C36D0C">
        <w:tab/>
        <w:t xml:space="preserve">AER assessment of ActewAGL's </w:t>
      </w:r>
      <w:r w:rsidR="00537611" w:rsidRPr="00C36D0C">
        <w:t>2011–12</w:t>
      </w:r>
      <w:r w:rsidR="00537611">
        <w:t xml:space="preserve"> </w:t>
      </w:r>
      <w:r w:rsidRPr="00C36D0C">
        <w:t xml:space="preserve">DMIA expenditure </w:t>
      </w:r>
    </w:p>
    <w:p w:rsidR="00155829" w:rsidRPr="00C36D0C" w:rsidRDefault="00155829" w:rsidP="00155829">
      <w:pPr>
        <w:pStyle w:val="AERtabletextheading"/>
      </w:pPr>
      <w:r w:rsidRPr="00C36D0C">
        <w:t>Project 1: Power Factor Correction Equipment</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EB6A11"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C36D0C" w:rsidRDefault="00155829" w:rsidP="00846193">
            <w:pPr>
              <w:pStyle w:val="AERtabletextheading"/>
              <w:keepNext/>
              <w:rPr>
                <w:bCs/>
                <w:sz w:val="16"/>
              </w:rPr>
            </w:pPr>
            <w:r w:rsidRPr="00C36D0C">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C36D0C" w:rsidRDefault="00155829" w:rsidP="00846193">
            <w:pPr>
              <w:pStyle w:val="AERtabletextheading"/>
              <w:keepNext/>
              <w:rPr>
                <w:bCs/>
                <w:sz w:val="16"/>
              </w:rPr>
            </w:pPr>
            <w:r w:rsidRPr="00C36D0C">
              <w:rPr>
                <w:bCs/>
                <w:sz w:val="16"/>
              </w:rPr>
              <w:t>Reason for approval</w:t>
            </w:r>
          </w:p>
        </w:tc>
      </w:tr>
      <w:tr w:rsidR="00155829" w:rsidRPr="00EB6A11"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p w:rsidR="00155829" w:rsidRPr="00C36D0C" w:rsidRDefault="00155829" w:rsidP="00846193">
            <w:pPr>
              <w:pStyle w:val="AERtabletext"/>
              <w:keepNext/>
            </w:pP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ActewAGL's PFC project is consistent with this criterion because it is a measure undertaken by ActewAGL to reduce peak apparent demand on commercial feeders. The project aims to reduce demand for standard control services by identifying customers for whom suitable power correction equipment may be installed.</w:t>
            </w:r>
          </w:p>
        </w:tc>
      </w:tr>
      <w:tr w:rsidR="00155829" w:rsidRPr="00EB6A11"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may be: </w:t>
            </w:r>
          </w:p>
          <w:p w:rsidR="00155829" w:rsidRPr="00C36D0C" w:rsidRDefault="00155829" w:rsidP="00846193">
            <w:pPr>
              <w:pStyle w:val="AERtabletext"/>
              <w:keepNext/>
            </w:pPr>
            <w:r w:rsidRPr="00C36D0C">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C36D0C" w:rsidRDefault="00155829" w:rsidP="00846193">
            <w:pPr>
              <w:pStyle w:val="AERtabletext"/>
              <w:keepNext/>
            </w:pPr>
            <w:r w:rsidRPr="00C36D0C">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ActewAGL's PFC project is consistent with this criterion because it is a broad based demand management project targeting large commercial customers.</w:t>
            </w: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tc>
      </w:tr>
      <w:tr w:rsidR="00155829" w:rsidRPr="00EB6A11"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ActewAGL's PFC project is consistent with this criterion because it will explore potentially efficient demand management mechanisms in terms of power factor correction equipment installation in existing premises.</w:t>
            </w:r>
          </w:p>
          <w:p w:rsidR="00155829" w:rsidRPr="00C36D0C" w:rsidRDefault="00155829" w:rsidP="00846193">
            <w:pPr>
              <w:pStyle w:val="AERtabletext"/>
              <w:keepNext/>
            </w:pPr>
          </w:p>
        </w:tc>
      </w:tr>
      <w:tr w:rsidR="00155829" w:rsidRPr="00EB6A11"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ActewAGL's PFC project is non-tariff based.</w:t>
            </w:r>
          </w:p>
          <w:p w:rsidR="00155829" w:rsidRPr="00C36D0C" w:rsidRDefault="00155829" w:rsidP="00846193">
            <w:pPr>
              <w:pStyle w:val="AERtabletext"/>
              <w:keepNext/>
            </w:pPr>
          </w:p>
        </w:tc>
      </w:tr>
      <w:tr w:rsidR="00155829" w:rsidRPr="00EB6A11"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Costs recovered under this scheme: </w:t>
            </w:r>
          </w:p>
          <w:p w:rsidR="00155829" w:rsidRPr="00C36D0C" w:rsidRDefault="00155829" w:rsidP="00846193">
            <w:pPr>
              <w:pStyle w:val="AERtabletext"/>
              <w:keepNext/>
            </w:pPr>
            <w:r w:rsidRPr="00C36D0C">
              <w:t xml:space="preserve">a. must not be recoverable under any other jurisdictional incentive scheme </w:t>
            </w:r>
          </w:p>
          <w:p w:rsidR="00155829" w:rsidRPr="00C36D0C" w:rsidRDefault="00155829" w:rsidP="00846193">
            <w:pPr>
              <w:pStyle w:val="AERtabletext"/>
              <w:keepNext/>
            </w:pPr>
            <w:r w:rsidRPr="00C36D0C">
              <w:t xml:space="preserve">b. must not be recoverable under any other state or Australian Government scheme </w:t>
            </w:r>
          </w:p>
          <w:p w:rsidR="00155829" w:rsidRPr="00C36D0C" w:rsidRDefault="00155829" w:rsidP="00846193">
            <w:pPr>
              <w:pStyle w:val="AERtabletext"/>
              <w:keepNext/>
            </w:pPr>
            <w:r w:rsidRPr="00C36D0C">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ActewAGL's DMIA report for the PFC project contains a statement to this effect.</w:t>
            </w: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tc>
      </w:tr>
      <w:tr w:rsidR="00155829" w:rsidRPr="00EB6A11"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Expenditure under the DMIA can be in the nature of capex or opex. </w:t>
            </w:r>
          </w:p>
          <w:p w:rsidR="00155829" w:rsidRPr="00C36D0C" w:rsidRDefault="00155829" w:rsidP="00846193">
            <w:pPr>
              <w:pStyle w:val="AERtabletext"/>
              <w:keepNext/>
            </w:pP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ActewAGL has claimed expenditure for the PFC project as opex.</w:t>
            </w:r>
          </w:p>
          <w:p w:rsidR="00155829" w:rsidRPr="00C36D0C" w:rsidRDefault="00155829" w:rsidP="00846193">
            <w:pPr>
              <w:pStyle w:val="AERtabletext"/>
              <w:keepNext/>
            </w:pPr>
          </w:p>
        </w:tc>
      </w:tr>
    </w:tbl>
    <w:p w:rsidR="00155829" w:rsidRPr="00C36D0C" w:rsidRDefault="00155829" w:rsidP="00155829">
      <w:pPr>
        <w:pStyle w:val="AERheading4"/>
      </w:pPr>
      <w:r w:rsidRPr="00EB6A11">
        <w:rPr>
          <w:highlight w:val="yellow"/>
        </w:rPr>
        <w:br w:type="page"/>
      </w:r>
      <w:r w:rsidRPr="00C36D0C">
        <w:lastRenderedPageBreak/>
        <w:t>Table A.2</w:t>
      </w:r>
      <w:r w:rsidRPr="00C36D0C">
        <w:tab/>
        <w:t xml:space="preserve">AER assessment of Ausgrid's </w:t>
      </w:r>
      <w:r w:rsidR="00537611" w:rsidRPr="00C36D0C">
        <w:t>2011–12</w:t>
      </w:r>
      <w:r w:rsidR="00537611">
        <w:t xml:space="preserve"> </w:t>
      </w:r>
      <w:r w:rsidRPr="00C36D0C">
        <w:t xml:space="preserve">DMIA expenditure </w:t>
      </w:r>
    </w:p>
    <w:p w:rsidR="00155829" w:rsidRPr="00C36D0C" w:rsidRDefault="00155829" w:rsidP="00155829">
      <w:pPr>
        <w:pStyle w:val="AERtabletextheading"/>
      </w:pPr>
      <w:r w:rsidRPr="00C36D0C">
        <w:t>Project 1: Reliability Improvements for Large Embedded Generators</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C36D0C"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C36D0C" w:rsidRDefault="00155829" w:rsidP="00846193">
            <w:pPr>
              <w:pStyle w:val="AERtabletextheading"/>
              <w:keepNext/>
              <w:rPr>
                <w:bCs/>
                <w:sz w:val="16"/>
              </w:rPr>
            </w:pPr>
            <w:r w:rsidRPr="00C36D0C">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C36D0C" w:rsidRDefault="00155829" w:rsidP="00846193">
            <w:pPr>
              <w:pStyle w:val="AERtabletextheading"/>
              <w:keepNext/>
              <w:rPr>
                <w:bCs/>
                <w:sz w:val="16"/>
              </w:rPr>
            </w:pPr>
            <w:r w:rsidRPr="00C36D0C">
              <w:rPr>
                <w:bCs/>
                <w:sz w:val="16"/>
              </w:rPr>
              <w:t>Reason for approval</w:t>
            </w:r>
          </w:p>
        </w:tc>
      </w:tr>
      <w:tr w:rsidR="00155829" w:rsidRPr="00C36D0C"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Ausgrid's RILEG project involves the use of network support provided by embedded generators to manage demand in peak demand periods avoiding the need for network augmentation.</w:t>
            </w:r>
          </w:p>
          <w:p w:rsidR="00155829" w:rsidRPr="00C36D0C" w:rsidRDefault="00155829" w:rsidP="00846193">
            <w:pPr>
              <w:pStyle w:val="AERtabletext"/>
              <w:keepNext/>
            </w:pPr>
          </w:p>
        </w:tc>
      </w:tr>
      <w:tr w:rsidR="00155829" w:rsidRPr="00C36D0C"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may be: </w:t>
            </w:r>
          </w:p>
          <w:p w:rsidR="00155829" w:rsidRPr="00C36D0C" w:rsidRDefault="00155829" w:rsidP="00846193">
            <w:pPr>
              <w:pStyle w:val="AERtabletext"/>
              <w:keepNext/>
            </w:pPr>
            <w:r w:rsidRPr="00C36D0C">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C36D0C" w:rsidRDefault="00155829" w:rsidP="00846193">
            <w:pPr>
              <w:pStyle w:val="AERtabletext"/>
              <w:keepNext/>
            </w:pPr>
            <w:r w:rsidRPr="00C36D0C">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Ausgrid's RILEG project is consistent with this criterion because it is a peak demand management project which aims to reduce demand on the network during the winter peak period.</w:t>
            </w: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tc>
      </w:tr>
      <w:tr w:rsidR="00155829" w:rsidRPr="00C36D0C"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Ausgrid's RILEG project is consistent with this criterion because it will explore potentially efficient demand management mechanisms.</w:t>
            </w:r>
          </w:p>
        </w:tc>
      </w:tr>
      <w:tr w:rsidR="00155829" w:rsidRPr="00C36D0C"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Ausgrid's RILEG project is non-tariff based.</w:t>
            </w:r>
          </w:p>
          <w:p w:rsidR="00155829" w:rsidRPr="00C36D0C" w:rsidRDefault="00155829" w:rsidP="00846193">
            <w:pPr>
              <w:pStyle w:val="AERtabletext"/>
              <w:keepNext/>
            </w:pPr>
          </w:p>
        </w:tc>
      </w:tr>
      <w:tr w:rsidR="00155829" w:rsidRPr="00C36D0C" w:rsidTr="00846193">
        <w:tc>
          <w:tcPr>
            <w:tcW w:w="4307" w:type="dxa"/>
            <w:shd w:val="clear" w:color="auto" w:fill="auto"/>
            <w:noWrap/>
            <w:tcMar>
              <w:top w:w="0" w:type="dxa"/>
              <w:bottom w:w="0" w:type="dxa"/>
            </w:tcMar>
            <w:vAlign w:val="center"/>
          </w:tcPr>
          <w:p w:rsidR="00155829" w:rsidRPr="00C36D0C" w:rsidRDefault="00155829" w:rsidP="00846193">
            <w:pPr>
              <w:pStyle w:val="AERtabletext"/>
              <w:keepNext/>
            </w:pPr>
            <w:r w:rsidRPr="00C36D0C">
              <w:t xml:space="preserve">Costs recovered under this scheme: </w:t>
            </w:r>
          </w:p>
          <w:p w:rsidR="00155829" w:rsidRPr="00C36D0C" w:rsidRDefault="00155829" w:rsidP="00846193">
            <w:pPr>
              <w:pStyle w:val="AERtabletext"/>
              <w:keepNext/>
            </w:pPr>
            <w:r w:rsidRPr="00C36D0C">
              <w:t xml:space="preserve">a. must not be recoverable under any other jurisdictional incentive scheme </w:t>
            </w:r>
          </w:p>
          <w:p w:rsidR="00155829" w:rsidRPr="00C36D0C" w:rsidRDefault="00155829" w:rsidP="00846193">
            <w:pPr>
              <w:pStyle w:val="AERtabletext"/>
              <w:keepNext/>
            </w:pPr>
            <w:r w:rsidRPr="00C36D0C">
              <w:t xml:space="preserve">b. must not be recoverable under any other state or Australian Government scheme </w:t>
            </w:r>
          </w:p>
          <w:p w:rsidR="00155829" w:rsidRPr="00C36D0C" w:rsidRDefault="00155829" w:rsidP="00846193">
            <w:pPr>
              <w:pStyle w:val="AERtabletext"/>
              <w:keepNext/>
            </w:pPr>
            <w:r w:rsidRPr="00C36D0C">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C36D0C" w:rsidRDefault="00155829" w:rsidP="00846193">
            <w:pPr>
              <w:pStyle w:val="AERtabletext"/>
              <w:keepNext/>
            </w:pPr>
            <w:r w:rsidRPr="00C36D0C">
              <w:t>Ausgrid's DMIA report for the RILEG project contains a statement to this effect.</w:t>
            </w: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p w:rsidR="00155829" w:rsidRPr="00C36D0C" w:rsidRDefault="00155829" w:rsidP="00846193">
            <w:pPr>
              <w:pStyle w:val="AERtabletext"/>
              <w:keepNext/>
            </w:pPr>
          </w:p>
        </w:tc>
      </w:tr>
      <w:tr w:rsidR="00155829" w:rsidRPr="00EB6A11" w:rsidTr="00846193">
        <w:tc>
          <w:tcPr>
            <w:tcW w:w="4307" w:type="dxa"/>
            <w:shd w:val="clear" w:color="auto" w:fill="F8B47C"/>
            <w:noWrap/>
            <w:tcMar>
              <w:top w:w="0" w:type="dxa"/>
              <w:bottom w:w="0" w:type="dxa"/>
            </w:tcMar>
            <w:vAlign w:val="center"/>
          </w:tcPr>
          <w:p w:rsidR="00155829" w:rsidRPr="00C36D0C" w:rsidRDefault="00155829" w:rsidP="00846193">
            <w:pPr>
              <w:pStyle w:val="AERtabletext"/>
              <w:keepNext/>
            </w:pPr>
            <w:r w:rsidRPr="00C36D0C">
              <w:t xml:space="preserve">Expenditure under the DMIA can be in the nature of capex or opex. </w:t>
            </w:r>
          </w:p>
          <w:p w:rsidR="00155829" w:rsidRPr="00C36D0C" w:rsidRDefault="00155829" w:rsidP="00846193">
            <w:pPr>
              <w:pStyle w:val="AERtabletext"/>
              <w:keepNext/>
            </w:pPr>
          </w:p>
        </w:tc>
        <w:tc>
          <w:tcPr>
            <w:tcW w:w="4306" w:type="dxa"/>
            <w:shd w:val="clear" w:color="auto" w:fill="F8B47C"/>
            <w:noWrap/>
            <w:tcMar>
              <w:top w:w="0" w:type="dxa"/>
              <w:bottom w:w="0" w:type="dxa"/>
            </w:tcMar>
            <w:vAlign w:val="center"/>
          </w:tcPr>
          <w:p w:rsidR="00155829" w:rsidRPr="00C36D0C" w:rsidRDefault="00155829" w:rsidP="00846193">
            <w:pPr>
              <w:pStyle w:val="AERtabletext"/>
              <w:keepNext/>
            </w:pPr>
            <w:r w:rsidRPr="00C36D0C">
              <w:t>Ausgrid has claimed DMIA expenditure for the RILEG project as opex.</w:t>
            </w:r>
          </w:p>
          <w:p w:rsidR="00155829" w:rsidRPr="00C36D0C" w:rsidRDefault="00155829" w:rsidP="00846193">
            <w:pPr>
              <w:pStyle w:val="AERtabletext"/>
              <w:keepNext/>
            </w:pPr>
          </w:p>
        </w:tc>
      </w:tr>
    </w:tbl>
    <w:p w:rsidR="00155829" w:rsidRPr="004728B0" w:rsidRDefault="00155829" w:rsidP="00155829">
      <w:pPr>
        <w:pStyle w:val="AERheading4"/>
      </w:pPr>
      <w:r w:rsidRPr="00EB6A11">
        <w:rPr>
          <w:highlight w:val="yellow"/>
        </w:rPr>
        <w:br w:type="page"/>
      </w:r>
      <w:r w:rsidRPr="004728B0">
        <w:lastRenderedPageBreak/>
        <w:t>Table A.3</w:t>
      </w:r>
      <w:r w:rsidRPr="004728B0">
        <w:tab/>
        <w:t xml:space="preserve">AER assessment of Ausgrid's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2: Dynamic Load Control (DLC) of Small Hot Water Systems</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DLC project is consistent with this criterion because it is a measure undertaken by Ausgrid to manage network demand by implementing dynamic load control of small and medium sized hot water systems.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DLC project is a broad based demand management program which aims to reduce demand for standard control services across the network.</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DLC project is consistent with this criterion because it will explore potentially efficient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DLC project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DMIA report for the DLC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 has claimed DMIA expenditure for the DLC project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A.4</w:t>
      </w:r>
      <w:r w:rsidRPr="004728B0">
        <w:tab/>
        <w:t xml:space="preserve">AER assessment of Ausgrid's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3: CBD Embedded Generator Connection Trial</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CBD Embedded Generator Connection Trial is consistent with this criterion because it is a measure undertaken by Ausgrid to reducing demand for standard control services through identifying fault level and feeder imbalance issues.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CBD Embedded Generator Connection Trial is a peak demand management project which aims to reduce specific network constraints by reducing demand on the network at the location and time of the constraint.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CBD Embedded Generator Connection Trial is consistent with this criterion because it will explore potentially efficient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CBD Embedded Generator Connection Trial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DMIA report for the CBD Embedded Generator Connection Trial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 has claimed DMIA expenditure for the CBD Embedded Generator Connection Trial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A.5</w:t>
      </w:r>
      <w:r w:rsidRPr="004728B0">
        <w:tab/>
        <w:t xml:space="preserve">AER assessment of Ausgrid's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4: Subsidised Off-peak Hot Water Connections program</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Subsidised Off-peak Hot Water Connections program is consistent with this criterion because it is a measure undertaken by Ausgrid to reduce demand for standard control services through encouraging customers to connect hot water systems to off peak electricity supply.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Subsidised Off-peak Hot Water Connections program is a peak demand management project which aims to reduce specific network constraints by reducing demand at a specific point on the network.</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Subsidised Off-peak Hot Water Connections program is consistent with this criterion because it will explore potentially efficient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Subsidised Off-peak Hot Water Connections program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DMIA report for the Subsidised Off-peak Hot Water Connections program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 has claimed DMIA expenditure for the Subsidised Off-peak Hot Water Connections program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A.6</w:t>
      </w:r>
      <w:r w:rsidRPr="004728B0">
        <w:tab/>
        <w:t xml:space="preserve">AER assessment of Ausgrid's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5: Market research for residential air conditioner and pool pump options program</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market research for residential air conditioner and pool pump options program is consistent with this criterion because it is a measure undertaken by Ausgrid to better understand the number of households who are willing to participate in control options and product parameters.</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market research for residential air conditioner and pool pump options program is a broad based demand management project which aims to reduce demand for standard control services across Ausgrid’s network.</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market research for residential air conditioner and pool pump options program is consistent with this criterion because it is exploring potentially efficient and effective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market research for residential air conditioner and pool pump options program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DMIA report for the market research for residential air conditioner and pool pump options program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 has claimed DMIA expenditure for the market research for residential air conditioner and pool pump options program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A.7</w:t>
      </w:r>
      <w:r w:rsidRPr="004728B0">
        <w:tab/>
        <w:t xml:space="preserve">AER assessment of Ausgrid's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6: Dynamic Peak Rebate (DPR) for medium to large non-residential customers</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DPR trial is consistent with this criterion because it is a measure undertaken by Ausgrid to better understand demand level responses at peak periods in summer and winter.</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DPR trial is consistent with this criterion because it is a broad based demand management project targeting medium to large, low voltage, non-residential customers.</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DPR trial is consistent with this criterion because it is exploring potentially efficient and effective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Ausgrid's DPR trial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Ausgrid's DMIA report for the DPR trial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Ausgrid has claimed DMIA expenditure for the DPR trial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A.8:</w:t>
      </w:r>
      <w:r w:rsidRPr="004728B0">
        <w:rPr>
          <w:rStyle w:val="AERbody"/>
        </w:rPr>
        <w:t xml:space="preserve">   </w:t>
      </w:r>
      <w:r w:rsidRPr="004728B0">
        <w:t xml:space="preserve">AER assessment of Endeavour Energy's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1: Rooty Hill Residential Demand Management Program</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 xml:space="preserve">Reason for approval </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p w:rsidR="00155829" w:rsidRPr="004728B0" w:rsidRDefault="00155829" w:rsidP="00846193">
            <w:pPr>
              <w:pStyle w:val="AERtabletext"/>
              <w:keepNext/>
            </w:pPr>
          </w:p>
          <w:p w:rsidR="00155829" w:rsidRPr="004728B0" w:rsidRDefault="00155829" w:rsidP="00846193">
            <w:pPr>
              <w:pStyle w:val="AERtabletext"/>
              <w:keepNext/>
            </w:pP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Rooty Hill Residential Demand Management (DM) program is consistent with this criterion because it is a measure undertaken by Endeavour Energy to meet demand by reducing peak demand from air conditioning loads. Endeavour Energy's DM program aims to reduce demand for standard control services through non-network alternatives by introducing a peak time rebate which rewards the customer for energy reduction below their calculated baseline during the peak period.</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DM program is consistent with this criterion because it is a peak demand program which aims to reduce specific network constraints by reducing demand on the network at the location and time of the constraint.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DM program is innovative and explores potentially efficient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DM program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DMIA report for the DM program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 has claimed DMIA expenditure for the DM program as capex.</w:t>
            </w:r>
          </w:p>
          <w:p w:rsidR="00155829" w:rsidRPr="004728B0" w:rsidRDefault="00155829" w:rsidP="00846193">
            <w:pPr>
              <w:pStyle w:val="AERtabletext"/>
              <w:keepNext/>
            </w:pPr>
          </w:p>
        </w:tc>
      </w:tr>
    </w:tbl>
    <w:p w:rsidR="00155829" w:rsidRPr="004728B0" w:rsidRDefault="00155829" w:rsidP="00155829">
      <w:pPr>
        <w:pStyle w:val="AERbodytext"/>
      </w:pPr>
    </w:p>
    <w:p w:rsidR="00155829" w:rsidRPr="004728B0" w:rsidRDefault="00155829" w:rsidP="00155829">
      <w:pPr>
        <w:pStyle w:val="AERbodytext"/>
      </w:pPr>
    </w:p>
    <w:p w:rsidR="00155829" w:rsidRPr="004728B0" w:rsidRDefault="00155829" w:rsidP="00155829">
      <w:pPr>
        <w:pStyle w:val="AERheading4"/>
      </w:pPr>
      <w:r w:rsidRPr="004728B0">
        <w:lastRenderedPageBreak/>
        <w:t xml:space="preserve">Table A.9  AER assessment of Endeavour Energy's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2: Standby Power Reporting: PowerView</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p w:rsidR="00155829" w:rsidRPr="004728B0" w:rsidRDefault="00155829" w:rsidP="00846193">
            <w:pPr>
              <w:pStyle w:val="AERtabletext"/>
              <w:keepNext/>
            </w:pPr>
          </w:p>
          <w:p w:rsidR="00155829" w:rsidRPr="004728B0" w:rsidRDefault="00155829" w:rsidP="00846193">
            <w:pPr>
              <w:pStyle w:val="AERtabletext"/>
              <w:keepNext/>
            </w:pP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PowerView project is consistent with this criterion because it is a measure undertaken by Endeavour Energy to meet customer demand by reducing standby power consumption. Endeavour Energy's PowerView project aims to reduce demand for standard control services through non-network alternatives by informing customers of their standby power usage and allowing them to monitor their energy consumption via a web portal.</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PowerView project is consistent with this criterion because it is a broad based demand management project which aims to reduce demand for standard control services for residential customers.</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PowerView project is designed to build demand management capability and capacity by reducing standby power consumption.</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PowerView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DMIA report for the PowerView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 has claimed DMIA expenditure for the PowerView project as opex.</w:t>
            </w:r>
          </w:p>
          <w:p w:rsidR="00155829" w:rsidRPr="004728B0" w:rsidRDefault="00155829" w:rsidP="00846193">
            <w:pPr>
              <w:pStyle w:val="AERtabletext"/>
              <w:keepNext/>
            </w:pPr>
          </w:p>
        </w:tc>
      </w:tr>
    </w:tbl>
    <w:p w:rsidR="00155829" w:rsidRPr="004728B0" w:rsidRDefault="00155829" w:rsidP="00155829">
      <w:pPr>
        <w:pStyle w:val="AERheading4"/>
        <w:ind w:left="1276" w:hanging="1276"/>
      </w:pPr>
      <w:r w:rsidRPr="004728B0">
        <w:rPr>
          <w:rStyle w:val="AERbody"/>
        </w:rPr>
        <w:br w:type="page"/>
      </w:r>
      <w:r w:rsidRPr="004728B0">
        <w:lastRenderedPageBreak/>
        <w:t xml:space="preserve">Table A.10:  AER assessment of Endeavour Energy's </w:t>
      </w:r>
      <w:r w:rsidR="00537611" w:rsidRPr="004728B0">
        <w:t>2011–12</w:t>
      </w:r>
      <w:r w:rsidR="00537611">
        <w:t xml:space="preserve"> </w:t>
      </w:r>
      <w:r w:rsidRPr="004728B0">
        <w:t xml:space="preserve">DMIA expenditure </w:t>
      </w:r>
      <w:r w:rsidRPr="004728B0">
        <w:br/>
      </w:r>
    </w:p>
    <w:p w:rsidR="00155829" w:rsidRPr="004728B0" w:rsidRDefault="00155829" w:rsidP="00155829">
      <w:pPr>
        <w:pStyle w:val="AERtabletextheading"/>
      </w:pPr>
      <w:r w:rsidRPr="004728B0">
        <w:t>Project 3: Glenmore Park Demand Response Trial</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Endeavour Energy's Glenmore Park Demand Response Trial is consistent with this criterion because it is a measure undertaken by Endeavour Energy to reduce demand for standard control services through information acquired from smart meters to reduce peak demand through information from in-house displays. </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Endeavour Energy's Glenmore Park Demand Response Trial is consistent with this criterion because it aims to address specific network constraints by reducing demand at the location and time of the constraint.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Glenmore Park Demand Response Trial is consistent with this criterion because it builds upon Endeavour Energy's PeakSaver program.</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Glenmore Park Demand Response Trial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DMIA report contains a statement to this effect for the Glenmore Park Demand Response Trial.</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 has claimed DMIA expenditure for the Glenmore Park Demand Response Trial as opex and capex.</w:t>
            </w:r>
          </w:p>
          <w:p w:rsidR="00155829" w:rsidRPr="004728B0" w:rsidRDefault="00155829" w:rsidP="00846193">
            <w:pPr>
              <w:pStyle w:val="AERtabletext"/>
              <w:keepNext/>
            </w:pPr>
          </w:p>
        </w:tc>
      </w:tr>
    </w:tbl>
    <w:p w:rsidR="00155829" w:rsidRPr="004728B0" w:rsidRDefault="00155829" w:rsidP="00155829">
      <w:pPr>
        <w:pStyle w:val="AERheading4"/>
        <w:ind w:left="1134" w:hanging="1134"/>
      </w:pPr>
      <w:r w:rsidRPr="004728B0">
        <w:rPr>
          <w:rStyle w:val="AERbody"/>
        </w:rPr>
        <w:br w:type="page"/>
      </w:r>
      <w:r w:rsidRPr="004728B0">
        <w:lastRenderedPageBreak/>
        <w:t xml:space="preserve">Table A.11:  AER assessment of Endeavour Energy's </w:t>
      </w:r>
      <w:r w:rsidR="00537611" w:rsidRPr="004728B0">
        <w:t>2011–12</w:t>
      </w:r>
      <w:r w:rsidR="00537611">
        <w:t xml:space="preserve"> </w:t>
      </w:r>
      <w:r w:rsidRPr="004728B0">
        <w:t xml:space="preserve">DMIA expenditure </w:t>
      </w:r>
      <w:r w:rsidRPr="004728B0">
        <w:br/>
      </w:r>
    </w:p>
    <w:p w:rsidR="00155829" w:rsidRPr="004728B0" w:rsidRDefault="00155829" w:rsidP="00155829">
      <w:pPr>
        <w:pStyle w:val="AERtabletextheading"/>
      </w:pPr>
      <w:r w:rsidRPr="004728B0">
        <w:t>Project 4: Data Analysis and Reporting</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Data Analysis and Reporting project is consistent with this criterion because it is a measure undertaken by Endeavour Energy to meet customer demand through reducing the margin of error in predicting the demand reductions for future demand management projects where reported data and statistics will act as an input into the design of current and future demand management programs.</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Data Analysis and Reporting project is consistent with this criterion because it is a broad based demand management project which aims to reduce demand for standard control services for residential customers</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Data Analysis and Reporting project is consistent with this criterion because it builds upon Endeavour Energy's Blacktown Solar City project and PeakSaver and CoolSaver demand management programs.</w:t>
            </w: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Energy's Data Analysis and Reporting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Endeavour Energy's DMIA report contains a statement to this effect for the Data Analysis and Reporting project.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Endeavour Energy has claimed DMIA expenditure for the Data Analysis and Reporting project as opex.</w:t>
            </w:r>
          </w:p>
          <w:p w:rsidR="00155829" w:rsidRPr="004728B0" w:rsidRDefault="00155829" w:rsidP="00846193">
            <w:pPr>
              <w:pStyle w:val="AERtabletext"/>
              <w:keepNext/>
            </w:pPr>
          </w:p>
        </w:tc>
      </w:tr>
    </w:tbl>
    <w:p w:rsidR="00155829" w:rsidRPr="004728B0" w:rsidRDefault="00155829" w:rsidP="00155829">
      <w:pPr>
        <w:pStyle w:val="AERheading4"/>
      </w:pPr>
      <w:r w:rsidRPr="004728B0">
        <w:rPr>
          <w:rStyle w:val="AERbody"/>
        </w:rPr>
        <w:br w:type="page"/>
      </w:r>
      <w:r w:rsidRPr="004728B0">
        <w:lastRenderedPageBreak/>
        <w:t>Table A.12:</w:t>
      </w:r>
      <w:r w:rsidRPr="004728B0">
        <w:tab/>
        <w:t xml:space="preserve">AER assessment of Ergon Energy's </w:t>
      </w:r>
      <w:r w:rsidR="00537611" w:rsidRPr="004728B0">
        <w:t>2011–12</w:t>
      </w:r>
      <w:r w:rsidR="00537611">
        <w:t xml:space="preserve"> </w:t>
      </w:r>
      <w:r w:rsidRPr="004728B0">
        <w:t xml:space="preserve">DMIA expenditure </w:t>
      </w:r>
    </w:p>
    <w:p w:rsidR="00155829" w:rsidRPr="004728B0" w:rsidRDefault="00155829" w:rsidP="00155829">
      <w:pPr>
        <w:pStyle w:val="AERtabletextheading"/>
      </w:pPr>
      <w:r w:rsidRPr="004728B0">
        <w:t>Project 1: Auto Demand Response Trial</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Ergon Energy's Auto Demand Response trials increased customer participation to reduce peak demand or reduce consumption when the network is under constraint. Ergon Energy’s Auto Demand Response trial will empower customers to make better choices, better utilise network assets and reduce the need for network augmentation. </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Auto Demand Response trial is a broad based management program because it aims to reduce demand for standard control services across Ergon Energy's network.</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Auto Demand Response trial is consistent with this criterion because it is designed to build demand management capability and capacity.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Auto Demand Response trial project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Auto Demand Response trial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Auto Demand Response trial as opex.</w:t>
            </w:r>
          </w:p>
          <w:p w:rsidR="00155829" w:rsidRPr="004728B0" w:rsidRDefault="00155829" w:rsidP="00846193">
            <w:pPr>
              <w:pStyle w:val="AERtabletext"/>
              <w:keepNext/>
            </w:pPr>
          </w:p>
        </w:tc>
      </w:tr>
    </w:tbl>
    <w:p w:rsidR="00155829" w:rsidRPr="004728B0" w:rsidRDefault="00155829" w:rsidP="00155829">
      <w:pPr>
        <w:pStyle w:val="AERbodytext"/>
      </w:pPr>
    </w:p>
    <w:p w:rsidR="00155829" w:rsidRPr="004728B0" w:rsidRDefault="00155829" w:rsidP="00155829">
      <w:pPr>
        <w:pStyle w:val="AERheading4"/>
      </w:pPr>
      <w:r w:rsidRPr="004728B0">
        <w:br w:type="page"/>
      </w:r>
      <w:r w:rsidRPr="004728B0">
        <w:lastRenderedPageBreak/>
        <w:t>Table A.13:</w:t>
      </w:r>
      <w:r w:rsidRPr="004728B0">
        <w:tab/>
        <w:t xml:space="preserve">AER assessment of Ergon Energy's </w:t>
      </w:r>
      <w:r w:rsidR="00537611" w:rsidRPr="004728B0">
        <w:t>201</w:t>
      </w:r>
      <w:r w:rsidR="00537611">
        <w:t>1</w:t>
      </w:r>
      <w:r w:rsidR="00537611" w:rsidRPr="004728B0">
        <w:t>–1</w:t>
      </w:r>
      <w:r w:rsidR="00537611">
        <w:t xml:space="preserve">2 </w:t>
      </w:r>
      <w:r w:rsidRPr="004728B0">
        <w:t xml:space="preserve">DMIA expenditure </w:t>
      </w:r>
    </w:p>
    <w:p w:rsidR="00155829" w:rsidRPr="004728B0" w:rsidRDefault="00155829" w:rsidP="00155829">
      <w:pPr>
        <w:pStyle w:val="AERtabletextheading"/>
      </w:pPr>
      <w:r w:rsidRPr="004728B0">
        <w:t>Project 2: Residential Air Conditioning Cleaning (RACC) Trial</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RACC Trial is consistent with this criterion because it is a measure undertaken to reduce demand for standard control services through             non-network alternatives.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RACC Trial is consistent with this criterion because it is a broad based demand management program aiming to reduce network demand, as more efficiently operating air conditioners will require less electricity.</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RACC Trial is consistent with this criterion because it is exploring potentially different demand management systems.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RACC Trial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RACC Trial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RACC Trial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A.14:</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3: Grid Utility Support System – Phase 2</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GUSS project – Phase 2 is consistent with this criterion because it is a measure undertaken by Ergon Energy to meet customer demand by reducing peak demand through non-network alternatives, such as renewable energy and storage.</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GUSS project – Phase 2 meets this criterion because it is a peak demand management project which aims to reduce the impact peak demand has on specific network constrained areas.</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GUSS project – Phase 2 is designed to build demand management capability and capacity.</w:t>
            </w: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GUSS project – Phase 2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GUSS project – Phase 2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GUSS project – Phase 2 as opex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A.15:</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4: Stockland North Shore Living Display Centre</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D51CCB">
            <w:pPr>
              <w:pStyle w:val="AERtabletext"/>
              <w:keepNext/>
            </w:pPr>
            <w:r w:rsidRPr="004728B0">
              <w:t>Ergon Energy's Stockland North Shore project is a measure undertaken by Ergon Energy to shift and reduce demand for standard control services through</w:t>
            </w:r>
            <w:r w:rsidR="00D51CCB">
              <w:br/>
            </w:r>
            <w:r w:rsidRPr="004728B0">
              <w:t>non-network alternatives by promoting energy sustainability in a new residential development.</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Stockland North Shore project is a broad based demand management program which aims to reduce demand for standard control services for residential customers by promoting energy conservation to local builders and prospective home buyers.</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Stockland North Shore project is consistent with this criterion because it is designed to explore potentially efficient demand management mechanisms.</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D51CCB">
            <w:pPr>
              <w:pStyle w:val="AERtabletext"/>
              <w:keepNext/>
            </w:pPr>
            <w:r w:rsidRPr="004728B0">
              <w:t>Ergon Energy's Stockland North Shore project is</w:t>
            </w:r>
            <w:r w:rsidR="00D51CCB">
              <w:br/>
            </w:r>
            <w:r w:rsidRPr="004728B0">
              <w:t>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Stockland North Shore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Stockland North Shore project as opex and capex.</w:t>
            </w:r>
          </w:p>
          <w:p w:rsidR="00155829" w:rsidRPr="004728B0" w:rsidRDefault="00155829" w:rsidP="00846193">
            <w:pPr>
              <w:pStyle w:val="AERtabletext"/>
              <w:keepNext/>
            </w:pPr>
          </w:p>
        </w:tc>
      </w:tr>
    </w:tbl>
    <w:p w:rsidR="00155829" w:rsidRPr="004728B0" w:rsidRDefault="00155829" w:rsidP="00155829">
      <w:pPr>
        <w:pStyle w:val="AERheading4"/>
      </w:pPr>
      <w:r w:rsidRPr="004728B0">
        <w:br w:type="page"/>
      </w:r>
      <w:r w:rsidRPr="004728B0">
        <w:lastRenderedPageBreak/>
        <w:t>Table A.16</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 xml:space="preserve">Project 5: Passive Air Cooling Trial </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PAC trial is consistent with this criterion because it is a measure undertaken by Ergon Energy to reduce demand for standard control services through non-network alternatives by using underground cooling units within cool commercial properties aimed at reducing air-conditioning load.</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PAC trial is consistent with this criterion because it aims to reduce demand for standard control services across Ergon Energy’s network for commercial customers with the aim of extending to residential customers.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PAC trial is consistent with this criterion because it is designed to build demand management capability and capacity and explore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PAC trial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PAC trial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PAC trial as opex.</w:t>
            </w:r>
          </w:p>
          <w:p w:rsidR="00155829" w:rsidRPr="004728B0" w:rsidRDefault="00155829" w:rsidP="00846193">
            <w:pPr>
              <w:pStyle w:val="AERtabletext"/>
              <w:keepNext/>
            </w:pPr>
          </w:p>
        </w:tc>
      </w:tr>
    </w:tbl>
    <w:p w:rsidR="00155829" w:rsidRPr="004728B0" w:rsidRDefault="00155829" w:rsidP="00155829">
      <w:pPr>
        <w:pStyle w:val="AERheading4"/>
      </w:pPr>
    </w:p>
    <w:p w:rsidR="00155829" w:rsidRPr="004728B0" w:rsidRDefault="00155829" w:rsidP="00155829">
      <w:pPr>
        <w:pStyle w:val="AERheading4"/>
      </w:pPr>
      <w:r w:rsidRPr="004728B0">
        <w:br w:type="page"/>
      </w:r>
      <w:r w:rsidRPr="004728B0">
        <w:lastRenderedPageBreak/>
        <w:t>Table A.17</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6: Smart Camp Feasibility project</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Smart Camp Feasibility project is consistent with this criterion because it is a measure undertaken by Ergon Energy to reduce demand for standard control services through non-network alternatives by evaluating opportunities to improve energy efficiency and reduce demand in camp loads.</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Smart Camp Feasibility project is consistent with this criterion because it aims to reduce demand for standard control services across Ergon Energy’s network for Greenfield and Brownfield applications.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Smart Camp Feasibility project is consistent with this criterion because it is designed to build demand management capability and capacity and explore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Smart Camp Feasibility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Smart Camp Feasibility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Smart Camp Feasibility project as opex.</w:t>
            </w:r>
          </w:p>
          <w:p w:rsidR="00155829" w:rsidRPr="004728B0" w:rsidRDefault="00155829" w:rsidP="00846193">
            <w:pPr>
              <w:pStyle w:val="AERtabletext"/>
              <w:keepNext/>
            </w:pPr>
          </w:p>
        </w:tc>
      </w:tr>
    </w:tbl>
    <w:p w:rsidR="00155829" w:rsidRPr="004728B0" w:rsidRDefault="00155829" w:rsidP="00155829">
      <w:pPr>
        <w:pStyle w:val="AERheading4"/>
      </w:pPr>
    </w:p>
    <w:p w:rsidR="00155829" w:rsidRPr="004728B0" w:rsidRDefault="00155829" w:rsidP="00155829">
      <w:pPr>
        <w:pStyle w:val="AERheading4"/>
      </w:pPr>
      <w:r w:rsidRPr="004728B0">
        <w:br w:type="page"/>
      </w:r>
      <w:r w:rsidRPr="004728B0">
        <w:lastRenderedPageBreak/>
        <w:t>Table A.18</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7: Large Statcom project</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Large Statcom project is consistent with this criterion because it is a measure undertaken by Ergon Energy to manage demand through injecting capacitive and inductive reactive power into the electricity networks which are stressed by increasing demand.</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Large Statcom project is consistent with this criterion because it aims to reduce demand for standard control services across Ergon Energy’s extensive network of long rural and remote feeders.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Large Statcom project is consistent with this criterion because it is designed to explore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Large Statcom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Large Statcom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Large Statcom project as opex.</w:t>
            </w:r>
          </w:p>
          <w:p w:rsidR="00155829" w:rsidRPr="004728B0" w:rsidRDefault="00155829" w:rsidP="00846193">
            <w:pPr>
              <w:pStyle w:val="AERtabletext"/>
              <w:keepNext/>
            </w:pPr>
          </w:p>
        </w:tc>
      </w:tr>
    </w:tbl>
    <w:p w:rsidR="00155829" w:rsidRPr="004728B0" w:rsidRDefault="00155829" w:rsidP="00155829">
      <w:pPr>
        <w:pStyle w:val="AERheading4"/>
      </w:pPr>
    </w:p>
    <w:p w:rsidR="00155829" w:rsidRPr="004728B0" w:rsidRDefault="00155829" w:rsidP="00155829">
      <w:pPr>
        <w:pStyle w:val="AERheading4"/>
      </w:pPr>
      <w:r w:rsidRPr="004728B0">
        <w:br w:type="page"/>
      </w:r>
      <w:r w:rsidRPr="004728B0">
        <w:lastRenderedPageBreak/>
        <w:t>Table A.19</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8: Urban Statcom project</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Urban Statcom project is consistent with this criterion because it is a measure undertaken by Ergon Energy to manage demand through regulating the low voltage network in residential areas with high penetration areas of solar photovoltaic systems and non-linear loads.</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Urban Statcom project is consistent with this criterion because it aims to reduce demand for standard control services across Ergon Energy’s urban residential network.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Urban Statcom project is consistent with this criterion because it is designed to explore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Urban Statcom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Urban Statcom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Urban Statcom project as opex.</w:t>
            </w:r>
          </w:p>
          <w:p w:rsidR="00155829" w:rsidRPr="004728B0" w:rsidRDefault="00155829" w:rsidP="00846193">
            <w:pPr>
              <w:pStyle w:val="AERtabletext"/>
              <w:keepNext/>
            </w:pPr>
          </w:p>
        </w:tc>
      </w:tr>
    </w:tbl>
    <w:p w:rsidR="00155829" w:rsidRPr="004728B0" w:rsidRDefault="00155829" w:rsidP="00155829">
      <w:pPr>
        <w:pStyle w:val="AERheading4"/>
      </w:pPr>
    </w:p>
    <w:p w:rsidR="00155829" w:rsidRPr="004728B0" w:rsidRDefault="00155829" w:rsidP="00155829">
      <w:pPr>
        <w:pStyle w:val="AERheading4"/>
      </w:pPr>
      <w:r w:rsidRPr="004728B0">
        <w:br w:type="page"/>
      </w:r>
      <w:r w:rsidRPr="004728B0">
        <w:lastRenderedPageBreak/>
        <w:t>Table A.20</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9: SWER Statcom project</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SWER Statcom project is consistent with this criterion because it is a measure undertaken by Ergon Energy to assess the unit’s performance and ability on SWER networks to provide reactive power support and assist with network voltage management.</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SWER Statcom project is consistent with this criterion because it aims to reduce demand for standard control services across Ergon Energy’s SWER network.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SWER Statcom project is consistent with this criterion because it is designed to explore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SWER Statcom project is non-tariff based.</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SWER Statcom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SWER Statcom project as opex.</w:t>
            </w:r>
          </w:p>
          <w:p w:rsidR="00155829" w:rsidRPr="004728B0" w:rsidRDefault="00155829" w:rsidP="00846193">
            <w:pPr>
              <w:pStyle w:val="AERtabletext"/>
              <w:keepNext/>
            </w:pPr>
          </w:p>
        </w:tc>
      </w:tr>
    </w:tbl>
    <w:p w:rsidR="00155829" w:rsidRPr="004728B0" w:rsidRDefault="00155829" w:rsidP="00155829">
      <w:pPr>
        <w:pStyle w:val="AERheading4"/>
      </w:pPr>
    </w:p>
    <w:p w:rsidR="00155829" w:rsidRPr="004728B0" w:rsidRDefault="00155829" w:rsidP="00155829">
      <w:pPr>
        <w:pStyle w:val="AERheading4"/>
      </w:pPr>
      <w:r w:rsidRPr="004728B0">
        <w:br w:type="page"/>
      </w:r>
      <w:r w:rsidRPr="004728B0">
        <w:lastRenderedPageBreak/>
        <w:t>Table A.21</w:t>
      </w:r>
      <w:r w:rsidRPr="004728B0">
        <w:tab/>
        <w:t xml:space="preserve">AER assessment of Ergon Energy's </w:t>
      </w:r>
      <w:r w:rsidR="009A3171" w:rsidRPr="004728B0">
        <w:t>2011–12</w:t>
      </w:r>
      <w:r w:rsidR="009A3171">
        <w:t xml:space="preserve"> </w:t>
      </w:r>
      <w:r w:rsidRPr="004728B0">
        <w:t xml:space="preserve">DMIA expenditure </w:t>
      </w:r>
    </w:p>
    <w:p w:rsidR="00155829" w:rsidRPr="004728B0" w:rsidRDefault="00155829" w:rsidP="00155829">
      <w:pPr>
        <w:pStyle w:val="AERtabletextheading"/>
      </w:pPr>
      <w:r w:rsidRPr="004728B0">
        <w:t>Project 10: Smart Voltage Regulator Validation project</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szCs w:val="16"/>
              </w:rPr>
            </w:pPr>
            <w:r w:rsidRPr="004728B0">
              <w:rPr>
                <w:bCs/>
                <w:sz w:val="16"/>
                <w:szCs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Smart Voltage Regulator Validation project is consistent with this criterion because it is a measure undertaken by Ergon Energy to improve the voltage experienced by customers on the network in light of increased renewable generation.</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Ergon Energy's Smart Voltage Regulator Validation project is consistent with this criterion because it aims to .... </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EB6A11"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Smart Voltage Regulator Validation project is consistent with this criterion because it is designed to explore potentially efficient demand management technology.</w:t>
            </w:r>
          </w:p>
          <w:p w:rsidR="00155829" w:rsidRPr="004728B0" w:rsidRDefault="00155829" w:rsidP="00846193">
            <w:pPr>
              <w:pStyle w:val="AERtabletext"/>
              <w:keepNext/>
            </w:pPr>
          </w:p>
        </w:tc>
      </w:tr>
      <w:tr w:rsidR="00155829" w:rsidRPr="00EB6A11"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Energy's Smart Voltage Regulator Validation project project is non-tariff based.</w:t>
            </w:r>
          </w:p>
        </w:tc>
      </w:tr>
      <w:tr w:rsidR="00155829" w:rsidRPr="00EB6A11"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Ergon Energy's DMIA report for the Smart Voltage Regulator Validation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EB6A11"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Ergon Energy has claimed DMIA expenditure for the Smart Voltage Regulator Validation project as opex.</w:t>
            </w:r>
          </w:p>
          <w:p w:rsidR="00155829" w:rsidRPr="004728B0" w:rsidRDefault="00155829" w:rsidP="00846193">
            <w:pPr>
              <w:pStyle w:val="AERtabletext"/>
              <w:keepNext/>
            </w:pPr>
          </w:p>
        </w:tc>
      </w:tr>
    </w:tbl>
    <w:p w:rsidR="00155829" w:rsidRPr="00EB6A11" w:rsidRDefault="00155829" w:rsidP="00155829">
      <w:pPr>
        <w:pStyle w:val="AERheading4"/>
        <w:rPr>
          <w:highlight w:val="yellow"/>
        </w:rPr>
      </w:pPr>
    </w:p>
    <w:p w:rsidR="00155829" w:rsidRPr="004728B0" w:rsidRDefault="00155829" w:rsidP="00155829">
      <w:pPr>
        <w:pStyle w:val="AERbodytext"/>
        <w:rPr>
          <w:b/>
          <w:sz w:val="22"/>
          <w:szCs w:val="22"/>
        </w:rPr>
      </w:pPr>
      <w:r w:rsidRPr="00EB6A11">
        <w:rPr>
          <w:highlight w:val="yellow"/>
        </w:rPr>
        <w:br w:type="page"/>
      </w:r>
      <w:r w:rsidRPr="004728B0">
        <w:rPr>
          <w:b/>
          <w:sz w:val="22"/>
          <w:szCs w:val="22"/>
        </w:rPr>
        <w:lastRenderedPageBreak/>
        <w:t xml:space="preserve">Table A.22:   AER assessment of Essential Energy's </w:t>
      </w:r>
      <w:r w:rsidR="009A3171" w:rsidRPr="004728B0">
        <w:rPr>
          <w:b/>
          <w:sz w:val="22"/>
          <w:szCs w:val="22"/>
        </w:rPr>
        <w:t>2011–12</w:t>
      </w:r>
      <w:r w:rsidR="009A3171">
        <w:rPr>
          <w:b/>
          <w:sz w:val="22"/>
          <w:szCs w:val="22"/>
        </w:rPr>
        <w:t xml:space="preserve"> </w:t>
      </w:r>
      <w:r w:rsidRPr="004728B0">
        <w:rPr>
          <w:b/>
          <w:sz w:val="22"/>
          <w:szCs w:val="22"/>
        </w:rPr>
        <w:t xml:space="preserve">DMIA expenditure </w:t>
      </w:r>
    </w:p>
    <w:p w:rsidR="00155829" w:rsidRPr="004728B0" w:rsidRDefault="00155829" w:rsidP="00155829">
      <w:pPr>
        <w:pStyle w:val="AERtabletextheading"/>
      </w:pPr>
      <w:r w:rsidRPr="004728B0">
        <w:t xml:space="preserve">Project 1: Grid Interactive Inverter (GII) </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155829" w:rsidRPr="004728B0" w:rsidTr="00846193">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55829" w:rsidRPr="004728B0" w:rsidRDefault="00155829" w:rsidP="00846193">
            <w:pPr>
              <w:pStyle w:val="AERtabletextheading"/>
              <w:keepNext/>
              <w:rPr>
                <w:bCs/>
                <w:sz w:val="16"/>
              </w:rPr>
            </w:pPr>
            <w:r w:rsidRPr="004728B0">
              <w:rPr>
                <w:bCs/>
                <w:sz w:val="16"/>
              </w:rPr>
              <w:t>Reason for approval</w:t>
            </w: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Essential Energy's GII project is consistent with this criterion because it is a measure undertaken by Essential Energy to reduce demand for standard control services through non-network alternatives by developing enabling technology aimed at reducing demand on, or providing reactive support to, the network.</w:t>
            </w: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w:t>
            </w:r>
          </w:p>
          <w:p w:rsidR="00155829" w:rsidRPr="004728B0" w:rsidRDefault="00155829" w:rsidP="00846193">
            <w:pPr>
              <w:pStyle w:val="AERtabletext"/>
              <w:keepNext/>
            </w:pPr>
            <w:r w:rsidRPr="004728B0">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55829" w:rsidRPr="004728B0" w:rsidRDefault="00155829" w:rsidP="00846193">
            <w:pPr>
              <w:pStyle w:val="AERtabletext"/>
              <w:keepNext/>
            </w:pPr>
            <w:r w:rsidRPr="004728B0">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Essential Energy's GII project is consistent with this criterion because it aims to address specific network constraints by reducing demand on (including demand for generation export capacity), or providing reactive support to, the network at the time and location of the constraint.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Essential Energy's GII project is consistent with this criterion because it is exploring potentially efficient demand management technology.</w:t>
            </w:r>
          </w:p>
          <w:p w:rsidR="00155829" w:rsidRPr="004728B0" w:rsidRDefault="00155829" w:rsidP="00846193">
            <w:pPr>
              <w:pStyle w:val="AERtabletext"/>
              <w:keepNext/>
            </w:pPr>
          </w:p>
        </w:tc>
      </w:tr>
      <w:tr w:rsidR="00155829" w:rsidRPr="004728B0"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Recoverable projects and programs may be tariff or   non–tariff based. </w:t>
            </w:r>
          </w:p>
        </w:tc>
        <w:tc>
          <w:tcPr>
            <w:tcW w:w="4306" w:type="dxa"/>
            <w:shd w:val="clear" w:color="auto" w:fill="F8B47C"/>
            <w:noWrap/>
            <w:tcMar>
              <w:top w:w="0" w:type="dxa"/>
              <w:bottom w:w="0" w:type="dxa"/>
            </w:tcMar>
            <w:vAlign w:val="center"/>
          </w:tcPr>
          <w:p w:rsidR="00155829" w:rsidRPr="004728B0" w:rsidRDefault="00155829" w:rsidP="00846193">
            <w:pPr>
              <w:pStyle w:val="AERtabletext"/>
              <w:keepNext/>
            </w:pPr>
            <w:r w:rsidRPr="004728B0">
              <w:t>Essential Energy's GII project is non-tariff based.</w:t>
            </w:r>
          </w:p>
          <w:p w:rsidR="00155829" w:rsidRPr="004728B0" w:rsidRDefault="00155829" w:rsidP="00846193">
            <w:pPr>
              <w:pStyle w:val="AERtabletext"/>
              <w:keepNext/>
            </w:pPr>
          </w:p>
        </w:tc>
      </w:tr>
      <w:tr w:rsidR="00155829" w:rsidRPr="004728B0" w:rsidTr="00846193">
        <w:tc>
          <w:tcPr>
            <w:tcW w:w="4307" w:type="dxa"/>
            <w:shd w:val="clear" w:color="auto" w:fill="auto"/>
            <w:noWrap/>
            <w:tcMar>
              <w:top w:w="0" w:type="dxa"/>
              <w:bottom w:w="0" w:type="dxa"/>
            </w:tcMar>
            <w:vAlign w:val="center"/>
          </w:tcPr>
          <w:p w:rsidR="00155829" w:rsidRPr="004728B0" w:rsidRDefault="00155829" w:rsidP="00846193">
            <w:pPr>
              <w:pStyle w:val="AERtabletext"/>
              <w:keepNext/>
            </w:pPr>
            <w:r w:rsidRPr="004728B0">
              <w:t xml:space="preserve">Costs recovered under this scheme: </w:t>
            </w:r>
          </w:p>
          <w:p w:rsidR="00155829" w:rsidRPr="004728B0" w:rsidRDefault="00155829" w:rsidP="00846193">
            <w:pPr>
              <w:pStyle w:val="AERtabletext"/>
              <w:keepNext/>
            </w:pPr>
            <w:r w:rsidRPr="004728B0">
              <w:t xml:space="preserve">a. must not be recoverable under any other jurisdictional incentive scheme </w:t>
            </w:r>
          </w:p>
          <w:p w:rsidR="00155829" w:rsidRPr="004728B0" w:rsidRDefault="00155829" w:rsidP="00846193">
            <w:pPr>
              <w:pStyle w:val="AERtabletext"/>
              <w:keepNext/>
            </w:pPr>
            <w:r w:rsidRPr="004728B0">
              <w:t xml:space="preserve">b. must not be recoverable under any other state or Australian Government scheme </w:t>
            </w:r>
          </w:p>
          <w:p w:rsidR="00155829" w:rsidRPr="004728B0" w:rsidRDefault="00155829" w:rsidP="00846193">
            <w:pPr>
              <w:pStyle w:val="AERtabletext"/>
              <w:keepNext/>
            </w:pPr>
            <w:r w:rsidRPr="004728B0">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55829" w:rsidRPr="004728B0" w:rsidRDefault="00155829" w:rsidP="00846193">
            <w:pPr>
              <w:pStyle w:val="AERtabletext"/>
              <w:keepNext/>
            </w:pPr>
            <w:r w:rsidRPr="004728B0">
              <w:t>Essential Energy's DMIA report for the GII project contains a statement to this effect.</w:t>
            </w: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p w:rsidR="00155829" w:rsidRPr="004728B0" w:rsidRDefault="00155829" w:rsidP="00846193">
            <w:pPr>
              <w:pStyle w:val="AERtabletext"/>
              <w:keepNext/>
            </w:pPr>
          </w:p>
        </w:tc>
      </w:tr>
      <w:tr w:rsidR="00155829" w:rsidRPr="0068646A" w:rsidTr="00846193">
        <w:tc>
          <w:tcPr>
            <w:tcW w:w="4307" w:type="dxa"/>
            <w:shd w:val="clear" w:color="auto" w:fill="F8B47C"/>
            <w:noWrap/>
            <w:tcMar>
              <w:top w:w="0" w:type="dxa"/>
              <w:bottom w:w="0" w:type="dxa"/>
            </w:tcMar>
            <w:vAlign w:val="center"/>
          </w:tcPr>
          <w:p w:rsidR="00155829" w:rsidRPr="004728B0" w:rsidRDefault="00155829" w:rsidP="00846193">
            <w:pPr>
              <w:pStyle w:val="AERtabletext"/>
              <w:keepNext/>
            </w:pPr>
            <w:r w:rsidRPr="004728B0">
              <w:t xml:space="preserve">Expenditure under the DMIA can be in the nature of capex or opex. </w:t>
            </w:r>
          </w:p>
          <w:p w:rsidR="00155829" w:rsidRPr="004728B0" w:rsidRDefault="00155829" w:rsidP="00846193">
            <w:pPr>
              <w:pStyle w:val="AERtabletext"/>
              <w:keepNext/>
            </w:pPr>
          </w:p>
        </w:tc>
        <w:tc>
          <w:tcPr>
            <w:tcW w:w="4306" w:type="dxa"/>
            <w:shd w:val="clear" w:color="auto" w:fill="F8B47C"/>
            <w:noWrap/>
            <w:tcMar>
              <w:top w:w="0" w:type="dxa"/>
              <w:bottom w:w="0" w:type="dxa"/>
            </w:tcMar>
            <w:vAlign w:val="center"/>
          </w:tcPr>
          <w:p w:rsidR="00155829" w:rsidRDefault="00155829" w:rsidP="00846193">
            <w:pPr>
              <w:pStyle w:val="AERtabletext"/>
              <w:keepNext/>
            </w:pPr>
            <w:r w:rsidRPr="004728B0">
              <w:t>Essential Energy has claimed DMIA expenditure for the GII project as opex ($231 738) and capex ($496 627).</w:t>
            </w:r>
          </w:p>
          <w:p w:rsidR="00155829" w:rsidRPr="008579E9" w:rsidRDefault="00155829" w:rsidP="00846193">
            <w:pPr>
              <w:pStyle w:val="AERtabletext"/>
              <w:keepNext/>
            </w:pPr>
          </w:p>
        </w:tc>
      </w:tr>
    </w:tbl>
    <w:p w:rsidR="004D78B8" w:rsidRDefault="004D78B8" w:rsidP="00155829">
      <w:pPr>
        <w:pStyle w:val="AERbodytext"/>
        <w:rPr>
          <w:rStyle w:val="AERbody"/>
        </w:rPr>
      </w:pPr>
    </w:p>
    <w:p w:rsidR="004D78B8" w:rsidRPr="00C36D0C" w:rsidRDefault="004D78B8" w:rsidP="004D78B8">
      <w:pPr>
        <w:pStyle w:val="AERunnumberedheading"/>
      </w:pPr>
      <w:bookmarkStart w:id="18" w:name="_Toc361034311"/>
      <w:r w:rsidRPr="00C36D0C">
        <w:lastRenderedPageBreak/>
        <w:t>Append</w:t>
      </w:r>
      <w:r w:rsidR="00E4278A">
        <w:t>ix B</w:t>
      </w:r>
      <w:bookmarkEnd w:id="18"/>
    </w:p>
    <w:p w:rsidR="004D78B8" w:rsidRDefault="00E4278A" w:rsidP="004D78B8">
      <w:pPr>
        <w:pStyle w:val="AERheading4"/>
      </w:pPr>
      <w:r>
        <w:t xml:space="preserve">Table B.1: </w:t>
      </w:r>
      <w:r w:rsidR="004D78B8" w:rsidRPr="0068646A">
        <w:t xml:space="preserve">AER assessment of </w:t>
      </w:r>
      <w:r w:rsidR="004D78B8">
        <w:t>Citipower’s</w:t>
      </w:r>
      <w:r w:rsidR="004D78B8" w:rsidRPr="0068646A">
        <w:t xml:space="preserve"> </w:t>
      </w:r>
      <w:r w:rsidR="009A3171">
        <w:t xml:space="preserve">2012 </w:t>
      </w:r>
      <w:r w:rsidR="004D78B8" w:rsidRPr="0068646A">
        <w:t xml:space="preserve">DMIA expenditure </w:t>
      </w:r>
    </w:p>
    <w:p w:rsidR="004D78B8" w:rsidRPr="00E104E4" w:rsidRDefault="004D78B8" w:rsidP="004D78B8">
      <w:pPr>
        <w:pStyle w:val="AERtabletextheading"/>
      </w:pPr>
      <w:r>
        <w:t>Project 1: Inner Urban Demand Management Program (IUDM)</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4D78B8" w:rsidRPr="0068646A" w:rsidTr="007B493E">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Reason for approval</w:t>
            </w: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4D78B8" w:rsidRPr="008942F7" w:rsidRDefault="004D78B8" w:rsidP="002F76F4">
            <w:pPr>
              <w:pStyle w:val="AERtabletext"/>
              <w:keepNext/>
            </w:pPr>
            <w:r w:rsidRPr="008942F7">
              <w:t xml:space="preserve">Citipower’s IUDM project is consistent with this criterion because it is a measure undertaken by Citipower to shift and </w:t>
            </w:r>
            <w:r w:rsidR="007416A5">
              <w:t>curtail</w:t>
            </w:r>
            <w:r w:rsidRPr="008942F7">
              <w:t xml:space="preserve"> large customers’ demand for standard control services by implementing network or embedded generation alternatives in return for a payment.</w:t>
            </w:r>
          </w:p>
        </w:tc>
      </w:tr>
      <w:tr w:rsidR="004D78B8" w:rsidRPr="0068646A" w:rsidTr="007B493E">
        <w:tc>
          <w:tcPr>
            <w:tcW w:w="4307" w:type="dxa"/>
            <w:shd w:val="clear" w:color="auto" w:fill="F8B47C"/>
            <w:noWrap/>
            <w:tcMar>
              <w:top w:w="0" w:type="dxa"/>
              <w:bottom w:w="0" w:type="dxa"/>
            </w:tcMar>
            <w:vAlign w:val="center"/>
          </w:tcPr>
          <w:p w:rsidR="004D78B8" w:rsidRPr="008579E9" w:rsidRDefault="004D78B8" w:rsidP="007B493E">
            <w:pPr>
              <w:pStyle w:val="AERtabletext"/>
              <w:keepNext/>
            </w:pPr>
            <w:r w:rsidRPr="008579E9">
              <w:t xml:space="preserve">Demand management projects or programs may be: </w:t>
            </w:r>
          </w:p>
          <w:p w:rsidR="004D78B8" w:rsidRPr="008579E9" w:rsidRDefault="004D78B8" w:rsidP="007B493E">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4D78B8" w:rsidRPr="00E104E4" w:rsidRDefault="004D78B8" w:rsidP="007B493E">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4D78B8" w:rsidRPr="008942F7" w:rsidRDefault="004D78B8" w:rsidP="007B493E">
            <w:pPr>
              <w:pStyle w:val="AERtabletext"/>
              <w:keepNext/>
            </w:pPr>
            <w:r w:rsidRPr="008942F7">
              <w:t xml:space="preserve">Citipower’s IUDM project is consistent with this criterion because it is a peak demand management project which aims to </w:t>
            </w:r>
            <w:r w:rsidR="00A61510">
              <w:t>address</w:t>
            </w:r>
            <w:r w:rsidRPr="008942F7">
              <w:t xml:space="preserve"> specific network constraints by reducing maximum demand on the network at the location and time of the constraint.</w:t>
            </w: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4D78B8" w:rsidRPr="008942F7" w:rsidRDefault="004D78B8" w:rsidP="007B493E">
            <w:pPr>
              <w:pStyle w:val="AERtabletext"/>
              <w:keepNext/>
            </w:pPr>
            <w:r w:rsidRPr="008942F7">
              <w:t>Citipower’s IUDM project is consistent with this criterion because it is designed to build demand management capability and capacity and explore potentially efficient demand management technology.</w:t>
            </w:r>
          </w:p>
        </w:tc>
      </w:tr>
      <w:tr w:rsidR="004D78B8" w:rsidRPr="0068646A" w:rsidTr="007B493E">
        <w:tc>
          <w:tcPr>
            <w:tcW w:w="4307" w:type="dxa"/>
            <w:shd w:val="clear" w:color="auto" w:fill="F8B47C"/>
            <w:noWrap/>
            <w:tcMar>
              <w:top w:w="0" w:type="dxa"/>
              <w:bottom w:w="0" w:type="dxa"/>
            </w:tcMar>
            <w:vAlign w:val="center"/>
          </w:tcPr>
          <w:p w:rsidR="004D78B8" w:rsidRPr="00E104E4" w:rsidRDefault="004D78B8" w:rsidP="007B493E">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4D78B8" w:rsidRPr="008942F7" w:rsidRDefault="004D78B8" w:rsidP="007B493E">
            <w:pPr>
              <w:pStyle w:val="AERtabletext"/>
              <w:keepNext/>
            </w:pPr>
            <w:r w:rsidRPr="008942F7">
              <w:t>Citipower’s IUDM project is non-tariff based.</w:t>
            </w:r>
          </w:p>
          <w:p w:rsidR="004D78B8" w:rsidRPr="008942F7" w:rsidRDefault="004D78B8" w:rsidP="007B493E">
            <w:pPr>
              <w:pStyle w:val="AERtabletext"/>
              <w:keepNext/>
            </w:pPr>
          </w:p>
        </w:tc>
      </w:tr>
      <w:tr w:rsidR="004D78B8" w:rsidRPr="0068646A" w:rsidTr="007B493E">
        <w:tc>
          <w:tcPr>
            <w:tcW w:w="4307" w:type="dxa"/>
            <w:shd w:val="clear" w:color="auto" w:fill="auto"/>
            <w:noWrap/>
            <w:tcMar>
              <w:top w:w="0" w:type="dxa"/>
              <w:bottom w:w="0" w:type="dxa"/>
            </w:tcMar>
            <w:vAlign w:val="center"/>
          </w:tcPr>
          <w:p w:rsidR="004D78B8" w:rsidRPr="008579E9" w:rsidRDefault="004D78B8" w:rsidP="007B493E">
            <w:pPr>
              <w:pStyle w:val="AERtabletext"/>
              <w:keepNext/>
            </w:pPr>
            <w:r w:rsidRPr="008579E9">
              <w:t xml:space="preserve">Costs recovered under this scheme: </w:t>
            </w:r>
          </w:p>
          <w:p w:rsidR="004D78B8" w:rsidRPr="008579E9" w:rsidRDefault="004D78B8" w:rsidP="007B493E">
            <w:pPr>
              <w:pStyle w:val="AERtabletext"/>
              <w:keepNext/>
            </w:pPr>
            <w:r w:rsidRPr="008579E9">
              <w:t xml:space="preserve">a. must not be recoverable under any other jurisdictional incentive scheme </w:t>
            </w:r>
          </w:p>
          <w:p w:rsidR="004D78B8" w:rsidRPr="008579E9" w:rsidRDefault="004D78B8" w:rsidP="007B493E">
            <w:pPr>
              <w:pStyle w:val="AERtabletext"/>
              <w:keepNext/>
            </w:pPr>
            <w:r w:rsidRPr="008579E9">
              <w:t xml:space="preserve">b. must not be recoverable under any other state or Australian Government scheme </w:t>
            </w:r>
          </w:p>
          <w:p w:rsidR="004D78B8" w:rsidRPr="00E104E4" w:rsidRDefault="004D78B8" w:rsidP="007B493E">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4D78B8" w:rsidRPr="008942F7" w:rsidRDefault="004D78B8" w:rsidP="007B493E">
            <w:pPr>
              <w:pStyle w:val="AERtabletext"/>
              <w:keepNext/>
            </w:pPr>
            <w:r w:rsidRPr="008942F7">
              <w:t>Citipower’s DMIA report for the IUDM project contains a statement to this effect.</w:t>
            </w: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p w:rsidR="004D78B8" w:rsidRPr="008942F7" w:rsidRDefault="004D78B8" w:rsidP="007B493E">
            <w:pPr>
              <w:pStyle w:val="AERtabletext"/>
              <w:keepNext/>
            </w:pPr>
          </w:p>
        </w:tc>
      </w:tr>
      <w:tr w:rsidR="004D78B8" w:rsidRPr="0068646A" w:rsidTr="007B493E">
        <w:tc>
          <w:tcPr>
            <w:tcW w:w="4307" w:type="dxa"/>
            <w:shd w:val="clear" w:color="auto" w:fill="F8B47C"/>
            <w:noWrap/>
            <w:tcMar>
              <w:top w:w="0" w:type="dxa"/>
              <w:bottom w:w="0" w:type="dxa"/>
            </w:tcMar>
            <w:vAlign w:val="center"/>
          </w:tcPr>
          <w:p w:rsidR="004D78B8" w:rsidRDefault="004D78B8" w:rsidP="007B493E">
            <w:pPr>
              <w:pStyle w:val="AERtabletext"/>
              <w:keepNext/>
            </w:pPr>
            <w:r w:rsidRPr="008579E9">
              <w:t xml:space="preserve">Expenditure under the DMIA can be in the nature of capex or opex. </w:t>
            </w:r>
          </w:p>
          <w:p w:rsidR="004D78B8" w:rsidRPr="00E104E4" w:rsidRDefault="004D78B8" w:rsidP="007B493E">
            <w:pPr>
              <w:pStyle w:val="AERtabletext"/>
              <w:keepNext/>
            </w:pPr>
          </w:p>
        </w:tc>
        <w:tc>
          <w:tcPr>
            <w:tcW w:w="4306" w:type="dxa"/>
            <w:shd w:val="clear" w:color="auto" w:fill="F8B47C"/>
            <w:noWrap/>
            <w:tcMar>
              <w:top w:w="0" w:type="dxa"/>
              <w:bottom w:w="0" w:type="dxa"/>
            </w:tcMar>
            <w:vAlign w:val="center"/>
          </w:tcPr>
          <w:p w:rsidR="004D78B8" w:rsidRPr="008942F7" w:rsidRDefault="004D78B8" w:rsidP="007B493E">
            <w:pPr>
              <w:pStyle w:val="AERtabletext"/>
              <w:keepNext/>
            </w:pPr>
            <w:r w:rsidRPr="008942F7">
              <w:t>Citipower has claimed DMIA expenditure for the IUDM project as opex.</w:t>
            </w:r>
          </w:p>
          <w:p w:rsidR="004D78B8" w:rsidRPr="008942F7" w:rsidRDefault="004D78B8" w:rsidP="007B493E">
            <w:pPr>
              <w:pStyle w:val="AERtabletext"/>
              <w:keepNext/>
            </w:pPr>
          </w:p>
        </w:tc>
      </w:tr>
    </w:tbl>
    <w:p w:rsidR="004D78B8" w:rsidRDefault="004D78B8" w:rsidP="004D78B8"/>
    <w:p w:rsidR="00007589" w:rsidRDefault="004D78B8" w:rsidP="00007589">
      <w:pPr>
        <w:pStyle w:val="AERheading4"/>
      </w:pPr>
      <w:r>
        <w:br w:type="page"/>
      </w:r>
      <w:r w:rsidR="00083421">
        <w:lastRenderedPageBreak/>
        <w:t>Table B.2</w:t>
      </w:r>
      <w:r w:rsidR="00007589">
        <w:t xml:space="preserve">: </w:t>
      </w:r>
      <w:r w:rsidR="00007589" w:rsidRPr="0068646A">
        <w:t xml:space="preserve">AER assessment of </w:t>
      </w:r>
      <w:r w:rsidR="00007589">
        <w:t>JEN’s</w:t>
      </w:r>
      <w:r w:rsidR="00007589" w:rsidRPr="0068646A">
        <w:t xml:space="preserve"> </w:t>
      </w:r>
      <w:r w:rsidR="002F76F4">
        <w:t xml:space="preserve">2012 </w:t>
      </w:r>
      <w:r w:rsidR="00007589" w:rsidRPr="0068646A">
        <w:t xml:space="preserve">DMIA expenditure </w:t>
      </w:r>
    </w:p>
    <w:p w:rsidR="00007589" w:rsidRPr="00E104E4" w:rsidRDefault="00007589" w:rsidP="00007589">
      <w:pPr>
        <w:pStyle w:val="AERtabletextheading"/>
      </w:pPr>
      <w:r>
        <w:t>Project 1: Energy Portal project</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007589" w:rsidRPr="0068646A" w:rsidTr="00E70FB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Reason for approval</w:t>
            </w: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rsidRPr="00984D59">
              <w:t xml:space="preserve">JEN’s Energy Portal project is consistent with this criterion because it is a measure undertaken by JEN to reduce demand for standard control services through the provision of information to empower customers to respond to price signals. The Energy Portal project also allows binding of Home Area </w:t>
            </w:r>
            <w:r>
              <w:t>N</w:t>
            </w:r>
            <w:r w:rsidRPr="00984D59">
              <w:t xml:space="preserve">etwork appliances to the AMI meter, allowing the consumer to develop a smart home that is </w:t>
            </w:r>
            <w:r w:rsidR="009819C8">
              <w:t>‘</w:t>
            </w:r>
            <w:r w:rsidRPr="00984D59">
              <w:t>energy aware</w:t>
            </w:r>
            <w:r w:rsidR="009819C8">
              <w:t>’</w:t>
            </w:r>
            <w:r w:rsidRPr="00984D59">
              <w:t>.</w:t>
            </w:r>
          </w:p>
        </w:tc>
      </w:tr>
      <w:tr w:rsidR="00007589" w:rsidRPr="0068646A" w:rsidTr="00E70FB6">
        <w:tc>
          <w:tcPr>
            <w:tcW w:w="4307" w:type="dxa"/>
            <w:shd w:val="clear" w:color="auto" w:fill="F8B47C"/>
            <w:noWrap/>
            <w:tcMar>
              <w:top w:w="0" w:type="dxa"/>
              <w:bottom w:w="0" w:type="dxa"/>
            </w:tcMar>
            <w:vAlign w:val="center"/>
          </w:tcPr>
          <w:p w:rsidR="00007589" w:rsidRPr="008579E9" w:rsidRDefault="00007589" w:rsidP="00E70FB6">
            <w:pPr>
              <w:pStyle w:val="AERtabletext"/>
              <w:keepNext/>
            </w:pPr>
            <w:r w:rsidRPr="008579E9">
              <w:t xml:space="preserve">Demand management projects or programs may be: </w:t>
            </w:r>
          </w:p>
          <w:p w:rsidR="00007589" w:rsidRPr="008579E9" w:rsidRDefault="00007589" w:rsidP="00E70FB6">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07589" w:rsidRPr="00E104E4" w:rsidRDefault="00007589" w:rsidP="00E70FB6">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rsidRPr="00984D59">
              <w:t>JEN’s Energy Portal project is consistent with this criterion because it is a broad-based demand management project which aims to reduce demand for standard control services across the network.</w:t>
            </w: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rsidRPr="00984D59">
              <w:t>JEN’s Energy Portal project is consistent with this criterion because it builds upon JEN’s AMI and explores customer responses to smart metering information and price signals.</w:t>
            </w:r>
          </w:p>
        </w:tc>
      </w:tr>
      <w:tr w:rsidR="00007589" w:rsidRPr="0068646A" w:rsidTr="00E70FB6">
        <w:tc>
          <w:tcPr>
            <w:tcW w:w="4307" w:type="dxa"/>
            <w:shd w:val="clear" w:color="auto" w:fill="F8B47C"/>
            <w:noWrap/>
            <w:tcMar>
              <w:top w:w="0" w:type="dxa"/>
              <w:bottom w:w="0" w:type="dxa"/>
            </w:tcMar>
            <w:vAlign w:val="center"/>
          </w:tcPr>
          <w:p w:rsidR="00007589" w:rsidRPr="00E104E4" w:rsidRDefault="00007589" w:rsidP="00E70FB6">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rsidRPr="00984D59">
              <w:t>JEN’s Energy Portal project is non-tariff based.</w:t>
            </w:r>
          </w:p>
          <w:p w:rsidR="00007589" w:rsidRPr="00984D59" w:rsidRDefault="00007589" w:rsidP="00E70FB6">
            <w:pPr>
              <w:pStyle w:val="AERtabletext"/>
              <w:keepNext/>
            </w:pPr>
          </w:p>
        </w:tc>
      </w:tr>
      <w:tr w:rsidR="00007589" w:rsidRPr="0068646A" w:rsidTr="00E70FB6">
        <w:tc>
          <w:tcPr>
            <w:tcW w:w="4307" w:type="dxa"/>
            <w:shd w:val="clear" w:color="auto" w:fill="auto"/>
            <w:noWrap/>
            <w:tcMar>
              <w:top w:w="0" w:type="dxa"/>
              <w:bottom w:w="0" w:type="dxa"/>
            </w:tcMar>
            <w:vAlign w:val="center"/>
          </w:tcPr>
          <w:p w:rsidR="00007589" w:rsidRPr="008579E9" w:rsidRDefault="00007589" w:rsidP="00E70FB6">
            <w:pPr>
              <w:pStyle w:val="AERtabletext"/>
              <w:keepNext/>
            </w:pPr>
            <w:r w:rsidRPr="008579E9">
              <w:t xml:space="preserve">Costs recovered under this scheme: </w:t>
            </w:r>
          </w:p>
          <w:p w:rsidR="00007589" w:rsidRPr="008579E9" w:rsidRDefault="00007589" w:rsidP="00E70FB6">
            <w:pPr>
              <w:pStyle w:val="AERtabletext"/>
              <w:keepNext/>
            </w:pPr>
            <w:r w:rsidRPr="008579E9">
              <w:t xml:space="preserve">a. must not be recoverable under any other jurisdictional incentive scheme </w:t>
            </w:r>
          </w:p>
          <w:p w:rsidR="00007589" w:rsidRPr="008579E9" w:rsidRDefault="00007589" w:rsidP="00E70FB6">
            <w:pPr>
              <w:pStyle w:val="AERtabletext"/>
              <w:keepNext/>
            </w:pPr>
            <w:r w:rsidRPr="008579E9">
              <w:t xml:space="preserve">b. must not be recoverable under any other state or Australian Government scheme </w:t>
            </w:r>
          </w:p>
          <w:p w:rsidR="00007589" w:rsidRPr="00E104E4" w:rsidRDefault="00007589" w:rsidP="00E70FB6">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rsidRPr="00984D59">
              <w:t>JEN’s DMIA report for the Energy Portal project contains a statement to this effect.</w:t>
            </w: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tc>
      </w:tr>
      <w:tr w:rsidR="00007589" w:rsidRPr="0068646A" w:rsidTr="00E70FB6">
        <w:tc>
          <w:tcPr>
            <w:tcW w:w="4307" w:type="dxa"/>
            <w:shd w:val="clear" w:color="auto" w:fill="F8B47C"/>
            <w:noWrap/>
            <w:tcMar>
              <w:top w:w="0" w:type="dxa"/>
              <w:bottom w:w="0" w:type="dxa"/>
            </w:tcMar>
            <w:vAlign w:val="center"/>
          </w:tcPr>
          <w:p w:rsidR="00007589" w:rsidRDefault="00007589" w:rsidP="00E70FB6">
            <w:pPr>
              <w:pStyle w:val="AERtabletext"/>
              <w:keepNext/>
            </w:pPr>
            <w:r w:rsidRPr="008579E9">
              <w:t xml:space="preserve">Expenditure under the DMIA can be in the nature of capex or opex. </w:t>
            </w:r>
          </w:p>
          <w:p w:rsidR="00007589" w:rsidRPr="00E104E4" w:rsidRDefault="00007589" w:rsidP="00E70FB6">
            <w:pPr>
              <w:pStyle w:val="AERtabletext"/>
              <w:keepNext/>
            </w:pP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rsidRPr="00984D59">
              <w:t>JEN has claimed DMIA expenditure for the Energy Portal project as capex.</w:t>
            </w:r>
          </w:p>
          <w:p w:rsidR="00007589" w:rsidRPr="00984D59" w:rsidRDefault="00007589" w:rsidP="00E70FB6">
            <w:pPr>
              <w:pStyle w:val="AERtabletext"/>
              <w:keepNext/>
            </w:pPr>
          </w:p>
        </w:tc>
      </w:tr>
    </w:tbl>
    <w:p w:rsidR="00007589" w:rsidRPr="0074629B" w:rsidRDefault="00007589" w:rsidP="00007589"/>
    <w:p w:rsidR="004D78B8" w:rsidRDefault="00007589" w:rsidP="004D78B8">
      <w:pPr>
        <w:pStyle w:val="AERheading4"/>
      </w:pPr>
      <w:r>
        <w:br w:type="page"/>
      </w:r>
      <w:r w:rsidR="00083421">
        <w:lastRenderedPageBreak/>
        <w:t>Table B.3</w:t>
      </w:r>
      <w:r w:rsidR="00E4278A">
        <w:t xml:space="preserve">: </w:t>
      </w:r>
      <w:r w:rsidR="004D78B8" w:rsidRPr="0068646A">
        <w:t xml:space="preserve">AER assessment of </w:t>
      </w:r>
      <w:r w:rsidR="007824B8">
        <w:t>Powercor</w:t>
      </w:r>
      <w:r w:rsidR="004D78B8">
        <w:t>’s</w:t>
      </w:r>
      <w:r w:rsidR="004D78B8" w:rsidRPr="0068646A">
        <w:t xml:space="preserve"> </w:t>
      </w:r>
      <w:r w:rsidR="002F76F4">
        <w:t xml:space="preserve">2012 </w:t>
      </w:r>
      <w:r w:rsidR="004D78B8" w:rsidRPr="0068646A">
        <w:t xml:space="preserve">DMIA expenditure </w:t>
      </w:r>
    </w:p>
    <w:p w:rsidR="004D78B8" w:rsidRPr="00E104E4" w:rsidRDefault="004D78B8" w:rsidP="004D78B8">
      <w:pPr>
        <w:pStyle w:val="AERtabletextheading"/>
      </w:pPr>
      <w:r>
        <w:t xml:space="preserve">Project 1: Water Treatment Business </w:t>
      </w:r>
      <w:r w:rsidR="00A61510">
        <w:t>Demand Management</w:t>
      </w:r>
      <w:r>
        <w:t xml:space="preserve"> Trial (WT</w:t>
      </w:r>
      <w:r w:rsidR="007B493E">
        <w:t>BDM</w:t>
      </w:r>
      <w:r>
        <w:t xml:space="preserve"> Trial)</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4D78B8" w:rsidRPr="0068646A" w:rsidTr="007B493E">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Reason for approval</w:t>
            </w: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4D78B8" w:rsidRPr="00CC670B" w:rsidRDefault="007824B8" w:rsidP="00D51CCB">
            <w:pPr>
              <w:pStyle w:val="AERtabletext"/>
              <w:keepNext/>
            </w:pPr>
            <w:r>
              <w:t>Powercor</w:t>
            </w:r>
            <w:r w:rsidR="004D78B8" w:rsidRPr="00CC670B">
              <w:t>’s WT</w:t>
            </w:r>
            <w:r w:rsidR="00A61510">
              <w:t xml:space="preserve">BDM trial </w:t>
            </w:r>
            <w:r w:rsidR="004D78B8" w:rsidRPr="00CC670B">
              <w:t xml:space="preserve">is consistent with this criterion because it is a measure undertaken by </w:t>
            </w:r>
            <w:r>
              <w:t>Powercor</w:t>
            </w:r>
            <w:r w:rsidR="004D78B8" w:rsidRPr="00CC670B">
              <w:t xml:space="preserve"> to test ways to reduce maximum demand </w:t>
            </w:r>
            <w:r w:rsidR="00A61510">
              <w:t xml:space="preserve">at specific locations </w:t>
            </w:r>
            <w:r w:rsidR="004D78B8" w:rsidRPr="00CC670B">
              <w:t>with a view to communicate the initiative to customers with similar demand management opportunities.</w:t>
            </w:r>
          </w:p>
        </w:tc>
      </w:tr>
      <w:tr w:rsidR="004D78B8" w:rsidRPr="0068646A" w:rsidTr="00A61510">
        <w:tc>
          <w:tcPr>
            <w:tcW w:w="4307" w:type="dxa"/>
            <w:shd w:val="clear" w:color="auto" w:fill="F8B47C"/>
            <w:noWrap/>
            <w:tcMar>
              <w:top w:w="0" w:type="dxa"/>
              <w:bottom w:w="0" w:type="dxa"/>
            </w:tcMar>
            <w:vAlign w:val="center"/>
          </w:tcPr>
          <w:p w:rsidR="004D78B8" w:rsidRPr="008579E9" w:rsidRDefault="004D78B8" w:rsidP="007B493E">
            <w:pPr>
              <w:pStyle w:val="AERtabletext"/>
              <w:keepNext/>
            </w:pPr>
            <w:r w:rsidRPr="008579E9">
              <w:t xml:space="preserve">Demand management projects or programs may be: </w:t>
            </w:r>
          </w:p>
          <w:p w:rsidR="004D78B8" w:rsidRPr="008579E9" w:rsidRDefault="004D78B8" w:rsidP="007B493E">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4D78B8" w:rsidRPr="00E104E4" w:rsidRDefault="004D78B8" w:rsidP="007B493E">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tcPr>
          <w:p w:rsidR="004D78B8" w:rsidRPr="00CC670B" w:rsidRDefault="007824B8" w:rsidP="00A61510">
            <w:pPr>
              <w:pStyle w:val="AERtabletext"/>
              <w:keepNext/>
            </w:pPr>
            <w:r>
              <w:t>Powercor</w:t>
            </w:r>
            <w:r w:rsidR="004D78B8" w:rsidRPr="00CC670B">
              <w:t>’s WT</w:t>
            </w:r>
            <w:r w:rsidR="00A61510">
              <w:t xml:space="preserve">BDM trial </w:t>
            </w:r>
            <w:r w:rsidR="004D78B8" w:rsidRPr="00CC670B">
              <w:t xml:space="preserve">is consistent with this criterion because it is a peak demand management project which aims to </w:t>
            </w:r>
            <w:r w:rsidR="00A61510">
              <w:t>address</w:t>
            </w:r>
            <w:r w:rsidR="004D78B8" w:rsidRPr="00CC670B">
              <w:t xml:space="preserve"> specific network constraints by reducing maximum demand on the network at the location and time of the constraint.</w:t>
            </w:r>
          </w:p>
          <w:p w:rsidR="004D78B8" w:rsidRPr="00CC670B" w:rsidRDefault="004D78B8" w:rsidP="00A61510">
            <w:pPr>
              <w:pStyle w:val="AERtabletext"/>
              <w:keepNext/>
            </w:pP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4D78B8" w:rsidRPr="00CC670B" w:rsidRDefault="007824B8" w:rsidP="00A61510">
            <w:pPr>
              <w:pStyle w:val="AERtabletext"/>
              <w:keepNext/>
            </w:pPr>
            <w:r>
              <w:t>Powercor</w:t>
            </w:r>
            <w:r w:rsidR="004D78B8" w:rsidRPr="00CC670B">
              <w:t>’s WT</w:t>
            </w:r>
            <w:r w:rsidR="00A61510">
              <w:t>BDM</w:t>
            </w:r>
            <w:r w:rsidR="004D78B8" w:rsidRPr="00CC670B">
              <w:t xml:space="preserve"> </w:t>
            </w:r>
            <w:r w:rsidR="00A61510">
              <w:t>trial</w:t>
            </w:r>
            <w:r w:rsidR="004D78B8" w:rsidRPr="00CC670B">
              <w:t xml:space="preserve"> is consistent with this criterion because it is an innovative approach for an existing process, which is designed to build demand management capability and capacity and explore potentially efficient demand management mechanisms.</w:t>
            </w:r>
          </w:p>
        </w:tc>
      </w:tr>
      <w:tr w:rsidR="004D78B8" w:rsidRPr="0068646A" w:rsidTr="007B493E">
        <w:tc>
          <w:tcPr>
            <w:tcW w:w="4307" w:type="dxa"/>
            <w:shd w:val="clear" w:color="auto" w:fill="F8B47C"/>
            <w:noWrap/>
            <w:tcMar>
              <w:top w:w="0" w:type="dxa"/>
              <w:bottom w:w="0" w:type="dxa"/>
            </w:tcMar>
            <w:vAlign w:val="center"/>
          </w:tcPr>
          <w:p w:rsidR="004D78B8" w:rsidRPr="00E104E4" w:rsidRDefault="004D78B8" w:rsidP="007B493E">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4D78B8" w:rsidRPr="00CC670B" w:rsidRDefault="007824B8" w:rsidP="007B493E">
            <w:pPr>
              <w:pStyle w:val="AERtabletext"/>
              <w:keepNext/>
            </w:pPr>
            <w:r>
              <w:t>Powercor</w:t>
            </w:r>
            <w:r w:rsidR="004D78B8" w:rsidRPr="00CC670B">
              <w:t>’s WT</w:t>
            </w:r>
            <w:r w:rsidR="00022687">
              <w:t>BDM</w:t>
            </w:r>
            <w:r w:rsidR="004D78B8" w:rsidRPr="00CC670B">
              <w:t xml:space="preserve"> </w:t>
            </w:r>
            <w:r w:rsidR="00022687">
              <w:t>trial</w:t>
            </w:r>
            <w:r w:rsidR="004D78B8" w:rsidRPr="00CC670B">
              <w:t xml:space="preserve"> is non-tariff based.</w:t>
            </w:r>
          </w:p>
          <w:p w:rsidR="004D78B8" w:rsidRPr="00CC670B" w:rsidRDefault="004D78B8" w:rsidP="007B493E">
            <w:pPr>
              <w:pStyle w:val="AERtabletext"/>
              <w:keepNext/>
            </w:pPr>
          </w:p>
        </w:tc>
      </w:tr>
      <w:tr w:rsidR="004D78B8" w:rsidRPr="0068646A" w:rsidTr="007B493E">
        <w:tc>
          <w:tcPr>
            <w:tcW w:w="4307" w:type="dxa"/>
            <w:shd w:val="clear" w:color="auto" w:fill="auto"/>
            <w:noWrap/>
            <w:tcMar>
              <w:top w:w="0" w:type="dxa"/>
              <w:bottom w:w="0" w:type="dxa"/>
            </w:tcMar>
            <w:vAlign w:val="center"/>
          </w:tcPr>
          <w:p w:rsidR="004D78B8" w:rsidRPr="008579E9" w:rsidRDefault="004D78B8" w:rsidP="007B493E">
            <w:pPr>
              <w:pStyle w:val="AERtabletext"/>
              <w:keepNext/>
            </w:pPr>
            <w:r w:rsidRPr="008579E9">
              <w:t xml:space="preserve">Costs recovered under this scheme: </w:t>
            </w:r>
          </w:p>
          <w:p w:rsidR="004D78B8" w:rsidRPr="008579E9" w:rsidRDefault="004D78B8" w:rsidP="007B493E">
            <w:pPr>
              <w:pStyle w:val="AERtabletext"/>
              <w:keepNext/>
            </w:pPr>
            <w:r w:rsidRPr="008579E9">
              <w:t xml:space="preserve">a. must not be recoverable under any other jurisdictional incentive scheme </w:t>
            </w:r>
          </w:p>
          <w:p w:rsidR="004D78B8" w:rsidRPr="008579E9" w:rsidRDefault="004D78B8" w:rsidP="007B493E">
            <w:pPr>
              <w:pStyle w:val="AERtabletext"/>
              <w:keepNext/>
            </w:pPr>
            <w:r w:rsidRPr="008579E9">
              <w:t xml:space="preserve">b. must not be recoverable under any other state or Australian Government scheme </w:t>
            </w:r>
          </w:p>
          <w:p w:rsidR="004D78B8" w:rsidRPr="00E104E4" w:rsidRDefault="004D78B8" w:rsidP="007B493E">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4D78B8" w:rsidRPr="00CC670B" w:rsidRDefault="007824B8" w:rsidP="007B493E">
            <w:pPr>
              <w:pStyle w:val="AERtabletext"/>
              <w:keepNext/>
            </w:pPr>
            <w:r>
              <w:t>Powercor</w:t>
            </w:r>
            <w:r w:rsidR="004D78B8" w:rsidRPr="00CC670B">
              <w:t>’s DMIA report for the WT</w:t>
            </w:r>
            <w:r w:rsidR="00022687">
              <w:t>BDM</w:t>
            </w:r>
            <w:r w:rsidR="004D78B8" w:rsidRPr="00CC670B">
              <w:t xml:space="preserve"> </w:t>
            </w:r>
            <w:r w:rsidR="00022687">
              <w:t>trial</w:t>
            </w:r>
            <w:r w:rsidR="004D78B8" w:rsidRPr="00CC670B">
              <w:t xml:space="preserve"> contains a statement to this effect.</w:t>
            </w:r>
          </w:p>
          <w:p w:rsidR="004D78B8" w:rsidRPr="00CC670B" w:rsidRDefault="004D78B8" w:rsidP="007B493E">
            <w:pPr>
              <w:pStyle w:val="AERtabletext"/>
              <w:keepNext/>
            </w:pPr>
          </w:p>
          <w:p w:rsidR="004D78B8" w:rsidRPr="00CC670B" w:rsidRDefault="004D78B8" w:rsidP="007B493E">
            <w:pPr>
              <w:pStyle w:val="AERtabletext"/>
              <w:keepNext/>
            </w:pPr>
          </w:p>
          <w:p w:rsidR="004D78B8" w:rsidRPr="00CC670B" w:rsidRDefault="004D78B8" w:rsidP="007B493E">
            <w:pPr>
              <w:pStyle w:val="AERtabletext"/>
              <w:keepNext/>
            </w:pPr>
          </w:p>
          <w:p w:rsidR="004D78B8" w:rsidRPr="00CC670B" w:rsidRDefault="004D78B8" w:rsidP="007B493E">
            <w:pPr>
              <w:pStyle w:val="AERtabletext"/>
              <w:keepNext/>
            </w:pPr>
          </w:p>
          <w:p w:rsidR="004D78B8" w:rsidRPr="00CC670B" w:rsidRDefault="004D78B8" w:rsidP="007B493E">
            <w:pPr>
              <w:pStyle w:val="AERtabletext"/>
              <w:keepNext/>
            </w:pPr>
          </w:p>
          <w:p w:rsidR="004D78B8" w:rsidRPr="00CC670B" w:rsidRDefault="004D78B8" w:rsidP="007B493E">
            <w:pPr>
              <w:pStyle w:val="AERtabletext"/>
              <w:keepNext/>
            </w:pPr>
          </w:p>
        </w:tc>
      </w:tr>
      <w:tr w:rsidR="004D78B8" w:rsidRPr="0068646A" w:rsidTr="007B493E">
        <w:tc>
          <w:tcPr>
            <w:tcW w:w="4307" w:type="dxa"/>
            <w:shd w:val="clear" w:color="auto" w:fill="F8B47C"/>
            <w:noWrap/>
            <w:tcMar>
              <w:top w:w="0" w:type="dxa"/>
              <w:bottom w:w="0" w:type="dxa"/>
            </w:tcMar>
            <w:vAlign w:val="center"/>
          </w:tcPr>
          <w:p w:rsidR="004D78B8" w:rsidRDefault="004D78B8" w:rsidP="007B493E">
            <w:pPr>
              <w:pStyle w:val="AERtabletext"/>
              <w:keepNext/>
            </w:pPr>
            <w:r w:rsidRPr="008579E9">
              <w:t xml:space="preserve">Expenditure under the DMIA can be in the nature of capex or opex. </w:t>
            </w:r>
          </w:p>
          <w:p w:rsidR="004D78B8" w:rsidRPr="00E104E4" w:rsidRDefault="004D78B8" w:rsidP="007B493E">
            <w:pPr>
              <w:pStyle w:val="AERtabletext"/>
              <w:keepNext/>
            </w:pPr>
          </w:p>
        </w:tc>
        <w:tc>
          <w:tcPr>
            <w:tcW w:w="4306" w:type="dxa"/>
            <w:shd w:val="clear" w:color="auto" w:fill="F8B47C"/>
            <w:noWrap/>
            <w:tcMar>
              <w:top w:w="0" w:type="dxa"/>
              <w:bottom w:w="0" w:type="dxa"/>
            </w:tcMar>
            <w:vAlign w:val="center"/>
          </w:tcPr>
          <w:p w:rsidR="004D78B8" w:rsidRPr="00CC670B" w:rsidRDefault="007824B8" w:rsidP="007B493E">
            <w:pPr>
              <w:pStyle w:val="AERtabletext"/>
              <w:keepNext/>
            </w:pPr>
            <w:r>
              <w:t>Powercor</w:t>
            </w:r>
            <w:r w:rsidR="004D78B8" w:rsidRPr="00CC670B">
              <w:t xml:space="preserve"> has claimed DMIA expenditure for the WT</w:t>
            </w:r>
            <w:r w:rsidR="00683271">
              <w:t>BDM</w:t>
            </w:r>
            <w:r w:rsidR="004D78B8" w:rsidRPr="00CC670B">
              <w:t xml:space="preserve"> </w:t>
            </w:r>
            <w:r w:rsidR="00683271">
              <w:t>trial</w:t>
            </w:r>
            <w:r w:rsidR="004D78B8" w:rsidRPr="00CC670B">
              <w:t xml:space="preserve"> as opex.</w:t>
            </w:r>
          </w:p>
          <w:p w:rsidR="004D78B8" w:rsidRPr="00CC670B" w:rsidRDefault="004D78B8" w:rsidP="007B493E">
            <w:pPr>
              <w:pStyle w:val="AERtabletext"/>
              <w:keepNext/>
            </w:pPr>
          </w:p>
        </w:tc>
      </w:tr>
    </w:tbl>
    <w:p w:rsidR="004D78B8" w:rsidRPr="0074629B" w:rsidRDefault="004D78B8" w:rsidP="004D78B8"/>
    <w:p w:rsidR="00007589" w:rsidRDefault="004D78B8" w:rsidP="00007589">
      <w:pPr>
        <w:pStyle w:val="AERheading4"/>
      </w:pPr>
      <w:r>
        <w:br w:type="page"/>
      </w:r>
      <w:r w:rsidR="00083421">
        <w:lastRenderedPageBreak/>
        <w:t>Table B.4</w:t>
      </w:r>
      <w:r w:rsidR="00007589">
        <w:t xml:space="preserve">: </w:t>
      </w:r>
      <w:r w:rsidR="00007589" w:rsidRPr="0068646A">
        <w:t xml:space="preserve">AER assessment of </w:t>
      </w:r>
      <w:r w:rsidR="00007589">
        <w:t>SP Aus</w:t>
      </w:r>
      <w:r w:rsidR="002F76F4">
        <w:t>N</w:t>
      </w:r>
      <w:r w:rsidR="00007589">
        <w:t>et’s</w:t>
      </w:r>
      <w:r w:rsidR="00007589" w:rsidRPr="0068646A">
        <w:t xml:space="preserve"> </w:t>
      </w:r>
      <w:r w:rsidR="002F76F4">
        <w:t xml:space="preserve">2012 </w:t>
      </w:r>
      <w:r w:rsidR="00007589" w:rsidRPr="0068646A">
        <w:t xml:space="preserve">DMIA expenditure </w:t>
      </w:r>
    </w:p>
    <w:p w:rsidR="00007589" w:rsidRPr="00E104E4" w:rsidRDefault="00007589" w:rsidP="00007589">
      <w:pPr>
        <w:pStyle w:val="AERtabletextheading"/>
      </w:pPr>
      <w:r>
        <w:t>Project 1: Residential Battery Storage project</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007589" w:rsidRPr="0068646A" w:rsidTr="00E70FB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Reason for approval</w:t>
            </w: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rsidRPr="004167C0">
              <w:t>SP Aus</w:t>
            </w:r>
            <w:r w:rsidR="002F76F4">
              <w:t>N</w:t>
            </w:r>
            <w:r w:rsidRPr="004167C0">
              <w:t>et’s Residential Battery Storage project is consistent with this criterion because it is a measure undertaken by SP Aus</w:t>
            </w:r>
            <w:r w:rsidR="002F76F4">
              <w:t>N</w:t>
            </w:r>
            <w:r w:rsidRPr="004167C0">
              <w:t>et to manage demand for standard control services by installing battery storage systems in residential homes, which can be charged or discharged by SP AusNet to flatten peak demand.</w:t>
            </w:r>
          </w:p>
        </w:tc>
      </w:tr>
      <w:tr w:rsidR="00007589" w:rsidRPr="0068646A" w:rsidTr="008072B8">
        <w:tc>
          <w:tcPr>
            <w:tcW w:w="4307" w:type="dxa"/>
            <w:shd w:val="clear" w:color="auto" w:fill="F8B47C"/>
            <w:noWrap/>
            <w:tcMar>
              <w:top w:w="0" w:type="dxa"/>
              <w:bottom w:w="0" w:type="dxa"/>
            </w:tcMar>
            <w:vAlign w:val="center"/>
          </w:tcPr>
          <w:p w:rsidR="00007589" w:rsidRPr="008579E9" w:rsidRDefault="00007589" w:rsidP="00E70FB6">
            <w:pPr>
              <w:pStyle w:val="AERtabletext"/>
              <w:keepNext/>
            </w:pPr>
            <w:r w:rsidRPr="008579E9">
              <w:t xml:space="preserve">Demand management projects or programs may be: </w:t>
            </w:r>
          </w:p>
          <w:p w:rsidR="00007589" w:rsidRPr="008579E9" w:rsidRDefault="00007589" w:rsidP="00E70FB6">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07589" w:rsidRPr="00E104E4" w:rsidRDefault="00007589" w:rsidP="00E70FB6">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tcPr>
          <w:p w:rsidR="00007589" w:rsidRPr="00984D59" w:rsidRDefault="00007589" w:rsidP="008072B8">
            <w:pPr>
              <w:pStyle w:val="AERtabletext"/>
              <w:keepNext/>
            </w:pPr>
            <w:r>
              <w:t>SP AusNet’s Residential Battery Storage</w:t>
            </w:r>
            <w:r w:rsidRPr="00984D59">
              <w:t xml:space="preserve"> project is consistent with this criterion because it is a </w:t>
            </w:r>
            <w:r w:rsidRPr="00555933">
              <w:t>peak</w:t>
            </w:r>
            <w:r w:rsidRPr="00984D59">
              <w:t xml:space="preserve"> demand management project which aims to reduce </w:t>
            </w:r>
            <w:r>
              <w:t>specific network constraints at the location and time of the constraint.</w:t>
            </w: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t>SP AusNet’s Residential Battery Storage</w:t>
            </w:r>
            <w:r w:rsidRPr="00984D59">
              <w:t xml:space="preserve"> project is consistent with this criterion because it </w:t>
            </w:r>
            <w:r>
              <w:t>is designed to build demand management capability and capacity and explore potentially efficient demand management mechanisms</w:t>
            </w:r>
            <w:r w:rsidRPr="00984D59">
              <w:t>.</w:t>
            </w:r>
          </w:p>
        </w:tc>
      </w:tr>
      <w:tr w:rsidR="00007589" w:rsidRPr="005F3400" w:rsidTr="00E70FB6">
        <w:tc>
          <w:tcPr>
            <w:tcW w:w="4307" w:type="dxa"/>
            <w:shd w:val="clear" w:color="auto" w:fill="F8B47C"/>
            <w:noWrap/>
            <w:tcMar>
              <w:top w:w="0" w:type="dxa"/>
              <w:bottom w:w="0" w:type="dxa"/>
            </w:tcMar>
            <w:vAlign w:val="center"/>
          </w:tcPr>
          <w:p w:rsidR="00007589" w:rsidRPr="00E104E4" w:rsidRDefault="00007589" w:rsidP="00E70FB6">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007589" w:rsidRPr="002D5BCF" w:rsidRDefault="00007589" w:rsidP="00E70FB6">
            <w:pPr>
              <w:pStyle w:val="AERtabletext"/>
              <w:keepNext/>
            </w:pPr>
            <w:r w:rsidRPr="002D5BCF">
              <w:t xml:space="preserve">SP AusNet’s Residential Battery Storage project is </w:t>
            </w:r>
            <w:r w:rsidR="002D5BCF">
              <w:br/>
            </w:r>
            <w:r w:rsidRPr="005F3400">
              <w:t>non-tariff</w:t>
            </w:r>
            <w:r w:rsidRPr="002D5BCF">
              <w:t xml:space="preserve"> based.</w:t>
            </w:r>
          </w:p>
          <w:p w:rsidR="00007589" w:rsidRPr="00E10C31" w:rsidRDefault="00007589" w:rsidP="00E70FB6">
            <w:pPr>
              <w:pStyle w:val="AERtabletext"/>
              <w:keepNext/>
            </w:pPr>
          </w:p>
        </w:tc>
      </w:tr>
      <w:tr w:rsidR="00007589" w:rsidRPr="0068646A" w:rsidTr="00E70FB6">
        <w:tc>
          <w:tcPr>
            <w:tcW w:w="4307" w:type="dxa"/>
            <w:shd w:val="clear" w:color="auto" w:fill="auto"/>
            <w:noWrap/>
            <w:tcMar>
              <w:top w:w="0" w:type="dxa"/>
              <w:bottom w:w="0" w:type="dxa"/>
            </w:tcMar>
            <w:vAlign w:val="center"/>
          </w:tcPr>
          <w:p w:rsidR="00007589" w:rsidRPr="008579E9" w:rsidRDefault="00007589" w:rsidP="00E70FB6">
            <w:pPr>
              <w:pStyle w:val="AERtabletext"/>
              <w:keepNext/>
            </w:pPr>
            <w:r w:rsidRPr="008579E9">
              <w:t xml:space="preserve">Costs recovered under this scheme: </w:t>
            </w:r>
          </w:p>
          <w:p w:rsidR="00007589" w:rsidRPr="008579E9" w:rsidRDefault="00007589" w:rsidP="00E70FB6">
            <w:pPr>
              <w:pStyle w:val="AERtabletext"/>
              <w:keepNext/>
            </w:pPr>
            <w:r w:rsidRPr="008579E9">
              <w:t xml:space="preserve">a. must not be recoverable under any other jurisdictional incentive scheme </w:t>
            </w:r>
          </w:p>
          <w:p w:rsidR="00007589" w:rsidRPr="008579E9" w:rsidRDefault="00007589" w:rsidP="00E70FB6">
            <w:pPr>
              <w:pStyle w:val="AERtabletext"/>
              <w:keepNext/>
            </w:pPr>
            <w:r w:rsidRPr="008579E9">
              <w:t xml:space="preserve">b. must not be recoverable under any other state or Australian Government scheme </w:t>
            </w:r>
          </w:p>
          <w:p w:rsidR="00007589" w:rsidRPr="00E104E4" w:rsidRDefault="00007589" w:rsidP="00E70FB6">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t>SP Ausnet’s</w:t>
            </w:r>
            <w:r w:rsidRPr="00984D59">
              <w:t xml:space="preserve"> DMIA report for the </w:t>
            </w:r>
            <w:r>
              <w:t>Residential Battery Storage</w:t>
            </w:r>
            <w:r w:rsidRPr="00984D59">
              <w:t xml:space="preserve"> project contains a statement to this effect.</w:t>
            </w: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tc>
      </w:tr>
      <w:tr w:rsidR="00007589" w:rsidRPr="0068646A" w:rsidTr="00E70FB6">
        <w:tc>
          <w:tcPr>
            <w:tcW w:w="4307" w:type="dxa"/>
            <w:shd w:val="clear" w:color="auto" w:fill="F8B47C"/>
            <w:noWrap/>
            <w:tcMar>
              <w:top w:w="0" w:type="dxa"/>
              <w:bottom w:w="0" w:type="dxa"/>
            </w:tcMar>
            <w:vAlign w:val="center"/>
          </w:tcPr>
          <w:p w:rsidR="00007589" w:rsidRDefault="00007589" w:rsidP="00E70FB6">
            <w:pPr>
              <w:pStyle w:val="AERtabletext"/>
              <w:keepNext/>
            </w:pPr>
            <w:r w:rsidRPr="008579E9">
              <w:t xml:space="preserve">Expenditure under the DMIA can be in the nature of capex or opex. </w:t>
            </w:r>
          </w:p>
          <w:p w:rsidR="00007589" w:rsidRPr="00E104E4" w:rsidRDefault="00007589" w:rsidP="00E70FB6">
            <w:pPr>
              <w:pStyle w:val="AERtabletext"/>
              <w:keepNext/>
            </w:pP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t>SP Ausnet</w:t>
            </w:r>
            <w:r w:rsidRPr="00984D59">
              <w:t xml:space="preserve"> has claimed DMIA expenditure for the </w:t>
            </w:r>
            <w:r>
              <w:t>Residential Battery Storage</w:t>
            </w:r>
            <w:r w:rsidRPr="00984D59">
              <w:t xml:space="preserve"> project as capex</w:t>
            </w:r>
            <w:r>
              <w:t xml:space="preserve"> ($118 560) and opex ($30 200)</w:t>
            </w:r>
            <w:r w:rsidRPr="00984D59">
              <w:t>.</w:t>
            </w:r>
          </w:p>
          <w:p w:rsidR="00007589" w:rsidRPr="00984D59" w:rsidRDefault="00007589" w:rsidP="00E70FB6">
            <w:pPr>
              <w:pStyle w:val="AERtabletext"/>
              <w:keepNext/>
            </w:pPr>
          </w:p>
        </w:tc>
      </w:tr>
    </w:tbl>
    <w:p w:rsidR="00007589" w:rsidRPr="0074629B" w:rsidRDefault="00007589" w:rsidP="00007589"/>
    <w:p w:rsidR="00007589" w:rsidRDefault="00007589" w:rsidP="00007589">
      <w:pPr>
        <w:pStyle w:val="AERheading4"/>
      </w:pPr>
      <w:r>
        <w:br w:type="page"/>
      </w:r>
      <w:r w:rsidR="00083421">
        <w:lastRenderedPageBreak/>
        <w:t>Table B.5</w:t>
      </w:r>
      <w:r>
        <w:t xml:space="preserve">: </w:t>
      </w:r>
      <w:r w:rsidRPr="0068646A">
        <w:t xml:space="preserve">AER assessment of </w:t>
      </w:r>
      <w:r>
        <w:t>SP Aus</w:t>
      </w:r>
      <w:r w:rsidR="002F76F4">
        <w:t>N</w:t>
      </w:r>
      <w:r>
        <w:t>et’s</w:t>
      </w:r>
      <w:r w:rsidRPr="0068646A">
        <w:t xml:space="preserve"> </w:t>
      </w:r>
      <w:r w:rsidR="002F76F4">
        <w:t xml:space="preserve">2012 </w:t>
      </w:r>
      <w:r w:rsidRPr="0068646A">
        <w:t xml:space="preserve">DMIA expenditure </w:t>
      </w:r>
    </w:p>
    <w:p w:rsidR="00007589" w:rsidRPr="00E104E4" w:rsidRDefault="00007589" w:rsidP="00007589">
      <w:pPr>
        <w:pStyle w:val="AERtabletextheading"/>
      </w:pPr>
      <w:r>
        <w:t>Project 2: Grid Energy Storage System (GESS) project</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007589" w:rsidRPr="0068646A" w:rsidTr="00E70FB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07589" w:rsidRPr="004E14C6" w:rsidRDefault="00007589" w:rsidP="00E70FB6">
            <w:pPr>
              <w:pStyle w:val="AERtabletextheading"/>
              <w:keepNext/>
              <w:rPr>
                <w:bCs/>
                <w:sz w:val="16"/>
              </w:rPr>
            </w:pPr>
            <w:r w:rsidRPr="004E14C6">
              <w:rPr>
                <w:bCs/>
                <w:sz w:val="16"/>
              </w:rPr>
              <w:t>Reason for approval</w:t>
            </w: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t>SP AusNet’s GESS</w:t>
            </w:r>
            <w:r w:rsidRPr="00984D59">
              <w:t xml:space="preserve"> project is consistent with this criterion because it is a measure undertaken by </w:t>
            </w:r>
            <w:r>
              <w:t>SP AusNet to manage peak demand by installing a large battery storage system to provide demand levelling and voltage support services to defer network augmentation and improve the quality of supply to consumers</w:t>
            </w:r>
            <w:r w:rsidRPr="00984D59">
              <w:t>.</w:t>
            </w:r>
          </w:p>
        </w:tc>
      </w:tr>
      <w:tr w:rsidR="00007589" w:rsidRPr="0068646A" w:rsidTr="005F3400">
        <w:tc>
          <w:tcPr>
            <w:tcW w:w="4307" w:type="dxa"/>
            <w:shd w:val="clear" w:color="auto" w:fill="F8B47C"/>
            <w:noWrap/>
            <w:tcMar>
              <w:top w:w="0" w:type="dxa"/>
              <w:bottom w:w="0" w:type="dxa"/>
            </w:tcMar>
            <w:vAlign w:val="center"/>
          </w:tcPr>
          <w:p w:rsidR="00007589" w:rsidRPr="008579E9" w:rsidRDefault="00007589" w:rsidP="00E70FB6">
            <w:pPr>
              <w:pStyle w:val="AERtabletext"/>
              <w:keepNext/>
            </w:pPr>
            <w:r w:rsidRPr="008579E9">
              <w:t xml:space="preserve">Demand management projects or programs may be: </w:t>
            </w:r>
          </w:p>
          <w:p w:rsidR="00007589" w:rsidRPr="008579E9" w:rsidRDefault="00007589" w:rsidP="00E70FB6">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07589" w:rsidRPr="00E104E4" w:rsidRDefault="00007589" w:rsidP="00E70FB6">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tcPr>
          <w:p w:rsidR="00007589" w:rsidRPr="00984D59" w:rsidRDefault="00007589" w:rsidP="00E10C31">
            <w:pPr>
              <w:pStyle w:val="AERtabletext"/>
              <w:keepNext/>
            </w:pPr>
            <w:r>
              <w:t>SP AusNet’s GESS</w:t>
            </w:r>
            <w:r w:rsidRPr="00984D59">
              <w:t xml:space="preserve"> project is consistent with this criterion because it is a </w:t>
            </w:r>
            <w:r>
              <w:t>peak</w:t>
            </w:r>
            <w:r w:rsidRPr="00984D59">
              <w:t xml:space="preserve"> demand management project which aims to</w:t>
            </w:r>
            <w:r>
              <w:t xml:space="preserve"> address specific network constraints by reducing</w:t>
            </w:r>
            <w:r w:rsidRPr="00984D59">
              <w:t xml:space="preserve"> demand </w:t>
            </w:r>
            <w:r>
              <w:t>on the network at the location and time of the constraint.</w:t>
            </w:r>
          </w:p>
        </w:tc>
      </w:tr>
      <w:tr w:rsidR="00007589" w:rsidRPr="0068646A" w:rsidTr="00E70FB6">
        <w:tc>
          <w:tcPr>
            <w:tcW w:w="4307" w:type="dxa"/>
            <w:shd w:val="clear" w:color="auto" w:fill="auto"/>
            <w:noWrap/>
            <w:tcMar>
              <w:top w:w="0" w:type="dxa"/>
              <w:bottom w:w="0" w:type="dxa"/>
            </w:tcMar>
            <w:vAlign w:val="center"/>
          </w:tcPr>
          <w:p w:rsidR="00007589" w:rsidRPr="00E104E4" w:rsidRDefault="00007589" w:rsidP="00E70FB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t>SP AusNet’s GESS</w:t>
            </w:r>
            <w:r w:rsidRPr="00984D59">
              <w:t xml:space="preserve"> project is consistent with this criterion because it </w:t>
            </w:r>
            <w:r>
              <w:t>is an innovative measure designed to build demand management capability and capacity and explore potentially efficient demand management mechanisms</w:t>
            </w:r>
            <w:r w:rsidRPr="00984D59">
              <w:t>.</w:t>
            </w:r>
          </w:p>
        </w:tc>
      </w:tr>
      <w:tr w:rsidR="00007589" w:rsidRPr="0068646A" w:rsidTr="00E70FB6">
        <w:tc>
          <w:tcPr>
            <w:tcW w:w="4307" w:type="dxa"/>
            <w:shd w:val="clear" w:color="auto" w:fill="F8B47C"/>
            <w:noWrap/>
            <w:tcMar>
              <w:top w:w="0" w:type="dxa"/>
              <w:bottom w:w="0" w:type="dxa"/>
            </w:tcMar>
            <w:vAlign w:val="center"/>
          </w:tcPr>
          <w:p w:rsidR="00007589" w:rsidRPr="00E104E4" w:rsidRDefault="00007589" w:rsidP="00E70FB6">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t>SP AusNet’s GESS</w:t>
            </w:r>
            <w:r w:rsidRPr="00984D59">
              <w:t xml:space="preserve"> project is non-tariff based.</w:t>
            </w:r>
          </w:p>
          <w:p w:rsidR="00007589" w:rsidRPr="00984D59" w:rsidRDefault="00007589" w:rsidP="00E70FB6">
            <w:pPr>
              <w:pStyle w:val="AERtabletext"/>
              <w:keepNext/>
            </w:pPr>
          </w:p>
        </w:tc>
      </w:tr>
      <w:tr w:rsidR="00007589" w:rsidRPr="0068646A" w:rsidTr="00E70FB6">
        <w:tc>
          <w:tcPr>
            <w:tcW w:w="4307" w:type="dxa"/>
            <w:shd w:val="clear" w:color="auto" w:fill="auto"/>
            <w:noWrap/>
            <w:tcMar>
              <w:top w:w="0" w:type="dxa"/>
              <w:bottom w:w="0" w:type="dxa"/>
            </w:tcMar>
            <w:vAlign w:val="center"/>
          </w:tcPr>
          <w:p w:rsidR="00007589" w:rsidRPr="008579E9" w:rsidRDefault="00007589" w:rsidP="00E70FB6">
            <w:pPr>
              <w:pStyle w:val="AERtabletext"/>
              <w:keepNext/>
            </w:pPr>
            <w:r w:rsidRPr="008579E9">
              <w:t xml:space="preserve">Costs recovered under this scheme: </w:t>
            </w:r>
          </w:p>
          <w:p w:rsidR="00007589" w:rsidRPr="008579E9" w:rsidRDefault="00007589" w:rsidP="00E70FB6">
            <w:pPr>
              <w:pStyle w:val="AERtabletext"/>
              <w:keepNext/>
            </w:pPr>
            <w:r w:rsidRPr="008579E9">
              <w:t xml:space="preserve">a. must not be recoverable under any other jurisdictional incentive scheme </w:t>
            </w:r>
          </w:p>
          <w:p w:rsidR="00007589" w:rsidRPr="008579E9" w:rsidRDefault="00007589" w:rsidP="00E70FB6">
            <w:pPr>
              <w:pStyle w:val="AERtabletext"/>
              <w:keepNext/>
            </w:pPr>
            <w:r w:rsidRPr="008579E9">
              <w:t xml:space="preserve">b. must not be recoverable under any other state or Australian Government scheme </w:t>
            </w:r>
          </w:p>
          <w:p w:rsidR="00007589" w:rsidRPr="00E104E4" w:rsidRDefault="00007589" w:rsidP="00E70FB6">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07589" w:rsidRPr="00984D59" w:rsidRDefault="00007589" w:rsidP="00E70FB6">
            <w:pPr>
              <w:pStyle w:val="AERtabletext"/>
              <w:keepNext/>
            </w:pPr>
            <w:r>
              <w:t>SP AusNet’s</w:t>
            </w:r>
            <w:r w:rsidRPr="00984D59">
              <w:t xml:space="preserve"> DMIA report for the </w:t>
            </w:r>
            <w:r w:rsidR="00E10C31">
              <w:t>GESS</w:t>
            </w:r>
            <w:r w:rsidRPr="00984D59">
              <w:t xml:space="preserve"> project contains a statement to this effect.</w:t>
            </w: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p w:rsidR="00007589" w:rsidRPr="00984D59" w:rsidRDefault="00007589" w:rsidP="00E70FB6">
            <w:pPr>
              <w:pStyle w:val="AERtabletext"/>
              <w:keepNext/>
            </w:pPr>
          </w:p>
        </w:tc>
      </w:tr>
      <w:tr w:rsidR="00007589" w:rsidRPr="0068646A" w:rsidTr="00E70FB6">
        <w:tc>
          <w:tcPr>
            <w:tcW w:w="4307" w:type="dxa"/>
            <w:shd w:val="clear" w:color="auto" w:fill="F8B47C"/>
            <w:noWrap/>
            <w:tcMar>
              <w:top w:w="0" w:type="dxa"/>
              <w:bottom w:w="0" w:type="dxa"/>
            </w:tcMar>
            <w:vAlign w:val="center"/>
          </w:tcPr>
          <w:p w:rsidR="00007589" w:rsidRDefault="00007589" w:rsidP="00E70FB6">
            <w:pPr>
              <w:pStyle w:val="AERtabletext"/>
              <w:keepNext/>
            </w:pPr>
            <w:r w:rsidRPr="008579E9">
              <w:t xml:space="preserve">Expenditure under the DMIA can be in the nature of capex or opex. </w:t>
            </w:r>
          </w:p>
          <w:p w:rsidR="00007589" w:rsidRPr="00E104E4" w:rsidRDefault="00007589" w:rsidP="00E70FB6">
            <w:pPr>
              <w:pStyle w:val="AERtabletext"/>
              <w:keepNext/>
            </w:pPr>
          </w:p>
        </w:tc>
        <w:tc>
          <w:tcPr>
            <w:tcW w:w="4306" w:type="dxa"/>
            <w:shd w:val="clear" w:color="auto" w:fill="F8B47C"/>
            <w:noWrap/>
            <w:tcMar>
              <w:top w:w="0" w:type="dxa"/>
              <w:bottom w:w="0" w:type="dxa"/>
            </w:tcMar>
            <w:vAlign w:val="center"/>
          </w:tcPr>
          <w:p w:rsidR="00007589" w:rsidRPr="00984D59" w:rsidRDefault="00007589" w:rsidP="00E70FB6">
            <w:pPr>
              <w:pStyle w:val="AERtabletext"/>
              <w:keepNext/>
            </w:pPr>
            <w:r>
              <w:t>SP AusNet</w:t>
            </w:r>
            <w:r w:rsidRPr="00984D59">
              <w:t xml:space="preserve"> has claimed DMIA expenditure for the </w:t>
            </w:r>
            <w:r>
              <w:t>GESS</w:t>
            </w:r>
            <w:r w:rsidRPr="00984D59">
              <w:t xml:space="preserve"> project as capex.</w:t>
            </w:r>
          </w:p>
          <w:p w:rsidR="00007589" w:rsidRPr="00984D59" w:rsidRDefault="00007589" w:rsidP="00E70FB6">
            <w:pPr>
              <w:pStyle w:val="AERtabletext"/>
              <w:keepNext/>
            </w:pPr>
          </w:p>
        </w:tc>
      </w:tr>
    </w:tbl>
    <w:p w:rsidR="00007589" w:rsidRPr="00155829" w:rsidRDefault="00007589" w:rsidP="00007589"/>
    <w:p w:rsidR="004D78B8" w:rsidRDefault="004D78B8" w:rsidP="004D78B8">
      <w:pPr>
        <w:pStyle w:val="AERheading4"/>
      </w:pPr>
      <w:r>
        <w:br w:type="page"/>
      </w:r>
      <w:r w:rsidR="00083421">
        <w:lastRenderedPageBreak/>
        <w:t>Table B.6</w:t>
      </w:r>
      <w:r w:rsidR="00E4278A">
        <w:t xml:space="preserve">: </w:t>
      </w:r>
      <w:r w:rsidRPr="0068646A">
        <w:t xml:space="preserve">AER assessment of </w:t>
      </w:r>
      <w:r>
        <w:t>U</w:t>
      </w:r>
      <w:r w:rsidR="0008374C">
        <w:t xml:space="preserve">nited </w:t>
      </w:r>
      <w:r>
        <w:t>E</w:t>
      </w:r>
      <w:r w:rsidR="0008374C">
        <w:t>nergy</w:t>
      </w:r>
      <w:r>
        <w:t>’s</w:t>
      </w:r>
      <w:r w:rsidRPr="0068646A">
        <w:t xml:space="preserve"> </w:t>
      </w:r>
      <w:r w:rsidR="002F76F4">
        <w:t xml:space="preserve">2012 </w:t>
      </w:r>
      <w:r w:rsidRPr="0068646A">
        <w:t xml:space="preserve">DMIA expenditure </w:t>
      </w:r>
    </w:p>
    <w:p w:rsidR="004D78B8" w:rsidRPr="00E104E4" w:rsidRDefault="004D78B8" w:rsidP="004D78B8">
      <w:pPr>
        <w:pStyle w:val="AERtabletextheading"/>
      </w:pPr>
      <w:r>
        <w:t xml:space="preserve">Project 1: District Energy Services Scheme </w:t>
      </w:r>
      <w:r w:rsidR="008D5D9D">
        <w:t xml:space="preserve">(DESS) </w:t>
      </w:r>
      <w:r>
        <w:t>project</w:t>
      </w:r>
    </w:p>
    <w:tbl>
      <w:tblPr>
        <w:tblW w:w="8613" w:type="dxa"/>
        <w:tblBorders>
          <w:top w:val="single" w:sz="4" w:space="0" w:color="auto"/>
          <w:bottom w:val="single" w:sz="4" w:space="0" w:color="auto"/>
        </w:tblBorders>
        <w:tblLayout w:type="fixed"/>
        <w:tblLook w:val="01E0" w:firstRow="1" w:lastRow="1" w:firstColumn="1" w:lastColumn="1" w:noHBand="0" w:noVBand="0"/>
      </w:tblPr>
      <w:tblGrid>
        <w:gridCol w:w="4307"/>
        <w:gridCol w:w="4306"/>
      </w:tblGrid>
      <w:tr w:rsidR="004D78B8" w:rsidRPr="0068646A" w:rsidTr="007B493E">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4D78B8" w:rsidRPr="004E14C6" w:rsidRDefault="004D78B8" w:rsidP="007B493E">
            <w:pPr>
              <w:pStyle w:val="AERtabletextheading"/>
              <w:keepNext/>
              <w:rPr>
                <w:bCs/>
                <w:sz w:val="16"/>
              </w:rPr>
            </w:pPr>
            <w:r w:rsidRPr="004E14C6">
              <w:rPr>
                <w:bCs/>
                <w:sz w:val="16"/>
              </w:rPr>
              <w:t>Reason for approval</w:t>
            </w: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4D78B8" w:rsidRPr="00713C9C" w:rsidRDefault="0008374C" w:rsidP="007A73E1">
            <w:pPr>
              <w:pStyle w:val="AERtabletext"/>
              <w:keepNext/>
            </w:pPr>
            <w:r>
              <w:t>United Energy’s</w:t>
            </w:r>
            <w:r w:rsidRPr="00713C9C">
              <w:t xml:space="preserve"> </w:t>
            </w:r>
            <w:r w:rsidR="00DB750F">
              <w:t xml:space="preserve">DESS </w:t>
            </w:r>
            <w:r w:rsidR="004D78B8" w:rsidRPr="00713C9C">
              <w:t xml:space="preserve">project is consistent with this criterion because it is a measure undertaken by </w:t>
            </w:r>
            <w:r w:rsidR="00A34D34">
              <w:t>United Energy</w:t>
            </w:r>
            <w:r w:rsidR="004D78B8" w:rsidRPr="00713C9C">
              <w:t xml:space="preserve"> to shift or reduce demand for standard control services to defer network augmentation </w:t>
            </w:r>
            <w:r w:rsidR="00477371" w:rsidRPr="00713C9C">
              <w:t>through non</w:t>
            </w:r>
            <w:r w:rsidR="002F76F4">
              <w:noBreakHyphen/>
            </w:r>
            <w:r w:rsidR="00477371" w:rsidRPr="00713C9C">
              <w:t>network alternatives</w:t>
            </w:r>
            <w:r w:rsidR="004D78B8" w:rsidRPr="00713C9C">
              <w:t>.</w:t>
            </w:r>
          </w:p>
        </w:tc>
      </w:tr>
      <w:tr w:rsidR="004D78B8" w:rsidRPr="0068646A" w:rsidTr="008072B8">
        <w:tc>
          <w:tcPr>
            <w:tcW w:w="4307" w:type="dxa"/>
            <w:shd w:val="clear" w:color="auto" w:fill="F8B47C"/>
            <w:noWrap/>
            <w:tcMar>
              <w:top w:w="0" w:type="dxa"/>
              <w:bottom w:w="0" w:type="dxa"/>
            </w:tcMar>
            <w:vAlign w:val="center"/>
          </w:tcPr>
          <w:p w:rsidR="004D78B8" w:rsidRPr="008579E9" w:rsidRDefault="004D78B8" w:rsidP="007B493E">
            <w:pPr>
              <w:pStyle w:val="AERtabletext"/>
              <w:keepNext/>
            </w:pPr>
            <w:r w:rsidRPr="008579E9">
              <w:t xml:space="preserve">Demand management projects or programs may be: </w:t>
            </w:r>
          </w:p>
          <w:p w:rsidR="004D78B8" w:rsidRPr="008579E9" w:rsidRDefault="004D78B8" w:rsidP="007B493E">
            <w:pPr>
              <w:pStyle w:val="AERtabletext"/>
              <w:keepNext/>
            </w:pPr>
            <w:r w:rsidRPr="008579E9">
              <w:t xml:space="preserve">a.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4D78B8" w:rsidRPr="00E104E4" w:rsidRDefault="004D78B8" w:rsidP="007B493E">
            <w:pPr>
              <w:pStyle w:val="AERtabletext"/>
              <w:keepNext/>
            </w:pPr>
            <w:r w:rsidRPr="008579E9">
              <w:t xml:space="preserve">b.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tcPr>
          <w:p w:rsidR="004D78B8" w:rsidRPr="00984D59" w:rsidRDefault="0008374C" w:rsidP="008072B8">
            <w:pPr>
              <w:pStyle w:val="AERtabletext"/>
              <w:keepNext/>
            </w:pPr>
            <w:r>
              <w:t>United Energy’s</w:t>
            </w:r>
            <w:r w:rsidR="004D78B8">
              <w:t xml:space="preserve"> </w:t>
            </w:r>
            <w:r w:rsidR="00DB750F">
              <w:t>DESS</w:t>
            </w:r>
            <w:r w:rsidR="00DB750F" w:rsidDel="00DB750F">
              <w:t xml:space="preserve"> </w:t>
            </w:r>
            <w:r w:rsidR="004D78B8" w:rsidRPr="00984D59">
              <w:t xml:space="preserve">project is consistent with this criterion because it is a </w:t>
            </w:r>
            <w:r w:rsidR="004D78B8">
              <w:t>peak</w:t>
            </w:r>
            <w:r w:rsidR="004D78B8" w:rsidRPr="00984D59">
              <w:t xml:space="preserve"> demand management project which aims to </w:t>
            </w:r>
            <w:r w:rsidR="004D78B8">
              <w:t>address specific network constraints by reducing demand on the network at the location and time of the constraint.</w:t>
            </w:r>
          </w:p>
        </w:tc>
      </w:tr>
      <w:tr w:rsidR="004D78B8" w:rsidRPr="0068646A" w:rsidTr="007B493E">
        <w:tc>
          <w:tcPr>
            <w:tcW w:w="4307" w:type="dxa"/>
            <w:shd w:val="clear" w:color="auto" w:fill="auto"/>
            <w:noWrap/>
            <w:tcMar>
              <w:top w:w="0" w:type="dxa"/>
              <w:bottom w:w="0" w:type="dxa"/>
            </w:tcMar>
            <w:vAlign w:val="center"/>
          </w:tcPr>
          <w:p w:rsidR="004D78B8" w:rsidRPr="00E104E4" w:rsidRDefault="004D78B8" w:rsidP="007B493E">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4D78B8" w:rsidRPr="00984D59" w:rsidRDefault="0008374C" w:rsidP="006F6CE7">
            <w:pPr>
              <w:pStyle w:val="AERtabletext"/>
              <w:keepNext/>
            </w:pPr>
            <w:r>
              <w:t>United Energy’s</w:t>
            </w:r>
            <w:r w:rsidR="004D78B8">
              <w:t xml:space="preserve"> </w:t>
            </w:r>
            <w:r w:rsidR="00DB750F">
              <w:t>DESS</w:t>
            </w:r>
            <w:r w:rsidR="00DB750F" w:rsidDel="00DB750F">
              <w:t xml:space="preserve"> </w:t>
            </w:r>
            <w:r w:rsidR="004D78B8" w:rsidRPr="00984D59">
              <w:t xml:space="preserve">project is consistent with this criterion because it </w:t>
            </w:r>
            <w:r w:rsidR="004D78B8">
              <w:t>is designed to explore potentially efficient demand management mechanisms using original concepts.</w:t>
            </w:r>
          </w:p>
        </w:tc>
      </w:tr>
      <w:tr w:rsidR="004D78B8" w:rsidRPr="0068646A" w:rsidTr="007B493E">
        <w:tc>
          <w:tcPr>
            <w:tcW w:w="4307" w:type="dxa"/>
            <w:shd w:val="clear" w:color="auto" w:fill="F8B47C"/>
            <w:noWrap/>
            <w:tcMar>
              <w:top w:w="0" w:type="dxa"/>
              <w:bottom w:w="0" w:type="dxa"/>
            </w:tcMar>
            <w:vAlign w:val="center"/>
          </w:tcPr>
          <w:p w:rsidR="004D78B8" w:rsidRPr="00E104E4" w:rsidRDefault="004D78B8" w:rsidP="007B493E">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4D78B8" w:rsidRPr="00984D59" w:rsidRDefault="0008374C" w:rsidP="007B493E">
            <w:pPr>
              <w:pStyle w:val="AERtabletext"/>
              <w:keepNext/>
            </w:pPr>
            <w:r>
              <w:t>United Energy’s</w:t>
            </w:r>
            <w:r w:rsidR="004D78B8">
              <w:t xml:space="preserve"> </w:t>
            </w:r>
            <w:r w:rsidR="00DB750F">
              <w:t>DESS</w:t>
            </w:r>
            <w:r w:rsidR="00DB750F" w:rsidDel="00DB750F">
              <w:t xml:space="preserve"> </w:t>
            </w:r>
            <w:r w:rsidR="004D78B8" w:rsidRPr="00984D59">
              <w:t>project is non-tariff based.</w:t>
            </w:r>
          </w:p>
          <w:p w:rsidR="004D78B8" w:rsidRPr="00984D59" w:rsidRDefault="004D78B8" w:rsidP="007B493E">
            <w:pPr>
              <w:pStyle w:val="AERtabletext"/>
              <w:keepNext/>
            </w:pPr>
          </w:p>
        </w:tc>
      </w:tr>
      <w:tr w:rsidR="004D78B8" w:rsidRPr="0068646A" w:rsidTr="007B493E">
        <w:tc>
          <w:tcPr>
            <w:tcW w:w="4307" w:type="dxa"/>
            <w:shd w:val="clear" w:color="auto" w:fill="auto"/>
            <w:noWrap/>
            <w:tcMar>
              <w:top w:w="0" w:type="dxa"/>
              <w:bottom w:w="0" w:type="dxa"/>
            </w:tcMar>
            <w:vAlign w:val="center"/>
          </w:tcPr>
          <w:p w:rsidR="004D78B8" w:rsidRPr="008579E9" w:rsidRDefault="004D78B8" w:rsidP="007B493E">
            <w:pPr>
              <w:pStyle w:val="AERtabletext"/>
              <w:keepNext/>
            </w:pPr>
            <w:r w:rsidRPr="008579E9">
              <w:t xml:space="preserve">Costs recovered under this scheme: </w:t>
            </w:r>
          </w:p>
          <w:p w:rsidR="004D78B8" w:rsidRPr="008579E9" w:rsidRDefault="004D78B8" w:rsidP="007B493E">
            <w:pPr>
              <w:pStyle w:val="AERtabletext"/>
              <w:keepNext/>
            </w:pPr>
            <w:r w:rsidRPr="008579E9">
              <w:t xml:space="preserve">a. must not be recoverable under any other jurisdictional incentive scheme </w:t>
            </w:r>
          </w:p>
          <w:p w:rsidR="004D78B8" w:rsidRPr="008579E9" w:rsidRDefault="004D78B8" w:rsidP="007B493E">
            <w:pPr>
              <w:pStyle w:val="AERtabletext"/>
              <w:keepNext/>
            </w:pPr>
            <w:r w:rsidRPr="008579E9">
              <w:t xml:space="preserve">b. must not be recoverable under any other state or Australian Government scheme </w:t>
            </w:r>
          </w:p>
          <w:p w:rsidR="004D78B8" w:rsidRPr="00E104E4" w:rsidRDefault="004D78B8" w:rsidP="007B493E">
            <w:pPr>
              <w:pStyle w:val="AERtabletext"/>
              <w:keepNext/>
            </w:pPr>
            <w:r w:rsidRPr="008579E9">
              <w:t xml:space="preserve">c.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4D78B8" w:rsidRPr="00984D59" w:rsidRDefault="0008374C" w:rsidP="007B493E">
            <w:pPr>
              <w:pStyle w:val="AERtabletext"/>
              <w:keepNext/>
            </w:pPr>
            <w:r>
              <w:t>United Energy’s</w:t>
            </w:r>
            <w:r w:rsidR="004D78B8" w:rsidRPr="00984D59">
              <w:t xml:space="preserve"> DMIA report for the </w:t>
            </w:r>
            <w:r w:rsidR="00DB750F">
              <w:t>DESS</w:t>
            </w:r>
            <w:r w:rsidR="00DB750F" w:rsidDel="00DB750F">
              <w:t xml:space="preserve"> </w:t>
            </w:r>
            <w:r w:rsidR="004D78B8" w:rsidRPr="00984D59">
              <w:t>project contains a statement to this effect.</w:t>
            </w:r>
          </w:p>
          <w:p w:rsidR="004D78B8" w:rsidRPr="00984D59" w:rsidRDefault="004D78B8" w:rsidP="007B493E">
            <w:pPr>
              <w:pStyle w:val="AERtabletext"/>
              <w:keepNext/>
            </w:pPr>
          </w:p>
          <w:p w:rsidR="004D78B8" w:rsidRPr="00984D59" w:rsidRDefault="004D78B8" w:rsidP="007B493E">
            <w:pPr>
              <w:pStyle w:val="AERtabletext"/>
              <w:keepNext/>
            </w:pPr>
          </w:p>
          <w:p w:rsidR="004D78B8" w:rsidRPr="00984D59" w:rsidRDefault="004D78B8" w:rsidP="007B493E">
            <w:pPr>
              <w:pStyle w:val="AERtabletext"/>
              <w:keepNext/>
            </w:pPr>
          </w:p>
          <w:p w:rsidR="004D78B8" w:rsidRPr="00984D59" w:rsidRDefault="004D78B8" w:rsidP="007B493E">
            <w:pPr>
              <w:pStyle w:val="AERtabletext"/>
              <w:keepNext/>
            </w:pPr>
          </w:p>
          <w:p w:rsidR="004D78B8" w:rsidRPr="00984D59" w:rsidRDefault="004D78B8" w:rsidP="007B493E">
            <w:pPr>
              <w:pStyle w:val="AERtabletext"/>
              <w:keepNext/>
            </w:pPr>
          </w:p>
          <w:p w:rsidR="004D78B8" w:rsidRPr="00984D59" w:rsidRDefault="004D78B8" w:rsidP="007B493E">
            <w:pPr>
              <w:pStyle w:val="AERtabletext"/>
              <w:keepNext/>
            </w:pPr>
          </w:p>
        </w:tc>
      </w:tr>
      <w:tr w:rsidR="004D78B8" w:rsidRPr="0068646A" w:rsidTr="007B493E">
        <w:tc>
          <w:tcPr>
            <w:tcW w:w="4307" w:type="dxa"/>
            <w:shd w:val="clear" w:color="auto" w:fill="F8B47C"/>
            <w:noWrap/>
            <w:tcMar>
              <w:top w:w="0" w:type="dxa"/>
              <w:bottom w:w="0" w:type="dxa"/>
            </w:tcMar>
            <w:vAlign w:val="center"/>
          </w:tcPr>
          <w:p w:rsidR="004D78B8" w:rsidRDefault="004D78B8" w:rsidP="007B493E">
            <w:pPr>
              <w:pStyle w:val="AERtabletext"/>
              <w:keepNext/>
            </w:pPr>
            <w:r w:rsidRPr="008579E9">
              <w:t xml:space="preserve">Expenditure under the DMIA can be in the nature of capex or opex. </w:t>
            </w:r>
          </w:p>
          <w:p w:rsidR="004D78B8" w:rsidRPr="00E104E4" w:rsidRDefault="004D78B8" w:rsidP="007B493E">
            <w:pPr>
              <w:pStyle w:val="AERtabletext"/>
              <w:keepNext/>
            </w:pPr>
          </w:p>
        </w:tc>
        <w:tc>
          <w:tcPr>
            <w:tcW w:w="4306" w:type="dxa"/>
            <w:shd w:val="clear" w:color="auto" w:fill="F8B47C"/>
            <w:noWrap/>
            <w:tcMar>
              <w:top w:w="0" w:type="dxa"/>
              <w:bottom w:w="0" w:type="dxa"/>
            </w:tcMar>
            <w:vAlign w:val="center"/>
          </w:tcPr>
          <w:p w:rsidR="004D78B8" w:rsidRPr="00984D59" w:rsidRDefault="0008374C" w:rsidP="007B493E">
            <w:pPr>
              <w:pStyle w:val="AERtabletext"/>
              <w:keepNext/>
            </w:pPr>
            <w:r>
              <w:t>United Energy</w:t>
            </w:r>
            <w:r w:rsidR="004D78B8" w:rsidRPr="00984D59">
              <w:t xml:space="preserve"> has claimed DMIA expenditure for the </w:t>
            </w:r>
            <w:r w:rsidR="00DB750F">
              <w:t>DESS</w:t>
            </w:r>
            <w:r w:rsidR="004D78B8">
              <w:t xml:space="preserve"> project as o</w:t>
            </w:r>
            <w:r w:rsidR="004D78B8" w:rsidRPr="00984D59">
              <w:t>pex.</w:t>
            </w:r>
          </w:p>
          <w:p w:rsidR="004D78B8" w:rsidRPr="00984D59" w:rsidRDefault="004D78B8" w:rsidP="007B493E">
            <w:pPr>
              <w:pStyle w:val="AERtabletext"/>
              <w:keepNext/>
            </w:pPr>
          </w:p>
        </w:tc>
      </w:tr>
    </w:tbl>
    <w:p w:rsidR="0074629B" w:rsidRPr="00155829" w:rsidRDefault="00007589" w:rsidP="00007589">
      <w:pPr>
        <w:pStyle w:val="AERheading4"/>
      </w:pPr>
      <w:r w:rsidRPr="00155829">
        <w:t xml:space="preserve"> </w:t>
      </w:r>
    </w:p>
    <w:sectPr w:rsidR="0074629B" w:rsidRPr="00155829" w:rsidSect="00846193">
      <w:footerReference w:type="default" r:id="rId18"/>
      <w:pgSz w:w="11906" w:h="16838" w:code="9"/>
      <w:pgMar w:top="1440" w:right="1797" w:bottom="1276"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9D" w:rsidRDefault="00624C9D" w:rsidP="00155829">
      <w:pPr>
        <w:spacing w:after="0" w:line="240" w:lineRule="auto"/>
      </w:pPr>
      <w:r>
        <w:separator/>
      </w:r>
    </w:p>
  </w:endnote>
  <w:endnote w:type="continuationSeparator" w:id="0">
    <w:p w:rsidR="00624C9D" w:rsidRDefault="00624C9D" w:rsidP="0015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9D" w:rsidRDefault="00624C9D" w:rsidP="00846193">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Aer Determination Heading</w:t>
    </w:r>
  </w:p>
  <w:p w:rsidR="00624C9D" w:rsidRDefault="00624C9D"/>
  <w:p w:rsidR="00624C9D" w:rsidRDefault="00624C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9D" w:rsidRDefault="00624C9D" w:rsidP="00846193">
    <w:r>
      <w:t>2011–12 and 2012 DMIA assessment |</w:t>
    </w:r>
    <w:r w:rsidRPr="001A7245">
      <w:t xml:space="preserve"> </w:t>
    </w:r>
  </w:p>
  <w:p w:rsidR="00624C9D" w:rsidRDefault="00624C9D"/>
  <w:p w:rsidR="00624C9D" w:rsidRDefault="00624C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41" w:rsidRDefault="00B85A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9D" w:rsidRDefault="00624C9D" w:rsidP="00846193"/>
  <w:p w:rsidR="00624C9D" w:rsidRDefault="00624C9D">
    <w:r>
      <w:t>2011–12 and 2012 DMIA assessment |</w:t>
    </w:r>
    <w:r w:rsidRPr="001A7245">
      <w:t xml:space="preserve"> </w:t>
    </w:r>
    <w:r>
      <w:fldChar w:fldCharType="begin"/>
    </w:r>
    <w:r>
      <w:instrText xml:space="preserve"> PAGE   \* MERGEFORMAT </w:instrText>
    </w:r>
    <w:r>
      <w:fldChar w:fldCharType="separate"/>
    </w:r>
    <w:r w:rsidR="003E3DFC">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9D" w:rsidRDefault="00624C9D" w:rsidP="00155829">
      <w:pPr>
        <w:spacing w:after="0" w:line="240" w:lineRule="auto"/>
      </w:pPr>
      <w:r>
        <w:separator/>
      </w:r>
    </w:p>
  </w:footnote>
  <w:footnote w:type="continuationSeparator" w:id="0">
    <w:p w:rsidR="00624C9D" w:rsidRDefault="00624C9D" w:rsidP="00155829">
      <w:pPr>
        <w:spacing w:after="0" w:line="240" w:lineRule="auto"/>
      </w:pPr>
      <w:r>
        <w:continuationSeparator/>
      </w:r>
    </w:p>
  </w:footnote>
  <w:footnote w:id="1">
    <w:p w:rsidR="00624C9D" w:rsidRDefault="00624C9D" w:rsidP="008E5985">
      <w:pPr>
        <w:pStyle w:val="FootnoteText"/>
        <w:tabs>
          <w:tab w:val="clear" w:pos="454"/>
          <w:tab w:val="left" w:pos="142"/>
        </w:tabs>
        <w:ind w:left="142" w:hanging="142"/>
      </w:pPr>
      <w:r>
        <w:rPr>
          <w:rStyle w:val="FootnoteReference"/>
        </w:rPr>
        <w:footnoteRef/>
      </w:r>
      <w:r>
        <w:t xml:space="preserve"> </w:t>
      </w:r>
      <w:r>
        <w:tab/>
        <w:t>Non-Victorian DNSPs’ regulatory years align with financial years, whereas Victorian DNSPs regulatory years align with calendar years.</w:t>
      </w:r>
    </w:p>
  </w:footnote>
  <w:footnote w:id="2">
    <w:p w:rsidR="00624C9D" w:rsidRDefault="00624C9D" w:rsidP="008E5985">
      <w:pPr>
        <w:pStyle w:val="FootnoteText"/>
        <w:tabs>
          <w:tab w:val="clear" w:pos="454"/>
          <w:tab w:val="left" w:pos="142"/>
        </w:tabs>
      </w:pPr>
      <w:r>
        <w:rPr>
          <w:rStyle w:val="FootnoteReference"/>
        </w:rPr>
        <w:footnoteRef/>
      </w:r>
      <w:r>
        <w:t xml:space="preserve"> </w:t>
      </w:r>
      <w:r>
        <w:tab/>
        <w:t>All other costs for this program are claimed through the D-Factor.</w:t>
      </w:r>
    </w:p>
  </w:footnote>
  <w:footnote w:id="3">
    <w:p w:rsidR="00624C9D" w:rsidRDefault="00624C9D" w:rsidP="008E5985">
      <w:pPr>
        <w:pStyle w:val="FootnoteText"/>
        <w:tabs>
          <w:tab w:val="clear" w:pos="454"/>
          <w:tab w:val="left" w:pos="142"/>
        </w:tabs>
      </w:pPr>
      <w:r>
        <w:rPr>
          <w:rStyle w:val="FootnoteReference"/>
        </w:rPr>
        <w:footnoteRef/>
      </w:r>
      <w:r>
        <w:t xml:space="preserve"> </w:t>
      </w:r>
      <w:r>
        <w:tab/>
        <w:t>Ergon Energy 2011–12 DMIA report, p. 4.</w:t>
      </w:r>
    </w:p>
  </w:footnote>
  <w:footnote w:id="4">
    <w:p w:rsidR="00624C9D" w:rsidRDefault="00624C9D" w:rsidP="008E5985">
      <w:pPr>
        <w:pStyle w:val="FootnoteText"/>
        <w:tabs>
          <w:tab w:val="clear" w:pos="454"/>
          <w:tab w:val="left" w:pos="0"/>
        </w:tabs>
        <w:ind w:left="0" w:firstLine="0"/>
      </w:pPr>
      <w:r>
        <w:rPr>
          <w:rStyle w:val="FootnoteReference"/>
        </w:rPr>
        <w:footnoteRef/>
      </w:r>
      <w:r>
        <w:t xml:space="preserve"> Camp loads refer to a construction or mining camp which comprises multiple demountable building for accommodation. Camp loads share common areas.</w:t>
      </w:r>
    </w:p>
  </w:footnote>
  <w:footnote w:id="5">
    <w:p w:rsidR="00624C9D" w:rsidRDefault="00624C9D" w:rsidP="00EF1F46">
      <w:pPr>
        <w:pStyle w:val="FootnoteText"/>
        <w:tabs>
          <w:tab w:val="clear" w:pos="454"/>
          <w:tab w:val="left" w:pos="142"/>
        </w:tabs>
      </w:pPr>
      <w:r>
        <w:rPr>
          <w:rStyle w:val="FootnoteReference"/>
        </w:rPr>
        <w:footnoteRef/>
      </w:r>
      <w:r>
        <w:t xml:space="preserve"> </w:t>
      </w:r>
      <w:r>
        <w:tab/>
        <w:t>STATCOM stands for “</w:t>
      </w:r>
      <w:r w:rsidRPr="00013BF4">
        <w:rPr>
          <w:bCs/>
        </w:rPr>
        <w:t>static synchronous compensator</w:t>
      </w:r>
      <w:r>
        <w:rPr>
          <w:bCs/>
        </w:rPr>
        <w:t>”</w:t>
      </w:r>
    </w:p>
  </w:footnote>
  <w:footnote w:id="6">
    <w:p w:rsidR="00624C9D" w:rsidRDefault="00624C9D" w:rsidP="00465988">
      <w:pPr>
        <w:pStyle w:val="FootnoteText"/>
      </w:pPr>
      <w:r>
        <w:rPr>
          <w:rStyle w:val="FootnoteReference"/>
        </w:rPr>
        <w:footnoteRef/>
      </w:r>
      <w:r>
        <w:t xml:space="preserve"> JEN has not received funding for its web portal project as part of its advanced metering infrastructure project.</w:t>
      </w:r>
    </w:p>
  </w:footnote>
  <w:footnote w:id="7">
    <w:p w:rsidR="00624C9D" w:rsidRDefault="00624C9D" w:rsidP="001A25D6">
      <w:pPr>
        <w:pStyle w:val="FootnoteText"/>
        <w:tabs>
          <w:tab w:val="clear" w:pos="454"/>
          <w:tab w:val="left" w:pos="0"/>
        </w:tabs>
        <w:ind w:left="0" w:firstLine="0"/>
      </w:pPr>
      <w:r>
        <w:rPr>
          <w:rStyle w:val="FootnoteReference"/>
        </w:rPr>
        <w:footnoteRef/>
      </w:r>
      <w:r>
        <w:t xml:space="preserve"> </w:t>
      </w:r>
      <w:r>
        <w:rPr>
          <w:lang w:val="en"/>
        </w:rPr>
        <w:t xml:space="preserve">In water treatment plants, backwashing can be an automated process that is run by local </w:t>
      </w:r>
      <w:r w:rsidRPr="008E5985">
        <w:rPr>
          <w:lang w:val="en"/>
        </w:rPr>
        <w:t>programmable logic controllers</w:t>
      </w:r>
      <w:r>
        <w:rPr>
          <w:lang w:val="en"/>
        </w:rPr>
        <w:t xml:space="preserve"> or by centralized </w:t>
      </w:r>
      <w:r w:rsidRPr="008E5985">
        <w:rPr>
          <w:lang w:val="en"/>
        </w:rPr>
        <w:t>SCADA</w:t>
      </w:r>
      <w:r>
        <w:rPr>
          <w:lang w:val="en"/>
        </w:rPr>
        <w:t xml:space="preserve">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9D" w:rsidRDefault="00624C9D"/>
  <w:p w:rsidR="00624C9D" w:rsidRDefault="00624C9D"/>
  <w:p w:rsidR="00624C9D" w:rsidRDefault="00624C9D"/>
  <w:p w:rsidR="00624C9D" w:rsidRDefault="00624C9D"/>
  <w:p w:rsidR="00624C9D" w:rsidRDefault="00624C9D"/>
  <w:p w:rsidR="00624C9D" w:rsidRDefault="00624C9D"/>
  <w:p w:rsidR="00624C9D" w:rsidRDefault="00624C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41" w:rsidRDefault="00B85A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41" w:rsidRDefault="00B85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813"/>
    <w:multiLevelType w:val="hybridMultilevel"/>
    <w:tmpl w:val="015A28D8"/>
    <w:lvl w:ilvl="0" w:tplc="0C090001">
      <w:start w:val="20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0DF2733"/>
    <w:multiLevelType w:val="hybridMultilevel"/>
    <w:tmpl w:val="297A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EF6DE4"/>
    <w:multiLevelType w:val="hybridMultilevel"/>
    <w:tmpl w:val="8E4EF3A6"/>
    <w:lvl w:ilvl="0" w:tplc="0D8C376E">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7">
    <w:nsid w:val="60C94CE3"/>
    <w:multiLevelType w:val="hybridMultilevel"/>
    <w:tmpl w:val="E056FC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9">
    <w:nsid w:val="69507E63"/>
    <w:multiLevelType w:val="hybridMultilevel"/>
    <w:tmpl w:val="D752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ED7391"/>
    <w:multiLevelType w:val="hybridMultilevel"/>
    <w:tmpl w:val="B5B6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1"/>
      <w:lvlText w:val="%1.%2.%3"/>
      <w:lvlJc w:val="left"/>
      <w:pPr>
        <w:tabs>
          <w:tab w:val="num" w:pos="-357"/>
        </w:tabs>
        <w:ind w:left="-357" w:hanging="357"/>
      </w:pPr>
      <w:rPr>
        <w:rFonts w:hint="default"/>
      </w:rPr>
    </w:lvl>
    <w:lvl w:ilvl="3">
      <w:start w:val="1"/>
      <w:numFmt w:val="decimal"/>
      <w:lvlRestart w:val="0"/>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3">
    <w:nsid w:val="7EB705E0"/>
    <w:multiLevelType w:val="hybridMultilevel"/>
    <w:tmpl w:val="3510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13"/>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524\D13 67328  20130705 - 3.2.1 - Attachment 1 - 2011-12 and 2012 DMIA Decision document.DOC"/>
  </w:docVars>
  <w:rsids>
    <w:rsidRoot w:val="00F46E9B"/>
    <w:rsid w:val="00000101"/>
    <w:rsid w:val="00000B1C"/>
    <w:rsid w:val="00001FB0"/>
    <w:rsid w:val="00005E79"/>
    <w:rsid w:val="0000644B"/>
    <w:rsid w:val="00007589"/>
    <w:rsid w:val="00016310"/>
    <w:rsid w:val="00022687"/>
    <w:rsid w:val="00023427"/>
    <w:rsid w:val="000271D9"/>
    <w:rsid w:val="000306E0"/>
    <w:rsid w:val="00043C84"/>
    <w:rsid w:val="00043F18"/>
    <w:rsid w:val="00051CC4"/>
    <w:rsid w:val="00053B70"/>
    <w:rsid w:val="0005668A"/>
    <w:rsid w:val="000628A0"/>
    <w:rsid w:val="0006484E"/>
    <w:rsid w:val="0006610F"/>
    <w:rsid w:val="0006798F"/>
    <w:rsid w:val="000707F5"/>
    <w:rsid w:val="00077142"/>
    <w:rsid w:val="000825FA"/>
    <w:rsid w:val="00082626"/>
    <w:rsid w:val="00083421"/>
    <w:rsid w:val="0008374C"/>
    <w:rsid w:val="00084AA1"/>
    <w:rsid w:val="000853B1"/>
    <w:rsid w:val="00085C6F"/>
    <w:rsid w:val="000903AF"/>
    <w:rsid w:val="00092C2C"/>
    <w:rsid w:val="00092C9A"/>
    <w:rsid w:val="000B02B8"/>
    <w:rsid w:val="000B5A23"/>
    <w:rsid w:val="000B7575"/>
    <w:rsid w:val="000C03E7"/>
    <w:rsid w:val="000C17EB"/>
    <w:rsid w:val="000C54D3"/>
    <w:rsid w:val="000D1A8B"/>
    <w:rsid w:val="000D4D89"/>
    <w:rsid w:val="000E1C85"/>
    <w:rsid w:val="000F0DC2"/>
    <w:rsid w:val="000F48A3"/>
    <w:rsid w:val="00101FAA"/>
    <w:rsid w:val="00102140"/>
    <w:rsid w:val="00102947"/>
    <w:rsid w:val="00104AFE"/>
    <w:rsid w:val="0010518C"/>
    <w:rsid w:val="00110141"/>
    <w:rsid w:val="00115021"/>
    <w:rsid w:val="0011647C"/>
    <w:rsid w:val="0012296E"/>
    <w:rsid w:val="00123CD5"/>
    <w:rsid w:val="00125B29"/>
    <w:rsid w:val="0012662F"/>
    <w:rsid w:val="0013077B"/>
    <w:rsid w:val="0013451C"/>
    <w:rsid w:val="00140FFB"/>
    <w:rsid w:val="00147021"/>
    <w:rsid w:val="001500DE"/>
    <w:rsid w:val="00153381"/>
    <w:rsid w:val="00155829"/>
    <w:rsid w:val="00155C85"/>
    <w:rsid w:val="001570AA"/>
    <w:rsid w:val="00163A09"/>
    <w:rsid w:val="00164560"/>
    <w:rsid w:val="00166922"/>
    <w:rsid w:val="00171433"/>
    <w:rsid w:val="001726B9"/>
    <w:rsid w:val="001774BB"/>
    <w:rsid w:val="00184D6B"/>
    <w:rsid w:val="00186A78"/>
    <w:rsid w:val="00187A44"/>
    <w:rsid w:val="0019058A"/>
    <w:rsid w:val="00192C54"/>
    <w:rsid w:val="00193E04"/>
    <w:rsid w:val="00194820"/>
    <w:rsid w:val="0019645E"/>
    <w:rsid w:val="00196602"/>
    <w:rsid w:val="001A0D92"/>
    <w:rsid w:val="001A25D6"/>
    <w:rsid w:val="001A40FE"/>
    <w:rsid w:val="001A5BEF"/>
    <w:rsid w:val="001B34DE"/>
    <w:rsid w:val="001B3923"/>
    <w:rsid w:val="001B5715"/>
    <w:rsid w:val="001B620C"/>
    <w:rsid w:val="001C2B8F"/>
    <w:rsid w:val="001C7542"/>
    <w:rsid w:val="001D0811"/>
    <w:rsid w:val="001D570D"/>
    <w:rsid w:val="001D6EA2"/>
    <w:rsid w:val="001E05CA"/>
    <w:rsid w:val="001E2ED1"/>
    <w:rsid w:val="001E3AB7"/>
    <w:rsid w:val="001E3AF8"/>
    <w:rsid w:val="001E5AA8"/>
    <w:rsid w:val="001E5C8D"/>
    <w:rsid w:val="001E7D40"/>
    <w:rsid w:val="001F056C"/>
    <w:rsid w:val="001F23A5"/>
    <w:rsid w:val="001F55AD"/>
    <w:rsid w:val="00200E23"/>
    <w:rsid w:val="00203897"/>
    <w:rsid w:val="00210155"/>
    <w:rsid w:val="00210E94"/>
    <w:rsid w:val="00213071"/>
    <w:rsid w:val="00214C5D"/>
    <w:rsid w:val="002210CA"/>
    <w:rsid w:val="002221C2"/>
    <w:rsid w:val="002345B6"/>
    <w:rsid w:val="00237DC2"/>
    <w:rsid w:val="00237E0C"/>
    <w:rsid w:val="002406B0"/>
    <w:rsid w:val="002417F3"/>
    <w:rsid w:val="00245FA9"/>
    <w:rsid w:val="0024617D"/>
    <w:rsid w:val="002519B1"/>
    <w:rsid w:val="00251A39"/>
    <w:rsid w:val="00251D7F"/>
    <w:rsid w:val="002557CA"/>
    <w:rsid w:val="0026350D"/>
    <w:rsid w:val="00263E25"/>
    <w:rsid w:val="002706A5"/>
    <w:rsid w:val="00277345"/>
    <w:rsid w:val="002800EF"/>
    <w:rsid w:val="002809CB"/>
    <w:rsid w:val="00280DC1"/>
    <w:rsid w:val="00283505"/>
    <w:rsid w:val="002845EA"/>
    <w:rsid w:val="00290368"/>
    <w:rsid w:val="00290E9A"/>
    <w:rsid w:val="00293DE8"/>
    <w:rsid w:val="00296180"/>
    <w:rsid w:val="002A0CA5"/>
    <w:rsid w:val="002A3B58"/>
    <w:rsid w:val="002A5A6D"/>
    <w:rsid w:val="002A7A4A"/>
    <w:rsid w:val="002B1ABA"/>
    <w:rsid w:val="002B7C59"/>
    <w:rsid w:val="002D03B3"/>
    <w:rsid w:val="002D29B1"/>
    <w:rsid w:val="002D2E2D"/>
    <w:rsid w:val="002D4B2D"/>
    <w:rsid w:val="002D5BCF"/>
    <w:rsid w:val="002D600B"/>
    <w:rsid w:val="002E0555"/>
    <w:rsid w:val="002E26C8"/>
    <w:rsid w:val="002E26DA"/>
    <w:rsid w:val="002E4B3D"/>
    <w:rsid w:val="002E7046"/>
    <w:rsid w:val="002F714C"/>
    <w:rsid w:val="002F76F4"/>
    <w:rsid w:val="0030162F"/>
    <w:rsid w:val="00302620"/>
    <w:rsid w:val="0030446D"/>
    <w:rsid w:val="00305B91"/>
    <w:rsid w:val="00305C71"/>
    <w:rsid w:val="00311654"/>
    <w:rsid w:val="0031277F"/>
    <w:rsid w:val="00313626"/>
    <w:rsid w:val="00313B42"/>
    <w:rsid w:val="0031753D"/>
    <w:rsid w:val="003175CF"/>
    <w:rsid w:val="003237F4"/>
    <w:rsid w:val="0033263A"/>
    <w:rsid w:val="0033283D"/>
    <w:rsid w:val="003328E7"/>
    <w:rsid w:val="00334F2A"/>
    <w:rsid w:val="00336AAC"/>
    <w:rsid w:val="003372D2"/>
    <w:rsid w:val="00341E28"/>
    <w:rsid w:val="00342EDD"/>
    <w:rsid w:val="00344238"/>
    <w:rsid w:val="003475A9"/>
    <w:rsid w:val="0035433B"/>
    <w:rsid w:val="00356B84"/>
    <w:rsid w:val="0035704E"/>
    <w:rsid w:val="003603BA"/>
    <w:rsid w:val="00361FDC"/>
    <w:rsid w:val="0036464A"/>
    <w:rsid w:val="00370826"/>
    <w:rsid w:val="00371E10"/>
    <w:rsid w:val="00375C13"/>
    <w:rsid w:val="0038149D"/>
    <w:rsid w:val="0038388A"/>
    <w:rsid w:val="00383EE6"/>
    <w:rsid w:val="00384C5D"/>
    <w:rsid w:val="00395819"/>
    <w:rsid w:val="00396C34"/>
    <w:rsid w:val="00397D30"/>
    <w:rsid w:val="003A0639"/>
    <w:rsid w:val="003A24A6"/>
    <w:rsid w:val="003A3206"/>
    <w:rsid w:val="003B2400"/>
    <w:rsid w:val="003B533F"/>
    <w:rsid w:val="003B56BA"/>
    <w:rsid w:val="003B5BE1"/>
    <w:rsid w:val="003C4344"/>
    <w:rsid w:val="003C49D1"/>
    <w:rsid w:val="003C726D"/>
    <w:rsid w:val="003D4A4A"/>
    <w:rsid w:val="003E2012"/>
    <w:rsid w:val="003E3DFC"/>
    <w:rsid w:val="003E6923"/>
    <w:rsid w:val="003F04C7"/>
    <w:rsid w:val="003F1FD4"/>
    <w:rsid w:val="003F2774"/>
    <w:rsid w:val="00403662"/>
    <w:rsid w:val="00404735"/>
    <w:rsid w:val="00405EB3"/>
    <w:rsid w:val="00405F13"/>
    <w:rsid w:val="00415471"/>
    <w:rsid w:val="004167C0"/>
    <w:rsid w:val="00417E07"/>
    <w:rsid w:val="004238CE"/>
    <w:rsid w:val="00423A1F"/>
    <w:rsid w:val="00424B09"/>
    <w:rsid w:val="004277E5"/>
    <w:rsid w:val="00427A3A"/>
    <w:rsid w:val="004309FC"/>
    <w:rsid w:val="00430E64"/>
    <w:rsid w:val="0043252A"/>
    <w:rsid w:val="00432856"/>
    <w:rsid w:val="00432C6C"/>
    <w:rsid w:val="004371BC"/>
    <w:rsid w:val="00442D77"/>
    <w:rsid w:val="00447B78"/>
    <w:rsid w:val="00456258"/>
    <w:rsid w:val="00457AF6"/>
    <w:rsid w:val="00464E28"/>
    <w:rsid w:val="00465988"/>
    <w:rsid w:val="00467894"/>
    <w:rsid w:val="004728B0"/>
    <w:rsid w:val="00476264"/>
    <w:rsid w:val="00477371"/>
    <w:rsid w:val="00480804"/>
    <w:rsid w:val="00481127"/>
    <w:rsid w:val="00482DE8"/>
    <w:rsid w:val="00484225"/>
    <w:rsid w:val="00485A21"/>
    <w:rsid w:val="0048662F"/>
    <w:rsid w:val="00490927"/>
    <w:rsid w:val="00493005"/>
    <w:rsid w:val="004938FF"/>
    <w:rsid w:val="00495D92"/>
    <w:rsid w:val="004960EA"/>
    <w:rsid w:val="004A0D9A"/>
    <w:rsid w:val="004A1E51"/>
    <w:rsid w:val="004A3262"/>
    <w:rsid w:val="004A6FD6"/>
    <w:rsid w:val="004B06B5"/>
    <w:rsid w:val="004B15A8"/>
    <w:rsid w:val="004B1E5D"/>
    <w:rsid w:val="004B55DC"/>
    <w:rsid w:val="004B6578"/>
    <w:rsid w:val="004C3F3E"/>
    <w:rsid w:val="004C567B"/>
    <w:rsid w:val="004D09CC"/>
    <w:rsid w:val="004D232D"/>
    <w:rsid w:val="004D47E6"/>
    <w:rsid w:val="004D60CE"/>
    <w:rsid w:val="004D78B8"/>
    <w:rsid w:val="004E44DE"/>
    <w:rsid w:val="004E5AFD"/>
    <w:rsid w:val="004E5BE7"/>
    <w:rsid w:val="004E714C"/>
    <w:rsid w:val="004E7184"/>
    <w:rsid w:val="004F07B5"/>
    <w:rsid w:val="004F38D4"/>
    <w:rsid w:val="004F3947"/>
    <w:rsid w:val="005001C9"/>
    <w:rsid w:val="00510F83"/>
    <w:rsid w:val="005114CF"/>
    <w:rsid w:val="005114E8"/>
    <w:rsid w:val="005204C7"/>
    <w:rsid w:val="00531E29"/>
    <w:rsid w:val="00537611"/>
    <w:rsid w:val="00550018"/>
    <w:rsid w:val="00556AD0"/>
    <w:rsid w:val="00561D98"/>
    <w:rsid w:val="00572EC1"/>
    <w:rsid w:val="00573358"/>
    <w:rsid w:val="00573CEF"/>
    <w:rsid w:val="00573FBA"/>
    <w:rsid w:val="00577220"/>
    <w:rsid w:val="00580D87"/>
    <w:rsid w:val="005950D1"/>
    <w:rsid w:val="0059569C"/>
    <w:rsid w:val="00597D36"/>
    <w:rsid w:val="005A381C"/>
    <w:rsid w:val="005A38E9"/>
    <w:rsid w:val="005A4F80"/>
    <w:rsid w:val="005A76EE"/>
    <w:rsid w:val="005A798F"/>
    <w:rsid w:val="005B4C41"/>
    <w:rsid w:val="005B57EF"/>
    <w:rsid w:val="005B70BE"/>
    <w:rsid w:val="005C1077"/>
    <w:rsid w:val="005C332C"/>
    <w:rsid w:val="005C6667"/>
    <w:rsid w:val="005D6ECB"/>
    <w:rsid w:val="005D7873"/>
    <w:rsid w:val="005D787A"/>
    <w:rsid w:val="005E0F7B"/>
    <w:rsid w:val="005E246F"/>
    <w:rsid w:val="005E44B2"/>
    <w:rsid w:val="005F3400"/>
    <w:rsid w:val="005F3798"/>
    <w:rsid w:val="005F5738"/>
    <w:rsid w:val="0060378D"/>
    <w:rsid w:val="0061183E"/>
    <w:rsid w:val="0061281A"/>
    <w:rsid w:val="006216B8"/>
    <w:rsid w:val="006247B6"/>
    <w:rsid w:val="00624C9D"/>
    <w:rsid w:val="00627502"/>
    <w:rsid w:val="00633E6A"/>
    <w:rsid w:val="00634E6C"/>
    <w:rsid w:val="00636F74"/>
    <w:rsid w:val="006376CA"/>
    <w:rsid w:val="00637BAC"/>
    <w:rsid w:val="00641A2A"/>
    <w:rsid w:val="0064455D"/>
    <w:rsid w:val="00645E2C"/>
    <w:rsid w:val="00646E2F"/>
    <w:rsid w:val="00650569"/>
    <w:rsid w:val="00652870"/>
    <w:rsid w:val="00653351"/>
    <w:rsid w:val="00656F1E"/>
    <w:rsid w:val="0065761A"/>
    <w:rsid w:val="0066450B"/>
    <w:rsid w:val="00666F55"/>
    <w:rsid w:val="00667139"/>
    <w:rsid w:val="006710F2"/>
    <w:rsid w:val="00671124"/>
    <w:rsid w:val="00671F15"/>
    <w:rsid w:val="00683271"/>
    <w:rsid w:val="00684867"/>
    <w:rsid w:val="00685038"/>
    <w:rsid w:val="00686E0B"/>
    <w:rsid w:val="00686F96"/>
    <w:rsid w:val="006914DC"/>
    <w:rsid w:val="00691AFF"/>
    <w:rsid w:val="0069299D"/>
    <w:rsid w:val="006930F2"/>
    <w:rsid w:val="00697392"/>
    <w:rsid w:val="006A07D4"/>
    <w:rsid w:val="006A3E03"/>
    <w:rsid w:val="006A6D9A"/>
    <w:rsid w:val="006B6BDA"/>
    <w:rsid w:val="006B725F"/>
    <w:rsid w:val="006B7C5B"/>
    <w:rsid w:val="006C04D3"/>
    <w:rsid w:val="006C1301"/>
    <w:rsid w:val="006C25FF"/>
    <w:rsid w:val="006C3B39"/>
    <w:rsid w:val="006C59A3"/>
    <w:rsid w:val="006D3440"/>
    <w:rsid w:val="006D3981"/>
    <w:rsid w:val="006D68F9"/>
    <w:rsid w:val="006F3D44"/>
    <w:rsid w:val="006F6CE7"/>
    <w:rsid w:val="006F7A1B"/>
    <w:rsid w:val="0070633E"/>
    <w:rsid w:val="007133D7"/>
    <w:rsid w:val="00713C81"/>
    <w:rsid w:val="00713C9C"/>
    <w:rsid w:val="00713CC8"/>
    <w:rsid w:val="0071518C"/>
    <w:rsid w:val="00724C37"/>
    <w:rsid w:val="00725635"/>
    <w:rsid w:val="00725C0E"/>
    <w:rsid w:val="00725EB6"/>
    <w:rsid w:val="0072648E"/>
    <w:rsid w:val="007278C2"/>
    <w:rsid w:val="007312B1"/>
    <w:rsid w:val="007376C1"/>
    <w:rsid w:val="007416A5"/>
    <w:rsid w:val="00741BCC"/>
    <w:rsid w:val="007423DE"/>
    <w:rsid w:val="00745034"/>
    <w:rsid w:val="007451C4"/>
    <w:rsid w:val="00745B3C"/>
    <w:rsid w:val="0074629B"/>
    <w:rsid w:val="0074737E"/>
    <w:rsid w:val="0074780E"/>
    <w:rsid w:val="007506F3"/>
    <w:rsid w:val="00756790"/>
    <w:rsid w:val="007620EE"/>
    <w:rsid w:val="007720C9"/>
    <w:rsid w:val="00773EDA"/>
    <w:rsid w:val="00782409"/>
    <w:rsid w:val="007824B8"/>
    <w:rsid w:val="0078369F"/>
    <w:rsid w:val="00783D80"/>
    <w:rsid w:val="00783FEA"/>
    <w:rsid w:val="00784EFD"/>
    <w:rsid w:val="0078501C"/>
    <w:rsid w:val="0079080B"/>
    <w:rsid w:val="00793530"/>
    <w:rsid w:val="007A171A"/>
    <w:rsid w:val="007A19C6"/>
    <w:rsid w:val="007A1B7C"/>
    <w:rsid w:val="007A1D0D"/>
    <w:rsid w:val="007A3505"/>
    <w:rsid w:val="007A4F44"/>
    <w:rsid w:val="007A6C72"/>
    <w:rsid w:val="007A6EEF"/>
    <w:rsid w:val="007A73E1"/>
    <w:rsid w:val="007B19ED"/>
    <w:rsid w:val="007B281B"/>
    <w:rsid w:val="007B493E"/>
    <w:rsid w:val="007B6CB1"/>
    <w:rsid w:val="007C403B"/>
    <w:rsid w:val="007C4BEE"/>
    <w:rsid w:val="007C594B"/>
    <w:rsid w:val="007C779C"/>
    <w:rsid w:val="007D13DD"/>
    <w:rsid w:val="007E13E8"/>
    <w:rsid w:val="007E48F7"/>
    <w:rsid w:val="007E5168"/>
    <w:rsid w:val="007E67A3"/>
    <w:rsid w:val="007F2E33"/>
    <w:rsid w:val="007F57FB"/>
    <w:rsid w:val="007F6EAD"/>
    <w:rsid w:val="00801E6B"/>
    <w:rsid w:val="00805B05"/>
    <w:rsid w:val="008070B9"/>
    <w:rsid w:val="008072B8"/>
    <w:rsid w:val="00815012"/>
    <w:rsid w:val="008152DC"/>
    <w:rsid w:val="00817538"/>
    <w:rsid w:val="00823974"/>
    <w:rsid w:val="00823FD6"/>
    <w:rsid w:val="00824A34"/>
    <w:rsid w:val="00825399"/>
    <w:rsid w:val="0082773F"/>
    <w:rsid w:val="00831596"/>
    <w:rsid w:val="0083420D"/>
    <w:rsid w:val="0083579C"/>
    <w:rsid w:val="008409BE"/>
    <w:rsid w:val="008426A7"/>
    <w:rsid w:val="008456D8"/>
    <w:rsid w:val="00846193"/>
    <w:rsid w:val="00847E82"/>
    <w:rsid w:val="008535ED"/>
    <w:rsid w:val="00866E87"/>
    <w:rsid w:val="008717BE"/>
    <w:rsid w:val="00875702"/>
    <w:rsid w:val="008812D8"/>
    <w:rsid w:val="0088172B"/>
    <w:rsid w:val="00882AED"/>
    <w:rsid w:val="00883C83"/>
    <w:rsid w:val="00884522"/>
    <w:rsid w:val="00887C3D"/>
    <w:rsid w:val="00894FA8"/>
    <w:rsid w:val="008A63D9"/>
    <w:rsid w:val="008B5FF7"/>
    <w:rsid w:val="008C6CE4"/>
    <w:rsid w:val="008D362B"/>
    <w:rsid w:val="008D5D9D"/>
    <w:rsid w:val="008D64F7"/>
    <w:rsid w:val="008D7E08"/>
    <w:rsid w:val="008E2C44"/>
    <w:rsid w:val="008E2D98"/>
    <w:rsid w:val="008E3D1A"/>
    <w:rsid w:val="008E5985"/>
    <w:rsid w:val="008F1914"/>
    <w:rsid w:val="008F281B"/>
    <w:rsid w:val="008F4518"/>
    <w:rsid w:val="008F52AE"/>
    <w:rsid w:val="008F7957"/>
    <w:rsid w:val="00902001"/>
    <w:rsid w:val="00902A8C"/>
    <w:rsid w:val="0090353A"/>
    <w:rsid w:val="00911400"/>
    <w:rsid w:val="009177EB"/>
    <w:rsid w:val="009211CE"/>
    <w:rsid w:val="00923A9E"/>
    <w:rsid w:val="00931FFC"/>
    <w:rsid w:val="00932255"/>
    <w:rsid w:val="00933A9D"/>
    <w:rsid w:val="00933B50"/>
    <w:rsid w:val="00937ECC"/>
    <w:rsid w:val="00942BBA"/>
    <w:rsid w:val="00944CB1"/>
    <w:rsid w:val="0094645F"/>
    <w:rsid w:val="0094772F"/>
    <w:rsid w:val="009506FC"/>
    <w:rsid w:val="009524BC"/>
    <w:rsid w:val="00963E71"/>
    <w:rsid w:val="00966247"/>
    <w:rsid w:val="00967770"/>
    <w:rsid w:val="0097037F"/>
    <w:rsid w:val="009709B9"/>
    <w:rsid w:val="00973AB2"/>
    <w:rsid w:val="0097740F"/>
    <w:rsid w:val="009819C8"/>
    <w:rsid w:val="009830BF"/>
    <w:rsid w:val="00985204"/>
    <w:rsid w:val="00992197"/>
    <w:rsid w:val="009921D6"/>
    <w:rsid w:val="00996AF2"/>
    <w:rsid w:val="009A3171"/>
    <w:rsid w:val="009B17FD"/>
    <w:rsid w:val="009B233F"/>
    <w:rsid w:val="009C3A83"/>
    <w:rsid w:val="009C43EC"/>
    <w:rsid w:val="009C5FC7"/>
    <w:rsid w:val="009D0A79"/>
    <w:rsid w:val="009D1BEE"/>
    <w:rsid w:val="009D64FB"/>
    <w:rsid w:val="009D694F"/>
    <w:rsid w:val="009E1E2D"/>
    <w:rsid w:val="009E3127"/>
    <w:rsid w:val="009E7D74"/>
    <w:rsid w:val="009F61E9"/>
    <w:rsid w:val="009F7258"/>
    <w:rsid w:val="009F7893"/>
    <w:rsid w:val="00A00B53"/>
    <w:rsid w:val="00A00DB1"/>
    <w:rsid w:val="00A02E5A"/>
    <w:rsid w:val="00A10700"/>
    <w:rsid w:val="00A1192D"/>
    <w:rsid w:val="00A129E3"/>
    <w:rsid w:val="00A21531"/>
    <w:rsid w:val="00A21956"/>
    <w:rsid w:val="00A26551"/>
    <w:rsid w:val="00A2707E"/>
    <w:rsid w:val="00A30DA0"/>
    <w:rsid w:val="00A34D34"/>
    <w:rsid w:val="00A4125C"/>
    <w:rsid w:val="00A426FC"/>
    <w:rsid w:val="00A43CAC"/>
    <w:rsid w:val="00A52AA6"/>
    <w:rsid w:val="00A5696D"/>
    <w:rsid w:val="00A57DE1"/>
    <w:rsid w:val="00A60FDF"/>
    <w:rsid w:val="00A61510"/>
    <w:rsid w:val="00A71D42"/>
    <w:rsid w:val="00A72320"/>
    <w:rsid w:val="00A72500"/>
    <w:rsid w:val="00A74E04"/>
    <w:rsid w:val="00A751C3"/>
    <w:rsid w:val="00A80184"/>
    <w:rsid w:val="00A814AE"/>
    <w:rsid w:val="00A8150E"/>
    <w:rsid w:val="00A82333"/>
    <w:rsid w:val="00A8318D"/>
    <w:rsid w:val="00A839FD"/>
    <w:rsid w:val="00A8658A"/>
    <w:rsid w:val="00A87201"/>
    <w:rsid w:val="00A91E1E"/>
    <w:rsid w:val="00A94B30"/>
    <w:rsid w:val="00AA28B9"/>
    <w:rsid w:val="00AA30E2"/>
    <w:rsid w:val="00AA4A7B"/>
    <w:rsid w:val="00AA5D0C"/>
    <w:rsid w:val="00AA61FA"/>
    <w:rsid w:val="00AB29F3"/>
    <w:rsid w:val="00AC0516"/>
    <w:rsid w:val="00AC3FFF"/>
    <w:rsid w:val="00AC7814"/>
    <w:rsid w:val="00AD08D9"/>
    <w:rsid w:val="00AD0C36"/>
    <w:rsid w:val="00AD1FD3"/>
    <w:rsid w:val="00AD50F8"/>
    <w:rsid w:val="00AD5C1A"/>
    <w:rsid w:val="00AD76A6"/>
    <w:rsid w:val="00AE08B7"/>
    <w:rsid w:val="00AE1A4E"/>
    <w:rsid w:val="00AE2744"/>
    <w:rsid w:val="00AE5D60"/>
    <w:rsid w:val="00AE7F12"/>
    <w:rsid w:val="00AF40A1"/>
    <w:rsid w:val="00B015E3"/>
    <w:rsid w:val="00B022EB"/>
    <w:rsid w:val="00B15A04"/>
    <w:rsid w:val="00B2468C"/>
    <w:rsid w:val="00B24788"/>
    <w:rsid w:val="00B30389"/>
    <w:rsid w:val="00B32A90"/>
    <w:rsid w:val="00B32E57"/>
    <w:rsid w:val="00B33045"/>
    <w:rsid w:val="00B34A59"/>
    <w:rsid w:val="00B35D7D"/>
    <w:rsid w:val="00B40C22"/>
    <w:rsid w:val="00B40D3D"/>
    <w:rsid w:val="00B45442"/>
    <w:rsid w:val="00B540C0"/>
    <w:rsid w:val="00B607EB"/>
    <w:rsid w:val="00B60E57"/>
    <w:rsid w:val="00B61970"/>
    <w:rsid w:val="00B75A5F"/>
    <w:rsid w:val="00B76AE9"/>
    <w:rsid w:val="00B76E37"/>
    <w:rsid w:val="00B76FD6"/>
    <w:rsid w:val="00B81DB4"/>
    <w:rsid w:val="00B82362"/>
    <w:rsid w:val="00B85A41"/>
    <w:rsid w:val="00B930D2"/>
    <w:rsid w:val="00BA19F1"/>
    <w:rsid w:val="00BA28A4"/>
    <w:rsid w:val="00BA3A46"/>
    <w:rsid w:val="00BA413A"/>
    <w:rsid w:val="00BA421B"/>
    <w:rsid w:val="00BC3E30"/>
    <w:rsid w:val="00BC552F"/>
    <w:rsid w:val="00BD0616"/>
    <w:rsid w:val="00BE1872"/>
    <w:rsid w:val="00BE37EB"/>
    <w:rsid w:val="00BE42B0"/>
    <w:rsid w:val="00BE49B9"/>
    <w:rsid w:val="00BF5814"/>
    <w:rsid w:val="00BF7282"/>
    <w:rsid w:val="00C009B1"/>
    <w:rsid w:val="00C063CB"/>
    <w:rsid w:val="00C06D93"/>
    <w:rsid w:val="00C0771E"/>
    <w:rsid w:val="00C10BD5"/>
    <w:rsid w:val="00C14FD4"/>
    <w:rsid w:val="00C20CD3"/>
    <w:rsid w:val="00C20EBC"/>
    <w:rsid w:val="00C221A4"/>
    <w:rsid w:val="00C268F6"/>
    <w:rsid w:val="00C3001B"/>
    <w:rsid w:val="00C36D0C"/>
    <w:rsid w:val="00C37A61"/>
    <w:rsid w:val="00C37EB3"/>
    <w:rsid w:val="00C40983"/>
    <w:rsid w:val="00C41439"/>
    <w:rsid w:val="00C414C8"/>
    <w:rsid w:val="00C42BE9"/>
    <w:rsid w:val="00C46927"/>
    <w:rsid w:val="00C47A22"/>
    <w:rsid w:val="00C515AA"/>
    <w:rsid w:val="00C54A61"/>
    <w:rsid w:val="00C65E59"/>
    <w:rsid w:val="00C74FF1"/>
    <w:rsid w:val="00C820DC"/>
    <w:rsid w:val="00C83D4A"/>
    <w:rsid w:val="00C865D0"/>
    <w:rsid w:val="00C900F7"/>
    <w:rsid w:val="00C935B4"/>
    <w:rsid w:val="00CA097A"/>
    <w:rsid w:val="00CA365A"/>
    <w:rsid w:val="00CA3CE2"/>
    <w:rsid w:val="00CA57C4"/>
    <w:rsid w:val="00CA5A22"/>
    <w:rsid w:val="00CA78A2"/>
    <w:rsid w:val="00CA7F32"/>
    <w:rsid w:val="00CB0442"/>
    <w:rsid w:val="00CB12AF"/>
    <w:rsid w:val="00CB24B2"/>
    <w:rsid w:val="00CB2D3B"/>
    <w:rsid w:val="00CB3D57"/>
    <w:rsid w:val="00CB6176"/>
    <w:rsid w:val="00CC0F9A"/>
    <w:rsid w:val="00CC1242"/>
    <w:rsid w:val="00CD0B70"/>
    <w:rsid w:val="00CD2B41"/>
    <w:rsid w:val="00CE09B5"/>
    <w:rsid w:val="00CE576F"/>
    <w:rsid w:val="00CF31F4"/>
    <w:rsid w:val="00CF3B36"/>
    <w:rsid w:val="00CF702C"/>
    <w:rsid w:val="00CF795A"/>
    <w:rsid w:val="00D028BC"/>
    <w:rsid w:val="00D02E62"/>
    <w:rsid w:val="00D115D6"/>
    <w:rsid w:val="00D1441A"/>
    <w:rsid w:val="00D202EC"/>
    <w:rsid w:val="00D20EFC"/>
    <w:rsid w:val="00D243CE"/>
    <w:rsid w:val="00D26032"/>
    <w:rsid w:val="00D275E0"/>
    <w:rsid w:val="00D32789"/>
    <w:rsid w:val="00D34122"/>
    <w:rsid w:val="00D35878"/>
    <w:rsid w:val="00D4469E"/>
    <w:rsid w:val="00D467C9"/>
    <w:rsid w:val="00D468B8"/>
    <w:rsid w:val="00D46DEA"/>
    <w:rsid w:val="00D4745A"/>
    <w:rsid w:val="00D51CCB"/>
    <w:rsid w:val="00D54DA8"/>
    <w:rsid w:val="00D558B7"/>
    <w:rsid w:val="00D577AD"/>
    <w:rsid w:val="00D62D8B"/>
    <w:rsid w:val="00D66DE9"/>
    <w:rsid w:val="00D7113E"/>
    <w:rsid w:val="00D77218"/>
    <w:rsid w:val="00D77A54"/>
    <w:rsid w:val="00D77D25"/>
    <w:rsid w:val="00D8121B"/>
    <w:rsid w:val="00D81330"/>
    <w:rsid w:val="00D82B22"/>
    <w:rsid w:val="00D83656"/>
    <w:rsid w:val="00D87E24"/>
    <w:rsid w:val="00D905C5"/>
    <w:rsid w:val="00D90AC4"/>
    <w:rsid w:val="00D92BE5"/>
    <w:rsid w:val="00DA1048"/>
    <w:rsid w:val="00DA2463"/>
    <w:rsid w:val="00DA24DF"/>
    <w:rsid w:val="00DA56F5"/>
    <w:rsid w:val="00DA6DD4"/>
    <w:rsid w:val="00DB1907"/>
    <w:rsid w:val="00DB2B49"/>
    <w:rsid w:val="00DB372E"/>
    <w:rsid w:val="00DB4081"/>
    <w:rsid w:val="00DB6348"/>
    <w:rsid w:val="00DB6996"/>
    <w:rsid w:val="00DB6FF5"/>
    <w:rsid w:val="00DB750F"/>
    <w:rsid w:val="00DC7DAC"/>
    <w:rsid w:val="00DD028C"/>
    <w:rsid w:val="00DD1068"/>
    <w:rsid w:val="00DD2CE8"/>
    <w:rsid w:val="00DD6D4E"/>
    <w:rsid w:val="00DD6EAE"/>
    <w:rsid w:val="00DE3808"/>
    <w:rsid w:val="00DE5873"/>
    <w:rsid w:val="00DE72EB"/>
    <w:rsid w:val="00DF2836"/>
    <w:rsid w:val="00E0142F"/>
    <w:rsid w:val="00E016F3"/>
    <w:rsid w:val="00E02CF8"/>
    <w:rsid w:val="00E102E8"/>
    <w:rsid w:val="00E10C31"/>
    <w:rsid w:val="00E11B78"/>
    <w:rsid w:val="00E14176"/>
    <w:rsid w:val="00E20887"/>
    <w:rsid w:val="00E2689E"/>
    <w:rsid w:val="00E350C1"/>
    <w:rsid w:val="00E35377"/>
    <w:rsid w:val="00E368B4"/>
    <w:rsid w:val="00E36F57"/>
    <w:rsid w:val="00E4278A"/>
    <w:rsid w:val="00E44C42"/>
    <w:rsid w:val="00E46608"/>
    <w:rsid w:val="00E47076"/>
    <w:rsid w:val="00E47A9C"/>
    <w:rsid w:val="00E508A7"/>
    <w:rsid w:val="00E52F62"/>
    <w:rsid w:val="00E5478B"/>
    <w:rsid w:val="00E602F8"/>
    <w:rsid w:val="00E63DBE"/>
    <w:rsid w:val="00E70FB6"/>
    <w:rsid w:val="00E75869"/>
    <w:rsid w:val="00E75F6E"/>
    <w:rsid w:val="00E77109"/>
    <w:rsid w:val="00E801C1"/>
    <w:rsid w:val="00E80E84"/>
    <w:rsid w:val="00E8181F"/>
    <w:rsid w:val="00E82879"/>
    <w:rsid w:val="00E87781"/>
    <w:rsid w:val="00E87D3B"/>
    <w:rsid w:val="00E87DF8"/>
    <w:rsid w:val="00E90E38"/>
    <w:rsid w:val="00E93790"/>
    <w:rsid w:val="00E9417E"/>
    <w:rsid w:val="00E967B1"/>
    <w:rsid w:val="00EA0BA6"/>
    <w:rsid w:val="00EA2756"/>
    <w:rsid w:val="00EA3C12"/>
    <w:rsid w:val="00EB337F"/>
    <w:rsid w:val="00EB55E5"/>
    <w:rsid w:val="00EB6A11"/>
    <w:rsid w:val="00EB74C9"/>
    <w:rsid w:val="00EC7E5C"/>
    <w:rsid w:val="00ED6B20"/>
    <w:rsid w:val="00EE5319"/>
    <w:rsid w:val="00EE667F"/>
    <w:rsid w:val="00EE67F0"/>
    <w:rsid w:val="00EE725E"/>
    <w:rsid w:val="00EF004E"/>
    <w:rsid w:val="00EF1F46"/>
    <w:rsid w:val="00EF52E9"/>
    <w:rsid w:val="00F03001"/>
    <w:rsid w:val="00F05E15"/>
    <w:rsid w:val="00F142DE"/>
    <w:rsid w:val="00F14339"/>
    <w:rsid w:val="00F15B1A"/>
    <w:rsid w:val="00F17CC3"/>
    <w:rsid w:val="00F17EC4"/>
    <w:rsid w:val="00F30739"/>
    <w:rsid w:val="00F34296"/>
    <w:rsid w:val="00F34D62"/>
    <w:rsid w:val="00F37C43"/>
    <w:rsid w:val="00F40700"/>
    <w:rsid w:val="00F42E67"/>
    <w:rsid w:val="00F436DE"/>
    <w:rsid w:val="00F443A5"/>
    <w:rsid w:val="00F46E9B"/>
    <w:rsid w:val="00F47F3C"/>
    <w:rsid w:val="00F622AF"/>
    <w:rsid w:val="00F62E17"/>
    <w:rsid w:val="00F6542F"/>
    <w:rsid w:val="00F66C8F"/>
    <w:rsid w:val="00F6760E"/>
    <w:rsid w:val="00F74286"/>
    <w:rsid w:val="00F76E22"/>
    <w:rsid w:val="00F81314"/>
    <w:rsid w:val="00F85AA3"/>
    <w:rsid w:val="00F8691E"/>
    <w:rsid w:val="00F8748F"/>
    <w:rsid w:val="00F920CE"/>
    <w:rsid w:val="00F944C1"/>
    <w:rsid w:val="00F95862"/>
    <w:rsid w:val="00F97F33"/>
    <w:rsid w:val="00FA00B9"/>
    <w:rsid w:val="00FA2651"/>
    <w:rsid w:val="00FA312E"/>
    <w:rsid w:val="00FB07A0"/>
    <w:rsid w:val="00FC0D31"/>
    <w:rsid w:val="00FC7EC0"/>
    <w:rsid w:val="00FD1309"/>
    <w:rsid w:val="00FD7EAC"/>
    <w:rsid w:val="00FE1ADA"/>
    <w:rsid w:val="00FE3701"/>
    <w:rsid w:val="00FE4DA4"/>
    <w:rsid w:val="00FE5E60"/>
    <w:rsid w:val="00FF0845"/>
    <w:rsid w:val="00FF08CE"/>
    <w:rsid w:val="00FF1B2A"/>
    <w:rsid w:val="00FF221B"/>
    <w:rsid w:val="00FF299B"/>
    <w:rsid w:val="00FF5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4B"/>
    <w:pPr>
      <w:spacing w:after="200" w:line="276" w:lineRule="auto"/>
    </w:pPr>
    <w:rPr>
      <w:sz w:val="22"/>
      <w:szCs w:val="22"/>
      <w:lang w:eastAsia="en-US"/>
    </w:rPr>
  </w:style>
  <w:style w:type="paragraph" w:styleId="Heading1">
    <w:name w:val="heading 1"/>
    <w:basedOn w:val="Normal"/>
    <w:next w:val="Normal"/>
    <w:link w:val="Heading1Char"/>
    <w:uiPriority w:val="9"/>
    <w:qFormat/>
    <w:rsid w:val="00155829"/>
    <w:pPr>
      <w:keepNext/>
      <w:keepLines/>
      <w:spacing w:before="480" w:after="0" w:line="288" w:lineRule="auto"/>
      <w:jc w:val="both"/>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unhideWhenUsed/>
    <w:qFormat/>
    <w:rsid w:val="00B85A41"/>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qFormat/>
    <w:rsid w:val="00155829"/>
    <w:pPr>
      <w:keepNext/>
      <w:keepLines/>
      <w:spacing w:before="200" w:after="0" w:line="288" w:lineRule="auto"/>
      <w:jc w:val="both"/>
      <w:outlineLvl w:val="4"/>
    </w:pPr>
    <w:rPr>
      <w:rFonts w:ascii="Cambria" w:eastAsia="Times New Roman" w:hAnsi="Cambria"/>
      <w:color w:val="243F60"/>
      <w:sz w:val="20"/>
      <w:szCs w:val="24"/>
      <w:lang w:eastAsia="en-AU"/>
    </w:rPr>
  </w:style>
  <w:style w:type="paragraph" w:styleId="Heading6">
    <w:name w:val="heading 6"/>
    <w:basedOn w:val="Normal"/>
    <w:next w:val="Normal"/>
    <w:link w:val="Heading6Char"/>
    <w:uiPriority w:val="9"/>
    <w:qFormat/>
    <w:rsid w:val="00155829"/>
    <w:pPr>
      <w:keepNext/>
      <w:keepLines/>
      <w:spacing w:before="200" w:after="0" w:line="288" w:lineRule="auto"/>
      <w:jc w:val="both"/>
      <w:outlineLvl w:val="5"/>
    </w:pPr>
    <w:rPr>
      <w:rFonts w:ascii="Cambria" w:eastAsia="Times New Roman" w:hAnsi="Cambria"/>
      <w:i/>
      <w:iCs/>
      <w:color w:val="243F60"/>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5829"/>
    <w:rPr>
      <w:rFonts w:ascii="Cambria" w:eastAsia="Times New Roman" w:hAnsi="Cambria"/>
      <w:b/>
      <w:bCs/>
      <w:color w:val="365F91"/>
      <w:sz w:val="28"/>
      <w:szCs w:val="28"/>
    </w:rPr>
  </w:style>
  <w:style w:type="character" w:customStyle="1" w:styleId="Heading5Char">
    <w:name w:val="Heading 5 Char"/>
    <w:link w:val="Heading5"/>
    <w:uiPriority w:val="9"/>
    <w:rsid w:val="00155829"/>
    <w:rPr>
      <w:rFonts w:ascii="Cambria" w:eastAsia="Times New Roman" w:hAnsi="Cambria"/>
      <w:color w:val="243F60"/>
      <w:szCs w:val="24"/>
    </w:rPr>
  </w:style>
  <w:style w:type="character" w:customStyle="1" w:styleId="Heading6Char">
    <w:name w:val="Heading 6 Char"/>
    <w:link w:val="Heading6"/>
    <w:uiPriority w:val="9"/>
    <w:rsid w:val="00155829"/>
    <w:rPr>
      <w:rFonts w:ascii="Cambria" w:eastAsia="Times New Roman" w:hAnsi="Cambria"/>
      <w:i/>
      <w:iCs/>
      <w:color w:val="243F60"/>
      <w:szCs w:val="24"/>
    </w:rPr>
  </w:style>
  <w:style w:type="table" w:styleId="TableGrid">
    <w:name w:val="Table Grid"/>
    <w:basedOn w:val="TableNormal"/>
    <w:rsid w:val="00746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tabletextheading">
    <w:name w:val="AER table text heading"/>
    <w:rsid w:val="0074629B"/>
    <w:pPr>
      <w:spacing w:before="120" w:after="120"/>
    </w:pPr>
    <w:rPr>
      <w:rFonts w:ascii="Gautami" w:eastAsia="Times New Roman" w:hAnsi="Gautami"/>
      <w:b/>
      <w:szCs w:val="24"/>
      <w:lang w:eastAsia="en-US"/>
    </w:rPr>
  </w:style>
  <w:style w:type="paragraph" w:customStyle="1" w:styleId="AERheading4">
    <w:name w:val="AER heading 4"/>
    <w:next w:val="Normal"/>
    <w:rsid w:val="0074629B"/>
    <w:pPr>
      <w:spacing w:after="240"/>
    </w:pPr>
    <w:rPr>
      <w:rFonts w:ascii="Gautami" w:eastAsia="Times New Roman" w:hAnsi="Gautami" w:cs="Arial"/>
      <w:b/>
      <w:bCs/>
      <w:kern w:val="32"/>
      <w:sz w:val="22"/>
      <w:szCs w:val="24"/>
      <w:lang w:eastAsia="en-US"/>
    </w:rPr>
  </w:style>
  <w:style w:type="paragraph" w:customStyle="1" w:styleId="AERtabletext">
    <w:name w:val="AER table text"/>
    <w:basedOn w:val="Normal"/>
    <w:rsid w:val="0074629B"/>
    <w:pPr>
      <w:widowControl w:val="0"/>
      <w:spacing w:before="120" w:after="120" w:line="288" w:lineRule="auto"/>
    </w:pPr>
    <w:rPr>
      <w:rFonts w:ascii="Gautami" w:eastAsia="Times New Roman" w:hAnsi="Gautami"/>
      <w:sz w:val="16"/>
      <w:szCs w:val="24"/>
    </w:rPr>
  </w:style>
  <w:style w:type="paragraph" w:customStyle="1" w:styleId="AERbodytext">
    <w:name w:val="AER body text"/>
    <w:link w:val="AERbodytextChar"/>
    <w:rsid w:val="00155829"/>
    <w:pPr>
      <w:spacing w:after="240" w:line="288" w:lineRule="auto"/>
      <w:jc w:val="both"/>
    </w:pPr>
    <w:rPr>
      <w:rFonts w:ascii="Gautami" w:eastAsia="Times New Roman" w:hAnsi="Gautami"/>
      <w:szCs w:val="24"/>
      <w:lang w:eastAsia="en-US"/>
    </w:rPr>
  </w:style>
  <w:style w:type="character" w:customStyle="1" w:styleId="AERbodytextChar">
    <w:name w:val="AER body text Char"/>
    <w:link w:val="AERbodytext"/>
    <w:rsid w:val="00155829"/>
    <w:rPr>
      <w:rFonts w:ascii="Gautami" w:eastAsia="Times New Roman" w:hAnsi="Gautami"/>
      <w:szCs w:val="24"/>
      <w:lang w:val="en-AU" w:eastAsia="en-US" w:bidi="ar-SA"/>
    </w:rPr>
  </w:style>
  <w:style w:type="paragraph" w:customStyle="1" w:styleId="AERtabletitle">
    <w:name w:val="AER table title"/>
    <w:basedOn w:val="AERfigureheading"/>
    <w:next w:val="Normal"/>
    <w:rsid w:val="00155829"/>
    <w:pPr>
      <w:numPr>
        <w:ilvl w:val="4"/>
      </w:numPr>
      <w:tabs>
        <w:tab w:val="num" w:pos="357"/>
      </w:tabs>
      <w:ind w:left="357" w:hanging="357"/>
    </w:pPr>
  </w:style>
  <w:style w:type="paragraph" w:customStyle="1" w:styleId="AERfigureheading">
    <w:name w:val="AER figure heading"/>
    <w:basedOn w:val="Normal"/>
    <w:next w:val="AERbodytext"/>
    <w:rsid w:val="00155829"/>
    <w:pPr>
      <w:keepNext/>
      <w:tabs>
        <w:tab w:val="num" w:pos="357"/>
      </w:tabs>
      <w:spacing w:before="240" w:after="120" w:line="288" w:lineRule="auto"/>
      <w:ind w:left="357" w:hanging="357"/>
      <w:jc w:val="both"/>
      <w:outlineLvl w:val="3"/>
    </w:pPr>
    <w:rPr>
      <w:rFonts w:ascii="Gautami" w:eastAsia="Times New Roman" w:hAnsi="Gautami"/>
      <w:b/>
      <w:sz w:val="20"/>
      <w:szCs w:val="24"/>
    </w:rPr>
  </w:style>
  <w:style w:type="paragraph" w:customStyle="1" w:styleId="AERrevisionbox">
    <w:name w:val="AER revision box"/>
    <w:basedOn w:val="AERbodytext"/>
    <w:rsid w:val="00155829"/>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155829"/>
    <w:rPr>
      <w:b/>
      <w:i/>
    </w:rPr>
  </w:style>
  <w:style w:type="character" w:customStyle="1" w:styleId="AERtextbold">
    <w:name w:val="AER text bold"/>
    <w:rsid w:val="00155829"/>
    <w:rPr>
      <w:b/>
    </w:rPr>
  </w:style>
  <w:style w:type="paragraph" w:customStyle="1" w:styleId="AERbulletlistfirststyle">
    <w:name w:val="AER bullet list (first style)"/>
    <w:basedOn w:val="AERbodytext"/>
    <w:link w:val="AERbulletlistfirststyleChar"/>
    <w:qFormat/>
    <w:rsid w:val="00155829"/>
    <w:pPr>
      <w:numPr>
        <w:numId w:val="1"/>
      </w:numPr>
      <w:tabs>
        <w:tab w:val="clear" w:pos="1071"/>
        <w:tab w:val="num" w:pos="357"/>
      </w:tabs>
      <w:spacing w:after="200" w:line="240" w:lineRule="atLeast"/>
      <w:ind w:left="357"/>
    </w:pPr>
  </w:style>
  <w:style w:type="character" w:customStyle="1" w:styleId="AERbulletlistfirststyleChar">
    <w:name w:val="AER bullet list (first style) Char"/>
    <w:link w:val="AERbulletlistfirststyle"/>
    <w:rsid w:val="00155829"/>
    <w:rPr>
      <w:rFonts w:ascii="Gautami" w:eastAsia="Times New Roman" w:hAnsi="Gautami"/>
      <w:szCs w:val="24"/>
      <w:lang w:eastAsia="en-US"/>
    </w:rPr>
  </w:style>
  <w:style w:type="paragraph" w:customStyle="1" w:styleId="AERbulletlistsecondstyle">
    <w:name w:val="AER bullet list (second style)"/>
    <w:basedOn w:val="AERbodytext"/>
    <w:rsid w:val="0015582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15582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155829"/>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155829"/>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155829"/>
    <w:pPr>
      <w:numPr>
        <w:ilvl w:val="2"/>
      </w:numPr>
      <w:spacing w:before="120" w:after="240"/>
    </w:pPr>
    <w:rPr>
      <w:color w:val="auto"/>
      <w:sz w:val="24"/>
      <w:szCs w:val="24"/>
    </w:rPr>
  </w:style>
  <w:style w:type="paragraph" w:customStyle="1" w:styleId="AERnumberedlistfirststyle">
    <w:name w:val="AER numbered list (first style)"/>
    <w:basedOn w:val="AERbodytext"/>
    <w:rsid w:val="00155829"/>
    <w:pPr>
      <w:numPr>
        <w:numId w:val="5"/>
      </w:numPr>
      <w:spacing w:after="200" w:line="200" w:lineRule="atLeast"/>
    </w:pPr>
  </w:style>
  <w:style w:type="paragraph" w:customStyle="1" w:styleId="AERnumberedlistsecondstyle">
    <w:name w:val="AER numbered list (second style)"/>
    <w:basedOn w:val="AERnumberedlistfirststyle"/>
    <w:rsid w:val="00155829"/>
    <w:pPr>
      <w:numPr>
        <w:numId w:val="6"/>
      </w:numPr>
    </w:pPr>
  </w:style>
  <w:style w:type="paragraph" w:customStyle="1" w:styleId="AERnumberedlistthirdstyle">
    <w:name w:val="AER numbered list (third style)"/>
    <w:basedOn w:val="AERbodytext"/>
    <w:rsid w:val="0015582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155829"/>
    <w:pPr>
      <w:spacing w:after="160"/>
      <w:ind w:right="1077"/>
    </w:pPr>
    <w:rPr>
      <w:color w:val="000000"/>
      <w:sz w:val="16"/>
    </w:rPr>
  </w:style>
  <w:style w:type="paragraph" w:customStyle="1" w:styleId="AERbodytextindent1">
    <w:name w:val="AER body text (indent 1)"/>
    <w:basedOn w:val="AERbodytext"/>
    <w:rsid w:val="00155829"/>
    <w:pPr>
      <w:ind w:left="357"/>
    </w:pPr>
  </w:style>
  <w:style w:type="paragraph" w:customStyle="1" w:styleId="AERquotebullet1">
    <w:name w:val="AER quote bullet 1"/>
    <w:basedOn w:val="AERnumberedlistfirststyle"/>
    <w:rsid w:val="00155829"/>
    <w:pPr>
      <w:numPr>
        <w:numId w:val="0"/>
      </w:numPr>
    </w:pPr>
    <w:rPr>
      <w:sz w:val="16"/>
      <w:szCs w:val="16"/>
    </w:rPr>
  </w:style>
  <w:style w:type="character" w:customStyle="1" w:styleId="AERsubscript">
    <w:name w:val="AER subscript"/>
    <w:rsid w:val="00155829"/>
    <w:rPr>
      <w:rFonts w:ascii="Gautami" w:hAnsi="Gautami"/>
      <w:vertAlign w:val="subscript"/>
    </w:rPr>
  </w:style>
  <w:style w:type="character" w:customStyle="1" w:styleId="AERsuperscript">
    <w:name w:val="AER superscript"/>
    <w:rsid w:val="00155829"/>
    <w:rPr>
      <w:rFonts w:ascii="Gautami" w:hAnsi="Gautami"/>
      <w:vertAlign w:val="superscript"/>
    </w:rPr>
  </w:style>
  <w:style w:type="paragraph" w:customStyle="1" w:styleId="AERtablesource">
    <w:name w:val="AER table source"/>
    <w:next w:val="AERbodytext"/>
    <w:rsid w:val="00155829"/>
    <w:pPr>
      <w:tabs>
        <w:tab w:val="left" w:pos="1361"/>
      </w:tabs>
      <w:spacing w:before="40" w:after="240"/>
      <w:ind w:left="794" w:right="1077" w:hanging="794"/>
      <w:contextualSpacing/>
    </w:pPr>
    <w:rPr>
      <w:rFonts w:ascii="Gautami" w:eastAsia="Times New Roman" w:hAnsi="Gautami"/>
      <w:sz w:val="16"/>
      <w:szCs w:val="24"/>
      <w:lang w:eastAsia="en-US"/>
    </w:rPr>
  </w:style>
  <w:style w:type="paragraph" w:styleId="Footer">
    <w:name w:val="footer"/>
    <w:basedOn w:val="Normal"/>
    <w:link w:val="FooterChar"/>
    <w:rsid w:val="00155829"/>
    <w:pPr>
      <w:tabs>
        <w:tab w:val="center" w:pos="4153"/>
        <w:tab w:val="right" w:pos="8306"/>
      </w:tabs>
      <w:spacing w:after="0" w:line="288" w:lineRule="auto"/>
      <w:jc w:val="both"/>
    </w:pPr>
    <w:rPr>
      <w:rFonts w:ascii="Gautami" w:eastAsia="Times New Roman" w:hAnsi="Gautami"/>
      <w:sz w:val="20"/>
      <w:szCs w:val="24"/>
      <w:lang w:eastAsia="en-AU"/>
    </w:rPr>
  </w:style>
  <w:style w:type="character" w:customStyle="1" w:styleId="FooterChar">
    <w:name w:val="Footer Char"/>
    <w:link w:val="Footer"/>
    <w:rsid w:val="00155829"/>
    <w:rPr>
      <w:rFonts w:ascii="Gautami" w:eastAsia="Times New Roman" w:hAnsi="Gautami"/>
      <w:szCs w:val="24"/>
    </w:rPr>
  </w:style>
  <w:style w:type="character" w:styleId="PageNumber">
    <w:name w:val="page number"/>
    <w:rsid w:val="00155829"/>
    <w:rPr>
      <w:rFonts w:ascii="Gautami" w:hAnsi="Gautami"/>
      <w:sz w:val="18"/>
    </w:rPr>
  </w:style>
  <w:style w:type="paragraph" w:customStyle="1" w:styleId="AERquoteindent1">
    <w:name w:val="AER quote (indent 1)"/>
    <w:basedOn w:val="AERquote"/>
    <w:rsid w:val="00155829"/>
    <w:pPr>
      <w:ind w:left="720" w:right="1440"/>
    </w:pPr>
  </w:style>
  <w:style w:type="paragraph" w:customStyle="1" w:styleId="AERbodytextindent2">
    <w:name w:val="AER body text (indent 2)"/>
    <w:basedOn w:val="AERbodytext"/>
    <w:rsid w:val="00155829"/>
    <w:pPr>
      <w:ind w:left="720"/>
    </w:pPr>
  </w:style>
  <w:style w:type="paragraph" w:customStyle="1" w:styleId="AERbodytextindent3">
    <w:name w:val="AER body text (indent 3)"/>
    <w:basedOn w:val="AERbodytext"/>
    <w:rsid w:val="00155829"/>
    <w:pPr>
      <w:ind w:left="1077"/>
    </w:pPr>
  </w:style>
  <w:style w:type="paragraph" w:customStyle="1" w:styleId="AERquoteindent2">
    <w:name w:val="AER quote (indent 2)"/>
    <w:basedOn w:val="AERquoteindent1"/>
    <w:rsid w:val="00155829"/>
    <w:pPr>
      <w:ind w:left="1077" w:right="1797"/>
    </w:pPr>
  </w:style>
  <w:style w:type="paragraph" w:customStyle="1" w:styleId="AERquoteindent3">
    <w:name w:val="AER quote (indent 3)"/>
    <w:basedOn w:val="AERquoteindent2"/>
    <w:rsid w:val="00155829"/>
    <w:pPr>
      <w:ind w:left="1440" w:right="2160"/>
    </w:pPr>
  </w:style>
  <w:style w:type="character" w:customStyle="1" w:styleId="AERtexthighlight">
    <w:name w:val="AER text highlight"/>
    <w:rsid w:val="00155829"/>
    <w:rPr>
      <w:bdr w:val="none" w:sz="0" w:space="0" w:color="auto"/>
      <w:shd w:val="clear" w:color="auto" w:fill="FFFF99"/>
    </w:rPr>
  </w:style>
  <w:style w:type="paragraph" w:customStyle="1" w:styleId="NER-RC-Para">
    <w:name w:val="NER-RC-Para"/>
    <w:basedOn w:val="Normal"/>
    <w:rsid w:val="00155829"/>
    <w:pPr>
      <w:autoSpaceDE w:val="0"/>
      <w:autoSpaceDN w:val="0"/>
      <w:adjustRightInd w:val="0"/>
      <w:spacing w:before="120" w:after="120" w:line="288" w:lineRule="auto"/>
      <w:ind w:left="357"/>
      <w:jc w:val="both"/>
    </w:pPr>
    <w:rPr>
      <w:rFonts w:ascii="Gautami" w:eastAsia="Times New Roman" w:hAnsi="Gautami"/>
      <w:color w:val="000000"/>
      <w:sz w:val="18"/>
      <w:szCs w:val="24"/>
      <w:lang w:eastAsia="en-AU"/>
    </w:rPr>
  </w:style>
  <w:style w:type="paragraph" w:customStyle="1" w:styleId="NER-RC-List-1-MNum">
    <w:name w:val="NER-RC-List-1-MNum"/>
    <w:basedOn w:val="Normal"/>
    <w:rsid w:val="00155829"/>
    <w:pPr>
      <w:tabs>
        <w:tab w:val="left" w:pos="1701"/>
      </w:tabs>
      <w:autoSpaceDE w:val="0"/>
      <w:autoSpaceDN w:val="0"/>
      <w:adjustRightInd w:val="0"/>
      <w:spacing w:before="120" w:after="120" w:line="288" w:lineRule="auto"/>
      <w:ind w:left="924" w:hanging="567"/>
      <w:jc w:val="both"/>
    </w:pPr>
    <w:rPr>
      <w:rFonts w:ascii="Gautami" w:eastAsia="Times New Roman" w:hAnsi="Gautami"/>
      <w:color w:val="000000"/>
      <w:sz w:val="18"/>
      <w:szCs w:val="24"/>
      <w:lang w:eastAsia="en-AU"/>
    </w:rPr>
  </w:style>
  <w:style w:type="paragraph" w:customStyle="1" w:styleId="NER-RC-List-2-MNum">
    <w:name w:val="NER-RC-List-2-MNum"/>
    <w:basedOn w:val="Normal"/>
    <w:rsid w:val="00155829"/>
    <w:pPr>
      <w:tabs>
        <w:tab w:val="left" w:pos="2268"/>
      </w:tabs>
      <w:autoSpaceDE w:val="0"/>
      <w:autoSpaceDN w:val="0"/>
      <w:adjustRightInd w:val="0"/>
      <w:spacing w:before="120" w:after="120" w:line="288" w:lineRule="auto"/>
      <w:ind w:left="1287" w:hanging="567"/>
      <w:jc w:val="both"/>
    </w:pPr>
    <w:rPr>
      <w:rFonts w:ascii="Gautami" w:eastAsia="Times New Roman" w:hAnsi="Gautami"/>
      <w:color w:val="000000"/>
      <w:sz w:val="18"/>
      <w:szCs w:val="24"/>
      <w:lang w:eastAsia="en-AU"/>
    </w:rPr>
  </w:style>
  <w:style w:type="paragraph" w:customStyle="1" w:styleId="NER-RC-Text-In-1">
    <w:name w:val="NER-RC-Text-In-1"/>
    <w:basedOn w:val="Normal"/>
    <w:rsid w:val="00155829"/>
    <w:pPr>
      <w:autoSpaceDE w:val="0"/>
      <w:autoSpaceDN w:val="0"/>
      <w:adjustRightInd w:val="0"/>
      <w:spacing w:before="120" w:after="120" w:line="288" w:lineRule="auto"/>
      <w:ind w:left="720"/>
      <w:jc w:val="both"/>
    </w:pPr>
    <w:rPr>
      <w:rFonts w:ascii="Gautami" w:eastAsia="Times New Roman" w:hAnsi="Gautami"/>
      <w:color w:val="000000"/>
      <w:sz w:val="18"/>
      <w:szCs w:val="24"/>
      <w:lang w:eastAsia="en-AU"/>
    </w:rPr>
  </w:style>
  <w:style w:type="paragraph" w:customStyle="1" w:styleId="NER-Cl-Title-Lvl-4">
    <w:name w:val="NER-Cl-Title-Lvl-4"/>
    <w:basedOn w:val="Normal"/>
    <w:rsid w:val="00155829"/>
    <w:pPr>
      <w:keepNext/>
      <w:keepLines/>
      <w:tabs>
        <w:tab w:val="left" w:pos="1134"/>
      </w:tabs>
      <w:autoSpaceDE w:val="0"/>
      <w:autoSpaceDN w:val="0"/>
      <w:adjustRightInd w:val="0"/>
      <w:spacing w:before="240" w:after="60" w:line="288" w:lineRule="auto"/>
      <w:ind w:left="1134" w:hanging="1134"/>
      <w:jc w:val="both"/>
    </w:pPr>
    <w:rPr>
      <w:rFonts w:ascii="Gautami" w:eastAsia="Times New Roman" w:hAnsi="Gautami" w:cs="Arial Bold"/>
      <w:b/>
      <w:bCs/>
      <w:color w:val="000000"/>
      <w:sz w:val="20"/>
      <w:szCs w:val="24"/>
      <w:lang w:eastAsia="en-AU"/>
    </w:rPr>
  </w:style>
  <w:style w:type="character" w:customStyle="1" w:styleId="AERconfidentialtext">
    <w:name w:val="AER confidential text"/>
    <w:rsid w:val="00155829"/>
    <w:rPr>
      <w:bdr w:val="none" w:sz="0" w:space="0" w:color="auto"/>
      <w:shd w:val="clear" w:color="auto" w:fill="CCFFFF"/>
    </w:rPr>
  </w:style>
  <w:style w:type="paragraph" w:customStyle="1" w:styleId="AERheading5">
    <w:name w:val="AER heading 5"/>
    <w:basedOn w:val="Heading5"/>
    <w:next w:val="AERbodytext"/>
    <w:rsid w:val="0015582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15582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uiPriority w:val="99"/>
    <w:semiHidden/>
    <w:unhideWhenUsed/>
    <w:rsid w:val="00155829"/>
    <w:rPr>
      <w:vertAlign w:val="superscript"/>
    </w:rPr>
  </w:style>
  <w:style w:type="paragraph" w:styleId="Header">
    <w:name w:val="header"/>
    <w:basedOn w:val="Normal"/>
    <w:link w:val="HeaderChar"/>
    <w:rsid w:val="00155829"/>
    <w:pPr>
      <w:tabs>
        <w:tab w:val="center" w:pos="4153"/>
        <w:tab w:val="right" w:pos="8306"/>
      </w:tabs>
      <w:spacing w:after="0" w:line="288" w:lineRule="auto"/>
      <w:jc w:val="both"/>
    </w:pPr>
    <w:rPr>
      <w:rFonts w:ascii="Gautami" w:eastAsia="Times New Roman" w:hAnsi="Gautami"/>
      <w:sz w:val="20"/>
      <w:szCs w:val="24"/>
      <w:lang w:eastAsia="en-AU"/>
    </w:rPr>
  </w:style>
  <w:style w:type="character" w:customStyle="1" w:styleId="HeaderChar">
    <w:name w:val="Header Char"/>
    <w:link w:val="Header"/>
    <w:rsid w:val="00155829"/>
    <w:rPr>
      <w:rFonts w:ascii="Gautami" w:eastAsia="Times New Roman" w:hAnsi="Gautami"/>
      <w:szCs w:val="24"/>
    </w:rPr>
  </w:style>
  <w:style w:type="character" w:customStyle="1" w:styleId="CommentTextChar">
    <w:name w:val="Comment Text Char"/>
    <w:link w:val="CommentText"/>
    <w:uiPriority w:val="99"/>
    <w:semiHidden/>
    <w:rsid w:val="00155829"/>
    <w:rPr>
      <w:rFonts w:ascii="Gautami" w:eastAsia="Times New Roman" w:hAnsi="Gautami"/>
    </w:rPr>
  </w:style>
  <w:style w:type="paragraph" w:styleId="CommentText">
    <w:name w:val="annotation text"/>
    <w:basedOn w:val="Normal"/>
    <w:link w:val="CommentTextChar"/>
    <w:uiPriority w:val="99"/>
    <w:semiHidden/>
    <w:rsid w:val="00155829"/>
    <w:pPr>
      <w:spacing w:after="0" w:line="288" w:lineRule="auto"/>
      <w:jc w:val="both"/>
    </w:pPr>
    <w:rPr>
      <w:rFonts w:ascii="Gautami" w:eastAsia="Times New Roman" w:hAnsi="Gautami"/>
      <w:sz w:val="20"/>
      <w:szCs w:val="20"/>
      <w:lang w:eastAsia="en-AU"/>
    </w:rPr>
  </w:style>
  <w:style w:type="character" w:customStyle="1" w:styleId="CommentSubjectChar">
    <w:name w:val="Comment Subject Char"/>
    <w:link w:val="CommentSubject"/>
    <w:semiHidden/>
    <w:rsid w:val="00155829"/>
    <w:rPr>
      <w:rFonts w:ascii="Gautami" w:eastAsia="Times New Roman" w:hAnsi="Gautami"/>
      <w:b/>
      <w:bCs/>
    </w:rPr>
  </w:style>
  <w:style w:type="paragraph" w:styleId="CommentSubject">
    <w:name w:val="annotation subject"/>
    <w:basedOn w:val="CommentText"/>
    <w:next w:val="CommentText"/>
    <w:link w:val="CommentSubjectChar"/>
    <w:semiHidden/>
    <w:rsid w:val="00155829"/>
    <w:rPr>
      <w:b/>
      <w:bCs/>
    </w:rPr>
  </w:style>
  <w:style w:type="character" w:customStyle="1" w:styleId="BalloonTextChar">
    <w:name w:val="Balloon Text Char"/>
    <w:link w:val="BalloonText"/>
    <w:semiHidden/>
    <w:rsid w:val="00155829"/>
    <w:rPr>
      <w:rFonts w:ascii="Tahoma" w:eastAsia="Times New Roman" w:hAnsi="Tahoma" w:cs="Tahoma"/>
      <w:sz w:val="16"/>
      <w:szCs w:val="16"/>
    </w:rPr>
  </w:style>
  <w:style w:type="paragraph" w:styleId="BalloonText">
    <w:name w:val="Balloon Text"/>
    <w:basedOn w:val="Normal"/>
    <w:link w:val="BalloonTextChar"/>
    <w:semiHidden/>
    <w:rsid w:val="00155829"/>
    <w:pPr>
      <w:spacing w:after="0" w:line="288" w:lineRule="auto"/>
      <w:jc w:val="both"/>
    </w:pPr>
    <w:rPr>
      <w:rFonts w:ascii="Tahoma" w:eastAsia="Times New Roman" w:hAnsi="Tahoma" w:cs="Tahoma"/>
      <w:sz w:val="16"/>
      <w:szCs w:val="16"/>
      <w:lang w:eastAsia="en-AU"/>
    </w:rPr>
  </w:style>
  <w:style w:type="paragraph" w:styleId="FootnoteText">
    <w:name w:val="footnote text"/>
    <w:basedOn w:val="Normal"/>
    <w:link w:val="FootnoteTextChar"/>
    <w:uiPriority w:val="99"/>
    <w:rsid w:val="00155829"/>
    <w:pPr>
      <w:tabs>
        <w:tab w:val="left" w:pos="454"/>
      </w:tabs>
      <w:spacing w:after="0" w:line="288" w:lineRule="auto"/>
      <w:ind w:left="454" w:hanging="454"/>
      <w:jc w:val="both"/>
    </w:pPr>
    <w:rPr>
      <w:rFonts w:ascii="Gautami" w:eastAsia="Times New Roman" w:hAnsi="Gautami"/>
      <w:sz w:val="16"/>
      <w:szCs w:val="20"/>
      <w:lang w:eastAsia="en-AU"/>
    </w:rPr>
  </w:style>
  <w:style w:type="character" w:customStyle="1" w:styleId="FootnoteTextChar">
    <w:name w:val="Footnote Text Char"/>
    <w:link w:val="FootnoteText"/>
    <w:uiPriority w:val="99"/>
    <w:rsid w:val="00155829"/>
    <w:rPr>
      <w:rFonts w:ascii="Gautami" w:eastAsia="Times New Roman" w:hAnsi="Gautami"/>
      <w:sz w:val="16"/>
    </w:rPr>
  </w:style>
  <w:style w:type="character" w:customStyle="1" w:styleId="AERbody">
    <w:name w:val="AER body"/>
    <w:rsid w:val="00155829"/>
    <w:rPr>
      <w:rFonts w:ascii="Gautami" w:hAnsi="Gautami"/>
      <w:color w:val="auto"/>
      <w:sz w:val="20"/>
    </w:rPr>
  </w:style>
  <w:style w:type="paragraph" w:customStyle="1" w:styleId="AERtabletext-numbers">
    <w:name w:val="AER table text - numbers"/>
    <w:basedOn w:val="AERtabletext"/>
    <w:rsid w:val="00155829"/>
    <w:pPr>
      <w:keepNext/>
      <w:jc w:val="right"/>
    </w:pPr>
  </w:style>
  <w:style w:type="character" w:customStyle="1" w:styleId="AERtextboldunderline">
    <w:name w:val="AER text bold underline"/>
    <w:rsid w:val="00155829"/>
    <w:rPr>
      <w:b/>
      <w:u w:val="single"/>
    </w:rPr>
  </w:style>
  <w:style w:type="character" w:customStyle="1" w:styleId="AERtextunderline">
    <w:name w:val="AER text underline"/>
    <w:rsid w:val="00155829"/>
    <w:rPr>
      <w:u w:val="single"/>
    </w:rPr>
  </w:style>
  <w:style w:type="character" w:customStyle="1" w:styleId="AERtextitalic">
    <w:name w:val="AER text italic"/>
    <w:rsid w:val="00155829"/>
    <w:rPr>
      <w:i/>
    </w:rPr>
  </w:style>
  <w:style w:type="paragraph" w:styleId="TOC1">
    <w:name w:val="toc 1"/>
    <w:basedOn w:val="Normal"/>
    <w:next w:val="Normal"/>
    <w:uiPriority w:val="39"/>
    <w:rsid w:val="00155829"/>
    <w:pPr>
      <w:tabs>
        <w:tab w:val="left" w:pos="567"/>
        <w:tab w:val="right" w:leader="dot" w:pos="8307"/>
      </w:tabs>
      <w:spacing w:before="120" w:after="120" w:line="288" w:lineRule="auto"/>
      <w:jc w:val="both"/>
    </w:pPr>
    <w:rPr>
      <w:rFonts w:ascii="Gautami" w:eastAsia="Times New Roman" w:hAnsi="Gautami"/>
      <w:b/>
      <w:sz w:val="20"/>
      <w:szCs w:val="24"/>
    </w:rPr>
  </w:style>
  <w:style w:type="paragraph" w:customStyle="1" w:styleId="AERunnumberedheading">
    <w:name w:val="AER unnumbered heading"/>
    <w:basedOn w:val="AERheading1"/>
    <w:rsid w:val="00155829"/>
    <w:pPr>
      <w:numPr>
        <w:numId w:val="0"/>
      </w:numPr>
      <w:tabs>
        <w:tab w:val="clear" w:pos="0"/>
      </w:tabs>
      <w:spacing w:after="120"/>
    </w:pPr>
  </w:style>
  <w:style w:type="paragraph" w:customStyle="1" w:styleId="AERTitle1">
    <w:name w:val="AER Title 1"/>
    <w:basedOn w:val="AERheading4"/>
    <w:rsid w:val="00155829"/>
    <w:pPr>
      <w:keepNext/>
      <w:jc w:val="center"/>
    </w:pPr>
    <w:rPr>
      <w:sz w:val="40"/>
    </w:rPr>
  </w:style>
  <w:style w:type="paragraph" w:customStyle="1" w:styleId="AERTitle2">
    <w:name w:val="AER Title 2"/>
    <w:basedOn w:val="AERTitle1"/>
    <w:rsid w:val="00155829"/>
    <w:pPr>
      <w:spacing w:before="1680"/>
    </w:pPr>
    <w:rPr>
      <w:b w:val="0"/>
      <w:sz w:val="32"/>
    </w:rPr>
  </w:style>
  <w:style w:type="character" w:styleId="Hyperlink">
    <w:name w:val="Hyperlink"/>
    <w:uiPriority w:val="99"/>
    <w:rsid w:val="00155829"/>
    <w:rPr>
      <w:color w:val="0000FF"/>
      <w:u w:val="single"/>
    </w:rPr>
  </w:style>
  <w:style w:type="character" w:styleId="IntenseReference">
    <w:name w:val="Intense Reference"/>
    <w:uiPriority w:val="32"/>
    <w:qFormat/>
    <w:rsid w:val="00155829"/>
    <w:rPr>
      <w:b/>
      <w:bCs/>
      <w:smallCaps/>
      <w:color w:val="C0504D"/>
      <w:spacing w:val="5"/>
      <w:u w:val="single"/>
    </w:rPr>
  </w:style>
  <w:style w:type="character" w:customStyle="1" w:styleId="EndnoteTextChar">
    <w:name w:val="Endnote Text Char"/>
    <w:link w:val="EndnoteText"/>
    <w:uiPriority w:val="99"/>
    <w:semiHidden/>
    <w:rsid w:val="00155829"/>
    <w:rPr>
      <w:rFonts w:ascii="Gautami" w:eastAsia="Times New Roman" w:hAnsi="Gautami"/>
    </w:rPr>
  </w:style>
  <w:style w:type="paragraph" w:styleId="EndnoteText">
    <w:name w:val="endnote text"/>
    <w:basedOn w:val="Normal"/>
    <w:link w:val="EndnoteTextChar"/>
    <w:uiPriority w:val="99"/>
    <w:semiHidden/>
    <w:unhideWhenUsed/>
    <w:rsid w:val="00155829"/>
    <w:pPr>
      <w:spacing w:after="0" w:line="288" w:lineRule="auto"/>
      <w:jc w:val="both"/>
    </w:pPr>
    <w:rPr>
      <w:rFonts w:ascii="Gautami" w:eastAsia="Times New Roman" w:hAnsi="Gautami"/>
      <w:sz w:val="20"/>
      <w:szCs w:val="20"/>
      <w:lang w:eastAsia="en-AU"/>
    </w:rPr>
  </w:style>
  <w:style w:type="paragraph" w:customStyle="1" w:styleId="AERboxbullet">
    <w:name w:val="AER box bullet"/>
    <w:basedOn w:val="Normal"/>
    <w:rsid w:val="00155829"/>
    <w:pPr>
      <w:numPr>
        <w:numId w:val="10"/>
      </w:num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24"/>
      <w:szCs w:val="20"/>
      <w:lang w:val="en-GB" w:eastAsia="en-AU"/>
    </w:rPr>
  </w:style>
  <w:style w:type="character" w:styleId="CommentReference">
    <w:name w:val="annotation reference"/>
    <w:uiPriority w:val="99"/>
    <w:semiHidden/>
    <w:unhideWhenUsed/>
    <w:rsid w:val="001D6EA2"/>
    <w:rPr>
      <w:sz w:val="16"/>
      <w:szCs w:val="16"/>
    </w:rPr>
  </w:style>
  <w:style w:type="paragraph" w:styleId="Revision">
    <w:name w:val="Revision"/>
    <w:hidden/>
    <w:uiPriority w:val="99"/>
    <w:semiHidden/>
    <w:rsid w:val="00283505"/>
    <w:rPr>
      <w:sz w:val="22"/>
      <w:szCs w:val="22"/>
      <w:lang w:eastAsia="en-US"/>
    </w:rPr>
  </w:style>
  <w:style w:type="paragraph" w:styleId="TOCHeading">
    <w:name w:val="TOC Heading"/>
    <w:basedOn w:val="Heading1"/>
    <w:next w:val="Normal"/>
    <w:uiPriority w:val="39"/>
    <w:semiHidden/>
    <w:unhideWhenUsed/>
    <w:qFormat/>
    <w:rsid w:val="00B85A41"/>
    <w:pPr>
      <w:spacing w:line="276" w:lineRule="auto"/>
      <w:jc w:val="left"/>
      <w:outlineLvl w:val="9"/>
    </w:pPr>
    <w:rPr>
      <w:rFonts w:eastAsia="MS Gothic"/>
      <w:lang w:val="en-US" w:eastAsia="ja-JP"/>
    </w:rPr>
  </w:style>
  <w:style w:type="character" w:customStyle="1" w:styleId="Heading2Char">
    <w:name w:val="Heading 2 Char"/>
    <w:link w:val="Heading2"/>
    <w:uiPriority w:val="9"/>
    <w:rsid w:val="00B85A41"/>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er.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D2DD-0D41-4C8C-B348-D2C9FD2C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15981</Words>
  <Characters>91093</Characters>
  <Application>Microsoft Office Word</Application>
  <DocSecurity>0</DocSecurity>
  <Lines>759</Lines>
  <Paragraphs>213</Paragraphs>
  <ScaleCrop>false</ScaleCrop>
  <Company/>
  <LinksUpToDate>false</LinksUpToDate>
  <CharactersWithSpaces>106861</CharactersWithSpaces>
  <SharedDoc>false</SharedDoc>
  <HLinks>
    <vt:vector size="12" baseType="variant">
      <vt:variant>
        <vt:i4>6750255</vt:i4>
      </vt:variant>
      <vt:variant>
        <vt:i4>3</vt:i4>
      </vt:variant>
      <vt:variant>
        <vt:i4>0</vt:i4>
      </vt:variant>
      <vt:variant>
        <vt:i4>5</vt:i4>
      </vt:variant>
      <vt:variant>
        <vt:lpwstr>http://www.aer.gov.au/</vt:lpwstr>
      </vt:variant>
      <vt:variant>
        <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2013-07-07T22:15:00Z</dcterms:created>
  <dcterms:modified xsi:type="dcterms:W3CDTF">2013-07-07T22:15:00Z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8016674</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ies>
</file>