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7A" w:rsidRDefault="008D157A" w:rsidP="00951978">
      <w:proofErr w:type="spellStart"/>
      <w:proofErr w:type="gramStart"/>
      <w:r>
        <w:t>i</w:t>
      </w:r>
      <w:proofErr w:type="spellEnd"/>
      <w:proofErr w:type="gramEnd"/>
    </w:p>
    <w:sdt>
      <w:sdtPr>
        <w:rPr>
          <w:rFonts w:eastAsiaTheme="majorEastAsia" w:cstheme="majorBidi"/>
          <w:noProof/>
          <w:sz w:val="36"/>
          <w:szCs w:val="36"/>
          <w:lang w:eastAsia="en-AU"/>
        </w:rPr>
        <w:id w:val="1099676627"/>
        <w:docPartObj>
          <w:docPartGallery w:val="Cover Pages"/>
          <w:docPartUnique/>
        </w:docPartObj>
      </w:sdtPr>
      <w:sdtEndPr>
        <w:rPr>
          <w:b/>
          <w:sz w:val="72"/>
          <w:szCs w:val="72"/>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0A248812" wp14:editId="3684BF1B">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44265E"/>
        <w:p w:rsidR="00DB723B" w:rsidRPr="00DB723B" w:rsidRDefault="00DB723B" w:rsidP="0044265E"/>
        <w:p w:rsidR="00DB723B" w:rsidRPr="00DB723B" w:rsidRDefault="00DB723B" w:rsidP="0044265E"/>
        <w:p w:rsidR="00DB723B" w:rsidRPr="00DB723B" w:rsidRDefault="00DB723B" w:rsidP="0044265E"/>
        <w:p w:rsidR="00DB723B" w:rsidRPr="00DB723B" w:rsidRDefault="00170114" w:rsidP="00327A1E">
          <w:pPr>
            <w:pStyle w:val="ReportTitle"/>
          </w:pPr>
          <w:r>
            <w:t>DRAFT</w:t>
          </w:r>
          <w:r w:rsidR="00DB723B" w:rsidRPr="00DB723B">
            <w:t xml:space="preserve"> </w:t>
          </w:r>
          <w:r w:rsidR="0053414C">
            <w:t>for Consultation</w:t>
          </w:r>
        </w:p>
        <w:p w:rsidR="00DB723B" w:rsidRPr="00DB723B" w:rsidRDefault="0053414C" w:rsidP="00327A1E">
          <w:pPr>
            <w:pStyle w:val="ReportTitle"/>
          </w:pPr>
          <w:r>
            <w:t>Rebidding and Technical Parameters Guideline</w:t>
          </w:r>
        </w:p>
        <w:p w:rsidR="00DB723B" w:rsidRPr="00187BA9" w:rsidRDefault="0053414C" w:rsidP="00187BA9">
          <w:pPr>
            <w:pStyle w:val="ReportDate"/>
          </w:pPr>
          <w:r>
            <w:t>September</w:t>
          </w:r>
          <w:r w:rsidR="00DB723B" w:rsidRPr="00DB723B">
            <w:t xml:space="preserve"> 201</w:t>
          </w:r>
          <w:r w:rsidR="000232BF">
            <w:t>6</w:t>
          </w:r>
        </w:p>
      </w:sdtContent>
    </w:sdt>
    <w:p w:rsidR="00327A1E" w:rsidRPr="00FE3C32" w:rsidRDefault="00327A1E">
      <w:pPr>
        <w:spacing w:line="240" w:lineRule="auto"/>
      </w:pPr>
      <w:r>
        <w:br w:type="page"/>
      </w:r>
    </w:p>
    <w:p w:rsidR="000A6C7B" w:rsidRDefault="000A6C7B" w:rsidP="00327A1E">
      <w:pPr>
        <w:pStyle w:val="Copyright"/>
      </w:pPr>
      <w:r>
        <w:lastRenderedPageBreak/>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53414C">
        <w:t>51841</w:t>
      </w:r>
      <w:r w:rsidR="00393833">
        <w:t>-</w:t>
      </w:r>
      <w:r w:rsidR="007C4F20">
        <w:t>D16/92285</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879"/>
        <w:gridCol w:w="2963"/>
        <w:gridCol w:w="2851"/>
      </w:tblGrid>
      <w:tr w:rsidR="000A6C7B" w:rsidTr="0044265E">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44265E">
        <w:tc>
          <w:tcPr>
            <w:tcW w:w="3080" w:type="dxa"/>
          </w:tcPr>
          <w:p w:rsidR="000A6C7B" w:rsidRDefault="0053414C" w:rsidP="0044265E">
            <w:pPr>
              <w:spacing w:before="0" w:after="200"/>
            </w:pPr>
            <w:r>
              <w:t>1</w:t>
            </w:r>
          </w:p>
          <w:p w:rsidR="0053414C" w:rsidRDefault="0053414C" w:rsidP="0044265E">
            <w:pPr>
              <w:spacing w:before="0" w:after="200"/>
            </w:pPr>
            <w:r>
              <w:t>D14/34526</w:t>
            </w:r>
          </w:p>
        </w:tc>
        <w:tc>
          <w:tcPr>
            <w:tcW w:w="3081" w:type="dxa"/>
          </w:tcPr>
          <w:p w:rsidR="000A6C7B" w:rsidRDefault="0053414C" w:rsidP="0044265E">
            <w:pPr>
              <w:spacing w:before="0" w:after="200"/>
            </w:pPr>
            <w:r>
              <w:t>Published: 25 September 2009</w:t>
            </w:r>
          </w:p>
          <w:p w:rsidR="0053414C" w:rsidRDefault="0053414C" w:rsidP="0044265E">
            <w:pPr>
              <w:spacing w:before="0" w:after="200"/>
            </w:pPr>
            <w:r>
              <w:t>Date of effect: 1 December 2009</w:t>
            </w:r>
          </w:p>
        </w:tc>
        <w:tc>
          <w:tcPr>
            <w:tcW w:w="3081" w:type="dxa"/>
          </w:tcPr>
          <w:p w:rsidR="000A6C7B" w:rsidRDefault="0053414C" w:rsidP="0044265E">
            <w:pPr>
              <w:spacing w:before="0" w:after="200"/>
            </w:pPr>
            <w:r>
              <w:t>23</w:t>
            </w:r>
          </w:p>
        </w:tc>
      </w:tr>
      <w:tr w:rsidR="000A6C7B" w:rsidTr="0044265E">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53414C" w:rsidP="0044265E">
            <w:pPr>
              <w:spacing w:before="0" w:after="200"/>
            </w:pPr>
            <w:r>
              <w:t>2</w:t>
            </w:r>
          </w:p>
        </w:tc>
        <w:tc>
          <w:tcPr>
            <w:tcW w:w="3081" w:type="dxa"/>
          </w:tcPr>
          <w:p w:rsidR="000A6C7B" w:rsidRDefault="0053414C" w:rsidP="0044265E">
            <w:pPr>
              <w:spacing w:before="0" w:after="200"/>
            </w:pPr>
            <w:r>
              <w:t>Published: 2017</w:t>
            </w:r>
          </w:p>
          <w:p w:rsidR="0053414C" w:rsidRDefault="0053414C" w:rsidP="0044265E">
            <w:pPr>
              <w:spacing w:before="0" w:after="200"/>
            </w:pPr>
            <w:r>
              <w:t>Date of effect: xx</w:t>
            </w:r>
          </w:p>
        </w:tc>
        <w:tc>
          <w:tcPr>
            <w:tcW w:w="3081" w:type="dxa"/>
          </w:tcPr>
          <w:p w:rsidR="000A6C7B" w:rsidRDefault="0053414C" w:rsidP="0044265E">
            <w:pPr>
              <w:spacing w:before="0" w:after="200"/>
            </w:pPr>
            <w:r>
              <w:t>xx</w:t>
            </w: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D0CE3"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2138184" w:history="1">
        <w:r w:rsidR="008D0CE3" w:rsidRPr="00E91FBA">
          <w:rPr>
            <w:rStyle w:val="Hyperlink"/>
          </w:rPr>
          <w:t>1</w:t>
        </w:r>
        <w:r w:rsidR="008D0CE3">
          <w:rPr>
            <w:rFonts w:asciiTheme="minorHAnsi" w:eastAsiaTheme="minorEastAsia" w:hAnsiTheme="minorHAnsi"/>
            <w:b w:val="0"/>
            <w:color w:val="auto"/>
            <w:sz w:val="22"/>
            <w:lang w:val="en-AU" w:eastAsia="en-AU"/>
          </w:rPr>
          <w:tab/>
        </w:r>
        <w:r w:rsidR="008D0CE3" w:rsidRPr="00E91FBA">
          <w:rPr>
            <w:rStyle w:val="Hyperlink"/>
          </w:rPr>
          <w:t>Overview</w:t>
        </w:r>
        <w:r w:rsidR="008D0CE3">
          <w:rPr>
            <w:webHidden/>
          </w:rPr>
          <w:tab/>
        </w:r>
        <w:r w:rsidR="008D0CE3">
          <w:rPr>
            <w:webHidden/>
          </w:rPr>
          <w:fldChar w:fldCharType="begin"/>
        </w:r>
        <w:r w:rsidR="008D0CE3">
          <w:rPr>
            <w:webHidden/>
          </w:rPr>
          <w:instrText xml:space="preserve"> PAGEREF _Toc462138184 \h </w:instrText>
        </w:r>
        <w:r w:rsidR="008D0CE3">
          <w:rPr>
            <w:webHidden/>
          </w:rPr>
        </w:r>
        <w:r w:rsidR="008D0CE3">
          <w:rPr>
            <w:webHidden/>
          </w:rPr>
          <w:fldChar w:fldCharType="separate"/>
        </w:r>
        <w:r w:rsidR="001D523A">
          <w:rPr>
            <w:webHidden/>
          </w:rPr>
          <w:t>1</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85" w:history="1">
        <w:r w:rsidR="008D0CE3" w:rsidRPr="00E91FBA">
          <w:rPr>
            <w:rStyle w:val="Hyperlink"/>
          </w:rPr>
          <w:t>1.1</w:t>
        </w:r>
        <w:r w:rsidR="008D0CE3">
          <w:rPr>
            <w:rFonts w:asciiTheme="minorHAnsi" w:eastAsiaTheme="minorEastAsia" w:hAnsiTheme="minorHAnsi"/>
            <w:b w:val="0"/>
            <w:color w:val="auto"/>
            <w:sz w:val="22"/>
            <w:lang w:eastAsia="en-AU"/>
          </w:rPr>
          <w:tab/>
        </w:r>
        <w:r w:rsidR="008D0CE3" w:rsidRPr="00E91FBA">
          <w:rPr>
            <w:rStyle w:val="Hyperlink"/>
          </w:rPr>
          <w:t>Purpose of this guideline</w:t>
        </w:r>
        <w:r w:rsidR="008D0CE3">
          <w:rPr>
            <w:webHidden/>
          </w:rPr>
          <w:tab/>
        </w:r>
        <w:r w:rsidR="008D0CE3">
          <w:rPr>
            <w:webHidden/>
          </w:rPr>
          <w:fldChar w:fldCharType="begin"/>
        </w:r>
        <w:r w:rsidR="008D0CE3">
          <w:rPr>
            <w:webHidden/>
          </w:rPr>
          <w:instrText xml:space="preserve"> PAGEREF _Toc462138185 \h </w:instrText>
        </w:r>
        <w:r w:rsidR="008D0CE3">
          <w:rPr>
            <w:webHidden/>
          </w:rPr>
        </w:r>
        <w:r w:rsidR="008D0CE3">
          <w:rPr>
            <w:webHidden/>
          </w:rPr>
          <w:fldChar w:fldCharType="separate"/>
        </w:r>
        <w:r>
          <w:rPr>
            <w:webHidden/>
          </w:rPr>
          <w:t>1</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86" w:history="1">
        <w:r w:rsidR="008D0CE3" w:rsidRPr="00E91FBA">
          <w:rPr>
            <w:rStyle w:val="Hyperlink"/>
          </w:rPr>
          <w:t>1.2</w:t>
        </w:r>
        <w:r w:rsidR="008D0CE3">
          <w:rPr>
            <w:rFonts w:asciiTheme="minorHAnsi" w:eastAsiaTheme="minorEastAsia" w:hAnsiTheme="minorHAnsi"/>
            <w:b w:val="0"/>
            <w:color w:val="auto"/>
            <w:sz w:val="22"/>
            <w:lang w:eastAsia="en-AU"/>
          </w:rPr>
          <w:tab/>
        </w:r>
        <w:r w:rsidR="008D0CE3" w:rsidRPr="00E91FBA">
          <w:rPr>
            <w:rStyle w:val="Hyperlink"/>
          </w:rPr>
          <w:t>Roles and functions of the AER</w:t>
        </w:r>
        <w:r w:rsidR="008D0CE3">
          <w:rPr>
            <w:webHidden/>
          </w:rPr>
          <w:tab/>
        </w:r>
        <w:r w:rsidR="008D0CE3">
          <w:rPr>
            <w:webHidden/>
          </w:rPr>
          <w:fldChar w:fldCharType="begin"/>
        </w:r>
        <w:r w:rsidR="008D0CE3">
          <w:rPr>
            <w:webHidden/>
          </w:rPr>
          <w:instrText xml:space="preserve"> PAGEREF _Toc462138186 \h </w:instrText>
        </w:r>
        <w:r w:rsidR="008D0CE3">
          <w:rPr>
            <w:webHidden/>
          </w:rPr>
        </w:r>
        <w:r w:rsidR="008D0CE3">
          <w:rPr>
            <w:webHidden/>
          </w:rPr>
          <w:fldChar w:fldCharType="separate"/>
        </w:r>
        <w:r>
          <w:rPr>
            <w:webHidden/>
          </w:rPr>
          <w:t>2</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87" w:history="1">
        <w:r w:rsidR="008D0CE3" w:rsidRPr="00E91FBA">
          <w:rPr>
            <w:rStyle w:val="Hyperlink"/>
          </w:rPr>
          <w:t>1.3</w:t>
        </w:r>
        <w:r w:rsidR="008D0CE3">
          <w:rPr>
            <w:rFonts w:asciiTheme="minorHAnsi" w:eastAsiaTheme="minorEastAsia" w:hAnsiTheme="minorHAnsi"/>
            <w:b w:val="0"/>
            <w:color w:val="auto"/>
            <w:sz w:val="22"/>
            <w:lang w:eastAsia="en-AU"/>
          </w:rPr>
          <w:tab/>
        </w:r>
        <w:r w:rsidR="008D0CE3" w:rsidRPr="00E91FBA">
          <w:rPr>
            <w:rStyle w:val="Hyperlink"/>
          </w:rPr>
          <w:t>Definitions and interpretation</w:t>
        </w:r>
        <w:r w:rsidR="008D0CE3">
          <w:rPr>
            <w:webHidden/>
          </w:rPr>
          <w:tab/>
        </w:r>
        <w:r w:rsidR="008D0CE3">
          <w:rPr>
            <w:webHidden/>
          </w:rPr>
          <w:fldChar w:fldCharType="begin"/>
        </w:r>
        <w:r w:rsidR="008D0CE3">
          <w:rPr>
            <w:webHidden/>
          </w:rPr>
          <w:instrText xml:space="preserve"> PAGEREF _Toc462138187 \h </w:instrText>
        </w:r>
        <w:r w:rsidR="008D0CE3">
          <w:rPr>
            <w:webHidden/>
          </w:rPr>
        </w:r>
        <w:r w:rsidR="008D0CE3">
          <w:rPr>
            <w:webHidden/>
          </w:rPr>
          <w:fldChar w:fldCharType="separate"/>
        </w:r>
        <w:r>
          <w:rPr>
            <w:webHidden/>
          </w:rPr>
          <w:t>2</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188" w:history="1">
        <w:r w:rsidR="008D0CE3" w:rsidRPr="00E91FBA">
          <w:rPr>
            <w:rStyle w:val="Hyperlink"/>
          </w:rPr>
          <w:t>2</w:t>
        </w:r>
        <w:r w:rsidR="008D0CE3">
          <w:rPr>
            <w:rFonts w:asciiTheme="minorHAnsi" w:eastAsiaTheme="minorEastAsia" w:hAnsiTheme="minorHAnsi"/>
            <w:b w:val="0"/>
            <w:color w:val="auto"/>
            <w:sz w:val="22"/>
            <w:lang w:val="en-AU" w:eastAsia="en-AU"/>
          </w:rPr>
          <w:tab/>
        </w:r>
        <w:r w:rsidR="008D0CE3" w:rsidRPr="00E91FBA">
          <w:rPr>
            <w:rStyle w:val="Hyperlink"/>
          </w:rPr>
          <w:t>Bidding and rebidding technical parameters</w:t>
        </w:r>
        <w:r w:rsidR="008D0CE3">
          <w:rPr>
            <w:webHidden/>
          </w:rPr>
          <w:tab/>
        </w:r>
        <w:r w:rsidR="008D0CE3">
          <w:rPr>
            <w:webHidden/>
          </w:rPr>
          <w:fldChar w:fldCharType="begin"/>
        </w:r>
        <w:r w:rsidR="008D0CE3">
          <w:rPr>
            <w:webHidden/>
          </w:rPr>
          <w:instrText xml:space="preserve"> PAGEREF _Toc462138188 \h </w:instrText>
        </w:r>
        <w:r w:rsidR="008D0CE3">
          <w:rPr>
            <w:webHidden/>
          </w:rPr>
        </w:r>
        <w:r w:rsidR="008D0CE3">
          <w:rPr>
            <w:webHidden/>
          </w:rPr>
          <w:fldChar w:fldCharType="separate"/>
        </w:r>
        <w:r>
          <w:rPr>
            <w:webHidden/>
          </w:rPr>
          <w:t>3</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89" w:history="1">
        <w:r w:rsidR="008D0CE3" w:rsidRPr="00E91FBA">
          <w:rPr>
            <w:rStyle w:val="Hyperlink"/>
          </w:rPr>
          <w:t>2.1</w:t>
        </w:r>
        <w:r w:rsidR="008D0CE3">
          <w:rPr>
            <w:rFonts w:asciiTheme="minorHAnsi" w:eastAsiaTheme="minorEastAsia" w:hAnsiTheme="minorHAnsi"/>
            <w:b w:val="0"/>
            <w:color w:val="auto"/>
            <w:sz w:val="22"/>
            <w:lang w:eastAsia="en-AU"/>
          </w:rPr>
          <w:tab/>
        </w:r>
        <w:r w:rsidR="008D0CE3" w:rsidRPr="00E91FBA">
          <w:rPr>
            <w:rStyle w:val="Hyperlink"/>
          </w:rPr>
          <w:t>Ramp rates</w:t>
        </w:r>
        <w:r w:rsidR="008D0CE3">
          <w:rPr>
            <w:webHidden/>
          </w:rPr>
          <w:tab/>
        </w:r>
        <w:r w:rsidR="008D0CE3">
          <w:rPr>
            <w:webHidden/>
          </w:rPr>
          <w:fldChar w:fldCharType="begin"/>
        </w:r>
        <w:r w:rsidR="008D0CE3">
          <w:rPr>
            <w:webHidden/>
          </w:rPr>
          <w:instrText xml:space="preserve"> PAGEREF _Toc462138189 \h </w:instrText>
        </w:r>
        <w:r w:rsidR="008D0CE3">
          <w:rPr>
            <w:webHidden/>
          </w:rPr>
        </w:r>
        <w:r w:rsidR="008D0CE3">
          <w:rPr>
            <w:webHidden/>
          </w:rPr>
          <w:fldChar w:fldCharType="separate"/>
        </w:r>
        <w:r>
          <w:rPr>
            <w:webHidden/>
          </w:rPr>
          <w:t>3</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0" w:history="1">
        <w:r w:rsidR="008D0CE3" w:rsidRPr="00E91FBA">
          <w:rPr>
            <w:rStyle w:val="Hyperlink"/>
          </w:rPr>
          <w:t>2.1.1</w:t>
        </w:r>
        <w:r w:rsidR="008D0CE3">
          <w:rPr>
            <w:rFonts w:asciiTheme="minorHAnsi" w:eastAsiaTheme="minorEastAsia" w:hAnsiTheme="minorHAnsi"/>
            <w:lang w:eastAsia="en-AU"/>
          </w:rPr>
          <w:tab/>
        </w:r>
        <w:r w:rsidR="008D0CE3" w:rsidRPr="00E91FBA">
          <w:rPr>
            <w:rStyle w:val="Hyperlink"/>
          </w:rPr>
          <w:t>Information to be provided</w:t>
        </w:r>
        <w:r w:rsidR="008D0CE3">
          <w:rPr>
            <w:webHidden/>
          </w:rPr>
          <w:tab/>
        </w:r>
        <w:r w:rsidR="008D0CE3">
          <w:rPr>
            <w:webHidden/>
          </w:rPr>
          <w:fldChar w:fldCharType="begin"/>
        </w:r>
        <w:r w:rsidR="008D0CE3">
          <w:rPr>
            <w:webHidden/>
          </w:rPr>
          <w:instrText xml:space="preserve"> PAGEREF _Toc462138190 \h </w:instrText>
        </w:r>
        <w:r w:rsidR="008D0CE3">
          <w:rPr>
            <w:webHidden/>
          </w:rPr>
        </w:r>
        <w:r w:rsidR="008D0CE3">
          <w:rPr>
            <w:webHidden/>
          </w:rPr>
          <w:fldChar w:fldCharType="separate"/>
        </w:r>
        <w:r>
          <w:rPr>
            <w:webHidden/>
          </w:rPr>
          <w:t>3</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1" w:history="1">
        <w:r w:rsidR="008D0CE3" w:rsidRPr="00E91FBA">
          <w:rPr>
            <w:rStyle w:val="Hyperlink"/>
          </w:rPr>
          <w:t>2.1.2</w:t>
        </w:r>
        <w:r w:rsidR="008D0CE3">
          <w:rPr>
            <w:rFonts w:asciiTheme="minorHAnsi" w:eastAsiaTheme="minorEastAsia" w:hAnsiTheme="minorHAnsi"/>
            <w:lang w:eastAsia="en-AU"/>
          </w:rPr>
          <w:tab/>
        </w:r>
        <w:r w:rsidR="008D0CE3" w:rsidRPr="00E91FBA">
          <w:rPr>
            <w:rStyle w:val="Hyperlink"/>
          </w:rPr>
          <w:t>Legal and other operating requirements</w:t>
        </w:r>
        <w:r w:rsidR="008D0CE3">
          <w:rPr>
            <w:webHidden/>
          </w:rPr>
          <w:tab/>
        </w:r>
        <w:r w:rsidR="008D0CE3">
          <w:rPr>
            <w:webHidden/>
          </w:rPr>
          <w:fldChar w:fldCharType="begin"/>
        </w:r>
        <w:r w:rsidR="008D0CE3">
          <w:rPr>
            <w:webHidden/>
          </w:rPr>
          <w:instrText xml:space="preserve"> PAGEREF _Toc462138191 \h </w:instrText>
        </w:r>
        <w:r w:rsidR="008D0CE3">
          <w:rPr>
            <w:webHidden/>
          </w:rPr>
        </w:r>
        <w:r w:rsidR="008D0CE3">
          <w:rPr>
            <w:webHidden/>
          </w:rPr>
          <w:fldChar w:fldCharType="separate"/>
        </w:r>
        <w:r>
          <w:rPr>
            <w:webHidden/>
          </w:rPr>
          <w:t>4</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2" w:history="1">
        <w:r w:rsidR="008D0CE3" w:rsidRPr="00E91FBA">
          <w:rPr>
            <w:rStyle w:val="Hyperlink"/>
          </w:rPr>
          <w:t>2.1.3</w:t>
        </w:r>
        <w:r w:rsidR="008D0CE3">
          <w:rPr>
            <w:rFonts w:asciiTheme="minorHAnsi" w:eastAsiaTheme="minorEastAsia" w:hAnsiTheme="minorHAnsi"/>
            <w:lang w:eastAsia="en-AU"/>
          </w:rPr>
          <w:tab/>
        </w:r>
        <w:r w:rsidR="008D0CE3" w:rsidRPr="00E91FBA">
          <w:rPr>
            <w:rStyle w:val="Hyperlink"/>
          </w:rPr>
          <w:t>Ramp rates and standing data requirements</w:t>
        </w:r>
        <w:r w:rsidR="008D0CE3">
          <w:rPr>
            <w:webHidden/>
          </w:rPr>
          <w:tab/>
        </w:r>
        <w:r w:rsidR="008D0CE3">
          <w:rPr>
            <w:webHidden/>
          </w:rPr>
          <w:fldChar w:fldCharType="begin"/>
        </w:r>
        <w:r w:rsidR="008D0CE3">
          <w:rPr>
            <w:webHidden/>
          </w:rPr>
          <w:instrText xml:space="preserve"> PAGEREF _Toc462138192 \h </w:instrText>
        </w:r>
        <w:r w:rsidR="008D0CE3">
          <w:rPr>
            <w:webHidden/>
          </w:rPr>
        </w:r>
        <w:r w:rsidR="008D0CE3">
          <w:rPr>
            <w:webHidden/>
          </w:rPr>
          <w:fldChar w:fldCharType="separate"/>
        </w:r>
        <w:r>
          <w:rPr>
            <w:webHidden/>
          </w:rPr>
          <w:t>4</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3" w:history="1">
        <w:r w:rsidR="008D0CE3" w:rsidRPr="00E91FBA">
          <w:rPr>
            <w:rStyle w:val="Hyperlink"/>
          </w:rPr>
          <w:t>2.1.4</w:t>
        </w:r>
        <w:r w:rsidR="008D0CE3">
          <w:rPr>
            <w:rFonts w:asciiTheme="minorHAnsi" w:eastAsiaTheme="minorEastAsia" w:hAnsiTheme="minorHAnsi"/>
            <w:lang w:eastAsia="en-AU"/>
          </w:rPr>
          <w:tab/>
        </w:r>
        <w:r w:rsidR="008D0CE3" w:rsidRPr="00E91FBA">
          <w:rPr>
            <w:rStyle w:val="Hyperlink"/>
          </w:rPr>
          <w:t>Minimum safe operating level</w:t>
        </w:r>
        <w:r w:rsidR="008D0CE3">
          <w:rPr>
            <w:webHidden/>
          </w:rPr>
          <w:tab/>
        </w:r>
        <w:r w:rsidR="008D0CE3">
          <w:rPr>
            <w:webHidden/>
          </w:rPr>
          <w:fldChar w:fldCharType="begin"/>
        </w:r>
        <w:r w:rsidR="008D0CE3">
          <w:rPr>
            <w:webHidden/>
          </w:rPr>
          <w:instrText xml:space="preserve"> PAGEREF _Toc462138193 \h </w:instrText>
        </w:r>
        <w:r w:rsidR="008D0CE3">
          <w:rPr>
            <w:webHidden/>
          </w:rPr>
        </w:r>
        <w:r w:rsidR="008D0CE3">
          <w:rPr>
            <w:webHidden/>
          </w:rPr>
          <w:fldChar w:fldCharType="separate"/>
        </w:r>
        <w:r>
          <w:rPr>
            <w:webHidden/>
          </w:rPr>
          <w:t>5</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94" w:history="1">
        <w:r w:rsidR="008D0CE3" w:rsidRPr="00E91FBA">
          <w:rPr>
            <w:rStyle w:val="Hyperlink"/>
          </w:rPr>
          <w:t>2.2</w:t>
        </w:r>
        <w:r w:rsidR="008D0CE3">
          <w:rPr>
            <w:rFonts w:asciiTheme="minorHAnsi" w:eastAsiaTheme="minorEastAsia" w:hAnsiTheme="minorHAnsi"/>
            <w:b w:val="0"/>
            <w:color w:val="auto"/>
            <w:sz w:val="22"/>
            <w:lang w:eastAsia="en-AU"/>
          </w:rPr>
          <w:tab/>
        </w:r>
        <w:r w:rsidR="008D0CE3" w:rsidRPr="00E91FBA">
          <w:rPr>
            <w:rStyle w:val="Hyperlink"/>
          </w:rPr>
          <w:t>Bidding and rebidding as ‘inflexible’ (clause 3.8.19)</w:t>
        </w:r>
        <w:r w:rsidR="008D0CE3">
          <w:rPr>
            <w:webHidden/>
          </w:rPr>
          <w:tab/>
        </w:r>
        <w:r w:rsidR="008D0CE3">
          <w:rPr>
            <w:webHidden/>
          </w:rPr>
          <w:fldChar w:fldCharType="begin"/>
        </w:r>
        <w:r w:rsidR="008D0CE3">
          <w:rPr>
            <w:webHidden/>
          </w:rPr>
          <w:instrText xml:space="preserve"> PAGEREF _Toc462138194 \h </w:instrText>
        </w:r>
        <w:r w:rsidR="008D0CE3">
          <w:rPr>
            <w:webHidden/>
          </w:rPr>
        </w:r>
        <w:r w:rsidR="008D0CE3">
          <w:rPr>
            <w:webHidden/>
          </w:rPr>
          <w:fldChar w:fldCharType="separate"/>
        </w:r>
        <w:r>
          <w:rPr>
            <w:webHidden/>
          </w:rPr>
          <w:t>5</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5" w:history="1">
        <w:r w:rsidR="008D0CE3" w:rsidRPr="00E91FBA">
          <w:rPr>
            <w:rStyle w:val="Hyperlink"/>
          </w:rPr>
          <w:t>2.2.1</w:t>
        </w:r>
        <w:r w:rsidR="008D0CE3">
          <w:rPr>
            <w:rFonts w:asciiTheme="minorHAnsi" w:eastAsiaTheme="minorEastAsia" w:hAnsiTheme="minorHAnsi"/>
            <w:lang w:eastAsia="en-AU"/>
          </w:rPr>
          <w:tab/>
        </w:r>
        <w:r w:rsidR="008D0CE3" w:rsidRPr="00E91FBA">
          <w:rPr>
            <w:rStyle w:val="Hyperlink"/>
          </w:rPr>
          <w:t>Overview of requirement</w:t>
        </w:r>
        <w:r w:rsidR="008D0CE3">
          <w:rPr>
            <w:webHidden/>
          </w:rPr>
          <w:tab/>
        </w:r>
        <w:r w:rsidR="008D0CE3">
          <w:rPr>
            <w:webHidden/>
          </w:rPr>
          <w:fldChar w:fldCharType="begin"/>
        </w:r>
        <w:r w:rsidR="008D0CE3">
          <w:rPr>
            <w:webHidden/>
          </w:rPr>
          <w:instrText xml:space="preserve"> PAGEREF _Toc462138195 \h </w:instrText>
        </w:r>
        <w:r w:rsidR="008D0CE3">
          <w:rPr>
            <w:webHidden/>
          </w:rPr>
        </w:r>
        <w:r w:rsidR="008D0CE3">
          <w:rPr>
            <w:webHidden/>
          </w:rPr>
          <w:fldChar w:fldCharType="separate"/>
        </w:r>
        <w:r>
          <w:rPr>
            <w:webHidden/>
          </w:rPr>
          <w:t>5</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6" w:history="1">
        <w:r w:rsidR="008D0CE3" w:rsidRPr="00E91FBA">
          <w:rPr>
            <w:rStyle w:val="Hyperlink"/>
          </w:rPr>
          <w:t>2.2.2</w:t>
        </w:r>
        <w:r w:rsidR="008D0CE3">
          <w:rPr>
            <w:rFonts w:asciiTheme="minorHAnsi" w:eastAsiaTheme="minorEastAsia" w:hAnsiTheme="minorHAnsi"/>
            <w:lang w:eastAsia="en-AU"/>
          </w:rPr>
          <w:tab/>
        </w:r>
        <w:r w:rsidR="008D0CE3" w:rsidRPr="00E91FBA">
          <w:rPr>
            <w:rStyle w:val="Hyperlink"/>
          </w:rPr>
          <w:t>Abnormal plant or operating requirements</w:t>
        </w:r>
        <w:r w:rsidR="008D0CE3">
          <w:rPr>
            <w:webHidden/>
          </w:rPr>
          <w:tab/>
        </w:r>
        <w:r w:rsidR="008D0CE3">
          <w:rPr>
            <w:webHidden/>
          </w:rPr>
          <w:fldChar w:fldCharType="begin"/>
        </w:r>
        <w:r w:rsidR="008D0CE3">
          <w:rPr>
            <w:webHidden/>
          </w:rPr>
          <w:instrText xml:space="preserve"> PAGEREF _Toc462138196 \h </w:instrText>
        </w:r>
        <w:r w:rsidR="008D0CE3">
          <w:rPr>
            <w:webHidden/>
          </w:rPr>
        </w:r>
        <w:r w:rsidR="008D0CE3">
          <w:rPr>
            <w:webHidden/>
          </w:rPr>
          <w:fldChar w:fldCharType="separate"/>
        </w:r>
        <w:r>
          <w:rPr>
            <w:webHidden/>
          </w:rPr>
          <w:t>6</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7" w:history="1">
        <w:r w:rsidR="008D0CE3" w:rsidRPr="00E91FBA">
          <w:rPr>
            <w:rStyle w:val="Hyperlink"/>
          </w:rPr>
          <w:t>2.2.3</w:t>
        </w:r>
        <w:r w:rsidR="008D0CE3">
          <w:rPr>
            <w:rFonts w:asciiTheme="minorHAnsi" w:eastAsiaTheme="minorEastAsia" w:hAnsiTheme="minorHAnsi"/>
            <w:lang w:eastAsia="en-AU"/>
          </w:rPr>
          <w:tab/>
        </w:r>
        <w:r w:rsidR="008D0CE3" w:rsidRPr="00E91FBA">
          <w:rPr>
            <w:rStyle w:val="Hyperlink"/>
          </w:rPr>
          <w:t>Information to be provided</w:t>
        </w:r>
        <w:r w:rsidR="008D0CE3">
          <w:rPr>
            <w:webHidden/>
          </w:rPr>
          <w:tab/>
        </w:r>
        <w:r w:rsidR="008D0CE3">
          <w:rPr>
            <w:webHidden/>
          </w:rPr>
          <w:fldChar w:fldCharType="begin"/>
        </w:r>
        <w:r w:rsidR="008D0CE3">
          <w:rPr>
            <w:webHidden/>
          </w:rPr>
          <w:instrText xml:space="preserve"> PAGEREF _Toc462138197 \h </w:instrText>
        </w:r>
        <w:r w:rsidR="008D0CE3">
          <w:rPr>
            <w:webHidden/>
          </w:rPr>
        </w:r>
        <w:r w:rsidR="008D0CE3">
          <w:rPr>
            <w:webHidden/>
          </w:rPr>
          <w:fldChar w:fldCharType="separate"/>
        </w:r>
        <w:r>
          <w:rPr>
            <w:webHidden/>
          </w:rPr>
          <w:t>6</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198" w:history="1">
        <w:r w:rsidR="008D0CE3" w:rsidRPr="00E91FBA">
          <w:rPr>
            <w:rStyle w:val="Hyperlink"/>
          </w:rPr>
          <w:t>2.2.4</w:t>
        </w:r>
        <w:r w:rsidR="008D0CE3">
          <w:rPr>
            <w:rFonts w:asciiTheme="minorHAnsi" w:eastAsiaTheme="minorEastAsia" w:hAnsiTheme="minorHAnsi"/>
            <w:lang w:eastAsia="en-AU"/>
          </w:rPr>
          <w:tab/>
        </w:r>
        <w:r w:rsidR="008D0CE3" w:rsidRPr="00E91FBA">
          <w:rPr>
            <w:rStyle w:val="Hyperlink"/>
          </w:rPr>
          <w:t>Testing</w:t>
        </w:r>
        <w:r w:rsidR="008D0CE3">
          <w:rPr>
            <w:webHidden/>
          </w:rPr>
          <w:tab/>
        </w:r>
        <w:r w:rsidR="008D0CE3">
          <w:rPr>
            <w:webHidden/>
          </w:rPr>
          <w:fldChar w:fldCharType="begin"/>
        </w:r>
        <w:r w:rsidR="008D0CE3">
          <w:rPr>
            <w:webHidden/>
          </w:rPr>
          <w:instrText xml:space="preserve"> PAGEREF _Toc462138198 \h </w:instrText>
        </w:r>
        <w:r w:rsidR="008D0CE3">
          <w:rPr>
            <w:webHidden/>
          </w:rPr>
        </w:r>
        <w:r w:rsidR="008D0CE3">
          <w:rPr>
            <w:webHidden/>
          </w:rPr>
          <w:fldChar w:fldCharType="separate"/>
        </w:r>
        <w:r>
          <w:rPr>
            <w:webHidden/>
          </w:rPr>
          <w:t>6</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199" w:history="1">
        <w:r w:rsidR="008D0CE3" w:rsidRPr="00E91FBA">
          <w:rPr>
            <w:rStyle w:val="Hyperlink"/>
          </w:rPr>
          <w:t>2.3</w:t>
        </w:r>
        <w:r w:rsidR="008D0CE3">
          <w:rPr>
            <w:rFonts w:asciiTheme="minorHAnsi" w:eastAsiaTheme="minorEastAsia" w:hAnsiTheme="minorHAnsi"/>
            <w:b w:val="0"/>
            <w:color w:val="auto"/>
            <w:sz w:val="22"/>
            <w:lang w:eastAsia="en-AU"/>
          </w:rPr>
          <w:tab/>
        </w:r>
        <w:r w:rsidR="008D0CE3" w:rsidRPr="00E91FBA">
          <w:rPr>
            <w:rStyle w:val="Hyperlink"/>
          </w:rPr>
          <w:t>Market ancillary services</w:t>
        </w:r>
        <w:r w:rsidR="008D0CE3">
          <w:rPr>
            <w:webHidden/>
          </w:rPr>
          <w:tab/>
        </w:r>
        <w:r w:rsidR="008D0CE3">
          <w:rPr>
            <w:webHidden/>
          </w:rPr>
          <w:fldChar w:fldCharType="begin"/>
        </w:r>
        <w:r w:rsidR="008D0CE3">
          <w:rPr>
            <w:webHidden/>
          </w:rPr>
          <w:instrText xml:space="preserve"> PAGEREF _Toc462138199 \h </w:instrText>
        </w:r>
        <w:r w:rsidR="008D0CE3">
          <w:rPr>
            <w:webHidden/>
          </w:rPr>
        </w:r>
        <w:r w:rsidR="008D0CE3">
          <w:rPr>
            <w:webHidden/>
          </w:rPr>
          <w:fldChar w:fldCharType="separate"/>
        </w:r>
        <w:r>
          <w:rPr>
            <w:webHidden/>
          </w:rPr>
          <w:t>7</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200" w:history="1">
        <w:r w:rsidR="008D0CE3" w:rsidRPr="00E91FBA">
          <w:rPr>
            <w:rStyle w:val="Hyperlink"/>
          </w:rPr>
          <w:t>3</w:t>
        </w:r>
        <w:r w:rsidR="008D0CE3">
          <w:rPr>
            <w:rFonts w:asciiTheme="minorHAnsi" w:eastAsiaTheme="minorEastAsia" w:hAnsiTheme="minorHAnsi"/>
            <w:b w:val="0"/>
            <w:color w:val="auto"/>
            <w:sz w:val="22"/>
            <w:lang w:val="en-AU" w:eastAsia="en-AU"/>
          </w:rPr>
          <w:tab/>
        </w:r>
        <w:r w:rsidR="008D0CE3" w:rsidRPr="00E91FBA">
          <w:rPr>
            <w:rStyle w:val="Hyperlink"/>
          </w:rPr>
          <w:t>Rebidding</w:t>
        </w:r>
        <w:r w:rsidR="008D0CE3">
          <w:rPr>
            <w:webHidden/>
          </w:rPr>
          <w:tab/>
        </w:r>
        <w:r w:rsidR="008D0CE3">
          <w:rPr>
            <w:webHidden/>
          </w:rPr>
          <w:fldChar w:fldCharType="begin"/>
        </w:r>
        <w:r w:rsidR="008D0CE3">
          <w:rPr>
            <w:webHidden/>
          </w:rPr>
          <w:instrText xml:space="preserve"> PAGEREF _Toc462138200 \h </w:instrText>
        </w:r>
        <w:r w:rsidR="008D0CE3">
          <w:rPr>
            <w:webHidden/>
          </w:rPr>
        </w:r>
        <w:r w:rsidR="008D0CE3">
          <w:rPr>
            <w:webHidden/>
          </w:rPr>
          <w:fldChar w:fldCharType="separate"/>
        </w:r>
        <w:r>
          <w:rPr>
            <w:webHidden/>
          </w:rPr>
          <w:t>8</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01" w:history="1">
        <w:r w:rsidR="008D0CE3" w:rsidRPr="00E91FBA">
          <w:rPr>
            <w:rStyle w:val="Hyperlink"/>
          </w:rPr>
          <w:t>3.1</w:t>
        </w:r>
        <w:r w:rsidR="008D0CE3">
          <w:rPr>
            <w:rFonts w:asciiTheme="minorHAnsi" w:eastAsiaTheme="minorEastAsia" w:hAnsiTheme="minorHAnsi"/>
            <w:b w:val="0"/>
            <w:color w:val="auto"/>
            <w:sz w:val="22"/>
            <w:lang w:eastAsia="en-AU"/>
          </w:rPr>
          <w:tab/>
        </w:r>
        <w:r w:rsidR="008D0CE3" w:rsidRPr="00E91FBA">
          <w:rPr>
            <w:rStyle w:val="Hyperlink"/>
          </w:rPr>
          <w:t>Overview of requirement</w:t>
        </w:r>
        <w:r w:rsidR="008D0CE3">
          <w:rPr>
            <w:webHidden/>
          </w:rPr>
          <w:tab/>
        </w:r>
        <w:r w:rsidR="008D0CE3">
          <w:rPr>
            <w:webHidden/>
          </w:rPr>
          <w:fldChar w:fldCharType="begin"/>
        </w:r>
        <w:r w:rsidR="008D0CE3">
          <w:rPr>
            <w:webHidden/>
          </w:rPr>
          <w:instrText xml:space="preserve"> PAGEREF _Toc462138201 \h </w:instrText>
        </w:r>
        <w:r w:rsidR="008D0CE3">
          <w:rPr>
            <w:webHidden/>
          </w:rPr>
        </w:r>
        <w:r w:rsidR="008D0CE3">
          <w:rPr>
            <w:webHidden/>
          </w:rPr>
          <w:fldChar w:fldCharType="separate"/>
        </w:r>
        <w:r>
          <w:rPr>
            <w:webHidden/>
          </w:rPr>
          <w:t>8</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02" w:history="1">
        <w:r w:rsidR="008D0CE3" w:rsidRPr="00E91FBA">
          <w:rPr>
            <w:rStyle w:val="Hyperlink"/>
          </w:rPr>
          <w:t>3.2</w:t>
        </w:r>
        <w:r w:rsidR="008D0CE3">
          <w:rPr>
            <w:rFonts w:asciiTheme="minorHAnsi" w:eastAsiaTheme="minorEastAsia" w:hAnsiTheme="minorHAnsi"/>
            <w:b w:val="0"/>
            <w:color w:val="auto"/>
            <w:sz w:val="22"/>
            <w:lang w:eastAsia="en-AU"/>
          </w:rPr>
          <w:tab/>
        </w:r>
        <w:r w:rsidR="008D0CE3" w:rsidRPr="00E91FBA">
          <w:rPr>
            <w:rStyle w:val="Hyperlink"/>
          </w:rPr>
          <w:t>Information to be provided</w:t>
        </w:r>
        <w:r w:rsidR="008D0CE3">
          <w:rPr>
            <w:webHidden/>
          </w:rPr>
          <w:tab/>
        </w:r>
        <w:r w:rsidR="008D0CE3">
          <w:rPr>
            <w:webHidden/>
          </w:rPr>
          <w:fldChar w:fldCharType="begin"/>
        </w:r>
        <w:r w:rsidR="008D0CE3">
          <w:rPr>
            <w:webHidden/>
          </w:rPr>
          <w:instrText xml:space="preserve"> PAGEREF _Toc462138202 \h </w:instrText>
        </w:r>
        <w:r w:rsidR="008D0CE3">
          <w:rPr>
            <w:webHidden/>
          </w:rPr>
        </w:r>
        <w:r w:rsidR="008D0CE3">
          <w:rPr>
            <w:webHidden/>
          </w:rPr>
          <w:fldChar w:fldCharType="separate"/>
        </w:r>
        <w:r>
          <w:rPr>
            <w:webHidden/>
          </w:rPr>
          <w:t>8</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203" w:history="1">
        <w:r w:rsidR="008D0CE3" w:rsidRPr="00E91FBA">
          <w:rPr>
            <w:rStyle w:val="Hyperlink"/>
          </w:rPr>
          <w:t>3.2.1</w:t>
        </w:r>
        <w:r w:rsidR="008D0CE3">
          <w:rPr>
            <w:rFonts w:asciiTheme="minorHAnsi" w:eastAsiaTheme="minorEastAsia" w:hAnsiTheme="minorHAnsi"/>
            <w:lang w:eastAsia="en-AU"/>
          </w:rPr>
          <w:tab/>
        </w:r>
        <w:r w:rsidR="008D0CE3" w:rsidRPr="00E91FBA">
          <w:rPr>
            <w:rStyle w:val="Hyperlink"/>
          </w:rPr>
          <w:t>Information to be provided in a rebid reason</w:t>
        </w:r>
        <w:r w:rsidR="008D0CE3">
          <w:rPr>
            <w:webHidden/>
          </w:rPr>
          <w:tab/>
        </w:r>
        <w:r w:rsidR="008D0CE3">
          <w:rPr>
            <w:webHidden/>
          </w:rPr>
          <w:fldChar w:fldCharType="begin"/>
        </w:r>
        <w:r w:rsidR="008D0CE3">
          <w:rPr>
            <w:webHidden/>
          </w:rPr>
          <w:instrText xml:space="preserve"> PAGEREF _Toc462138203 \h </w:instrText>
        </w:r>
        <w:r w:rsidR="008D0CE3">
          <w:rPr>
            <w:webHidden/>
          </w:rPr>
        </w:r>
        <w:r w:rsidR="008D0CE3">
          <w:rPr>
            <w:webHidden/>
          </w:rPr>
          <w:fldChar w:fldCharType="separate"/>
        </w:r>
        <w:r>
          <w:rPr>
            <w:webHidden/>
          </w:rPr>
          <w:t>8</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204" w:history="1">
        <w:r w:rsidR="008D0CE3" w:rsidRPr="00E91FBA">
          <w:rPr>
            <w:rStyle w:val="Hyperlink"/>
          </w:rPr>
          <w:t>3.2.2</w:t>
        </w:r>
        <w:r w:rsidR="008D0CE3">
          <w:rPr>
            <w:rFonts w:asciiTheme="minorHAnsi" w:eastAsiaTheme="minorEastAsia" w:hAnsiTheme="minorHAnsi"/>
            <w:lang w:eastAsia="en-AU"/>
          </w:rPr>
          <w:tab/>
        </w:r>
        <w:r w:rsidR="008D0CE3" w:rsidRPr="00E91FBA">
          <w:rPr>
            <w:rStyle w:val="Hyperlink"/>
          </w:rPr>
          <w:t>Information to be included in a contemporaneous record</w:t>
        </w:r>
        <w:r w:rsidR="008D0CE3">
          <w:rPr>
            <w:webHidden/>
          </w:rPr>
          <w:tab/>
        </w:r>
        <w:r w:rsidR="008D0CE3">
          <w:rPr>
            <w:webHidden/>
          </w:rPr>
          <w:fldChar w:fldCharType="begin"/>
        </w:r>
        <w:r w:rsidR="008D0CE3">
          <w:rPr>
            <w:webHidden/>
          </w:rPr>
          <w:instrText xml:space="preserve"> PAGEREF _Toc462138204 \h </w:instrText>
        </w:r>
        <w:r w:rsidR="008D0CE3">
          <w:rPr>
            <w:webHidden/>
          </w:rPr>
        </w:r>
        <w:r w:rsidR="008D0CE3">
          <w:rPr>
            <w:webHidden/>
          </w:rPr>
          <w:fldChar w:fldCharType="separate"/>
        </w:r>
        <w:r>
          <w:rPr>
            <w:webHidden/>
          </w:rPr>
          <w:t>9</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05" w:history="1">
        <w:r w:rsidR="008D0CE3" w:rsidRPr="00E91FBA">
          <w:rPr>
            <w:rStyle w:val="Hyperlink"/>
          </w:rPr>
          <w:t>3.3</w:t>
        </w:r>
        <w:r w:rsidR="008D0CE3">
          <w:rPr>
            <w:rFonts w:asciiTheme="minorHAnsi" w:eastAsiaTheme="minorEastAsia" w:hAnsiTheme="minorHAnsi"/>
            <w:b w:val="0"/>
            <w:color w:val="auto"/>
            <w:sz w:val="22"/>
            <w:lang w:eastAsia="en-AU"/>
          </w:rPr>
          <w:tab/>
        </w:r>
        <w:r w:rsidR="008D0CE3" w:rsidRPr="00E91FBA">
          <w:rPr>
            <w:rStyle w:val="Hyperlink"/>
          </w:rPr>
          <w:t>Requirement to rebid as soon as practicable</w:t>
        </w:r>
        <w:r w:rsidR="008D0CE3">
          <w:rPr>
            <w:webHidden/>
          </w:rPr>
          <w:tab/>
        </w:r>
        <w:r w:rsidR="008D0CE3">
          <w:rPr>
            <w:webHidden/>
          </w:rPr>
          <w:fldChar w:fldCharType="begin"/>
        </w:r>
        <w:r w:rsidR="008D0CE3">
          <w:rPr>
            <w:webHidden/>
          </w:rPr>
          <w:instrText xml:space="preserve"> PAGEREF _Toc462138205 \h </w:instrText>
        </w:r>
        <w:r w:rsidR="008D0CE3">
          <w:rPr>
            <w:webHidden/>
          </w:rPr>
        </w:r>
        <w:r w:rsidR="008D0CE3">
          <w:rPr>
            <w:webHidden/>
          </w:rPr>
          <w:fldChar w:fldCharType="separate"/>
        </w:r>
        <w:r>
          <w:rPr>
            <w:webHidden/>
          </w:rPr>
          <w:t>9</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06" w:history="1">
        <w:r w:rsidR="008D0CE3" w:rsidRPr="00E91FBA">
          <w:rPr>
            <w:rStyle w:val="Hyperlink"/>
          </w:rPr>
          <w:t>3.4</w:t>
        </w:r>
        <w:r w:rsidR="008D0CE3">
          <w:rPr>
            <w:rFonts w:asciiTheme="minorHAnsi" w:eastAsiaTheme="minorEastAsia" w:hAnsiTheme="minorHAnsi"/>
            <w:b w:val="0"/>
            <w:color w:val="auto"/>
            <w:sz w:val="22"/>
            <w:lang w:eastAsia="en-AU"/>
          </w:rPr>
          <w:tab/>
        </w:r>
        <w:r w:rsidR="008D0CE3" w:rsidRPr="00E91FBA">
          <w:rPr>
            <w:rStyle w:val="Hyperlink"/>
          </w:rPr>
          <w:t>Form of rebid</w:t>
        </w:r>
        <w:r w:rsidR="008D0CE3">
          <w:rPr>
            <w:webHidden/>
          </w:rPr>
          <w:tab/>
        </w:r>
        <w:r w:rsidR="008D0CE3">
          <w:rPr>
            <w:webHidden/>
          </w:rPr>
          <w:fldChar w:fldCharType="begin"/>
        </w:r>
        <w:r w:rsidR="008D0CE3">
          <w:rPr>
            <w:webHidden/>
          </w:rPr>
          <w:instrText xml:space="preserve"> PAGEREF _Toc462138206 \h </w:instrText>
        </w:r>
        <w:r w:rsidR="008D0CE3">
          <w:rPr>
            <w:webHidden/>
          </w:rPr>
        </w:r>
        <w:r w:rsidR="008D0CE3">
          <w:rPr>
            <w:webHidden/>
          </w:rPr>
          <w:fldChar w:fldCharType="separate"/>
        </w:r>
        <w:r>
          <w:rPr>
            <w:webHidden/>
          </w:rPr>
          <w:t>10</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207" w:history="1">
        <w:r w:rsidR="008D0CE3" w:rsidRPr="00E91FBA">
          <w:rPr>
            <w:rStyle w:val="Hyperlink"/>
          </w:rPr>
          <w:t>4</w:t>
        </w:r>
        <w:r w:rsidR="008D0CE3">
          <w:rPr>
            <w:rFonts w:asciiTheme="minorHAnsi" w:eastAsiaTheme="minorEastAsia" w:hAnsiTheme="minorHAnsi"/>
            <w:b w:val="0"/>
            <w:color w:val="auto"/>
            <w:sz w:val="22"/>
            <w:lang w:val="en-AU" w:eastAsia="en-AU"/>
          </w:rPr>
          <w:tab/>
        </w:r>
        <w:r w:rsidR="008D0CE3" w:rsidRPr="00E91FBA">
          <w:rPr>
            <w:rStyle w:val="Hyperlink"/>
          </w:rPr>
          <w:t>Supervisory control and data acquisition (SCADA) inputs</w:t>
        </w:r>
        <w:r w:rsidR="008D0CE3">
          <w:rPr>
            <w:webHidden/>
          </w:rPr>
          <w:tab/>
        </w:r>
        <w:r w:rsidR="008D0CE3">
          <w:rPr>
            <w:webHidden/>
          </w:rPr>
          <w:fldChar w:fldCharType="begin"/>
        </w:r>
        <w:r w:rsidR="008D0CE3">
          <w:rPr>
            <w:webHidden/>
          </w:rPr>
          <w:instrText xml:space="preserve"> PAGEREF _Toc462138207 \h </w:instrText>
        </w:r>
        <w:r w:rsidR="008D0CE3">
          <w:rPr>
            <w:webHidden/>
          </w:rPr>
        </w:r>
        <w:r w:rsidR="008D0CE3">
          <w:rPr>
            <w:webHidden/>
          </w:rPr>
          <w:fldChar w:fldCharType="separate"/>
        </w:r>
        <w:r>
          <w:rPr>
            <w:webHidden/>
          </w:rPr>
          <w:t>11</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208" w:history="1">
        <w:r w:rsidR="008D0CE3" w:rsidRPr="00E91FBA">
          <w:rPr>
            <w:rStyle w:val="Hyperlink"/>
          </w:rPr>
          <w:t>5</w:t>
        </w:r>
        <w:r w:rsidR="008D0CE3">
          <w:rPr>
            <w:rFonts w:asciiTheme="minorHAnsi" w:eastAsiaTheme="minorEastAsia" w:hAnsiTheme="minorHAnsi"/>
            <w:b w:val="0"/>
            <w:color w:val="auto"/>
            <w:sz w:val="22"/>
            <w:lang w:val="en-AU" w:eastAsia="en-AU"/>
          </w:rPr>
          <w:tab/>
        </w:r>
        <w:r w:rsidR="008D0CE3" w:rsidRPr="00E91FBA">
          <w:rPr>
            <w:rStyle w:val="Hyperlink"/>
          </w:rPr>
          <w:t>Information requests by the AER</w:t>
        </w:r>
        <w:r w:rsidR="008D0CE3">
          <w:rPr>
            <w:webHidden/>
          </w:rPr>
          <w:tab/>
        </w:r>
        <w:r w:rsidR="008D0CE3">
          <w:rPr>
            <w:webHidden/>
          </w:rPr>
          <w:fldChar w:fldCharType="begin"/>
        </w:r>
        <w:r w:rsidR="008D0CE3">
          <w:rPr>
            <w:webHidden/>
          </w:rPr>
          <w:instrText xml:space="preserve"> PAGEREF _Toc462138208 \h </w:instrText>
        </w:r>
        <w:r w:rsidR="008D0CE3">
          <w:rPr>
            <w:webHidden/>
          </w:rPr>
        </w:r>
        <w:r w:rsidR="008D0CE3">
          <w:rPr>
            <w:webHidden/>
          </w:rPr>
          <w:fldChar w:fldCharType="separate"/>
        </w:r>
        <w:r>
          <w:rPr>
            <w:webHidden/>
          </w:rPr>
          <w:t>12</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09" w:history="1">
        <w:r w:rsidR="008D0CE3" w:rsidRPr="00E91FBA">
          <w:rPr>
            <w:rStyle w:val="Hyperlink"/>
          </w:rPr>
          <w:t>5.1</w:t>
        </w:r>
        <w:r w:rsidR="008D0CE3">
          <w:rPr>
            <w:rFonts w:asciiTheme="minorHAnsi" w:eastAsiaTheme="minorEastAsia" w:hAnsiTheme="minorHAnsi"/>
            <w:b w:val="0"/>
            <w:color w:val="auto"/>
            <w:sz w:val="22"/>
            <w:lang w:eastAsia="en-AU"/>
          </w:rPr>
          <w:tab/>
        </w:r>
        <w:r w:rsidR="008D0CE3" w:rsidRPr="00E91FBA">
          <w:rPr>
            <w:rStyle w:val="Hyperlink"/>
          </w:rPr>
          <w:t>Overview of requirements</w:t>
        </w:r>
        <w:r w:rsidR="008D0CE3">
          <w:rPr>
            <w:webHidden/>
          </w:rPr>
          <w:tab/>
        </w:r>
        <w:r w:rsidR="008D0CE3">
          <w:rPr>
            <w:webHidden/>
          </w:rPr>
          <w:fldChar w:fldCharType="begin"/>
        </w:r>
        <w:r w:rsidR="008D0CE3">
          <w:rPr>
            <w:webHidden/>
          </w:rPr>
          <w:instrText xml:space="preserve"> PAGEREF _Toc462138209 \h </w:instrText>
        </w:r>
        <w:r w:rsidR="008D0CE3">
          <w:rPr>
            <w:webHidden/>
          </w:rPr>
        </w:r>
        <w:r w:rsidR="008D0CE3">
          <w:rPr>
            <w:webHidden/>
          </w:rPr>
          <w:fldChar w:fldCharType="separate"/>
        </w:r>
        <w:r>
          <w:rPr>
            <w:webHidden/>
          </w:rPr>
          <w:t>12</w:t>
        </w:r>
        <w:r w:rsidR="008D0CE3">
          <w:rPr>
            <w:webHidden/>
          </w:rPr>
          <w:fldChar w:fldCharType="end"/>
        </w:r>
      </w:hyperlink>
    </w:p>
    <w:p w:rsidR="008D0CE3" w:rsidRDefault="001D523A">
      <w:pPr>
        <w:pStyle w:val="TOC2"/>
        <w:rPr>
          <w:rFonts w:asciiTheme="minorHAnsi" w:eastAsiaTheme="minorEastAsia" w:hAnsiTheme="minorHAnsi"/>
          <w:b w:val="0"/>
          <w:color w:val="auto"/>
          <w:sz w:val="22"/>
          <w:lang w:eastAsia="en-AU"/>
        </w:rPr>
      </w:pPr>
      <w:hyperlink w:anchor="_Toc462138210" w:history="1">
        <w:r w:rsidR="008D0CE3" w:rsidRPr="00E91FBA">
          <w:rPr>
            <w:rStyle w:val="Hyperlink"/>
          </w:rPr>
          <w:t>5.2</w:t>
        </w:r>
        <w:r w:rsidR="008D0CE3">
          <w:rPr>
            <w:rFonts w:asciiTheme="minorHAnsi" w:eastAsiaTheme="minorEastAsia" w:hAnsiTheme="minorHAnsi"/>
            <w:b w:val="0"/>
            <w:color w:val="auto"/>
            <w:sz w:val="22"/>
            <w:lang w:eastAsia="en-AU"/>
          </w:rPr>
          <w:tab/>
        </w:r>
        <w:r w:rsidR="008D0CE3" w:rsidRPr="00E91FBA">
          <w:rPr>
            <w:rStyle w:val="Hyperlink"/>
          </w:rPr>
          <w:t>Procedure for requesting further information</w:t>
        </w:r>
        <w:r w:rsidR="008D0CE3">
          <w:rPr>
            <w:webHidden/>
          </w:rPr>
          <w:tab/>
        </w:r>
        <w:r w:rsidR="008D0CE3">
          <w:rPr>
            <w:webHidden/>
          </w:rPr>
          <w:fldChar w:fldCharType="begin"/>
        </w:r>
        <w:r w:rsidR="008D0CE3">
          <w:rPr>
            <w:webHidden/>
          </w:rPr>
          <w:instrText xml:space="preserve"> PAGEREF _Toc462138210 \h </w:instrText>
        </w:r>
        <w:r w:rsidR="008D0CE3">
          <w:rPr>
            <w:webHidden/>
          </w:rPr>
        </w:r>
        <w:r w:rsidR="008D0CE3">
          <w:rPr>
            <w:webHidden/>
          </w:rPr>
          <w:fldChar w:fldCharType="separate"/>
        </w:r>
        <w:r>
          <w:rPr>
            <w:webHidden/>
          </w:rPr>
          <w:t>12</w:t>
        </w:r>
        <w:r w:rsidR="008D0CE3">
          <w:rPr>
            <w:webHidden/>
          </w:rPr>
          <w:fldChar w:fldCharType="end"/>
        </w:r>
      </w:hyperlink>
    </w:p>
    <w:p w:rsidR="008D0CE3" w:rsidRDefault="001D523A">
      <w:pPr>
        <w:pStyle w:val="TOC3"/>
        <w:rPr>
          <w:rFonts w:asciiTheme="minorHAnsi" w:eastAsiaTheme="minorEastAsia" w:hAnsiTheme="minorHAnsi"/>
          <w:lang w:eastAsia="en-AU"/>
        </w:rPr>
      </w:pPr>
      <w:hyperlink w:anchor="_Toc462138211" w:history="1">
        <w:r w:rsidR="008D0CE3" w:rsidRPr="00E91FBA">
          <w:rPr>
            <w:rStyle w:val="Hyperlink"/>
          </w:rPr>
          <w:t>5.2.1</w:t>
        </w:r>
        <w:r w:rsidR="008D0CE3">
          <w:rPr>
            <w:rFonts w:asciiTheme="minorHAnsi" w:eastAsiaTheme="minorEastAsia" w:hAnsiTheme="minorHAnsi"/>
            <w:lang w:eastAsia="en-AU"/>
          </w:rPr>
          <w:tab/>
        </w:r>
        <w:r w:rsidR="008D0CE3" w:rsidRPr="00E91FBA">
          <w:rPr>
            <w:rStyle w:val="Hyperlink"/>
          </w:rPr>
          <w:t>Contemporaneous records</w:t>
        </w:r>
        <w:r w:rsidR="008D0CE3">
          <w:rPr>
            <w:webHidden/>
          </w:rPr>
          <w:tab/>
        </w:r>
        <w:r w:rsidR="008D0CE3">
          <w:rPr>
            <w:webHidden/>
          </w:rPr>
          <w:fldChar w:fldCharType="begin"/>
        </w:r>
        <w:r w:rsidR="008D0CE3">
          <w:rPr>
            <w:webHidden/>
          </w:rPr>
          <w:instrText xml:space="preserve"> PAGEREF _Toc462138211 \h </w:instrText>
        </w:r>
        <w:r w:rsidR="008D0CE3">
          <w:rPr>
            <w:webHidden/>
          </w:rPr>
        </w:r>
        <w:r w:rsidR="008D0CE3">
          <w:rPr>
            <w:webHidden/>
          </w:rPr>
          <w:fldChar w:fldCharType="separate"/>
        </w:r>
        <w:r>
          <w:rPr>
            <w:webHidden/>
          </w:rPr>
          <w:t>12</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212" w:history="1">
        <w:r w:rsidR="008D0CE3" w:rsidRPr="00E91FBA">
          <w:rPr>
            <w:rStyle w:val="Hyperlink"/>
          </w:rPr>
          <w:t>6</w:t>
        </w:r>
        <w:r w:rsidR="008D0CE3">
          <w:rPr>
            <w:rFonts w:asciiTheme="minorHAnsi" w:eastAsiaTheme="minorEastAsia" w:hAnsiTheme="minorHAnsi"/>
            <w:b w:val="0"/>
            <w:color w:val="auto"/>
            <w:sz w:val="22"/>
            <w:lang w:val="en-AU" w:eastAsia="en-AU"/>
          </w:rPr>
          <w:tab/>
        </w:r>
        <w:r w:rsidR="008D0CE3" w:rsidRPr="00E91FBA">
          <w:rPr>
            <w:rStyle w:val="Hyperlink"/>
          </w:rPr>
          <w:t>Information provided to AEMO in error</w:t>
        </w:r>
        <w:r w:rsidR="008D0CE3">
          <w:rPr>
            <w:webHidden/>
          </w:rPr>
          <w:tab/>
        </w:r>
        <w:r w:rsidR="008D0CE3">
          <w:rPr>
            <w:webHidden/>
          </w:rPr>
          <w:fldChar w:fldCharType="begin"/>
        </w:r>
        <w:r w:rsidR="008D0CE3">
          <w:rPr>
            <w:webHidden/>
          </w:rPr>
          <w:instrText xml:space="preserve"> PAGEREF _Toc462138212 \h </w:instrText>
        </w:r>
        <w:r w:rsidR="008D0CE3">
          <w:rPr>
            <w:webHidden/>
          </w:rPr>
        </w:r>
        <w:r w:rsidR="008D0CE3">
          <w:rPr>
            <w:webHidden/>
          </w:rPr>
          <w:fldChar w:fldCharType="separate"/>
        </w:r>
        <w:r>
          <w:rPr>
            <w:webHidden/>
          </w:rPr>
          <w:t>13</w:t>
        </w:r>
        <w:r w:rsidR="008D0CE3">
          <w:rPr>
            <w:webHidden/>
          </w:rPr>
          <w:fldChar w:fldCharType="end"/>
        </w:r>
      </w:hyperlink>
    </w:p>
    <w:p w:rsidR="008D0CE3" w:rsidRDefault="001D523A">
      <w:pPr>
        <w:pStyle w:val="TOC1"/>
        <w:rPr>
          <w:rFonts w:asciiTheme="minorHAnsi" w:eastAsiaTheme="minorEastAsia" w:hAnsiTheme="minorHAnsi"/>
          <w:b w:val="0"/>
          <w:color w:val="auto"/>
          <w:sz w:val="22"/>
          <w:lang w:val="en-AU" w:eastAsia="en-AU"/>
        </w:rPr>
      </w:pPr>
      <w:hyperlink w:anchor="_Toc462138213" w:history="1">
        <w:r w:rsidR="008D0CE3" w:rsidRPr="00E91FBA">
          <w:rPr>
            <w:rStyle w:val="Hyperlink"/>
          </w:rPr>
          <w:t>7</w:t>
        </w:r>
        <w:r w:rsidR="008D0CE3">
          <w:rPr>
            <w:rFonts w:asciiTheme="minorHAnsi" w:eastAsiaTheme="minorEastAsia" w:hAnsiTheme="minorHAnsi"/>
            <w:b w:val="0"/>
            <w:color w:val="auto"/>
            <w:sz w:val="22"/>
            <w:lang w:val="en-AU" w:eastAsia="en-AU"/>
          </w:rPr>
          <w:tab/>
        </w:r>
        <w:r w:rsidR="008D0CE3" w:rsidRPr="00E91FBA">
          <w:rPr>
            <w:rStyle w:val="Hyperlink"/>
          </w:rPr>
          <w:t>AER’s procedures for handling confidential information claims</w:t>
        </w:r>
        <w:r w:rsidR="008D0CE3">
          <w:rPr>
            <w:webHidden/>
          </w:rPr>
          <w:tab/>
        </w:r>
        <w:r w:rsidR="008D0CE3">
          <w:rPr>
            <w:webHidden/>
          </w:rPr>
          <w:fldChar w:fldCharType="begin"/>
        </w:r>
        <w:r w:rsidR="008D0CE3">
          <w:rPr>
            <w:webHidden/>
          </w:rPr>
          <w:instrText xml:space="preserve"> PAGEREF _Toc462138213 \h </w:instrText>
        </w:r>
        <w:r w:rsidR="008D0CE3">
          <w:rPr>
            <w:webHidden/>
          </w:rPr>
        </w:r>
        <w:r w:rsidR="008D0CE3">
          <w:rPr>
            <w:webHidden/>
          </w:rPr>
          <w:fldChar w:fldCharType="separate"/>
        </w:r>
        <w:r>
          <w:rPr>
            <w:webHidden/>
          </w:rPr>
          <w:t>14</w:t>
        </w:r>
        <w:r w:rsidR="008D0CE3">
          <w:rPr>
            <w:webHidden/>
          </w:rPr>
          <w:fldChar w:fldCharType="end"/>
        </w:r>
      </w:hyperlink>
    </w:p>
    <w:p w:rsidR="0020492C" w:rsidRDefault="00A75077" w:rsidP="0020492C">
      <w:r>
        <w:fldChar w:fldCharType="end"/>
      </w:r>
      <w:r w:rsidR="0020492C">
        <w:tab/>
      </w:r>
      <w:bookmarkStart w:id="0" w:name="_Toc213047617"/>
    </w:p>
    <w:p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4D1968" w:rsidRDefault="004D1968" w:rsidP="004D1968">
      <w:pPr>
        <w:pStyle w:val="Heading1"/>
      </w:pPr>
      <w:bookmarkStart w:id="1" w:name="_Toc462138184"/>
      <w:bookmarkEnd w:id="0"/>
      <w:r>
        <w:lastRenderedPageBreak/>
        <w:t>Overview</w:t>
      </w:r>
      <w:bookmarkEnd w:id="1"/>
    </w:p>
    <w:p w:rsidR="00FF1E33" w:rsidRDefault="00FF1E33" w:rsidP="00FF1E33">
      <w:r w:rsidRPr="00636C65">
        <w:t xml:space="preserve">The information in this </w:t>
      </w:r>
      <w:r w:rsidR="00FF79AB">
        <w:t>g</w:t>
      </w:r>
      <w:r>
        <w:t>uideline</w:t>
      </w:r>
      <w:r w:rsidRPr="00636C65">
        <w:t xml:space="preserve"> is for general guidance only. It does not constitute legal or other professional advice, and should not be relied on as a statement of the</w:t>
      </w:r>
      <w:bookmarkStart w:id="2" w:name="_GoBack"/>
      <w:bookmarkEnd w:id="2"/>
      <w:r w:rsidRPr="00636C65">
        <w:t xml:space="preserve"> law in any jurisdiction. Because it is intended only as a general guide, it may contain generalisations. </w:t>
      </w:r>
      <w:r w:rsidRPr="00E54633">
        <w:rPr>
          <w:rStyle w:val="Emphasis"/>
        </w:rPr>
        <w:t xml:space="preserve">Relevant </w:t>
      </w:r>
      <w:r w:rsidR="00FF79AB">
        <w:rPr>
          <w:rStyle w:val="Emphasis"/>
        </w:rPr>
        <w:t>p</w:t>
      </w:r>
      <w:r w:rsidRPr="00E54633">
        <w:rPr>
          <w:rStyle w:val="Emphasis"/>
        </w:rPr>
        <w:t>articipants</w:t>
      </w:r>
      <w:r>
        <w:t xml:space="preserve"> </w:t>
      </w:r>
      <w:r w:rsidRPr="00636C65">
        <w:t xml:space="preserve">should obtain professional advice </w:t>
      </w:r>
      <w:r>
        <w:t>for</w:t>
      </w:r>
      <w:r w:rsidRPr="00636C65">
        <w:t xml:space="preserve"> specific concern</w:t>
      </w:r>
      <w:r>
        <w:t>s</w:t>
      </w:r>
      <w:r w:rsidRPr="00636C65">
        <w:t>.</w:t>
      </w:r>
    </w:p>
    <w:p w:rsidR="004D1968" w:rsidRDefault="004D1968" w:rsidP="004D1968">
      <w:pPr>
        <w:pStyle w:val="Heading2"/>
      </w:pPr>
      <w:bookmarkStart w:id="3" w:name="_Toc462138185"/>
      <w:r>
        <w:t xml:space="preserve">Purpose of this </w:t>
      </w:r>
      <w:r w:rsidR="00DA0C2B">
        <w:t>g</w:t>
      </w:r>
      <w:r>
        <w:t>uideline</w:t>
      </w:r>
      <w:bookmarkEnd w:id="3"/>
    </w:p>
    <w:p w:rsidR="00806348" w:rsidRDefault="00806348" w:rsidP="00564882">
      <w:r w:rsidRPr="00806348">
        <w:t>The Australian Energy Regulator (AER) aims to work with National Electricity Market (NEM) participants</w:t>
      </w:r>
      <w:r w:rsidR="008D157A">
        <w:t xml:space="preserve"> to maximise their compliance with </w:t>
      </w:r>
      <w:r w:rsidRPr="00806348">
        <w:t>their obligations under the national energy framework</w:t>
      </w:r>
      <w:r w:rsidR="008D1173">
        <w:t>.</w:t>
      </w:r>
      <w:r w:rsidRPr="00806348">
        <w:t xml:space="preserve"> The purpose of this </w:t>
      </w:r>
      <w:r w:rsidR="00FF79AB">
        <w:t>g</w:t>
      </w:r>
      <w:r>
        <w:t xml:space="preserve">uideline </w:t>
      </w:r>
      <w:r w:rsidRPr="00806348">
        <w:t xml:space="preserve">is to inform </w:t>
      </w:r>
      <w:r w:rsidR="00FF79AB">
        <w:rPr>
          <w:rStyle w:val="Emphasis"/>
        </w:rPr>
        <w:t>relevant</w:t>
      </w:r>
      <w:r w:rsidRPr="00C94175">
        <w:rPr>
          <w:rStyle w:val="Emphasis"/>
        </w:rPr>
        <w:t xml:space="preserve"> participants</w:t>
      </w:r>
      <w:r w:rsidRPr="00806348">
        <w:t xml:space="preserve"> of our approach</w:t>
      </w:r>
      <w:r w:rsidR="003400F0">
        <w:t xml:space="preserve"> to the relevant obligations, including </w:t>
      </w:r>
      <w:r w:rsidRPr="00806348">
        <w:t xml:space="preserve">monitoring and enforcing compliance with the National Electricity Rules (Rules) regarding </w:t>
      </w:r>
      <w:r>
        <w:t>rebidding and technical parameters</w:t>
      </w:r>
      <w:r w:rsidR="00A01A99">
        <w:t xml:space="preserve"> obligations</w:t>
      </w:r>
      <w:r>
        <w:t xml:space="preserve">. </w:t>
      </w:r>
    </w:p>
    <w:p w:rsidR="00FA49AE" w:rsidRDefault="00564882" w:rsidP="00564882">
      <w:r w:rsidRPr="00330F18">
        <w:t xml:space="preserve">The efficient and secure operation of the </w:t>
      </w:r>
      <w:r w:rsidRPr="00564882">
        <w:t>NEM</w:t>
      </w:r>
      <w:r w:rsidRPr="00330F18">
        <w:t xml:space="preserve"> </w:t>
      </w:r>
      <w:r w:rsidR="0039550F">
        <w:t>depends</w:t>
      </w:r>
      <w:r w:rsidRPr="00330F18">
        <w:t xml:space="preserve"> on the ability to instantaneously match supply and demand of electricity. </w:t>
      </w:r>
      <w:r>
        <w:t xml:space="preserve">At the same time, the NEM is a dynamic market, where </w:t>
      </w:r>
      <w:r w:rsidRPr="00C94175">
        <w:rPr>
          <w:rStyle w:val="Emphasis"/>
        </w:rPr>
        <w:t>Scheduled Generators</w:t>
      </w:r>
      <w:r w:rsidRPr="00F27644">
        <w:t xml:space="preserve">, </w:t>
      </w:r>
      <w:r w:rsidRPr="00BC5C48">
        <w:rPr>
          <w:rStyle w:val="Emphasis"/>
        </w:rPr>
        <w:t>Semi-Scheduled</w:t>
      </w:r>
      <w:r w:rsidR="0039550F" w:rsidRPr="00BC5C48">
        <w:rPr>
          <w:rStyle w:val="Emphasis"/>
        </w:rPr>
        <w:t> </w:t>
      </w:r>
      <w:r w:rsidRPr="00BC5C48">
        <w:rPr>
          <w:rStyle w:val="Emphasis"/>
        </w:rPr>
        <w:t>Generators</w:t>
      </w:r>
      <w:r w:rsidRPr="00F27644">
        <w:t xml:space="preserve"> or </w:t>
      </w:r>
      <w:r w:rsidRPr="00BC5C48">
        <w:rPr>
          <w:rStyle w:val="Emphasis"/>
        </w:rPr>
        <w:t>Market</w:t>
      </w:r>
      <w:r w:rsidR="00BC5C48" w:rsidRPr="00BC5C48">
        <w:rPr>
          <w:rStyle w:val="Emphasis"/>
        </w:rPr>
        <w:t> </w:t>
      </w:r>
      <w:r w:rsidRPr="00BC5C48">
        <w:rPr>
          <w:rStyle w:val="Emphasis"/>
        </w:rPr>
        <w:t>Participants</w:t>
      </w:r>
      <w:r>
        <w:t xml:space="preserve"> (</w:t>
      </w:r>
      <w:r w:rsidRPr="00927BB6">
        <w:rPr>
          <w:rStyle w:val="Emphasis"/>
        </w:rPr>
        <w:t>relevant participants</w:t>
      </w:r>
      <w:r w:rsidRPr="00564882">
        <w:t>)</w:t>
      </w:r>
      <w:r>
        <w:t xml:space="preserve"> are able to adjust their offers to reflect changing events, or in response to changing market conditions.</w:t>
      </w:r>
      <w:r w:rsidRPr="00281EA8">
        <w:t xml:space="preserve"> </w:t>
      </w:r>
      <w:r>
        <w:t>T</w:t>
      </w:r>
      <w:r w:rsidRPr="00330F18">
        <w:t>he</w:t>
      </w:r>
      <w:r>
        <w:t>se arrangements are designed to</w:t>
      </w:r>
      <w:r w:rsidRPr="00330F18">
        <w:t xml:space="preserve"> </w:t>
      </w:r>
      <w:r>
        <w:t>ensure system security can be maintained, while still permitting adjustments to offers subject to certain requirements</w:t>
      </w:r>
      <w:r w:rsidRPr="00564882">
        <w:t xml:space="preserve"> </w:t>
      </w:r>
      <w:r>
        <w:t xml:space="preserve">prescribed under the Rules. </w:t>
      </w:r>
    </w:p>
    <w:p w:rsidR="00564882" w:rsidRDefault="00564882" w:rsidP="00564882">
      <w:r>
        <w:t>The Rules require that if a</w:t>
      </w:r>
      <w:r w:rsidR="0039550F">
        <w:t xml:space="preserve"> </w:t>
      </w:r>
      <w:r w:rsidR="0039550F" w:rsidRPr="00C94175">
        <w:rPr>
          <w:rStyle w:val="Emphasis"/>
        </w:rPr>
        <w:t>bid</w:t>
      </w:r>
      <w:r w:rsidR="0039550F">
        <w:t xml:space="preserve"> or</w:t>
      </w:r>
      <w:r>
        <w:t xml:space="preserve"> </w:t>
      </w:r>
      <w:r w:rsidRPr="00C94175">
        <w:rPr>
          <w:rStyle w:val="Emphasis"/>
        </w:rPr>
        <w:t>offer</w:t>
      </w:r>
      <w:r>
        <w:t xml:space="preserve"> is amended through a </w:t>
      </w:r>
      <w:r w:rsidRPr="00C94175">
        <w:rPr>
          <w:rStyle w:val="Emphasis"/>
        </w:rPr>
        <w:t>rebid</w:t>
      </w:r>
      <w:r>
        <w:t xml:space="preserve">, a brief, verifiable and specific reason must be provided to the Australian Energy Market Operator </w:t>
      </w:r>
      <w:r w:rsidR="000279C6">
        <w:t>(</w:t>
      </w:r>
      <w:r w:rsidR="000279C6" w:rsidRPr="00564882">
        <w:t>AEMO</w:t>
      </w:r>
      <w:r w:rsidR="000279C6">
        <w:t>)</w:t>
      </w:r>
      <w:r>
        <w:t xml:space="preserve">. The reason provided </w:t>
      </w:r>
      <w:r w:rsidR="003400F0">
        <w:t xml:space="preserve">will be </w:t>
      </w:r>
      <w:r w:rsidR="000279C6">
        <w:t xml:space="preserve">reviewed </w:t>
      </w:r>
      <w:r w:rsidR="003400F0">
        <w:t xml:space="preserve">by the AER, and </w:t>
      </w:r>
      <w:r w:rsidR="000279C6">
        <w:t>assist</w:t>
      </w:r>
      <w:r w:rsidR="00986E16">
        <w:t>s</w:t>
      </w:r>
      <w:r w:rsidR="000279C6">
        <w:t xml:space="preserve"> </w:t>
      </w:r>
      <w:r w:rsidR="003400F0">
        <w:t xml:space="preserve">us </w:t>
      </w:r>
      <w:r>
        <w:t>to assess compliance with specific clauses of the Rules</w:t>
      </w:r>
      <w:r w:rsidR="003400F0">
        <w:t xml:space="preserve">. </w:t>
      </w:r>
    </w:p>
    <w:p w:rsidR="006D12E7" w:rsidRDefault="003F4F49" w:rsidP="00564882">
      <w:r>
        <w:rPr>
          <w:rStyle w:val="Emphasis"/>
        </w:rPr>
        <w:t xml:space="preserve">Relevant </w:t>
      </w:r>
      <w:r w:rsidR="00FF79AB">
        <w:rPr>
          <w:rStyle w:val="Emphasis"/>
        </w:rPr>
        <w:t>p</w:t>
      </w:r>
      <w:r w:rsidR="00564882" w:rsidRPr="00FD4ED2">
        <w:rPr>
          <w:rStyle w:val="Emphasis"/>
        </w:rPr>
        <w:t>articipants</w:t>
      </w:r>
      <w:r w:rsidR="00564882">
        <w:t xml:space="preserve"> can also limit, amend or rebid their </w:t>
      </w:r>
      <w:r w:rsidR="00564882" w:rsidRPr="00C94175">
        <w:rPr>
          <w:rStyle w:val="Emphasis"/>
        </w:rPr>
        <w:t>offers</w:t>
      </w:r>
      <w:r w:rsidR="00564882">
        <w:t xml:space="preserve"> on the basis of the physical or technical capabilities of their plant (technical parameters). The ability to make offers in this way is necessary to </w:t>
      </w:r>
      <w:r w:rsidR="00785BAB">
        <w:t xml:space="preserve">ensure the </w:t>
      </w:r>
      <w:r w:rsidR="00564882">
        <w:t xml:space="preserve">plant </w:t>
      </w:r>
      <w:r w:rsidR="00785BAB">
        <w:t>is operated safely</w:t>
      </w:r>
      <w:r w:rsidR="006D2146">
        <w:t>.</w:t>
      </w:r>
      <w:r w:rsidR="00785BAB">
        <w:t xml:space="preserve"> </w:t>
      </w:r>
    </w:p>
    <w:p w:rsidR="00564882" w:rsidRDefault="00564882" w:rsidP="00564882">
      <w:r>
        <w:t xml:space="preserve">Specifically, this </w:t>
      </w:r>
      <w:r w:rsidR="00FF79AB">
        <w:t>g</w:t>
      </w:r>
      <w:r w:rsidRPr="00F27644">
        <w:t xml:space="preserve">uideline </w:t>
      </w:r>
      <w:r>
        <w:t>is</w:t>
      </w:r>
      <w:r w:rsidRPr="00F27644">
        <w:t xml:space="preserve"> issued pursuant</w:t>
      </w:r>
      <w:r>
        <w:t xml:space="preserve"> to </w:t>
      </w:r>
      <w:r w:rsidR="00E644FA">
        <w:t xml:space="preserve">Rules </w:t>
      </w:r>
      <w:r>
        <w:t>clauses:</w:t>
      </w:r>
    </w:p>
    <w:p w:rsidR="00564882" w:rsidRPr="00564882" w:rsidRDefault="00564882" w:rsidP="00564882">
      <w:pPr>
        <w:pStyle w:val="Bulletpoint"/>
      </w:pPr>
      <w:proofErr w:type="gramStart"/>
      <w:r>
        <w:t>3.8.3A(</w:t>
      </w:r>
      <w:proofErr w:type="gramEnd"/>
      <w:r w:rsidR="00C37597">
        <w:t>f</w:t>
      </w:r>
      <w:r>
        <w:t>)</w:t>
      </w:r>
      <w:r w:rsidR="00FF1E33">
        <w:t xml:space="preserve"> and (g)</w:t>
      </w:r>
      <w:r>
        <w:t xml:space="preserve"> in respect of provision of ramp rates to </w:t>
      </w:r>
      <w:r w:rsidRPr="00564882">
        <w:t>AEMO</w:t>
      </w:r>
      <w:r w:rsidR="00986E16">
        <w:t>.</w:t>
      </w:r>
    </w:p>
    <w:p w:rsidR="00564882" w:rsidRDefault="00564882" w:rsidP="00564882">
      <w:pPr>
        <w:pStyle w:val="Bulletpoint"/>
      </w:pPr>
      <w:r>
        <w:t>3.8.19(b</w:t>
      </w:r>
      <w:proofErr w:type="gramStart"/>
      <w:r>
        <w:t>)(</w:t>
      </w:r>
      <w:proofErr w:type="gramEnd"/>
      <w:r>
        <w:t>2) in respect of dispatch inflexibilities</w:t>
      </w:r>
      <w:r w:rsidR="00986E16">
        <w:t>.</w:t>
      </w:r>
    </w:p>
    <w:p w:rsidR="00564882" w:rsidRDefault="00564882" w:rsidP="00564882">
      <w:pPr>
        <w:pStyle w:val="Bulletpoint"/>
      </w:pPr>
      <w:r>
        <w:t>3.8.22(c</w:t>
      </w:r>
      <w:proofErr w:type="gramStart"/>
      <w:r>
        <w:t>)(</w:t>
      </w:r>
      <w:proofErr w:type="gramEnd"/>
      <w:r>
        <w:t>3) in respect of rebidding.</w:t>
      </w:r>
    </w:p>
    <w:p w:rsidR="00316C22" w:rsidRDefault="00316C22">
      <w:pPr>
        <w:spacing w:line="240" w:lineRule="auto"/>
        <w:rPr>
          <w:rFonts w:eastAsiaTheme="majorEastAsia" w:cstheme="majorBidi"/>
          <w:b/>
          <w:bCs/>
          <w:color w:val="70635A" w:themeColor="text2"/>
          <w:sz w:val="32"/>
          <w:szCs w:val="26"/>
        </w:rPr>
      </w:pPr>
      <w:r>
        <w:br w:type="page"/>
      </w:r>
    </w:p>
    <w:p w:rsidR="00DD1DF1" w:rsidRDefault="006E4A69" w:rsidP="003744C4">
      <w:pPr>
        <w:pStyle w:val="Heading2"/>
      </w:pPr>
      <w:bookmarkStart w:id="4" w:name="_Toc462138186"/>
      <w:r>
        <w:lastRenderedPageBreak/>
        <w:t>Roles and functions</w:t>
      </w:r>
      <w:r w:rsidR="00DD1DF1">
        <w:t xml:space="preserve"> of the AER</w:t>
      </w:r>
      <w:bookmarkEnd w:id="4"/>
    </w:p>
    <w:p w:rsidR="006E4A69" w:rsidRPr="006E4A69" w:rsidRDefault="006E4A69" w:rsidP="006E4A69">
      <w:r w:rsidRPr="006E4A69">
        <w:t>The AER has functions and powers which include:</w:t>
      </w:r>
      <w:r w:rsidR="008A096A">
        <w:rPr>
          <w:rStyle w:val="FootnoteReference"/>
        </w:rPr>
        <w:footnoteReference w:id="2"/>
      </w:r>
      <w:r w:rsidRPr="006E4A69">
        <w:t xml:space="preserve"> </w:t>
      </w:r>
    </w:p>
    <w:p w:rsidR="006E4A69" w:rsidRPr="006E4A69" w:rsidRDefault="006E4A69" w:rsidP="003744C4">
      <w:pPr>
        <w:pStyle w:val="Bulletpoint"/>
      </w:pPr>
      <w:r w:rsidRPr="006E4A69">
        <w:t xml:space="preserve">Monitoring compliance with the National Electricity Law (Law) and the Rules. </w:t>
      </w:r>
    </w:p>
    <w:p w:rsidR="006E4A69" w:rsidRPr="006E4A69" w:rsidRDefault="006E4A69" w:rsidP="003744C4">
      <w:pPr>
        <w:pStyle w:val="Bulletpoint"/>
      </w:pPr>
      <w:r w:rsidRPr="006E4A69">
        <w:t xml:space="preserve">Investigating breaches or possible breaches of the Law and the Rules. </w:t>
      </w:r>
    </w:p>
    <w:p w:rsidR="006E4A69" w:rsidRPr="006E4A69" w:rsidRDefault="006E4A69" w:rsidP="003744C4">
      <w:pPr>
        <w:pStyle w:val="Bulletpoint"/>
      </w:pPr>
      <w:r w:rsidRPr="006E4A69">
        <w:t xml:space="preserve">Instituting and conducting proceedings in relation to breaches and appeals from decisions in those proceedings. </w:t>
      </w:r>
    </w:p>
    <w:p w:rsidR="008A096A" w:rsidRDefault="008A096A">
      <w:r>
        <w:t>In exercising these functions and powers we aim to ensure that:</w:t>
      </w:r>
    </w:p>
    <w:p w:rsidR="008A096A" w:rsidRDefault="008A096A" w:rsidP="003744C4">
      <w:pPr>
        <w:pStyle w:val="Bulletpoint"/>
      </w:pPr>
      <w:r>
        <w:t>Our approach is consistent over time.</w:t>
      </w:r>
    </w:p>
    <w:p w:rsidR="008A096A" w:rsidRDefault="008A096A" w:rsidP="003744C4">
      <w:pPr>
        <w:pStyle w:val="Bulletpoint"/>
      </w:pPr>
      <w:r>
        <w:t>Our processes are cost effective for participants and the AER.</w:t>
      </w:r>
    </w:p>
    <w:p w:rsidR="008A096A" w:rsidRDefault="008A096A" w:rsidP="003744C4">
      <w:pPr>
        <w:pStyle w:val="Bulletpoint"/>
      </w:pPr>
      <w:r>
        <w:t>Our activities are transparent.</w:t>
      </w:r>
    </w:p>
    <w:p w:rsidR="008A096A" w:rsidRDefault="008A096A">
      <w:r w:rsidRPr="008A096A">
        <w:t xml:space="preserve">Our </w:t>
      </w:r>
      <w:r w:rsidR="00444D6A">
        <w:t xml:space="preserve">Compliance and Enforcement - </w:t>
      </w:r>
      <w:r w:rsidRPr="008A096A">
        <w:t xml:space="preserve">Statement of Approach </w:t>
      </w:r>
      <w:r w:rsidR="00444D6A">
        <w:t>(Statement of Approach)</w:t>
      </w:r>
      <w:r w:rsidR="00444D6A">
        <w:rPr>
          <w:rStyle w:val="FootnoteReference"/>
        </w:rPr>
        <w:footnoteReference w:id="3"/>
      </w:r>
      <w:r w:rsidR="00444D6A">
        <w:t xml:space="preserve"> </w:t>
      </w:r>
      <w:r w:rsidRPr="008A096A">
        <w:t>details our approach to compliance</w:t>
      </w:r>
      <w:r w:rsidR="00986E16">
        <w:t>,</w:t>
      </w:r>
      <w:r w:rsidRPr="008A096A">
        <w:t xml:space="preserve"> the enforcement options available to us and sets out the criteria we apply when exercising our discretion regarding enforcement action. Matters are assessed on a case-by-case basis with all relevant circumstances being considered, including those outlined in our Statement of Approach.</w:t>
      </w:r>
    </w:p>
    <w:p w:rsidR="001B6B64" w:rsidRDefault="001B6B64" w:rsidP="001B6B64">
      <w:pPr>
        <w:pStyle w:val="Heading2"/>
      </w:pPr>
      <w:bookmarkStart w:id="5" w:name="_Toc223245049"/>
      <w:bookmarkStart w:id="6" w:name="_Toc383520238"/>
      <w:bookmarkStart w:id="7" w:name="_Toc462138187"/>
      <w:r>
        <w:t>Definitions and interpretation</w:t>
      </w:r>
      <w:bookmarkEnd w:id="5"/>
      <w:bookmarkEnd w:id="6"/>
      <w:bookmarkEnd w:id="7"/>
    </w:p>
    <w:p w:rsidR="001B6B64" w:rsidRDefault="001B6B64" w:rsidP="001B6B64">
      <w:r w:rsidRPr="00FA2594">
        <w:t xml:space="preserve">In this </w:t>
      </w:r>
      <w:r w:rsidR="00FF79AB">
        <w:t>g</w:t>
      </w:r>
      <w:r w:rsidRPr="00FA2594">
        <w:t xml:space="preserve">uideline the words and phrases presented in </w:t>
      </w:r>
      <w:r w:rsidRPr="008D1173">
        <w:rPr>
          <w:rStyle w:val="Emphasis"/>
        </w:rPr>
        <w:t>italics</w:t>
      </w:r>
      <w:r w:rsidRPr="00FA2594">
        <w:t xml:space="preserve"> have the meaning given to them in the Rules.</w:t>
      </w:r>
      <w:r w:rsidR="000B28EA">
        <w:t xml:space="preserve"> </w:t>
      </w:r>
    </w:p>
    <w:p w:rsidR="001B6B64" w:rsidRPr="001B6B64" w:rsidRDefault="001B6B64" w:rsidP="001B6B64">
      <w:pPr>
        <w:pStyle w:val="Heading1"/>
      </w:pPr>
      <w:bookmarkStart w:id="8" w:name="_Toc383520240"/>
      <w:bookmarkStart w:id="9" w:name="_Toc462138188"/>
      <w:r>
        <w:lastRenderedPageBreak/>
        <w:t>Bidding and rebidding technical parameters</w:t>
      </w:r>
      <w:bookmarkEnd w:id="8"/>
      <w:bookmarkEnd w:id="9"/>
    </w:p>
    <w:p w:rsidR="001B6B64" w:rsidRPr="001B6B64" w:rsidRDefault="001B6B64" w:rsidP="00444D6A">
      <w:r>
        <w:t xml:space="preserve">This section covers bidding and rebidding </w:t>
      </w:r>
      <w:r w:rsidR="00444D6A">
        <w:t xml:space="preserve">of </w:t>
      </w:r>
      <w:r>
        <w:t>technical parameters</w:t>
      </w:r>
      <w:r w:rsidR="00444D6A">
        <w:t xml:space="preserve">, including: </w:t>
      </w:r>
      <w:r>
        <w:t xml:space="preserve">up and down </w:t>
      </w:r>
      <w:r w:rsidRPr="00C94175">
        <w:rPr>
          <w:rStyle w:val="Emphasis"/>
        </w:rPr>
        <w:t>ramp rates</w:t>
      </w:r>
      <w:r>
        <w:t xml:space="preserve">, </w:t>
      </w:r>
      <w:r w:rsidRPr="00C94175">
        <w:rPr>
          <w:rStyle w:val="Emphasis"/>
        </w:rPr>
        <w:t>inflexibilities</w:t>
      </w:r>
      <w:r w:rsidR="00444D6A">
        <w:t xml:space="preserve">, and </w:t>
      </w:r>
      <w:r w:rsidRPr="00C94175">
        <w:rPr>
          <w:rStyle w:val="Emphasis"/>
        </w:rPr>
        <w:t>market ancillary services</w:t>
      </w:r>
      <w:r w:rsidRPr="001B6B64">
        <w:t>.</w:t>
      </w:r>
    </w:p>
    <w:p w:rsidR="001B6B64" w:rsidRPr="001B6B64" w:rsidRDefault="001B6B64" w:rsidP="001B6B64">
      <w:pPr>
        <w:pStyle w:val="Heading2"/>
      </w:pPr>
      <w:bookmarkStart w:id="10" w:name="_Toc223245053"/>
      <w:bookmarkStart w:id="11" w:name="_Toc383520241"/>
      <w:bookmarkStart w:id="12" w:name="_Toc462138189"/>
      <w:r>
        <w:t xml:space="preserve">Ramp </w:t>
      </w:r>
      <w:r w:rsidR="00DA0C2B">
        <w:t>r</w:t>
      </w:r>
      <w:r>
        <w:t>ates</w:t>
      </w:r>
      <w:bookmarkEnd w:id="10"/>
      <w:bookmarkEnd w:id="11"/>
      <w:bookmarkEnd w:id="12"/>
      <w:r w:rsidRPr="001B6B64">
        <w:t xml:space="preserve"> </w:t>
      </w:r>
    </w:p>
    <w:p w:rsidR="001B6B64" w:rsidRDefault="001B6B64" w:rsidP="001B6B64">
      <w:r>
        <w:t xml:space="preserve">As part of an energy market </w:t>
      </w:r>
      <w:r w:rsidRPr="00C94175">
        <w:rPr>
          <w:rStyle w:val="Emphasis"/>
        </w:rPr>
        <w:t>offer</w:t>
      </w:r>
      <w:r>
        <w:t xml:space="preserve">, </w:t>
      </w:r>
      <w:r w:rsidRPr="004B418D">
        <w:rPr>
          <w:rStyle w:val="Emphasis"/>
        </w:rPr>
        <w:t>relevant participants</w:t>
      </w:r>
      <w:r>
        <w:t xml:space="preserve"> are obliged under the Rules to provide AEMO with details of the rate at which the output of the </w:t>
      </w:r>
      <w:r w:rsidRPr="00C94175">
        <w:rPr>
          <w:rStyle w:val="Emphasis"/>
        </w:rPr>
        <w:t>generator</w:t>
      </w:r>
      <w:r>
        <w:t xml:space="preserve"> may vary up and down</w:t>
      </w:r>
      <w:r w:rsidR="00E72F28">
        <w:t xml:space="preserve"> </w:t>
      </w:r>
      <w:r w:rsidR="00A8546B">
        <w:t>within five minutes</w:t>
      </w:r>
      <w:r>
        <w:t xml:space="preserve">. This is generally referred to as the </w:t>
      </w:r>
      <w:r w:rsidRPr="00C94175">
        <w:rPr>
          <w:rStyle w:val="Emphasis"/>
        </w:rPr>
        <w:t>generator’s</w:t>
      </w:r>
      <w:r>
        <w:t xml:space="preserve"> </w:t>
      </w:r>
      <w:r w:rsidRPr="00C94175">
        <w:rPr>
          <w:rStyle w:val="Emphasis"/>
        </w:rPr>
        <w:t>ramp</w:t>
      </w:r>
      <w:r>
        <w:t xml:space="preserve"> </w:t>
      </w:r>
      <w:r w:rsidRPr="00C94175">
        <w:rPr>
          <w:rStyle w:val="Emphasis"/>
        </w:rPr>
        <w:t>rate</w:t>
      </w:r>
      <w:r>
        <w:t xml:space="preserve"> and is measured in Megawatts per minute (</w:t>
      </w:r>
      <w:r w:rsidRPr="001B6B64">
        <w:t>MW/minute</w:t>
      </w:r>
      <w:r>
        <w:t xml:space="preserve">). </w:t>
      </w:r>
    </w:p>
    <w:p w:rsidR="00DB0CE6" w:rsidRDefault="003557DF" w:rsidP="00DB0CE6">
      <w:r>
        <w:t>M</w:t>
      </w:r>
      <w:r w:rsidR="001776C8">
        <w:t xml:space="preserve">inimum </w:t>
      </w:r>
      <w:r w:rsidR="001776C8" w:rsidRPr="00C94175">
        <w:rPr>
          <w:rStyle w:val="Emphasis"/>
        </w:rPr>
        <w:t>ramp rate</w:t>
      </w:r>
      <w:r w:rsidR="001776C8">
        <w:t xml:space="preserve"> requirements </w:t>
      </w:r>
      <w:r>
        <w:t xml:space="preserve">are </w:t>
      </w:r>
      <w:r w:rsidR="00DB0CE6">
        <w:t xml:space="preserve">as follows: </w:t>
      </w:r>
    </w:p>
    <w:p w:rsidR="00DB0CE6" w:rsidRPr="002B635E" w:rsidRDefault="00DB0CE6" w:rsidP="00DB0CE6">
      <w:pPr>
        <w:pStyle w:val="Bulletpoint"/>
      </w:pPr>
      <w:proofErr w:type="gramStart"/>
      <w:r w:rsidRPr="002B635E">
        <w:t>for</w:t>
      </w:r>
      <w:proofErr w:type="gramEnd"/>
      <w:r w:rsidRPr="002B635E">
        <w:t xml:space="preserve"> </w:t>
      </w:r>
      <w:r>
        <w:t xml:space="preserve">a </w:t>
      </w:r>
      <w:r w:rsidRPr="00C94175">
        <w:rPr>
          <w:rStyle w:val="Emphasis"/>
        </w:rPr>
        <w:t>scheduled generating unit</w:t>
      </w:r>
      <w:r>
        <w:t xml:space="preserve"> or </w:t>
      </w:r>
      <w:r w:rsidRPr="00C94175">
        <w:rPr>
          <w:rStyle w:val="Emphasis"/>
        </w:rPr>
        <w:t>semi scheduled generating unit</w:t>
      </w:r>
      <w:r>
        <w:t xml:space="preserve"> (that is not aggregated)</w:t>
      </w:r>
      <w:r w:rsidRPr="002B635E">
        <w:t xml:space="preserve">, the lower of three per cent of maximum </w:t>
      </w:r>
      <w:r>
        <w:t>generation</w:t>
      </w:r>
      <w:r w:rsidRPr="002B635E">
        <w:t xml:space="preserve"> or 3</w:t>
      </w:r>
      <w:r w:rsidR="00442920">
        <w:t> </w:t>
      </w:r>
      <w:r w:rsidRPr="002B635E">
        <w:t>MW</w:t>
      </w:r>
      <w:r w:rsidR="00442920">
        <w:t> </w:t>
      </w:r>
      <w:r w:rsidRPr="002B635E">
        <w:t>per</w:t>
      </w:r>
      <w:r w:rsidR="00442920">
        <w:t> </w:t>
      </w:r>
      <w:r w:rsidRPr="002B635E">
        <w:t>minute</w:t>
      </w:r>
      <w:r w:rsidR="00986E16">
        <w:t>.</w:t>
      </w:r>
    </w:p>
    <w:p w:rsidR="00DB0CE6" w:rsidRPr="002B635E" w:rsidRDefault="00DB0CE6" w:rsidP="00DB0CE6">
      <w:pPr>
        <w:pStyle w:val="Bulletpoint"/>
      </w:pPr>
      <w:proofErr w:type="gramStart"/>
      <w:r w:rsidRPr="002B635E">
        <w:t>for</w:t>
      </w:r>
      <w:proofErr w:type="gramEnd"/>
      <w:r w:rsidRPr="002B635E">
        <w:t xml:space="preserve"> </w:t>
      </w:r>
      <w:r>
        <w:t xml:space="preserve">a </w:t>
      </w:r>
      <w:r w:rsidRPr="00C94175">
        <w:rPr>
          <w:rStyle w:val="Emphasis"/>
        </w:rPr>
        <w:t>scheduled generating unit</w:t>
      </w:r>
      <w:r w:rsidRPr="002B635E">
        <w:t xml:space="preserve"> </w:t>
      </w:r>
      <w:r>
        <w:t xml:space="preserve">or </w:t>
      </w:r>
      <w:r w:rsidRPr="00C94175">
        <w:rPr>
          <w:rStyle w:val="Emphasis"/>
        </w:rPr>
        <w:t>semi scheduled generating unit</w:t>
      </w:r>
      <w:r>
        <w:t xml:space="preserve"> </w:t>
      </w:r>
      <w:r w:rsidRPr="002B635E">
        <w:t xml:space="preserve">that </w:t>
      </w:r>
      <w:r>
        <w:t>is</w:t>
      </w:r>
      <w:r w:rsidRPr="002B635E">
        <w:t xml:space="preserve"> aggregated, the lower of three per cent of maximum </w:t>
      </w:r>
      <w:r>
        <w:t>generation</w:t>
      </w:r>
      <w:r w:rsidRPr="002B635E">
        <w:t xml:space="preserve"> or 3</w:t>
      </w:r>
      <w:r w:rsidR="00442920">
        <w:t> </w:t>
      </w:r>
      <w:r w:rsidRPr="002B635E">
        <w:t>MW</w:t>
      </w:r>
      <w:r w:rsidR="00442920">
        <w:t> </w:t>
      </w:r>
      <w:r w:rsidRPr="002B635E">
        <w:t>per</w:t>
      </w:r>
      <w:r w:rsidR="00442920">
        <w:t> </w:t>
      </w:r>
      <w:r w:rsidRPr="002B635E">
        <w:t>minute applied to individ</w:t>
      </w:r>
      <w:r w:rsidR="00A7296E">
        <w:t>ual physical units, then summed.</w:t>
      </w:r>
    </w:p>
    <w:p w:rsidR="00DB0CE6" w:rsidRPr="002B635E" w:rsidRDefault="00DB0CE6" w:rsidP="00DB0CE6">
      <w:pPr>
        <w:pStyle w:val="Bulletpoint"/>
      </w:pPr>
      <w:proofErr w:type="gramStart"/>
      <w:r w:rsidRPr="002B635E">
        <w:t>for</w:t>
      </w:r>
      <w:proofErr w:type="gramEnd"/>
      <w:r w:rsidRPr="002B635E">
        <w:t xml:space="preserve"> </w:t>
      </w:r>
      <w:r w:rsidRPr="00C94175">
        <w:rPr>
          <w:rStyle w:val="Emphasis"/>
        </w:rPr>
        <w:t>scheduled network services</w:t>
      </w:r>
      <w:r w:rsidRPr="002B635E">
        <w:t xml:space="preserve"> and </w:t>
      </w:r>
      <w:r w:rsidRPr="00C94175">
        <w:rPr>
          <w:rStyle w:val="Emphasis"/>
        </w:rPr>
        <w:t>scheduled loads</w:t>
      </w:r>
      <w:r w:rsidR="00A7296E">
        <w:t>, 3 MW/minute.</w:t>
      </w:r>
    </w:p>
    <w:p w:rsidR="00DB0CE6" w:rsidRDefault="00DB0CE6" w:rsidP="00DB0CE6">
      <w:pPr>
        <w:pStyle w:val="Bulletpoint"/>
      </w:pPr>
      <w:proofErr w:type="gramStart"/>
      <w:r w:rsidRPr="002B635E">
        <w:t>for</w:t>
      </w:r>
      <w:proofErr w:type="gramEnd"/>
      <w:r w:rsidRPr="002B635E">
        <w:t xml:space="preserve"> </w:t>
      </w:r>
      <w:r w:rsidRPr="00C94175">
        <w:rPr>
          <w:rStyle w:val="Emphasis"/>
        </w:rPr>
        <w:t>scheduled network services</w:t>
      </w:r>
      <w:r w:rsidRPr="002B635E">
        <w:t xml:space="preserve"> and </w:t>
      </w:r>
      <w:r w:rsidRPr="00C94175">
        <w:rPr>
          <w:rStyle w:val="Emphasis"/>
        </w:rPr>
        <w:t>scheduled loads</w:t>
      </w:r>
      <w:r w:rsidRPr="002B635E">
        <w:t xml:space="preserve"> that are aggregated, 3 MW/minute applied to individual </w:t>
      </w:r>
      <w:r w:rsidRPr="00C94175">
        <w:rPr>
          <w:rStyle w:val="Emphasis"/>
        </w:rPr>
        <w:t>network services</w:t>
      </w:r>
      <w:r w:rsidRPr="002B635E">
        <w:t xml:space="preserve"> and individual </w:t>
      </w:r>
      <w:r w:rsidRPr="00C94175">
        <w:rPr>
          <w:rStyle w:val="Emphasis"/>
        </w:rPr>
        <w:t>loads</w:t>
      </w:r>
      <w:r w:rsidRPr="002B635E">
        <w:t>, then summed.</w:t>
      </w:r>
    </w:p>
    <w:p w:rsidR="00DB0CE6" w:rsidRDefault="00DB0CE6" w:rsidP="00DB0CE6">
      <w:r>
        <w:t>A</w:t>
      </w:r>
      <w:r w:rsidRPr="002B635E">
        <w:t xml:space="preserve">ll minimum </w:t>
      </w:r>
      <w:r w:rsidRPr="00C94175">
        <w:rPr>
          <w:rStyle w:val="Emphasis"/>
        </w:rPr>
        <w:t>ramp rate</w:t>
      </w:r>
      <w:r w:rsidRPr="002B635E">
        <w:t xml:space="preserve"> requirements </w:t>
      </w:r>
      <w:r>
        <w:t>are</w:t>
      </w:r>
      <w:r w:rsidRPr="002B635E">
        <w:t xml:space="preserve"> rounded down to the nearest whole number but not less than 1</w:t>
      </w:r>
      <w:r>
        <w:t> </w:t>
      </w:r>
      <w:r w:rsidRPr="002B635E">
        <w:t>MW/minute.</w:t>
      </w:r>
    </w:p>
    <w:p w:rsidR="001B6B64" w:rsidRDefault="001B6B64" w:rsidP="001B6B64">
      <w:r>
        <w:t xml:space="preserve">The </w:t>
      </w:r>
      <w:r w:rsidRPr="001B6B64">
        <w:t xml:space="preserve">Rules require that, </w:t>
      </w:r>
      <w:r w:rsidR="00442920">
        <w:t>if</w:t>
      </w:r>
      <w:r w:rsidR="00442920" w:rsidRPr="001B6B64">
        <w:t xml:space="preserve"> </w:t>
      </w:r>
      <w:r w:rsidRPr="001B6B64">
        <w:t xml:space="preserve">a </w:t>
      </w:r>
      <w:r w:rsidRPr="00442920">
        <w:rPr>
          <w:rStyle w:val="Emphasis"/>
        </w:rPr>
        <w:t>relevant participant</w:t>
      </w:r>
      <w:r w:rsidRPr="001B6B64">
        <w:t xml:space="preserve"> </w:t>
      </w:r>
      <w:r w:rsidR="00442920">
        <w:t xml:space="preserve">cannot </w:t>
      </w:r>
      <w:r w:rsidRPr="001B6B64">
        <w:t xml:space="preserve">submit a </w:t>
      </w:r>
      <w:r w:rsidRPr="00442920">
        <w:rPr>
          <w:rStyle w:val="Emphasis"/>
        </w:rPr>
        <w:t>ramp rate</w:t>
      </w:r>
      <w:r w:rsidRPr="001B6B64">
        <w:t xml:space="preserve"> </w:t>
      </w:r>
      <w:r w:rsidR="00442920">
        <w:t xml:space="preserve">of at least </w:t>
      </w:r>
      <w:r w:rsidRPr="001B6B64">
        <w:t xml:space="preserve">the prescribed minimum, </w:t>
      </w:r>
      <w:r w:rsidR="00442920">
        <w:t xml:space="preserve">it must submit the </w:t>
      </w:r>
      <w:r w:rsidR="00442920" w:rsidRPr="001B6B64">
        <w:t xml:space="preserve">maximum the relevant </w:t>
      </w:r>
      <w:r w:rsidR="00442920" w:rsidRPr="00442920">
        <w:rPr>
          <w:rStyle w:val="Emphasis"/>
        </w:rPr>
        <w:t>generating unit</w:t>
      </w:r>
      <w:r w:rsidR="00442920" w:rsidRPr="001B6B64">
        <w:t xml:space="preserve"> </w:t>
      </w:r>
      <w:r w:rsidRPr="001B6B64">
        <w:t>can safely attain at that time</w:t>
      </w:r>
      <w:r w:rsidRPr="001B6B64">
        <w:rPr>
          <w:rStyle w:val="FootnoteReference"/>
        </w:rPr>
        <w:footnoteReference w:id="4"/>
      </w:r>
      <w:r w:rsidRPr="001B6B64">
        <w:t xml:space="preserve">. The amount of detail that should be provided in the reason to AEMO and the way a plant should bid its </w:t>
      </w:r>
      <w:r w:rsidRPr="00985547">
        <w:rPr>
          <w:rStyle w:val="Emphasis"/>
        </w:rPr>
        <w:t>ramp rate</w:t>
      </w:r>
      <w:r w:rsidRPr="001B6B64">
        <w:t xml:space="preserve"> in certain circumstances is outlined below.</w:t>
      </w:r>
    </w:p>
    <w:p w:rsidR="001B6B64" w:rsidRPr="001B6B64" w:rsidRDefault="001B6B64" w:rsidP="001B6B64">
      <w:pPr>
        <w:pStyle w:val="Heading3"/>
      </w:pPr>
      <w:bookmarkStart w:id="13" w:name="_Toc223245054"/>
      <w:bookmarkStart w:id="14" w:name="_Toc462138190"/>
      <w:r w:rsidRPr="00F27644">
        <w:t xml:space="preserve">Information to be </w:t>
      </w:r>
      <w:r w:rsidRPr="001B6B64">
        <w:t>provided</w:t>
      </w:r>
      <w:bookmarkEnd w:id="13"/>
      <w:bookmarkEnd w:id="14"/>
    </w:p>
    <w:p w:rsidR="001B6B64" w:rsidRDefault="00FF79AB" w:rsidP="001B6B64">
      <w:r>
        <w:t xml:space="preserve">A </w:t>
      </w:r>
      <w:r w:rsidRPr="00FF79AB">
        <w:rPr>
          <w:rStyle w:val="Emphasis"/>
        </w:rPr>
        <w:t>r</w:t>
      </w:r>
      <w:r w:rsidR="005E00E9" w:rsidRPr="00FF79AB">
        <w:rPr>
          <w:rStyle w:val="Emphasis"/>
        </w:rPr>
        <w:t>elevant participant</w:t>
      </w:r>
      <w:r w:rsidR="005E00E9">
        <w:t xml:space="preserve"> </w:t>
      </w:r>
      <w:r w:rsidR="0009526F">
        <w:t xml:space="preserve">may provide a </w:t>
      </w:r>
      <w:r w:rsidR="0009526F" w:rsidRPr="00C94175">
        <w:rPr>
          <w:rStyle w:val="Emphasis"/>
        </w:rPr>
        <w:t>ramp rate</w:t>
      </w:r>
      <w:r w:rsidR="0009526F">
        <w:t xml:space="preserve"> less than the minimum </w:t>
      </w:r>
      <w:r w:rsidR="00956FFA">
        <w:t xml:space="preserve">if it is affected by an event or other occurrence that physically prevents it from attaining the minimum </w:t>
      </w:r>
      <w:r w:rsidR="00956FFA" w:rsidRPr="00C94175">
        <w:rPr>
          <w:rStyle w:val="Emphasis"/>
        </w:rPr>
        <w:t>ramp rate</w:t>
      </w:r>
      <w:r w:rsidR="00956FFA">
        <w:t xml:space="preserve"> or makes it unsafe to operate at that </w:t>
      </w:r>
      <w:r w:rsidR="00956FFA" w:rsidRPr="00C94175">
        <w:rPr>
          <w:rStyle w:val="Emphasis"/>
        </w:rPr>
        <w:t>ramp rate</w:t>
      </w:r>
      <w:r w:rsidR="00956FFA">
        <w:t xml:space="preserve">. </w:t>
      </w:r>
      <w:r w:rsidR="001B6B64">
        <w:t xml:space="preserve">If a </w:t>
      </w:r>
      <w:r w:rsidR="001B6B64" w:rsidRPr="00FF79AB">
        <w:rPr>
          <w:rStyle w:val="Emphasis"/>
        </w:rPr>
        <w:t>relevant participant</w:t>
      </w:r>
      <w:r w:rsidR="001B6B64">
        <w:t xml:space="preserve"> provides a </w:t>
      </w:r>
      <w:r w:rsidR="001B6B64" w:rsidRPr="00C94175">
        <w:rPr>
          <w:rStyle w:val="Emphasis"/>
        </w:rPr>
        <w:t>ramp rate</w:t>
      </w:r>
      <w:r w:rsidR="001B6B64">
        <w:t xml:space="preserve"> that is less than the minimum, it must simultaneously provide AEMO with a brief, verifiable and specific reason for that </w:t>
      </w:r>
      <w:r w:rsidR="001B6B64" w:rsidRPr="00C94175">
        <w:rPr>
          <w:rStyle w:val="Emphasis"/>
        </w:rPr>
        <w:t>ramp rate</w:t>
      </w:r>
      <w:r w:rsidR="003C0C74">
        <w:t xml:space="preserve"> being below the minimum</w:t>
      </w:r>
      <w:r w:rsidR="001B6B64">
        <w:t xml:space="preserve">. The reason provided to AEMO must relate directly to the </w:t>
      </w:r>
      <w:r w:rsidR="00956FFA">
        <w:t xml:space="preserve">occurrence or event that physically prevents it or makes it unsafe to do so. For the purpose of this </w:t>
      </w:r>
      <w:r>
        <w:t>g</w:t>
      </w:r>
      <w:r w:rsidR="00956FFA">
        <w:t>uideline, we use the term "technica</w:t>
      </w:r>
      <w:r w:rsidR="00A82F3F">
        <w:t>l"</w:t>
      </w:r>
      <w:r w:rsidR="00956FFA">
        <w:t xml:space="preserve"> to describe this. </w:t>
      </w:r>
    </w:p>
    <w:p w:rsidR="001B6B64" w:rsidRPr="001B6B64" w:rsidRDefault="001B6B64" w:rsidP="001B6B64">
      <w:r>
        <w:lastRenderedPageBreak/>
        <w:t>T</w:t>
      </w:r>
      <w:r w:rsidRPr="001B6B64">
        <w:t xml:space="preserve">he brief, specific and verifiable reason submitted with the </w:t>
      </w:r>
      <w:r w:rsidRPr="009F5CBC">
        <w:rPr>
          <w:rStyle w:val="Emphasis"/>
        </w:rPr>
        <w:t>ramp rate</w:t>
      </w:r>
      <w:r w:rsidRPr="001B6B64">
        <w:t xml:space="preserve"> should include:</w:t>
      </w:r>
    </w:p>
    <w:p w:rsidR="001B6B64" w:rsidRPr="001B6B64" w:rsidRDefault="001B6B64" w:rsidP="006949A8">
      <w:pPr>
        <w:pStyle w:val="Bulletpoint"/>
      </w:pPr>
      <w:r>
        <w:t xml:space="preserve">details of the technical issue preventing </w:t>
      </w:r>
      <w:r w:rsidR="009F5CBC">
        <w:t xml:space="preserve">the </w:t>
      </w:r>
      <w:r w:rsidR="009F5CBC" w:rsidRPr="00C94175">
        <w:rPr>
          <w:rStyle w:val="Emphasis"/>
        </w:rPr>
        <w:t>generator</w:t>
      </w:r>
      <w:r w:rsidR="009F5CBC">
        <w:t xml:space="preserve"> from achieving the </w:t>
      </w:r>
      <w:r w:rsidRPr="001B6B64">
        <w:t xml:space="preserve">minimum </w:t>
      </w:r>
      <w:r w:rsidR="009F5CBC" w:rsidRPr="00C94175">
        <w:rPr>
          <w:rStyle w:val="Emphasis"/>
        </w:rPr>
        <w:t>ramp rate</w:t>
      </w:r>
      <w:r w:rsidR="00A8546B">
        <w:rPr>
          <w:rStyle w:val="Emphasis"/>
        </w:rPr>
        <w:t>,</w:t>
      </w:r>
      <w:r w:rsidR="009F5CBC">
        <w:t xml:space="preserve"> </w:t>
      </w:r>
      <w:r w:rsidR="006949A8">
        <w:t>and</w:t>
      </w:r>
    </w:p>
    <w:p w:rsidR="001B6B64" w:rsidRDefault="001B6B64" w:rsidP="006949A8">
      <w:pPr>
        <w:pStyle w:val="Bulletpoint"/>
      </w:pPr>
      <w:proofErr w:type="gramStart"/>
      <w:r>
        <w:t>the</w:t>
      </w:r>
      <w:proofErr w:type="gramEnd"/>
      <w:r>
        <w:t xml:space="preserve"> time the technical issue was identified</w:t>
      </w:r>
      <w:r w:rsidR="006D2146">
        <w:t xml:space="preserve"> (i.e. the time adduced)</w:t>
      </w:r>
      <w:r w:rsidR="006949A8">
        <w:t>.</w:t>
      </w:r>
    </w:p>
    <w:p w:rsidR="001B6B64" w:rsidRDefault="001B6B64" w:rsidP="001B6B64">
      <w:pPr>
        <w:pStyle w:val="Heading3"/>
      </w:pPr>
      <w:bookmarkStart w:id="15" w:name="_Toc462138191"/>
      <w:r>
        <w:t>Legal and other operating requirements</w:t>
      </w:r>
      <w:bookmarkEnd w:id="15"/>
    </w:p>
    <w:p w:rsidR="001B6B64" w:rsidRDefault="007B5ECF" w:rsidP="000D6392">
      <w:r w:rsidRPr="00C94175">
        <w:t xml:space="preserve">Some </w:t>
      </w:r>
      <w:r w:rsidR="00A7296E">
        <w:rPr>
          <w:rStyle w:val="Emphasis"/>
        </w:rPr>
        <w:t>r</w:t>
      </w:r>
      <w:r w:rsidR="001B6B64" w:rsidRPr="000D6392">
        <w:rPr>
          <w:rStyle w:val="Emphasis"/>
        </w:rPr>
        <w:t>elevant participants</w:t>
      </w:r>
      <w:r w:rsidR="001B6B64">
        <w:t xml:space="preserve"> are subject to environmental or other legislative constraints on how their plant can be operated. In some cases, this will affect the maximum ramping capability that can be bid by them. </w:t>
      </w:r>
      <w:r w:rsidR="00A7296E">
        <w:t>I</w:t>
      </w:r>
      <w:r w:rsidR="0019211E">
        <w:t xml:space="preserve">n these situations, the </w:t>
      </w:r>
      <w:r w:rsidR="0019211E" w:rsidRPr="00C94175">
        <w:rPr>
          <w:rStyle w:val="Emphasis"/>
        </w:rPr>
        <w:t>bid</w:t>
      </w:r>
      <w:r w:rsidR="0019211E">
        <w:t xml:space="preserve"> or </w:t>
      </w:r>
      <w:r w:rsidR="0019211E" w:rsidRPr="00C94175">
        <w:rPr>
          <w:rStyle w:val="Emphasis"/>
        </w:rPr>
        <w:t>rebid</w:t>
      </w:r>
      <w:r w:rsidR="0019211E">
        <w:t xml:space="preserve"> reason should clearly outline the relevant </w:t>
      </w:r>
      <w:r w:rsidR="00767984">
        <w:t xml:space="preserve">environmental or other legislative </w:t>
      </w:r>
      <w:r w:rsidR="0019211E">
        <w:t xml:space="preserve">constraint. </w:t>
      </w:r>
    </w:p>
    <w:p w:rsidR="001B6B64" w:rsidRDefault="001E59C7" w:rsidP="001B6B64">
      <w:pPr>
        <w:pStyle w:val="Heading3"/>
      </w:pPr>
      <w:bookmarkStart w:id="16" w:name="_Toc462138192"/>
      <w:r>
        <w:t>Ramp rates and s</w:t>
      </w:r>
      <w:r w:rsidR="001B6B64">
        <w:t>tanding data</w:t>
      </w:r>
      <w:r>
        <w:t xml:space="preserve"> requirements</w:t>
      </w:r>
      <w:bookmarkEnd w:id="16"/>
    </w:p>
    <w:p w:rsidR="000B2A1B" w:rsidRDefault="001E59C7" w:rsidP="001B6B64">
      <w:r>
        <w:t xml:space="preserve">Clause 3.13.3(b) requires all </w:t>
      </w:r>
      <w:r w:rsidR="00FF79AB" w:rsidRPr="00FF79AB">
        <w:rPr>
          <w:rStyle w:val="Emphasis"/>
        </w:rPr>
        <w:t xml:space="preserve">relevant </w:t>
      </w:r>
      <w:r w:rsidRPr="00FF79AB">
        <w:rPr>
          <w:rStyle w:val="Emphasis"/>
        </w:rPr>
        <w:t>participants</w:t>
      </w:r>
      <w:r>
        <w:t xml:space="preserve"> to provide AEMO with </w:t>
      </w:r>
      <w:r w:rsidRPr="00C94175">
        <w:rPr>
          <w:rStyle w:val="Emphasis"/>
        </w:rPr>
        <w:t xml:space="preserve">bid and </w:t>
      </w:r>
      <w:r w:rsidR="000B2A1B" w:rsidRPr="00C94175">
        <w:rPr>
          <w:rStyle w:val="Emphasis"/>
        </w:rPr>
        <w:t xml:space="preserve">offer </w:t>
      </w:r>
      <w:r w:rsidRPr="00C94175">
        <w:rPr>
          <w:rStyle w:val="Emphasis"/>
        </w:rPr>
        <w:t>validation data</w:t>
      </w:r>
      <w:r>
        <w:t xml:space="preserve"> relevant to their </w:t>
      </w:r>
      <w:r w:rsidRPr="00C94175">
        <w:rPr>
          <w:rStyle w:val="Emphasis"/>
        </w:rPr>
        <w:t>generating unit</w:t>
      </w:r>
      <w:r w:rsidR="00B84B63" w:rsidRPr="00C94175">
        <w:rPr>
          <w:rStyle w:val="Emphasis"/>
        </w:rPr>
        <w:t xml:space="preserve">s </w:t>
      </w:r>
      <w:r w:rsidR="00B84B63">
        <w:t>in accordance with schedule 3.1 (bid and offer validation data)</w:t>
      </w:r>
      <w:r>
        <w:t xml:space="preserve">. </w:t>
      </w:r>
      <w:r w:rsidR="000B2A1B">
        <w:t xml:space="preserve">In addition, clause 3.13.3(b1) requires </w:t>
      </w:r>
      <w:r w:rsidR="00FF79AB" w:rsidRPr="00FF79AB">
        <w:rPr>
          <w:rStyle w:val="Emphasis"/>
        </w:rPr>
        <w:t xml:space="preserve">relevant </w:t>
      </w:r>
      <w:r w:rsidR="000B2A1B" w:rsidRPr="00FF79AB">
        <w:rPr>
          <w:rStyle w:val="Emphasis"/>
        </w:rPr>
        <w:t>participants</w:t>
      </w:r>
      <w:r w:rsidR="000B2A1B">
        <w:t xml:space="preserve"> with aggregated units to provide AEMO with the </w:t>
      </w:r>
      <w:r w:rsidR="000B2A1B" w:rsidRPr="00C94175">
        <w:rPr>
          <w:rStyle w:val="Emphasis"/>
        </w:rPr>
        <w:t>maximum generation</w:t>
      </w:r>
      <w:r w:rsidR="000B2A1B">
        <w:t xml:space="preserve"> of each individual unit. These clauses are civil penalty provisions. </w:t>
      </w:r>
    </w:p>
    <w:p w:rsidR="001E59C7" w:rsidRDefault="00B84B63" w:rsidP="00FF79AB">
      <w:r w:rsidRPr="00682DBA">
        <w:rPr>
          <w:rStyle w:val="Emphasis"/>
        </w:rPr>
        <w:t xml:space="preserve">Bid </w:t>
      </w:r>
      <w:r w:rsidRPr="00FF79AB">
        <w:t>and</w:t>
      </w:r>
      <w:r w:rsidRPr="00682DBA">
        <w:rPr>
          <w:rStyle w:val="Emphasis"/>
        </w:rPr>
        <w:t xml:space="preserve"> offer validation data</w:t>
      </w:r>
      <w:r w:rsidRPr="00B84B63">
        <w:t xml:space="preserve"> are the </w:t>
      </w:r>
      <w:r w:rsidR="000B2A1B">
        <w:t>standing</w:t>
      </w:r>
      <w:r w:rsidRPr="00B84B63">
        <w:t xml:space="preserve"> data requirements for verification and compilation of </w:t>
      </w:r>
      <w:r w:rsidRPr="00682DBA">
        <w:rPr>
          <w:rStyle w:val="Emphasis"/>
        </w:rPr>
        <w:t>dispatch bids</w:t>
      </w:r>
      <w:r w:rsidRPr="00B84B63">
        <w:t xml:space="preserve"> and </w:t>
      </w:r>
      <w:r w:rsidRPr="00682DBA">
        <w:rPr>
          <w:rStyle w:val="Emphasis"/>
        </w:rPr>
        <w:t>dispatch offers</w:t>
      </w:r>
      <w:r w:rsidRPr="00B84B63">
        <w:t xml:space="preserve"> on the trading day schedule. </w:t>
      </w:r>
      <w:r>
        <w:t xml:space="preserve">As part of this data, </w:t>
      </w:r>
      <w:r w:rsidR="00682DBA" w:rsidRPr="00682DBA">
        <w:rPr>
          <w:rStyle w:val="Emphasis"/>
        </w:rPr>
        <w:t xml:space="preserve">relevant </w:t>
      </w:r>
      <w:r w:rsidRPr="00682DBA">
        <w:rPr>
          <w:rStyle w:val="Emphasis"/>
        </w:rPr>
        <w:t>participants</w:t>
      </w:r>
      <w:r>
        <w:t xml:space="preserve"> are required to provide AEMO with the unit's </w:t>
      </w:r>
      <w:r w:rsidRPr="00682DBA">
        <w:rPr>
          <w:rStyle w:val="Emphasis"/>
        </w:rPr>
        <w:t>maximum ramp rate</w:t>
      </w:r>
      <w:r>
        <w:t xml:space="preserve">. </w:t>
      </w:r>
    </w:p>
    <w:p w:rsidR="0060302F" w:rsidRDefault="00D07128" w:rsidP="00FB5DC9">
      <w:r>
        <w:t>Under c</w:t>
      </w:r>
      <w:r w:rsidR="003F2D69">
        <w:t xml:space="preserve">lause </w:t>
      </w:r>
      <w:proofErr w:type="gramStart"/>
      <w:r w:rsidR="003F2D69">
        <w:t>3.8.3A(</w:t>
      </w:r>
      <w:proofErr w:type="gramEnd"/>
      <w:r w:rsidR="003F2D69">
        <w:t>h)</w:t>
      </w:r>
      <w:r>
        <w:t xml:space="preserve">, </w:t>
      </w:r>
      <w:r w:rsidR="00FF79AB" w:rsidRPr="00FF79AB">
        <w:rPr>
          <w:rStyle w:val="Emphasis"/>
        </w:rPr>
        <w:t xml:space="preserve">relevant </w:t>
      </w:r>
      <w:r w:rsidRPr="00FF79AB">
        <w:rPr>
          <w:rStyle w:val="Emphasis"/>
        </w:rPr>
        <w:t>participants</w:t>
      </w:r>
      <w:r>
        <w:t xml:space="preserve"> with a </w:t>
      </w:r>
      <w:r w:rsidRPr="00663478">
        <w:rPr>
          <w:rStyle w:val="Emphasis"/>
        </w:rPr>
        <w:t>maximum ramp rate</w:t>
      </w:r>
      <w:r>
        <w:t xml:space="preserve"> </w:t>
      </w:r>
      <w:r w:rsidR="000F13C3">
        <w:t xml:space="preserve">(in accordance with clause 3.13.3(b)) </w:t>
      </w:r>
      <w:r>
        <w:t xml:space="preserve">lower </w:t>
      </w:r>
      <w:r w:rsidR="00FB5DC9" w:rsidRPr="00FB5DC9">
        <w:t xml:space="preserve">than </w:t>
      </w:r>
      <w:r w:rsidR="00FB5DC9">
        <w:t>the minimum required</w:t>
      </w:r>
      <w:r w:rsidR="000F13C3">
        <w:t xml:space="preserve">, must </w:t>
      </w:r>
      <w:r w:rsidR="00FB5DC9" w:rsidRPr="00FB5DC9">
        <w:t xml:space="preserve">provide </w:t>
      </w:r>
      <w:r w:rsidR="00FB5DC9">
        <w:t>AEMO</w:t>
      </w:r>
      <w:r w:rsidR="00FB5DC9" w:rsidRPr="00FB5DC9">
        <w:t xml:space="preserve"> with a </w:t>
      </w:r>
      <w:r w:rsidR="00FB5DC9">
        <w:t xml:space="preserve">brief, verifiable and specific </w:t>
      </w:r>
      <w:r w:rsidR="00FB5DC9" w:rsidRPr="00FB5DC9">
        <w:t>reason.</w:t>
      </w:r>
      <w:r w:rsidR="00FB5DC9">
        <w:t xml:space="preserve"> </w:t>
      </w:r>
      <w:r w:rsidR="0060302F">
        <w:t xml:space="preserve">The </w:t>
      </w:r>
      <w:r w:rsidR="0060302F" w:rsidRPr="00682DBA">
        <w:rPr>
          <w:rStyle w:val="Emphasis"/>
        </w:rPr>
        <w:t xml:space="preserve">maximum ramp rate </w:t>
      </w:r>
      <w:r w:rsidR="0060302F">
        <w:t xml:space="preserve">is the </w:t>
      </w:r>
      <w:r w:rsidR="0060302F" w:rsidRPr="00682DBA">
        <w:rPr>
          <w:rStyle w:val="Emphasis"/>
        </w:rPr>
        <w:t>maximum ramp rate</w:t>
      </w:r>
      <w:r w:rsidR="0060302F">
        <w:t xml:space="preserve"> that an item of equipment is capable of achieving in normal circumstances and may be as specified by the manufacturer or as independently certified from time to time to reflect changes in the physical capabilities of the equipment.</w:t>
      </w:r>
    </w:p>
    <w:p w:rsidR="00290848" w:rsidRDefault="00A27D2F" w:rsidP="001B6B64">
      <w:r>
        <w:t xml:space="preserve">The Rules excuse these </w:t>
      </w:r>
      <w:r w:rsidR="00682DBA" w:rsidRPr="00682DBA">
        <w:rPr>
          <w:rStyle w:val="Emphasis"/>
        </w:rPr>
        <w:t xml:space="preserve">relevant </w:t>
      </w:r>
      <w:r w:rsidRPr="00682DBA">
        <w:rPr>
          <w:rStyle w:val="Emphasis"/>
        </w:rPr>
        <w:t>participants</w:t>
      </w:r>
      <w:r>
        <w:t xml:space="preserve"> </w:t>
      </w:r>
      <w:r w:rsidR="00EB4F53">
        <w:t xml:space="preserve">from having to attain the minimum </w:t>
      </w:r>
      <w:r w:rsidR="00EB4F53" w:rsidRPr="00682DBA">
        <w:rPr>
          <w:rStyle w:val="Emphasis"/>
        </w:rPr>
        <w:t>ramp rate</w:t>
      </w:r>
      <w:r w:rsidR="00EB4F53">
        <w:t xml:space="preserve"> or </w:t>
      </w:r>
      <w:r w:rsidR="00734D0B">
        <w:t xml:space="preserve">provide a brief, verifiable and specific </w:t>
      </w:r>
      <w:r w:rsidR="00734D0B" w:rsidRPr="00FF79AB">
        <w:rPr>
          <w:rStyle w:val="Emphasis"/>
        </w:rPr>
        <w:t>rebid</w:t>
      </w:r>
      <w:r w:rsidR="00734D0B">
        <w:t xml:space="preserve"> reason to AEMO each time </w:t>
      </w:r>
      <w:r w:rsidR="00346920">
        <w:t xml:space="preserve">they </w:t>
      </w:r>
      <w:r w:rsidR="00734D0B">
        <w:t xml:space="preserve">rebid </w:t>
      </w:r>
      <w:r w:rsidR="00346920">
        <w:t xml:space="preserve">their </w:t>
      </w:r>
      <w:r w:rsidR="00734D0B" w:rsidRPr="00682DBA">
        <w:rPr>
          <w:rStyle w:val="Emphasis"/>
        </w:rPr>
        <w:t>ramp</w:t>
      </w:r>
      <w:r w:rsidR="00346920">
        <w:rPr>
          <w:rStyle w:val="Emphasis"/>
        </w:rPr>
        <w:t>s</w:t>
      </w:r>
      <w:r w:rsidR="00734D0B" w:rsidRPr="00682DBA">
        <w:rPr>
          <w:rStyle w:val="Emphasis"/>
        </w:rPr>
        <w:t xml:space="preserve"> rate</w:t>
      </w:r>
      <w:r w:rsidR="00734D0B">
        <w:t xml:space="preserve"> </w:t>
      </w:r>
      <w:r w:rsidR="006D04A5">
        <w:t xml:space="preserve">equal </w:t>
      </w:r>
      <w:r w:rsidR="00734D0B">
        <w:t xml:space="preserve">to </w:t>
      </w:r>
      <w:r w:rsidR="00346920">
        <w:t xml:space="preserve">their </w:t>
      </w:r>
      <w:r w:rsidR="00734D0B" w:rsidRPr="00682DBA">
        <w:rPr>
          <w:rStyle w:val="Emphasis"/>
        </w:rPr>
        <w:t>maximum ramp rate</w:t>
      </w:r>
      <w:r w:rsidR="00734D0B">
        <w:t xml:space="preserve"> value. While the Rules do not specify how this should occur, the AER considers </w:t>
      </w:r>
      <w:r w:rsidR="00E72F28">
        <w:t>it to be</w:t>
      </w:r>
      <w:r w:rsidR="00734D0B">
        <w:t xml:space="preserve"> </w:t>
      </w:r>
      <w:r w:rsidR="00E72F28">
        <w:t>"</w:t>
      </w:r>
      <w:r w:rsidR="00734D0B">
        <w:t>best practice</w:t>
      </w:r>
      <w:r w:rsidR="00E72F28">
        <w:t>"</w:t>
      </w:r>
      <w:r w:rsidR="00734D0B">
        <w:t xml:space="preserve"> for these participants to </w:t>
      </w:r>
      <w:r w:rsidR="0060302F">
        <w:t xml:space="preserve">outline their particular circumstances in </w:t>
      </w:r>
      <w:r w:rsidR="00F13AF9">
        <w:t>correspondence</w:t>
      </w:r>
      <w:r w:rsidR="0060302F">
        <w:t xml:space="preserve"> to AEMO (and provide a copy to the AER</w:t>
      </w:r>
      <w:r w:rsidR="004D2457">
        <w:t xml:space="preserve"> at the same time</w:t>
      </w:r>
      <w:r w:rsidR="0060302F">
        <w:t>)</w:t>
      </w:r>
      <w:r w:rsidR="00682DBA">
        <w:t>.</w:t>
      </w:r>
      <w:r w:rsidR="00290848">
        <w:rPr>
          <w:rStyle w:val="FootnoteReference"/>
        </w:rPr>
        <w:footnoteReference w:id="5"/>
      </w:r>
      <w:r w:rsidR="00290848">
        <w:t xml:space="preserve"> </w:t>
      </w:r>
    </w:p>
    <w:p w:rsidR="0060302F" w:rsidRDefault="006D04A5" w:rsidP="001B6B64">
      <w:r>
        <w:t>However, the Rules still require the</w:t>
      </w:r>
      <w:r w:rsidR="000239B9">
        <w:t>se</w:t>
      </w:r>
      <w:r>
        <w:t xml:space="preserve"> partic</w:t>
      </w:r>
      <w:r w:rsidR="000239B9">
        <w:t>i</w:t>
      </w:r>
      <w:r>
        <w:t>pant</w:t>
      </w:r>
      <w:r w:rsidR="000239B9">
        <w:t>s</w:t>
      </w:r>
      <w:r>
        <w:t xml:space="preserve"> to submit the </w:t>
      </w:r>
      <w:r w:rsidRPr="00C94175">
        <w:rPr>
          <w:rStyle w:val="Emphasis"/>
        </w:rPr>
        <w:t>maximum ramp rate</w:t>
      </w:r>
      <w:r>
        <w:t xml:space="preserve"> the unit can safely attain at </w:t>
      </w:r>
      <w:r w:rsidR="00724B18">
        <w:t xml:space="preserve">the </w:t>
      </w:r>
      <w:r>
        <w:t>time</w:t>
      </w:r>
      <w:r w:rsidR="00724B18">
        <w:t xml:space="preserve"> of rebidding or the period of the </w:t>
      </w:r>
      <w:r w:rsidR="00724B18" w:rsidRPr="00FF79AB">
        <w:rPr>
          <w:rStyle w:val="Emphasis"/>
        </w:rPr>
        <w:t>offer</w:t>
      </w:r>
      <w:r>
        <w:t xml:space="preserve">. If a </w:t>
      </w:r>
      <w:r w:rsidR="009C4AFA">
        <w:t>participant</w:t>
      </w:r>
      <w:r>
        <w:t xml:space="preserve"> is unable </w:t>
      </w:r>
      <w:r w:rsidR="00663478">
        <w:t xml:space="preserve">to attain its </w:t>
      </w:r>
      <w:r w:rsidR="00663478" w:rsidRPr="00C94175">
        <w:rPr>
          <w:rStyle w:val="Emphasis"/>
        </w:rPr>
        <w:t>maximum ramp rate</w:t>
      </w:r>
      <w:r w:rsidR="00663478">
        <w:t xml:space="preserve">, it must submit a brief verifiable and specific reason to AEMO relating to the technical reason why the unit cannot meet its </w:t>
      </w:r>
      <w:r w:rsidR="00663478" w:rsidRPr="00C94175">
        <w:rPr>
          <w:rStyle w:val="Emphasis"/>
        </w:rPr>
        <w:t>maximum ramp rate</w:t>
      </w:r>
      <w:r w:rsidR="00663478">
        <w:t>.</w:t>
      </w:r>
    </w:p>
    <w:p w:rsidR="001B6B64" w:rsidRDefault="001B6B64" w:rsidP="001B6B64">
      <w:r>
        <w:lastRenderedPageBreak/>
        <w:t xml:space="preserve">The AER may audit the </w:t>
      </w:r>
      <w:r w:rsidRPr="00C94175">
        <w:rPr>
          <w:rStyle w:val="Emphasis"/>
        </w:rPr>
        <w:t>ramp rates</w:t>
      </w:r>
      <w:r>
        <w:t xml:space="preserve"> included in standing data.</w:t>
      </w:r>
      <w:r w:rsidR="00241F6B">
        <w:t xml:space="preserve"> We expect </w:t>
      </w:r>
      <w:r>
        <w:t xml:space="preserve">that standing data that includes below minimum </w:t>
      </w:r>
      <w:r w:rsidRPr="00C94175">
        <w:rPr>
          <w:rStyle w:val="Emphasis"/>
        </w:rPr>
        <w:t>ramp rates</w:t>
      </w:r>
      <w:r>
        <w:t xml:space="preserve"> </w:t>
      </w:r>
      <w:r w:rsidR="00724B18">
        <w:t xml:space="preserve">ought to </w:t>
      </w:r>
      <w:r>
        <w:t xml:space="preserve">be supported by </w:t>
      </w:r>
      <w:r w:rsidR="00724B18">
        <w:t xml:space="preserve">evidence such as </w:t>
      </w:r>
      <w:r>
        <w:t xml:space="preserve">performance results, manufacturer’s specifications or independent certification. </w:t>
      </w:r>
    </w:p>
    <w:p w:rsidR="001B6B64" w:rsidRPr="003A7FC4" w:rsidRDefault="001B6B64" w:rsidP="001B6B64">
      <w:pPr>
        <w:pStyle w:val="Heading3"/>
      </w:pPr>
      <w:bookmarkStart w:id="17" w:name="_Toc223245060"/>
      <w:bookmarkStart w:id="18" w:name="_Toc462138193"/>
      <w:r w:rsidRPr="003A7FC4">
        <w:t>Minimum safe operating level</w:t>
      </w:r>
      <w:bookmarkEnd w:id="17"/>
      <w:bookmarkEnd w:id="18"/>
    </w:p>
    <w:p w:rsidR="001B6B64" w:rsidRDefault="000572E3" w:rsidP="001B6B64">
      <w:r>
        <w:t xml:space="preserve">We consider </w:t>
      </w:r>
      <w:r w:rsidR="001B6B64">
        <w:t xml:space="preserve">minimum safe operating level to be the level below which the unit would become unstable, after other technical responses have been exhausted (for example, auxiliary firing). The minimum safe operating level </w:t>
      </w:r>
      <w:r w:rsidR="009C020C">
        <w:t xml:space="preserve">reflects technical and plant safety considerations, </w:t>
      </w:r>
      <w:r w:rsidR="001B6B64">
        <w:t xml:space="preserve">not commercial </w:t>
      </w:r>
      <w:r w:rsidR="009C020C">
        <w:t>conditions.</w:t>
      </w:r>
      <w:r w:rsidR="001B6B64">
        <w:t xml:space="preserve"> Plant availability reflecting commercial considerations should still be managed through </w:t>
      </w:r>
      <w:r w:rsidR="009C020C">
        <w:t xml:space="preserve">rebidding of capacity within </w:t>
      </w:r>
      <w:r w:rsidR="001B6B64">
        <w:t>price-band</w:t>
      </w:r>
      <w:r w:rsidR="009C020C">
        <w:t>s.</w:t>
      </w:r>
    </w:p>
    <w:p w:rsidR="001B6B64" w:rsidRDefault="001B6B64" w:rsidP="001B6B64">
      <w:r>
        <w:t xml:space="preserve">In instances where a </w:t>
      </w:r>
      <w:r w:rsidRPr="00C94175">
        <w:rPr>
          <w:rStyle w:val="Emphasis"/>
        </w:rPr>
        <w:t>Scheduled Generator</w:t>
      </w:r>
      <w:r>
        <w:t xml:space="preserve"> or </w:t>
      </w:r>
      <w:r w:rsidRPr="00C94175">
        <w:rPr>
          <w:rStyle w:val="Emphasis"/>
        </w:rPr>
        <w:t>Semi-Scheduled Generator</w:t>
      </w:r>
      <w:r>
        <w:t xml:space="preserve"> has reached its minimum safe operating level and cannot safely follow a </w:t>
      </w:r>
      <w:r w:rsidRPr="00C94175">
        <w:rPr>
          <w:rStyle w:val="Emphasis"/>
        </w:rPr>
        <w:t>dispatch instruction</w:t>
      </w:r>
      <w:r>
        <w:t xml:space="preserve"> to vary its output downwards, it </w:t>
      </w:r>
      <w:r w:rsidR="009C020C">
        <w:t>should submit</w:t>
      </w:r>
      <w:r>
        <w:t xml:space="preserve"> a zero down </w:t>
      </w:r>
      <w:r w:rsidRPr="00A7296E">
        <w:rPr>
          <w:rStyle w:val="Emphasis"/>
        </w:rPr>
        <w:t>ramp rate</w:t>
      </w:r>
      <w:r>
        <w:t xml:space="preserve"> to AEMO, as long as the zero </w:t>
      </w:r>
      <w:r w:rsidRPr="00A7296E">
        <w:rPr>
          <w:rStyle w:val="Emphasis"/>
        </w:rPr>
        <w:t xml:space="preserve">ramp </w:t>
      </w:r>
      <w:proofErr w:type="gramStart"/>
      <w:r w:rsidRPr="00A7296E">
        <w:rPr>
          <w:rStyle w:val="Emphasis"/>
        </w:rPr>
        <w:t>rate</w:t>
      </w:r>
      <w:proofErr w:type="gramEnd"/>
      <w:r>
        <w:t xml:space="preserve"> can be justified on the basis of a technical limitation. </w:t>
      </w:r>
    </w:p>
    <w:p w:rsidR="001B6B64" w:rsidRDefault="001B6B64" w:rsidP="001B6B64">
      <w:r>
        <w:t xml:space="preserve">This approach should be used in preference to submitting an </w:t>
      </w:r>
      <w:r w:rsidRPr="00C94175">
        <w:rPr>
          <w:rStyle w:val="Emphasis"/>
        </w:rPr>
        <w:t>inflexible bid</w:t>
      </w:r>
      <w:r>
        <w:t xml:space="preserve">, as it provides greater flexibility to ensure the market remains in a </w:t>
      </w:r>
      <w:r w:rsidRPr="00C94175">
        <w:rPr>
          <w:rStyle w:val="Emphasis"/>
        </w:rPr>
        <w:t>secure operating state</w:t>
      </w:r>
      <w:r>
        <w:t xml:space="preserve">. </w:t>
      </w:r>
    </w:p>
    <w:p w:rsidR="001B6B64" w:rsidRDefault="001B6B64" w:rsidP="001B6B64">
      <w:r>
        <w:t xml:space="preserve">As soon as the output of the unit moves materially above the minimum safe operating level, </w:t>
      </w:r>
      <w:r w:rsidR="009C020C">
        <w:t xml:space="preserve">participants must submit </w:t>
      </w:r>
      <w:r>
        <w:t xml:space="preserve">a </w:t>
      </w:r>
      <w:r w:rsidRPr="00C94175">
        <w:rPr>
          <w:rStyle w:val="Emphasis"/>
        </w:rPr>
        <w:t>rebid</w:t>
      </w:r>
      <w:r>
        <w:t xml:space="preserve"> to provide a </w:t>
      </w:r>
      <w:r w:rsidRPr="00C94175">
        <w:rPr>
          <w:rStyle w:val="Emphasis"/>
        </w:rPr>
        <w:t>ramp rate</w:t>
      </w:r>
      <w:r>
        <w:t xml:space="preserve"> compliant with clause 3.8.3A of the Rules.</w:t>
      </w:r>
      <w:r w:rsidR="00F42F96">
        <w:t xml:space="preserve"> </w:t>
      </w:r>
    </w:p>
    <w:p w:rsidR="001B6B64" w:rsidRDefault="001B6B64" w:rsidP="00C94175">
      <w:pPr>
        <w:pStyle w:val="Heading4"/>
      </w:pPr>
      <w:r>
        <w:t>Legal and other operating requirements</w:t>
      </w:r>
    </w:p>
    <w:p w:rsidR="001B6B64" w:rsidRDefault="001B6B64" w:rsidP="001B6B64">
      <w:bookmarkStart w:id="19" w:name="OLE_LINK6"/>
      <w:bookmarkStart w:id="20" w:name="OLE_LINK7"/>
      <w:r w:rsidRPr="001B66D0">
        <w:rPr>
          <w:rStyle w:val="Emphasis"/>
        </w:rPr>
        <w:t>Relevant participants</w:t>
      </w:r>
      <w:r>
        <w:t xml:space="preserve"> can be subject to environmental or other legislative constraints on how their plant can be operated. In some cases, this will </w:t>
      </w:r>
      <w:r w:rsidR="00A7296E">
        <w:t xml:space="preserve">affect </w:t>
      </w:r>
      <w:r>
        <w:t xml:space="preserve">the minimum operating level of the plant. </w:t>
      </w:r>
    </w:p>
    <w:p w:rsidR="001B6B64" w:rsidRDefault="001B6B64" w:rsidP="001B6B64">
      <w:r>
        <w:t xml:space="preserve">In these situations, should a zero </w:t>
      </w:r>
      <w:r w:rsidRPr="00C94175">
        <w:rPr>
          <w:rStyle w:val="Emphasis"/>
        </w:rPr>
        <w:t>ramp rate</w:t>
      </w:r>
      <w:r>
        <w:t xml:space="preserve"> or </w:t>
      </w:r>
      <w:r w:rsidRPr="00C94175">
        <w:rPr>
          <w:rStyle w:val="Emphasis"/>
        </w:rPr>
        <w:t>inflexible offer</w:t>
      </w:r>
      <w:r>
        <w:t xml:space="preserve"> or </w:t>
      </w:r>
      <w:r w:rsidRPr="00C94175">
        <w:rPr>
          <w:rStyle w:val="Emphasis"/>
        </w:rPr>
        <w:t>rebid</w:t>
      </w:r>
      <w:r>
        <w:t xml:space="preserve"> be required to meet legal obligations (such as emission limits), a brief, </w:t>
      </w:r>
      <w:r w:rsidR="00B8566C">
        <w:t xml:space="preserve">verifiable and </w:t>
      </w:r>
      <w:r>
        <w:t xml:space="preserve">specific reason should be submitted that clearly outlines the relevant </w:t>
      </w:r>
      <w:r w:rsidR="00241F6B">
        <w:t xml:space="preserve">legal </w:t>
      </w:r>
      <w:r>
        <w:t xml:space="preserve">requirement. </w:t>
      </w:r>
    </w:p>
    <w:p w:rsidR="001B6B64" w:rsidRPr="001B6B64" w:rsidRDefault="001B6B64" w:rsidP="001B6B64">
      <w:pPr>
        <w:pStyle w:val="Heading2"/>
      </w:pPr>
      <w:bookmarkStart w:id="21" w:name="_Toc383520242"/>
      <w:bookmarkStart w:id="22" w:name="_Toc462138194"/>
      <w:bookmarkEnd w:id="19"/>
      <w:bookmarkEnd w:id="20"/>
      <w:r>
        <w:t>Bidding and rebidding as ‘</w:t>
      </w:r>
      <w:r w:rsidRPr="001B6B64">
        <w:t>inflexible’ (clause 3.8.19)</w:t>
      </w:r>
      <w:bookmarkEnd w:id="21"/>
      <w:bookmarkEnd w:id="22"/>
    </w:p>
    <w:p w:rsidR="001B6B64" w:rsidRPr="00F27644" w:rsidRDefault="001B6B64" w:rsidP="001B6B64">
      <w:pPr>
        <w:pStyle w:val="Heading3"/>
      </w:pPr>
      <w:bookmarkStart w:id="23" w:name="_Toc223245057"/>
      <w:bookmarkStart w:id="24" w:name="_Toc462138195"/>
      <w:r w:rsidRPr="00F27644">
        <w:t>Overview of requirement</w:t>
      </w:r>
      <w:bookmarkEnd w:id="23"/>
      <w:bookmarkEnd w:id="24"/>
      <w:r w:rsidRPr="00F27644">
        <w:t xml:space="preserve"> </w:t>
      </w:r>
    </w:p>
    <w:p w:rsidR="001B6B64" w:rsidRPr="001B6B64" w:rsidRDefault="001B6B64" w:rsidP="001B6B64">
      <w:r w:rsidRPr="001B6B64">
        <w:t xml:space="preserve">Clause 3.8.19(a) states that the declaration of </w:t>
      </w:r>
      <w:r w:rsidRPr="00C94175">
        <w:rPr>
          <w:rStyle w:val="Emphasis"/>
        </w:rPr>
        <w:t>inflexibility</w:t>
      </w:r>
      <w:r w:rsidRPr="001B6B64">
        <w:t xml:space="preserve"> must be “due to abnormal plant conditions or other abnormal operating requirements in respect of that </w:t>
      </w:r>
      <w:r w:rsidRPr="00FC6AA7">
        <w:rPr>
          <w:rStyle w:val="Emphasis"/>
        </w:rPr>
        <w:t>scheduled generating unit, scheduled network service or scheduled load</w:t>
      </w:r>
      <w:r w:rsidRPr="001B6B64">
        <w:t xml:space="preserve">”. </w:t>
      </w:r>
    </w:p>
    <w:p w:rsidR="001B6B64" w:rsidRDefault="001B6B64" w:rsidP="001B6B64">
      <w:r w:rsidRPr="007A4D1B">
        <w:t xml:space="preserve">A </w:t>
      </w:r>
      <w:r w:rsidRPr="00FF79AB">
        <w:rPr>
          <w:rStyle w:val="Emphasis"/>
        </w:rPr>
        <w:t>generator</w:t>
      </w:r>
      <w:r w:rsidRPr="007A4D1B">
        <w:t xml:space="preserve"> that declares itself </w:t>
      </w:r>
      <w:r w:rsidRPr="00C94175">
        <w:rPr>
          <w:rStyle w:val="Emphasis"/>
        </w:rPr>
        <w:t>'inflexible'</w:t>
      </w:r>
      <w:r w:rsidRPr="007A4D1B">
        <w:t xml:space="preserve"> is treated outside the normal market arrangements and must be dispatched by </w:t>
      </w:r>
      <w:r>
        <w:t>AEMO</w:t>
      </w:r>
      <w:r w:rsidRPr="007A4D1B">
        <w:t xml:space="preserve"> at the volume notified regardless of the price the </w:t>
      </w:r>
      <w:r w:rsidRPr="00FF79AB">
        <w:rPr>
          <w:rStyle w:val="Emphasis"/>
        </w:rPr>
        <w:t>generator</w:t>
      </w:r>
      <w:r w:rsidRPr="007A4D1B">
        <w:t xml:space="preserve"> offers that capacity. Accordingly, bidding inflexible is an exception to the normal operation of the market</w:t>
      </w:r>
      <w:r w:rsidR="00AF67FD">
        <w:t>.</w:t>
      </w:r>
      <w:r>
        <w:t xml:space="preserve"> </w:t>
      </w:r>
    </w:p>
    <w:p w:rsidR="001B6B64" w:rsidRDefault="008D5461" w:rsidP="001B6B64">
      <w:r>
        <w:lastRenderedPageBreak/>
        <w:t>C</w:t>
      </w:r>
      <w:r w:rsidR="001B6B64">
        <w:t xml:space="preserve">lause 3.8.19(a2) of the Rules requires that the </w:t>
      </w:r>
      <w:r w:rsidR="001B6B64" w:rsidRPr="001B6B64">
        <w:t>relevant participant</w:t>
      </w:r>
      <w:r w:rsidR="001B6B64">
        <w:t xml:space="preserve"> </w:t>
      </w:r>
      <w:r w:rsidR="001B6B64" w:rsidRPr="0007004B">
        <w:t>not advise</w:t>
      </w:r>
      <w:r w:rsidR="001B6B64">
        <w:t xml:space="preserve"> AEMO of </w:t>
      </w:r>
      <w:proofErr w:type="gramStart"/>
      <w:r w:rsidR="001B6B64">
        <w:t>an inflexibility</w:t>
      </w:r>
      <w:proofErr w:type="gramEnd"/>
      <w:r w:rsidR="001B6B64">
        <w:t xml:space="preserve"> unless it is </w:t>
      </w:r>
      <w:r w:rsidR="001B6B64" w:rsidRPr="001B6B64">
        <w:t>unable</w:t>
      </w:r>
      <w:r w:rsidR="001B6B64">
        <w:t xml:space="preserve"> to follow dispatch instructions</w:t>
      </w:r>
      <w:r w:rsidR="00FC6AA7">
        <w:t xml:space="preserve"> in any </w:t>
      </w:r>
      <w:r w:rsidR="00FC6AA7" w:rsidRPr="00FC6AA7">
        <w:rPr>
          <w:rStyle w:val="Emphasis"/>
        </w:rPr>
        <w:t>trading interval</w:t>
      </w:r>
      <w:r w:rsidR="00FC6AA7">
        <w:t xml:space="preserve"> due to abnormal </w:t>
      </w:r>
      <w:r w:rsidR="00FC6AA7" w:rsidRPr="00FC6AA7">
        <w:rPr>
          <w:rStyle w:val="Emphasis"/>
        </w:rPr>
        <w:t>plant</w:t>
      </w:r>
      <w:r w:rsidR="00FC6AA7">
        <w:t xml:space="preserve"> conditions or other abnormal operating requirements</w:t>
      </w:r>
      <w:r w:rsidR="001B6B64">
        <w:t>.</w:t>
      </w:r>
    </w:p>
    <w:p w:rsidR="001B6B64" w:rsidRDefault="001B6B64" w:rsidP="001B6B64">
      <w:r>
        <w:t xml:space="preserve">When bidding </w:t>
      </w:r>
      <w:r w:rsidRPr="00C94175">
        <w:rPr>
          <w:rStyle w:val="Emphasis"/>
        </w:rPr>
        <w:t>inflexible</w:t>
      </w:r>
      <w:r>
        <w:t xml:space="preserve">, a </w:t>
      </w:r>
      <w:r w:rsidRPr="00C94175">
        <w:rPr>
          <w:rStyle w:val="Emphasis"/>
        </w:rPr>
        <w:t>relevant participant</w:t>
      </w:r>
      <w:r>
        <w:t xml:space="preserve"> must provide AEMO with a brief, verifiable and specific reason for the </w:t>
      </w:r>
      <w:r w:rsidRPr="00C94175">
        <w:rPr>
          <w:rStyle w:val="Emphasis"/>
        </w:rPr>
        <w:t>inflexibility</w:t>
      </w:r>
      <w:r>
        <w:t xml:space="preserve">. The </w:t>
      </w:r>
      <w:r w:rsidRPr="00C94175">
        <w:rPr>
          <w:rStyle w:val="Emphasis"/>
        </w:rPr>
        <w:t>relevant participant</w:t>
      </w:r>
      <w:r>
        <w:t xml:space="preserve"> must also</w:t>
      </w:r>
      <w:r w:rsidR="00C03297">
        <w:t xml:space="preserve"> </w:t>
      </w:r>
      <w:r>
        <w:t xml:space="preserve">advise AEMO of the removal of the </w:t>
      </w:r>
      <w:r w:rsidRPr="00C94175">
        <w:rPr>
          <w:rStyle w:val="Emphasis"/>
        </w:rPr>
        <w:t>inflexibility</w:t>
      </w:r>
      <w:r>
        <w:t xml:space="preserve"> once it reasonably expects to be able to operate in accordance with </w:t>
      </w:r>
      <w:r w:rsidRPr="00C94175">
        <w:rPr>
          <w:rStyle w:val="Emphasis"/>
        </w:rPr>
        <w:t>dispatch instructions</w:t>
      </w:r>
      <w:r>
        <w:t>.</w:t>
      </w:r>
    </w:p>
    <w:p w:rsidR="001B6B64" w:rsidRDefault="00764E91" w:rsidP="001B6B64">
      <w:pPr>
        <w:pStyle w:val="Heading3"/>
      </w:pPr>
      <w:bookmarkStart w:id="25" w:name="_Toc462138196"/>
      <w:r>
        <w:t>A</w:t>
      </w:r>
      <w:r w:rsidR="001B6B64">
        <w:t>bnormal plant or operating requirements</w:t>
      </w:r>
      <w:bookmarkEnd w:id="25"/>
    </w:p>
    <w:p w:rsidR="001B6B64" w:rsidRDefault="001B6B64" w:rsidP="00AF67FD">
      <w:r>
        <w:t xml:space="preserve">As a general principle, the AER considers that abnormal plant conditions or other abnormal operating requirements </w:t>
      </w:r>
      <w:r w:rsidR="00FF18EF">
        <w:t xml:space="preserve">to be </w:t>
      </w:r>
      <w:r>
        <w:t xml:space="preserve">conditions related directly to the internal operation of the relevant plant. An exception to this principle is where another law or licensing requirement requires that plant be operated in a certain manner. </w:t>
      </w:r>
      <w:r w:rsidR="00A7296E">
        <w:t>T</w:t>
      </w:r>
      <w:r>
        <w:t xml:space="preserve">he AER considers that this could amount to abnormal operating requirements. </w:t>
      </w:r>
      <w:r w:rsidR="00A7296E">
        <w:t>We</w:t>
      </w:r>
      <w:r>
        <w:t xml:space="preserve"> would encourage </w:t>
      </w:r>
      <w:r w:rsidRPr="00C94175">
        <w:rPr>
          <w:rStyle w:val="Emphasis"/>
        </w:rPr>
        <w:t>relevant participants</w:t>
      </w:r>
      <w:r>
        <w:t xml:space="preserve"> to contact </w:t>
      </w:r>
      <w:r w:rsidR="00A7296E">
        <w:t>us</w:t>
      </w:r>
      <w:r>
        <w:t xml:space="preserve"> and AEMO to discuss the management of these requirements.</w:t>
      </w:r>
    </w:p>
    <w:p w:rsidR="001B6B64" w:rsidRPr="001B6B64" w:rsidRDefault="001B6B64" w:rsidP="001B6B64">
      <w:pPr>
        <w:pStyle w:val="Heading3"/>
      </w:pPr>
      <w:bookmarkStart w:id="26" w:name="_Toc223245058"/>
      <w:bookmarkStart w:id="27" w:name="_Toc462138197"/>
      <w:r>
        <w:t>I</w:t>
      </w:r>
      <w:r w:rsidRPr="001B6B64">
        <w:t>nformation to be provided</w:t>
      </w:r>
      <w:bookmarkEnd w:id="26"/>
      <w:bookmarkEnd w:id="27"/>
    </w:p>
    <w:p w:rsidR="001B6B64" w:rsidRDefault="001B6B64" w:rsidP="001B6B64">
      <w:r>
        <w:t xml:space="preserve">There are two requirements on </w:t>
      </w:r>
      <w:r w:rsidRPr="00C94175">
        <w:rPr>
          <w:rStyle w:val="Emphasis"/>
        </w:rPr>
        <w:t>relevant participants</w:t>
      </w:r>
      <w:r>
        <w:t xml:space="preserve"> to provide information in relation to </w:t>
      </w:r>
      <w:r w:rsidRPr="00C94175">
        <w:rPr>
          <w:rStyle w:val="Emphasis"/>
        </w:rPr>
        <w:t>inflexible bid</w:t>
      </w:r>
      <w:r w:rsidR="00FF79AB">
        <w:rPr>
          <w:rStyle w:val="Emphasis"/>
        </w:rPr>
        <w:t>s</w:t>
      </w:r>
      <w:r>
        <w:t>. First, under clause 3.8.19(b</w:t>
      </w:r>
      <w:proofErr w:type="gramStart"/>
      <w:r>
        <w:t>)(</w:t>
      </w:r>
      <w:proofErr w:type="gramEnd"/>
      <w:r>
        <w:t xml:space="preserve">1) of the Rules, </w:t>
      </w:r>
      <w:r w:rsidRPr="00656254">
        <w:rPr>
          <w:rStyle w:val="Emphasis"/>
        </w:rPr>
        <w:t>relevant participants</w:t>
      </w:r>
      <w:r>
        <w:t xml:space="preserve"> must provide AEMO with a brief, verifiable and specific reason for the </w:t>
      </w:r>
      <w:r w:rsidRPr="00C94175">
        <w:rPr>
          <w:rStyle w:val="Emphasis"/>
        </w:rPr>
        <w:t>inflexibility</w:t>
      </w:r>
      <w:r>
        <w:t xml:space="preserve"> </w:t>
      </w:r>
      <w:r w:rsidR="00B96020">
        <w:t xml:space="preserve">at the same time as it advises AEMO of the </w:t>
      </w:r>
      <w:r w:rsidR="00B96020" w:rsidRPr="00C94175">
        <w:rPr>
          <w:rStyle w:val="Emphasis"/>
        </w:rPr>
        <w:t>inflexibility</w:t>
      </w:r>
      <w:r>
        <w:t>. Second, under 3.8.19(b)(2) of the Rules,</w:t>
      </w:r>
      <w:r w:rsidRPr="00AB6E9E">
        <w:t xml:space="preserve"> </w:t>
      </w:r>
      <w:r w:rsidRPr="00656254">
        <w:rPr>
          <w:rStyle w:val="Emphasis"/>
        </w:rPr>
        <w:t>relevant participants</w:t>
      </w:r>
      <w:r>
        <w:t xml:space="preserve"> must provide to the AER, upon written request, in accordance with this </w:t>
      </w:r>
      <w:r w:rsidR="00FF79AB">
        <w:t>g</w:t>
      </w:r>
      <w:r>
        <w:t xml:space="preserve">uideline, such additional information to substantiate and verify the reason for such </w:t>
      </w:r>
      <w:r w:rsidRPr="00C94175">
        <w:rPr>
          <w:rStyle w:val="Emphasis"/>
        </w:rPr>
        <w:t>inflexibility</w:t>
      </w:r>
      <w:r>
        <w:t xml:space="preserve"> as the AER may require from time to time.</w:t>
      </w:r>
    </w:p>
    <w:p w:rsidR="001B6B64" w:rsidRDefault="001B6B64" w:rsidP="001B6B64">
      <w:r>
        <w:t xml:space="preserve">The information provided to AEMO at the same time as an </w:t>
      </w:r>
      <w:r w:rsidRPr="00C94175">
        <w:rPr>
          <w:rStyle w:val="Emphasis"/>
        </w:rPr>
        <w:t>inflexible bid</w:t>
      </w:r>
      <w:r>
        <w:t xml:space="preserve"> </w:t>
      </w:r>
      <w:r w:rsidR="005417BE">
        <w:t xml:space="preserve">is </w:t>
      </w:r>
      <w:r w:rsidR="008C78E7">
        <w:t>submitted</w:t>
      </w:r>
      <w:r w:rsidR="005417BE">
        <w:t xml:space="preserve"> </w:t>
      </w:r>
      <w:r>
        <w:t xml:space="preserve">should be sufficiently comprehensive to identify the nature of the reason for the </w:t>
      </w:r>
      <w:r w:rsidRPr="00C94175">
        <w:rPr>
          <w:rStyle w:val="Emphasis"/>
        </w:rPr>
        <w:t>inflexibility</w:t>
      </w:r>
      <w:r>
        <w:t>. This should be directly related to the change associated with physical conditions (for example, control system malfunction or changed hydrological conditions).</w:t>
      </w:r>
    </w:p>
    <w:p w:rsidR="001B6B64" w:rsidRDefault="001B6B64" w:rsidP="001B6B64">
      <w:r>
        <w:t xml:space="preserve">Specifically the </w:t>
      </w:r>
      <w:r w:rsidRPr="00C94175">
        <w:rPr>
          <w:rStyle w:val="Emphasis"/>
        </w:rPr>
        <w:t>inflexible</w:t>
      </w:r>
      <w:r>
        <w:t xml:space="preserve"> </w:t>
      </w:r>
      <w:r w:rsidRPr="00C94175">
        <w:rPr>
          <w:rStyle w:val="Emphasis"/>
        </w:rPr>
        <w:t>bid</w:t>
      </w:r>
      <w:r>
        <w:t xml:space="preserve"> or </w:t>
      </w:r>
      <w:r w:rsidRPr="00C94175">
        <w:rPr>
          <w:rStyle w:val="Emphasis"/>
        </w:rPr>
        <w:t>rebid</w:t>
      </w:r>
      <w:r>
        <w:t xml:space="preserve"> should include:</w:t>
      </w:r>
    </w:p>
    <w:p w:rsidR="001B6B64" w:rsidRPr="001B6B64" w:rsidRDefault="001B6B64" w:rsidP="00FF79AB">
      <w:pPr>
        <w:pStyle w:val="Bulletpoint"/>
      </w:pPr>
      <w:proofErr w:type="gramStart"/>
      <w:r>
        <w:t>details</w:t>
      </w:r>
      <w:proofErr w:type="gramEnd"/>
      <w:r>
        <w:t xml:space="preserve"> of the </w:t>
      </w:r>
      <w:r w:rsidRPr="001B6B64">
        <w:t xml:space="preserve">abnormal plant conditions or other abnormal operating requirements that require the plant to be </w:t>
      </w:r>
      <w:r w:rsidRPr="00C94175">
        <w:rPr>
          <w:rStyle w:val="Emphasis"/>
        </w:rPr>
        <w:t>inflexible</w:t>
      </w:r>
      <w:r w:rsidR="00A7296E">
        <w:rPr>
          <w:rStyle w:val="Emphasis"/>
        </w:rPr>
        <w:t>.</w:t>
      </w:r>
    </w:p>
    <w:p w:rsidR="001B6B64" w:rsidRPr="001B6B64" w:rsidRDefault="001B6B64" w:rsidP="00656254">
      <w:pPr>
        <w:pStyle w:val="Bulletpoint"/>
      </w:pPr>
      <w:proofErr w:type="gramStart"/>
      <w:r>
        <w:t>the</w:t>
      </w:r>
      <w:proofErr w:type="gramEnd"/>
      <w:r>
        <w:t xml:space="preserve"> time the </w:t>
      </w:r>
      <w:r w:rsidRPr="001B6B64">
        <w:t>abnormal plant conditions or other abnormal operating requirements were identified</w:t>
      </w:r>
      <w:r w:rsidR="00C94175">
        <w:t>.</w:t>
      </w:r>
    </w:p>
    <w:p w:rsidR="001B6B64" w:rsidRDefault="001B6B64" w:rsidP="001B6B64">
      <w:pPr>
        <w:pStyle w:val="Heading3"/>
      </w:pPr>
      <w:bookmarkStart w:id="28" w:name="_Toc462138198"/>
      <w:r>
        <w:t>Testing</w:t>
      </w:r>
      <w:bookmarkEnd w:id="28"/>
    </w:p>
    <w:p w:rsidR="001C5943" w:rsidRDefault="001C5943" w:rsidP="000F62E8">
      <w:r w:rsidRPr="001C5943">
        <w:rPr>
          <w:rStyle w:val="Emphasis"/>
        </w:rPr>
        <w:t>Relevant p</w:t>
      </w:r>
      <w:r w:rsidR="0088444F" w:rsidRPr="001C5943">
        <w:rPr>
          <w:rStyle w:val="Emphasis"/>
        </w:rPr>
        <w:t>articipants</w:t>
      </w:r>
      <w:r w:rsidR="0088444F">
        <w:t xml:space="preserve"> must submit an </w:t>
      </w:r>
      <w:r w:rsidR="0088444F" w:rsidRPr="001C5943">
        <w:rPr>
          <w:rStyle w:val="Emphasis"/>
        </w:rPr>
        <w:t>inflexible bid</w:t>
      </w:r>
      <w:r w:rsidR="0088444F">
        <w:t xml:space="preserve"> in circumstances where testing of plant or equipment means they are unable to follow </w:t>
      </w:r>
      <w:r w:rsidR="0088444F" w:rsidRPr="001C5943">
        <w:rPr>
          <w:rStyle w:val="Emphasis"/>
        </w:rPr>
        <w:t>dispatch instructions</w:t>
      </w:r>
      <w:r w:rsidR="0088444F">
        <w:t xml:space="preserve"> due to abnormal plant conditions or other abnormal operating requirements</w:t>
      </w:r>
      <w:r>
        <w:t>.</w:t>
      </w:r>
    </w:p>
    <w:p w:rsidR="001B6B64" w:rsidRDefault="000F62E8" w:rsidP="000F62E8">
      <w:r>
        <w:lastRenderedPageBreak/>
        <w:t>I</w:t>
      </w:r>
      <w:r w:rsidR="001B6B64">
        <w:t xml:space="preserve">n situations where plant or other equipment requires testing </w:t>
      </w:r>
      <w:r w:rsidR="000572E3">
        <w:t xml:space="preserve">an </w:t>
      </w:r>
      <w:r w:rsidR="001B6B64" w:rsidRPr="00C94175">
        <w:rPr>
          <w:rStyle w:val="Emphasis"/>
        </w:rPr>
        <w:t>inflexible</w:t>
      </w:r>
      <w:r w:rsidR="001B6B64">
        <w:t xml:space="preserve"> </w:t>
      </w:r>
      <w:r w:rsidR="001B6B64" w:rsidRPr="00C94175">
        <w:rPr>
          <w:rStyle w:val="Emphasis"/>
        </w:rPr>
        <w:t>bid</w:t>
      </w:r>
      <w:r w:rsidR="001B6B64">
        <w:t xml:space="preserve"> may be required. In such cases, the </w:t>
      </w:r>
      <w:r w:rsidR="00175F07">
        <w:t xml:space="preserve">brief, verifiable and specific </w:t>
      </w:r>
      <w:r w:rsidR="001B6B64">
        <w:t xml:space="preserve">reason submitted with the </w:t>
      </w:r>
      <w:r w:rsidR="001B6B64" w:rsidRPr="00C94175">
        <w:rPr>
          <w:rStyle w:val="Emphasis"/>
        </w:rPr>
        <w:t>bid</w:t>
      </w:r>
      <w:r w:rsidR="001B6B64">
        <w:t xml:space="preserve"> or </w:t>
      </w:r>
      <w:r w:rsidR="001B6B64" w:rsidRPr="00C94175">
        <w:rPr>
          <w:rStyle w:val="Emphasis"/>
        </w:rPr>
        <w:t>rebid</w:t>
      </w:r>
      <w:r w:rsidR="001B6B64">
        <w:t xml:space="preserve"> should include:</w:t>
      </w:r>
    </w:p>
    <w:p w:rsidR="001B6B64" w:rsidRPr="001B6B64" w:rsidRDefault="001B6B64" w:rsidP="00175F07">
      <w:pPr>
        <w:pStyle w:val="Bulletpoint"/>
      </w:pPr>
      <w:proofErr w:type="gramStart"/>
      <w:r>
        <w:t>a</w:t>
      </w:r>
      <w:proofErr w:type="gramEnd"/>
      <w:r>
        <w:t xml:space="preserve"> </w:t>
      </w:r>
      <w:r w:rsidRPr="001B6B64">
        <w:t>descript</w:t>
      </w:r>
      <w:r w:rsidR="00A7296E">
        <w:t>ion of the test being conducted.</w:t>
      </w:r>
    </w:p>
    <w:p w:rsidR="001B6B64" w:rsidRPr="001B6B64" w:rsidRDefault="001B6B64" w:rsidP="00175F07">
      <w:pPr>
        <w:pStyle w:val="Bulletpoint"/>
      </w:pPr>
      <w:proofErr w:type="gramStart"/>
      <w:r>
        <w:t>why</w:t>
      </w:r>
      <w:proofErr w:type="gramEnd"/>
      <w:r>
        <w:t xml:space="preserve"> </w:t>
      </w:r>
      <w:r w:rsidR="00175F07">
        <w:t xml:space="preserve">the </w:t>
      </w:r>
      <w:r w:rsidRPr="00C94175">
        <w:rPr>
          <w:rStyle w:val="Emphasis"/>
        </w:rPr>
        <w:t>inflexibility</w:t>
      </w:r>
      <w:r>
        <w:t xml:space="preserve"> is required</w:t>
      </w:r>
      <w:r w:rsidR="00A7296E">
        <w:t>.</w:t>
      </w:r>
    </w:p>
    <w:p w:rsidR="001B6B64" w:rsidRPr="001B6B64" w:rsidRDefault="001B6B64" w:rsidP="00175F07">
      <w:pPr>
        <w:pStyle w:val="Bulletpoint"/>
      </w:pPr>
      <w:proofErr w:type="gramStart"/>
      <w:r>
        <w:t>the</w:t>
      </w:r>
      <w:proofErr w:type="gramEnd"/>
      <w:r>
        <w:t xml:space="preserve"> </w:t>
      </w:r>
      <w:r w:rsidRPr="001B6B64">
        <w:t xml:space="preserve">expected duration of the test. </w:t>
      </w:r>
    </w:p>
    <w:p w:rsidR="001B6B64" w:rsidRDefault="001B6B64" w:rsidP="001B6B64">
      <w:r>
        <w:t xml:space="preserve">In order for system security to be appropriately managed, </w:t>
      </w:r>
      <w:r w:rsidR="00FF79AB" w:rsidRPr="00FF79AB">
        <w:rPr>
          <w:rStyle w:val="Emphasis"/>
        </w:rPr>
        <w:t xml:space="preserve">relevant </w:t>
      </w:r>
      <w:r w:rsidRPr="00FF79AB">
        <w:rPr>
          <w:rStyle w:val="Emphasis"/>
        </w:rPr>
        <w:t>participants</w:t>
      </w:r>
      <w:r>
        <w:t xml:space="preserve"> should advise AEMO as soon as the</w:t>
      </w:r>
      <w:r w:rsidR="00175F07">
        <w:t>y recognise the</w:t>
      </w:r>
      <w:r>
        <w:t xml:space="preserve"> need for a test that requires an </w:t>
      </w:r>
      <w:r w:rsidRPr="00C94175">
        <w:rPr>
          <w:rStyle w:val="Emphasis"/>
        </w:rPr>
        <w:t>inflexible</w:t>
      </w:r>
      <w:r>
        <w:t xml:space="preserve"> </w:t>
      </w:r>
      <w:r w:rsidRPr="00C94175">
        <w:rPr>
          <w:rStyle w:val="Emphasis"/>
        </w:rPr>
        <w:t>bid</w:t>
      </w:r>
      <w:r>
        <w:t>.</w:t>
      </w:r>
    </w:p>
    <w:p w:rsidR="001B6B64" w:rsidRDefault="001B6B64" w:rsidP="001B6B64">
      <w:pPr>
        <w:pStyle w:val="Heading2"/>
      </w:pPr>
      <w:bookmarkStart w:id="29" w:name="_Toc223245065"/>
      <w:bookmarkStart w:id="30" w:name="_Toc383520243"/>
      <w:bookmarkStart w:id="31" w:name="_Toc462138199"/>
      <w:r>
        <w:t xml:space="preserve">Market </w:t>
      </w:r>
      <w:r w:rsidR="00DA0C2B">
        <w:t>a</w:t>
      </w:r>
      <w:r>
        <w:t xml:space="preserve">ncillary </w:t>
      </w:r>
      <w:r w:rsidR="00DA0C2B">
        <w:t>s</w:t>
      </w:r>
      <w:r>
        <w:t>ervices</w:t>
      </w:r>
      <w:bookmarkEnd w:id="29"/>
      <w:bookmarkEnd w:id="30"/>
      <w:bookmarkEnd w:id="31"/>
    </w:p>
    <w:p w:rsidR="001B6B64" w:rsidRPr="001B6B64" w:rsidRDefault="0015519B" w:rsidP="002A0E2E">
      <w:r>
        <w:rPr>
          <w:rStyle w:val="Emphasis"/>
        </w:rPr>
        <w:t>M</w:t>
      </w:r>
      <w:r w:rsidRPr="00C94175">
        <w:rPr>
          <w:rStyle w:val="Emphasis"/>
        </w:rPr>
        <w:t>arket</w:t>
      </w:r>
      <w:r w:rsidRPr="001B6B64">
        <w:t xml:space="preserve"> </w:t>
      </w:r>
      <w:r w:rsidR="001B6B64" w:rsidRPr="00C94175">
        <w:rPr>
          <w:rStyle w:val="Emphasis"/>
        </w:rPr>
        <w:t>ancillary</w:t>
      </w:r>
      <w:r w:rsidR="001B6B64" w:rsidRPr="001B6B64">
        <w:t xml:space="preserve"> </w:t>
      </w:r>
      <w:r w:rsidR="001B6B64" w:rsidRPr="00C94175">
        <w:rPr>
          <w:rStyle w:val="Emphasis"/>
        </w:rPr>
        <w:t>services</w:t>
      </w:r>
      <w:r w:rsidR="001B6B64" w:rsidRPr="001B6B64">
        <w:t xml:space="preserve"> assist AEMO </w:t>
      </w:r>
      <w:r>
        <w:t xml:space="preserve">to </w:t>
      </w:r>
      <w:r w:rsidR="001B6B64" w:rsidRPr="001B6B64">
        <w:t xml:space="preserve">manage system security. </w:t>
      </w:r>
      <w:r w:rsidR="002A0E2E" w:rsidRPr="002A0E2E">
        <w:t>In accordance with clause 3.8.7A,</w:t>
      </w:r>
      <w:r w:rsidR="002A0E2E">
        <w:rPr>
          <w:rStyle w:val="Emphasis"/>
        </w:rPr>
        <w:t xml:space="preserve"> o</w:t>
      </w:r>
      <w:r w:rsidR="002A0E2E" w:rsidRPr="002A0E2E">
        <w:rPr>
          <w:rStyle w:val="Emphasis"/>
        </w:rPr>
        <w:t>ffers</w:t>
      </w:r>
      <w:r w:rsidR="002A0E2E" w:rsidRPr="001B6B64">
        <w:t xml:space="preserve"> </w:t>
      </w:r>
      <w:r w:rsidR="001B6B64" w:rsidRPr="001B6B64">
        <w:t xml:space="preserve">for </w:t>
      </w:r>
      <w:r w:rsidR="001B6B64" w:rsidRPr="002A0E2E">
        <w:rPr>
          <w:rStyle w:val="Emphasis"/>
        </w:rPr>
        <w:t>market ancillary services</w:t>
      </w:r>
      <w:r w:rsidR="001B6B64" w:rsidRPr="001B6B64">
        <w:t xml:space="preserve"> must contain:</w:t>
      </w:r>
    </w:p>
    <w:p w:rsidR="001B6B64" w:rsidRPr="001B6B64" w:rsidRDefault="001B6B64" w:rsidP="00B20F1B">
      <w:pPr>
        <w:pStyle w:val="Bulletpoint"/>
      </w:pPr>
      <w:proofErr w:type="gramStart"/>
      <w:r>
        <w:t>an</w:t>
      </w:r>
      <w:proofErr w:type="gramEnd"/>
      <w:r>
        <w:t xml:space="preserve"> incremental MW amount for each of the 48 </w:t>
      </w:r>
      <w:r w:rsidRPr="002A0E2E">
        <w:rPr>
          <w:rStyle w:val="Emphasis"/>
        </w:rPr>
        <w:t>trading intervals</w:t>
      </w:r>
      <w:r>
        <w:t>, distributed across up to 10 price bands</w:t>
      </w:r>
      <w:r w:rsidRPr="001B6B64">
        <w:t xml:space="preserve"> with an </w:t>
      </w:r>
      <w:r w:rsidRPr="002A0E2E">
        <w:rPr>
          <w:rStyle w:val="Emphasis"/>
        </w:rPr>
        <w:t>enabling price</w:t>
      </w:r>
      <w:r w:rsidRPr="001B6B64">
        <w:t xml:space="preserve"> for each </w:t>
      </w:r>
      <w:r w:rsidRPr="002A0E2E">
        <w:rPr>
          <w:rStyle w:val="Emphasis"/>
        </w:rPr>
        <w:t>price band</w:t>
      </w:r>
      <w:r w:rsidR="00FF79AB">
        <w:rPr>
          <w:rStyle w:val="Emphasis"/>
        </w:rPr>
        <w:t>.</w:t>
      </w:r>
    </w:p>
    <w:p w:rsidR="001B6B64" w:rsidRDefault="001B6B64" w:rsidP="00B20F1B">
      <w:pPr>
        <w:pStyle w:val="Bulletpoint"/>
      </w:pPr>
      <w:proofErr w:type="gramStart"/>
      <w:r>
        <w:t>the</w:t>
      </w:r>
      <w:proofErr w:type="gramEnd"/>
      <w:r>
        <w:t xml:space="preserve"> </w:t>
      </w:r>
      <w:r w:rsidRPr="00C94175">
        <w:rPr>
          <w:rStyle w:val="Emphasis"/>
        </w:rPr>
        <w:t>response breakpoint</w:t>
      </w:r>
      <w:r w:rsidR="00A7296E">
        <w:rPr>
          <w:rStyle w:val="Emphasis"/>
        </w:rPr>
        <w:t>.</w:t>
      </w:r>
    </w:p>
    <w:p w:rsidR="001B6B64" w:rsidRDefault="001B6B64" w:rsidP="002A0E2E">
      <w:pPr>
        <w:pStyle w:val="Bulletpoint"/>
      </w:pPr>
      <w:proofErr w:type="gramStart"/>
      <w:r>
        <w:t>the</w:t>
      </w:r>
      <w:proofErr w:type="gramEnd"/>
      <w:r>
        <w:t xml:space="preserve"> upper and lower </w:t>
      </w:r>
      <w:r w:rsidRPr="00C94175">
        <w:rPr>
          <w:rStyle w:val="Emphasis"/>
        </w:rPr>
        <w:t>enablement limits</w:t>
      </w:r>
      <w:r w:rsidR="00A7296E">
        <w:rPr>
          <w:rStyle w:val="Emphasis"/>
        </w:rPr>
        <w:t>.</w:t>
      </w:r>
    </w:p>
    <w:p w:rsidR="001B6B64" w:rsidRDefault="001B6B64" w:rsidP="00B20F1B">
      <w:pPr>
        <w:pStyle w:val="Bulletpoint"/>
      </w:pPr>
      <w:proofErr w:type="gramStart"/>
      <w:r>
        <w:t>the</w:t>
      </w:r>
      <w:proofErr w:type="gramEnd"/>
      <w:r>
        <w:t xml:space="preserve"> </w:t>
      </w:r>
      <w:r w:rsidRPr="00C94175">
        <w:rPr>
          <w:rStyle w:val="Emphasis"/>
        </w:rPr>
        <w:t>response capability</w:t>
      </w:r>
      <w:r>
        <w:t>.</w:t>
      </w:r>
    </w:p>
    <w:p w:rsidR="001B6B64" w:rsidRDefault="001B6B64" w:rsidP="001B6B64">
      <w:r w:rsidRPr="001B6B64">
        <w:t xml:space="preserve">The final three </w:t>
      </w:r>
      <w:r w:rsidR="00241F6B">
        <w:t xml:space="preserve">items </w:t>
      </w:r>
      <w:r w:rsidRPr="001B6B64">
        <w:t xml:space="preserve">on this list </w:t>
      </w:r>
      <w:r w:rsidR="00175F07">
        <w:t>comprise</w:t>
      </w:r>
      <w:r w:rsidR="00175F07" w:rsidRPr="001B6B64">
        <w:t xml:space="preserve"> </w:t>
      </w:r>
      <w:r w:rsidRPr="001B6B64">
        <w:t xml:space="preserve">the </w:t>
      </w:r>
      <w:r>
        <w:t xml:space="preserve">technical parameters of the </w:t>
      </w:r>
      <w:r w:rsidRPr="00C94175">
        <w:rPr>
          <w:rStyle w:val="Emphasis"/>
        </w:rPr>
        <w:t>offer</w:t>
      </w:r>
      <w:r>
        <w:t xml:space="preserve"> and provide the maximum amount of </w:t>
      </w:r>
      <w:r w:rsidRPr="00651DB4">
        <w:rPr>
          <w:rStyle w:val="Emphasis"/>
        </w:rPr>
        <w:t>ancillary service</w:t>
      </w:r>
      <w:r>
        <w:t xml:space="preserve"> that can be provided for a given MW output level for the </w:t>
      </w:r>
      <w:r w:rsidRPr="00C94175">
        <w:rPr>
          <w:rStyle w:val="Emphasis"/>
        </w:rPr>
        <w:t>generating unit</w:t>
      </w:r>
      <w:r>
        <w:t xml:space="preserve"> or </w:t>
      </w:r>
      <w:r w:rsidRPr="00FF79AB">
        <w:rPr>
          <w:rStyle w:val="Emphasis"/>
        </w:rPr>
        <w:t>load</w:t>
      </w:r>
      <w:r>
        <w:t>.</w:t>
      </w:r>
    </w:p>
    <w:p w:rsidR="00667662" w:rsidRDefault="00667662" w:rsidP="00BB2291">
      <w:r>
        <w:t xml:space="preserve">Clause </w:t>
      </w:r>
      <w:proofErr w:type="gramStart"/>
      <w:r>
        <w:t>3.8.7A(</w:t>
      </w:r>
      <w:proofErr w:type="gramEnd"/>
      <w:r>
        <w:t xml:space="preserve">k) requires </w:t>
      </w:r>
      <w:r w:rsidRPr="00FF79AB">
        <w:rPr>
          <w:rStyle w:val="Emphasis"/>
        </w:rPr>
        <w:t>ancillary service</w:t>
      </w:r>
      <w:r w:rsidR="00FF79AB" w:rsidRPr="00FF79AB">
        <w:rPr>
          <w:rStyle w:val="Emphasis"/>
        </w:rPr>
        <w:t>s</w:t>
      </w:r>
      <w:r>
        <w:t xml:space="preserve"> providers to be capable of meeting the market ancillary service specification </w:t>
      </w:r>
      <w:r w:rsidR="00546703">
        <w:t xml:space="preserve">(MASS) </w:t>
      </w:r>
      <w:r>
        <w:t xml:space="preserve">at all times. </w:t>
      </w:r>
      <w:r w:rsidR="00B20F1B">
        <w:t xml:space="preserve">According to </w:t>
      </w:r>
      <w:r w:rsidR="00546703">
        <w:t xml:space="preserve">Section 1.5 of AEMO's MASS </w:t>
      </w:r>
      <w:r w:rsidR="00BB2291">
        <w:t>w</w:t>
      </w:r>
      <w:r w:rsidR="00BB2291" w:rsidRPr="00651DB4">
        <w:t xml:space="preserve">here there is a condition that results in changed availability and capability of the </w:t>
      </w:r>
      <w:r w:rsidR="00BB2291" w:rsidRPr="00651DB4">
        <w:rPr>
          <w:rStyle w:val="Emphasis"/>
        </w:rPr>
        <w:t>market ancillary service</w:t>
      </w:r>
      <w:r w:rsidR="00BB2291" w:rsidRPr="00651DB4">
        <w:t xml:space="preserve">, the </w:t>
      </w:r>
      <w:r w:rsidR="00BB2291" w:rsidRPr="00651DB4">
        <w:rPr>
          <w:rStyle w:val="Emphasis"/>
        </w:rPr>
        <w:t>market participant</w:t>
      </w:r>
      <w:r w:rsidR="00BB2291" w:rsidRPr="00651DB4">
        <w:t xml:space="preserve"> must </w:t>
      </w:r>
      <w:r w:rsidR="00BB2291" w:rsidRPr="00651DB4">
        <w:rPr>
          <w:rStyle w:val="Emphasis"/>
        </w:rPr>
        <w:t>rebid</w:t>
      </w:r>
      <w:r w:rsidR="00BB2291" w:rsidRPr="00651DB4">
        <w:t xml:space="preserve"> to reflect changes to the </w:t>
      </w:r>
      <w:r w:rsidR="00BB2291" w:rsidRPr="00651DB4">
        <w:rPr>
          <w:rStyle w:val="Emphasis"/>
        </w:rPr>
        <w:t xml:space="preserve">market ancillary service </w:t>
      </w:r>
      <w:r w:rsidR="00BB2291" w:rsidRPr="00651DB4">
        <w:t xml:space="preserve">availability and capability in the </w:t>
      </w:r>
      <w:r w:rsidR="00BB2291" w:rsidRPr="00651DB4">
        <w:rPr>
          <w:rStyle w:val="Emphasis"/>
        </w:rPr>
        <w:t>central dispatch process</w:t>
      </w:r>
      <w:r w:rsidR="00BB2291" w:rsidRPr="00651DB4">
        <w:t xml:space="preserve">. This includes services that are aggregated across multiple </w:t>
      </w:r>
      <w:r w:rsidR="00BB2291" w:rsidRPr="00651DB4">
        <w:rPr>
          <w:rStyle w:val="Emphasis"/>
        </w:rPr>
        <w:t>connection points</w:t>
      </w:r>
      <w:r w:rsidR="00BB2291" w:rsidRPr="00651DB4">
        <w:t>.</w:t>
      </w:r>
    </w:p>
    <w:p w:rsidR="00BB495D" w:rsidRDefault="001B6B64" w:rsidP="00880B65">
      <w:r>
        <w:t>C</w:t>
      </w:r>
      <w:r w:rsidRPr="001B6B64">
        <w:t xml:space="preserve">lauses </w:t>
      </w:r>
      <w:proofErr w:type="gramStart"/>
      <w:r w:rsidRPr="001B6B64">
        <w:t>3.8.7A(</w:t>
      </w:r>
      <w:proofErr w:type="gramEnd"/>
      <w:r w:rsidRPr="001B6B64">
        <w:t xml:space="preserve">l) and 3.8.7A(m) of the Rules </w:t>
      </w:r>
      <w:bookmarkStart w:id="32" w:name="OLE_LINK21"/>
      <w:r w:rsidRPr="001B6B64">
        <w:t>require</w:t>
      </w:r>
      <w:r w:rsidR="00651DB4">
        <w:t xml:space="preserve"> that</w:t>
      </w:r>
      <w:r w:rsidRPr="001B6B64">
        <w:t xml:space="preserve"> the technical parameters of </w:t>
      </w:r>
      <w:r w:rsidRPr="00C94175">
        <w:rPr>
          <w:rStyle w:val="Emphasis"/>
        </w:rPr>
        <w:t>market ancillary service offers</w:t>
      </w:r>
      <w:r w:rsidRPr="001B6B64">
        <w:t xml:space="preserve"> represent the technical characteristics of the </w:t>
      </w:r>
      <w:bookmarkEnd w:id="32"/>
      <w:r w:rsidRPr="00C94175">
        <w:rPr>
          <w:rStyle w:val="Emphasis"/>
        </w:rPr>
        <w:t>generating unit</w:t>
      </w:r>
      <w:r w:rsidRPr="001B6B64">
        <w:t xml:space="preserve"> or </w:t>
      </w:r>
      <w:r w:rsidRPr="00837301">
        <w:rPr>
          <w:rStyle w:val="Emphasis"/>
        </w:rPr>
        <w:t>load</w:t>
      </w:r>
      <w:r w:rsidRPr="001B6B64">
        <w:t xml:space="preserve"> at the time of </w:t>
      </w:r>
      <w:r w:rsidRPr="00C94175">
        <w:rPr>
          <w:rStyle w:val="Emphasis"/>
        </w:rPr>
        <w:t>dispatch</w:t>
      </w:r>
      <w:r w:rsidRPr="001B6B64">
        <w:t xml:space="preserve">. </w:t>
      </w:r>
      <w:r w:rsidR="00BB495D">
        <w:t xml:space="preserve">Where the technical parameters of </w:t>
      </w:r>
      <w:r w:rsidR="00BB495D" w:rsidRPr="00C94175">
        <w:rPr>
          <w:rStyle w:val="Emphasis"/>
        </w:rPr>
        <w:t>market ancillary service offers</w:t>
      </w:r>
      <w:r w:rsidR="00BB495D">
        <w:t xml:space="preserve"> are being rebid, the reason </w:t>
      </w:r>
      <w:r w:rsidR="00BB495D" w:rsidRPr="006413F4">
        <w:t xml:space="preserve">provided should relate directly to the technical characteristics that have altered since the initial </w:t>
      </w:r>
      <w:r w:rsidR="00BB495D" w:rsidRPr="00C94175">
        <w:rPr>
          <w:rStyle w:val="Emphasis"/>
        </w:rPr>
        <w:t>market ancillary service offer</w:t>
      </w:r>
      <w:r w:rsidR="00BB495D" w:rsidRPr="006413F4">
        <w:t xml:space="preserve">. This is required as, in order to be compliant with </w:t>
      </w:r>
      <w:proofErr w:type="gramStart"/>
      <w:r w:rsidR="00BB495D" w:rsidRPr="006413F4">
        <w:t>3.8.7A(</w:t>
      </w:r>
      <w:proofErr w:type="gramEnd"/>
      <w:r w:rsidR="00BB495D" w:rsidRPr="006413F4">
        <w:t xml:space="preserve">l), the </w:t>
      </w:r>
      <w:r w:rsidR="00BB495D" w:rsidRPr="00C94175">
        <w:rPr>
          <w:rStyle w:val="Emphasis"/>
        </w:rPr>
        <w:t>initial offer</w:t>
      </w:r>
      <w:r w:rsidR="00BB495D" w:rsidRPr="006413F4">
        <w:t xml:space="preserve"> must have represented the technical characteristics of the ancillary service generating unit or ancillary service </w:t>
      </w:r>
      <w:r w:rsidR="00BB495D" w:rsidRPr="00837301">
        <w:rPr>
          <w:rStyle w:val="Emphasis"/>
        </w:rPr>
        <w:t>load</w:t>
      </w:r>
      <w:r w:rsidR="00BB495D" w:rsidRPr="006413F4">
        <w:t xml:space="preserve">. Therefore, if a </w:t>
      </w:r>
      <w:r w:rsidR="00BB495D" w:rsidRPr="00C94175">
        <w:rPr>
          <w:rStyle w:val="Emphasis"/>
        </w:rPr>
        <w:t>rebid</w:t>
      </w:r>
      <w:r w:rsidR="00BB495D" w:rsidRPr="006413F4">
        <w:t xml:space="preserve"> is submitted, there necessarily must have been a change in technical characteristics.</w:t>
      </w:r>
    </w:p>
    <w:p w:rsidR="00E97F61" w:rsidRDefault="00E97F61" w:rsidP="001B6B64">
      <w:r w:rsidRPr="00E97F61">
        <w:t xml:space="preserve">If the physical or technical limitations of a unit, </w:t>
      </w:r>
      <w:r w:rsidRPr="00837301">
        <w:rPr>
          <w:rStyle w:val="Emphasis"/>
        </w:rPr>
        <w:t>load</w:t>
      </w:r>
      <w:r w:rsidRPr="00E97F61">
        <w:t xml:space="preserve"> or facility change as a result of a change in conditions, the </w:t>
      </w:r>
      <w:r w:rsidRPr="00C94175">
        <w:rPr>
          <w:rStyle w:val="Emphasis"/>
        </w:rPr>
        <w:t>relevant participant</w:t>
      </w:r>
      <w:r w:rsidRPr="00E97F61">
        <w:t xml:space="preserve"> should rebid to avoid its latest offer resulting in a </w:t>
      </w:r>
      <w:r w:rsidRPr="00C94175">
        <w:rPr>
          <w:rStyle w:val="Emphasis"/>
        </w:rPr>
        <w:t>dispatch instruction</w:t>
      </w:r>
      <w:r w:rsidRPr="00E97F61">
        <w:t xml:space="preserve"> that the unit, </w:t>
      </w:r>
      <w:r w:rsidRPr="00C94175">
        <w:rPr>
          <w:rStyle w:val="Emphasis"/>
        </w:rPr>
        <w:t>load</w:t>
      </w:r>
      <w:r w:rsidRPr="00E97F61">
        <w:t xml:space="preserve"> or </w:t>
      </w:r>
      <w:r w:rsidRPr="00C94175">
        <w:rPr>
          <w:rStyle w:val="Emphasis"/>
        </w:rPr>
        <w:t>facility</w:t>
      </w:r>
      <w:r w:rsidRPr="00E97F61">
        <w:t xml:space="preserve"> is unable to follow.</w:t>
      </w:r>
    </w:p>
    <w:p w:rsidR="001B6B64" w:rsidRPr="001B6B64" w:rsidRDefault="001B6B64" w:rsidP="001B6B64">
      <w:pPr>
        <w:pStyle w:val="Heading1"/>
      </w:pPr>
      <w:bookmarkStart w:id="33" w:name="_Toc223245062"/>
      <w:bookmarkStart w:id="34" w:name="_Toc383520244"/>
      <w:bookmarkStart w:id="35" w:name="_Toc462138200"/>
      <w:r>
        <w:lastRenderedPageBreak/>
        <w:t>Rebidding</w:t>
      </w:r>
      <w:bookmarkEnd w:id="33"/>
      <w:bookmarkEnd w:id="34"/>
      <w:bookmarkEnd w:id="35"/>
    </w:p>
    <w:p w:rsidR="001B6B64" w:rsidRPr="00F27644" w:rsidRDefault="001B6B64" w:rsidP="001B6B64">
      <w:pPr>
        <w:pStyle w:val="Heading2"/>
      </w:pPr>
      <w:bookmarkStart w:id="36" w:name="_Toc223245063"/>
      <w:bookmarkStart w:id="37" w:name="_Toc383520245"/>
      <w:bookmarkStart w:id="38" w:name="_Toc462138201"/>
      <w:r w:rsidRPr="00F27644">
        <w:t>Overview of requirement</w:t>
      </w:r>
      <w:bookmarkEnd w:id="36"/>
      <w:bookmarkEnd w:id="37"/>
      <w:bookmarkEnd w:id="38"/>
      <w:r w:rsidRPr="00F27644">
        <w:t xml:space="preserve"> </w:t>
      </w:r>
    </w:p>
    <w:p w:rsidR="00621896" w:rsidRDefault="00BB050F" w:rsidP="001B6B64">
      <w:r>
        <w:t xml:space="preserve">At the same time a </w:t>
      </w:r>
      <w:r w:rsidR="009A0B6E" w:rsidRPr="00C94175">
        <w:rPr>
          <w:rStyle w:val="Emphasis"/>
        </w:rPr>
        <w:t xml:space="preserve">relevant </w:t>
      </w:r>
      <w:r w:rsidRPr="00C94175">
        <w:rPr>
          <w:rStyle w:val="Emphasis"/>
        </w:rPr>
        <w:t>participant</w:t>
      </w:r>
      <w:r>
        <w:t xml:space="preserve"> </w:t>
      </w:r>
      <w:r w:rsidRPr="00BB050F">
        <w:t>submit</w:t>
      </w:r>
      <w:r>
        <w:t>s</w:t>
      </w:r>
      <w:r w:rsidRPr="00BB050F">
        <w:t xml:space="preserve"> a rebid to AEMO</w:t>
      </w:r>
      <w:r>
        <w:t>,</w:t>
      </w:r>
      <w:r w:rsidRPr="00BB050F">
        <w:t xml:space="preserve"> </w:t>
      </w:r>
      <w:r>
        <w:t>c</w:t>
      </w:r>
      <w:r w:rsidR="00621896" w:rsidRPr="00621896">
        <w:t>lause 3.8.22 of the Rules requires</w:t>
      </w:r>
      <w:r w:rsidR="00621896">
        <w:t xml:space="preserve"> </w:t>
      </w:r>
      <w:r w:rsidR="007A685A">
        <w:t>them</w:t>
      </w:r>
      <w:r w:rsidR="00621896">
        <w:t xml:space="preserve"> to provide the time </w:t>
      </w:r>
      <w:r w:rsidRPr="00BB050F">
        <w:t xml:space="preserve">at which the events or other occurrences adduced by the </w:t>
      </w:r>
      <w:r w:rsidRPr="00C94175">
        <w:rPr>
          <w:rStyle w:val="Emphasis"/>
        </w:rPr>
        <w:t>relevant participant</w:t>
      </w:r>
      <w:r w:rsidRPr="00BB050F">
        <w:t xml:space="preserve"> as the reason for the </w:t>
      </w:r>
      <w:r w:rsidRPr="00C94175">
        <w:rPr>
          <w:rStyle w:val="Emphasis"/>
        </w:rPr>
        <w:t>rebid</w:t>
      </w:r>
      <w:r w:rsidRPr="00BB050F">
        <w:t xml:space="preserve"> occurred</w:t>
      </w:r>
      <w:r>
        <w:t xml:space="preserve"> in addition to </w:t>
      </w:r>
      <w:r w:rsidRPr="00BB050F">
        <w:t xml:space="preserve">a brief, verifiable and specific reason for the </w:t>
      </w:r>
      <w:r w:rsidRPr="00C94175">
        <w:rPr>
          <w:rStyle w:val="Emphasis"/>
        </w:rPr>
        <w:t>rebid</w:t>
      </w:r>
      <w:r>
        <w:t xml:space="preserve">. </w:t>
      </w:r>
    </w:p>
    <w:p w:rsidR="00F52399" w:rsidRDefault="00E71270" w:rsidP="00F52399">
      <w:r>
        <w:t xml:space="preserve">In circumstances when a </w:t>
      </w:r>
      <w:r w:rsidR="006D2146" w:rsidRPr="006D2146">
        <w:rPr>
          <w:rStyle w:val="Emphasis"/>
        </w:rPr>
        <w:t>relevant participant</w:t>
      </w:r>
      <w:r w:rsidR="006D2146">
        <w:t xml:space="preserve"> </w:t>
      </w:r>
      <w:r w:rsidR="00F52399">
        <w:t>need</w:t>
      </w:r>
      <w:r w:rsidR="00241F6B">
        <w:t>s</w:t>
      </w:r>
      <w:r w:rsidR="00F52399">
        <w:t xml:space="preserve"> to </w:t>
      </w:r>
      <w:r>
        <w:t xml:space="preserve">submit a </w:t>
      </w:r>
      <w:r w:rsidRPr="00E71270">
        <w:rPr>
          <w:rStyle w:val="Emphasis"/>
        </w:rPr>
        <w:t>rebid</w:t>
      </w:r>
      <w:r>
        <w:t xml:space="preserve"> </w:t>
      </w:r>
      <w:r w:rsidR="00F52399">
        <w:t>prior to all of the information outlined above being available</w:t>
      </w:r>
      <w:r>
        <w:t xml:space="preserve">, the </w:t>
      </w:r>
      <w:r w:rsidR="006D2146" w:rsidRPr="006D2146">
        <w:rPr>
          <w:rStyle w:val="Emphasis"/>
        </w:rPr>
        <w:t>relevant participant</w:t>
      </w:r>
      <w:r w:rsidR="006D2146">
        <w:t xml:space="preserve"> </w:t>
      </w:r>
      <w:r>
        <w:t xml:space="preserve">should include all available information in the </w:t>
      </w:r>
      <w:r w:rsidRPr="00370DEE">
        <w:rPr>
          <w:rStyle w:val="Emphasis"/>
        </w:rPr>
        <w:t>rebid</w:t>
      </w:r>
      <w:r>
        <w:t xml:space="preserve"> reason and record further information in the log book as it becomes available. </w:t>
      </w:r>
      <w:r w:rsidR="00F52399">
        <w:t xml:space="preserve">Should further rebids be required, the additional information obtained since the initial </w:t>
      </w:r>
      <w:r w:rsidR="00F52399" w:rsidRPr="00C94175">
        <w:rPr>
          <w:rStyle w:val="Emphasis"/>
        </w:rPr>
        <w:t>rebid</w:t>
      </w:r>
      <w:r w:rsidR="00F52399">
        <w:t xml:space="preserve"> should be included. </w:t>
      </w:r>
    </w:p>
    <w:p w:rsidR="007D4E71" w:rsidRDefault="00F52399" w:rsidP="001B6B64">
      <w:r>
        <w:t xml:space="preserve">To signal that the </w:t>
      </w:r>
      <w:r w:rsidRPr="00CE6233">
        <w:rPr>
          <w:rStyle w:val="Emphasis"/>
        </w:rPr>
        <w:t>rebid</w:t>
      </w:r>
      <w:r>
        <w:t xml:space="preserve"> was based on incomplete information, </w:t>
      </w:r>
      <w:r w:rsidR="00A7296E">
        <w:t xml:space="preserve">in addition to the brief, verifiable and specific reason for the rebid, </w:t>
      </w:r>
      <w:r>
        <w:t xml:space="preserve">the </w:t>
      </w:r>
      <w:r w:rsidRPr="00CE6233">
        <w:rPr>
          <w:rStyle w:val="Emphasis"/>
        </w:rPr>
        <w:t>rebid</w:t>
      </w:r>
      <w:r>
        <w:t xml:space="preserve"> reason should indicate that further information will be logged, in the form of </w:t>
      </w:r>
      <w:r w:rsidR="00CE6233">
        <w:t xml:space="preserve">see log or </w:t>
      </w:r>
      <w:r>
        <w:t xml:space="preserve">“SL”. The AER may request the information log at a later stage to substantiate and verify the reasons for the </w:t>
      </w:r>
      <w:r w:rsidRPr="00CE6233">
        <w:rPr>
          <w:rStyle w:val="Emphasis"/>
        </w:rPr>
        <w:t>rebid</w:t>
      </w:r>
      <w:r>
        <w:t xml:space="preserve">. </w:t>
      </w:r>
    </w:p>
    <w:p w:rsidR="001B6B64" w:rsidRPr="00F27644" w:rsidRDefault="001B6B64" w:rsidP="001B6B64">
      <w:pPr>
        <w:pStyle w:val="Heading2"/>
      </w:pPr>
      <w:bookmarkStart w:id="39" w:name="_Toc223245064"/>
      <w:bookmarkStart w:id="40" w:name="_Toc383520246"/>
      <w:bookmarkStart w:id="41" w:name="_Toc462138202"/>
      <w:r w:rsidRPr="00F27644">
        <w:t>Information to be provided</w:t>
      </w:r>
      <w:bookmarkEnd w:id="39"/>
      <w:bookmarkEnd w:id="40"/>
      <w:bookmarkEnd w:id="41"/>
    </w:p>
    <w:p w:rsidR="00525FCB" w:rsidRPr="00346920" w:rsidRDefault="00525FCB" w:rsidP="00346920">
      <w:pPr>
        <w:pStyle w:val="Heading3"/>
      </w:pPr>
      <w:bookmarkStart w:id="42" w:name="_Toc462138203"/>
      <w:r w:rsidRPr="00346920">
        <w:t>Information to be provided in a rebid</w:t>
      </w:r>
      <w:r w:rsidR="004D70EC" w:rsidRPr="00346920">
        <w:t xml:space="preserve"> reason</w:t>
      </w:r>
      <w:bookmarkEnd w:id="42"/>
    </w:p>
    <w:p w:rsidR="000A0058" w:rsidRDefault="000A0058" w:rsidP="000A0058">
      <w:r w:rsidRPr="0080363B">
        <w:t xml:space="preserve">Detailed </w:t>
      </w:r>
      <w:r w:rsidRPr="00C94175">
        <w:rPr>
          <w:rStyle w:val="Emphasis"/>
        </w:rPr>
        <w:t>rebid</w:t>
      </w:r>
      <w:r w:rsidRPr="0080363B">
        <w:t xml:space="preserve"> reasons </w:t>
      </w:r>
      <w:r w:rsidR="00F3692E">
        <w:t>help</w:t>
      </w:r>
      <w:r w:rsidRPr="0080363B">
        <w:t xml:space="preserve"> the AER to substantiate and verify the reason provided</w:t>
      </w:r>
      <w:r w:rsidR="00F3692E">
        <w:t xml:space="preserve">, thereby </w:t>
      </w:r>
      <w:r w:rsidR="00E364C5">
        <w:t xml:space="preserve">reducing the need to seek further clarification from </w:t>
      </w:r>
      <w:r w:rsidR="00A7296E" w:rsidRPr="00A7296E">
        <w:rPr>
          <w:rStyle w:val="Emphasis"/>
        </w:rPr>
        <w:t xml:space="preserve">relevant </w:t>
      </w:r>
      <w:r w:rsidR="00E364C5" w:rsidRPr="00A7296E">
        <w:rPr>
          <w:rStyle w:val="Emphasis"/>
        </w:rPr>
        <w:t>participants</w:t>
      </w:r>
      <w:r w:rsidR="00E364C5">
        <w:t xml:space="preserve"> after the event.</w:t>
      </w:r>
      <w:r w:rsidRPr="0080363B">
        <w:t xml:space="preserve"> </w:t>
      </w:r>
      <w:r w:rsidR="004D70EC">
        <w:t>I</w:t>
      </w:r>
      <w:r w:rsidR="00E364C5">
        <w:t xml:space="preserve">t is also important that </w:t>
      </w:r>
      <w:r w:rsidR="00837301" w:rsidRPr="00837301">
        <w:rPr>
          <w:rStyle w:val="Emphasis"/>
        </w:rPr>
        <w:t xml:space="preserve">relevant </w:t>
      </w:r>
      <w:r w:rsidR="00E364C5" w:rsidRPr="00837301">
        <w:rPr>
          <w:rStyle w:val="Emphasis"/>
        </w:rPr>
        <w:t>participants</w:t>
      </w:r>
      <w:r w:rsidR="00E364C5">
        <w:t xml:space="preserve"> maintain high </w:t>
      </w:r>
      <w:r w:rsidRPr="0080363B">
        <w:t xml:space="preserve">quality </w:t>
      </w:r>
      <w:r w:rsidR="00E364C5">
        <w:t xml:space="preserve">detailed </w:t>
      </w:r>
      <w:r w:rsidRPr="0080363B">
        <w:t>records</w:t>
      </w:r>
      <w:r>
        <w:t>, including trading logs</w:t>
      </w:r>
      <w:r w:rsidR="00360B56">
        <w:t>,</w:t>
      </w:r>
      <w:r w:rsidR="00E364C5">
        <w:t xml:space="preserve"> and contemporaneous records in respect of </w:t>
      </w:r>
      <w:r w:rsidR="00E364C5" w:rsidRPr="00C94175">
        <w:rPr>
          <w:rStyle w:val="Emphasis"/>
        </w:rPr>
        <w:t>rebids</w:t>
      </w:r>
      <w:r w:rsidR="00E364C5">
        <w:t xml:space="preserve"> made in the </w:t>
      </w:r>
      <w:r w:rsidR="00E364C5" w:rsidRPr="00C94175">
        <w:rPr>
          <w:rStyle w:val="Emphasis"/>
        </w:rPr>
        <w:t>late rebidding period</w:t>
      </w:r>
      <w:r w:rsidR="00E364C5">
        <w:t>.</w:t>
      </w:r>
    </w:p>
    <w:p w:rsidR="001B6B64" w:rsidRPr="004C15A9" w:rsidRDefault="001B6B64" w:rsidP="001B6B64">
      <w:r w:rsidRPr="004C15A9">
        <w:t>The information should include:</w:t>
      </w:r>
    </w:p>
    <w:p w:rsidR="002674F7" w:rsidRDefault="00987B81" w:rsidP="001D08E2">
      <w:pPr>
        <w:pStyle w:val="Bulletpoint"/>
      </w:pPr>
      <w:proofErr w:type="gramStart"/>
      <w:r>
        <w:t>the</w:t>
      </w:r>
      <w:proofErr w:type="gramEnd"/>
      <w:r>
        <w:t xml:space="preserve"> </w:t>
      </w:r>
      <w:bookmarkStart w:id="43" w:name="OLE_LINK20"/>
      <w:r w:rsidR="001B6B64" w:rsidRPr="00BF5727">
        <w:t xml:space="preserve">event(s) or other occurrence(s) </w:t>
      </w:r>
      <w:bookmarkEnd w:id="43"/>
      <w:r w:rsidR="00B510FD">
        <w:t xml:space="preserve">stated </w:t>
      </w:r>
      <w:r w:rsidR="001B6B64" w:rsidRPr="00BF5727">
        <w:t xml:space="preserve">by the </w:t>
      </w:r>
      <w:r w:rsidR="001B6B64" w:rsidRPr="00346920">
        <w:rPr>
          <w:rStyle w:val="Emphasis"/>
        </w:rPr>
        <w:t>relevant participant</w:t>
      </w:r>
      <w:r w:rsidR="001B6B64" w:rsidRPr="001B6B64">
        <w:t xml:space="preserve"> as the reason for the </w:t>
      </w:r>
      <w:r w:rsidR="001B6B64" w:rsidRPr="00C94175">
        <w:rPr>
          <w:rStyle w:val="Emphasis"/>
        </w:rPr>
        <w:t>rebid</w:t>
      </w:r>
      <w:r w:rsidR="002674F7">
        <w:t xml:space="preserve">. </w:t>
      </w:r>
    </w:p>
    <w:p w:rsidR="002674F7" w:rsidRDefault="002674F7" w:rsidP="001D08E2">
      <w:pPr>
        <w:pStyle w:val="Bulletpoint2"/>
      </w:pPr>
      <w:proofErr w:type="gramStart"/>
      <w:r w:rsidRPr="00C94175">
        <w:rPr>
          <w:rStyle w:val="Emphasis"/>
        </w:rPr>
        <w:t>rebids</w:t>
      </w:r>
      <w:proofErr w:type="gramEnd"/>
      <w:r>
        <w:t xml:space="preserve"> can be submitted in response to a series of events, or a number of different forecasts. </w:t>
      </w:r>
      <w:r w:rsidRPr="002674F7">
        <w:t xml:space="preserve">In these situations, details of the most significant event in the series should be provided, with a note that further information is available from the log book, in the form of “see log” or “SL”. </w:t>
      </w:r>
    </w:p>
    <w:p w:rsidR="001B6B64" w:rsidRPr="001B6B64" w:rsidRDefault="002674F7" w:rsidP="001D08E2">
      <w:pPr>
        <w:pStyle w:val="Bulletpoint2"/>
      </w:pPr>
      <w:r w:rsidRPr="002674F7">
        <w:t xml:space="preserve">One single brief, </w:t>
      </w:r>
      <w:r w:rsidR="001D08E2" w:rsidRPr="002674F7">
        <w:t xml:space="preserve">verifiable and </w:t>
      </w:r>
      <w:r w:rsidRPr="002674F7">
        <w:t xml:space="preserve">specific </w:t>
      </w:r>
      <w:r w:rsidRPr="00837301">
        <w:rPr>
          <w:rStyle w:val="Emphasis"/>
        </w:rPr>
        <w:t>rebid</w:t>
      </w:r>
      <w:r w:rsidRPr="002674F7">
        <w:t xml:space="preserve"> reason can be included for multiple units as part of a portfolio </w:t>
      </w:r>
      <w:r w:rsidRPr="00C94175">
        <w:rPr>
          <w:rStyle w:val="Emphasis"/>
        </w:rPr>
        <w:t>rebid</w:t>
      </w:r>
      <w:r w:rsidRPr="002674F7">
        <w:t xml:space="preserve">. If different reasons for rebidding multiple units within a portfolio are being adduced as the reason for the </w:t>
      </w:r>
      <w:r w:rsidRPr="00C94175">
        <w:rPr>
          <w:rStyle w:val="Emphasis"/>
        </w:rPr>
        <w:t>rebid</w:t>
      </w:r>
      <w:r w:rsidRPr="002674F7">
        <w:t xml:space="preserve">, then separate </w:t>
      </w:r>
      <w:r w:rsidRPr="00C94175">
        <w:rPr>
          <w:rStyle w:val="Emphasis"/>
        </w:rPr>
        <w:t>rebids</w:t>
      </w:r>
      <w:r w:rsidRPr="002674F7">
        <w:t xml:space="preserve"> should be submitted with different </w:t>
      </w:r>
      <w:r w:rsidRPr="00C94175">
        <w:rPr>
          <w:rStyle w:val="Emphasis"/>
        </w:rPr>
        <w:t>rebid</w:t>
      </w:r>
      <w:r w:rsidRPr="002674F7">
        <w:t xml:space="preserve"> reasons.</w:t>
      </w:r>
      <w:r w:rsidR="004524D7">
        <w:t xml:space="preserve"> </w:t>
      </w:r>
    </w:p>
    <w:p w:rsidR="00C65F48" w:rsidRDefault="001B6B64" w:rsidP="001D08E2">
      <w:pPr>
        <w:pStyle w:val="Bulletpoint"/>
      </w:pPr>
      <w:proofErr w:type="gramStart"/>
      <w:r>
        <w:t>t</w:t>
      </w:r>
      <w:r w:rsidRPr="001B6B64">
        <w:t>he</w:t>
      </w:r>
      <w:proofErr w:type="gramEnd"/>
      <w:r w:rsidRPr="001B6B64">
        <w:t xml:space="preserve"> time the event occurred</w:t>
      </w:r>
      <w:r w:rsidR="009F6C98">
        <w:t>.</w:t>
      </w:r>
      <w:r w:rsidRPr="001B6B64">
        <w:t xml:space="preserve"> </w:t>
      </w:r>
      <w:r w:rsidR="009F6C98">
        <w:t>T</w:t>
      </w:r>
      <w:r w:rsidRPr="001B6B64">
        <w:t xml:space="preserve">his is the time at which the relevant event(s) or occurrence(s) that the </w:t>
      </w:r>
      <w:r w:rsidRPr="009F6C98">
        <w:rPr>
          <w:rStyle w:val="Emphasis"/>
        </w:rPr>
        <w:t>relevant participant</w:t>
      </w:r>
      <w:r w:rsidRPr="001B6B64">
        <w:t xml:space="preserve"> </w:t>
      </w:r>
      <w:r w:rsidR="00346920">
        <w:t>cited</w:t>
      </w:r>
      <w:r w:rsidR="00346920" w:rsidRPr="001B6B64">
        <w:t xml:space="preserve"> </w:t>
      </w:r>
      <w:r w:rsidRPr="001B6B64">
        <w:t>as the reason for the rebid</w:t>
      </w:r>
      <w:r w:rsidR="009F6C98">
        <w:t>,</w:t>
      </w:r>
      <w:r w:rsidRPr="001B6B64">
        <w:t xml:space="preserve"> occurred</w:t>
      </w:r>
      <w:r w:rsidR="00E364C5">
        <w:t xml:space="preserve">. </w:t>
      </w:r>
      <w:r w:rsidR="009F6C98">
        <w:t xml:space="preserve">This should be the time at which </w:t>
      </w:r>
      <w:r w:rsidR="001D08E2" w:rsidRPr="002674F7">
        <w:t xml:space="preserve">the most significant event in the series </w:t>
      </w:r>
      <w:r w:rsidR="009F6C98">
        <w:t xml:space="preserve">occurred. </w:t>
      </w:r>
      <w:r w:rsidR="009F6C98" w:rsidRPr="009F6C98">
        <w:rPr>
          <w:rStyle w:val="Emphasis"/>
        </w:rPr>
        <w:lastRenderedPageBreak/>
        <w:t>Relevant participants</w:t>
      </w:r>
      <w:r w:rsidR="009F6C98">
        <w:t xml:space="preserve"> should record further information in their log book and include </w:t>
      </w:r>
      <w:r w:rsidR="001D08E2" w:rsidRPr="002674F7">
        <w:t>“see log” or “SL”</w:t>
      </w:r>
      <w:r w:rsidR="009F6C98">
        <w:t xml:space="preserve"> in the </w:t>
      </w:r>
      <w:r w:rsidR="009F6C98" w:rsidRPr="009F6C98">
        <w:rPr>
          <w:rStyle w:val="Emphasis"/>
        </w:rPr>
        <w:t>rebid</w:t>
      </w:r>
      <w:r w:rsidR="009F6C98">
        <w:t xml:space="preserve"> reason</w:t>
      </w:r>
      <w:r w:rsidR="001D08E2" w:rsidRPr="002674F7">
        <w:t>.</w:t>
      </w:r>
      <w:r w:rsidR="001D08E2">
        <w:rPr>
          <w:rStyle w:val="CommentReference"/>
          <w:rFonts w:cstheme="minorBidi"/>
        </w:rPr>
        <w:t xml:space="preserve"> </w:t>
      </w:r>
    </w:p>
    <w:p w:rsidR="001D08E2" w:rsidRDefault="00C65F48" w:rsidP="00B7445C">
      <w:pPr>
        <w:pStyle w:val="Bulletpoint"/>
      </w:pPr>
      <w:proofErr w:type="gramStart"/>
      <w:r>
        <w:t>the</w:t>
      </w:r>
      <w:proofErr w:type="gramEnd"/>
      <w:r>
        <w:t xml:space="preserve"> time </w:t>
      </w:r>
      <w:r w:rsidR="002B5EBF">
        <w:t xml:space="preserve">the relevant participant first </w:t>
      </w:r>
      <w:r>
        <w:t>became aware</w:t>
      </w:r>
      <w:r w:rsidR="002B5EBF">
        <w:t xml:space="preserve"> </w:t>
      </w:r>
      <w:r w:rsidR="001D08E2" w:rsidRPr="005A0F94">
        <w:t>of the change in material conditions and circumstances on the basis of which it decides to vary its dispatch offer or dispatch bid.</w:t>
      </w:r>
      <w:r w:rsidR="001D08E2">
        <w:t xml:space="preserve"> </w:t>
      </w:r>
      <w:r w:rsidR="002B5EBF">
        <w:t xml:space="preserve">Again, </w:t>
      </w:r>
      <w:proofErr w:type="gramStart"/>
      <w:r w:rsidR="00B7445C" w:rsidRPr="00B7445C">
        <w:t>This</w:t>
      </w:r>
      <w:proofErr w:type="gramEnd"/>
      <w:r w:rsidR="00B7445C" w:rsidRPr="00B7445C">
        <w:t xml:space="preserve"> should be the time </w:t>
      </w:r>
      <w:r w:rsidR="0051756D">
        <w:t>of becoming aware of</w:t>
      </w:r>
      <w:r w:rsidR="00B7445C" w:rsidRPr="00B7445C">
        <w:t xml:space="preserve"> the most significant event in the series. </w:t>
      </w:r>
      <w:r w:rsidR="00B7445C" w:rsidRPr="00B7445C">
        <w:rPr>
          <w:rStyle w:val="Emphasis"/>
        </w:rPr>
        <w:t>Relevant participants</w:t>
      </w:r>
      <w:r w:rsidR="00B7445C" w:rsidRPr="00B7445C">
        <w:t xml:space="preserve"> should record further information in their log book and include “see log” or “SL” in the </w:t>
      </w:r>
      <w:r w:rsidR="00B7445C" w:rsidRPr="00B7445C">
        <w:rPr>
          <w:rStyle w:val="Emphasis"/>
        </w:rPr>
        <w:t>rebid</w:t>
      </w:r>
      <w:r w:rsidR="00B7445C" w:rsidRPr="00B7445C">
        <w:t xml:space="preserve"> reason.</w:t>
      </w:r>
    </w:p>
    <w:p w:rsidR="001B6B64" w:rsidRPr="001B6B64" w:rsidRDefault="001B6B64" w:rsidP="002B5EBF">
      <w:pPr>
        <w:pStyle w:val="Bulletpoint"/>
      </w:pPr>
      <w:bookmarkStart w:id="44" w:name="OLE_LINK10"/>
      <w:bookmarkStart w:id="45" w:name="OLE_LINK11"/>
      <w:proofErr w:type="gramStart"/>
      <w:r w:rsidRPr="00BF5727">
        <w:t>where</w:t>
      </w:r>
      <w:proofErr w:type="gramEnd"/>
      <w:r w:rsidRPr="00BF5727">
        <w:t xml:space="preserve"> the event relates to a revised forecast produced by </w:t>
      </w:r>
      <w:bookmarkEnd w:id="44"/>
      <w:bookmarkEnd w:id="45"/>
      <w:r w:rsidRPr="001B6B64">
        <w:t>AEMO, a description of the forecast type and when it was produced should be included (for example, by providing the time of the relevant 5-minute or 30-minute price or demand forecast)</w:t>
      </w:r>
      <w:r w:rsidR="00837301">
        <w:t>.</w:t>
      </w:r>
    </w:p>
    <w:p w:rsidR="001B6B64" w:rsidRPr="001B6B64" w:rsidRDefault="001B6B64" w:rsidP="002B5EBF">
      <w:pPr>
        <w:pStyle w:val="Bulletpoint"/>
      </w:pPr>
      <w:proofErr w:type="gramStart"/>
      <w:r>
        <w:t>if</w:t>
      </w:r>
      <w:proofErr w:type="gramEnd"/>
      <w:r>
        <w:t xml:space="preserve"> a change to a</w:t>
      </w:r>
      <w:r w:rsidR="002674F7">
        <w:t>n</w:t>
      </w:r>
      <w:r>
        <w:t xml:space="preserve"> </w:t>
      </w:r>
      <w:r w:rsidRPr="001B6B64">
        <w:t xml:space="preserve">AEMO forecast is the reason for a </w:t>
      </w:r>
      <w:r w:rsidRPr="00B7445C">
        <w:rPr>
          <w:rStyle w:val="Emphasis"/>
        </w:rPr>
        <w:t>rebid</w:t>
      </w:r>
      <w:r w:rsidRPr="001B6B64">
        <w:t>, where possible, the reason should provide the original forecast and the revised forecast</w:t>
      </w:r>
      <w:r w:rsidR="002B5EBF">
        <w:t xml:space="preserve">. </w:t>
      </w:r>
      <w:r w:rsidR="00B7445C">
        <w:t>If</w:t>
      </w:r>
      <w:r w:rsidR="00B7445C" w:rsidRPr="001B6B64">
        <w:t xml:space="preserve"> </w:t>
      </w:r>
      <w:r w:rsidRPr="001B6B64">
        <w:t>the event relates to technical plant conditions</w:t>
      </w:r>
      <w:r w:rsidR="002674F7">
        <w:t>,</w:t>
      </w:r>
      <w:r w:rsidRPr="001B6B64">
        <w:t xml:space="preserve"> the information provided to AEMO should include the time the condition was identified and a brief, </w:t>
      </w:r>
      <w:r w:rsidR="002674F7" w:rsidRPr="001B6B64">
        <w:t xml:space="preserve">verifiable and </w:t>
      </w:r>
      <w:r w:rsidRPr="001B6B64">
        <w:t>specific explanation of that condition.</w:t>
      </w:r>
    </w:p>
    <w:p w:rsidR="00A937E9" w:rsidRDefault="006E1790" w:rsidP="00CC604A">
      <w:pPr>
        <w:pStyle w:val="Heading3"/>
      </w:pPr>
      <w:bookmarkStart w:id="46" w:name="_Toc462138204"/>
      <w:bookmarkStart w:id="47" w:name="_Toc223245066"/>
      <w:bookmarkStart w:id="48" w:name="_Toc383520247"/>
      <w:r>
        <w:t>Information to be included in a contemporaneous record</w:t>
      </w:r>
      <w:bookmarkEnd w:id="46"/>
    </w:p>
    <w:p w:rsidR="006E1790" w:rsidRPr="006E1790" w:rsidRDefault="006E1790" w:rsidP="006E1790">
      <w:r w:rsidRPr="006E1790">
        <w:t>The Rule</w:t>
      </w:r>
      <w:r w:rsidR="009F75B3">
        <w:t xml:space="preserve">s require </w:t>
      </w:r>
      <w:r w:rsidR="00837301" w:rsidRPr="00837301">
        <w:rPr>
          <w:rStyle w:val="Emphasis"/>
        </w:rPr>
        <w:t xml:space="preserve">relevant </w:t>
      </w:r>
      <w:r w:rsidR="009F75B3" w:rsidRPr="00837301">
        <w:rPr>
          <w:rStyle w:val="Emphasis"/>
        </w:rPr>
        <w:t>participants</w:t>
      </w:r>
      <w:r w:rsidR="009F75B3">
        <w:t xml:space="preserve"> to, upon written </w:t>
      </w:r>
      <w:r w:rsidRPr="006E1790">
        <w:t xml:space="preserve">request from the AER, provide </w:t>
      </w:r>
      <w:r w:rsidR="009F75B3">
        <w:t xml:space="preserve">contemporaneous </w:t>
      </w:r>
      <w:r w:rsidRPr="006E1790">
        <w:t xml:space="preserve">records made to substantiate and verify the reason the reason for a </w:t>
      </w:r>
      <w:r w:rsidRPr="00837301">
        <w:rPr>
          <w:rStyle w:val="Emphasis"/>
        </w:rPr>
        <w:t>rebid</w:t>
      </w:r>
      <w:r w:rsidRPr="006E1790">
        <w:t xml:space="preserve"> submitted in the </w:t>
      </w:r>
      <w:r w:rsidRPr="00837301">
        <w:rPr>
          <w:rStyle w:val="Emphasis"/>
        </w:rPr>
        <w:t>late rebidding period</w:t>
      </w:r>
      <w:r w:rsidRPr="006E1790">
        <w:t xml:space="preserve">. </w:t>
      </w:r>
      <w:r w:rsidR="00D44967">
        <w:t>C</w:t>
      </w:r>
      <w:r w:rsidRPr="006E1790">
        <w:t xml:space="preserve">lause 3.8.22(ca) provides that the following must be included in the contemporaneous record for a rebid made in the </w:t>
      </w:r>
      <w:r w:rsidRPr="00837301">
        <w:rPr>
          <w:rStyle w:val="Emphasis"/>
        </w:rPr>
        <w:t>late rebidding period</w:t>
      </w:r>
      <w:r w:rsidRPr="006E1790">
        <w:t>:</w:t>
      </w:r>
    </w:p>
    <w:p w:rsidR="006E1790" w:rsidRPr="006E1790" w:rsidRDefault="006E1790" w:rsidP="00CC604A">
      <w:pPr>
        <w:pStyle w:val="Bulletpoint"/>
      </w:pPr>
      <w:proofErr w:type="gramStart"/>
      <w:r w:rsidRPr="006E1790">
        <w:t>the</w:t>
      </w:r>
      <w:proofErr w:type="gramEnd"/>
      <w:r w:rsidRPr="006E1790">
        <w:t xml:space="preserve"> material conditions and circumstances giving rise to the </w:t>
      </w:r>
      <w:r w:rsidRPr="00EA7FCD">
        <w:rPr>
          <w:rStyle w:val="Emphasis"/>
        </w:rPr>
        <w:t>rebid</w:t>
      </w:r>
      <w:r w:rsidR="00837301">
        <w:rPr>
          <w:rStyle w:val="Emphasis"/>
        </w:rPr>
        <w:t>.</w:t>
      </w:r>
    </w:p>
    <w:p w:rsidR="006E1790" w:rsidRDefault="006E1790" w:rsidP="00CC604A">
      <w:pPr>
        <w:pStyle w:val="Bulletpoint"/>
      </w:pPr>
      <w:proofErr w:type="gramStart"/>
      <w:r w:rsidRPr="006E1790">
        <w:t>the</w:t>
      </w:r>
      <w:proofErr w:type="gramEnd"/>
      <w:r w:rsidRPr="006E1790">
        <w:t xml:space="preserve"> </w:t>
      </w:r>
      <w:r w:rsidRPr="00EA7FCD">
        <w:rPr>
          <w:rStyle w:val="Emphasis"/>
        </w:rPr>
        <w:t>Generator's</w:t>
      </w:r>
      <w:r w:rsidRPr="006E1790">
        <w:t xml:space="preserve"> or </w:t>
      </w:r>
      <w:r w:rsidRPr="00EA7FCD">
        <w:rPr>
          <w:rStyle w:val="Emphasis"/>
        </w:rPr>
        <w:t>Market Participant's</w:t>
      </w:r>
      <w:r w:rsidRPr="006E1790">
        <w:t xml:space="preserve"> reasons for making the </w:t>
      </w:r>
      <w:r w:rsidRPr="00EA7FCD">
        <w:rPr>
          <w:rStyle w:val="Emphasis"/>
        </w:rPr>
        <w:t>rebid</w:t>
      </w:r>
      <w:r w:rsidR="00837301">
        <w:rPr>
          <w:rStyle w:val="Emphasis"/>
        </w:rPr>
        <w:t>.</w:t>
      </w:r>
    </w:p>
    <w:p w:rsidR="006E1790" w:rsidRDefault="006E1790" w:rsidP="00CC604A">
      <w:pPr>
        <w:pStyle w:val="Bulletpoint"/>
      </w:pPr>
      <w:proofErr w:type="gramStart"/>
      <w:r w:rsidRPr="006E1790">
        <w:t>the</w:t>
      </w:r>
      <w:proofErr w:type="gramEnd"/>
      <w:r w:rsidRPr="006E1790">
        <w:t xml:space="preserve"> time at which the relevant event(s) or ot</w:t>
      </w:r>
      <w:r>
        <w:t>her occurrence(s) occurred</w:t>
      </w:r>
      <w:r w:rsidR="00837301">
        <w:t>.</w:t>
      </w:r>
    </w:p>
    <w:p w:rsidR="002A04AF" w:rsidRPr="002A04AF" w:rsidRDefault="002A04AF" w:rsidP="002A04AF">
      <w:pPr>
        <w:pStyle w:val="Bulletpoint"/>
      </w:pPr>
      <w:proofErr w:type="gramStart"/>
      <w:r w:rsidRPr="002A04AF">
        <w:t>the</w:t>
      </w:r>
      <w:proofErr w:type="gramEnd"/>
      <w:r w:rsidRPr="002A04AF">
        <w:t xml:space="preserve"> time at which the </w:t>
      </w:r>
      <w:r w:rsidRPr="00EA7FCD">
        <w:rPr>
          <w:rStyle w:val="Emphasis"/>
        </w:rPr>
        <w:t>Generator</w:t>
      </w:r>
      <w:r w:rsidRPr="002A04AF">
        <w:t xml:space="preserve"> or </w:t>
      </w:r>
      <w:r w:rsidRPr="00EA7FCD">
        <w:rPr>
          <w:rStyle w:val="Emphasis"/>
        </w:rPr>
        <w:t>Market</w:t>
      </w:r>
      <w:r w:rsidRPr="002A04AF">
        <w:t xml:space="preserve"> </w:t>
      </w:r>
      <w:r w:rsidRPr="00EA7FCD">
        <w:rPr>
          <w:rStyle w:val="Emphasis"/>
        </w:rPr>
        <w:t>Participant</w:t>
      </w:r>
      <w:r w:rsidRPr="002A04AF">
        <w:t xml:space="preserve"> first became aware of the relevant event(s) or other occurrence(s).</w:t>
      </w:r>
    </w:p>
    <w:p w:rsidR="001979B2" w:rsidRDefault="001979B2" w:rsidP="001979B2">
      <w:r>
        <w:t xml:space="preserve">In respect of the reasons for making the </w:t>
      </w:r>
      <w:r w:rsidRPr="00EA7FCD">
        <w:rPr>
          <w:rStyle w:val="Emphasis"/>
        </w:rPr>
        <w:t>rebid</w:t>
      </w:r>
      <w:r>
        <w:t xml:space="preserve">, we expect </w:t>
      </w:r>
      <w:r w:rsidRPr="00CC604A">
        <w:rPr>
          <w:rStyle w:val="Emphasis"/>
        </w:rPr>
        <w:t>relevant participants</w:t>
      </w:r>
      <w:r>
        <w:t xml:space="preserve"> to include more detai</w:t>
      </w:r>
      <w:r w:rsidRPr="001979B2">
        <w:t>l</w:t>
      </w:r>
      <w:r w:rsidR="009F75B3">
        <w:t>ed information</w:t>
      </w:r>
      <w:r w:rsidRPr="001979B2">
        <w:t xml:space="preserve"> </w:t>
      </w:r>
      <w:r>
        <w:t xml:space="preserve">in the contemporaneous record than that provided in the </w:t>
      </w:r>
      <w:r w:rsidRPr="00EA7FCD">
        <w:rPr>
          <w:rStyle w:val="Emphasis"/>
        </w:rPr>
        <w:t>rebid</w:t>
      </w:r>
      <w:r>
        <w:t xml:space="preserve"> reason. The relevant times recorded in the record should be clearly attributed to the </w:t>
      </w:r>
      <w:r w:rsidRPr="001979B2">
        <w:t>time</w:t>
      </w:r>
      <w:r w:rsidR="00A03B22">
        <w:t>s</w:t>
      </w:r>
      <w:r w:rsidRPr="001979B2">
        <w:t xml:space="preserve"> at which the relevant event(s) or other occurrence(s) occurred</w:t>
      </w:r>
      <w:r w:rsidR="002A04AF">
        <w:t xml:space="preserve">, </w:t>
      </w:r>
      <w:r w:rsidRPr="001979B2">
        <w:t xml:space="preserve">and </w:t>
      </w:r>
      <w:r w:rsidRPr="006E1790">
        <w:t xml:space="preserve">the time at which the </w:t>
      </w:r>
      <w:r w:rsidR="0051756D">
        <w:rPr>
          <w:rStyle w:val="Emphasis"/>
        </w:rPr>
        <w:t>relevant p</w:t>
      </w:r>
      <w:r w:rsidRPr="00EA7FCD">
        <w:rPr>
          <w:rStyle w:val="Emphasis"/>
        </w:rPr>
        <w:t>articipant</w:t>
      </w:r>
      <w:r w:rsidRPr="006E1790">
        <w:t xml:space="preserve"> first became aware of the relevant event(s) or other occurrence(s)</w:t>
      </w:r>
      <w:r>
        <w:t>, respectively</w:t>
      </w:r>
      <w:r w:rsidRPr="006E1790">
        <w:t>.</w:t>
      </w:r>
      <w:r w:rsidR="002A04AF">
        <w:t xml:space="preserve"> </w:t>
      </w:r>
    </w:p>
    <w:p w:rsidR="002A04AF" w:rsidRDefault="00A03B22" w:rsidP="001979B2">
      <w:r>
        <w:t xml:space="preserve">Given the ability to provide more detailed information in the contemporaneous record, we would expect that if there are multiple triggers leading up to a </w:t>
      </w:r>
      <w:r w:rsidRPr="00EA7FCD">
        <w:rPr>
          <w:rStyle w:val="Emphasis"/>
        </w:rPr>
        <w:t>rebid</w:t>
      </w:r>
      <w:r>
        <w:t xml:space="preserve">, then times </w:t>
      </w:r>
      <w:r w:rsidR="00F707D0">
        <w:t>and detail</w:t>
      </w:r>
      <w:r w:rsidR="00533313">
        <w:t>s</w:t>
      </w:r>
      <w:r w:rsidR="00F707D0">
        <w:t xml:space="preserve"> of each of these triggers </w:t>
      </w:r>
      <w:r>
        <w:t xml:space="preserve">should be recorded. </w:t>
      </w:r>
    </w:p>
    <w:p w:rsidR="00965D48" w:rsidRDefault="00C75EEF" w:rsidP="00C75EEF">
      <w:pPr>
        <w:pStyle w:val="Heading2"/>
      </w:pPr>
      <w:bookmarkStart w:id="49" w:name="_Toc462138205"/>
      <w:r>
        <w:t>Requirement to rebid as soon as practicable</w:t>
      </w:r>
      <w:bookmarkEnd w:id="49"/>
    </w:p>
    <w:p w:rsidR="00C75EEF" w:rsidRDefault="00C75EEF" w:rsidP="00C75EEF">
      <w:r>
        <w:t xml:space="preserve">Clause </w:t>
      </w:r>
      <w:proofErr w:type="gramStart"/>
      <w:r>
        <w:t>3.8.22A(</w:t>
      </w:r>
      <w:proofErr w:type="gramEnd"/>
      <w:r>
        <w:t xml:space="preserve">d) requires a </w:t>
      </w:r>
      <w:r w:rsidRPr="00F32DA0">
        <w:rPr>
          <w:rStyle w:val="Emphasis"/>
        </w:rPr>
        <w:t>relevant participant</w:t>
      </w:r>
      <w:r>
        <w:t xml:space="preserve"> to make a </w:t>
      </w:r>
      <w:r w:rsidRPr="00965D48">
        <w:rPr>
          <w:rStyle w:val="Emphasis"/>
        </w:rPr>
        <w:t>rebid</w:t>
      </w:r>
      <w:r>
        <w:t xml:space="preserve"> as soon as practicable after becoming aware of the change in material conditions and circumstances on the basis of which it decides to vary its </w:t>
      </w:r>
      <w:r w:rsidRPr="007B657B">
        <w:rPr>
          <w:rStyle w:val="Emphasis"/>
        </w:rPr>
        <w:t>dispatch offer</w:t>
      </w:r>
      <w:r>
        <w:t xml:space="preserve"> or </w:t>
      </w:r>
      <w:r w:rsidRPr="007B657B">
        <w:rPr>
          <w:rStyle w:val="Emphasis"/>
        </w:rPr>
        <w:t>dispatch bid</w:t>
      </w:r>
      <w:r>
        <w:t xml:space="preserve">. </w:t>
      </w:r>
    </w:p>
    <w:p w:rsidR="00C75EEF" w:rsidRDefault="00C75EEF" w:rsidP="00C75EEF">
      <w:r w:rsidRPr="00965D48">
        <w:lastRenderedPageBreak/>
        <w:t xml:space="preserve">It is not possible to state in advance the time frame that will satisfy the obligation on </w:t>
      </w:r>
      <w:r w:rsidR="0037315F">
        <w:t xml:space="preserve">a </w:t>
      </w:r>
      <w:r w:rsidRPr="00C75EEF">
        <w:rPr>
          <w:rStyle w:val="Emphasis"/>
        </w:rPr>
        <w:t>relevant participant</w:t>
      </w:r>
      <w:r w:rsidRPr="00965D48">
        <w:t xml:space="preserve"> to </w:t>
      </w:r>
      <w:r>
        <w:t xml:space="preserve">make a </w:t>
      </w:r>
      <w:r w:rsidRPr="00C75EEF">
        <w:rPr>
          <w:rStyle w:val="Emphasis"/>
        </w:rPr>
        <w:t>rebid</w:t>
      </w:r>
      <w:r>
        <w:t xml:space="preserve"> </w:t>
      </w:r>
      <w:r w:rsidRPr="00965D48">
        <w:t xml:space="preserve">“as soon as practicable”, as this will depend on the surrounding facts and circumstances in which a </w:t>
      </w:r>
      <w:r w:rsidRPr="00C75EEF">
        <w:rPr>
          <w:rStyle w:val="Emphasis"/>
        </w:rPr>
        <w:t>rebid</w:t>
      </w:r>
      <w:r w:rsidRPr="00965D48">
        <w:t xml:space="preserve"> is made. It is clear however</w:t>
      </w:r>
      <w:r>
        <w:t>,</w:t>
      </w:r>
      <w:r w:rsidRPr="00965D48">
        <w:t xml:space="preserve"> that the phrase means that </w:t>
      </w:r>
      <w:r w:rsidR="0037315F">
        <w:t xml:space="preserve">a </w:t>
      </w:r>
      <w:r w:rsidRPr="00C75EEF">
        <w:rPr>
          <w:rStyle w:val="Emphasis"/>
        </w:rPr>
        <w:t>relevant participant</w:t>
      </w:r>
      <w:r w:rsidRPr="00965D48">
        <w:t xml:space="preserve"> must </w:t>
      </w:r>
      <w:r>
        <w:t xml:space="preserve">make a </w:t>
      </w:r>
      <w:r w:rsidRPr="0037315F">
        <w:rPr>
          <w:rStyle w:val="Emphasis"/>
        </w:rPr>
        <w:t>rebid</w:t>
      </w:r>
      <w:r>
        <w:t xml:space="preserve"> </w:t>
      </w:r>
      <w:r w:rsidRPr="00965D48">
        <w:t xml:space="preserve">as soon as the circumstances permit, and that delay solely due to the convenience of the </w:t>
      </w:r>
      <w:r w:rsidR="0037315F" w:rsidRPr="0037315F">
        <w:rPr>
          <w:rStyle w:val="Emphasis"/>
        </w:rPr>
        <w:t xml:space="preserve">relevant </w:t>
      </w:r>
      <w:r w:rsidRPr="0037315F">
        <w:rPr>
          <w:rStyle w:val="Emphasis"/>
        </w:rPr>
        <w:t>participant</w:t>
      </w:r>
      <w:r w:rsidRPr="00965D48">
        <w:t xml:space="preserve"> is unlikely to be a relevant consideration.</w:t>
      </w:r>
    </w:p>
    <w:p w:rsidR="001B6B64" w:rsidRDefault="001B6B64" w:rsidP="00CC604A">
      <w:pPr>
        <w:pStyle w:val="Heading2"/>
      </w:pPr>
      <w:bookmarkStart w:id="50" w:name="_Toc462138206"/>
      <w:r>
        <w:t>Form of rebid</w:t>
      </w:r>
      <w:bookmarkEnd w:id="47"/>
      <w:bookmarkEnd w:id="48"/>
      <w:bookmarkEnd w:id="50"/>
    </w:p>
    <w:p w:rsidR="001B6B64" w:rsidRPr="001B6B64" w:rsidRDefault="00D93DBB" w:rsidP="001B6B64">
      <w:r>
        <w:t xml:space="preserve">Participants have up to </w:t>
      </w:r>
      <w:r w:rsidR="008C78E7">
        <w:t>5</w:t>
      </w:r>
      <w:r>
        <w:t xml:space="preserve">00 characters in which to submit a brief, verifiable and specific reason and relevant times to AEMO at the same time they submit a rebid. </w:t>
      </w:r>
      <w:r w:rsidR="001B6B64">
        <w:t xml:space="preserve">The rebid should be in the </w:t>
      </w:r>
      <w:r w:rsidR="001B6B64" w:rsidRPr="001B6B64">
        <w:t xml:space="preserve">following general form: </w:t>
      </w:r>
    </w:p>
    <w:p w:rsidR="001B6B64" w:rsidRPr="001B6B64" w:rsidRDefault="00833127" w:rsidP="001B6B64">
      <w:bookmarkStart w:id="51" w:name="OLE_LINK22"/>
      <w:r>
        <w:t xml:space="preserve">Category </w:t>
      </w:r>
      <w:r w:rsidRPr="001B6B64">
        <w:t xml:space="preserve">{space} </w:t>
      </w:r>
      <w:r w:rsidR="001B6B64" w:rsidRPr="001B6B64">
        <w:t>HHMM</w:t>
      </w:r>
      <w:r>
        <w:t xml:space="preserve">1 </w:t>
      </w:r>
      <w:r w:rsidRPr="001B6B64">
        <w:t>{space} HHMM</w:t>
      </w:r>
      <w:r>
        <w:t xml:space="preserve">2 </w:t>
      </w:r>
      <w:r w:rsidRPr="001B6B64">
        <w:t xml:space="preserve">{space} </w:t>
      </w:r>
      <w:r w:rsidR="001B6B64" w:rsidRPr="001B6B64">
        <w:t>DDD…D</w:t>
      </w:r>
    </w:p>
    <w:p w:rsidR="001B6B64" w:rsidRDefault="001B6B64" w:rsidP="001B6B64">
      <w:r>
        <w:t>Where:</w:t>
      </w:r>
    </w:p>
    <w:tbl>
      <w:tblPr>
        <w:tblW w:w="0" w:type="auto"/>
        <w:tblInd w:w="817" w:type="dxa"/>
        <w:tblLook w:val="01E0" w:firstRow="1" w:lastRow="1" w:firstColumn="1" w:lastColumn="1" w:noHBand="0" w:noVBand="0"/>
      </w:tblPr>
      <w:tblGrid>
        <w:gridCol w:w="1109"/>
        <w:gridCol w:w="7194"/>
      </w:tblGrid>
      <w:tr w:rsidR="00411054" w:rsidTr="00411054">
        <w:tc>
          <w:tcPr>
            <w:tcW w:w="1109" w:type="dxa"/>
          </w:tcPr>
          <w:p w:rsidR="00411054" w:rsidRDefault="00411054" w:rsidP="00923E07">
            <w:r w:rsidRPr="001B6B64">
              <w:t>Category</w:t>
            </w:r>
          </w:p>
        </w:tc>
        <w:tc>
          <w:tcPr>
            <w:tcW w:w="7194" w:type="dxa"/>
          </w:tcPr>
          <w:p w:rsidR="00411054" w:rsidRPr="001B6B64" w:rsidRDefault="00411054" w:rsidP="00923E07">
            <w:proofErr w:type="gramStart"/>
            <w:r>
              <w:t>is</w:t>
            </w:r>
            <w:proofErr w:type="gramEnd"/>
            <w:r>
              <w:t xml:space="preserve"> either P for a plant or physical change,</w:t>
            </w:r>
            <w:r w:rsidRPr="001B6B64">
              <w:t xml:space="preserve"> A for a AEMO forecast or dispatch change, F for a financial or commercial change or E for a </w:t>
            </w:r>
            <w:r w:rsidRPr="00C94175">
              <w:rPr>
                <w:rStyle w:val="Emphasis"/>
              </w:rPr>
              <w:t>rebid</w:t>
            </w:r>
            <w:r w:rsidRPr="001B6B64">
              <w:t xml:space="preserve"> to address an error</w:t>
            </w:r>
            <w:r w:rsidR="00837301">
              <w:t>.</w:t>
            </w:r>
          </w:p>
        </w:tc>
      </w:tr>
      <w:tr w:rsidR="0051756D" w:rsidTr="00E664E4">
        <w:tc>
          <w:tcPr>
            <w:tcW w:w="1109" w:type="dxa"/>
          </w:tcPr>
          <w:p w:rsidR="0051756D" w:rsidRPr="0051756D" w:rsidRDefault="0051756D" w:rsidP="0051756D">
            <w:r w:rsidRPr="0051756D">
              <w:t>HHMM</w:t>
            </w:r>
            <w:r>
              <w:t>1</w:t>
            </w:r>
          </w:p>
        </w:tc>
        <w:tc>
          <w:tcPr>
            <w:tcW w:w="7194" w:type="dxa"/>
          </w:tcPr>
          <w:p w:rsidR="0051756D" w:rsidRPr="0051756D" w:rsidRDefault="0051756D" w:rsidP="0051756D">
            <w:r w:rsidRPr="0051756D">
              <w:t xml:space="preserve">Is the time, in 24-hour format, when the relevant participant becomes aware of the change in material conditions and circumstances on the basis of which it decides to vary its </w:t>
            </w:r>
            <w:r w:rsidRPr="0051756D">
              <w:rPr>
                <w:rStyle w:val="Emphasis"/>
              </w:rPr>
              <w:t>dispatch</w:t>
            </w:r>
            <w:r w:rsidRPr="0051756D">
              <w:t xml:space="preserve"> </w:t>
            </w:r>
            <w:r w:rsidRPr="0051756D">
              <w:rPr>
                <w:rStyle w:val="Emphasis"/>
              </w:rPr>
              <w:t>offer</w:t>
            </w:r>
            <w:r w:rsidRPr="0051756D">
              <w:t xml:space="preserve"> or </w:t>
            </w:r>
            <w:r w:rsidRPr="0051756D">
              <w:rPr>
                <w:rStyle w:val="Emphasis"/>
              </w:rPr>
              <w:t>dispatch</w:t>
            </w:r>
            <w:r w:rsidRPr="0051756D">
              <w:t xml:space="preserve"> </w:t>
            </w:r>
            <w:r w:rsidRPr="0051756D">
              <w:rPr>
                <w:rStyle w:val="Emphasis"/>
              </w:rPr>
              <w:t>bid</w:t>
            </w:r>
            <w:r w:rsidRPr="0051756D">
              <w:t>.</w:t>
            </w:r>
          </w:p>
        </w:tc>
      </w:tr>
      <w:tr w:rsidR="001B6B64" w:rsidTr="00411054">
        <w:tc>
          <w:tcPr>
            <w:tcW w:w="1109" w:type="dxa"/>
          </w:tcPr>
          <w:p w:rsidR="001B6B64" w:rsidRDefault="001B6B64" w:rsidP="0051756D">
            <w:r w:rsidRPr="001B6B64">
              <w:t>HHMM</w:t>
            </w:r>
            <w:r w:rsidR="0051756D">
              <w:t>2</w:t>
            </w:r>
          </w:p>
        </w:tc>
        <w:tc>
          <w:tcPr>
            <w:tcW w:w="7194" w:type="dxa"/>
          </w:tcPr>
          <w:p w:rsidR="001B6B64" w:rsidRPr="001B6B64" w:rsidRDefault="001B6B64" w:rsidP="001B6B64">
            <w:proofErr w:type="gramStart"/>
            <w:r>
              <w:t>is</w:t>
            </w:r>
            <w:proofErr w:type="gramEnd"/>
            <w:r>
              <w:t xml:space="preserve"> the time</w:t>
            </w:r>
            <w:r w:rsidRPr="001B6B64">
              <w:t>, in 24-hour format, of the event(s) or other occurrence(s) adduced by the relevant participant as the reason for the rebid occurred</w:t>
            </w:r>
            <w:r w:rsidR="00837301">
              <w:t>.</w:t>
            </w:r>
            <w:r w:rsidRPr="001B6B64">
              <w:t xml:space="preserve"> </w:t>
            </w:r>
          </w:p>
        </w:tc>
      </w:tr>
      <w:tr w:rsidR="001B6B64" w:rsidRPr="00A32E65" w:rsidTr="00411054">
        <w:tc>
          <w:tcPr>
            <w:tcW w:w="1109" w:type="dxa"/>
          </w:tcPr>
          <w:p w:rsidR="001B6B64" w:rsidRPr="001B6B64" w:rsidRDefault="001B6B64" w:rsidP="0044265E">
            <w:r w:rsidRPr="001B6B64">
              <w:t>DDD…D</w:t>
            </w:r>
          </w:p>
        </w:tc>
        <w:tc>
          <w:tcPr>
            <w:tcW w:w="7194" w:type="dxa"/>
          </w:tcPr>
          <w:p w:rsidR="001B6B64" w:rsidRPr="001B6B64" w:rsidRDefault="001B6B64" w:rsidP="001B6B64">
            <w:proofErr w:type="gramStart"/>
            <w:r w:rsidRPr="0027218D">
              <w:t>is</w:t>
            </w:r>
            <w:proofErr w:type="gramEnd"/>
            <w:r w:rsidRPr="0027218D">
              <w:t xml:space="preserve"> a verifiable description of the </w:t>
            </w:r>
            <w:r w:rsidRPr="001B6B64">
              <w:t xml:space="preserve">events or occurrences that explain the </w:t>
            </w:r>
            <w:r w:rsidRPr="00C94175">
              <w:rPr>
                <w:rStyle w:val="Emphasis"/>
              </w:rPr>
              <w:t>rebid</w:t>
            </w:r>
            <w:r w:rsidRPr="001B6B64">
              <w:t xml:space="preserve">. </w:t>
            </w:r>
          </w:p>
          <w:p w:rsidR="001B6B64" w:rsidRPr="001B6B64" w:rsidRDefault="001B6B64" w:rsidP="001B6B64">
            <w:r>
              <w:t>(</w:t>
            </w:r>
            <w:r w:rsidRPr="001B6B64">
              <w:t xml:space="preserve">Where appropriate, the </w:t>
            </w:r>
            <w:r w:rsidRPr="00837301">
              <w:rPr>
                <w:rStyle w:val="Emphasis"/>
              </w:rPr>
              <w:t>relevant participant</w:t>
            </w:r>
            <w:r w:rsidRPr="001B6B64">
              <w:t xml:space="preserve"> should provide before and after data for relevant factors that assist in explaining the reason for the </w:t>
            </w:r>
            <w:r w:rsidRPr="00C94175">
              <w:rPr>
                <w:rStyle w:val="Emphasis"/>
              </w:rPr>
              <w:t>rebid</w:t>
            </w:r>
            <w:r w:rsidRPr="001B6B64">
              <w:t xml:space="preserve">). </w:t>
            </w:r>
          </w:p>
        </w:tc>
      </w:tr>
    </w:tbl>
    <w:p w:rsidR="001B6B64" w:rsidRDefault="001B6B64" w:rsidP="001B6B64">
      <w:pPr>
        <w:pStyle w:val="Heading1"/>
      </w:pPr>
      <w:bookmarkStart w:id="52" w:name="_Toc383520249"/>
      <w:bookmarkStart w:id="53" w:name="_Toc462138207"/>
      <w:bookmarkEnd w:id="51"/>
      <w:r>
        <w:lastRenderedPageBreak/>
        <w:t xml:space="preserve">Supervisory </w:t>
      </w:r>
      <w:r w:rsidR="00DA0C2B">
        <w:t>c</w:t>
      </w:r>
      <w:r>
        <w:t xml:space="preserve">ontrol </w:t>
      </w:r>
      <w:r w:rsidR="00DA0C2B">
        <w:t>a</w:t>
      </w:r>
      <w:r>
        <w:t xml:space="preserve">nd </w:t>
      </w:r>
      <w:r w:rsidR="00DA0C2B">
        <w:t>d</w:t>
      </w:r>
      <w:r>
        <w:t xml:space="preserve">ata </w:t>
      </w:r>
      <w:r w:rsidR="00DA0C2B">
        <w:t>a</w:t>
      </w:r>
      <w:r>
        <w:t>cquisition</w:t>
      </w:r>
      <w:bookmarkEnd w:id="52"/>
      <w:r>
        <w:t xml:space="preserve"> </w:t>
      </w:r>
      <w:r w:rsidR="00F937F5">
        <w:t xml:space="preserve">(SCADA) </w:t>
      </w:r>
      <w:r>
        <w:t>inputs</w:t>
      </w:r>
      <w:bookmarkEnd w:id="53"/>
    </w:p>
    <w:p w:rsidR="007F1568" w:rsidRPr="007F1568" w:rsidRDefault="007F1568" w:rsidP="007F1568">
      <w:r w:rsidRPr="007F1568">
        <w:rPr>
          <w:rStyle w:val="Emphasis"/>
        </w:rPr>
        <w:t>Relevant participants</w:t>
      </w:r>
      <w:r w:rsidRPr="007F1568">
        <w:t xml:space="preserve"> provide real time information about their plant capability (in particular </w:t>
      </w:r>
      <w:r w:rsidRPr="007F1568">
        <w:rPr>
          <w:rStyle w:val="Emphasis"/>
        </w:rPr>
        <w:t>ramp rates</w:t>
      </w:r>
      <w:r w:rsidRPr="007F1568">
        <w:t xml:space="preserve"> and regulation FCAS </w:t>
      </w:r>
      <w:r w:rsidRPr="0051756D">
        <w:rPr>
          <w:rStyle w:val="Emphasis"/>
        </w:rPr>
        <w:t>enablement limits</w:t>
      </w:r>
      <w:r w:rsidRPr="007F1568">
        <w:t xml:space="preserve">) through the SCADA system. This information is in addition to the values contained in the </w:t>
      </w:r>
      <w:r w:rsidRPr="007F1568">
        <w:rPr>
          <w:rStyle w:val="Emphasis"/>
        </w:rPr>
        <w:t>relevant participant’s</w:t>
      </w:r>
      <w:r w:rsidRPr="007F1568">
        <w:t xml:space="preserve"> </w:t>
      </w:r>
      <w:r w:rsidRPr="007F1568">
        <w:rPr>
          <w:rStyle w:val="Emphasis"/>
        </w:rPr>
        <w:t>bid</w:t>
      </w:r>
      <w:r w:rsidRPr="007F1568">
        <w:t xml:space="preserve"> or </w:t>
      </w:r>
      <w:r w:rsidRPr="007F1568">
        <w:rPr>
          <w:rStyle w:val="Emphasis"/>
        </w:rPr>
        <w:t>offer</w:t>
      </w:r>
      <w:r w:rsidRPr="007F1568">
        <w:t xml:space="preserve">. The AEMO </w:t>
      </w:r>
      <w:r w:rsidRPr="007F1568">
        <w:rPr>
          <w:rStyle w:val="Emphasis"/>
        </w:rPr>
        <w:t>dispatch</w:t>
      </w:r>
      <w:r w:rsidRPr="007F1568">
        <w:t xml:space="preserve"> process uses the most constraining of the SCADA and the offered values. </w:t>
      </w:r>
    </w:p>
    <w:p w:rsidR="007F1568" w:rsidRPr="007F1568" w:rsidRDefault="007F1568" w:rsidP="007F1568">
      <w:r w:rsidRPr="007F1568">
        <w:t xml:space="preserve">In situations where a material difference emerges between SCADA values and </w:t>
      </w:r>
      <w:r w:rsidRPr="007F1568">
        <w:rPr>
          <w:rStyle w:val="Emphasis"/>
        </w:rPr>
        <w:t>bid</w:t>
      </w:r>
      <w:r w:rsidRPr="007F1568">
        <w:t xml:space="preserve"> or </w:t>
      </w:r>
      <w:r w:rsidRPr="007F1568">
        <w:rPr>
          <w:rStyle w:val="Emphasis"/>
        </w:rPr>
        <w:t>offer</w:t>
      </w:r>
      <w:r w:rsidRPr="007F1568">
        <w:t xml:space="preserve"> data, a </w:t>
      </w:r>
      <w:r w:rsidRPr="007F1568">
        <w:rPr>
          <w:rStyle w:val="Emphasis"/>
        </w:rPr>
        <w:t>rebid</w:t>
      </w:r>
      <w:r w:rsidRPr="007F1568">
        <w:t xml:space="preserve"> containing a brief, verifiable and specific rebid reason should be submitted, to bring the </w:t>
      </w:r>
      <w:r w:rsidRPr="007F1568">
        <w:rPr>
          <w:rStyle w:val="Emphasis"/>
        </w:rPr>
        <w:t>bid</w:t>
      </w:r>
      <w:r w:rsidRPr="007F1568">
        <w:t xml:space="preserve"> or </w:t>
      </w:r>
      <w:r w:rsidRPr="007F1568">
        <w:rPr>
          <w:rStyle w:val="Emphasis"/>
        </w:rPr>
        <w:t>offer</w:t>
      </w:r>
      <w:r w:rsidRPr="007F1568">
        <w:t xml:space="preserve"> in line with the SCADA value. For clarity this applies when the SCADA value is more constraining than that specified in the </w:t>
      </w:r>
      <w:r w:rsidRPr="0051756D">
        <w:rPr>
          <w:rStyle w:val="Emphasis"/>
        </w:rPr>
        <w:t>relevant participant’s</w:t>
      </w:r>
      <w:r w:rsidRPr="007F1568">
        <w:t xml:space="preserve"> </w:t>
      </w:r>
      <w:r w:rsidRPr="007F1568">
        <w:rPr>
          <w:rStyle w:val="Emphasis"/>
        </w:rPr>
        <w:t>bid</w:t>
      </w:r>
      <w:r w:rsidRPr="007F1568">
        <w:t xml:space="preserve"> or </w:t>
      </w:r>
      <w:r w:rsidRPr="007F1568">
        <w:rPr>
          <w:rStyle w:val="Emphasis"/>
        </w:rPr>
        <w:t>offer</w:t>
      </w:r>
      <w:r w:rsidRPr="007F1568">
        <w:t>.</w:t>
      </w:r>
    </w:p>
    <w:p w:rsidR="0044265E" w:rsidRDefault="00143911" w:rsidP="0044265E">
      <w:pPr>
        <w:pStyle w:val="Heading1"/>
      </w:pPr>
      <w:bookmarkStart w:id="54" w:name="_Toc223245068"/>
      <w:bookmarkStart w:id="55" w:name="_Toc383520250"/>
      <w:bookmarkStart w:id="56" w:name="_Toc462138208"/>
      <w:r>
        <w:lastRenderedPageBreak/>
        <w:t>I</w:t>
      </w:r>
      <w:r w:rsidR="0044265E">
        <w:t>nformation requests by the AER</w:t>
      </w:r>
      <w:bookmarkEnd w:id="54"/>
      <w:bookmarkEnd w:id="55"/>
      <w:bookmarkEnd w:id="56"/>
    </w:p>
    <w:p w:rsidR="0044265E" w:rsidRPr="00ED4A27" w:rsidRDefault="0044265E" w:rsidP="0044265E">
      <w:pPr>
        <w:pStyle w:val="Heading2"/>
      </w:pPr>
      <w:bookmarkStart w:id="57" w:name="_Toc223245069"/>
      <w:bookmarkStart w:id="58" w:name="_Toc383520251"/>
      <w:bookmarkStart w:id="59" w:name="_Toc462138209"/>
      <w:r w:rsidRPr="00ED4A27">
        <w:t>Overview of requirements</w:t>
      </w:r>
      <w:bookmarkEnd w:id="57"/>
      <w:bookmarkEnd w:id="58"/>
      <w:bookmarkEnd w:id="59"/>
    </w:p>
    <w:p w:rsidR="0044265E" w:rsidRDefault="00510615" w:rsidP="0044265E">
      <w:r>
        <w:t>Under c</w:t>
      </w:r>
      <w:r w:rsidR="0044265E">
        <w:t>lauses 3.8.3A(</w:t>
      </w:r>
      <w:r w:rsidR="00E972D4">
        <w:t>f</w:t>
      </w:r>
      <w:r w:rsidR="0044265E">
        <w:t>)</w:t>
      </w:r>
      <w:r w:rsidR="00B7445C">
        <w:t xml:space="preserve"> and (g)</w:t>
      </w:r>
      <w:r w:rsidR="0044265E">
        <w:t>, 3.8.19(b)(2)</w:t>
      </w:r>
      <w:r w:rsidR="00B7445C">
        <w:t xml:space="preserve"> and</w:t>
      </w:r>
      <w:r w:rsidR="0044265E">
        <w:t xml:space="preserve"> 3.8.22(c)(3) of the Rules, the AER may request additional information to substantiate and verify the reason for</w:t>
      </w:r>
      <w:r>
        <w:t xml:space="preserve">: submitting a </w:t>
      </w:r>
      <w:r w:rsidR="0044265E" w:rsidRPr="0051756D">
        <w:rPr>
          <w:rStyle w:val="Emphasis"/>
        </w:rPr>
        <w:t>ramp</w:t>
      </w:r>
      <w:r w:rsidR="0051756D" w:rsidRPr="0051756D">
        <w:rPr>
          <w:rStyle w:val="Emphasis"/>
        </w:rPr>
        <w:t> </w:t>
      </w:r>
      <w:r w:rsidR="0044265E" w:rsidRPr="0051756D">
        <w:rPr>
          <w:rStyle w:val="Emphasis"/>
        </w:rPr>
        <w:t>rate</w:t>
      </w:r>
      <w:r w:rsidR="0044265E">
        <w:t xml:space="preserve"> below the </w:t>
      </w:r>
      <w:r>
        <w:t xml:space="preserve">required </w:t>
      </w:r>
      <w:r w:rsidR="0044265E">
        <w:t>minimum</w:t>
      </w:r>
      <w:r>
        <w:t xml:space="preserve"> value;</w:t>
      </w:r>
      <w:r w:rsidR="0044265E">
        <w:t xml:space="preserve"> </w:t>
      </w:r>
      <w:r>
        <w:t xml:space="preserve">submitting an </w:t>
      </w:r>
      <w:r w:rsidR="0044265E" w:rsidRPr="0051756D">
        <w:rPr>
          <w:rStyle w:val="Emphasis"/>
        </w:rPr>
        <w:t>inflexible bid</w:t>
      </w:r>
      <w:r>
        <w:t>;</w:t>
      </w:r>
      <w:r w:rsidR="0044265E">
        <w:t xml:space="preserve"> </w:t>
      </w:r>
      <w:r>
        <w:t>and</w:t>
      </w:r>
      <w:r w:rsidR="00923E07">
        <w:t xml:space="preserve"> </w:t>
      </w:r>
      <w:r w:rsidR="0044265E">
        <w:t xml:space="preserve">a </w:t>
      </w:r>
      <w:r w:rsidR="0044265E" w:rsidRPr="0051756D">
        <w:rPr>
          <w:rStyle w:val="Emphasis"/>
        </w:rPr>
        <w:t>rebid</w:t>
      </w:r>
      <w:r>
        <w:t xml:space="preserve"> (including any record made in respect a rebid submitted in the late rebidding period), respectively</w:t>
      </w:r>
      <w:r w:rsidR="0044265E">
        <w:t>.</w:t>
      </w:r>
      <w:r w:rsidR="00194D1E">
        <w:t xml:space="preserve"> </w:t>
      </w:r>
    </w:p>
    <w:p w:rsidR="0044265E" w:rsidRPr="006A5A6A" w:rsidRDefault="0044265E" w:rsidP="0044265E">
      <w:r>
        <w:t>The</w:t>
      </w:r>
      <w:r w:rsidRPr="006A5A6A">
        <w:t xml:space="preserve"> AER </w:t>
      </w:r>
      <w:r>
        <w:t>can also seek</w:t>
      </w:r>
      <w:r w:rsidRPr="006A5A6A">
        <w:t xml:space="preserve"> </w:t>
      </w:r>
      <w:r>
        <w:t xml:space="preserve">documents and </w:t>
      </w:r>
      <w:r w:rsidRPr="006A5A6A">
        <w:t xml:space="preserve">information </w:t>
      </w:r>
      <w:r>
        <w:t>under section 28 of the Electricity</w:t>
      </w:r>
      <w:r w:rsidRPr="006A5A6A">
        <w:t xml:space="preserve"> </w:t>
      </w:r>
      <w:r>
        <w:t>Law</w:t>
      </w:r>
      <w:r w:rsidRPr="006A5A6A">
        <w:t>.</w:t>
      </w:r>
      <w:r>
        <w:t xml:space="preserve"> </w:t>
      </w:r>
    </w:p>
    <w:p w:rsidR="0044265E" w:rsidRPr="00ED4A27" w:rsidRDefault="0044265E" w:rsidP="0044265E">
      <w:pPr>
        <w:pStyle w:val="Heading2"/>
      </w:pPr>
      <w:bookmarkStart w:id="60" w:name="_Toc223245071"/>
      <w:bookmarkStart w:id="61" w:name="_Toc383520253"/>
      <w:bookmarkStart w:id="62" w:name="_Toc462138210"/>
      <w:r w:rsidRPr="00ED4A27">
        <w:t>Procedure for requesting further information</w:t>
      </w:r>
      <w:bookmarkEnd w:id="60"/>
      <w:bookmarkEnd w:id="61"/>
      <w:bookmarkEnd w:id="62"/>
    </w:p>
    <w:p w:rsidR="00323907" w:rsidRDefault="003B2814" w:rsidP="0044265E">
      <w:r>
        <w:t>Under</w:t>
      </w:r>
      <w:r w:rsidR="00323907">
        <w:t xml:space="preserve"> clauses 3.8.22(c</w:t>
      </w:r>
      <w:proofErr w:type="gramStart"/>
      <w:r w:rsidR="00323907">
        <w:t>)(</w:t>
      </w:r>
      <w:proofErr w:type="gramEnd"/>
      <w:r w:rsidR="00323907">
        <w:t>3), 3.8.3A(f) and (g) and 3.8.19(b)(2), w</w:t>
      </w:r>
      <w:r w:rsidR="00D44967">
        <w:t>e may</w:t>
      </w:r>
      <w:r w:rsidR="00323907">
        <w:t xml:space="preserve"> require, upon written request,</w:t>
      </w:r>
      <w:r w:rsidR="00D44967">
        <w:t xml:space="preserve"> </w:t>
      </w:r>
      <w:r w:rsidR="00323907" w:rsidRPr="00CC604A">
        <w:rPr>
          <w:rStyle w:val="Emphasis"/>
        </w:rPr>
        <w:t>relevant participants</w:t>
      </w:r>
      <w:r w:rsidR="00323907">
        <w:t xml:space="preserve"> to provide </w:t>
      </w:r>
      <w:r w:rsidR="0044265E" w:rsidRPr="00E94BAB">
        <w:t xml:space="preserve">additional information </w:t>
      </w:r>
      <w:r>
        <w:t>in accordance with</w:t>
      </w:r>
      <w:r w:rsidRPr="00E94BAB">
        <w:t xml:space="preserve"> </w:t>
      </w:r>
      <w:r w:rsidR="0044265E" w:rsidRPr="00E94BAB">
        <w:t>th</w:t>
      </w:r>
      <w:r w:rsidR="0044265E">
        <w:t xml:space="preserve">is </w:t>
      </w:r>
      <w:r w:rsidR="00837301">
        <w:t>g</w:t>
      </w:r>
      <w:r w:rsidR="0044265E">
        <w:t>uideline</w:t>
      </w:r>
      <w:r>
        <w:t>.</w:t>
      </w:r>
      <w:r w:rsidR="00A179B1">
        <w:t xml:space="preserve"> </w:t>
      </w:r>
    </w:p>
    <w:p w:rsidR="00A03B22" w:rsidRDefault="00A03B22" w:rsidP="00A03B22">
      <w:r>
        <w:t>Under clause 3.8.22(c</w:t>
      </w:r>
      <w:proofErr w:type="gramStart"/>
      <w:r>
        <w:t>)(</w:t>
      </w:r>
      <w:proofErr w:type="gramEnd"/>
      <w:r>
        <w:t xml:space="preserve">3), we may request additional information to substantiate and verify the reason for a </w:t>
      </w:r>
      <w:r w:rsidRPr="00637BA5">
        <w:rPr>
          <w:rStyle w:val="Emphasis"/>
        </w:rPr>
        <w:t>rebid</w:t>
      </w:r>
      <w:r>
        <w:t xml:space="preserve"> (including any record made under paragraph (ca) - "late rebidding contemporaneous record"). </w:t>
      </w:r>
    </w:p>
    <w:p w:rsidR="00A03B22" w:rsidRDefault="00A03B22" w:rsidP="0044265E">
      <w:r>
        <w:t xml:space="preserve">Clause </w:t>
      </w:r>
      <w:proofErr w:type="gramStart"/>
      <w:r>
        <w:t>3.8.3A(</w:t>
      </w:r>
      <w:proofErr w:type="gramEnd"/>
      <w:r>
        <w:t xml:space="preserve">f) allows us to request additional information from </w:t>
      </w:r>
      <w:r w:rsidRPr="00CC604A">
        <w:rPr>
          <w:rStyle w:val="Emphasis"/>
        </w:rPr>
        <w:t>relevant participa</w:t>
      </w:r>
      <w:r w:rsidR="00947524" w:rsidRPr="00CC604A">
        <w:rPr>
          <w:rStyle w:val="Emphasis"/>
        </w:rPr>
        <w:t>n</w:t>
      </w:r>
      <w:r w:rsidRPr="00CC604A">
        <w:rPr>
          <w:rStyle w:val="Emphasis"/>
        </w:rPr>
        <w:t>t</w:t>
      </w:r>
      <w:r w:rsidR="00947524">
        <w:rPr>
          <w:rStyle w:val="Emphasis"/>
        </w:rPr>
        <w:t>s</w:t>
      </w:r>
      <w:r>
        <w:t xml:space="preserve"> to substantiate and verify </w:t>
      </w:r>
      <w:r w:rsidRPr="00CC604A">
        <w:rPr>
          <w:rStyle w:val="Emphasis"/>
        </w:rPr>
        <w:t>rebid</w:t>
      </w:r>
      <w:r>
        <w:t xml:space="preserve"> </w:t>
      </w:r>
      <w:r w:rsidR="00947524">
        <w:t xml:space="preserve">reasons for </w:t>
      </w:r>
      <w:r w:rsidR="00947524" w:rsidRPr="00CC604A">
        <w:rPr>
          <w:rStyle w:val="Emphasis"/>
        </w:rPr>
        <w:t>ramp rate</w:t>
      </w:r>
      <w:r w:rsidR="00947524">
        <w:rPr>
          <w:rStyle w:val="Emphasis"/>
        </w:rPr>
        <w:t>s</w:t>
      </w:r>
      <w:r w:rsidR="00947524">
        <w:t xml:space="preserve"> below the minimum required. </w:t>
      </w:r>
    </w:p>
    <w:p w:rsidR="006719E8" w:rsidRDefault="00323907" w:rsidP="006719E8">
      <w:r>
        <w:t>In respect of clause 3.8.19(b)(2), we may seek additional information in accordance with clause 3.8.19(b)(2)</w:t>
      </w:r>
      <w:r w:rsidRPr="00964F75">
        <w:t xml:space="preserve"> </w:t>
      </w:r>
      <w:r>
        <w:t xml:space="preserve">to ascertain the nature of the </w:t>
      </w:r>
      <w:r w:rsidRPr="00237247">
        <w:t>abnormal plant conditions or other abnormal operating requirements</w:t>
      </w:r>
      <w:r>
        <w:t xml:space="preserve"> to confirm that the </w:t>
      </w:r>
      <w:r w:rsidRPr="00157F55">
        <w:rPr>
          <w:rStyle w:val="Emphasis"/>
        </w:rPr>
        <w:t>inflexible bid</w:t>
      </w:r>
      <w:r>
        <w:t xml:space="preserve">, or </w:t>
      </w:r>
      <w:r w:rsidRPr="00157F55">
        <w:rPr>
          <w:rStyle w:val="Emphasis"/>
        </w:rPr>
        <w:t>rebid</w:t>
      </w:r>
      <w:r>
        <w:t>, was submitted in accordance with clause 3.8.19.</w:t>
      </w:r>
    </w:p>
    <w:p w:rsidR="006719E8" w:rsidRDefault="00947524" w:rsidP="006719E8">
      <w:r w:rsidRPr="006719E8">
        <w:t>Our written request will clearly set out the information and level of detail required</w:t>
      </w:r>
      <w:r w:rsidR="00F707D0">
        <w:t xml:space="preserve"> from </w:t>
      </w:r>
      <w:r w:rsidR="00F707D0" w:rsidRPr="00EA7FCD">
        <w:rPr>
          <w:rStyle w:val="Emphasis"/>
        </w:rPr>
        <w:t>relevant</w:t>
      </w:r>
      <w:r w:rsidR="00F707D0">
        <w:t xml:space="preserve"> </w:t>
      </w:r>
      <w:r w:rsidR="00EA7FCD" w:rsidRPr="00EA7FCD">
        <w:rPr>
          <w:rStyle w:val="Emphasis"/>
        </w:rPr>
        <w:t>p</w:t>
      </w:r>
      <w:r w:rsidR="00F707D0" w:rsidRPr="00EA7FCD">
        <w:rPr>
          <w:rStyle w:val="Emphasis"/>
        </w:rPr>
        <w:t>articipants</w:t>
      </w:r>
      <w:r w:rsidRPr="006719E8">
        <w:t xml:space="preserve">. In addition, we will allow </w:t>
      </w:r>
      <w:r w:rsidRPr="0051756D">
        <w:rPr>
          <w:rStyle w:val="Emphasis"/>
        </w:rPr>
        <w:t>relevant participants</w:t>
      </w:r>
      <w:r w:rsidRPr="006719E8">
        <w:t xml:space="preserve"> a r</w:t>
      </w:r>
      <w:r w:rsidR="00CC604A" w:rsidRPr="006719E8">
        <w:t xml:space="preserve">easonable time to provide a fulsome response. </w:t>
      </w:r>
      <w:bookmarkStart w:id="63" w:name="_Toc223245072"/>
      <w:bookmarkStart w:id="64" w:name="_Toc383520254"/>
    </w:p>
    <w:p w:rsidR="00463506" w:rsidRDefault="00463506" w:rsidP="00803331">
      <w:pPr>
        <w:pStyle w:val="Heading3"/>
      </w:pPr>
      <w:bookmarkStart w:id="65" w:name="_Toc462138211"/>
      <w:r>
        <w:t>Contemporaneous records</w:t>
      </w:r>
      <w:bookmarkEnd w:id="65"/>
    </w:p>
    <w:p w:rsidR="00803331" w:rsidRPr="006719E8" w:rsidRDefault="00803331" w:rsidP="006719E8">
      <w:r>
        <w:t xml:space="preserve">We consider it </w:t>
      </w:r>
      <w:r w:rsidRPr="00803331">
        <w:t>sufficient for participants to record the location of multiple sources of information, and broadly what was happening at the time, without extracting and presenting the information in a single document.</w:t>
      </w:r>
    </w:p>
    <w:p w:rsidR="0044265E" w:rsidRPr="00F27644" w:rsidRDefault="0044265E" w:rsidP="006719E8">
      <w:pPr>
        <w:pStyle w:val="Heading1"/>
      </w:pPr>
      <w:bookmarkStart w:id="66" w:name="_Toc462138212"/>
      <w:r>
        <w:lastRenderedPageBreak/>
        <w:t>Information provided to AEMO in error</w:t>
      </w:r>
      <w:bookmarkEnd w:id="63"/>
      <w:bookmarkEnd w:id="64"/>
      <w:bookmarkEnd w:id="66"/>
    </w:p>
    <w:p w:rsidR="00132401" w:rsidRDefault="00132401" w:rsidP="0044265E">
      <w:r>
        <w:t xml:space="preserve">As discussed in our Statement of Approach, </w:t>
      </w:r>
      <w:r w:rsidR="00151DC8">
        <w:t xml:space="preserve">we encourage </w:t>
      </w:r>
      <w:r w:rsidR="0051756D" w:rsidRPr="0051756D">
        <w:rPr>
          <w:rStyle w:val="Emphasis"/>
        </w:rPr>
        <w:t xml:space="preserve">relevant </w:t>
      </w:r>
      <w:r w:rsidR="00151DC8" w:rsidRPr="0051756D">
        <w:rPr>
          <w:rStyle w:val="Emphasis"/>
        </w:rPr>
        <w:t>participants</w:t>
      </w:r>
      <w:r w:rsidR="00151DC8">
        <w:t xml:space="preserve"> to aim to </w:t>
      </w:r>
      <w:r>
        <w:t>achieve compliance with the national energy laws</w:t>
      </w:r>
      <w:r w:rsidR="00875833">
        <w:t xml:space="preserve">. We seek to demonstrate proportionality and procedural fairness in our enforcement actions. </w:t>
      </w:r>
    </w:p>
    <w:p w:rsidR="005F0521" w:rsidRDefault="0044265E" w:rsidP="0044265E">
      <w:r>
        <w:t xml:space="preserve">If a </w:t>
      </w:r>
      <w:r w:rsidRPr="0051756D">
        <w:rPr>
          <w:rStyle w:val="Emphasis"/>
        </w:rPr>
        <w:t>relevant participant</w:t>
      </w:r>
      <w:r>
        <w:t xml:space="preserve"> b</w:t>
      </w:r>
      <w:r w:rsidRPr="00BF2113">
        <w:t>ecome</w:t>
      </w:r>
      <w:r>
        <w:t>s</w:t>
      </w:r>
      <w:r w:rsidRPr="00BF2113">
        <w:t xml:space="preserve"> aware of an error in the</w:t>
      </w:r>
      <w:r>
        <w:t xml:space="preserve"> </w:t>
      </w:r>
      <w:r w:rsidRPr="00950596">
        <w:rPr>
          <w:rStyle w:val="Emphasis"/>
        </w:rPr>
        <w:t>bid</w:t>
      </w:r>
      <w:r>
        <w:t xml:space="preserve"> or </w:t>
      </w:r>
      <w:r w:rsidRPr="00950596">
        <w:rPr>
          <w:rStyle w:val="Emphasis"/>
        </w:rPr>
        <w:t>rebid</w:t>
      </w:r>
      <w:r w:rsidRPr="00BF2113">
        <w:t xml:space="preserve"> reasons they have provided to </w:t>
      </w:r>
      <w:r>
        <w:t xml:space="preserve">AEMO and there is sufficient time to lodge another </w:t>
      </w:r>
      <w:r w:rsidR="000376E3">
        <w:t xml:space="preserve">(correcting) </w:t>
      </w:r>
      <w:r w:rsidRPr="00950596">
        <w:rPr>
          <w:rStyle w:val="Emphasis"/>
        </w:rPr>
        <w:t>rebid</w:t>
      </w:r>
      <w:r>
        <w:t xml:space="preserve">, a </w:t>
      </w:r>
      <w:r w:rsidRPr="00950596">
        <w:rPr>
          <w:rStyle w:val="Emphasis"/>
        </w:rPr>
        <w:t>rebid</w:t>
      </w:r>
      <w:r>
        <w:t xml:space="preserve"> should be submitted under the category of “E” </w:t>
      </w:r>
      <w:r w:rsidR="00BA4347">
        <w:t>(</w:t>
      </w:r>
      <w:r>
        <w:t>for error</w:t>
      </w:r>
      <w:r w:rsidR="00BA4347">
        <w:t>)</w:t>
      </w:r>
      <w:r>
        <w:t xml:space="preserve">. If a large number of corrected </w:t>
      </w:r>
      <w:r w:rsidRPr="00950596">
        <w:rPr>
          <w:rStyle w:val="Emphasis"/>
        </w:rPr>
        <w:t>rebids</w:t>
      </w:r>
      <w:r>
        <w:t xml:space="preserve"> are submitted, the AER may seek further information regarding the source of the errors.</w:t>
      </w:r>
      <w:r w:rsidR="00745747">
        <w:t xml:space="preserve"> </w:t>
      </w:r>
    </w:p>
    <w:p w:rsidR="0044265E" w:rsidRDefault="00745747" w:rsidP="0044265E">
      <w:r>
        <w:t xml:space="preserve">However, </w:t>
      </w:r>
      <w:r w:rsidR="0051756D">
        <w:t>when</w:t>
      </w:r>
      <w:r>
        <w:t xml:space="preserve"> </w:t>
      </w:r>
      <w:r w:rsidR="0044265E">
        <w:t>errors are detected with</w:t>
      </w:r>
      <w:r>
        <w:t>out</w:t>
      </w:r>
      <w:r w:rsidR="0044265E">
        <w:t xml:space="preserve"> sufficient time for a </w:t>
      </w:r>
      <w:r w:rsidR="009667E6">
        <w:t xml:space="preserve">correcting </w:t>
      </w:r>
      <w:r w:rsidR="009667E6" w:rsidRPr="00950596">
        <w:rPr>
          <w:rStyle w:val="Emphasis"/>
        </w:rPr>
        <w:t>rebid</w:t>
      </w:r>
      <w:r w:rsidR="009667E6">
        <w:t xml:space="preserve"> </w:t>
      </w:r>
      <w:r w:rsidR="0044265E">
        <w:t xml:space="preserve">to be </w:t>
      </w:r>
      <w:r w:rsidR="00950596">
        <w:t>submitted</w:t>
      </w:r>
      <w:r w:rsidR="0044265E">
        <w:t xml:space="preserve">, </w:t>
      </w:r>
      <w:r w:rsidR="00833127" w:rsidRPr="00833127">
        <w:rPr>
          <w:rStyle w:val="Emphasis"/>
        </w:rPr>
        <w:t xml:space="preserve">relevant </w:t>
      </w:r>
      <w:r w:rsidR="00BE2165" w:rsidRPr="00833127">
        <w:rPr>
          <w:rStyle w:val="Emphasis"/>
        </w:rPr>
        <w:t>participant</w:t>
      </w:r>
      <w:r w:rsidR="0051756D">
        <w:rPr>
          <w:rStyle w:val="Emphasis"/>
        </w:rPr>
        <w:t>s</w:t>
      </w:r>
      <w:r w:rsidR="00BE2165">
        <w:t xml:space="preserve"> </w:t>
      </w:r>
      <w:r w:rsidR="00BA4347">
        <w:t xml:space="preserve">should </w:t>
      </w:r>
      <w:r w:rsidR="0051756D">
        <w:t>detail the error in a log book entry</w:t>
      </w:r>
      <w:r w:rsidR="0044265E">
        <w:t xml:space="preserve">. </w:t>
      </w:r>
      <w:r w:rsidR="0051756D" w:rsidRPr="0051756D">
        <w:rPr>
          <w:rStyle w:val="Emphasis"/>
        </w:rPr>
        <w:t>Relevant p</w:t>
      </w:r>
      <w:r w:rsidR="005F0521" w:rsidRPr="0051756D">
        <w:rPr>
          <w:rStyle w:val="Emphasis"/>
        </w:rPr>
        <w:t>articipants</w:t>
      </w:r>
      <w:r w:rsidR="005F0521">
        <w:t xml:space="preserve"> should alert the</w:t>
      </w:r>
      <w:r w:rsidR="0044265E">
        <w:t xml:space="preserve"> AER within two business days of </w:t>
      </w:r>
      <w:r w:rsidR="0051756D">
        <w:t xml:space="preserve">finding </w:t>
      </w:r>
      <w:r w:rsidR="0044265E">
        <w:t>the error</w:t>
      </w:r>
      <w:r w:rsidR="0051756D">
        <w:t>.</w:t>
      </w:r>
      <w:r w:rsidR="0044265E">
        <w:t xml:space="preserve"> </w:t>
      </w:r>
    </w:p>
    <w:p w:rsidR="0044265E" w:rsidRDefault="0044265E" w:rsidP="0044265E">
      <w:r>
        <w:t xml:space="preserve">Consistent with the AER’s Statement of Approach, an important consideration of whether to take further enforcement action is whether the </w:t>
      </w:r>
      <w:r w:rsidRPr="0051756D">
        <w:rPr>
          <w:rStyle w:val="Emphasis"/>
        </w:rPr>
        <w:t>relevant participant</w:t>
      </w:r>
      <w:r>
        <w:t xml:space="preserve"> has cooperated with the AER in relation to the breach. For example, by providing evidence that the AER was otherwise unaware of, and taking prompt and effective action to rectify the breach and avoid a recurrence. The AER may consider whether a </w:t>
      </w:r>
      <w:r w:rsidR="0051756D" w:rsidRPr="0051756D">
        <w:rPr>
          <w:rStyle w:val="Emphasis"/>
        </w:rPr>
        <w:t>relevant</w:t>
      </w:r>
      <w:r w:rsidRPr="0051756D">
        <w:rPr>
          <w:rStyle w:val="Emphasis"/>
        </w:rPr>
        <w:t xml:space="preserve"> participant</w:t>
      </w:r>
      <w:r>
        <w:t xml:space="preserve"> has cooperated fully with the investigation (for example, providing full and frank disclosure of documents and other evidence in relation to the relevant conduct). </w:t>
      </w:r>
    </w:p>
    <w:p w:rsidR="0044265E" w:rsidRDefault="0044265E" w:rsidP="0044265E">
      <w:pPr>
        <w:pStyle w:val="Heading1"/>
      </w:pPr>
      <w:bookmarkStart w:id="67" w:name="_Toc383520255"/>
      <w:bookmarkStart w:id="68" w:name="_Toc462138213"/>
      <w:r>
        <w:lastRenderedPageBreak/>
        <w:t>AER’s procedures for handling confidential information claims</w:t>
      </w:r>
      <w:bookmarkEnd w:id="67"/>
      <w:bookmarkEnd w:id="68"/>
    </w:p>
    <w:p w:rsidR="00A118C0" w:rsidRDefault="00CC2B56" w:rsidP="0044265E">
      <w:r>
        <w:t>T</w:t>
      </w:r>
      <w:r w:rsidR="007176FD">
        <w:t xml:space="preserve">he AER must provide information provided to it in accordance </w:t>
      </w:r>
      <w:r w:rsidR="000E4DC0">
        <w:t>with paragraph</w:t>
      </w:r>
      <w:r>
        <w:t>s</w:t>
      </w:r>
      <w:r w:rsidR="000E4DC0">
        <w:t xml:space="preserve"> 3.8.22(c)(3) </w:t>
      </w:r>
      <w:r>
        <w:t xml:space="preserve">and 3.8.19(b)(2) </w:t>
      </w:r>
      <w:r w:rsidR="00F24919">
        <w:t xml:space="preserve">(additional information to substantiate and verify </w:t>
      </w:r>
      <w:r>
        <w:t xml:space="preserve">the reason for a </w:t>
      </w:r>
      <w:r w:rsidRPr="00931228">
        <w:rPr>
          <w:rStyle w:val="Emphasis"/>
        </w:rPr>
        <w:t>rebid</w:t>
      </w:r>
      <w:r>
        <w:t xml:space="preserve"> or </w:t>
      </w:r>
      <w:r w:rsidRPr="0051756D">
        <w:rPr>
          <w:rStyle w:val="Emphasis"/>
        </w:rPr>
        <w:t>inflexibility</w:t>
      </w:r>
      <w:r>
        <w:t>, respectively)</w:t>
      </w:r>
      <w:r w:rsidR="00F24919">
        <w:t xml:space="preserve"> to </w:t>
      </w:r>
      <w:r w:rsidR="0051756D" w:rsidRPr="0051756D">
        <w:rPr>
          <w:rStyle w:val="Emphasis"/>
        </w:rPr>
        <w:t xml:space="preserve">relevant </w:t>
      </w:r>
      <w:r w:rsidR="00F24919" w:rsidRPr="0051756D">
        <w:rPr>
          <w:rStyle w:val="Emphasis"/>
        </w:rPr>
        <w:t>participants</w:t>
      </w:r>
      <w:r w:rsidR="00F24919">
        <w:t xml:space="preserve"> who request the information, </w:t>
      </w:r>
      <w:r w:rsidR="00DD3AB5" w:rsidRPr="00E73737">
        <w:t>except to the extent that the information can be reasonably claimed to be confidential</w:t>
      </w:r>
      <w:r w:rsidR="00F24919">
        <w:t xml:space="preserve">. </w:t>
      </w:r>
    </w:p>
    <w:p w:rsidR="00083AC2" w:rsidRDefault="00E35B55" w:rsidP="0044265E">
      <w:r>
        <w:t>In accordance with clause 3.8.22(e</w:t>
      </w:r>
      <w:proofErr w:type="gramStart"/>
      <w:r>
        <w:t>)</w:t>
      </w:r>
      <w:r w:rsidR="00B7445C">
        <w:t>(</w:t>
      </w:r>
      <w:proofErr w:type="gramEnd"/>
      <w:r w:rsidR="00B7445C">
        <w:t>2)</w:t>
      </w:r>
      <w:r>
        <w:t xml:space="preserve">, this </w:t>
      </w:r>
      <w:r w:rsidR="00837301">
        <w:t>g</w:t>
      </w:r>
      <w:r>
        <w:t xml:space="preserve">uideline must include procedures for handling confidential information claims in respect of clauses 3.8.22(c)(3) and 3.8.19(b)(2). </w:t>
      </w:r>
      <w:r w:rsidR="00083AC2">
        <w:t>The ACCC/AER Information Policy</w:t>
      </w:r>
      <w:r w:rsidR="00931228">
        <w:t>:</w:t>
      </w:r>
      <w:r w:rsidR="00083AC2">
        <w:t xml:space="preserve"> </w:t>
      </w:r>
      <w:r w:rsidR="00931228" w:rsidRPr="00931228">
        <w:t xml:space="preserve">collection and disclosure of information </w:t>
      </w:r>
      <w:r w:rsidR="00CE219B">
        <w:t>(Information Policy)</w:t>
      </w:r>
      <w:r w:rsidR="00931228">
        <w:rPr>
          <w:rStyle w:val="FootnoteReference"/>
        </w:rPr>
        <w:footnoteReference w:id="6"/>
      </w:r>
      <w:r w:rsidR="00CE219B">
        <w:t xml:space="preserve"> </w:t>
      </w:r>
      <w:r w:rsidR="00083AC2" w:rsidRPr="00083AC2">
        <w:t>sets out the general policy of the Australian Competition and Consumer Commission and the AER on the collection, use and disclosure of information</w:t>
      </w:r>
      <w:r w:rsidR="0049148F">
        <w:t xml:space="preserve"> (including confidential information)</w:t>
      </w:r>
      <w:r w:rsidR="00083AC2" w:rsidRPr="00083AC2">
        <w:t>.</w:t>
      </w:r>
      <w:r w:rsidR="00083AC2">
        <w:t xml:space="preserve"> </w:t>
      </w:r>
    </w:p>
    <w:sectPr w:rsidR="00083AC2" w:rsidSect="00E137FB">
      <w:footerReference w:type="even" r:id="rId12"/>
      <w:footerReference w:type="default" r:id="rId13"/>
      <w:footerReference w:type="first" r:id="rId14"/>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E4" w:rsidRDefault="00E664E4" w:rsidP="004B4412">
      <w:pPr>
        <w:spacing w:before="0"/>
      </w:pPr>
      <w:r>
        <w:separator/>
      </w:r>
    </w:p>
    <w:p w:rsidR="00E664E4" w:rsidRDefault="00E664E4"/>
    <w:p w:rsidR="00E664E4" w:rsidRDefault="00E664E4"/>
  </w:endnote>
  <w:endnote w:type="continuationSeparator" w:id="0">
    <w:p w:rsidR="00E664E4" w:rsidRDefault="00E664E4" w:rsidP="004B4412">
      <w:pPr>
        <w:spacing w:before="0"/>
      </w:pPr>
      <w:r>
        <w:continuationSeparator/>
      </w:r>
    </w:p>
    <w:p w:rsidR="00E664E4" w:rsidRDefault="00E664E4"/>
    <w:p w:rsidR="00E664E4" w:rsidRDefault="00E6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E4" w:rsidRPr="007A4D1F" w:rsidRDefault="00E664E4"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1D523A">
      <w:rPr>
        <w:rFonts w:eastAsia="Arial" w:cs="Times New Roman"/>
        <w:noProof/>
        <w:color w:val="076A92" w:themeColor="text1"/>
        <w:sz w:val="18"/>
      </w:rPr>
      <w:t>Rebidding and Technical Parameters Guideline</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1D523A">
      <w:rPr>
        <w:rFonts w:eastAsia="Arial" w:cs="Times New Roman"/>
        <w:noProof/>
        <w:color w:val="076A92" w:themeColor="text1"/>
        <w:sz w:val="18"/>
      </w:rPr>
      <w:t>iv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E664E4" w:rsidRDefault="00E664E4"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E4" w:rsidRPr="00A91A9E" w:rsidRDefault="00E664E4" w:rsidP="0044265E">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664E4" w:rsidRDefault="00E664E4"/>
  <w:p w:rsidR="00E664E4" w:rsidRDefault="00E664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E4" w:rsidRPr="00EF1D8D" w:rsidRDefault="001D523A" w:rsidP="00433F3D">
    <w:pPr>
      <w:pStyle w:val="Header"/>
    </w:pPr>
    <w:r>
      <w:fldChar w:fldCharType="begin"/>
    </w:r>
    <w:r>
      <w:instrText xml:space="preserve"> STYLEREF  "Report Title"  \* MERGEFORMAT </w:instrText>
    </w:r>
    <w:r>
      <w:fldChar w:fldCharType="separate"/>
    </w:r>
    <w:r>
      <w:rPr>
        <w:noProof/>
      </w:rPr>
      <w:t>Rebidding and Technical Parameters Guideline</w:t>
    </w:r>
    <w:r>
      <w:rPr>
        <w:noProof/>
      </w:rPr>
      <w:fldChar w:fldCharType="end"/>
    </w:r>
    <w:r w:rsidR="00E664E4">
      <w:t xml:space="preserve"> - Draft for consultation purposes</w:t>
    </w:r>
  </w:p>
  <w:p w:rsidR="00E664E4" w:rsidRDefault="00E664E4" w:rsidP="00CC7F1D">
    <w:pPr>
      <w:pStyle w:val="Footer"/>
      <w:tabs>
        <w:tab w:val="clear" w:pos="9026"/>
        <w:tab w:val="right" w:pos="8505"/>
      </w:tabs>
    </w:pPr>
    <w:r>
      <w:tab/>
    </w:r>
    <w:r>
      <w:tab/>
    </w:r>
    <w:r>
      <w:fldChar w:fldCharType="begin"/>
    </w:r>
    <w:r>
      <w:instrText xml:space="preserve"> PAGE   \* MERGEFORMAT </w:instrText>
    </w:r>
    <w:r>
      <w:fldChar w:fldCharType="separate"/>
    </w:r>
    <w:r w:rsidR="001D523A">
      <w:rPr>
        <w:noProof/>
      </w:rPr>
      <w:t>14</w:t>
    </w:r>
    <w:r>
      <w:rPr>
        <w:noProof/>
      </w:rPr>
      <w:fldChar w:fldCharType="end"/>
    </w:r>
  </w:p>
  <w:p w:rsidR="00E664E4" w:rsidRDefault="00E664E4"/>
  <w:p w:rsidR="00E664E4" w:rsidRDefault="00E664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E4" w:rsidRDefault="001D523A" w:rsidP="00CC7F1D">
    <w:pPr>
      <w:pStyle w:val="Footer"/>
      <w:tabs>
        <w:tab w:val="clear" w:pos="9026"/>
        <w:tab w:val="right" w:pos="8505"/>
      </w:tabs>
    </w:pPr>
    <w:r>
      <w:fldChar w:fldCharType="begin"/>
    </w:r>
    <w:r>
      <w:instrText xml:space="preserve"> STYLEREF  "Report Title"  \* MERGEFORMAT </w:instrText>
    </w:r>
    <w:r>
      <w:fldChar w:fldCharType="separate"/>
    </w:r>
    <w:r>
      <w:rPr>
        <w:noProof/>
      </w:rPr>
      <w:t>Rebidding and Technical Parameters Guideline</w:t>
    </w:r>
    <w:r>
      <w:rPr>
        <w:noProof/>
      </w:rPr>
      <w:fldChar w:fldCharType="end"/>
    </w:r>
    <w:r w:rsidR="00E664E4">
      <w:tab/>
    </w:r>
    <w:r w:rsidR="00E664E4">
      <w:tab/>
    </w:r>
    <w:r w:rsidR="00E664E4">
      <w:fldChar w:fldCharType="begin"/>
    </w:r>
    <w:r w:rsidR="00E664E4">
      <w:instrText xml:space="preserve"> PAGE   \* MERGEFORMAT </w:instrText>
    </w:r>
    <w:r w:rsidR="00E664E4">
      <w:fldChar w:fldCharType="separate"/>
    </w:r>
    <w:r>
      <w:rPr>
        <w:noProof/>
      </w:rPr>
      <w:t>1</w:t>
    </w:r>
    <w:r w:rsidR="00E664E4">
      <w:fldChar w:fldCharType="end"/>
    </w:r>
  </w:p>
  <w:p w:rsidR="00E664E4" w:rsidRDefault="00E664E4">
    <w:pPr>
      <w:pStyle w:val="Footer"/>
    </w:pPr>
  </w:p>
  <w:p w:rsidR="00E664E4" w:rsidRDefault="00E664E4"/>
  <w:p w:rsidR="00E664E4" w:rsidRDefault="00E66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E4" w:rsidRDefault="00E664E4" w:rsidP="00182906">
      <w:pPr>
        <w:spacing w:before="0"/>
      </w:pPr>
      <w:r>
        <w:separator/>
      </w:r>
    </w:p>
  </w:footnote>
  <w:footnote w:type="continuationSeparator" w:id="0">
    <w:p w:rsidR="00E664E4" w:rsidRDefault="00E664E4" w:rsidP="00182906">
      <w:pPr>
        <w:spacing w:before="0"/>
      </w:pPr>
      <w:r>
        <w:continuationSeparator/>
      </w:r>
    </w:p>
  </w:footnote>
  <w:footnote w:type="continuationNotice" w:id="1">
    <w:p w:rsidR="00E664E4" w:rsidRDefault="00E664E4">
      <w:pPr>
        <w:spacing w:before="0" w:line="240" w:lineRule="auto"/>
      </w:pPr>
    </w:p>
  </w:footnote>
  <w:footnote w:id="2">
    <w:p w:rsidR="00E664E4" w:rsidRDefault="00E664E4">
      <w:pPr>
        <w:pStyle w:val="FootnoteText"/>
      </w:pPr>
      <w:r>
        <w:rPr>
          <w:rStyle w:val="FootnoteReference"/>
        </w:rPr>
        <w:footnoteRef/>
      </w:r>
      <w:r>
        <w:t xml:space="preserve"> The AER's functions and powers are outlined in Part 3, Section 15 of the National Electricity Law. </w:t>
      </w:r>
    </w:p>
  </w:footnote>
  <w:footnote w:id="3">
    <w:p w:rsidR="00E664E4" w:rsidRDefault="00E664E4">
      <w:pPr>
        <w:pStyle w:val="FootnoteText"/>
      </w:pPr>
      <w:r>
        <w:rPr>
          <w:rStyle w:val="FootnoteReference"/>
        </w:rPr>
        <w:footnoteRef/>
      </w:r>
      <w:r>
        <w:t xml:space="preserve"> Our Statement of Approach can be found at: </w:t>
      </w:r>
      <w:hyperlink r:id="rId1" w:history="1">
        <w:r w:rsidRPr="007B41BA">
          <w:rPr>
            <w:rStyle w:val="Hyperlink"/>
            <w:sz w:val="16"/>
          </w:rPr>
          <w:t>http://www.aer.gov.au/publications/corporate-documents/aer-compliance-and-enforcement-statement-of-approach</w:t>
        </w:r>
      </w:hyperlink>
      <w:r>
        <w:t xml:space="preserve"> </w:t>
      </w:r>
    </w:p>
  </w:footnote>
  <w:footnote w:id="4">
    <w:p w:rsidR="00E664E4" w:rsidRDefault="00E664E4" w:rsidP="001B6B64">
      <w:pPr>
        <w:pStyle w:val="FootnoteText"/>
      </w:pPr>
      <w:r>
        <w:rPr>
          <w:rStyle w:val="FootnoteReference"/>
        </w:rPr>
        <w:footnoteRef/>
      </w:r>
      <w:r>
        <w:t xml:space="preserve"> </w:t>
      </w:r>
      <w:r>
        <w:tab/>
        <w:t>Whenever a ramp rate is rebid pursuant to clause 3.8.22 of the Rules, a brief, verifiable and specific reason must be provided, in accordance with this Guideline, regardless of whether the revised ramp rate is above or below the minimum.</w:t>
      </w:r>
    </w:p>
  </w:footnote>
  <w:footnote w:id="5">
    <w:p w:rsidR="00E664E4" w:rsidRDefault="00E664E4">
      <w:pPr>
        <w:pStyle w:val="FootnoteText"/>
      </w:pPr>
      <w:r>
        <w:rPr>
          <w:rStyle w:val="FootnoteReference"/>
        </w:rPr>
        <w:footnoteRef/>
      </w:r>
      <w:r>
        <w:t xml:space="preserve"> See AER's Request for rule changes - technical parameters, April 2008, p17, available at </w:t>
      </w:r>
      <w:hyperlink r:id="rId2" w:history="1">
        <w:r w:rsidRPr="007B41BA">
          <w:rPr>
            <w:rStyle w:val="Hyperlink"/>
            <w:sz w:val="16"/>
          </w:rPr>
          <w:t>www.aemc.gov.au</w:t>
        </w:r>
      </w:hyperlink>
      <w:r>
        <w:t xml:space="preserve">  </w:t>
      </w:r>
    </w:p>
  </w:footnote>
  <w:footnote w:id="6">
    <w:p w:rsidR="00E664E4" w:rsidRDefault="00E664E4">
      <w:pPr>
        <w:pStyle w:val="FootnoteText"/>
      </w:pPr>
      <w:r>
        <w:rPr>
          <w:rStyle w:val="FootnoteReference"/>
        </w:rPr>
        <w:footnoteRef/>
      </w:r>
      <w:r>
        <w:t xml:space="preserve"> The ACCC/AER Information Policy can be found at: </w:t>
      </w:r>
      <w:hyperlink r:id="rId3" w:history="1">
        <w:r w:rsidRPr="007B41BA">
          <w:rPr>
            <w:rStyle w:val="Hyperlink"/>
            <w:sz w:val="16"/>
          </w:rPr>
          <w:t>https://www.accc.gov.au/publications/accc-aer-information-policy-collection-and-disclosure-of-information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865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 w:numId="3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hall\draft amended rebidding and technical parameters guideline (for consultation) (D2016-00092285).docx"/>
  </w:docVars>
  <w:rsids>
    <w:rsidRoot w:val="00F742DB"/>
    <w:rsid w:val="00000158"/>
    <w:rsid w:val="00001E46"/>
    <w:rsid w:val="000069AF"/>
    <w:rsid w:val="00010AFC"/>
    <w:rsid w:val="000209C7"/>
    <w:rsid w:val="00021202"/>
    <w:rsid w:val="000232BF"/>
    <w:rsid w:val="000239B9"/>
    <w:rsid w:val="0002517F"/>
    <w:rsid w:val="000279C6"/>
    <w:rsid w:val="00033FA9"/>
    <w:rsid w:val="0003578C"/>
    <w:rsid w:val="000376E3"/>
    <w:rsid w:val="0004065B"/>
    <w:rsid w:val="000553C4"/>
    <w:rsid w:val="000572E3"/>
    <w:rsid w:val="00063247"/>
    <w:rsid w:val="00070F9F"/>
    <w:rsid w:val="0007137B"/>
    <w:rsid w:val="000715F3"/>
    <w:rsid w:val="00074341"/>
    <w:rsid w:val="00083AC2"/>
    <w:rsid w:val="00083D8D"/>
    <w:rsid w:val="00085663"/>
    <w:rsid w:val="00085EBF"/>
    <w:rsid w:val="000870EA"/>
    <w:rsid w:val="00090637"/>
    <w:rsid w:val="0009526F"/>
    <w:rsid w:val="000A0058"/>
    <w:rsid w:val="000A503E"/>
    <w:rsid w:val="000A6AC3"/>
    <w:rsid w:val="000A6C7B"/>
    <w:rsid w:val="000B28EA"/>
    <w:rsid w:val="000B2A1B"/>
    <w:rsid w:val="000C1ED6"/>
    <w:rsid w:val="000C7729"/>
    <w:rsid w:val="000D122C"/>
    <w:rsid w:val="000D1FC4"/>
    <w:rsid w:val="000D6392"/>
    <w:rsid w:val="000D78BB"/>
    <w:rsid w:val="000E1819"/>
    <w:rsid w:val="000E4DC0"/>
    <w:rsid w:val="000E6C72"/>
    <w:rsid w:val="000F13C3"/>
    <w:rsid w:val="000F504E"/>
    <w:rsid w:val="000F62E8"/>
    <w:rsid w:val="0010581C"/>
    <w:rsid w:val="00107CC7"/>
    <w:rsid w:val="00107F4F"/>
    <w:rsid w:val="00116EB2"/>
    <w:rsid w:val="00124609"/>
    <w:rsid w:val="00124B63"/>
    <w:rsid w:val="00130C3C"/>
    <w:rsid w:val="00132401"/>
    <w:rsid w:val="00133483"/>
    <w:rsid w:val="00140B92"/>
    <w:rsid w:val="00143911"/>
    <w:rsid w:val="0014573B"/>
    <w:rsid w:val="00151DC8"/>
    <w:rsid w:val="0015519B"/>
    <w:rsid w:val="001573E4"/>
    <w:rsid w:val="00157F55"/>
    <w:rsid w:val="00160756"/>
    <w:rsid w:val="00170114"/>
    <w:rsid w:val="0017232E"/>
    <w:rsid w:val="00173306"/>
    <w:rsid w:val="00174102"/>
    <w:rsid w:val="00175F07"/>
    <w:rsid w:val="00176F59"/>
    <w:rsid w:val="001776C8"/>
    <w:rsid w:val="00180157"/>
    <w:rsid w:val="00182906"/>
    <w:rsid w:val="00185CB9"/>
    <w:rsid w:val="00186F77"/>
    <w:rsid w:val="00187BA9"/>
    <w:rsid w:val="00191715"/>
    <w:rsid w:val="0019211E"/>
    <w:rsid w:val="001926A4"/>
    <w:rsid w:val="00192AD5"/>
    <w:rsid w:val="00194D1E"/>
    <w:rsid w:val="001979B2"/>
    <w:rsid w:val="001A040F"/>
    <w:rsid w:val="001A1093"/>
    <w:rsid w:val="001B43F8"/>
    <w:rsid w:val="001B45A0"/>
    <w:rsid w:val="001B66D0"/>
    <w:rsid w:val="001B6B64"/>
    <w:rsid w:val="001C5943"/>
    <w:rsid w:val="001D055E"/>
    <w:rsid w:val="001D08E2"/>
    <w:rsid w:val="001D28A7"/>
    <w:rsid w:val="001D523A"/>
    <w:rsid w:val="001E0E8D"/>
    <w:rsid w:val="001E40AF"/>
    <w:rsid w:val="001E59C7"/>
    <w:rsid w:val="001F492E"/>
    <w:rsid w:val="001F521A"/>
    <w:rsid w:val="001F6DA3"/>
    <w:rsid w:val="002010BC"/>
    <w:rsid w:val="002025C8"/>
    <w:rsid w:val="00202E03"/>
    <w:rsid w:val="0020492C"/>
    <w:rsid w:val="00207FDC"/>
    <w:rsid w:val="002236FF"/>
    <w:rsid w:val="00224DB9"/>
    <w:rsid w:val="00233775"/>
    <w:rsid w:val="00233B22"/>
    <w:rsid w:val="00241F6B"/>
    <w:rsid w:val="00251745"/>
    <w:rsid w:val="0026033D"/>
    <w:rsid w:val="00263AC0"/>
    <w:rsid w:val="002674F7"/>
    <w:rsid w:val="0026772D"/>
    <w:rsid w:val="00270A36"/>
    <w:rsid w:val="002762E3"/>
    <w:rsid w:val="00286874"/>
    <w:rsid w:val="00290848"/>
    <w:rsid w:val="00296B65"/>
    <w:rsid w:val="002A04AF"/>
    <w:rsid w:val="002A0E2E"/>
    <w:rsid w:val="002A3EBB"/>
    <w:rsid w:val="002A7DEF"/>
    <w:rsid w:val="002B0368"/>
    <w:rsid w:val="002B5EBF"/>
    <w:rsid w:val="002B635E"/>
    <w:rsid w:val="002B6F2D"/>
    <w:rsid w:val="002C36DF"/>
    <w:rsid w:val="002D6794"/>
    <w:rsid w:val="002E1BE5"/>
    <w:rsid w:val="002E2BFC"/>
    <w:rsid w:val="002E7687"/>
    <w:rsid w:val="002F7986"/>
    <w:rsid w:val="003000C4"/>
    <w:rsid w:val="00301462"/>
    <w:rsid w:val="00301B40"/>
    <w:rsid w:val="00305CC8"/>
    <w:rsid w:val="00307F6D"/>
    <w:rsid w:val="00316A37"/>
    <w:rsid w:val="00316C22"/>
    <w:rsid w:val="003177A2"/>
    <w:rsid w:val="00323907"/>
    <w:rsid w:val="003271B5"/>
    <w:rsid w:val="00327A1E"/>
    <w:rsid w:val="00330AFF"/>
    <w:rsid w:val="00331264"/>
    <w:rsid w:val="00333EFB"/>
    <w:rsid w:val="00334C8D"/>
    <w:rsid w:val="00335D2B"/>
    <w:rsid w:val="0034009A"/>
    <w:rsid w:val="003400F0"/>
    <w:rsid w:val="00341F1F"/>
    <w:rsid w:val="00346920"/>
    <w:rsid w:val="003518B3"/>
    <w:rsid w:val="003557DF"/>
    <w:rsid w:val="00360B56"/>
    <w:rsid w:val="0036239E"/>
    <w:rsid w:val="00363342"/>
    <w:rsid w:val="00370DEE"/>
    <w:rsid w:val="003721FA"/>
    <w:rsid w:val="0037315F"/>
    <w:rsid w:val="003744C4"/>
    <w:rsid w:val="00383DD7"/>
    <w:rsid w:val="003846F1"/>
    <w:rsid w:val="0038536A"/>
    <w:rsid w:val="00393833"/>
    <w:rsid w:val="0039550F"/>
    <w:rsid w:val="003B22C6"/>
    <w:rsid w:val="003B2814"/>
    <w:rsid w:val="003B3C42"/>
    <w:rsid w:val="003B4D86"/>
    <w:rsid w:val="003C0C74"/>
    <w:rsid w:val="003C21C0"/>
    <w:rsid w:val="003C2B13"/>
    <w:rsid w:val="003C4E8B"/>
    <w:rsid w:val="003C7A5B"/>
    <w:rsid w:val="003D03EE"/>
    <w:rsid w:val="003D7498"/>
    <w:rsid w:val="003E287B"/>
    <w:rsid w:val="003F2D69"/>
    <w:rsid w:val="003F4F49"/>
    <w:rsid w:val="004011CD"/>
    <w:rsid w:val="004101EB"/>
    <w:rsid w:val="00411054"/>
    <w:rsid w:val="004279DB"/>
    <w:rsid w:val="00433F3D"/>
    <w:rsid w:val="00440DEA"/>
    <w:rsid w:val="0044265E"/>
    <w:rsid w:val="00442920"/>
    <w:rsid w:val="00444D6A"/>
    <w:rsid w:val="004505D5"/>
    <w:rsid w:val="004524D7"/>
    <w:rsid w:val="00463506"/>
    <w:rsid w:val="00470A16"/>
    <w:rsid w:val="00477F33"/>
    <w:rsid w:val="00480B4B"/>
    <w:rsid w:val="004810AE"/>
    <w:rsid w:val="00485DC4"/>
    <w:rsid w:val="00490409"/>
    <w:rsid w:val="0049148F"/>
    <w:rsid w:val="004A10AD"/>
    <w:rsid w:val="004A43D1"/>
    <w:rsid w:val="004A5E95"/>
    <w:rsid w:val="004B418D"/>
    <w:rsid w:val="004B4412"/>
    <w:rsid w:val="004B4A55"/>
    <w:rsid w:val="004B4D60"/>
    <w:rsid w:val="004B53B2"/>
    <w:rsid w:val="004C0DF2"/>
    <w:rsid w:val="004C2135"/>
    <w:rsid w:val="004C348C"/>
    <w:rsid w:val="004D1968"/>
    <w:rsid w:val="004D2457"/>
    <w:rsid w:val="004D55BA"/>
    <w:rsid w:val="004D70EC"/>
    <w:rsid w:val="004E1025"/>
    <w:rsid w:val="004E22EC"/>
    <w:rsid w:val="004E5A62"/>
    <w:rsid w:val="00503757"/>
    <w:rsid w:val="00510615"/>
    <w:rsid w:val="005144E4"/>
    <w:rsid w:val="0051756D"/>
    <w:rsid w:val="00522538"/>
    <w:rsid w:val="00525FCB"/>
    <w:rsid w:val="00530128"/>
    <w:rsid w:val="00532467"/>
    <w:rsid w:val="00533313"/>
    <w:rsid w:val="0053414C"/>
    <w:rsid w:val="005417BE"/>
    <w:rsid w:val="00546703"/>
    <w:rsid w:val="0056080A"/>
    <w:rsid w:val="00562632"/>
    <w:rsid w:val="00564882"/>
    <w:rsid w:val="00564A4D"/>
    <w:rsid w:val="00564EC3"/>
    <w:rsid w:val="0056763D"/>
    <w:rsid w:val="00567BA5"/>
    <w:rsid w:val="00571B35"/>
    <w:rsid w:val="00571D57"/>
    <w:rsid w:val="00577A09"/>
    <w:rsid w:val="005829C2"/>
    <w:rsid w:val="00584D8F"/>
    <w:rsid w:val="00595D2E"/>
    <w:rsid w:val="005A0F94"/>
    <w:rsid w:val="005A153A"/>
    <w:rsid w:val="005A404D"/>
    <w:rsid w:val="005A79AB"/>
    <w:rsid w:val="005B1E3C"/>
    <w:rsid w:val="005B51FD"/>
    <w:rsid w:val="005C26CC"/>
    <w:rsid w:val="005C4261"/>
    <w:rsid w:val="005D1E25"/>
    <w:rsid w:val="005E00E9"/>
    <w:rsid w:val="005E5359"/>
    <w:rsid w:val="005F0521"/>
    <w:rsid w:val="005F3AC6"/>
    <w:rsid w:val="0060302F"/>
    <w:rsid w:val="00603089"/>
    <w:rsid w:val="00615C6B"/>
    <w:rsid w:val="00621896"/>
    <w:rsid w:val="00623478"/>
    <w:rsid w:val="006247BC"/>
    <w:rsid w:val="00632D6D"/>
    <w:rsid w:val="00636C65"/>
    <w:rsid w:val="00642C3E"/>
    <w:rsid w:val="00651DB4"/>
    <w:rsid w:val="00656254"/>
    <w:rsid w:val="00663478"/>
    <w:rsid w:val="00663DAD"/>
    <w:rsid w:val="00667662"/>
    <w:rsid w:val="006704D6"/>
    <w:rsid w:val="00670957"/>
    <w:rsid w:val="006719E8"/>
    <w:rsid w:val="00676679"/>
    <w:rsid w:val="006808F6"/>
    <w:rsid w:val="00680F24"/>
    <w:rsid w:val="00682DBA"/>
    <w:rsid w:val="00686C01"/>
    <w:rsid w:val="00687972"/>
    <w:rsid w:val="006949A8"/>
    <w:rsid w:val="0069510E"/>
    <w:rsid w:val="006A63EB"/>
    <w:rsid w:val="006B3174"/>
    <w:rsid w:val="006B4CF9"/>
    <w:rsid w:val="006B554E"/>
    <w:rsid w:val="006B7AC8"/>
    <w:rsid w:val="006C0787"/>
    <w:rsid w:val="006C1FEB"/>
    <w:rsid w:val="006C3BB1"/>
    <w:rsid w:val="006D04A5"/>
    <w:rsid w:val="006D12E7"/>
    <w:rsid w:val="006D2077"/>
    <w:rsid w:val="006D2146"/>
    <w:rsid w:val="006D550F"/>
    <w:rsid w:val="006E1790"/>
    <w:rsid w:val="006E4A69"/>
    <w:rsid w:val="006F4742"/>
    <w:rsid w:val="00701CAB"/>
    <w:rsid w:val="00707563"/>
    <w:rsid w:val="007176FD"/>
    <w:rsid w:val="0072348C"/>
    <w:rsid w:val="00724A37"/>
    <w:rsid w:val="00724B18"/>
    <w:rsid w:val="007303C3"/>
    <w:rsid w:val="00731E9C"/>
    <w:rsid w:val="00732A29"/>
    <w:rsid w:val="00734D0B"/>
    <w:rsid w:val="00741EAC"/>
    <w:rsid w:val="00743223"/>
    <w:rsid w:val="00745747"/>
    <w:rsid w:val="00746E01"/>
    <w:rsid w:val="00757BDF"/>
    <w:rsid w:val="00763E5D"/>
    <w:rsid w:val="00764E91"/>
    <w:rsid w:val="0076585E"/>
    <w:rsid w:val="00767740"/>
    <w:rsid w:val="00767984"/>
    <w:rsid w:val="00771725"/>
    <w:rsid w:val="00772C44"/>
    <w:rsid w:val="00773EDB"/>
    <w:rsid w:val="00777EE6"/>
    <w:rsid w:val="00782EEA"/>
    <w:rsid w:val="00785BAB"/>
    <w:rsid w:val="007900A0"/>
    <w:rsid w:val="007A4D1F"/>
    <w:rsid w:val="007A685A"/>
    <w:rsid w:val="007B0BD4"/>
    <w:rsid w:val="007B2C72"/>
    <w:rsid w:val="007B5ECF"/>
    <w:rsid w:val="007B657B"/>
    <w:rsid w:val="007C0EBF"/>
    <w:rsid w:val="007C1C53"/>
    <w:rsid w:val="007C4F20"/>
    <w:rsid w:val="007C74BB"/>
    <w:rsid w:val="007D4C91"/>
    <w:rsid w:val="007D4E71"/>
    <w:rsid w:val="007E373A"/>
    <w:rsid w:val="007E4904"/>
    <w:rsid w:val="007E4CB5"/>
    <w:rsid w:val="007F066B"/>
    <w:rsid w:val="007F1568"/>
    <w:rsid w:val="00803331"/>
    <w:rsid w:val="008033C4"/>
    <w:rsid w:val="00806348"/>
    <w:rsid w:val="00806C88"/>
    <w:rsid w:val="0081034E"/>
    <w:rsid w:val="00825DF5"/>
    <w:rsid w:val="00833127"/>
    <w:rsid w:val="0083319B"/>
    <w:rsid w:val="008344F6"/>
    <w:rsid w:val="0083510F"/>
    <w:rsid w:val="00837301"/>
    <w:rsid w:val="00841563"/>
    <w:rsid w:val="00843704"/>
    <w:rsid w:val="00851209"/>
    <w:rsid w:val="008673F1"/>
    <w:rsid w:val="00875833"/>
    <w:rsid w:val="00880702"/>
    <w:rsid w:val="00880B65"/>
    <w:rsid w:val="00880F6E"/>
    <w:rsid w:val="008837AC"/>
    <w:rsid w:val="0088444F"/>
    <w:rsid w:val="00896154"/>
    <w:rsid w:val="008A096A"/>
    <w:rsid w:val="008A31B2"/>
    <w:rsid w:val="008A3E3C"/>
    <w:rsid w:val="008A4573"/>
    <w:rsid w:val="008A477D"/>
    <w:rsid w:val="008A587D"/>
    <w:rsid w:val="008C5486"/>
    <w:rsid w:val="008C6000"/>
    <w:rsid w:val="008C6C11"/>
    <w:rsid w:val="008C78E7"/>
    <w:rsid w:val="008D0CE3"/>
    <w:rsid w:val="008D1173"/>
    <w:rsid w:val="008D157A"/>
    <w:rsid w:val="008D1661"/>
    <w:rsid w:val="008D231D"/>
    <w:rsid w:val="008D5461"/>
    <w:rsid w:val="008E5F1C"/>
    <w:rsid w:val="008E7031"/>
    <w:rsid w:val="008F2354"/>
    <w:rsid w:val="008F295A"/>
    <w:rsid w:val="00907E01"/>
    <w:rsid w:val="00922053"/>
    <w:rsid w:val="009233EE"/>
    <w:rsid w:val="00923E07"/>
    <w:rsid w:val="00927BB6"/>
    <w:rsid w:val="00927C20"/>
    <w:rsid w:val="00931228"/>
    <w:rsid w:val="00933F96"/>
    <w:rsid w:val="00937E2B"/>
    <w:rsid w:val="009460AA"/>
    <w:rsid w:val="00947524"/>
    <w:rsid w:val="00950596"/>
    <w:rsid w:val="00951978"/>
    <w:rsid w:val="00951C81"/>
    <w:rsid w:val="00956E3B"/>
    <w:rsid w:val="00956FFA"/>
    <w:rsid w:val="00964F75"/>
    <w:rsid w:val="009653C5"/>
    <w:rsid w:val="00965D48"/>
    <w:rsid w:val="009661DE"/>
    <w:rsid w:val="009667E6"/>
    <w:rsid w:val="00985547"/>
    <w:rsid w:val="009856B7"/>
    <w:rsid w:val="00986E16"/>
    <w:rsid w:val="00987B81"/>
    <w:rsid w:val="00993643"/>
    <w:rsid w:val="009A0B6E"/>
    <w:rsid w:val="009A2491"/>
    <w:rsid w:val="009A5FC3"/>
    <w:rsid w:val="009B74B0"/>
    <w:rsid w:val="009B7828"/>
    <w:rsid w:val="009C020C"/>
    <w:rsid w:val="009C0440"/>
    <w:rsid w:val="009C4AFA"/>
    <w:rsid w:val="009D477F"/>
    <w:rsid w:val="009D6B46"/>
    <w:rsid w:val="009E0965"/>
    <w:rsid w:val="009E736A"/>
    <w:rsid w:val="009F4940"/>
    <w:rsid w:val="009F5BA1"/>
    <w:rsid w:val="009F5CBC"/>
    <w:rsid w:val="009F6C98"/>
    <w:rsid w:val="009F75B3"/>
    <w:rsid w:val="00A01A99"/>
    <w:rsid w:val="00A02A88"/>
    <w:rsid w:val="00A03B22"/>
    <w:rsid w:val="00A03E4C"/>
    <w:rsid w:val="00A0562E"/>
    <w:rsid w:val="00A0726D"/>
    <w:rsid w:val="00A118C0"/>
    <w:rsid w:val="00A1760C"/>
    <w:rsid w:val="00A179B1"/>
    <w:rsid w:val="00A21634"/>
    <w:rsid w:val="00A22495"/>
    <w:rsid w:val="00A24000"/>
    <w:rsid w:val="00A27D2F"/>
    <w:rsid w:val="00A31C2E"/>
    <w:rsid w:val="00A32FBB"/>
    <w:rsid w:val="00A35260"/>
    <w:rsid w:val="00A40A21"/>
    <w:rsid w:val="00A4478A"/>
    <w:rsid w:val="00A44852"/>
    <w:rsid w:val="00A46EE2"/>
    <w:rsid w:val="00A57D04"/>
    <w:rsid w:val="00A60023"/>
    <w:rsid w:val="00A60A26"/>
    <w:rsid w:val="00A60B81"/>
    <w:rsid w:val="00A61598"/>
    <w:rsid w:val="00A65426"/>
    <w:rsid w:val="00A65CA3"/>
    <w:rsid w:val="00A7296E"/>
    <w:rsid w:val="00A75077"/>
    <w:rsid w:val="00A82F3F"/>
    <w:rsid w:val="00A84F46"/>
    <w:rsid w:val="00A8546B"/>
    <w:rsid w:val="00A871F4"/>
    <w:rsid w:val="00A87D05"/>
    <w:rsid w:val="00A91B59"/>
    <w:rsid w:val="00A937E9"/>
    <w:rsid w:val="00A9441A"/>
    <w:rsid w:val="00AA3E2B"/>
    <w:rsid w:val="00AA7133"/>
    <w:rsid w:val="00AB12F0"/>
    <w:rsid w:val="00AB2DF6"/>
    <w:rsid w:val="00AB6419"/>
    <w:rsid w:val="00AC1B2C"/>
    <w:rsid w:val="00AC3264"/>
    <w:rsid w:val="00AC525D"/>
    <w:rsid w:val="00AD0CBA"/>
    <w:rsid w:val="00AE1BF1"/>
    <w:rsid w:val="00AF0857"/>
    <w:rsid w:val="00AF09D2"/>
    <w:rsid w:val="00AF0DD2"/>
    <w:rsid w:val="00AF1ED6"/>
    <w:rsid w:val="00AF2CFB"/>
    <w:rsid w:val="00AF49C8"/>
    <w:rsid w:val="00AF6573"/>
    <w:rsid w:val="00AF67FD"/>
    <w:rsid w:val="00AF7098"/>
    <w:rsid w:val="00B13048"/>
    <w:rsid w:val="00B1716D"/>
    <w:rsid w:val="00B17A1D"/>
    <w:rsid w:val="00B207A0"/>
    <w:rsid w:val="00B20F1B"/>
    <w:rsid w:val="00B22023"/>
    <w:rsid w:val="00B22C92"/>
    <w:rsid w:val="00B24DA7"/>
    <w:rsid w:val="00B32E51"/>
    <w:rsid w:val="00B37E38"/>
    <w:rsid w:val="00B40F77"/>
    <w:rsid w:val="00B479C7"/>
    <w:rsid w:val="00B510FD"/>
    <w:rsid w:val="00B514DD"/>
    <w:rsid w:val="00B52AF0"/>
    <w:rsid w:val="00B56E03"/>
    <w:rsid w:val="00B675CD"/>
    <w:rsid w:val="00B67610"/>
    <w:rsid w:val="00B7445C"/>
    <w:rsid w:val="00B74F45"/>
    <w:rsid w:val="00B8080B"/>
    <w:rsid w:val="00B84B63"/>
    <w:rsid w:val="00B8566C"/>
    <w:rsid w:val="00B87C39"/>
    <w:rsid w:val="00B9213D"/>
    <w:rsid w:val="00B927D8"/>
    <w:rsid w:val="00B96020"/>
    <w:rsid w:val="00BA3C98"/>
    <w:rsid w:val="00BA4347"/>
    <w:rsid w:val="00BA4665"/>
    <w:rsid w:val="00BA595C"/>
    <w:rsid w:val="00BA6720"/>
    <w:rsid w:val="00BB050F"/>
    <w:rsid w:val="00BB2291"/>
    <w:rsid w:val="00BB2FB2"/>
    <w:rsid w:val="00BB3304"/>
    <w:rsid w:val="00BB495D"/>
    <w:rsid w:val="00BC5C48"/>
    <w:rsid w:val="00BC6AD6"/>
    <w:rsid w:val="00BD03BB"/>
    <w:rsid w:val="00BD0DF7"/>
    <w:rsid w:val="00BD3446"/>
    <w:rsid w:val="00BE1F1B"/>
    <w:rsid w:val="00BE2165"/>
    <w:rsid w:val="00BE47B5"/>
    <w:rsid w:val="00BE5459"/>
    <w:rsid w:val="00C02CC3"/>
    <w:rsid w:val="00C02FCA"/>
    <w:rsid w:val="00C03297"/>
    <w:rsid w:val="00C20390"/>
    <w:rsid w:val="00C24AAC"/>
    <w:rsid w:val="00C25FA6"/>
    <w:rsid w:val="00C37597"/>
    <w:rsid w:val="00C538A9"/>
    <w:rsid w:val="00C53B5A"/>
    <w:rsid w:val="00C54F5A"/>
    <w:rsid w:val="00C569B4"/>
    <w:rsid w:val="00C65710"/>
    <w:rsid w:val="00C65F48"/>
    <w:rsid w:val="00C67A92"/>
    <w:rsid w:val="00C72068"/>
    <w:rsid w:val="00C75EEF"/>
    <w:rsid w:val="00C86679"/>
    <w:rsid w:val="00C94175"/>
    <w:rsid w:val="00CA489E"/>
    <w:rsid w:val="00CB666B"/>
    <w:rsid w:val="00CC213C"/>
    <w:rsid w:val="00CC2391"/>
    <w:rsid w:val="00CC2B56"/>
    <w:rsid w:val="00CC604A"/>
    <w:rsid w:val="00CC7F1D"/>
    <w:rsid w:val="00CD6598"/>
    <w:rsid w:val="00CE219B"/>
    <w:rsid w:val="00CE2D12"/>
    <w:rsid w:val="00CE3295"/>
    <w:rsid w:val="00CE6233"/>
    <w:rsid w:val="00CF0BEC"/>
    <w:rsid w:val="00D01834"/>
    <w:rsid w:val="00D01CF0"/>
    <w:rsid w:val="00D0442A"/>
    <w:rsid w:val="00D07128"/>
    <w:rsid w:val="00D154EF"/>
    <w:rsid w:val="00D4185F"/>
    <w:rsid w:val="00D44967"/>
    <w:rsid w:val="00D5149D"/>
    <w:rsid w:val="00D61388"/>
    <w:rsid w:val="00D61A54"/>
    <w:rsid w:val="00D62A54"/>
    <w:rsid w:val="00D64DEA"/>
    <w:rsid w:val="00D653B3"/>
    <w:rsid w:val="00D7168E"/>
    <w:rsid w:val="00D71E57"/>
    <w:rsid w:val="00D73F97"/>
    <w:rsid w:val="00D771D7"/>
    <w:rsid w:val="00D80893"/>
    <w:rsid w:val="00D81EF4"/>
    <w:rsid w:val="00D92CF1"/>
    <w:rsid w:val="00D92D38"/>
    <w:rsid w:val="00D93DBB"/>
    <w:rsid w:val="00D950F5"/>
    <w:rsid w:val="00D97270"/>
    <w:rsid w:val="00DA0C2B"/>
    <w:rsid w:val="00DA16CA"/>
    <w:rsid w:val="00DA32F1"/>
    <w:rsid w:val="00DA6220"/>
    <w:rsid w:val="00DB0CE6"/>
    <w:rsid w:val="00DB0F93"/>
    <w:rsid w:val="00DB1A67"/>
    <w:rsid w:val="00DB1C30"/>
    <w:rsid w:val="00DB5074"/>
    <w:rsid w:val="00DB5F87"/>
    <w:rsid w:val="00DB723B"/>
    <w:rsid w:val="00DC09A5"/>
    <w:rsid w:val="00DC47B8"/>
    <w:rsid w:val="00DC7981"/>
    <w:rsid w:val="00DD0155"/>
    <w:rsid w:val="00DD1DF1"/>
    <w:rsid w:val="00DD3AB5"/>
    <w:rsid w:val="00DE4EFA"/>
    <w:rsid w:val="00DE5520"/>
    <w:rsid w:val="00DF0785"/>
    <w:rsid w:val="00E0232D"/>
    <w:rsid w:val="00E02FAC"/>
    <w:rsid w:val="00E04818"/>
    <w:rsid w:val="00E06442"/>
    <w:rsid w:val="00E137FB"/>
    <w:rsid w:val="00E16751"/>
    <w:rsid w:val="00E22820"/>
    <w:rsid w:val="00E23993"/>
    <w:rsid w:val="00E25B8C"/>
    <w:rsid w:val="00E3115A"/>
    <w:rsid w:val="00E32A47"/>
    <w:rsid w:val="00E35B55"/>
    <w:rsid w:val="00E364C5"/>
    <w:rsid w:val="00E36702"/>
    <w:rsid w:val="00E44D76"/>
    <w:rsid w:val="00E57F68"/>
    <w:rsid w:val="00E644FA"/>
    <w:rsid w:val="00E65C85"/>
    <w:rsid w:val="00E66199"/>
    <w:rsid w:val="00E664E4"/>
    <w:rsid w:val="00E71270"/>
    <w:rsid w:val="00E72F28"/>
    <w:rsid w:val="00E755EC"/>
    <w:rsid w:val="00E7585A"/>
    <w:rsid w:val="00E7624D"/>
    <w:rsid w:val="00E81FF2"/>
    <w:rsid w:val="00E972D4"/>
    <w:rsid w:val="00E97F61"/>
    <w:rsid w:val="00EA3D42"/>
    <w:rsid w:val="00EA3EE9"/>
    <w:rsid w:val="00EA40DD"/>
    <w:rsid w:val="00EA6B1B"/>
    <w:rsid w:val="00EA7FCD"/>
    <w:rsid w:val="00EB3BF8"/>
    <w:rsid w:val="00EB479A"/>
    <w:rsid w:val="00EB4F53"/>
    <w:rsid w:val="00EB505D"/>
    <w:rsid w:val="00EC384A"/>
    <w:rsid w:val="00EE28F3"/>
    <w:rsid w:val="00EF1AF3"/>
    <w:rsid w:val="00EF1D8D"/>
    <w:rsid w:val="00EF5110"/>
    <w:rsid w:val="00EF61D8"/>
    <w:rsid w:val="00F13AF9"/>
    <w:rsid w:val="00F15882"/>
    <w:rsid w:val="00F171E0"/>
    <w:rsid w:val="00F20BD3"/>
    <w:rsid w:val="00F22776"/>
    <w:rsid w:val="00F22B10"/>
    <w:rsid w:val="00F2410F"/>
    <w:rsid w:val="00F24919"/>
    <w:rsid w:val="00F253DC"/>
    <w:rsid w:val="00F30D2F"/>
    <w:rsid w:val="00F32DA0"/>
    <w:rsid w:val="00F353D5"/>
    <w:rsid w:val="00F3692E"/>
    <w:rsid w:val="00F373A5"/>
    <w:rsid w:val="00F42F96"/>
    <w:rsid w:val="00F47240"/>
    <w:rsid w:val="00F47559"/>
    <w:rsid w:val="00F50887"/>
    <w:rsid w:val="00F52399"/>
    <w:rsid w:val="00F64C7B"/>
    <w:rsid w:val="00F676DD"/>
    <w:rsid w:val="00F707D0"/>
    <w:rsid w:val="00F71778"/>
    <w:rsid w:val="00F7339F"/>
    <w:rsid w:val="00F741FE"/>
    <w:rsid w:val="00F742DB"/>
    <w:rsid w:val="00F75083"/>
    <w:rsid w:val="00F75A26"/>
    <w:rsid w:val="00F82CA4"/>
    <w:rsid w:val="00F835C9"/>
    <w:rsid w:val="00F83FAD"/>
    <w:rsid w:val="00F85C78"/>
    <w:rsid w:val="00F937F5"/>
    <w:rsid w:val="00F952A0"/>
    <w:rsid w:val="00FA3C7F"/>
    <w:rsid w:val="00FA43F6"/>
    <w:rsid w:val="00FA49AE"/>
    <w:rsid w:val="00FB5DC9"/>
    <w:rsid w:val="00FB74E2"/>
    <w:rsid w:val="00FC02A9"/>
    <w:rsid w:val="00FC6AA7"/>
    <w:rsid w:val="00FD4ED2"/>
    <w:rsid w:val="00FD5614"/>
    <w:rsid w:val="00FE0BE1"/>
    <w:rsid w:val="00FE0E85"/>
    <w:rsid w:val="00FE1DE9"/>
    <w:rsid w:val="00FE39C2"/>
    <w:rsid w:val="00FE3C32"/>
    <w:rsid w:val="00FE64AE"/>
    <w:rsid w:val="00FF0D31"/>
    <w:rsid w:val="00FF18EF"/>
    <w:rsid w:val="00FF1E33"/>
    <w:rsid w:val="00FF7474"/>
    <w:rsid w:val="00FF7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
    <w:basedOn w:val="DefaultParagraphFont"/>
    <w:link w:val="FootnoteText"/>
    <w:rsid w:val="00182906"/>
    <w:rPr>
      <w:rFonts w:ascii="Arial" w:hAnsi="Arial"/>
      <w:sz w:val="16"/>
      <w:szCs w:val="20"/>
    </w:rPr>
  </w:style>
  <w:style w:type="character" w:styleId="FootnoteReference">
    <w:name w:val="footnote reference"/>
    <w:aliases w:val="(NECG) 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nhideWhenUsed/>
    <w:rsid w:val="004D1968"/>
    <w:pPr>
      <w:spacing w:line="240" w:lineRule="auto"/>
    </w:pPr>
    <w:rPr>
      <w:sz w:val="20"/>
      <w:szCs w:val="20"/>
    </w:rPr>
  </w:style>
  <w:style w:type="character" w:customStyle="1" w:styleId="CommentTextChar">
    <w:name w:val="Comment Text Char"/>
    <w:basedOn w:val="DefaultParagraphFont"/>
    <w:link w:val="CommentText"/>
    <w:rsid w:val="004D19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ED2"/>
    <w:rPr>
      <w:b/>
      <w:bCs/>
    </w:rPr>
  </w:style>
  <w:style w:type="character" w:customStyle="1" w:styleId="CommentSubjectChar">
    <w:name w:val="Comment Subject Char"/>
    <w:basedOn w:val="CommentTextChar"/>
    <w:link w:val="CommentSubject"/>
    <w:uiPriority w:val="99"/>
    <w:semiHidden/>
    <w:rsid w:val="00FD4ED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
    <w:basedOn w:val="DefaultParagraphFont"/>
    <w:link w:val="FootnoteText"/>
    <w:rsid w:val="00182906"/>
    <w:rPr>
      <w:rFonts w:ascii="Arial" w:hAnsi="Arial"/>
      <w:sz w:val="16"/>
      <w:szCs w:val="20"/>
    </w:rPr>
  </w:style>
  <w:style w:type="character" w:styleId="FootnoteReference">
    <w:name w:val="footnote reference"/>
    <w:aliases w:val="(NECG) 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nhideWhenUsed/>
    <w:rsid w:val="004D1968"/>
    <w:pPr>
      <w:spacing w:line="240" w:lineRule="auto"/>
    </w:pPr>
    <w:rPr>
      <w:sz w:val="20"/>
      <w:szCs w:val="20"/>
    </w:rPr>
  </w:style>
  <w:style w:type="character" w:customStyle="1" w:styleId="CommentTextChar">
    <w:name w:val="Comment Text Char"/>
    <w:basedOn w:val="DefaultParagraphFont"/>
    <w:link w:val="CommentText"/>
    <w:rsid w:val="004D19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4ED2"/>
    <w:rPr>
      <w:b/>
      <w:bCs/>
    </w:rPr>
  </w:style>
  <w:style w:type="character" w:customStyle="1" w:styleId="CommentSubjectChar">
    <w:name w:val="Comment Subject Char"/>
    <w:basedOn w:val="CommentTextChar"/>
    <w:link w:val="CommentSubject"/>
    <w:uiPriority w:val="99"/>
    <w:semiHidden/>
    <w:rsid w:val="00FD4ED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publications/accc-aer-information-policy-collection-and-disclosure-of-information" TargetMode="External"/><Relationship Id="rId2" Type="http://schemas.openxmlformats.org/officeDocument/2006/relationships/hyperlink" Target="http://www.aemc.gov.au" TargetMode="External"/><Relationship Id="rId1" Type="http://schemas.openxmlformats.org/officeDocument/2006/relationships/hyperlink" Target="http://www.aer.gov.au/publications/corporate-documents/aer-compliance-and-enforcement-statement-of-approach"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4F85B5DD</Template>
  <TotalTime>0</TotalTime>
  <Pages>18</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2016-09-20T23:45:00Z</dcterms:created>
  <dcterms:modified xsi:type="dcterms:W3CDTF">2016-09-20T23:47:00Z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8714105</vt:lpwstr>
  </property>
</Properties>
</file>