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6EF862F3" wp14:editId="49F8FBDD">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r w:rsidR="00DC150E">
            <w:t>{</w:t>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376CF"/>
        <w:p w:rsidR="00DB723B" w:rsidRPr="00DB723B" w:rsidRDefault="00DB723B" w:rsidP="001376CF"/>
        <w:p w:rsidR="00DB723B" w:rsidRPr="00DB723B" w:rsidRDefault="00DB723B" w:rsidP="001376CF"/>
        <w:p w:rsidR="00DB723B" w:rsidRPr="00DB723B" w:rsidRDefault="00DB723B" w:rsidP="001376CF"/>
        <w:p w:rsidR="009F6051" w:rsidRDefault="00170114" w:rsidP="00327A1E">
          <w:pPr>
            <w:pStyle w:val="ReportTitle"/>
          </w:pPr>
          <w:r>
            <w:t>DRAFT</w:t>
          </w:r>
          <w:r w:rsidR="00DB723B" w:rsidRPr="00DB723B">
            <w:t xml:space="preserve"> </w:t>
          </w:r>
        </w:p>
        <w:p w:rsidR="00DB723B" w:rsidRPr="00DB723B" w:rsidRDefault="009F6051" w:rsidP="00327A1E">
          <w:pPr>
            <w:pStyle w:val="ReportTitle"/>
          </w:pPr>
          <w:r>
            <w:t>Ring-Fencing Guideline</w:t>
          </w:r>
        </w:p>
        <w:p w:rsidR="00DB723B" w:rsidRPr="00DB723B" w:rsidRDefault="009F6051" w:rsidP="00327A1E">
          <w:pPr>
            <w:pStyle w:val="ReportSubtitle"/>
          </w:pPr>
          <w:r>
            <w:t>E</w:t>
          </w:r>
          <w:r w:rsidR="00D90B3E">
            <w:t xml:space="preserve">lectricity Distribution </w:t>
          </w:r>
        </w:p>
        <w:p w:rsidR="00DB723B" w:rsidRPr="00DB723B" w:rsidRDefault="006E4BBC" w:rsidP="00327A1E">
          <w:pPr>
            <w:pStyle w:val="ReportDate"/>
          </w:pPr>
          <w:r>
            <w:t>August</w:t>
          </w:r>
          <w:r w:rsidR="00DB723B" w:rsidRPr="00DB723B">
            <w:t xml:space="preserve"> 201</w:t>
          </w:r>
          <w:r w:rsidR="000232BF">
            <w:t>6</w:t>
          </w:r>
        </w:p>
        <w:p w:rsidR="00DB723B" w:rsidRPr="00DB723B" w:rsidRDefault="00DB723B" w:rsidP="00DB723B">
          <w:r w:rsidRPr="00DB723B">
            <w:br w:type="page"/>
          </w:r>
        </w:p>
        <w:p w:rsidR="00DB723B" w:rsidRDefault="00876136">
          <w:pPr>
            <w:spacing w:line="240" w:lineRule="auto"/>
            <w:rPr>
              <w:rFonts w:eastAsiaTheme="majorEastAsia" w:cstheme="majorBidi"/>
              <w:b/>
              <w:noProof/>
              <w:sz w:val="72"/>
              <w:szCs w:val="72"/>
              <w:lang w:eastAsia="en-AU"/>
            </w:rPr>
          </w:pPr>
        </w:p>
      </w:sdtContent>
    </w:sdt>
    <w:p w:rsidR="000A6C7B" w:rsidRDefault="000A6C7B" w:rsidP="00327A1E">
      <w:pPr>
        <w:pStyle w:val="Copyright"/>
      </w:pPr>
      <w:r>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541172" w:rsidRPr="00541172" w:rsidRDefault="00541172" w:rsidP="00541172">
      <w:pPr>
        <w:pStyle w:val="Copyright"/>
      </w:pPr>
      <w:r w:rsidRPr="00541172">
        <w:t>Tel: 1300 585 165</w:t>
      </w:r>
      <w:r w:rsidRPr="00541172">
        <w:br/>
        <w:t xml:space="preserve">Email: </w:t>
      </w:r>
      <w:hyperlink r:id="rId11" w:history="1">
        <w:r w:rsidRPr="00541172">
          <w:t>AERInquiry@aer.gov.au</w:t>
        </w:r>
      </w:hyperlink>
      <w:r w:rsidRPr="00541172">
        <w:br/>
        <w:t>AER Reference: 46484</w:t>
      </w:r>
      <w:r w:rsidR="00DB3F58">
        <w:t xml:space="preserve"> - </w:t>
      </w:r>
      <w:r w:rsidR="00DB3F58" w:rsidRPr="00DB3F58">
        <w:t>D16/109178</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56587D"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59018796" w:history="1">
        <w:r w:rsidR="0056587D" w:rsidRPr="001E5E09">
          <w:rPr>
            <w:rStyle w:val="Hyperlink"/>
          </w:rPr>
          <w:t>1</w:t>
        </w:r>
        <w:r w:rsidR="0056587D">
          <w:rPr>
            <w:rFonts w:asciiTheme="minorHAnsi" w:eastAsiaTheme="minorEastAsia" w:hAnsiTheme="minorHAnsi"/>
            <w:b w:val="0"/>
            <w:color w:val="auto"/>
            <w:sz w:val="22"/>
            <w:lang w:val="en-AU" w:eastAsia="en-AU"/>
          </w:rPr>
          <w:tab/>
        </w:r>
        <w:r w:rsidR="0056587D" w:rsidRPr="001E5E09">
          <w:rPr>
            <w:rStyle w:val="Hyperlink"/>
          </w:rPr>
          <w:t>Nature and authority</w:t>
        </w:r>
        <w:r w:rsidR="0056587D">
          <w:rPr>
            <w:webHidden/>
          </w:rPr>
          <w:tab/>
        </w:r>
        <w:r w:rsidR="0056587D">
          <w:rPr>
            <w:webHidden/>
          </w:rPr>
          <w:fldChar w:fldCharType="begin"/>
        </w:r>
        <w:r w:rsidR="0056587D">
          <w:rPr>
            <w:webHidden/>
          </w:rPr>
          <w:instrText xml:space="preserve"> PAGEREF _Toc459018796 \h </w:instrText>
        </w:r>
        <w:r w:rsidR="0056587D">
          <w:rPr>
            <w:webHidden/>
          </w:rPr>
        </w:r>
        <w:r w:rsidR="0056587D">
          <w:rPr>
            <w:webHidden/>
          </w:rPr>
          <w:fldChar w:fldCharType="separate"/>
        </w:r>
        <w:r w:rsidR="0056587D">
          <w:rPr>
            <w:webHidden/>
          </w:rPr>
          <w:t>1</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797" w:history="1">
        <w:r w:rsidR="0056587D" w:rsidRPr="001E5E09">
          <w:rPr>
            <w:rStyle w:val="Hyperlink"/>
          </w:rPr>
          <w:t>1.1</w:t>
        </w:r>
        <w:r w:rsidR="0056587D">
          <w:rPr>
            <w:rFonts w:asciiTheme="minorHAnsi" w:eastAsiaTheme="minorEastAsia" w:hAnsiTheme="minorHAnsi"/>
            <w:b w:val="0"/>
            <w:color w:val="auto"/>
            <w:sz w:val="22"/>
            <w:lang w:eastAsia="en-AU"/>
          </w:rPr>
          <w:tab/>
        </w:r>
        <w:r w:rsidR="0056587D" w:rsidRPr="001E5E09">
          <w:rPr>
            <w:rStyle w:val="Hyperlink"/>
          </w:rPr>
          <w:t>Application of this guideline</w:t>
        </w:r>
        <w:r w:rsidR="0056587D">
          <w:rPr>
            <w:webHidden/>
          </w:rPr>
          <w:tab/>
        </w:r>
        <w:r w:rsidR="0056587D">
          <w:rPr>
            <w:webHidden/>
          </w:rPr>
          <w:fldChar w:fldCharType="begin"/>
        </w:r>
        <w:r w:rsidR="0056587D">
          <w:rPr>
            <w:webHidden/>
          </w:rPr>
          <w:instrText xml:space="preserve"> PAGEREF _Toc459018797 \h </w:instrText>
        </w:r>
        <w:r w:rsidR="0056587D">
          <w:rPr>
            <w:webHidden/>
          </w:rPr>
        </w:r>
        <w:r w:rsidR="0056587D">
          <w:rPr>
            <w:webHidden/>
          </w:rPr>
          <w:fldChar w:fldCharType="separate"/>
        </w:r>
        <w:r w:rsidR="0056587D">
          <w:rPr>
            <w:webHidden/>
          </w:rPr>
          <w:t>1</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798" w:history="1">
        <w:r w:rsidR="0056587D" w:rsidRPr="001E5E09">
          <w:rPr>
            <w:rStyle w:val="Hyperlink"/>
          </w:rPr>
          <w:t>1.2</w:t>
        </w:r>
        <w:r w:rsidR="0056587D">
          <w:rPr>
            <w:rFonts w:asciiTheme="minorHAnsi" w:eastAsiaTheme="minorEastAsia" w:hAnsiTheme="minorHAnsi"/>
            <w:b w:val="0"/>
            <w:color w:val="auto"/>
            <w:sz w:val="22"/>
            <w:lang w:eastAsia="en-AU"/>
          </w:rPr>
          <w:tab/>
        </w:r>
        <w:r w:rsidR="0056587D" w:rsidRPr="001E5E09">
          <w:rPr>
            <w:rStyle w:val="Hyperlink"/>
          </w:rPr>
          <w:t>Confidentiality</w:t>
        </w:r>
        <w:r w:rsidR="0056587D">
          <w:rPr>
            <w:webHidden/>
          </w:rPr>
          <w:tab/>
        </w:r>
        <w:r w:rsidR="0056587D">
          <w:rPr>
            <w:webHidden/>
          </w:rPr>
          <w:fldChar w:fldCharType="begin"/>
        </w:r>
        <w:r w:rsidR="0056587D">
          <w:rPr>
            <w:webHidden/>
          </w:rPr>
          <w:instrText xml:space="preserve"> PAGEREF _Toc459018798 \h </w:instrText>
        </w:r>
        <w:r w:rsidR="0056587D">
          <w:rPr>
            <w:webHidden/>
          </w:rPr>
        </w:r>
        <w:r w:rsidR="0056587D">
          <w:rPr>
            <w:webHidden/>
          </w:rPr>
          <w:fldChar w:fldCharType="separate"/>
        </w:r>
        <w:r w:rsidR="0056587D">
          <w:rPr>
            <w:webHidden/>
          </w:rPr>
          <w:t>1</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799" w:history="1">
        <w:r w:rsidR="0056587D" w:rsidRPr="001E5E09">
          <w:rPr>
            <w:rStyle w:val="Hyperlink"/>
          </w:rPr>
          <w:t>1.3</w:t>
        </w:r>
        <w:r w:rsidR="0056587D">
          <w:rPr>
            <w:rFonts w:asciiTheme="minorHAnsi" w:eastAsiaTheme="minorEastAsia" w:hAnsiTheme="minorHAnsi"/>
            <w:b w:val="0"/>
            <w:color w:val="auto"/>
            <w:sz w:val="22"/>
            <w:lang w:eastAsia="en-AU"/>
          </w:rPr>
          <w:tab/>
        </w:r>
        <w:r w:rsidR="0056587D" w:rsidRPr="001E5E09">
          <w:rPr>
            <w:rStyle w:val="Hyperlink"/>
          </w:rPr>
          <w:t>Definitions and interpretation</w:t>
        </w:r>
        <w:r w:rsidR="0056587D">
          <w:rPr>
            <w:webHidden/>
          </w:rPr>
          <w:tab/>
        </w:r>
        <w:r w:rsidR="0056587D">
          <w:rPr>
            <w:webHidden/>
          </w:rPr>
          <w:fldChar w:fldCharType="begin"/>
        </w:r>
        <w:r w:rsidR="0056587D">
          <w:rPr>
            <w:webHidden/>
          </w:rPr>
          <w:instrText xml:space="preserve"> PAGEREF _Toc459018799 \h </w:instrText>
        </w:r>
        <w:r w:rsidR="0056587D">
          <w:rPr>
            <w:webHidden/>
          </w:rPr>
        </w:r>
        <w:r w:rsidR="0056587D">
          <w:rPr>
            <w:webHidden/>
          </w:rPr>
          <w:fldChar w:fldCharType="separate"/>
        </w:r>
        <w:r w:rsidR="0056587D">
          <w:rPr>
            <w:webHidden/>
          </w:rPr>
          <w:t>1</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00" w:history="1">
        <w:r w:rsidR="0056587D" w:rsidRPr="001E5E09">
          <w:rPr>
            <w:rStyle w:val="Hyperlink"/>
          </w:rPr>
          <w:t>1.4</w:t>
        </w:r>
        <w:r w:rsidR="0056587D">
          <w:rPr>
            <w:rFonts w:asciiTheme="minorHAnsi" w:eastAsiaTheme="minorEastAsia" w:hAnsiTheme="minorHAnsi"/>
            <w:b w:val="0"/>
            <w:color w:val="auto"/>
            <w:sz w:val="22"/>
            <w:lang w:eastAsia="en-AU"/>
          </w:rPr>
          <w:tab/>
        </w:r>
        <w:r w:rsidR="0056587D" w:rsidRPr="001E5E09">
          <w:rPr>
            <w:rStyle w:val="Hyperlink"/>
          </w:rPr>
          <w:t>Process for revisions</w:t>
        </w:r>
        <w:r w:rsidR="0056587D">
          <w:rPr>
            <w:webHidden/>
          </w:rPr>
          <w:tab/>
        </w:r>
        <w:r w:rsidR="0056587D">
          <w:rPr>
            <w:webHidden/>
          </w:rPr>
          <w:fldChar w:fldCharType="begin"/>
        </w:r>
        <w:r w:rsidR="0056587D">
          <w:rPr>
            <w:webHidden/>
          </w:rPr>
          <w:instrText xml:space="preserve"> PAGEREF _Toc459018800 \h </w:instrText>
        </w:r>
        <w:r w:rsidR="0056587D">
          <w:rPr>
            <w:webHidden/>
          </w:rPr>
        </w:r>
        <w:r w:rsidR="0056587D">
          <w:rPr>
            <w:webHidden/>
          </w:rPr>
          <w:fldChar w:fldCharType="separate"/>
        </w:r>
        <w:r w:rsidR="0056587D">
          <w:rPr>
            <w:webHidden/>
          </w:rPr>
          <w:t>2</w:t>
        </w:r>
        <w:r w:rsidR="0056587D">
          <w:rPr>
            <w:webHidden/>
          </w:rPr>
          <w:fldChar w:fldCharType="end"/>
        </w:r>
      </w:hyperlink>
    </w:p>
    <w:p w:rsidR="0056587D" w:rsidRDefault="00876136">
      <w:pPr>
        <w:pStyle w:val="TOC1"/>
        <w:rPr>
          <w:rFonts w:asciiTheme="minorHAnsi" w:eastAsiaTheme="minorEastAsia" w:hAnsiTheme="minorHAnsi"/>
          <w:b w:val="0"/>
          <w:color w:val="auto"/>
          <w:sz w:val="22"/>
          <w:lang w:val="en-AU" w:eastAsia="en-AU"/>
        </w:rPr>
      </w:pPr>
      <w:hyperlink w:anchor="_Toc459018801" w:history="1">
        <w:r w:rsidR="0056587D" w:rsidRPr="001E5E09">
          <w:rPr>
            <w:rStyle w:val="Hyperlink"/>
          </w:rPr>
          <w:t>2</w:t>
        </w:r>
        <w:r w:rsidR="0056587D">
          <w:rPr>
            <w:rFonts w:asciiTheme="minorHAnsi" w:eastAsiaTheme="minorEastAsia" w:hAnsiTheme="minorHAnsi"/>
            <w:b w:val="0"/>
            <w:color w:val="auto"/>
            <w:sz w:val="22"/>
            <w:lang w:val="en-AU" w:eastAsia="en-AU"/>
          </w:rPr>
          <w:tab/>
        </w:r>
        <w:r w:rsidR="0056587D" w:rsidRPr="001E5E09">
          <w:rPr>
            <w:rStyle w:val="Hyperlink"/>
          </w:rPr>
          <w:t>Relationship with other regulatory instruments</w:t>
        </w:r>
        <w:r w:rsidR="0056587D">
          <w:rPr>
            <w:webHidden/>
          </w:rPr>
          <w:tab/>
        </w:r>
        <w:r w:rsidR="0056587D">
          <w:rPr>
            <w:webHidden/>
          </w:rPr>
          <w:fldChar w:fldCharType="begin"/>
        </w:r>
        <w:r w:rsidR="0056587D">
          <w:rPr>
            <w:webHidden/>
          </w:rPr>
          <w:instrText xml:space="preserve"> PAGEREF _Toc459018801 \h </w:instrText>
        </w:r>
        <w:r w:rsidR="0056587D">
          <w:rPr>
            <w:webHidden/>
          </w:rPr>
        </w:r>
        <w:r w:rsidR="0056587D">
          <w:rPr>
            <w:webHidden/>
          </w:rPr>
          <w:fldChar w:fldCharType="separate"/>
        </w:r>
        <w:r w:rsidR="0056587D">
          <w:rPr>
            <w:webHidden/>
          </w:rPr>
          <w:t>3</w:t>
        </w:r>
        <w:r w:rsidR="0056587D">
          <w:rPr>
            <w:webHidden/>
          </w:rPr>
          <w:fldChar w:fldCharType="end"/>
        </w:r>
      </w:hyperlink>
    </w:p>
    <w:p w:rsidR="0056587D" w:rsidRDefault="00876136">
      <w:pPr>
        <w:pStyle w:val="TOC1"/>
        <w:rPr>
          <w:rFonts w:asciiTheme="minorHAnsi" w:eastAsiaTheme="minorEastAsia" w:hAnsiTheme="minorHAnsi"/>
          <w:b w:val="0"/>
          <w:color w:val="auto"/>
          <w:sz w:val="22"/>
          <w:lang w:val="en-AU" w:eastAsia="en-AU"/>
        </w:rPr>
      </w:pPr>
      <w:hyperlink w:anchor="_Toc459018802" w:history="1">
        <w:r w:rsidR="0056587D" w:rsidRPr="001E5E09">
          <w:rPr>
            <w:rStyle w:val="Hyperlink"/>
          </w:rPr>
          <w:t>3</w:t>
        </w:r>
        <w:r w:rsidR="0056587D">
          <w:rPr>
            <w:rFonts w:asciiTheme="minorHAnsi" w:eastAsiaTheme="minorEastAsia" w:hAnsiTheme="minorHAnsi"/>
            <w:b w:val="0"/>
            <w:color w:val="auto"/>
            <w:sz w:val="22"/>
            <w:lang w:val="en-AU" w:eastAsia="en-AU"/>
          </w:rPr>
          <w:tab/>
        </w:r>
        <w:r w:rsidR="0056587D" w:rsidRPr="001E5E09">
          <w:rPr>
            <w:rStyle w:val="Hyperlink"/>
          </w:rPr>
          <w:t>Prevention of cross subsidies</w:t>
        </w:r>
        <w:r w:rsidR="0056587D">
          <w:rPr>
            <w:webHidden/>
          </w:rPr>
          <w:tab/>
        </w:r>
        <w:r w:rsidR="0056587D">
          <w:rPr>
            <w:webHidden/>
          </w:rPr>
          <w:fldChar w:fldCharType="begin"/>
        </w:r>
        <w:r w:rsidR="0056587D">
          <w:rPr>
            <w:webHidden/>
          </w:rPr>
          <w:instrText xml:space="preserve"> PAGEREF _Toc459018802 \h </w:instrText>
        </w:r>
        <w:r w:rsidR="0056587D">
          <w:rPr>
            <w:webHidden/>
          </w:rPr>
        </w:r>
        <w:r w:rsidR="0056587D">
          <w:rPr>
            <w:webHidden/>
          </w:rPr>
          <w:fldChar w:fldCharType="separate"/>
        </w:r>
        <w:r w:rsidR="0056587D">
          <w:rPr>
            <w:webHidden/>
          </w:rPr>
          <w:t>4</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03" w:history="1">
        <w:r w:rsidR="0056587D" w:rsidRPr="001E5E09">
          <w:rPr>
            <w:rStyle w:val="Hyperlink"/>
          </w:rPr>
          <w:t>3.1</w:t>
        </w:r>
        <w:r w:rsidR="0056587D">
          <w:rPr>
            <w:rFonts w:asciiTheme="minorHAnsi" w:eastAsiaTheme="minorEastAsia" w:hAnsiTheme="minorHAnsi"/>
            <w:b w:val="0"/>
            <w:color w:val="auto"/>
            <w:sz w:val="22"/>
            <w:lang w:eastAsia="en-AU"/>
          </w:rPr>
          <w:tab/>
        </w:r>
        <w:r w:rsidR="0056587D" w:rsidRPr="001E5E09">
          <w:rPr>
            <w:rStyle w:val="Hyperlink"/>
          </w:rPr>
          <w:t>Legal separation</w:t>
        </w:r>
        <w:r w:rsidR="0056587D">
          <w:rPr>
            <w:webHidden/>
          </w:rPr>
          <w:tab/>
        </w:r>
        <w:r w:rsidR="0056587D">
          <w:rPr>
            <w:webHidden/>
          </w:rPr>
          <w:fldChar w:fldCharType="begin"/>
        </w:r>
        <w:r w:rsidR="0056587D">
          <w:rPr>
            <w:webHidden/>
          </w:rPr>
          <w:instrText xml:space="preserve"> PAGEREF _Toc459018803 \h </w:instrText>
        </w:r>
        <w:r w:rsidR="0056587D">
          <w:rPr>
            <w:webHidden/>
          </w:rPr>
        </w:r>
        <w:r w:rsidR="0056587D">
          <w:rPr>
            <w:webHidden/>
          </w:rPr>
          <w:fldChar w:fldCharType="separate"/>
        </w:r>
        <w:r w:rsidR="0056587D">
          <w:rPr>
            <w:webHidden/>
          </w:rPr>
          <w:t>4</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04" w:history="1">
        <w:r w:rsidR="0056587D" w:rsidRPr="001E5E09">
          <w:rPr>
            <w:rStyle w:val="Hyperlink"/>
          </w:rPr>
          <w:t>3.2</w:t>
        </w:r>
        <w:r w:rsidR="0056587D">
          <w:rPr>
            <w:rFonts w:asciiTheme="minorHAnsi" w:eastAsiaTheme="minorEastAsia" w:hAnsiTheme="minorHAnsi"/>
            <w:b w:val="0"/>
            <w:color w:val="auto"/>
            <w:sz w:val="22"/>
            <w:lang w:eastAsia="en-AU"/>
          </w:rPr>
          <w:tab/>
        </w:r>
        <w:r w:rsidR="0056587D" w:rsidRPr="001E5E09">
          <w:rPr>
            <w:rStyle w:val="Hyperlink"/>
          </w:rPr>
          <w:t>Establish and maintain accounts</w:t>
        </w:r>
        <w:r w:rsidR="0056587D">
          <w:rPr>
            <w:webHidden/>
          </w:rPr>
          <w:tab/>
        </w:r>
        <w:r w:rsidR="0056587D">
          <w:rPr>
            <w:webHidden/>
          </w:rPr>
          <w:fldChar w:fldCharType="begin"/>
        </w:r>
        <w:r w:rsidR="0056587D">
          <w:rPr>
            <w:webHidden/>
          </w:rPr>
          <w:instrText xml:space="preserve"> PAGEREF _Toc459018804 \h </w:instrText>
        </w:r>
        <w:r w:rsidR="0056587D">
          <w:rPr>
            <w:webHidden/>
          </w:rPr>
        </w:r>
        <w:r w:rsidR="0056587D">
          <w:rPr>
            <w:webHidden/>
          </w:rPr>
          <w:fldChar w:fldCharType="separate"/>
        </w:r>
        <w:r w:rsidR="0056587D">
          <w:rPr>
            <w:webHidden/>
          </w:rPr>
          <w:t>4</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05" w:history="1">
        <w:r w:rsidR="0056587D" w:rsidRPr="001E5E09">
          <w:rPr>
            <w:rStyle w:val="Hyperlink"/>
          </w:rPr>
          <w:t>3.2.1</w:t>
        </w:r>
        <w:r w:rsidR="0056587D">
          <w:rPr>
            <w:rFonts w:asciiTheme="minorHAnsi" w:eastAsiaTheme="minorEastAsia" w:hAnsiTheme="minorHAnsi"/>
            <w:lang w:eastAsia="en-AU"/>
          </w:rPr>
          <w:tab/>
        </w:r>
        <w:r w:rsidR="0056587D" w:rsidRPr="001E5E09">
          <w:rPr>
            <w:rStyle w:val="Hyperlink"/>
          </w:rPr>
          <w:t>Separate accounts</w:t>
        </w:r>
        <w:r w:rsidR="0056587D">
          <w:rPr>
            <w:webHidden/>
          </w:rPr>
          <w:tab/>
        </w:r>
        <w:r w:rsidR="0056587D">
          <w:rPr>
            <w:webHidden/>
          </w:rPr>
          <w:fldChar w:fldCharType="begin"/>
        </w:r>
        <w:r w:rsidR="0056587D">
          <w:rPr>
            <w:webHidden/>
          </w:rPr>
          <w:instrText xml:space="preserve"> PAGEREF _Toc459018805 \h </w:instrText>
        </w:r>
        <w:r w:rsidR="0056587D">
          <w:rPr>
            <w:webHidden/>
          </w:rPr>
        </w:r>
        <w:r w:rsidR="0056587D">
          <w:rPr>
            <w:webHidden/>
          </w:rPr>
          <w:fldChar w:fldCharType="separate"/>
        </w:r>
        <w:r w:rsidR="0056587D">
          <w:rPr>
            <w:webHidden/>
          </w:rPr>
          <w:t>4</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06" w:history="1">
        <w:r w:rsidR="0056587D" w:rsidRPr="001E5E09">
          <w:rPr>
            <w:rStyle w:val="Hyperlink"/>
          </w:rPr>
          <w:t>3.2.2</w:t>
        </w:r>
        <w:r w:rsidR="0056587D">
          <w:rPr>
            <w:rFonts w:asciiTheme="minorHAnsi" w:eastAsiaTheme="minorEastAsia" w:hAnsiTheme="minorHAnsi"/>
            <w:lang w:eastAsia="en-AU"/>
          </w:rPr>
          <w:tab/>
        </w:r>
        <w:r w:rsidR="0056587D" w:rsidRPr="001E5E09">
          <w:rPr>
            <w:rStyle w:val="Hyperlink"/>
          </w:rPr>
          <w:t>Cost allocation and attribution</w:t>
        </w:r>
        <w:r w:rsidR="0056587D">
          <w:rPr>
            <w:webHidden/>
          </w:rPr>
          <w:tab/>
        </w:r>
        <w:r w:rsidR="0056587D">
          <w:rPr>
            <w:webHidden/>
          </w:rPr>
          <w:fldChar w:fldCharType="begin"/>
        </w:r>
        <w:r w:rsidR="0056587D">
          <w:rPr>
            <w:webHidden/>
          </w:rPr>
          <w:instrText xml:space="preserve"> PAGEREF _Toc459018806 \h </w:instrText>
        </w:r>
        <w:r w:rsidR="0056587D">
          <w:rPr>
            <w:webHidden/>
          </w:rPr>
        </w:r>
        <w:r w:rsidR="0056587D">
          <w:rPr>
            <w:webHidden/>
          </w:rPr>
          <w:fldChar w:fldCharType="separate"/>
        </w:r>
        <w:r w:rsidR="0056587D">
          <w:rPr>
            <w:webHidden/>
          </w:rPr>
          <w:t>4</w:t>
        </w:r>
        <w:r w:rsidR="0056587D">
          <w:rPr>
            <w:webHidden/>
          </w:rPr>
          <w:fldChar w:fldCharType="end"/>
        </w:r>
      </w:hyperlink>
    </w:p>
    <w:p w:rsidR="0056587D" w:rsidRDefault="00876136">
      <w:pPr>
        <w:pStyle w:val="TOC1"/>
        <w:rPr>
          <w:rFonts w:asciiTheme="minorHAnsi" w:eastAsiaTheme="minorEastAsia" w:hAnsiTheme="minorHAnsi"/>
          <w:b w:val="0"/>
          <w:color w:val="auto"/>
          <w:sz w:val="22"/>
          <w:lang w:val="en-AU" w:eastAsia="en-AU"/>
        </w:rPr>
      </w:pPr>
      <w:hyperlink w:anchor="_Toc459018807" w:history="1">
        <w:r w:rsidR="0056587D" w:rsidRPr="001E5E09">
          <w:rPr>
            <w:rStyle w:val="Hyperlink"/>
          </w:rPr>
          <w:t>4</w:t>
        </w:r>
        <w:r w:rsidR="0056587D">
          <w:rPr>
            <w:rFonts w:asciiTheme="minorHAnsi" w:eastAsiaTheme="minorEastAsia" w:hAnsiTheme="minorHAnsi"/>
            <w:b w:val="0"/>
            <w:color w:val="auto"/>
            <w:sz w:val="22"/>
            <w:lang w:val="en-AU" w:eastAsia="en-AU"/>
          </w:rPr>
          <w:tab/>
        </w:r>
        <w:r w:rsidR="0056587D" w:rsidRPr="001E5E09">
          <w:rPr>
            <w:rStyle w:val="Hyperlink"/>
          </w:rPr>
          <w:t>Non-discrimination</w:t>
        </w:r>
        <w:r w:rsidR="0056587D">
          <w:rPr>
            <w:webHidden/>
          </w:rPr>
          <w:tab/>
        </w:r>
        <w:r w:rsidR="0056587D">
          <w:rPr>
            <w:webHidden/>
          </w:rPr>
          <w:fldChar w:fldCharType="begin"/>
        </w:r>
        <w:r w:rsidR="0056587D">
          <w:rPr>
            <w:webHidden/>
          </w:rPr>
          <w:instrText xml:space="preserve"> PAGEREF _Toc459018807 \h </w:instrText>
        </w:r>
        <w:r w:rsidR="0056587D">
          <w:rPr>
            <w:webHidden/>
          </w:rPr>
        </w:r>
        <w:r w:rsidR="0056587D">
          <w:rPr>
            <w:webHidden/>
          </w:rPr>
          <w:fldChar w:fldCharType="separate"/>
        </w:r>
        <w:r w:rsidR="0056587D">
          <w:rPr>
            <w:webHidden/>
          </w:rPr>
          <w:t>5</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08" w:history="1">
        <w:r w:rsidR="0056587D" w:rsidRPr="001E5E09">
          <w:rPr>
            <w:rStyle w:val="Hyperlink"/>
          </w:rPr>
          <w:t>4.1</w:t>
        </w:r>
        <w:r w:rsidR="0056587D">
          <w:rPr>
            <w:rFonts w:asciiTheme="minorHAnsi" w:eastAsiaTheme="minorEastAsia" w:hAnsiTheme="minorHAnsi"/>
            <w:b w:val="0"/>
            <w:color w:val="auto"/>
            <w:sz w:val="22"/>
            <w:lang w:eastAsia="en-AU"/>
          </w:rPr>
          <w:tab/>
        </w:r>
        <w:r w:rsidR="0056587D" w:rsidRPr="001E5E09">
          <w:rPr>
            <w:rStyle w:val="Hyperlink"/>
          </w:rPr>
          <w:t>General obligations to not discriminate</w:t>
        </w:r>
        <w:r w:rsidR="0056587D">
          <w:rPr>
            <w:webHidden/>
          </w:rPr>
          <w:tab/>
        </w:r>
        <w:r w:rsidR="0056587D">
          <w:rPr>
            <w:webHidden/>
          </w:rPr>
          <w:fldChar w:fldCharType="begin"/>
        </w:r>
        <w:r w:rsidR="0056587D">
          <w:rPr>
            <w:webHidden/>
          </w:rPr>
          <w:instrText xml:space="preserve"> PAGEREF _Toc459018808 \h </w:instrText>
        </w:r>
        <w:r w:rsidR="0056587D">
          <w:rPr>
            <w:webHidden/>
          </w:rPr>
        </w:r>
        <w:r w:rsidR="0056587D">
          <w:rPr>
            <w:webHidden/>
          </w:rPr>
          <w:fldChar w:fldCharType="separate"/>
        </w:r>
        <w:r w:rsidR="0056587D">
          <w:rPr>
            <w:webHidden/>
          </w:rPr>
          <w:t>5</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09" w:history="1">
        <w:r w:rsidR="0056587D" w:rsidRPr="001E5E09">
          <w:rPr>
            <w:rStyle w:val="Hyperlink"/>
          </w:rPr>
          <w:t>4.2</w:t>
        </w:r>
        <w:r w:rsidR="0056587D">
          <w:rPr>
            <w:rFonts w:asciiTheme="minorHAnsi" w:eastAsiaTheme="minorEastAsia" w:hAnsiTheme="minorHAnsi"/>
            <w:b w:val="0"/>
            <w:color w:val="auto"/>
            <w:sz w:val="22"/>
            <w:lang w:eastAsia="en-AU"/>
          </w:rPr>
          <w:tab/>
        </w:r>
        <w:r w:rsidR="0056587D" w:rsidRPr="001E5E09">
          <w:rPr>
            <w:rStyle w:val="Hyperlink"/>
          </w:rPr>
          <w:t>Specific obligations for functional separation</w:t>
        </w:r>
        <w:r w:rsidR="0056587D">
          <w:rPr>
            <w:webHidden/>
          </w:rPr>
          <w:tab/>
        </w:r>
        <w:r w:rsidR="0056587D">
          <w:rPr>
            <w:webHidden/>
          </w:rPr>
          <w:fldChar w:fldCharType="begin"/>
        </w:r>
        <w:r w:rsidR="0056587D">
          <w:rPr>
            <w:webHidden/>
          </w:rPr>
          <w:instrText xml:space="preserve"> PAGEREF _Toc459018809 \h </w:instrText>
        </w:r>
        <w:r w:rsidR="0056587D">
          <w:rPr>
            <w:webHidden/>
          </w:rPr>
        </w:r>
        <w:r w:rsidR="0056587D">
          <w:rPr>
            <w:webHidden/>
          </w:rPr>
          <w:fldChar w:fldCharType="separate"/>
        </w:r>
        <w:r w:rsidR="0056587D">
          <w:rPr>
            <w:webHidden/>
          </w:rPr>
          <w:t>5</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10" w:history="1">
        <w:r w:rsidR="0056587D" w:rsidRPr="001E5E09">
          <w:rPr>
            <w:rStyle w:val="Hyperlink"/>
          </w:rPr>
          <w:t>4.2.1</w:t>
        </w:r>
        <w:r w:rsidR="0056587D">
          <w:rPr>
            <w:rFonts w:asciiTheme="minorHAnsi" w:eastAsiaTheme="minorEastAsia" w:hAnsiTheme="minorHAnsi"/>
            <w:lang w:eastAsia="en-AU"/>
          </w:rPr>
          <w:tab/>
        </w:r>
        <w:r w:rsidR="0056587D" w:rsidRPr="001E5E09">
          <w:rPr>
            <w:rStyle w:val="Hyperlink"/>
          </w:rPr>
          <w:t>Physical separation/co-location</w:t>
        </w:r>
        <w:r w:rsidR="0056587D">
          <w:rPr>
            <w:webHidden/>
          </w:rPr>
          <w:tab/>
        </w:r>
        <w:r w:rsidR="0056587D">
          <w:rPr>
            <w:webHidden/>
          </w:rPr>
          <w:fldChar w:fldCharType="begin"/>
        </w:r>
        <w:r w:rsidR="0056587D">
          <w:rPr>
            <w:webHidden/>
          </w:rPr>
          <w:instrText xml:space="preserve"> PAGEREF _Toc459018810 \h </w:instrText>
        </w:r>
        <w:r w:rsidR="0056587D">
          <w:rPr>
            <w:webHidden/>
          </w:rPr>
        </w:r>
        <w:r w:rsidR="0056587D">
          <w:rPr>
            <w:webHidden/>
          </w:rPr>
          <w:fldChar w:fldCharType="separate"/>
        </w:r>
        <w:r w:rsidR="0056587D">
          <w:rPr>
            <w:webHidden/>
          </w:rPr>
          <w:t>5</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11" w:history="1">
        <w:r w:rsidR="0056587D" w:rsidRPr="001E5E09">
          <w:rPr>
            <w:rStyle w:val="Hyperlink"/>
          </w:rPr>
          <w:t>4.2.2</w:t>
        </w:r>
        <w:r w:rsidR="0056587D">
          <w:rPr>
            <w:rFonts w:asciiTheme="minorHAnsi" w:eastAsiaTheme="minorEastAsia" w:hAnsiTheme="minorHAnsi"/>
            <w:lang w:eastAsia="en-AU"/>
          </w:rPr>
          <w:tab/>
        </w:r>
        <w:r w:rsidR="0056587D" w:rsidRPr="001E5E09">
          <w:rPr>
            <w:rStyle w:val="Hyperlink"/>
          </w:rPr>
          <w:t>Staff sharing</w:t>
        </w:r>
        <w:r w:rsidR="0056587D">
          <w:rPr>
            <w:webHidden/>
          </w:rPr>
          <w:tab/>
        </w:r>
        <w:r w:rsidR="0056587D">
          <w:rPr>
            <w:webHidden/>
          </w:rPr>
          <w:fldChar w:fldCharType="begin"/>
        </w:r>
        <w:r w:rsidR="0056587D">
          <w:rPr>
            <w:webHidden/>
          </w:rPr>
          <w:instrText xml:space="preserve"> PAGEREF _Toc459018811 \h </w:instrText>
        </w:r>
        <w:r w:rsidR="0056587D">
          <w:rPr>
            <w:webHidden/>
          </w:rPr>
        </w:r>
        <w:r w:rsidR="0056587D">
          <w:rPr>
            <w:webHidden/>
          </w:rPr>
          <w:fldChar w:fldCharType="separate"/>
        </w:r>
        <w:r w:rsidR="0056587D">
          <w:rPr>
            <w:webHidden/>
          </w:rPr>
          <w:t>6</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12" w:history="1">
        <w:r w:rsidR="0056587D" w:rsidRPr="001E5E09">
          <w:rPr>
            <w:rStyle w:val="Hyperlink"/>
          </w:rPr>
          <w:t>4.3</w:t>
        </w:r>
        <w:r w:rsidR="0056587D">
          <w:rPr>
            <w:rFonts w:asciiTheme="minorHAnsi" w:eastAsiaTheme="minorEastAsia" w:hAnsiTheme="minorHAnsi"/>
            <w:b w:val="0"/>
            <w:color w:val="auto"/>
            <w:sz w:val="22"/>
            <w:lang w:eastAsia="en-AU"/>
          </w:rPr>
          <w:tab/>
        </w:r>
        <w:r w:rsidR="0056587D" w:rsidRPr="001E5E09">
          <w:rPr>
            <w:rStyle w:val="Hyperlink"/>
          </w:rPr>
          <w:t>Information access and disclosure</w:t>
        </w:r>
        <w:r w:rsidR="0056587D">
          <w:rPr>
            <w:webHidden/>
          </w:rPr>
          <w:tab/>
        </w:r>
        <w:r w:rsidR="0056587D">
          <w:rPr>
            <w:webHidden/>
          </w:rPr>
          <w:fldChar w:fldCharType="begin"/>
        </w:r>
        <w:r w:rsidR="0056587D">
          <w:rPr>
            <w:webHidden/>
          </w:rPr>
          <w:instrText xml:space="preserve"> PAGEREF _Toc459018812 \h </w:instrText>
        </w:r>
        <w:r w:rsidR="0056587D">
          <w:rPr>
            <w:webHidden/>
          </w:rPr>
        </w:r>
        <w:r w:rsidR="0056587D">
          <w:rPr>
            <w:webHidden/>
          </w:rPr>
          <w:fldChar w:fldCharType="separate"/>
        </w:r>
        <w:r w:rsidR="0056587D">
          <w:rPr>
            <w:webHidden/>
          </w:rPr>
          <w:t>6</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13" w:history="1">
        <w:r w:rsidR="0056587D" w:rsidRPr="001E5E09">
          <w:rPr>
            <w:rStyle w:val="Hyperlink"/>
          </w:rPr>
          <w:t>4.3.1</w:t>
        </w:r>
        <w:r w:rsidR="0056587D">
          <w:rPr>
            <w:rFonts w:asciiTheme="minorHAnsi" w:eastAsiaTheme="minorEastAsia" w:hAnsiTheme="minorHAnsi"/>
            <w:lang w:eastAsia="en-AU"/>
          </w:rPr>
          <w:tab/>
        </w:r>
        <w:r w:rsidR="0056587D" w:rsidRPr="001E5E09">
          <w:rPr>
            <w:rStyle w:val="Hyperlink"/>
          </w:rPr>
          <w:t>Protection of information</w:t>
        </w:r>
        <w:r w:rsidR="0056587D">
          <w:rPr>
            <w:webHidden/>
          </w:rPr>
          <w:tab/>
        </w:r>
        <w:r w:rsidR="0056587D">
          <w:rPr>
            <w:webHidden/>
          </w:rPr>
          <w:fldChar w:fldCharType="begin"/>
        </w:r>
        <w:r w:rsidR="0056587D">
          <w:rPr>
            <w:webHidden/>
          </w:rPr>
          <w:instrText xml:space="preserve"> PAGEREF _Toc459018813 \h </w:instrText>
        </w:r>
        <w:r w:rsidR="0056587D">
          <w:rPr>
            <w:webHidden/>
          </w:rPr>
        </w:r>
        <w:r w:rsidR="0056587D">
          <w:rPr>
            <w:webHidden/>
          </w:rPr>
          <w:fldChar w:fldCharType="separate"/>
        </w:r>
        <w:r w:rsidR="0056587D">
          <w:rPr>
            <w:webHidden/>
          </w:rPr>
          <w:t>6</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14" w:history="1">
        <w:r w:rsidR="0056587D" w:rsidRPr="001E5E09">
          <w:rPr>
            <w:rStyle w:val="Hyperlink"/>
          </w:rPr>
          <w:t>4.3.2</w:t>
        </w:r>
        <w:r w:rsidR="0056587D">
          <w:rPr>
            <w:rFonts w:asciiTheme="minorHAnsi" w:eastAsiaTheme="minorEastAsia" w:hAnsiTheme="minorHAnsi"/>
            <w:lang w:eastAsia="en-AU"/>
          </w:rPr>
          <w:tab/>
        </w:r>
        <w:r w:rsidR="0056587D" w:rsidRPr="001E5E09">
          <w:rPr>
            <w:rStyle w:val="Hyperlink"/>
          </w:rPr>
          <w:t>Sharing of information</w:t>
        </w:r>
        <w:r w:rsidR="0056587D">
          <w:rPr>
            <w:webHidden/>
          </w:rPr>
          <w:tab/>
        </w:r>
        <w:r w:rsidR="0056587D">
          <w:rPr>
            <w:webHidden/>
          </w:rPr>
          <w:fldChar w:fldCharType="begin"/>
        </w:r>
        <w:r w:rsidR="0056587D">
          <w:rPr>
            <w:webHidden/>
          </w:rPr>
          <w:instrText xml:space="preserve"> PAGEREF _Toc459018814 \h </w:instrText>
        </w:r>
        <w:r w:rsidR="0056587D">
          <w:rPr>
            <w:webHidden/>
          </w:rPr>
        </w:r>
        <w:r w:rsidR="0056587D">
          <w:rPr>
            <w:webHidden/>
          </w:rPr>
          <w:fldChar w:fldCharType="separate"/>
        </w:r>
        <w:r w:rsidR="0056587D">
          <w:rPr>
            <w:webHidden/>
          </w:rPr>
          <w:t>7</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15" w:history="1">
        <w:r w:rsidR="0056587D" w:rsidRPr="001E5E09">
          <w:rPr>
            <w:rStyle w:val="Hyperlink"/>
          </w:rPr>
          <w:t>4.3.3</w:t>
        </w:r>
        <w:r w:rsidR="0056587D">
          <w:rPr>
            <w:rFonts w:asciiTheme="minorHAnsi" w:eastAsiaTheme="minorEastAsia" w:hAnsiTheme="minorHAnsi"/>
            <w:lang w:eastAsia="en-AU"/>
          </w:rPr>
          <w:tab/>
        </w:r>
        <w:r w:rsidR="0056587D" w:rsidRPr="001E5E09">
          <w:rPr>
            <w:rStyle w:val="Hyperlink"/>
          </w:rPr>
          <w:t>Disclosure of information</w:t>
        </w:r>
        <w:r w:rsidR="0056587D">
          <w:rPr>
            <w:webHidden/>
          </w:rPr>
          <w:tab/>
        </w:r>
        <w:r w:rsidR="0056587D">
          <w:rPr>
            <w:webHidden/>
          </w:rPr>
          <w:fldChar w:fldCharType="begin"/>
        </w:r>
        <w:r w:rsidR="0056587D">
          <w:rPr>
            <w:webHidden/>
          </w:rPr>
          <w:instrText xml:space="preserve"> PAGEREF _Toc459018815 \h </w:instrText>
        </w:r>
        <w:r w:rsidR="0056587D">
          <w:rPr>
            <w:webHidden/>
          </w:rPr>
        </w:r>
        <w:r w:rsidR="0056587D">
          <w:rPr>
            <w:webHidden/>
          </w:rPr>
          <w:fldChar w:fldCharType="separate"/>
        </w:r>
        <w:r w:rsidR="0056587D">
          <w:rPr>
            <w:webHidden/>
          </w:rPr>
          <w:t>7</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16" w:history="1">
        <w:r w:rsidR="0056587D" w:rsidRPr="001E5E09">
          <w:rPr>
            <w:rStyle w:val="Hyperlink"/>
          </w:rPr>
          <w:t>4.3.4</w:t>
        </w:r>
        <w:r w:rsidR="0056587D">
          <w:rPr>
            <w:rFonts w:asciiTheme="minorHAnsi" w:eastAsiaTheme="minorEastAsia" w:hAnsiTheme="minorHAnsi"/>
            <w:lang w:eastAsia="en-AU"/>
          </w:rPr>
          <w:tab/>
        </w:r>
        <w:r w:rsidR="0056587D" w:rsidRPr="001E5E09">
          <w:rPr>
            <w:rStyle w:val="Hyperlink"/>
          </w:rPr>
          <w:t>No waiver</w:t>
        </w:r>
        <w:r w:rsidR="0056587D">
          <w:rPr>
            <w:webHidden/>
          </w:rPr>
          <w:tab/>
        </w:r>
        <w:r w:rsidR="0056587D">
          <w:rPr>
            <w:webHidden/>
          </w:rPr>
          <w:fldChar w:fldCharType="begin"/>
        </w:r>
        <w:r w:rsidR="0056587D">
          <w:rPr>
            <w:webHidden/>
          </w:rPr>
          <w:instrText xml:space="preserve"> PAGEREF _Toc459018816 \h </w:instrText>
        </w:r>
        <w:r w:rsidR="0056587D">
          <w:rPr>
            <w:webHidden/>
          </w:rPr>
        </w:r>
        <w:r w:rsidR="0056587D">
          <w:rPr>
            <w:webHidden/>
          </w:rPr>
          <w:fldChar w:fldCharType="separate"/>
        </w:r>
        <w:r w:rsidR="0056587D">
          <w:rPr>
            <w:webHidden/>
          </w:rPr>
          <w:t>7</w:t>
        </w:r>
        <w:r w:rsidR="0056587D">
          <w:rPr>
            <w:webHidden/>
          </w:rPr>
          <w:fldChar w:fldCharType="end"/>
        </w:r>
      </w:hyperlink>
    </w:p>
    <w:p w:rsidR="0056587D" w:rsidRDefault="00876136">
      <w:pPr>
        <w:pStyle w:val="TOC1"/>
        <w:rPr>
          <w:rFonts w:asciiTheme="minorHAnsi" w:eastAsiaTheme="minorEastAsia" w:hAnsiTheme="minorHAnsi"/>
          <w:b w:val="0"/>
          <w:color w:val="auto"/>
          <w:sz w:val="22"/>
          <w:lang w:val="en-AU" w:eastAsia="en-AU"/>
        </w:rPr>
      </w:pPr>
      <w:hyperlink w:anchor="_Toc459018817" w:history="1">
        <w:r w:rsidR="0056587D" w:rsidRPr="001E5E09">
          <w:rPr>
            <w:rStyle w:val="Hyperlink"/>
          </w:rPr>
          <w:t>5</w:t>
        </w:r>
        <w:r w:rsidR="0056587D">
          <w:rPr>
            <w:rFonts w:asciiTheme="minorHAnsi" w:eastAsiaTheme="minorEastAsia" w:hAnsiTheme="minorHAnsi"/>
            <w:b w:val="0"/>
            <w:color w:val="auto"/>
            <w:sz w:val="22"/>
            <w:lang w:val="en-AU" w:eastAsia="en-AU"/>
          </w:rPr>
          <w:tab/>
        </w:r>
        <w:r w:rsidR="0056587D" w:rsidRPr="001E5E09">
          <w:rPr>
            <w:rStyle w:val="Hyperlink"/>
          </w:rPr>
          <w:t>Waivers</w:t>
        </w:r>
        <w:r w:rsidR="0056587D">
          <w:rPr>
            <w:webHidden/>
          </w:rPr>
          <w:tab/>
        </w:r>
        <w:r w:rsidR="0056587D">
          <w:rPr>
            <w:webHidden/>
          </w:rPr>
          <w:fldChar w:fldCharType="begin"/>
        </w:r>
        <w:r w:rsidR="0056587D">
          <w:rPr>
            <w:webHidden/>
          </w:rPr>
          <w:instrText xml:space="preserve"> PAGEREF _Toc459018817 \h </w:instrText>
        </w:r>
        <w:r w:rsidR="0056587D">
          <w:rPr>
            <w:webHidden/>
          </w:rPr>
        </w:r>
        <w:r w:rsidR="0056587D">
          <w:rPr>
            <w:webHidden/>
          </w:rPr>
          <w:fldChar w:fldCharType="separate"/>
        </w:r>
        <w:r w:rsidR="0056587D">
          <w:rPr>
            <w:webHidden/>
          </w:rPr>
          <w:t>8</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18" w:history="1">
        <w:r w:rsidR="0056587D" w:rsidRPr="001E5E09">
          <w:rPr>
            <w:rStyle w:val="Hyperlink"/>
          </w:rPr>
          <w:t>5.1</w:t>
        </w:r>
        <w:r w:rsidR="0056587D">
          <w:rPr>
            <w:rFonts w:asciiTheme="minorHAnsi" w:eastAsiaTheme="minorEastAsia" w:hAnsiTheme="minorHAnsi"/>
            <w:b w:val="0"/>
            <w:color w:val="auto"/>
            <w:sz w:val="22"/>
            <w:lang w:eastAsia="en-AU"/>
          </w:rPr>
          <w:tab/>
        </w:r>
        <w:r w:rsidR="0056587D" w:rsidRPr="001E5E09">
          <w:rPr>
            <w:rStyle w:val="Hyperlink"/>
          </w:rPr>
          <w:t>DNSP's application for a waiver</w:t>
        </w:r>
        <w:r w:rsidR="0056587D">
          <w:rPr>
            <w:webHidden/>
          </w:rPr>
          <w:tab/>
        </w:r>
        <w:r w:rsidR="0056587D">
          <w:rPr>
            <w:webHidden/>
          </w:rPr>
          <w:fldChar w:fldCharType="begin"/>
        </w:r>
        <w:r w:rsidR="0056587D">
          <w:rPr>
            <w:webHidden/>
          </w:rPr>
          <w:instrText xml:space="preserve"> PAGEREF _Toc459018818 \h </w:instrText>
        </w:r>
        <w:r w:rsidR="0056587D">
          <w:rPr>
            <w:webHidden/>
          </w:rPr>
        </w:r>
        <w:r w:rsidR="0056587D">
          <w:rPr>
            <w:webHidden/>
          </w:rPr>
          <w:fldChar w:fldCharType="separate"/>
        </w:r>
        <w:r w:rsidR="0056587D">
          <w:rPr>
            <w:webHidden/>
          </w:rPr>
          <w:t>8</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19" w:history="1">
        <w:r w:rsidR="0056587D" w:rsidRPr="001E5E09">
          <w:rPr>
            <w:rStyle w:val="Hyperlink"/>
          </w:rPr>
          <w:t>5.2</w:t>
        </w:r>
        <w:r w:rsidR="0056587D">
          <w:rPr>
            <w:rFonts w:asciiTheme="minorHAnsi" w:eastAsiaTheme="minorEastAsia" w:hAnsiTheme="minorHAnsi"/>
            <w:b w:val="0"/>
            <w:color w:val="auto"/>
            <w:sz w:val="22"/>
            <w:lang w:eastAsia="en-AU"/>
          </w:rPr>
          <w:tab/>
        </w:r>
        <w:r w:rsidR="0056587D" w:rsidRPr="001E5E09">
          <w:rPr>
            <w:rStyle w:val="Hyperlink"/>
          </w:rPr>
          <w:t>AER's consideration of a waiver application</w:t>
        </w:r>
        <w:r w:rsidR="0056587D">
          <w:rPr>
            <w:webHidden/>
          </w:rPr>
          <w:tab/>
        </w:r>
        <w:r w:rsidR="0056587D">
          <w:rPr>
            <w:webHidden/>
          </w:rPr>
          <w:fldChar w:fldCharType="begin"/>
        </w:r>
        <w:r w:rsidR="0056587D">
          <w:rPr>
            <w:webHidden/>
          </w:rPr>
          <w:instrText xml:space="preserve"> PAGEREF _Toc459018819 \h </w:instrText>
        </w:r>
        <w:r w:rsidR="0056587D">
          <w:rPr>
            <w:webHidden/>
          </w:rPr>
        </w:r>
        <w:r w:rsidR="0056587D">
          <w:rPr>
            <w:webHidden/>
          </w:rPr>
          <w:fldChar w:fldCharType="separate"/>
        </w:r>
        <w:r w:rsidR="0056587D">
          <w:rPr>
            <w:webHidden/>
          </w:rPr>
          <w:t>8</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20" w:history="1">
        <w:r w:rsidR="0056587D" w:rsidRPr="001E5E09">
          <w:rPr>
            <w:rStyle w:val="Hyperlink"/>
          </w:rPr>
          <w:t>5.2.1</w:t>
        </w:r>
        <w:r w:rsidR="0056587D">
          <w:rPr>
            <w:rFonts w:asciiTheme="minorHAnsi" w:eastAsiaTheme="minorEastAsia" w:hAnsiTheme="minorHAnsi"/>
            <w:lang w:eastAsia="en-AU"/>
          </w:rPr>
          <w:tab/>
        </w:r>
        <w:r w:rsidR="0056587D" w:rsidRPr="001E5E09">
          <w:rPr>
            <w:rStyle w:val="Hyperlink"/>
          </w:rPr>
          <w:t>Requirement to consider a waiver</w:t>
        </w:r>
        <w:r w:rsidR="0056587D">
          <w:rPr>
            <w:webHidden/>
          </w:rPr>
          <w:tab/>
        </w:r>
        <w:r w:rsidR="0056587D">
          <w:rPr>
            <w:webHidden/>
          </w:rPr>
          <w:fldChar w:fldCharType="begin"/>
        </w:r>
        <w:r w:rsidR="0056587D">
          <w:rPr>
            <w:webHidden/>
          </w:rPr>
          <w:instrText xml:space="preserve"> PAGEREF _Toc459018820 \h </w:instrText>
        </w:r>
        <w:r w:rsidR="0056587D">
          <w:rPr>
            <w:webHidden/>
          </w:rPr>
        </w:r>
        <w:r w:rsidR="0056587D">
          <w:rPr>
            <w:webHidden/>
          </w:rPr>
          <w:fldChar w:fldCharType="separate"/>
        </w:r>
        <w:r w:rsidR="0056587D">
          <w:rPr>
            <w:webHidden/>
          </w:rPr>
          <w:t>8</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21" w:history="1">
        <w:r w:rsidR="0056587D" w:rsidRPr="001E5E09">
          <w:rPr>
            <w:rStyle w:val="Hyperlink"/>
          </w:rPr>
          <w:t>5.2.2</w:t>
        </w:r>
        <w:r w:rsidR="0056587D">
          <w:rPr>
            <w:rFonts w:asciiTheme="minorHAnsi" w:eastAsiaTheme="minorEastAsia" w:hAnsiTheme="minorHAnsi"/>
            <w:lang w:eastAsia="en-AU"/>
          </w:rPr>
          <w:tab/>
        </w:r>
        <w:r w:rsidR="0056587D" w:rsidRPr="001E5E09">
          <w:rPr>
            <w:rStyle w:val="Hyperlink"/>
          </w:rPr>
          <w:t>Matters AER will consider</w:t>
        </w:r>
        <w:r w:rsidR="0056587D">
          <w:rPr>
            <w:webHidden/>
          </w:rPr>
          <w:tab/>
        </w:r>
        <w:r w:rsidR="0056587D">
          <w:rPr>
            <w:webHidden/>
          </w:rPr>
          <w:fldChar w:fldCharType="begin"/>
        </w:r>
        <w:r w:rsidR="0056587D">
          <w:rPr>
            <w:webHidden/>
          </w:rPr>
          <w:instrText xml:space="preserve"> PAGEREF _Toc459018821 \h </w:instrText>
        </w:r>
        <w:r w:rsidR="0056587D">
          <w:rPr>
            <w:webHidden/>
          </w:rPr>
        </w:r>
        <w:r w:rsidR="0056587D">
          <w:rPr>
            <w:webHidden/>
          </w:rPr>
          <w:fldChar w:fldCharType="separate"/>
        </w:r>
        <w:r w:rsidR="0056587D">
          <w:rPr>
            <w:webHidden/>
          </w:rPr>
          <w:t>8</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22" w:history="1">
        <w:r w:rsidR="0056587D" w:rsidRPr="001E5E09">
          <w:rPr>
            <w:rStyle w:val="Hyperlink"/>
          </w:rPr>
          <w:t>5.2.3</w:t>
        </w:r>
        <w:r w:rsidR="0056587D">
          <w:rPr>
            <w:rFonts w:asciiTheme="minorHAnsi" w:eastAsiaTheme="minorEastAsia" w:hAnsiTheme="minorHAnsi"/>
            <w:lang w:eastAsia="en-AU"/>
          </w:rPr>
          <w:tab/>
        </w:r>
        <w:r w:rsidR="0056587D" w:rsidRPr="001E5E09">
          <w:rPr>
            <w:rStyle w:val="Hyperlink"/>
          </w:rPr>
          <w:t>The AER's assessment of the waiver application</w:t>
        </w:r>
        <w:r w:rsidR="0056587D">
          <w:rPr>
            <w:webHidden/>
          </w:rPr>
          <w:tab/>
        </w:r>
        <w:r w:rsidR="0056587D">
          <w:rPr>
            <w:webHidden/>
          </w:rPr>
          <w:fldChar w:fldCharType="begin"/>
        </w:r>
        <w:r w:rsidR="0056587D">
          <w:rPr>
            <w:webHidden/>
          </w:rPr>
          <w:instrText xml:space="preserve"> PAGEREF _Toc459018822 \h </w:instrText>
        </w:r>
        <w:r w:rsidR="0056587D">
          <w:rPr>
            <w:webHidden/>
          </w:rPr>
        </w:r>
        <w:r w:rsidR="0056587D">
          <w:rPr>
            <w:webHidden/>
          </w:rPr>
          <w:fldChar w:fldCharType="separate"/>
        </w:r>
        <w:r w:rsidR="0056587D">
          <w:rPr>
            <w:webHidden/>
          </w:rPr>
          <w:t>8</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23" w:history="1">
        <w:r w:rsidR="0056587D" w:rsidRPr="001E5E09">
          <w:rPr>
            <w:rStyle w:val="Hyperlink"/>
          </w:rPr>
          <w:t>5.2.4</w:t>
        </w:r>
        <w:r w:rsidR="0056587D">
          <w:rPr>
            <w:rFonts w:asciiTheme="minorHAnsi" w:eastAsiaTheme="minorEastAsia" w:hAnsiTheme="minorHAnsi"/>
            <w:lang w:eastAsia="en-AU"/>
          </w:rPr>
          <w:tab/>
        </w:r>
        <w:r w:rsidR="0056587D" w:rsidRPr="001E5E09">
          <w:rPr>
            <w:rStyle w:val="Hyperlink"/>
          </w:rPr>
          <w:t>Form of waiver</w:t>
        </w:r>
        <w:r w:rsidR="0056587D">
          <w:rPr>
            <w:webHidden/>
          </w:rPr>
          <w:tab/>
        </w:r>
        <w:r w:rsidR="0056587D">
          <w:rPr>
            <w:webHidden/>
          </w:rPr>
          <w:fldChar w:fldCharType="begin"/>
        </w:r>
        <w:r w:rsidR="0056587D">
          <w:rPr>
            <w:webHidden/>
          </w:rPr>
          <w:instrText xml:space="preserve"> PAGEREF _Toc459018823 \h </w:instrText>
        </w:r>
        <w:r w:rsidR="0056587D">
          <w:rPr>
            <w:webHidden/>
          </w:rPr>
        </w:r>
        <w:r w:rsidR="0056587D">
          <w:rPr>
            <w:webHidden/>
          </w:rPr>
          <w:fldChar w:fldCharType="separate"/>
        </w:r>
        <w:r w:rsidR="0056587D">
          <w:rPr>
            <w:webHidden/>
          </w:rPr>
          <w:t>9</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24" w:history="1">
        <w:r w:rsidR="0056587D" w:rsidRPr="001E5E09">
          <w:rPr>
            <w:rStyle w:val="Hyperlink"/>
          </w:rPr>
          <w:t>5.3</w:t>
        </w:r>
        <w:r w:rsidR="0056587D">
          <w:rPr>
            <w:rFonts w:asciiTheme="minorHAnsi" w:eastAsiaTheme="minorEastAsia" w:hAnsiTheme="minorHAnsi"/>
            <w:b w:val="0"/>
            <w:color w:val="auto"/>
            <w:sz w:val="22"/>
            <w:lang w:eastAsia="en-AU"/>
          </w:rPr>
          <w:tab/>
        </w:r>
        <w:r w:rsidR="0056587D" w:rsidRPr="001E5E09">
          <w:rPr>
            <w:rStyle w:val="Hyperlink"/>
          </w:rPr>
          <w:t>Reviewing a waiver within a regulatory control period</w:t>
        </w:r>
        <w:r w:rsidR="0056587D">
          <w:rPr>
            <w:webHidden/>
          </w:rPr>
          <w:tab/>
        </w:r>
        <w:r w:rsidR="0056587D">
          <w:rPr>
            <w:webHidden/>
          </w:rPr>
          <w:fldChar w:fldCharType="begin"/>
        </w:r>
        <w:r w:rsidR="0056587D">
          <w:rPr>
            <w:webHidden/>
          </w:rPr>
          <w:instrText xml:space="preserve"> PAGEREF _Toc459018824 \h </w:instrText>
        </w:r>
        <w:r w:rsidR="0056587D">
          <w:rPr>
            <w:webHidden/>
          </w:rPr>
        </w:r>
        <w:r w:rsidR="0056587D">
          <w:rPr>
            <w:webHidden/>
          </w:rPr>
          <w:fldChar w:fldCharType="separate"/>
        </w:r>
        <w:r w:rsidR="0056587D">
          <w:rPr>
            <w:webHidden/>
          </w:rPr>
          <w:t>9</w:t>
        </w:r>
        <w:r w:rsidR="0056587D">
          <w:rPr>
            <w:webHidden/>
          </w:rPr>
          <w:fldChar w:fldCharType="end"/>
        </w:r>
      </w:hyperlink>
    </w:p>
    <w:p w:rsidR="0056587D" w:rsidRDefault="00876136">
      <w:pPr>
        <w:pStyle w:val="TOC1"/>
        <w:rPr>
          <w:rFonts w:asciiTheme="minorHAnsi" w:eastAsiaTheme="minorEastAsia" w:hAnsiTheme="minorHAnsi"/>
          <w:b w:val="0"/>
          <w:color w:val="auto"/>
          <w:sz w:val="22"/>
          <w:lang w:val="en-AU" w:eastAsia="en-AU"/>
        </w:rPr>
      </w:pPr>
      <w:hyperlink w:anchor="_Toc459018825" w:history="1">
        <w:r w:rsidR="0056587D" w:rsidRPr="001E5E09">
          <w:rPr>
            <w:rStyle w:val="Hyperlink"/>
          </w:rPr>
          <w:t>6</w:t>
        </w:r>
        <w:r w:rsidR="0056587D">
          <w:rPr>
            <w:rFonts w:asciiTheme="minorHAnsi" w:eastAsiaTheme="minorEastAsia" w:hAnsiTheme="minorHAnsi"/>
            <w:b w:val="0"/>
            <w:color w:val="auto"/>
            <w:sz w:val="22"/>
            <w:lang w:val="en-AU" w:eastAsia="en-AU"/>
          </w:rPr>
          <w:tab/>
        </w:r>
        <w:r w:rsidR="0056587D" w:rsidRPr="001E5E09">
          <w:rPr>
            <w:rStyle w:val="Hyperlink"/>
          </w:rPr>
          <w:t>Compliance and enforcement</w:t>
        </w:r>
        <w:r w:rsidR="0056587D">
          <w:rPr>
            <w:webHidden/>
          </w:rPr>
          <w:tab/>
        </w:r>
        <w:r w:rsidR="0056587D">
          <w:rPr>
            <w:webHidden/>
          </w:rPr>
          <w:fldChar w:fldCharType="begin"/>
        </w:r>
        <w:r w:rsidR="0056587D">
          <w:rPr>
            <w:webHidden/>
          </w:rPr>
          <w:instrText xml:space="preserve"> PAGEREF _Toc459018825 \h </w:instrText>
        </w:r>
        <w:r w:rsidR="0056587D">
          <w:rPr>
            <w:webHidden/>
          </w:rPr>
        </w:r>
        <w:r w:rsidR="0056587D">
          <w:rPr>
            <w:webHidden/>
          </w:rPr>
          <w:fldChar w:fldCharType="separate"/>
        </w:r>
        <w:r w:rsidR="0056587D">
          <w:rPr>
            <w:webHidden/>
          </w:rPr>
          <w:t>10</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26" w:history="1">
        <w:r w:rsidR="0056587D" w:rsidRPr="001E5E09">
          <w:rPr>
            <w:rStyle w:val="Hyperlink"/>
          </w:rPr>
          <w:t>6.1</w:t>
        </w:r>
        <w:r w:rsidR="0056587D">
          <w:rPr>
            <w:rFonts w:asciiTheme="minorHAnsi" w:eastAsiaTheme="minorEastAsia" w:hAnsiTheme="minorHAnsi"/>
            <w:b w:val="0"/>
            <w:color w:val="auto"/>
            <w:sz w:val="22"/>
            <w:lang w:eastAsia="en-AU"/>
          </w:rPr>
          <w:tab/>
        </w:r>
        <w:r w:rsidR="0056587D" w:rsidRPr="001E5E09">
          <w:rPr>
            <w:rStyle w:val="Hyperlink"/>
          </w:rPr>
          <w:t>Maintaining compliance</w:t>
        </w:r>
        <w:r w:rsidR="0056587D">
          <w:rPr>
            <w:webHidden/>
          </w:rPr>
          <w:tab/>
        </w:r>
        <w:r w:rsidR="0056587D">
          <w:rPr>
            <w:webHidden/>
          </w:rPr>
          <w:fldChar w:fldCharType="begin"/>
        </w:r>
        <w:r w:rsidR="0056587D">
          <w:rPr>
            <w:webHidden/>
          </w:rPr>
          <w:instrText xml:space="preserve"> PAGEREF _Toc459018826 \h </w:instrText>
        </w:r>
        <w:r w:rsidR="0056587D">
          <w:rPr>
            <w:webHidden/>
          </w:rPr>
        </w:r>
        <w:r w:rsidR="0056587D">
          <w:rPr>
            <w:webHidden/>
          </w:rPr>
          <w:fldChar w:fldCharType="separate"/>
        </w:r>
        <w:r w:rsidR="0056587D">
          <w:rPr>
            <w:webHidden/>
          </w:rPr>
          <w:t>10</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27" w:history="1">
        <w:r w:rsidR="0056587D" w:rsidRPr="001E5E09">
          <w:rPr>
            <w:rStyle w:val="Hyperlink"/>
          </w:rPr>
          <w:t>6.2</w:t>
        </w:r>
        <w:r w:rsidR="0056587D">
          <w:rPr>
            <w:rFonts w:asciiTheme="minorHAnsi" w:eastAsiaTheme="minorEastAsia" w:hAnsiTheme="minorHAnsi"/>
            <w:b w:val="0"/>
            <w:color w:val="auto"/>
            <w:sz w:val="22"/>
            <w:lang w:eastAsia="en-AU"/>
          </w:rPr>
          <w:tab/>
        </w:r>
        <w:r w:rsidR="0056587D" w:rsidRPr="001E5E09">
          <w:rPr>
            <w:rStyle w:val="Hyperlink"/>
          </w:rPr>
          <w:t>Compliance reporting</w:t>
        </w:r>
        <w:r w:rsidR="0056587D">
          <w:rPr>
            <w:webHidden/>
          </w:rPr>
          <w:tab/>
        </w:r>
        <w:r w:rsidR="0056587D">
          <w:rPr>
            <w:webHidden/>
          </w:rPr>
          <w:fldChar w:fldCharType="begin"/>
        </w:r>
        <w:r w:rsidR="0056587D">
          <w:rPr>
            <w:webHidden/>
          </w:rPr>
          <w:instrText xml:space="preserve"> PAGEREF _Toc459018827 \h </w:instrText>
        </w:r>
        <w:r w:rsidR="0056587D">
          <w:rPr>
            <w:webHidden/>
          </w:rPr>
        </w:r>
        <w:r w:rsidR="0056587D">
          <w:rPr>
            <w:webHidden/>
          </w:rPr>
          <w:fldChar w:fldCharType="separate"/>
        </w:r>
        <w:r w:rsidR="0056587D">
          <w:rPr>
            <w:webHidden/>
          </w:rPr>
          <w:t>10</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28" w:history="1">
        <w:r w:rsidR="0056587D" w:rsidRPr="001E5E09">
          <w:rPr>
            <w:rStyle w:val="Hyperlink"/>
          </w:rPr>
          <w:t>6.2.1</w:t>
        </w:r>
        <w:r w:rsidR="0056587D">
          <w:rPr>
            <w:rFonts w:asciiTheme="minorHAnsi" w:eastAsiaTheme="minorEastAsia" w:hAnsiTheme="minorHAnsi"/>
            <w:lang w:eastAsia="en-AU"/>
          </w:rPr>
          <w:tab/>
        </w:r>
        <w:r w:rsidR="0056587D" w:rsidRPr="001E5E09">
          <w:rPr>
            <w:rStyle w:val="Hyperlink"/>
          </w:rPr>
          <w:t>Annual compliance report</w:t>
        </w:r>
        <w:r w:rsidR="0056587D">
          <w:rPr>
            <w:webHidden/>
          </w:rPr>
          <w:tab/>
        </w:r>
        <w:r w:rsidR="0056587D">
          <w:rPr>
            <w:webHidden/>
          </w:rPr>
          <w:fldChar w:fldCharType="begin"/>
        </w:r>
        <w:r w:rsidR="0056587D">
          <w:rPr>
            <w:webHidden/>
          </w:rPr>
          <w:instrText xml:space="preserve"> PAGEREF _Toc459018828 \h </w:instrText>
        </w:r>
        <w:r w:rsidR="0056587D">
          <w:rPr>
            <w:webHidden/>
          </w:rPr>
        </w:r>
        <w:r w:rsidR="0056587D">
          <w:rPr>
            <w:webHidden/>
          </w:rPr>
          <w:fldChar w:fldCharType="separate"/>
        </w:r>
        <w:r w:rsidR="0056587D">
          <w:rPr>
            <w:webHidden/>
          </w:rPr>
          <w:t>10</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29" w:history="1">
        <w:r w:rsidR="0056587D" w:rsidRPr="001E5E09">
          <w:rPr>
            <w:rStyle w:val="Hyperlink"/>
          </w:rPr>
          <w:t>6.2.2</w:t>
        </w:r>
        <w:r w:rsidR="0056587D">
          <w:rPr>
            <w:rFonts w:asciiTheme="minorHAnsi" w:eastAsiaTheme="minorEastAsia" w:hAnsiTheme="minorHAnsi"/>
            <w:lang w:eastAsia="en-AU"/>
          </w:rPr>
          <w:tab/>
        </w:r>
        <w:r w:rsidR="0056587D" w:rsidRPr="001E5E09">
          <w:rPr>
            <w:rStyle w:val="Hyperlink"/>
          </w:rPr>
          <w:t>Timing of annual compliance reporting</w:t>
        </w:r>
        <w:r w:rsidR="0056587D">
          <w:rPr>
            <w:webHidden/>
          </w:rPr>
          <w:tab/>
        </w:r>
        <w:r w:rsidR="0056587D">
          <w:rPr>
            <w:webHidden/>
          </w:rPr>
          <w:fldChar w:fldCharType="begin"/>
        </w:r>
        <w:r w:rsidR="0056587D">
          <w:rPr>
            <w:webHidden/>
          </w:rPr>
          <w:instrText xml:space="preserve"> PAGEREF _Toc459018829 \h </w:instrText>
        </w:r>
        <w:r w:rsidR="0056587D">
          <w:rPr>
            <w:webHidden/>
          </w:rPr>
        </w:r>
        <w:r w:rsidR="0056587D">
          <w:rPr>
            <w:webHidden/>
          </w:rPr>
          <w:fldChar w:fldCharType="separate"/>
        </w:r>
        <w:r w:rsidR="0056587D">
          <w:rPr>
            <w:webHidden/>
          </w:rPr>
          <w:t>10</w:t>
        </w:r>
        <w:r w:rsidR="0056587D">
          <w:rPr>
            <w:webHidden/>
          </w:rPr>
          <w:fldChar w:fldCharType="end"/>
        </w:r>
      </w:hyperlink>
    </w:p>
    <w:p w:rsidR="0056587D" w:rsidRDefault="00876136">
      <w:pPr>
        <w:pStyle w:val="TOC3"/>
        <w:rPr>
          <w:rFonts w:asciiTheme="minorHAnsi" w:eastAsiaTheme="minorEastAsia" w:hAnsiTheme="minorHAnsi"/>
          <w:lang w:eastAsia="en-AU"/>
        </w:rPr>
      </w:pPr>
      <w:hyperlink w:anchor="_Toc459018830" w:history="1">
        <w:r w:rsidR="0056587D" w:rsidRPr="001E5E09">
          <w:rPr>
            <w:rStyle w:val="Hyperlink"/>
          </w:rPr>
          <w:t>6.2.3</w:t>
        </w:r>
        <w:r w:rsidR="0056587D">
          <w:rPr>
            <w:rFonts w:asciiTheme="minorHAnsi" w:eastAsiaTheme="minorEastAsia" w:hAnsiTheme="minorHAnsi"/>
            <w:lang w:eastAsia="en-AU"/>
          </w:rPr>
          <w:tab/>
        </w:r>
        <w:r w:rsidR="0056587D" w:rsidRPr="001E5E09">
          <w:rPr>
            <w:rStyle w:val="Hyperlink"/>
          </w:rPr>
          <w:t>Reporting by AER</w:t>
        </w:r>
        <w:r w:rsidR="0056587D">
          <w:rPr>
            <w:webHidden/>
          </w:rPr>
          <w:tab/>
        </w:r>
        <w:r w:rsidR="0056587D">
          <w:rPr>
            <w:webHidden/>
          </w:rPr>
          <w:fldChar w:fldCharType="begin"/>
        </w:r>
        <w:r w:rsidR="0056587D">
          <w:rPr>
            <w:webHidden/>
          </w:rPr>
          <w:instrText xml:space="preserve"> PAGEREF _Toc459018830 \h </w:instrText>
        </w:r>
        <w:r w:rsidR="0056587D">
          <w:rPr>
            <w:webHidden/>
          </w:rPr>
        </w:r>
        <w:r w:rsidR="0056587D">
          <w:rPr>
            <w:webHidden/>
          </w:rPr>
          <w:fldChar w:fldCharType="separate"/>
        </w:r>
        <w:r w:rsidR="0056587D">
          <w:rPr>
            <w:webHidden/>
          </w:rPr>
          <w:t>10</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31" w:history="1">
        <w:r w:rsidR="0056587D" w:rsidRPr="001E5E09">
          <w:rPr>
            <w:rStyle w:val="Hyperlink"/>
          </w:rPr>
          <w:t>6.3</w:t>
        </w:r>
        <w:r w:rsidR="0056587D">
          <w:rPr>
            <w:rFonts w:asciiTheme="minorHAnsi" w:eastAsiaTheme="minorEastAsia" w:hAnsiTheme="minorHAnsi"/>
            <w:b w:val="0"/>
            <w:color w:val="auto"/>
            <w:sz w:val="22"/>
            <w:lang w:eastAsia="en-AU"/>
          </w:rPr>
          <w:tab/>
        </w:r>
        <w:r w:rsidR="0056587D" w:rsidRPr="001E5E09">
          <w:rPr>
            <w:rStyle w:val="Hyperlink"/>
          </w:rPr>
          <w:t>Compliance breaches</w:t>
        </w:r>
        <w:r w:rsidR="0056587D">
          <w:rPr>
            <w:webHidden/>
          </w:rPr>
          <w:tab/>
        </w:r>
        <w:r w:rsidR="0056587D">
          <w:rPr>
            <w:webHidden/>
          </w:rPr>
          <w:fldChar w:fldCharType="begin"/>
        </w:r>
        <w:r w:rsidR="0056587D">
          <w:rPr>
            <w:webHidden/>
          </w:rPr>
          <w:instrText xml:space="preserve"> PAGEREF _Toc459018831 \h </w:instrText>
        </w:r>
        <w:r w:rsidR="0056587D">
          <w:rPr>
            <w:webHidden/>
          </w:rPr>
        </w:r>
        <w:r w:rsidR="0056587D">
          <w:rPr>
            <w:webHidden/>
          </w:rPr>
          <w:fldChar w:fldCharType="separate"/>
        </w:r>
        <w:r w:rsidR="0056587D">
          <w:rPr>
            <w:webHidden/>
          </w:rPr>
          <w:t>10</w:t>
        </w:r>
        <w:r w:rsidR="0056587D">
          <w:rPr>
            <w:webHidden/>
          </w:rPr>
          <w:fldChar w:fldCharType="end"/>
        </w:r>
      </w:hyperlink>
    </w:p>
    <w:p w:rsidR="0056587D" w:rsidRDefault="00876136">
      <w:pPr>
        <w:pStyle w:val="TOC2"/>
        <w:rPr>
          <w:rFonts w:asciiTheme="minorHAnsi" w:eastAsiaTheme="minorEastAsia" w:hAnsiTheme="minorHAnsi"/>
          <w:b w:val="0"/>
          <w:color w:val="auto"/>
          <w:sz w:val="22"/>
          <w:lang w:eastAsia="en-AU"/>
        </w:rPr>
      </w:pPr>
      <w:hyperlink w:anchor="_Toc459018832" w:history="1">
        <w:r w:rsidR="0056587D" w:rsidRPr="001E5E09">
          <w:rPr>
            <w:rStyle w:val="Hyperlink"/>
          </w:rPr>
          <w:t>6.4</w:t>
        </w:r>
        <w:r w:rsidR="0056587D">
          <w:rPr>
            <w:rFonts w:asciiTheme="minorHAnsi" w:eastAsiaTheme="minorEastAsia" w:hAnsiTheme="minorHAnsi"/>
            <w:b w:val="0"/>
            <w:color w:val="auto"/>
            <w:sz w:val="22"/>
            <w:lang w:eastAsia="en-AU"/>
          </w:rPr>
          <w:tab/>
        </w:r>
        <w:r w:rsidR="0056587D" w:rsidRPr="001E5E09">
          <w:rPr>
            <w:rStyle w:val="Hyperlink"/>
          </w:rPr>
          <w:t>Complaints and investigations</w:t>
        </w:r>
        <w:r w:rsidR="0056587D">
          <w:rPr>
            <w:webHidden/>
          </w:rPr>
          <w:tab/>
        </w:r>
        <w:r w:rsidR="0056587D">
          <w:rPr>
            <w:webHidden/>
          </w:rPr>
          <w:fldChar w:fldCharType="begin"/>
        </w:r>
        <w:r w:rsidR="0056587D">
          <w:rPr>
            <w:webHidden/>
          </w:rPr>
          <w:instrText xml:space="preserve"> PAGEREF _Toc459018832 \h </w:instrText>
        </w:r>
        <w:r w:rsidR="0056587D">
          <w:rPr>
            <w:webHidden/>
          </w:rPr>
        </w:r>
        <w:r w:rsidR="0056587D">
          <w:rPr>
            <w:webHidden/>
          </w:rPr>
          <w:fldChar w:fldCharType="separate"/>
        </w:r>
        <w:r w:rsidR="0056587D">
          <w:rPr>
            <w:webHidden/>
          </w:rPr>
          <w:t>11</w:t>
        </w:r>
        <w:r w:rsidR="0056587D">
          <w:rPr>
            <w:webHidden/>
          </w:rPr>
          <w:fldChar w:fldCharType="end"/>
        </w:r>
      </w:hyperlink>
    </w:p>
    <w:p w:rsidR="0056587D" w:rsidRDefault="00876136">
      <w:pPr>
        <w:pStyle w:val="TOC1"/>
        <w:rPr>
          <w:rFonts w:asciiTheme="minorHAnsi" w:eastAsiaTheme="minorEastAsia" w:hAnsiTheme="minorHAnsi"/>
          <w:b w:val="0"/>
          <w:color w:val="auto"/>
          <w:sz w:val="22"/>
          <w:lang w:val="en-AU" w:eastAsia="en-AU"/>
        </w:rPr>
      </w:pPr>
      <w:hyperlink w:anchor="_Toc459018833" w:history="1">
        <w:r w:rsidR="0056587D" w:rsidRPr="001E5E09">
          <w:rPr>
            <w:rStyle w:val="Hyperlink"/>
          </w:rPr>
          <w:t xml:space="preserve">Appendix A </w:t>
        </w:r>
        <w:r w:rsidR="0056587D" w:rsidRPr="001E5E09">
          <w:rPr>
            <w:rStyle w:val="Hyperlink"/>
            <w:rFonts w:cs="Arial"/>
          </w:rPr>
          <w:t>−</w:t>
        </w:r>
        <w:r w:rsidR="0056587D" w:rsidRPr="001E5E09">
          <w:rPr>
            <w:rStyle w:val="Hyperlink"/>
          </w:rPr>
          <w:t xml:space="preserve"> Transitional arrangements</w:t>
        </w:r>
        <w:r w:rsidR="0056587D">
          <w:rPr>
            <w:webHidden/>
          </w:rPr>
          <w:tab/>
        </w:r>
        <w:r w:rsidR="0056587D">
          <w:rPr>
            <w:webHidden/>
          </w:rPr>
          <w:fldChar w:fldCharType="begin"/>
        </w:r>
        <w:r w:rsidR="0056587D">
          <w:rPr>
            <w:webHidden/>
          </w:rPr>
          <w:instrText xml:space="preserve"> PAGEREF _Toc459018833 \h </w:instrText>
        </w:r>
        <w:r w:rsidR="0056587D">
          <w:rPr>
            <w:webHidden/>
          </w:rPr>
        </w:r>
        <w:r w:rsidR="0056587D">
          <w:rPr>
            <w:webHidden/>
          </w:rPr>
          <w:fldChar w:fldCharType="separate"/>
        </w:r>
        <w:r w:rsidR="0056587D">
          <w:rPr>
            <w:webHidden/>
          </w:rPr>
          <w:t>12</w:t>
        </w:r>
        <w:r w:rsidR="0056587D">
          <w:rPr>
            <w:webHidden/>
          </w:rPr>
          <w:fldChar w:fldCharType="end"/>
        </w:r>
      </w:hyperlink>
    </w:p>
    <w:p w:rsidR="0020492C" w:rsidRDefault="00A75077"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r>
        <w:fldChar w:fldCharType="end"/>
      </w:r>
      <w:bookmarkStart w:id="1" w:name="_Toc213047617"/>
    </w:p>
    <w:p w:rsidR="0020492C" w:rsidRDefault="00067353" w:rsidP="00562632">
      <w:pPr>
        <w:pStyle w:val="Heading1"/>
      </w:pPr>
      <w:bookmarkStart w:id="2" w:name="_Toc459018796"/>
      <w:r>
        <w:lastRenderedPageBreak/>
        <w:t>Nature and authority</w:t>
      </w:r>
      <w:bookmarkEnd w:id="1"/>
      <w:bookmarkEnd w:id="2"/>
    </w:p>
    <w:p w:rsidR="00067353" w:rsidRDefault="00067353" w:rsidP="002E1BE5">
      <w:pPr>
        <w:pStyle w:val="Heading2"/>
      </w:pPr>
      <w:bookmarkStart w:id="3" w:name="_Ref455509520"/>
      <w:bookmarkStart w:id="4" w:name="_Toc459018797"/>
      <w:r>
        <w:t>Application of this guideline</w:t>
      </w:r>
      <w:bookmarkEnd w:id="3"/>
      <w:bookmarkEnd w:id="4"/>
    </w:p>
    <w:p w:rsidR="008120E3" w:rsidRDefault="008120E3" w:rsidP="00067353">
      <w:r>
        <w:t>This Electricity Distribution Ring-fencing Guideline (</w:t>
      </w:r>
      <w:r w:rsidRPr="00B7361F">
        <w:rPr>
          <w:rStyle w:val="Strong"/>
        </w:rPr>
        <w:t>Guideline</w:t>
      </w:r>
      <w:r>
        <w:t xml:space="preserve">) is made under </w:t>
      </w:r>
      <w:r w:rsidR="00B96F8B">
        <w:t xml:space="preserve">clause 6.17.2 </w:t>
      </w:r>
      <w:r>
        <w:t>of the National Electricity Rules</w:t>
      </w:r>
      <w:r w:rsidR="001376CF">
        <w:t xml:space="preserve"> (</w:t>
      </w:r>
      <w:r w:rsidR="001376CF" w:rsidRPr="00064610">
        <w:rPr>
          <w:rStyle w:val="Strong"/>
        </w:rPr>
        <w:t>NER</w:t>
      </w:r>
      <w:r w:rsidR="001376CF">
        <w:t>)</w:t>
      </w:r>
      <w:r>
        <w:t>.</w:t>
      </w:r>
    </w:p>
    <w:p w:rsidR="008120E3" w:rsidRDefault="001376CF" w:rsidP="00067353">
      <w:r>
        <w:t xml:space="preserve">Under clause </w:t>
      </w:r>
      <w:r w:rsidR="00B96F8B">
        <w:t>6.17.1</w:t>
      </w:r>
      <w:r>
        <w:t xml:space="preserve"> of the </w:t>
      </w:r>
      <w:r w:rsidRPr="002F23E9">
        <w:rPr>
          <w:rStyle w:val="Strong"/>
        </w:rPr>
        <w:t>NER</w:t>
      </w:r>
      <w:r>
        <w:t xml:space="preserve">, this </w:t>
      </w:r>
      <w:r w:rsidRPr="002F23E9">
        <w:rPr>
          <w:rStyle w:val="Strong"/>
        </w:rPr>
        <w:t>Guideline</w:t>
      </w:r>
      <w:r>
        <w:t xml:space="preserve"> is binding on all </w:t>
      </w:r>
      <w:r w:rsidR="008120E3">
        <w:t>Distribution Network Service Providers (</w:t>
      </w:r>
      <w:r w:rsidR="008120E3" w:rsidRPr="00064610">
        <w:rPr>
          <w:rStyle w:val="Strong"/>
        </w:rPr>
        <w:t>DNSP</w:t>
      </w:r>
      <w:r w:rsidR="008120E3">
        <w:t>s).</w:t>
      </w:r>
    </w:p>
    <w:p w:rsidR="00067353" w:rsidRDefault="001376CF" w:rsidP="00B96F8B">
      <w:r>
        <w:t>The o</w:t>
      </w:r>
      <w:r w:rsidR="00067353" w:rsidRPr="00067353">
        <w:t>bjectives</w:t>
      </w:r>
      <w:r>
        <w:t xml:space="preserve"> of this </w:t>
      </w:r>
      <w:r w:rsidRPr="002F23E9">
        <w:rPr>
          <w:rStyle w:val="Strong"/>
        </w:rPr>
        <w:t>Guideline</w:t>
      </w:r>
      <w:r>
        <w:t xml:space="preserve"> </w:t>
      </w:r>
      <w:r w:rsidR="00B96F8B">
        <w:t xml:space="preserve">are to promote the National Electricity Objective by providing for the accounting and functional separation of the provision of </w:t>
      </w:r>
      <w:r w:rsidR="00064610" w:rsidRPr="00064610">
        <w:rPr>
          <w:rStyle w:val="Strong"/>
        </w:rPr>
        <w:t>direct control services</w:t>
      </w:r>
      <w:r w:rsidR="00064610">
        <w:t xml:space="preserve"> </w:t>
      </w:r>
      <w:r w:rsidR="00B96F8B">
        <w:t xml:space="preserve">by </w:t>
      </w:r>
      <w:r w:rsidR="00B96F8B" w:rsidRPr="005B5DFA">
        <w:rPr>
          <w:rStyle w:val="Strong"/>
        </w:rPr>
        <w:t>DNSP</w:t>
      </w:r>
      <w:r w:rsidR="00B96F8B">
        <w:t xml:space="preserve">s from other services provided by them, or </w:t>
      </w:r>
      <w:r w:rsidR="00C56DF7">
        <w:t xml:space="preserve">by </w:t>
      </w:r>
      <w:r w:rsidR="00B96F8B">
        <w:t xml:space="preserve">their </w:t>
      </w:r>
      <w:r w:rsidR="00614558" w:rsidRPr="00971D29">
        <w:rPr>
          <w:rStyle w:val="Strong"/>
        </w:rPr>
        <w:t>related bodies corporate</w:t>
      </w:r>
      <w:r w:rsidR="00B96F8B">
        <w:t>.</w:t>
      </w:r>
      <w:r w:rsidR="00B96F8B" w:rsidRPr="00E070E0">
        <w:t xml:space="preserve"> </w:t>
      </w:r>
      <w:r w:rsidR="00B96F8B">
        <w:t xml:space="preserve">It includes obligations on </w:t>
      </w:r>
      <w:r w:rsidR="00B96F8B" w:rsidRPr="00240E77">
        <w:rPr>
          <w:rStyle w:val="Strong"/>
        </w:rPr>
        <w:t>DNSP</w:t>
      </w:r>
      <w:r w:rsidR="00B96F8B">
        <w:t>s targeted at</w:t>
      </w:r>
      <w:r w:rsidR="00FB0BD5">
        <w:t>:</w:t>
      </w:r>
    </w:p>
    <w:p w:rsidR="008F6CD4" w:rsidRPr="006E645C" w:rsidRDefault="00FB0BD5" w:rsidP="0069009C">
      <w:pPr>
        <w:pStyle w:val="ListBullet"/>
      </w:pPr>
      <w:r w:rsidRPr="003B7E35">
        <w:t>c</w:t>
      </w:r>
      <w:r w:rsidR="008F6CD4" w:rsidRPr="003B7E35">
        <w:t>ross-subsidis</w:t>
      </w:r>
      <w:r w:rsidR="00F62402" w:rsidRPr="003B7E35">
        <w:t>ation</w:t>
      </w:r>
      <w:r w:rsidR="00B96F8B" w:rsidRPr="003B7E35">
        <w:t xml:space="preserve">, with provisions that </w:t>
      </w:r>
      <w:r w:rsidR="008F6CD4" w:rsidRPr="00791D0C">
        <w:t>aim to</w:t>
      </w:r>
      <w:r w:rsidR="00B96F8B" w:rsidRPr="00A51D1C">
        <w:t xml:space="preserve"> prevent a </w:t>
      </w:r>
      <w:r w:rsidR="00B96F8B" w:rsidRPr="00D63DC1">
        <w:rPr>
          <w:rStyle w:val="Strong"/>
        </w:rPr>
        <w:t>DNSP</w:t>
      </w:r>
      <w:r w:rsidR="008F6CD4" w:rsidRPr="006E645C">
        <w:t>:</w:t>
      </w:r>
    </w:p>
    <w:p w:rsidR="008F6CD4" w:rsidRPr="008F6CD4" w:rsidRDefault="008F6CD4" w:rsidP="0069009C">
      <w:pPr>
        <w:pStyle w:val="ListBullet2"/>
      </w:pPr>
      <w:r w:rsidRPr="008F6CD4">
        <w:t xml:space="preserve">providing </w:t>
      </w:r>
      <w:r w:rsidR="00064610" w:rsidRPr="00064610">
        <w:rPr>
          <w:rStyle w:val="Strong"/>
        </w:rPr>
        <w:t>non-network services</w:t>
      </w:r>
      <w:r w:rsidR="00064610" w:rsidRPr="008F6CD4">
        <w:t xml:space="preserve"> </w:t>
      </w:r>
      <w:r w:rsidRPr="008F6CD4">
        <w:t xml:space="preserve">that could be cross-subsidised by its </w:t>
      </w:r>
      <w:r w:rsidR="00064610" w:rsidRPr="00064610">
        <w:rPr>
          <w:rStyle w:val="Strong"/>
        </w:rPr>
        <w:t>network services</w:t>
      </w:r>
      <w:r w:rsidR="00B96F8B">
        <w:t>; or</w:t>
      </w:r>
      <w:r w:rsidRPr="008F6CD4">
        <w:t xml:space="preserve"> </w:t>
      </w:r>
    </w:p>
    <w:p w:rsidR="008F6CD4" w:rsidRPr="00067353" w:rsidRDefault="008F6CD4" w:rsidP="0069009C">
      <w:pPr>
        <w:pStyle w:val="ListBullet2"/>
      </w:pPr>
      <w:r w:rsidRPr="008F6CD4">
        <w:t xml:space="preserve">inefficiently inflating its prices for </w:t>
      </w:r>
      <w:r w:rsidR="00064610" w:rsidRPr="00064610">
        <w:rPr>
          <w:rStyle w:val="Strong"/>
        </w:rPr>
        <w:t>direct control services</w:t>
      </w:r>
      <w:r w:rsidR="00064610" w:rsidRPr="008F6CD4">
        <w:t xml:space="preserve"> </w:t>
      </w:r>
      <w:r w:rsidRPr="008F6CD4">
        <w:t xml:space="preserve">and regulated </w:t>
      </w:r>
      <w:r w:rsidR="00064610" w:rsidRPr="00064610">
        <w:rPr>
          <w:rStyle w:val="Strong"/>
        </w:rPr>
        <w:t>transmission services</w:t>
      </w:r>
      <w:r w:rsidR="00B96F8B">
        <w:t>, and</w:t>
      </w:r>
    </w:p>
    <w:p w:rsidR="008F6CD4" w:rsidRPr="008F6CD4" w:rsidRDefault="008F6CD4" w:rsidP="004C6F0A">
      <w:pPr>
        <w:pStyle w:val="Bulletpoint"/>
      </w:pPr>
      <w:r w:rsidRPr="008F6CD4">
        <w:t>discrimination</w:t>
      </w:r>
      <w:r w:rsidR="00B96F8B">
        <w:t xml:space="preserve">, with provisions that </w:t>
      </w:r>
      <w:r w:rsidR="00B96F8B" w:rsidRPr="008F6CD4">
        <w:t>aim to</w:t>
      </w:r>
      <w:r w:rsidRPr="008F6CD4">
        <w:t>:</w:t>
      </w:r>
    </w:p>
    <w:p w:rsidR="008F6CD4" w:rsidRPr="008F6CD4" w:rsidRDefault="008F6CD4" w:rsidP="0069009C">
      <w:pPr>
        <w:pStyle w:val="ListBullet2"/>
      </w:pPr>
      <w:r w:rsidRPr="008F6CD4">
        <w:t xml:space="preserve">prevent a </w:t>
      </w:r>
      <w:r w:rsidRPr="005B5DFA">
        <w:rPr>
          <w:rStyle w:val="Strong"/>
        </w:rPr>
        <w:t>DNSP</w:t>
      </w:r>
      <w:r w:rsidRPr="008F6CD4">
        <w:t xml:space="preserve"> providing an inappropriate competitive advantage to its own service providers or </w:t>
      </w:r>
      <w:r w:rsidR="00614558" w:rsidRPr="00971D29">
        <w:rPr>
          <w:rStyle w:val="Strong"/>
        </w:rPr>
        <w:t>related bodies corporate</w:t>
      </w:r>
      <w:r w:rsidR="00064610" w:rsidRPr="00971D29">
        <w:rPr>
          <w:rStyle w:val="Strong"/>
        </w:rPr>
        <w:t xml:space="preserve"> </w:t>
      </w:r>
      <w:r w:rsidRPr="008F6CD4">
        <w:t>wh</w:t>
      </w:r>
      <w:r w:rsidR="00064610">
        <w:t xml:space="preserve">ich </w:t>
      </w:r>
      <w:r w:rsidRPr="008F6CD4">
        <w:t xml:space="preserve">provide competitive </w:t>
      </w:r>
      <w:r w:rsidR="00B96F8B">
        <w:t xml:space="preserve">or </w:t>
      </w:r>
      <w:r w:rsidRPr="008F6CD4">
        <w:t xml:space="preserve">contestable </w:t>
      </w:r>
      <w:r w:rsidRPr="002F23E9">
        <w:rPr>
          <w:rStyle w:val="Strong"/>
        </w:rPr>
        <w:t>energy-related</w:t>
      </w:r>
      <w:r w:rsidRPr="008F6CD4">
        <w:t xml:space="preserve"> services</w:t>
      </w:r>
      <w:r w:rsidR="00B96F8B">
        <w:t>; and</w:t>
      </w:r>
      <w:r w:rsidRPr="008F6CD4">
        <w:t xml:space="preserve"> </w:t>
      </w:r>
    </w:p>
    <w:p w:rsidR="008F6CD4" w:rsidRDefault="008F6CD4" w:rsidP="0069009C">
      <w:pPr>
        <w:pStyle w:val="ListBullet2"/>
      </w:pPr>
      <w:r w:rsidRPr="008F6CD4">
        <w:t xml:space="preserve">ensure a </w:t>
      </w:r>
      <w:r w:rsidRPr="005B5DFA">
        <w:rPr>
          <w:rStyle w:val="Strong"/>
        </w:rPr>
        <w:t>DNSP</w:t>
      </w:r>
      <w:r w:rsidRPr="008F6CD4">
        <w:t xml:space="preserve"> treats and protects information it acquires appropriately</w:t>
      </w:r>
      <w:r w:rsidR="00B96F8B">
        <w:t>.</w:t>
      </w:r>
    </w:p>
    <w:p w:rsidR="00067353" w:rsidRDefault="001376CF" w:rsidP="00067353">
      <w:r>
        <w:t xml:space="preserve">This </w:t>
      </w:r>
      <w:r w:rsidRPr="002F23E9">
        <w:rPr>
          <w:rStyle w:val="Strong"/>
        </w:rPr>
        <w:t>Guideline</w:t>
      </w:r>
      <w:r>
        <w:t xml:space="preserve"> c</w:t>
      </w:r>
      <w:r w:rsidR="00067353" w:rsidRPr="00067353">
        <w:t>ommence</w:t>
      </w:r>
      <w:r>
        <w:t xml:space="preserve">s on </w:t>
      </w:r>
      <w:r w:rsidR="00C275B2">
        <w:t>1 December 2016</w:t>
      </w:r>
      <w:r w:rsidR="0035091B">
        <w:t>.</w:t>
      </w:r>
      <w:r w:rsidR="00067353" w:rsidRPr="00067353">
        <w:t xml:space="preserve"> </w:t>
      </w:r>
    </w:p>
    <w:p w:rsidR="00C275B2" w:rsidRDefault="00C275B2" w:rsidP="00C275B2">
      <w:pPr>
        <w:pStyle w:val="Heading2"/>
      </w:pPr>
      <w:bookmarkStart w:id="5" w:name="_Toc459018798"/>
      <w:r w:rsidRPr="00C275B2">
        <w:t>Confidentiality</w:t>
      </w:r>
      <w:bookmarkEnd w:id="5"/>
      <w:r w:rsidRPr="00C275B2">
        <w:t xml:space="preserve"> </w:t>
      </w:r>
    </w:p>
    <w:p w:rsidR="00C275B2" w:rsidRDefault="00C275B2">
      <w:r w:rsidRPr="00C275B2">
        <w:t xml:space="preserve">The </w:t>
      </w:r>
      <w:r w:rsidRPr="00971D29">
        <w:rPr>
          <w:rStyle w:val="Strong"/>
        </w:rPr>
        <w:t>AER</w:t>
      </w:r>
      <w:r w:rsidRPr="00C275B2">
        <w:t xml:space="preserve"> </w:t>
      </w:r>
      <w:r w:rsidR="00771F5E">
        <w:t xml:space="preserve">will assess </w:t>
      </w:r>
      <w:r w:rsidRPr="00C275B2">
        <w:t xml:space="preserve">confidentiality </w:t>
      </w:r>
      <w:r w:rsidR="00771F5E">
        <w:t xml:space="preserve">claims by </w:t>
      </w:r>
      <w:r w:rsidR="00771F5E" w:rsidRPr="008A56CB">
        <w:rPr>
          <w:rStyle w:val="Strong"/>
        </w:rPr>
        <w:t>DNSP</w:t>
      </w:r>
      <w:r w:rsidR="00771F5E">
        <w:t xml:space="preserve">s arising under this </w:t>
      </w:r>
      <w:r w:rsidR="00771F5E" w:rsidRPr="002F23E9">
        <w:rPr>
          <w:rStyle w:val="Strong"/>
        </w:rPr>
        <w:t>Guideline</w:t>
      </w:r>
      <w:r w:rsidR="00771F5E">
        <w:t xml:space="preserve"> in accordance with </w:t>
      </w:r>
      <w:r w:rsidR="00015292">
        <w:t>its</w:t>
      </w:r>
      <w:r w:rsidR="00771F5E">
        <w:t xml:space="preserve"> </w:t>
      </w:r>
      <w:r w:rsidR="00771F5E" w:rsidRPr="008A56CB">
        <w:rPr>
          <w:rStyle w:val="Strong"/>
        </w:rPr>
        <w:t>Confidentiality Guideline</w:t>
      </w:r>
      <w:r w:rsidR="0061564E">
        <w:t xml:space="preserve">, the </w:t>
      </w:r>
      <w:r w:rsidR="0061564E">
        <w:rPr>
          <w:rStyle w:val="Strong"/>
        </w:rPr>
        <w:t xml:space="preserve">Competition and Consumer Act 2010 </w:t>
      </w:r>
      <w:r w:rsidR="0061564E">
        <w:t>and the National Electricity Law (</w:t>
      </w:r>
      <w:r w:rsidR="0061564E" w:rsidRPr="00975452">
        <w:rPr>
          <w:rStyle w:val="Strong"/>
        </w:rPr>
        <w:t>NEL</w:t>
      </w:r>
      <w:r w:rsidR="0061564E">
        <w:t>)</w:t>
      </w:r>
      <w:r w:rsidRPr="00C275B2">
        <w:t>.</w:t>
      </w:r>
    </w:p>
    <w:p w:rsidR="00C275B2" w:rsidRPr="00C275B2" w:rsidRDefault="00C275B2" w:rsidP="00971D29">
      <w:pPr>
        <w:pStyle w:val="Heading2"/>
      </w:pPr>
      <w:bookmarkStart w:id="6" w:name="_Toc459018799"/>
      <w:r w:rsidRPr="00C275B2">
        <w:t>Definitions and interpretation</w:t>
      </w:r>
      <w:bookmarkEnd w:id="6"/>
      <w:r w:rsidRPr="00C275B2">
        <w:t xml:space="preserve"> </w:t>
      </w:r>
    </w:p>
    <w:p w:rsidR="00C275B2" w:rsidRPr="00C275B2" w:rsidRDefault="00C275B2" w:rsidP="00C275B2">
      <w:r w:rsidRPr="00C275B2">
        <w:t>In th</w:t>
      </w:r>
      <w:r w:rsidR="00014D07">
        <w:t>i</w:t>
      </w:r>
      <w:r w:rsidRPr="00C275B2">
        <w:t xml:space="preserve">s </w:t>
      </w:r>
      <w:r w:rsidRPr="0069009C">
        <w:rPr>
          <w:rStyle w:val="Bold"/>
        </w:rPr>
        <w:t>Guideline</w:t>
      </w:r>
      <w:r w:rsidRPr="00C275B2">
        <w:t xml:space="preserve">: </w:t>
      </w:r>
    </w:p>
    <w:p w:rsidR="00C275B2" w:rsidRPr="00C275B2" w:rsidRDefault="00C275B2" w:rsidP="00971D29">
      <w:pPr>
        <w:pStyle w:val="Bulletpoint"/>
      </w:pPr>
      <w:r w:rsidRPr="00C275B2">
        <w:t>The words</w:t>
      </w:r>
      <w:r w:rsidR="00B7361F">
        <w:t xml:space="preserve">, </w:t>
      </w:r>
      <w:r w:rsidRPr="00C275B2">
        <w:t xml:space="preserve">phrases </w:t>
      </w:r>
      <w:r w:rsidR="00B7361F">
        <w:t xml:space="preserve">and abbreviations </w:t>
      </w:r>
      <w:r w:rsidRPr="00C275B2">
        <w:t>presented in</w:t>
      </w:r>
      <w:r w:rsidR="00C86349">
        <w:t xml:space="preserve"> bold</w:t>
      </w:r>
      <w:r w:rsidRPr="00C275B2">
        <w:t xml:space="preserve"> </w:t>
      </w:r>
      <w:r w:rsidRPr="00971D29">
        <w:rPr>
          <w:rStyle w:val="Strong"/>
        </w:rPr>
        <w:t>such as this</w:t>
      </w:r>
      <w:r w:rsidRPr="00C275B2">
        <w:t xml:space="preserve"> have the meaning given to them in</w:t>
      </w:r>
      <w:r w:rsidR="00D851C9">
        <w:t xml:space="preserve"> the </w:t>
      </w:r>
      <w:r w:rsidR="00D851C9" w:rsidRPr="00D851C9">
        <w:rPr>
          <w:rStyle w:val="Strong"/>
        </w:rPr>
        <w:t>NER</w:t>
      </w:r>
      <w:r w:rsidRPr="00C275B2">
        <w:t xml:space="preserve">: </w:t>
      </w:r>
    </w:p>
    <w:p w:rsidR="00C275B2" w:rsidRPr="00067353" w:rsidRDefault="00C275B2" w:rsidP="00971D29">
      <w:pPr>
        <w:pStyle w:val="Bulletpoint"/>
      </w:pPr>
      <w:r w:rsidRPr="00C275B2">
        <w:t xml:space="preserve">The words ‘shall’ and ‘must’ indicate mandatory requirements, unless the overall meaning of the phrase in which one of these words appears, is otherwise. Explanations in </w:t>
      </w:r>
      <w:r w:rsidR="00014D07">
        <w:t xml:space="preserve">this </w:t>
      </w:r>
      <w:r w:rsidR="00014D07" w:rsidRPr="0069009C">
        <w:rPr>
          <w:rStyle w:val="Bold"/>
        </w:rPr>
        <w:t>Guideline</w:t>
      </w:r>
      <w:r w:rsidR="00014D07">
        <w:t xml:space="preserve"> </w:t>
      </w:r>
      <w:r w:rsidRPr="00C275B2">
        <w:t xml:space="preserve">about why certain information is required are provided for guidance only. They do not limit in any way the </w:t>
      </w:r>
      <w:r w:rsidRPr="0069009C">
        <w:rPr>
          <w:rStyle w:val="Bold"/>
        </w:rPr>
        <w:t>AER</w:t>
      </w:r>
      <w:r w:rsidRPr="00C275B2">
        <w:t>’s objectives, functions or powers.</w:t>
      </w:r>
    </w:p>
    <w:p w:rsidR="00C275B2" w:rsidRPr="00C275B2" w:rsidRDefault="002C25FF" w:rsidP="00C275B2">
      <w:pPr>
        <w:pStyle w:val="Heading2"/>
      </w:pPr>
      <w:bookmarkStart w:id="7" w:name="_Toc455509600"/>
      <w:bookmarkStart w:id="8" w:name="_Toc455509655"/>
      <w:bookmarkStart w:id="9" w:name="_Toc459018800"/>
      <w:bookmarkEnd w:id="7"/>
      <w:bookmarkEnd w:id="8"/>
      <w:r>
        <w:lastRenderedPageBreak/>
        <w:t>Process for r</w:t>
      </w:r>
      <w:r w:rsidR="00C275B2" w:rsidRPr="00C275B2">
        <w:t>evisions</w:t>
      </w:r>
      <w:bookmarkEnd w:id="9"/>
      <w:r w:rsidR="00C275B2" w:rsidRPr="00C275B2">
        <w:t xml:space="preserve"> </w:t>
      </w:r>
    </w:p>
    <w:p w:rsidR="00C275B2" w:rsidRPr="00C275B2" w:rsidRDefault="00C275B2">
      <w:r w:rsidRPr="00C275B2">
        <w:t xml:space="preserve">The </w:t>
      </w:r>
      <w:r w:rsidRPr="00971D29">
        <w:rPr>
          <w:rStyle w:val="Strong"/>
        </w:rPr>
        <w:t>AER</w:t>
      </w:r>
      <w:r w:rsidRPr="00C275B2">
        <w:t xml:space="preserve"> may amend or replace </w:t>
      </w:r>
      <w:r w:rsidR="00014D07">
        <w:t xml:space="preserve">this </w:t>
      </w:r>
      <w:r w:rsidR="00014D07" w:rsidRPr="0069009C">
        <w:rPr>
          <w:rStyle w:val="Bold"/>
        </w:rPr>
        <w:t>Guideline</w:t>
      </w:r>
      <w:r w:rsidRPr="00C275B2">
        <w:t xml:space="preserve"> from time to time to meet changing needs, in accordance with</w:t>
      </w:r>
      <w:r>
        <w:t xml:space="preserve"> clause </w:t>
      </w:r>
      <w:r w:rsidRPr="00C275B2">
        <w:t>6.1</w:t>
      </w:r>
      <w:r w:rsidR="00C86349">
        <w:t>7.2</w:t>
      </w:r>
      <w:r w:rsidRPr="00C275B2">
        <w:t xml:space="preserve"> of the </w:t>
      </w:r>
      <w:r w:rsidRPr="00971D29">
        <w:rPr>
          <w:rStyle w:val="Strong"/>
        </w:rPr>
        <w:t>NER</w:t>
      </w:r>
      <w:r w:rsidRPr="00C275B2">
        <w:t xml:space="preserve"> and the </w:t>
      </w:r>
      <w:r w:rsidRPr="00971D29">
        <w:rPr>
          <w:rStyle w:val="Strong"/>
        </w:rPr>
        <w:t>distribution consultation procedures</w:t>
      </w:r>
      <w:r w:rsidRPr="00C275B2">
        <w:t xml:space="preserve">.   </w:t>
      </w:r>
    </w:p>
    <w:p w:rsidR="00C275B2" w:rsidRPr="00067353" w:rsidRDefault="00C275B2" w:rsidP="00067353"/>
    <w:p w:rsidR="0020492C" w:rsidRDefault="00067353" w:rsidP="008120E3">
      <w:pPr>
        <w:pStyle w:val="Heading1"/>
      </w:pPr>
      <w:bookmarkStart w:id="10" w:name="_Toc459018801"/>
      <w:r>
        <w:lastRenderedPageBreak/>
        <w:t>Relationship with other regulatory instruments</w:t>
      </w:r>
      <w:bookmarkEnd w:id="10"/>
    </w:p>
    <w:p w:rsidR="009A3ABB" w:rsidRDefault="00AB6843" w:rsidP="00067353">
      <w:r>
        <w:t xml:space="preserve">This </w:t>
      </w:r>
      <w:r w:rsidRPr="0069009C">
        <w:rPr>
          <w:rStyle w:val="Bold"/>
        </w:rPr>
        <w:t>Guideline</w:t>
      </w:r>
      <w:r>
        <w:t xml:space="preserve"> should be read in conjunction with</w:t>
      </w:r>
      <w:r w:rsidR="009A3ABB">
        <w:t>:</w:t>
      </w:r>
    </w:p>
    <w:p w:rsidR="009A3ABB" w:rsidRPr="003B7E35" w:rsidRDefault="006B045F" w:rsidP="003B7E35">
      <w:pPr>
        <w:pStyle w:val="Listalphabet"/>
      </w:pPr>
      <w:r w:rsidRPr="003B7E35">
        <w:t xml:space="preserve">The decision in </w:t>
      </w:r>
      <w:r w:rsidR="00AD78D2" w:rsidRPr="003B7E35">
        <w:t xml:space="preserve">the </w:t>
      </w:r>
      <w:r w:rsidR="00AD78D2" w:rsidRPr="0069009C">
        <w:rPr>
          <w:rStyle w:val="Bold"/>
        </w:rPr>
        <w:t>AER</w:t>
      </w:r>
      <w:r w:rsidR="00AD78D2" w:rsidRPr="003B7E35">
        <w:t xml:space="preserve">'s </w:t>
      </w:r>
      <w:r w:rsidRPr="003B7E35">
        <w:rPr>
          <w:rStyle w:val="Strong"/>
          <w:b w:val="0"/>
          <w:bCs w:val="0"/>
        </w:rPr>
        <w:t>distribution determination</w:t>
      </w:r>
      <w:r w:rsidRPr="00791D0C">
        <w:t xml:space="preserve"> on the classification of the services to be provided by a </w:t>
      </w:r>
      <w:r w:rsidRPr="0069009C">
        <w:rPr>
          <w:rStyle w:val="Bold"/>
        </w:rPr>
        <w:t>DNSP</w:t>
      </w:r>
      <w:r w:rsidRPr="003B7E35">
        <w:t xml:space="preserve"> </w:t>
      </w:r>
      <w:r w:rsidR="00AD78D2" w:rsidRPr="003B7E35">
        <w:t>in</w:t>
      </w:r>
      <w:r w:rsidRPr="00791D0C">
        <w:t xml:space="preserve"> a </w:t>
      </w:r>
      <w:r w:rsidRPr="0069009C">
        <w:rPr>
          <w:rStyle w:val="Bold"/>
        </w:rPr>
        <w:t>regulatory control period</w:t>
      </w:r>
      <w:r w:rsidR="005637F7" w:rsidRPr="003B7E35">
        <w:t xml:space="preserve">, in accordance with clauses 6.2 and 6.12.1(1) of the </w:t>
      </w:r>
      <w:r w:rsidR="005637F7" w:rsidRPr="0069009C">
        <w:rPr>
          <w:rStyle w:val="Bold"/>
        </w:rPr>
        <w:t>NER</w:t>
      </w:r>
      <w:r w:rsidRPr="003B7E35">
        <w:t>;</w:t>
      </w:r>
    </w:p>
    <w:p w:rsidR="009A3ABB" w:rsidRPr="003B7E35" w:rsidRDefault="009A3ABB" w:rsidP="003B7E35">
      <w:pPr>
        <w:pStyle w:val="Listalphabet"/>
      </w:pPr>
      <w:r w:rsidRPr="00791D0C">
        <w:t xml:space="preserve">Clause </w:t>
      </w:r>
      <w:r w:rsidR="00AB6843" w:rsidRPr="00A51D1C">
        <w:t>6.15</w:t>
      </w:r>
      <w:r w:rsidRPr="00A51D1C">
        <w:t xml:space="preserve"> of the </w:t>
      </w:r>
      <w:r w:rsidRPr="0069009C">
        <w:rPr>
          <w:rStyle w:val="Bold"/>
        </w:rPr>
        <w:t>NER</w:t>
      </w:r>
      <w:r w:rsidR="00AB6843" w:rsidRPr="003B7E35">
        <w:t xml:space="preserve">, the </w:t>
      </w:r>
      <w:r w:rsidR="00AB6843" w:rsidRPr="0069009C">
        <w:rPr>
          <w:rStyle w:val="Bold"/>
        </w:rPr>
        <w:t>Cost Allocation Guideline</w:t>
      </w:r>
      <w:r w:rsidRPr="00791D0C">
        <w:t xml:space="preserve"> and the </w:t>
      </w:r>
      <w:r w:rsidR="00AB6843" w:rsidRPr="0069009C">
        <w:rPr>
          <w:rStyle w:val="Bold"/>
        </w:rPr>
        <w:t>AER</w:t>
      </w:r>
      <w:r w:rsidR="007D29F2" w:rsidRPr="00A51D1C">
        <w:t>-</w:t>
      </w:r>
      <w:r w:rsidR="00AB6843" w:rsidRPr="006E645C">
        <w:t xml:space="preserve">approved </w:t>
      </w:r>
      <w:r w:rsidR="00947A7B" w:rsidRPr="0069009C">
        <w:rPr>
          <w:rStyle w:val="Bold"/>
        </w:rPr>
        <w:t>Cost Allocation Methods</w:t>
      </w:r>
      <w:r w:rsidR="00947A7B" w:rsidRPr="006E645C">
        <w:t xml:space="preserve"> </w:t>
      </w:r>
      <w:r w:rsidR="00B7361F" w:rsidRPr="006E645C">
        <w:t>(</w:t>
      </w:r>
      <w:r w:rsidR="00B7361F" w:rsidRPr="0069009C">
        <w:rPr>
          <w:rStyle w:val="Bold"/>
        </w:rPr>
        <w:t>CAM</w:t>
      </w:r>
      <w:r w:rsidR="00B7361F" w:rsidRPr="003B7E35">
        <w:t>);</w:t>
      </w:r>
    </w:p>
    <w:p w:rsidR="009A3ABB" w:rsidRPr="003B7E35" w:rsidRDefault="009A3ABB" w:rsidP="00791D0C">
      <w:pPr>
        <w:pStyle w:val="Listalphabet"/>
      </w:pPr>
      <w:r w:rsidRPr="00791D0C">
        <w:t xml:space="preserve">Clause </w:t>
      </w:r>
      <w:r w:rsidR="005B5DFA" w:rsidRPr="00A51D1C">
        <w:t>6.4.4</w:t>
      </w:r>
      <w:r w:rsidR="00AB6843" w:rsidRPr="00A51D1C">
        <w:t xml:space="preserve"> </w:t>
      </w:r>
      <w:r w:rsidRPr="006E645C">
        <w:t xml:space="preserve">of the </w:t>
      </w:r>
      <w:r w:rsidRPr="0069009C">
        <w:rPr>
          <w:rStyle w:val="Bold"/>
        </w:rPr>
        <w:t>NER</w:t>
      </w:r>
      <w:r w:rsidRPr="006E645C">
        <w:t xml:space="preserve"> </w:t>
      </w:r>
      <w:r w:rsidR="00AB6843" w:rsidRPr="006E645C">
        <w:t xml:space="preserve">and the </w:t>
      </w:r>
      <w:r w:rsidR="00AB6843" w:rsidRPr="0069009C">
        <w:rPr>
          <w:rStyle w:val="Bold"/>
        </w:rPr>
        <w:t>Shared Asset Guideline</w:t>
      </w:r>
      <w:r w:rsidRPr="003B7E35">
        <w:t>;</w:t>
      </w:r>
    </w:p>
    <w:p w:rsidR="00AB6843" w:rsidRPr="003B7E35" w:rsidRDefault="00C86349" w:rsidP="00A51D1C">
      <w:pPr>
        <w:pStyle w:val="Listalphabet"/>
      </w:pPr>
      <w:r w:rsidRPr="00791D0C">
        <w:t>A</w:t>
      </w:r>
      <w:r w:rsidRPr="00F35B85">
        <w:rPr>
          <w:rStyle w:val="Strong"/>
          <w:b w:val="0"/>
          <w:bCs w:val="0"/>
        </w:rPr>
        <w:t xml:space="preserve"> </w:t>
      </w:r>
      <w:r w:rsidR="009A3ABB" w:rsidRPr="0069009C">
        <w:rPr>
          <w:rStyle w:val="Bold"/>
        </w:rPr>
        <w:t>Regulatory Information Instrument</w:t>
      </w:r>
      <w:r w:rsidR="009A3ABB" w:rsidRPr="003B7E35">
        <w:t xml:space="preserve"> served </w:t>
      </w:r>
      <w:r w:rsidR="00AD78D2" w:rsidRPr="003B7E35">
        <w:t xml:space="preserve">on </w:t>
      </w:r>
      <w:r w:rsidRPr="00791D0C">
        <w:t xml:space="preserve">a </w:t>
      </w:r>
      <w:r w:rsidR="00AD78D2" w:rsidRPr="0069009C">
        <w:rPr>
          <w:rStyle w:val="Bold"/>
        </w:rPr>
        <w:t>DNSP</w:t>
      </w:r>
      <w:r w:rsidR="00AD78D2" w:rsidRPr="003B7E35">
        <w:t xml:space="preserve"> </w:t>
      </w:r>
      <w:r w:rsidR="009A3ABB" w:rsidRPr="003B7E35">
        <w:t xml:space="preserve">by the </w:t>
      </w:r>
      <w:r w:rsidR="009A3ABB" w:rsidRPr="0069009C">
        <w:rPr>
          <w:rStyle w:val="Bold"/>
        </w:rPr>
        <w:t>AER</w:t>
      </w:r>
      <w:r w:rsidR="009A3ABB" w:rsidRPr="003B7E35">
        <w:t xml:space="preserve"> under section 28F of the</w:t>
      </w:r>
      <w:r w:rsidR="00B7361F" w:rsidRPr="003B7E35">
        <w:t xml:space="preserve"> </w:t>
      </w:r>
      <w:r w:rsidR="00B7361F" w:rsidRPr="0069009C">
        <w:rPr>
          <w:rStyle w:val="Bold"/>
        </w:rPr>
        <w:t>NEL</w:t>
      </w:r>
      <w:r w:rsidR="0061564E" w:rsidRPr="003B7E35">
        <w:t>.</w:t>
      </w:r>
    </w:p>
    <w:p w:rsidR="00AB6843" w:rsidRDefault="007D29F2" w:rsidP="00067353">
      <w:r>
        <w:t>T</w:t>
      </w:r>
      <w:r w:rsidR="00AB6843">
        <w:t xml:space="preserve">ogether, </w:t>
      </w:r>
      <w:r>
        <w:t xml:space="preserve">these instruments </w:t>
      </w:r>
      <w:r w:rsidR="00AB6843">
        <w:t>achieve the desired ring-fencing outcome</w:t>
      </w:r>
      <w:r>
        <w:t>s</w:t>
      </w:r>
      <w:r w:rsidR="00AB6843">
        <w:t xml:space="preserve"> in the long term interest of consumers</w:t>
      </w:r>
      <w:r w:rsidR="004C6F0A">
        <w:t>.</w:t>
      </w:r>
    </w:p>
    <w:p w:rsidR="00043437" w:rsidRPr="00043437" w:rsidRDefault="00043437" w:rsidP="00043437">
      <w:r w:rsidRPr="00043437">
        <w:t xml:space="preserve">The </w:t>
      </w:r>
      <w:r w:rsidRPr="00971D29">
        <w:rPr>
          <w:rStyle w:val="Strong"/>
        </w:rPr>
        <w:t>AER</w:t>
      </w:r>
      <w:r w:rsidRPr="00043437">
        <w:t xml:space="preserve">'s service classification decision determines the nature of </w:t>
      </w:r>
      <w:r w:rsidR="00AD78D2">
        <w:t xml:space="preserve">the </w:t>
      </w:r>
      <w:r w:rsidRPr="00043437">
        <w:t xml:space="preserve">economic regulation, if any, applicable to </w:t>
      </w:r>
      <w:r w:rsidR="00A5782E">
        <w:t xml:space="preserve">a </w:t>
      </w:r>
      <w:r w:rsidR="00A5782E" w:rsidRPr="00971D29">
        <w:rPr>
          <w:rStyle w:val="Strong"/>
        </w:rPr>
        <w:t>DNSP</w:t>
      </w:r>
      <w:r w:rsidR="00A5782E">
        <w:t xml:space="preserve">'s </w:t>
      </w:r>
      <w:r w:rsidRPr="00043437">
        <w:t xml:space="preserve">specific </w:t>
      </w:r>
      <w:r w:rsidRPr="00971D29">
        <w:rPr>
          <w:rStyle w:val="Strong"/>
        </w:rPr>
        <w:t>distribution services</w:t>
      </w:r>
      <w:r w:rsidRPr="00043437">
        <w:t xml:space="preserve">. </w:t>
      </w:r>
      <w:r>
        <w:t>The</w:t>
      </w:r>
      <w:r w:rsidRPr="00043437">
        <w:t xml:space="preserve"> classification </w:t>
      </w:r>
      <w:r w:rsidR="0027408D">
        <w:t xml:space="preserve">affects the application of </w:t>
      </w:r>
      <w:r>
        <w:t>obligations</w:t>
      </w:r>
      <w:r w:rsidR="00181056">
        <w:t xml:space="preserve"> in clause 4.2 of</w:t>
      </w:r>
      <w:r>
        <w:t xml:space="preserve"> this </w:t>
      </w:r>
      <w:r w:rsidRPr="0069009C">
        <w:rPr>
          <w:rStyle w:val="Bold"/>
        </w:rPr>
        <w:t>Guideline</w:t>
      </w:r>
      <w:r>
        <w:t>.</w:t>
      </w:r>
    </w:p>
    <w:p w:rsidR="00043437" w:rsidRPr="00043437" w:rsidRDefault="00043437" w:rsidP="00043437">
      <w:r w:rsidRPr="00043437">
        <w:t xml:space="preserve">The </w:t>
      </w:r>
      <w:r w:rsidRPr="00971D29">
        <w:rPr>
          <w:rStyle w:val="Strong"/>
        </w:rPr>
        <w:t>Cost Allocation Guideline</w:t>
      </w:r>
      <w:r w:rsidRPr="00043437">
        <w:t xml:space="preserve"> and </w:t>
      </w:r>
      <w:r w:rsidR="00AD78D2">
        <w:t xml:space="preserve">a </w:t>
      </w:r>
      <w:r w:rsidR="00AD78D2" w:rsidRPr="00971D29">
        <w:rPr>
          <w:rStyle w:val="Strong"/>
        </w:rPr>
        <w:t>DNSP</w:t>
      </w:r>
      <w:r w:rsidR="00AD78D2">
        <w:t xml:space="preserve">'s </w:t>
      </w:r>
      <w:r w:rsidRPr="00971D29">
        <w:rPr>
          <w:rStyle w:val="Strong"/>
        </w:rPr>
        <w:t>CAM</w:t>
      </w:r>
      <w:r w:rsidRPr="00043437">
        <w:t xml:space="preserve"> relate to the allocation and attribution of </w:t>
      </w:r>
      <w:r w:rsidR="00AD78D2">
        <w:t xml:space="preserve">its </w:t>
      </w:r>
      <w:r w:rsidRPr="00043437">
        <w:t xml:space="preserve">costs between </w:t>
      </w:r>
      <w:r w:rsidR="00AD78D2">
        <w:t xml:space="preserve">its </w:t>
      </w:r>
      <w:r w:rsidRPr="00971D29">
        <w:rPr>
          <w:rStyle w:val="Strong"/>
        </w:rPr>
        <w:t>distribution services</w:t>
      </w:r>
      <w:r w:rsidRPr="00043437">
        <w:t>.</w:t>
      </w:r>
      <w:r>
        <w:t xml:space="preserve"> They complement the obligations in clause </w:t>
      </w:r>
      <w:r w:rsidR="00E128D2">
        <w:t xml:space="preserve">3.2.2 </w:t>
      </w:r>
      <w:r>
        <w:t xml:space="preserve">of this </w:t>
      </w:r>
      <w:r w:rsidRPr="0069009C">
        <w:rPr>
          <w:rStyle w:val="Bold"/>
        </w:rPr>
        <w:t>Guideline</w:t>
      </w:r>
      <w:r w:rsidR="00AD78D2">
        <w:t>, which</w:t>
      </w:r>
      <w:r>
        <w:t xml:space="preserve"> </w:t>
      </w:r>
      <w:r w:rsidR="00AD78D2">
        <w:t xml:space="preserve">relate </w:t>
      </w:r>
      <w:r>
        <w:t xml:space="preserve">to the allocation and attribution of a </w:t>
      </w:r>
      <w:r w:rsidRPr="00971D29">
        <w:rPr>
          <w:rStyle w:val="Strong"/>
        </w:rPr>
        <w:t>DNSP</w:t>
      </w:r>
      <w:r>
        <w:t xml:space="preserve">'s costs between </w:t>
      </w:r>
      <w:r w:rsidRPr="00971D29">
        <w:rPr>
          <w:rStyle w:val="Strong"/>
        </w:rPr>
        <w:t>distribution services</w:t>
      </w:r>
      <w:r>
        <w:t xml:space="preserve"> and </w:t>
      </w:r>
      <w:r w:rsidRPr="0069009C">
        <w:rPr>
          <w:rStyle w:val="Bold"/>
        </w:rPr>
        <w:t>non-distribution services</w:t>
      </w:r>
      <w:r>
        <w:t>.</w:t>
      </w:r>
    </w:p>
    <w:p w:rsidR="00043437" w:rsidRDefault="00043437" w:rsidP="00043437">
      <w:r>
        <w:t xml:space="preserve">The </w:t>
      </w:r>
      <w:r w:rsidR="00A5782E" w:rsidRPr="00971D29">
        <w:rPr>
          <w:rStyle w:val="Strong"/>
        </w:rPr>
        <w:t>Shared Asset Guideline</w:t>
      </w:r>
      <w:r w:rsidR="00A5782E">
        <w:t xml:space="preserve"> enables the </w:t>
      </w:r>
      <w:r w:rsidR="00EA353B">
        <w:t xml:space="preserve">adjustment of </w:t>
      </w:r>
      <w:r w:rsidR="00A5782E">
        <w:t xml:space="preserve">a </w:t>
      </w:r>
      <w:r w:rsidR="00A5782E" w:rsidRPr="00971D29">
        <w:rPr>
          <w:rStyle w:val="Strong"/>
        </w:rPr>
        <w:t>DNSP</w:t>
      </w:r>
      <w:r w:rsidR="003A09C0">
        <w:rPr>
          <w:rStyle w:val="Strong"/>
        </w:rPr>
        <w:t>'s</w:t>
      </w:r>
      <w:r w:rsidR="00A5782E">
        <w:t xml:space="preserve"> </w:t>
      </w:r>
      <w:r w:rsidR="00EA353B">
        <w:t xml:space="preserve">revenues that it </w:t>
      </w:r>
      <w:r w:rsidR="00A5782E">
        <w:t xml:space="preserve">can recover from its </w:t>
      </w:r>
      <w:r w:rsidR="00A5782E" w:rsidRPr="00971D29">
        <w:rPr>
          <w:rStyle w:val="Strong"/>
        </w:rPr>
        <w:t>distribution services</w:t>
      </w:r>
      <w:r w:rsidR="00A5782E">
        <w:t xml:space="preserve"> where its </w:t>
      </w:r>
      <w:r w:rsidR="00A5782E" w:rsidRPr="00971D29">
        <w:rPr>
          <w:rStyle w:val="Strong"/>
        </w:rPr>
        <w:t>CAM</w:t>
      </w:r>
      <w:r w:rsidR="00A5782E">
        <w:t xml:space="preserve"> no longer accurately reflects how its assets are used</w:t>
      </w:r>
      <w:r w:rsidRPr="00043437">
        <w:t>.</w:t>
      </w:r>
      <w:r w:rsidR="00AD78D2">
        <w:t xml:space="preserve"> The shared asset mechanism therefore modifi</w:t>
      </w:r>
      <w:r w:rsidR="004775DA">
        <w:t xml:space="preserve">es the effect of the </w:t>
      </w:r>
      <w:r w:rsidR="004775DA" w:rsidRPr="00971D29">
        <w:rPr>
          <w:rStyle w:val="Strong"/>
        </w:rPr>
        <w:t>CAM</w:t>
      </w:r>
      <w:r w:rsidR="004775DA">
        <w:t>.</w:t>
      </w:r>
    </w:p>
    <w:p w:rsidR="00A5782E" w:rsidRDefault="00A5782E" w:rsidP="00043437">
      <w:r>
        <w:t xml:space="preserve">The </w:t>
      </w:r>
      <w:r w:rsidRPr="00971D29">
        <w:rPr>
          <w:rStyle w:val="Strong"/>
        </w:rPr>
        <w:t>Regulatory Information Instruments</w:t>
      </w:r>
      <w:r>
        <w:t xml:space="preserve"> can require a </w:t>
      </w:r>
      <w:r w:rsidRPr="00971D29">
        <w:rPr>
          <w:rStyle w:val="Strong"/>
        </w:rPr>
        <w:t>DNSP</w:t>
      </w:r>
      <w:r>
        <w:t xml:space="preserve"> to provide </w:t>
      </w:r>
      <w:r w:rsidR="00AD78D2">
        <w:t xml:space="preserve">information to the </w:t>
      </w:r>
      <w:r w:rsidR="00AD78D2" w:rsidRPr="00971D29">
        <w:rPr>
          <w:rStyle w:val="Strong"/>
        </w:rPr>
        <w:t>AER</w:t>
      </w:r>
      <w:r w:rsidR="00AD78D2">
        <w:t xml:space="preserve"> and to have this information certified and audited. This </w:t>
      </w:r>
      <w:r w:rsidR="00AD78D2" w:rsidRPr="00AD78D2">
        <w:t xml:space="preserve">can </w:t>
      </w:r>
      <w:r w:rsidR="00AD78D2">
        <w:t xml:space="preserve">include information that is subject to ring-fencing obligations under this </w:t>
      </w:r>
      <w:r w:rsidR="00AD78D2" w:rsidRPr="0069009C">
        <w:rPr>
          <w:rStyle w:val="Bold"/>
        </w:rPr>
        <w:t>Guideline</w:t>
      </w:r>
      <w:r w:rsidR="00AD78D2">
        <w:t>.</w:t>
      </w:r>
    </w:p>
    <w:p w:rsidR="00043437" w:rsidRDefault="00043437" w:rsidP="00067353"/>
    <w:p w:rsidR="00043437" w:rsidRDefault="00043437" w:rsidP="00067353"/>
    <w:p w:rsidR="00067353" w:rsidRPr="00067353" w:rsidRDefault="00A0171C" w:rsidP="008120E3">
      <w:pPr>
        <w:pStyle w:val="Heading1"/>
      </w:pPr>
      <w:bookmarkStart w:id="11" w:name="_Toc459018802"/>
      <w:r>
        <w:lastRenderedPageBreak/>
        <w:t>Prevention of cross subsidies</w:t>
      </w:r>
      <w:bookmarkEnd w:id="11"/>
    </w:p>
    <w:p w:rsidR="00067353" w:rsidRDefault="00067353" w:rsidP="008120E3">
      <w:pPr>
        <w:pStyle w:val="Heading2"/>
      </w:pPr>
      <w:bookmarkStart w:id="12" w:name="_Toc459018803"/>
      <w:r w:rsidRPr="00067353">
        <w:t>Legal separation</w:t>
      </w:r>
      <w:bookmarkEnd w:id="12"/>
    </w:p>
    <w:p w:rsidR="00896280" w:rsidRDefault="00C56DF7" w:rsidP="003B7E35">
      <w:pPr>
        <w:pStyle w:val="Listalphabet"/>
        <w:numPr>
          <w:ilvl w:val="0"/>
          <w:numId w:val="57"/>
        </w:numPr>
      </w:pPr>
      <w:r w:rsidRPr="003B7E35">
        <w:t xml:space="preserve">A </w:t>
      </w:r>
      <w:r w:rsidR="00B47868" w:rsidRPr="0069009C">
        <w:rPr>
          <w:rStyle w:val="Bold"/>
        </w:rPr>
        <w:t>DNSP</w:t>
      </w:r>
      <w:r w:rsidR="00B47868" w:rsidRPr="003B7E35">
        <w:t xml:space="preserve"> </w:t>
      </w:r>
      <w:r w:rsidRPr="003B7E35">
        <w:t xml:space="preserve">must </w:t>
      </w:r>
      <w:r w:rsidR="009D3BA6">
        <w:t>be a legal entity and</w:t>
      </w:r>
      <w:r w:rsidR="00896280">
        <w:t>, subject to clause 3.1(b)</w:t>
      </w:r>
      <w:r w:rsidR="00B936D7">
        <w:t>,</w:t>
      </w:r>
      <w:r w:rsidR="00896280">
        <w:t xml:space="preserve"> must </w:t>
      </w:r>
      <w:r w:rsidR="0061564E" w:rsidRPr="003B7E35">
        <w:t>only</w:t>
      </w:r>
      <w:r w:rsidRPr="003B7E35">
        <w:t xml:space="preserve"> </w:t>
      </w:r>
      <w:r w:rsidR="00B47868" w:rsidRPr="003B7E35">
        <w:t xml:space="preserve">provide </w:t>
      </w:r>
      <w:r w:rsidR="00B81F44" w:rsidRPr="0069009C">
        <w:rPr>
          <w:rStyle w:val="Bold"/>
        </w:rPr>
        <w:t>network services</w:t>
      </w:r>
      <w:r w:rsidR="00896280">
        <w:t>.</w:t>
      </w:r>
    </w:p>
    <w:p w:rsidR="00896280" w:rsidRDefault="00896280" w:rsidP="003B7E35">
      <w:pPr>
        <w:pStyle w:val="Listalphabet"/>
        <w:numPr>
          <w:ilvl w:val="0"/>
          <w:numId w:val="57"/>
        </w:numPr>
      </w:pPr>
      <w:r>
        <w:t xml:space="preserve">A </w:t>
      </w:r>
      <w:r w:rsidRPr="002F23E9">
        <w:rPr>
          <w:rStyle w:val="Strong"/>
        </w:rPr>
        <w:t>DNSP</w:t>
      </w:r>
      <w:r>
        <w:t xml:space="preserve"> may inc</w:t>
      </w:r>
      <w:r w:rsidRPr="00896280">
        <w:t xml:space="preserve">ur costs of up to $500,000 (identified and allocated in accordance with clause 3.2.2) in any </w:t>
      </w:r>
      <w:r w:rsidR="00E565DD">
        <w:t>regulatory</w:t>
      </w:r>
      <w:r w:rsidRPr="00896280">
        <w:t xml:space="preserve"> year for providing </w:t>
      </w:r>
      <w:r w:rsidRPr="002F23E9">
        <w:rPr>
          <w:rStyle w:val="Strong"/>
        </w:rPr>
        <w:t>non-network services</w:t>
      </w:r>
      <w:r w:rsidRPr="00896280">
        <w:t xml:space="preserve">. A </w:t>
      </w:r>
      <w:r w:rsidRPr="002F23E9">
        <w:rPr>
          <w:rStyle w:val="Strong"/>
        </w:rPr>
        <w:t>DNSP</w:t>
      </w:r>
      <w:r w:rsidRPr="00896280">
        <w:t xml:space="preserve"> must not provide non-network services where doing so would involve the </w:t>
      </w:r>
      <w:r w:rsidRPr="002F23E9">
        <w:rPr>
          <w:rStyle w:val="Strong"/>
        </w:rPr>
        <w:t>DNSP</w:t>
      </w:r>
      <w:r w:rsidRPr="00896280">
        <w:t xml:space="preserve"> incurring such costs in excess of $500,000 in any </w:t>
      </w:r>
      <w:r w:rsidR="00E43D08">
        <w:t>regulatory</w:t>
      </w:r>
      <w:r w:rsidRPr="00896280">
        <w:t xml:space="preserve"> year.</w:t>
      </w:r>
    </w:p>
    <w:p w:rsidR="00B47868" w:rsidRDefault="00C56DF7" w:rsidP="003B7E35">
      <w:pPr>
        <w:pStyle w:val="Listalphabet"/>
      </w:pPr>
      <w:r w:rsidRPr="003B7E35">
        <w:t xml:space="preserve">For the avoidance of doubt, </w:t>
      </w:r>
      <w:r w:rsidR="00D133F2">
        <w:t xml:space="preserve">clauses </w:t>
      </w:r>
      <w:r w:rsidR="00D84492">
        <w:t>3.1(a)</w:t>
      </w:r>
      <w:r w:rsidR="00D133F2">
        <w:t xml:space="preserve"> and 3.1(b)</w:t>
      </w:r>
      <w:r w:rsidRPr="003B7E35">
        <w:t xml:space="preserve"> do not prevent a </w:t>
      </w:r>
      <w:r w:rsidR="00614558" w:rsidRPr="0069009C">
        <w:rPr>
          <w:rStyle w:val="Bold"/>
        </w:rPr>
        <w:t>related body corporate</w:t>
      </w:r>
      <w:r w:rsidR="00B101AA" w:rsidRPr="003B7E35">
        <w:t xml:space="preserve"> </w:t>
      </w:r>
      <w:r w:rsidRPr="003B7E35">
        <w:t xml:space="preserve">of a </w:t>
      </w:r>
      <w:r w:rsidRPr="0069009C">
        <w:rPr>
          <w:rStyle w:val="Bold"/>
        </w:rPr>
        <w:t>DNSP</w:t>
      </w:r>
      <w:r w:rsidRPr="003B7E35">
        <w:t xml:space="preserve"> from providing </w:t>
      </w:r>
      <w:r w:rsidR="00B101AA" w:rsidRPr="0069009C">
        <w:rPr>
          <w:rStyle w:val="Bold"/>
        </w:rPr>
        <w:t>non-network services</w:t>
      </w:r>
      <w:r w:rsidRPr="003B7E35">
        <w:t>.</w:t>
      </w:r>
    </w:p>
    <w:p w:rsidR="00D84492" w:rsidRPr="003B7E35" w:rsidRDefault="00D84492" w:rsidP="003B7E35">
      <w:pPr>
        <w:pStyle w:val="Listalphabet"/>
      </w:pPr>
      <w:r>
        <w:t xml:space="preserve">For the avoidance of doubt, </w:t>
      </w:r>
      <w:r w:rsidR="00D133F2">
        <w:t xml:space="preserve">clauses </w:t>
      </w:r>
      <w:r>
        <w:t xml:space="preserve">3.1(a) </w:t>
      </w:r>
      <w:r w:rsidR="00D133F2">
        <w:t xml:space="preserve">and 3.1(b) </w:t>
      </w:r>
      <w:r>
        <w:t xml:space="preserve">do not prevent a </w:t>
      </w:r>
      <w:r w:rsidRPr="00FE732A">
        <w:rPr>
          <w:rStyle w:val="Strong"/>
        </w:rPr>
        <w:t>DNSP</w:t>
      </w:r>
      <w:r>
        <w:t xml:space="preserve"> and </w:t>
      </w:r>
      <w:r w:rsidR="007827AE">
        <w:t xml:space="preserve">a </w:t>
      </w:r>
      <w:r w:rsidRPr="00FE732A">
        <w:rPr>
          <w:rStyle w:val="Strong"/>
        </w:rPr>
        <w:t>TNSP</w:t>
      </w:r>
      <w:r>
        <w:t xml:space="preserve"> </w:t>
      </w:r>
      <w:r w:rsidR="007827AE">
        <w:t>being the same</w:t>
      </w:r>
      <w:r>
        <w:t xml:space="preserve"> legal entity.</w:t>
      </w:r>
    </w:p>
    <w:p w:rsidR="00B81F44" w:rsidRPr="003B7E35" w:rsidRDefault="009D3BA6" w:rsidP="003B7E35">
      <w:pPr>
        <w:pStyle w:val="Listalphabet"/>
      </w:pPr>
      <w:r>
        <w:t xml:space="preserve">A </w:t>
      </w:r>
      <w:r w:rsidRPr="00FE732A">
        <w:rPr>
          <w:rStyle w:val="Strong"/>
        </w:rPr>
        <w:t>DNSP</w:t>
      </w:r>
      <w:r>
        <w:t xml:space="preserve"> cannot </w:t>
      </w:r>
      <w:r w:rsidR="00896280">
        <w:t xml:space="preserve">apply for </w:t>
      </w:r>
      <w:r>
        <w:t xml:space="preserve">a waiver </w:t>
      </w:r>
      <w:r w:rsidR="00896280">
        <w:t>of</w:t>
      </w:r>
      <w:r w:rsidR="00DA08FC">
        <w:t xml:space="preserve"> </w:t>
      </w:r>
      <w:r w:rsidR="006E645C">
        <w:t>the</w:t>
      </w:r>
      <w:r w:rsidR="00630109" w:rsidRPr="003B7E35">
        <w:t xml:space="preserve"> obligation</w:t>
      </w:r>
      <w:r w:rsidR="00D133F2">
        <w:t>s</w:t>
      </w:r>
      <w:r w:rsidR="00630109" w:rsidRPr="003B7E35">
        <w:t xml:space="preserve"> set out in clause</w:t>
      </w:r>
      <w:r w:rsidR="00D133F2">
        <w:t>s</w:t>
      </w:r>
      <w:r w:rsidR="00630109" w:rsidRPr="003B7E35">
        <w:t xml:space="preserve"> 3.1(a)</w:t>
      </w:r>
      <w:r w:rsidR="00D133F2">
        <w:t xml:space="preserve"> and 3.1(b)</w:t>
      </w:r>
      <w:r w:rsidR="00B81F44" w:rsidRPr="003B7E35">
        <w:t>.</w:t>
      </w:r>
    </w:p>
    <w:p w:rsidR="00067353" w:rsidRDefault="00067353" w:rsidP="008120E3">
      <w:pPr>
        <w:pStyle w:val="Heading2"/>
      </w:pPr>
      <w:bookmarkStart w:id="13" w:name="_Toc455509605"/>
      <w:bookmarkStart w:id="14" w:name="_Toc455509660"/>
      <w:bookmarkStart w:id="15" w:name="_Toc455509606"/>
      <w:bookmarkStart w:id="16" w:name="_Toc455509661"/>
      <w:bookmarkStart w:id="17" w:name="_Toc459018804"/>
      <w:bookmarkEnd w:id="13"/>
      <w:bookmarkEnd w:id="14"/>
      <w:bookmarkEnd w:id="15"/>
      <w:bookmarkEnd w:id="16"/>
      <w:r w:rsidRPr="00067353">
        <w:t>Establish and maintain accounts</w:t>
      </w:r>
      <w:bookmarkEnd w:id="17"/>
    </w:p>
    <w:p w:rsidR="0086243F" w:rsidRDefault="00B101AA" w:rsidP="0086243F">
      <w:pPr>
        <w:pStyle w:val="Heading3"/>
      </w:pPr>
      <w:bookmarkStart w:id="18" w:name="_Toc459018805"/>
      <w:r>
        <w:t>Separate a</w:t>
      </w:r>
      <w:r w:rsidR="0086243F">
        <w:t>ccounts</w:t>
      </w:r>
      <w:bookmarkEnd w:id="18"/>
    </w:p>
    <w:p w:rsidR="005B5DFA" w:rsidRPr="003B7E35" w:rsidRDefault="005B5DFA" w:rsidP="003B7E35">
      <w:pPr>
        <w:pStyle w:val="Listalphabet"/>
        <w:numPr>
          <w:ilvl w:val="0"/>
          <w:numId w:val="45"/>
        </w:numPr>
      </w:pPr>
      <w:r w:rsidRPr="003B7E35">
        <w:t xml:space="preserve">A </w:t>
      </w:r>
      <w:r w:rsidRPr="0069009C">
        <w:rPr>
          <w:rStyle w:val="Bold"/>
        </w:rPr>
        <w:t>DNSP</w:t>
      </w:r>
      <w:r w:rsidRPr="003B7E35">
        <w:t xml:space="preserve"> must establish and maintain </w:t>
      </w:r>
      <w:r w:rsidR="00382124" w:rsidRPr="003B7E35">
        <w:t>appropriate internal</w:t>
      </w:r>
      <w:r w:rsidR="008A56CB" w:rsidRPr="003B7E35">
        <w:t xml:space="preserve"> accounting</w:t>
      </w:r>
      <w:r w:rsidR="00382124" w:rsidRPr="003B7E35">
        <w:t xml:space="preserve"> </w:t>
      </w:r>
      <w:r w:rsidR="00614558" w:rsidRPr="003B7E35">
        <w:t xml:space="preserve">procedures to </w:t>
      </w:r>
      <w:r w:rsidR="00382124" w:rsidRPr="003B7E35">
        <w:t xml:space="preserve">ensure that </w:t>
      </w:r>
      <w:r w:rsidR="00614558" w:rsidRPr="003B7E35">
        <w:t xml:space="preserve">it </w:t>
      </w:r>
      <w:r w:rsidR="00382124" w:rsidRPr="003B7E35">
        <w:t xml:space="preserve">can </w:t>
      </w:r>
      <w:r w:rsidRPr="003B7E35">
        <w:t xml:space="preserve">demonstrate the extent and nature of transactions between the </w:t>
      </w:r>
      <w:r w:rsidRPr="0069009C">
        <w:rPr>
          <w:rStyle w:val="Bold"/>
        </w:rPr>
        <w:t>DNSP</w:t>
      </w:r>
      <w:r w:rsidRPr="003B7E35">
        <w:t xml:space="preserve"> and its </w:t>
      </w:r>
      <w:r w:rsidR="00614558" w:rsidRPr="0069009C">
        <w:rPr>
          <w:rStyle w:val="Bold"/>
        </w:rPr>
        <w:t>related bodies corporate</w:t>
      </w:r>
      <w:r w:rsidRPr="003B7E35">
        <w:t>.</w:t>
      </w:r>
    </w:p>
    <w:p w:rsidR="0061564E" w:rsidRPr="003B7E35" w:rsidRDefault="00A0171C" w:rsidP="003B7E35">
      <w:pPr>
        <w:pStyle w:val="Listalphabet"/>
      </w:pPr>
      <w:r w:rsidRPr="003B7E35">
        <w:t xml:space="preserve">The </w:t>
      </w:r>
      <w:r w:rsidRPr="0069009C">
        <w:rPr>
          <w:rStyle w:val="Bold"/>
        </w:rPr>
        <w:t>AER</w:t>
      </w:r>
      <w:r w:rsidRPr="003B7E35">
        <w:t xml:space="preserve"> may include a requirement in a </w:t>
      </w:r>
      <w:r w:rsidR="00614558" w:rsidRPr="0069009C">
        <w:rPr>
          <w:rStyle w:val="Bold"/>
        </w:rPr>
        <w:t>regulatory information instrument</w:t>
      </w:r>
      <w:r w:rsidR="00614558" w:rsidRPr="003B7E35">
        <w:t xml:space="preserve"> for</w:t>
      </w:r>
      <w:r w:rsidRPr="003B7E35">
        <w:t xml:space="preserve"> a </w:t>
      </w:r>
      <w:r w:rsidRPr="0069009C">
        <w:rPr>
          <w:rStyle w:val="Bold"/>
        </w:rPr>
        <w:t>DNSP</w:t>
      </w:r>
      <w:r w:rsidRPr="003B7E35">
        <w:t xml:space="preserve"> to</w:t>
      </w:r>
      <w:r w:rsidR="00B671F5" w:rsidRPr="003B7E35">
        <w:t>:</w:t>
      </w:r>
    </w:p>
    <w:p w:rsidR="00C96394" w:rsidRDefault="00C96394" w:rsidP="003B7E35">
      <w:pPr>
        <w:pStyle w:val="ListLegal2"/>
      </w:pPr>
      <w:r>
        <w:t xml:space="preserve">provide its </w:t>
      </w:r>
      <w:r w:rsidRPr="00382124">
        <w:t>internal</w:t>
      </w:r>
      <w:r>
        <w:t xml:space="preserve"> accounting</w:t>
      </w:r>
      <w:r w:rsidRPr="00382124">
        <w:t xml:space="preserve"> </w:t>
      </w:r>
      <w:r>
        <w:t xml:space="preserve">procedures to the </w:t>
      </w:r>
      <w:r w:rsidRPr="00975452">
        <w:rPr>
          <w:rStyle w:val="Strong"/>
        </w:rPr>
        <w:t>AER</w:t>
      </w:r>
      <w:r>
        <w:t>;</w:t>
      </w:r>
    </w:p>
    <w:p w:rsidR="00C96394" w:rsidRDefault="00C96394" w:rsidP="003B7E35">
      <w:pPr>
        <w:pStyle w:val="ListLegal2"/>
      </w:pPr>
      <w:r>
        <w:t xml:space="preserve">report on transactions between it and its </w:t>
      </w:r>
      <w:r>
        <w:rPr>
          <w:rStyle w:val="Strong"/>
        </w:rPr>
        <w:t>related bodies corporate</w:t>
      </w:r>
      <w:r>
        <w:t>.</w:t>
      </w:r>
    </w:p>
    <w:p w:rsidR="008D7420" w:rsidRPr="008D7420" w:rsidRDefault="009D3BA6" w:rsidP="00630109">
      <w:pPr>
        <w:pStyle w:val="Listalphabet"/>
      </w:pPr>
      <w:r>
        <w:t xml:space="preserve">A </w:t>
      </w:r>
      <w:r w:rsidRPr="002F23E9">
        <w:rPr>
          <w:rStyle w:val="Strong"/>
        </w:rPr>
        <w:t>DNSP</w:t>
      </w:r>
      <w:r>
        <w:t xml:space="preserve"> cannot </w:t>
      </w:r>
      <w:r w:rsidR="00896280">
        <w:t>apply for</w:t>
      </w:r>
      <w:r>
        <w:t xml:space="preserve"> a waiver </w:t>
      </w:r>
      <w:r w:rsidR="00896280">
        <w:t>of</w:t>
      </w:r>
      <w:r w:rsidR="00D84492">
        <w:t xml:space="preserve"> </w:t>
      </w:r>
      <w:r w:rsidR="006E645C">
        <w:t>the</w:t>
      </w:r>
      <w:r w:rsidR="00630109">
        <w:t xml:space="preserve"> obligations set out in clauses 3.2.1(a)</w:t>
      </w:r>
      <w:r w:rsidR="008D7420" w:rsidRPr="008D7420">
        <w:t>.</w:t>
      </w:r>
    </w:p>
    <w:p w:rsidR="00067353" w:rsidRDefault="00067353" w:rsidP="0086243F">
      <w:pPr>
        <w:pStyle w:val="Heading3"/>
      </w:pPr>
      <w:bookmarkStart w:id="19" w:name="_Ref455512848"/>
      <w:bookmarkStart w:id="20" w:name="_Toc459018806"/>
      <w:r w:rsidRPr="00067353">
        <w:t xml:space="preserve">Cost allocation </w:t>
      </w:r>
      <w:r w:rsidR="00826827">
        <w:t xml:space="preserve">and </w:t>
      </w:r>
      <w:r w:rsidRPr="00067353">
        <w:t>attribution</w:t>
      </w:r>
      <w:bookmarkEnd w:id="19"/>
      <w:bookmarkEnd w:id="20"/>
      <w:r w:rsidRPr="00067353">
        <w:t xml:space="preserve"> </w:t>
      </w:r>
    </w:p>
    <w:p w:rsidR="009D172F" w:rsidRDefault="00826827" w:rsidP="00617C07">
      <w:pPr>
        <w:pStyle w:val="Listalphabet"/>
        <w:numPr>
          <w:ilvl w:val="0"/>
          <w:numId w:val="33"/>
        </w:numPr>
      </w:pPr>
      <w:r w:rsidRPr="003B7E35">
        <w:t>A</w:t>
      </w:r>
      <w:r w:rsidR="0086243F" w:rsidRPr="003B7E35">
        <w:t xml:space="preserve"> </w:t>
      </w:r>
      <w:r w:rsidR="0086243F" w:rsidRPr="0069009C">
        <w:rPr>
          <w:rStyle w:val="Bold"/>
        </w:rPr>
        <w:t>DNSP</w:t>
      </w:r>
      <w:r w:rsidR="0086243F" w:rsidRPr="003B7E35">
        <w:t xml:space="preserve"> must not allocate </w:t>
      </w:r>
      <w:r w:rsidRPr="003B7E35">
        <w:t xml:space="preserve">or </w:t>
      </w:r>
      <w:r w:rsidR="0086243F" w:rsidRPr="003B7E35">
        <w:t xml:space="preserve">attribute to </w:t>
      </w:r>
      <w:r w:rsidRPr="0069009C">
        <w:rPr>
          <w:rStyle w:val="Bold"/>
        </w:rPr>
        <w:t>distribution services</w:t>
      </w:r>
      <w:r w:rsidRPr="00791D0C">
        <w:rPr>
          <w:rStyle w:val="Strong"/>
          <w:b w:val="0"/>
          <w:bCs w:val="0"/>
        </w:rPr>
        <w:t xml:space="preserve"> </w:t>
      </w:r>
      <w:r w:rsidRPr="003B7E35">
        <w:t>any c</w:t>
      </w:r>
      <w:r w:rsidR="0086243F" w:rsidRPr="003B7E35">
        <w:t xml:space="preserve">osts that properly relate to </w:t>
      </w:r>
      <w:r w:rsidR="0086243F" w:rsidRPr="0069009C">
        <w:rPr>
          <w:rStyle w:val="Bold"/>
        </w:rPr>
        <w:t>non-</w:t>
      </w:r>
      <w:r w:rsidRPr="0069009C">
        <w:rPr>
          <w:rStyle w:val="Bold"/>
        </w:rPr>
        <w:t>distribution services</w:t>
      </w:r>
      <w:r w:rsidR="0086243F" w:rsidRPr="003B7E35">
        <w:t xml:space="preserve">. </w:t>
      </w:r>
      <w:r w:rsidR="00C96394" w:rsidRPr="003B7E35">
        <w:t xml:space="preserve"> </w:t>
      </w:r>
    </w:p>
    <w:p w:rsidR="00D358A5" w:rsidRPr="003B7E35" w:rsidRDefault="00D358A5" w:rsidP="00617C07">
      <w:pPr>
        <w:pStyle w:val="Listalphabet"/>
        <w:numPr>
          <w:ilvl w:val="0"/>
          <w:numId w:val="33"/>
        </w:numPr>
      </w:pPr>
      <w:r w:rsidRPr="003B7E35">
        <w:t xml:space="preserve">A </w:t>
      </w:r>
      <w:r w:rsidRPr="0069009C">
        <w:rPr>
          <w:rStyle w:val="Bold"/>
        </w:rPr>
        <w:t>DNSP</w:t>
      </w:r>
      <w:r w:rsidRPr="003B7E35">
        <w:t xml:space="preserve"> must allocate or attribute costs to </w:t>
      </w:r>
      <w:r w:rsidRPr="0069009C">
        <w:rPr>
          <w:rStyle w:val="Bold"/>
        </w:rPr>
        <w:t>distribution services</w:t>
      </w:r>
      <w:r w:rsidRPr="003B7E35">
        <w:t xml:space="preserve"> in a manner that is consistent with </w:t>
      </w:r>
      <w:r w:rsidR="00350727">
        <w:t xml:space="preserve">the </w:t>
      </w:r>
      <w:r w:rsidR="00350727" w:rsidRPr="00617C07">
        <w:rPr>
          <w:rStyle w:val="Strong"/>
        </w:rPr>
        <w:t>cost allocation principles</w:t>
      </w:r>
      <w:r w:rsidR="00350727">
        <w:t xml:space="preserve"> and its approved </w:t>
      </w:r>
      <w:r w:rsidR="00350727" w:rsidRPr="00617C07">
        <w:rPr>
          <w:rStyle w:val="Strong"/>
        </w:rPr>
        <w:t>CAM</w:t>
      </w:r>
      <w:r w:rsidR="00D36A7B">
        <w:t xml:space="preserve">, as if those cost allocation principles and </w:t>
      </w:r>
      <w:r w:rsidR="00D36A7B" w:rsidRPr="002F23E9">
        <w:rPr>
          <w:rStyle w:val="Strong"/>
        </w:rPr>
        <w:t>CAM</w:t>
      </w:r>
      <w:r w:rsidR="00D36A7B">
        <w:t xml:space="preserve"> otherwise applied to the allocation and attribution of costs between </w:t>
      </w:r>
      <w:r w:rsidR="00D36A7B" w:rsidRPr="002F23E9">
        <w:rPr>
          <w:rStyle w:val="Strong"/>
        </w:rPr>
        <w:t>distribution services</w:t>
      </w:r>
      <w:r w:rsidR="00D36A7B">
        <w:t xml:space="preserve"> and </w:t>
      </w:r>
      <w:r w:rsidR="00D36A7B" w:rsidRPr="002F23E9">
        <w:rPr>
          <w:rStyle w:val="Strong"/>
        </w:rPr>
        <w:t>non-distribution services</w:t>
      </w:r>
      <w:r w:rsidR="00D36A7B">
        <w:t>.</w:t>
      </w:r>
    </w:p>
    <w:p w:rsidR="00826827" w:rsidRPr="003B7E35" w:rsidRDefault="00826827" w:rsidP="003B7E35">
      <w:pPr>
        <w:pStyle w:val="Listalphabet"/>
      </w:pPr>
      <w:r w:rsidRPr="003B7E35">
        <w:t xml:space="preserve">A </w:t>
      </w:r>
      <w:r w:rsidR="0086243F" w:rsidRPr="0069009C">
        <w:rPr>
          <w:rStyle w:val="Bold"/>
        </w:rPr>
        <w:t>DNSP</w:t>
      </w:r>
      <w:r w:rsidR="0086243F" w:rsidRPr="003B7E35">
        <w:t xml:space="preserve"> must demonstrate to </w:t>
      </w:r>
      <w:r w:rsidR="007D29F2" w:rsidRPr="003B7E35">
        <w:t xml:space="preserve">the </w:t>
      </w:r>
      <w:r w:rsidR="0086243F" w:rsidRPr="0069009C">
        <w:rPr>
          <w:rStyle w:val="Bold"/>
        </w:rPr>
        <w:t>AER</w:t>
      </w:r>
      <w:r w:rsidR="0086243F" w:rsidRPr="003B7E35">
        <w:t xml:space="preserve"> </w:t>
      </w:r>
      <w:r w:rsidR="00A96B95" w:rsidRPr="003B7E35">
        <w:t>whenever</w:t>
      </w:r>
      <w:r w:rsidR="00D57872" w:rsidRPr="003B7E35">
        <w:t xml:space="preserve"> it provides </w:t>
      </w:r>
      <w:r w:rsidR="00E20C85">
        <w:t>financial</w:t>
      </w:r>
      <w:r w:rsidR="00D57872" w:rsidRPr="003B7E35">
        <w:t xml:space="preserve"> information to the </w:t>
      </w:r>
      <w:r w:rsidR="00D57872" w:rsidRPr="0069009C">
        <w:rPr>
          <w:rStyle w:val="Bold"/>
        </w:rPr>
        <w:t>AER</w:t>
      </w:r>
      <w:r w:rsidR="00D57872" w:rsidRPr="003B7E35">
        <w:t xml:space="preserve"> </w:t>
      </w:r>
      <w:r w:rsidR="00614558" w:rsidRPr="003B7E35">
        <w:t xml:space="preserve">in accordance with </w:t>
      </w:r>
      <w:r w:rsidR="00614558" w:rsidRPr="0069009C">
        <w:rPr>
          <w:rStyle w:val="Bold"/>
        </w:rPr>
        <w:t>a regulatory information instrument</w:t>
      </w:r>
      <w:r w:rsidR="00614558" w:rsidRPr="003B7E35">
        <w:t xml:space="preserve"> </w:t>
      </w:r>
      <w:r w:rsidR="0086243F" w:rsidRPr="003B7E35">
        <w:t>how it meets th</w:t>
      </w:r>
      <w:r w:rsidRPr="003B7E35">
        <w:t xml:space="preserve">e </w:t>
      </w:r>
      <w:r w:rsidR="0086243F" w:rsidRPr="003B7E35">
        <w:t xml:space="preserve">obligation </w:t>
      </w:r>
      <w:r w:rsidRPr="003B7E35">
        <w:t>in clause</w:t>
      </w:r>
      <w:r w:rsidR="00D358A5" w:rsidRPr="003B7E35">
        <w:t>s</w:t>
      </w:r>
      <w:r w:rsidRPr="003B7E35">
        <w:t xml:space="preserve"> 3.2.2(a)</w:t>
      </w:r>
      <w:r w:rsidR="00D358A5" w:rsidRPr="003B7E35">
        <w:t xml:space="preserve"> and 3.2.2(b)</w:t>
      </w:r>
      <w:r w:rsidRPr="003B7E35">
        <w:t>.</w:t>
      </w:r>
      <w:r w:rsidR="004C747E">
        <w:t xml:space="preserve"> </w:t>
      </w:r>
    </w:p>
    <w:p w:rsidR="00826827" w:rsidRPr="00826827" w:rsidRDefault="009D3BA6" w:rsidP="007D29F2">
      <w:pPr>
        <w:pStyle w:val="Listalphabet"/>
      </w:pPr>
      <w:r w:rsidRPr="009D3BA6">
        <w:t xml:space="preserve">A </w:t>
      </w:r>
      <w:r w:rsidRPr="002F23E9">
        <w:rPr>
          <w:rStyle w:val="Strong"/>
        </w:rPr>
        <w:t>DNSP</w:t>
      </w:r>
      <w:r w:rsidRPr="009D3BA6">
        <w:t xml:space="preserve"> cannot </w:t>
      </w:r>
      <w:r w:rsidR="00896280">
        <w:t xml:space="preserve">apply for </w:t>
      </w:r>
      <w:r w:rsidRPr="009D3BA6">
        <w:t xml:space="preserve">a waiver </w:t>
      </w:r>
      <w:r w:rsidR="00896280">
        <w:t xml:space="preserve">of </w:t>
      </w:r>
      <w:r w:rsidR="00F35B85">
        <w:t xml:space="preserve">the </w:t>
      </w:r>
      <w:r w:rsidR="007D29F2">
        <w:t xml:space="preserve">obligations </w:t>
      </w:r>
      <w:r w:rsidR="00630109">
        <w:t xml:space="preserve">set out </w:t>
      </w:r>
      <w:r w:rsidR="007D29F2">
        <w:t>in this clause 3.2.2</w:t>
      </w:r>
      <w:r w:rsidR="00826827" w:rsidRPr="00826827">
        <w:t>.</w:t>
      </w:r>
    </w:p>
    <w:p w:rsidR="0086243F" w:rsidRDefault="0086243F" w:rsidP="006F4738">
      <w:pPr>
        <w:pStyle w:val="Heading1"/>
      </w:pPr>
      <w:bookmarkStart w:id="21" w:name="_Toc459018807"/>
      <w:r>
        <w:lastRenderedPageBreak/>
        <w:t>Non-discrimination</w:t>
      </w:r>
      <w:bookmarkEnd w:id="21"/>
    </w:p>
    <w:p w:rsidR="00B47868" w:rsidRPr="00B47868" w:rsidRDefault="009D3BA6" w:rsidP="006F4738">
      <w:pPr>
        <w:pStyle w:val="Heading2"/>
      </w:pPr>
      <w:bookmarkStart w:id="22" w:name="_Toc459018808"/>
      <w:r>
        <w:t>General obligations to not discriminate</w:t>
      </w:r>
      <w:bookmarkEnd w:id="22"/>
      <w:r>
        <w:t xml:space="preserve"> </w:t>
      </w:r>
    </w:p>
    <w:p w:rsidR="009D3BA6" w:rsidRDefault="0086243F" w:rsidP="00630109">
      <w:pPr>
        <w:pStyle w:val="Listalphabet"/>
        <w:numPr>
          <w:ilvl w:val="0"/>
          <w:numId w:val="38"/>
        </w:numPr>
      </w:pPr>
      <w:r w:rsidRPr="0086243F">
        <w:t xml:space="preserve">A </w:t>
      </w:r>
      <w:r w:rsidRPr="00240E77">
        <w:rPr>
          <w:rStyle w:val="Strong"/>
        </w:rPr>
        <w:t>DNSP</w:t>
      </w:r>
      <w:r w:rsidRPr="0086243F">
        <w:t xml:space="preserve"> </w:t>
      </w:r>
      <w:r w:rsidR="00DA0C18">
        <w:t xml:space="preserve">must </w:t>
      </w:r>
      <w:r w:rsidRPr="0086243F">
        <w:t xml:space="preserve">not </w:t>
      </w:r>
      <w:r w:rsidR="00D133F2">
        <w:t xml:space="preserve">discriminate (either directly or indirectly) between its </w:t>
      </w:r>
      <w:r w:rsidR="00614558">
        <w:rPr>
          <w:rStyle w:val="Strong"/>
        </w:rPr>
        <w:t>related body corporate</w:t>
      </w:r>
      <w:r w:rsidRPr="0086243F">
        <w:t xml:space="preserve"> </w:t>
      </w:r>
      <w:r w:rsidR="00681698">
        <w:t xml:space="preserve">(including </w:t>
      </w:r>
      <w:r w:rsidRPr="0086243F">
        <w:t xml:space="preserve">customers of </w:t>
      </w:r>
      <w:r w:rsidR="00D133F2">
        <w:t>its</w:t>
      </w:r>
      <w:r w:rsidRPr="0086243F">
        <w:t xml:space="preserve"> </w:t>
      </w:r>
      <w:r w:rsidR="00614558">
        <w:rPr>
          <w:rStyle w:val="Strong"/>
        </w:rPr>
        <w:t>related body corporate</w:t>
      </w:r>
      <w:r w:rsidR="00D133F2">
        <w:t>) and competitors of its related body corpo</w:t>
      </w:r>
      <w:r w:rsidR="00681698">
        <w:t>rate (including</w:t>
      </w:r>
      <w:r w:rsidR="00D133F2">
        <w:t xml:space="preserve"> customers of a competitor of its </w:t>
      </w:r>
      <w:r w:rsidR="00D133F2" w:rsidRPr="002F23E9">
        <w:rPr>
          <w:rStyle w:val="Strong"/>
        </w:rPr>
        <w:t>related body corporate</w:t>
      </w:r>
      <w:r w:rsidR="00D133F2">
        <w:t xml:space="preserve">) in connection with the supply of </w:t>
      </w:r>
      <w:r w:rsidR="00D133F2" w:rsidRPr="002F23E9">
        <w:rPr>
          <w:rStyle w:val="Strong"/>
        </w:rPr>
        <w:t>distribution services</w:t>
      </w:r>
      <w:r w:rsidR="00D133F2" w:rsidRPr="00D133F2">
        <w:t xml:space="preserve"> or </w:t>
      </w:r>
      <w:r w:rsidR="00D133F2" w:rsidRPr="002F23E9">
        <w:rPr>
          <w:rStyle w:val="Strong"/>
        </w:rPr>
        <w:t>non-distribution services</w:t>
      </w:r>
      <w:r w:rsidRPr="0086243F">
        <w:t xml:space="preserve">. </w:t>
      </w:r>
    </w:p>
    <w:p w:rsidR="0086243F" w:rsidRPr="0086243F" w:rsidRDefault="0086243F" w:rsidP="00630109">
      <w:pPr>
        <w:pStyle w:val="Listalphabet"/>
        <w:numPr>
          <w:ilvl w:val="0"/>
          <w:numId w:val="38"/>
        </w:numPr>
      </w:pPr>
      <w:r w:rsidRPr="0086243F">
        <w:t xml:space="preserve"> </w:t>
      </w:r>
      <w:r w:rsidR="00112AF8">
        <w:t>Without limiting the scope of 4.1(a)</w:t>
      </w:r>
      <w:r w:rsidR="00DA0C18">
        <w:t>, t</w:t>
      </w:r>
      <w:r w:rsidRPr="0086243F">
        <w:t xml:space="preserve">his </w:t>
      </w:r>
      <w:r w:rsidR="00DA0C18">
        <w:t xml:space="preserve">provision </w:t>
      </w:r>
      <w:r w:rsidRPr="0086243F">
        <w:t>requires</w:t>
      </w:r>
      <w:r w:rsidR="00DA0C18">
        <w:t xml:space="preserve"> a </w:t>
      </w:r>
      <w:r w:rsidR="00DA0C18" w:rsidRPr="00D57872">
        <w:rPr>
          <w:rStyle w:val="Strong"/>
        </w:rPr>
        <w:t>DNSP</w:t>
      </w:r>
      <w:r w:rsidR="00DA0C18">
        <w:t xml:space="preserve"> to:</w:t>
      </w:r>
    </w:p>
    <w:p w:rsidR="0086243F" w:rsidRPr="0086243F" w:rsidRDefault="00A90FE6" w:rsidP="0069009C">
      <w:pPr>
        <w:pStyle w:val="ListLegal"/>
        <w:numPr>
          <w:ilvl w:val="0"/>
          <w:numId w:val="74"/>
        </w:numPr>
      </w:pPr>
      <w:r>
        <w:t xml:space="preserve">deal </w:t>
      </w:r>
      <w:r w:rsidR="00681698">
        <w:t xml:space="preserve">or offer to deal </w:t>
      </w:r>
      <w:r>
        <w:t>with</w:t>
      </w:r>
      <w:r w:rsidR="0086243F" w:rsidRPr="0086243F">
        <w:t xml:space="preserve"> </w:t>
      </w:r>
      <w:r w:rsidR="00D133F2">
        <w:t>its</w:t>
      </w:r>
      <w:r w:rsidR="0086243F" w:rsidRPr="0086243F">
        <w:t xml:space="preserve"> </w:t>
      </w:r>
      <w:r w:rsidR="00614558">
        <w:rPr>
          <w:rStyle w:val="Strong"/>
        </w:rPr>
        <w:t>related body corporate</w:t>
      </w:r>
      <w:r w:rsidR="0086243F" w:rsidRPr="0086243F">
        <w:t xml:space="preserve"> </w:t>
      </w:r>
      <w:r w:rsidR="00D133F2">
        <w:t>as if its rel</w:t>
      </w:r>
      <w:r w:rsidR="00681698">
        <w:t xml:space="preserve">ated body corporate was not a </w:t>
      </w:r>
      <w:r w:rsidR="00D133F2">
        <w:t>rela</w:t>
      </w:r>
      <w:r w:rsidR="00681698">
        <w:t xml:space="preserve">ted body corporate of the </w:t>
      </w:r>
      <w:r w:rsidR="00681698" w:rsidRPr="002F23E9">
        <w:rPr>
          <w:rStyle w:val="Strong"/>
        </w:rPr>
        <w:t>DNSP</w:t>
      </w:r>
      <w:r w:rsidR="0086243F" w:rsidRPr="0086243F">
        <w:t xml:space="preserve">; </w:t>
      </w:r>
    </w:p>
    <w:p w:rsidR="00B47868" w:rsidRDefault="00A90FE6" w:rsidP="00BB6AC0">
      <w:pPr>
        <w:pStyle w:val="ListLegal2"/>
      </w:pPr>
      <w:r>
        <w:t xml:space="preserve">deal </w:t>
      </w:r>
      <w:r w:rsidR="00681698">
        <w:t xml:space="preserve">or offer to deal </w:t>
      </w:r>
      <w:r>
        <w:t xml:space="preserve">with </w:t>
      </w:r>
      <w:r w:rsidR="0086243F" w:rsidRPr="0086243F">
        <w:t xml:space="preserve">competitors of its </w:t>
      </w:r>
      <w:r w:rsidR="00614558">
        <w:rPr>
          <w:rStyle w:val="Strong"/>
        </w:rPr>
        <w:t>related body corporate</w:t>
      </w:r>
      <w:r w:rsidR="0086243F" w:rsidRPr="0086243F">
        <w:t xml:space="preserve"> </w:t>
      </w:r>
      <w:r w:rsidR="00681698">
        <w:t>(including</w:t>
      </w:r>
      <w:r w:rsidR="00AA1675">
        <w:t xml:space="preserve"> customers of those competitors</w:t>
      </w:r>
      <w:r w:rsidR="00681698">
        <w:t>)</w:t>
      </w:r>
      <w:r w:rsidR="00112AF8" w:rsidRPr="0086243F">
        <w:t xml:space="preserve"> </w:t>
      </w:r>
      <w:r w:rsidR="0086243F" w:rsidRPr="0086243F">
        <w:t>on substantially the same terms and conditions</w:t>
      </w:r>
      <w:r w:rsidR="00112AF8">
        <w:t xml:space="preserve">, </w:t>
      </w:r>
      <w:r w:rsidR="0086243F" w:rsidRPr="0086243F">
        <w:t xml:space="preserve">as those </w:t>
      </w:r>
      <w:r>
        <w:t>for</w:t>
      </w:r>
      <w:r w:rsidR="0086243F" w:rsidRPr="0086243F">
        <w:t xml:space="preserve"> its </w:t>
      </w:r>
      <w:r w:rsidR="00614558">
        <w:rPr>
          <w:rStyle w:val="Strong"/>
        </w:rPr>
        <w:t>related body corporate</w:t>
      </w:r>
      <w:r w:rsidR="00BB6AC0" w:rsidRPr="002F23E9">
        <w:t xml:space="preserve"> </w:t>
      </w:r>
      <w:r w:rsidR="00681698" w:rsidRPr="002F23E9">
        <w:t>(</w:t>
      </w:r>
      <w:r w:rsidR="00681698" w:rsidRPr="00BB6AC0">
        <w:t>including</w:t>
      </w:r>
      <w:r w:rsidR="00AA1675" w:rsidRPr="00BB6AC0">
        <w:t xml:space="preserve"> </w:t>
      </w:r>
      <w:r w:rsidR="00AA1675">
        <w:t>customers of</w:t>
      </w:r>
      <w:r w:rsidR="00ED7BE9">
        <w:t xml:space="preserve"> its </w:t>
      </w:r>
      <w:r w:rsidR="00ED7BE9" w:rsidRPr="00ED7BE9">
        <w:rPr>
          <w:rStyle w:val="Strong"/>
        </w:rPr>
        <w:t>related body corporate</w:t>
      </w:r>
      <w:r w:rsidR="00681698">
        <w:t>);</w:t>
      </w:r>
      <w:r w:rsidR="00AA1675">
        <w:t xml:space="preserve"> </w:t>
      </w:r>
      <w:r w:rsidR="00235C5A">
        <w:t xml:space="preserve"> </w:t>
      </w:r>
    </w:p>
    <w:p w:rsidR="00681698" w:rsidRDefault="00681698" w:rsidP="0069009C">
      <w:pPr>
        <w:pStyle w:val="ListLegal2"/>
      </w:pPr>
      <w:r>
        <w:t xml:space="preserve">provide substantially the same quality, reliability and timeliness of service to competitors of its </w:t>
      </w:r>
      <w:r w:rsidRPr="002F23E9">
        <w:rPr>
          <w:rStyle w:val="Strong"/>
        </w:rPr>
        <w:t>related body corporate</w:t>
      </w:r>
      <w:r>
        <w:t xml:space="preserve"> (including customers of </w:t>
      </w:r>
      <w:r w:rsidR="0074658A">
        <w:t xml:space="preserve">its </w:t>
      </w:r>
      <w:r w:rsidR="0074658A" w:rsidRPr="002F23E9">
        <w:rPr>
          <w:rStyle w:val="Strong"/>
        </w:rPr>
        <w:t>related body corporate</w:t>
      </w:r>
      <w:r w:rsidR="0074658A">
        <w:t>)</w:t>
      </w:r>
      <w:r>
        <w:t xml:space="preserve">, as it provides to its </w:t>
      </w:r>
      <w:r w:rsidRPr="002F23E9">
        <w:rPr>
          <w:rStyle w:val="Strong"/>
        </w:rPr>
        <w:t>related body corporate</w:t>
      </w:r>
      <w:r>
        <w:t xml:space="preserve"> (including customers of those competitors)</w:t>
      </w:r>
      <w:r w:rsidR="00D5016B">
        <w:t>;</w:t>
      </w:r>
      <w:r>
        <w:t xml:space="preserve"> </w:t>
      </w:r>
    </w:p>
    <w:p w:rsidR="00235C5A" w:rsidRDefault="00D034D7" w:rsidP="0069009C">
      <w:pPr>
        <w:pStyle w:val="ListLegal2"/>
      </w:pPr>
      <w:r>
        <w:t xml:space="preserve">not provide </w:t>
      </w:r>
      <w:r w:rsidR="00235C5A">
        <w:t xml:space="preserve">information to its </w:t>
      </w:r>
      <w:r w:rsidR="00235C5A" w:rsidRPr="00235C5A">
        <w:rPr>
          <w:rStyle w:val="Strong"/>
        </w:rPr>
        <w:t>related body corporate</w:t>
      </w:r>
      <w:r w:rsidR="00235C5A" w:rsidRPr="00235C5A">
        <w:t xml:space="preserve"> </w:t>
      </w:r>
      <w:r w:rsidR="00235C5A">
        <w:t xml:space="preserve">that the </w:t>
      </w:r>
      <w:r w:rsidR="00235C5A" w:rsidRPr="008A56CB">
        <w:rPr>
          <w:rStyle w:val="Strong"/>
        </w:rPr>
        <w:t>DNSP</w:t>
      </w:r>
      <w:r w:rsidR="00235C5A">
        <w:t xml:space="preserve"> has obtained through its dealings with a competitor of the </w:t>
      </w:r>
      <w:r w:rsidR="00235C5A" w:rsidRPr="008A56CB">
        <w:rPr>
          <w:rStyle w:val="Strong"/>
        </w:rPr>
        <w:t>related body corporate</w:t>
      </w:r>
      <w:r w:rsidR="00235C5A">
        <w:t xml:space="preserve"> that </w:t>
      </w:r>
      <w:r w:rsidR="00903FEF">
        <w:t>may advantage the</w:t>
      </w:r>
      <w:r w:rsidR="00235C5A">
        <w:t xml:space="preserve"> </w:t>
      </w:r>
      <w:r w:rsidR="00235C5A" w:rsidRPr="008A56CB">
        <w:rPr>
          <w:rStyle w:val="Strong"/>
        </w:rPr>
        <w:t>related body corporate</w:t>
      </w:r>
      <w:r w:rsidR="00235C5A">
        <w:t xml:space="preserve"> </w:t>
      </w:r>
      <w:r w:rsidR="00903FEF">
        <w:t xml:space="preserve">in the provision of competitive or contestable </w:t>
      </w:r>
      <w:r w:rsidR="00903FEF" w:rsidRPr="002F23E9">
        <w:rPr>
          <w:rStyle w:val="Strong"/>
        </w:rPr>
        <w:t>energy-related</w:t>
      </w:r>
      <w:r w:rsidR="00903FEF">
        <w:t xml:space="preserve"> services</w:t>
      </w:r>
      <w:r w:rsidR="003B3F65">
        <w:t>;</w:t>
      </w:r>
    </w:p>
    <w:p w:rsidR="003B3F65" w:rsidRDefault="00D034D7" w:rsidP="0069009C">
      <w:pPr>
        <w:pStyle w:val="ListLegal2"/>
      </w:pPr>
      <w:r>
        <w:t>not</w:t>
      </w:r>
      <w:r w:rsidRPr="003B3F65">
        <w:t xml:space="preserve"> </w:t>
      </w:r>
      <w:r w:rsidR="003B3F65" w:rsidRPr="003B3F65">
        <w:t>advertis</w:t>
      </w:r>
      <w:r>
        <w:t>e</w:t>
      </w:r>
      <w:r w:rsidR="003B3F65" w:rsidRPr="003B3F65">
        <w:t xml:space="preserve"> or promot</w:t>
      </w:r>
      <w:r>
        <w:t>e</w:t>
      </w:r>
      <w:r w:rsidR="003B3F65" w:rsidRPr="003B3F65">
        <w:t xml:space="preserve"> the services provided by its </w:t>
      </w:r>
      <w:r w:rsidR="003B3F65" w:rsidRPr="003B3F65">
        <w:rPr>
          <w:rStyle w:val="Strong"/>
        </w:rPr>
        <w:t>related body corporate</w:t>
      </w:r>
      <w:r w:rsidR="003B3F65">
        <w:t xml:space="preserve">; and </w:t>
      </w:r>
    </w:p>
    <w:p w:rsidR="003B3F65" w:rsidRPr="003B3F65" w:rsidRDefault="003B3F65" w:rsidP="0069009C">
      <w:pPr>
        <w:pStyle w:val="ListLegal2"/>
      </w:pPr>
      <w:r>
        <w:t>h</w:t>
      </w:r>
      <w:r w:rsidRPr="003B3F65">
        <w:t xml:space="preserve">ave independent and separate branding for its </w:t>
      </w:r>
      <w:r w:rsidRPr="003B3F65">
        <w:rPr>
          <w:rStyle w:val="Strong"/>
        </w:rPr>
        <w:t>distribution services</w:t>
      </w:r>
      <w:r w:rsidRPr="003B3F65">
        <w:t xml:space="preserve"> from a </w:t>
      </w:r>
      <w:r w:rsidRPr="003B3F65">
        <w:rPr>
          <w:rStyle w:val="Strong"/>
        </w:rPr>
        <w:t xml:space="preserve">related body corporate </w:t>
      </w:r>
      <w:r w:rsidRPr="003B3F65">
        <w:t xml:space="preserve">that provides </w:t>
      </w:r>
      <w:r w:rsidRPr="002F23E9">
        <w:rPr>
          <w:rStyle w:val="Strong"/>
        </w:rPr>
        <w:t>non-distribution services</w:t>
      </w:r>
      <w:r w:rsidRPr="003B3F65">
        <w:t>.</w:t>
      </w:r>
    </w:p>
    <w:p w:rsidR="00630109" w:rsidRPr="00630109" w:rsidRDefault="009D3BA6" w:rsidP="00630109">
      <w:pPr>
        <w:pStyle w:val="Listalphabet"/>
      </w:pPr>
      <w:r>
        <w:t xml:space="preserve">A </w:t>
      </w:r>
      <w:r w:rsidRPr="002F23E9">
        <w:rPr>
          <w:rStyle w:val="Strong"/>
        </w:rPr>
        <w:t>DNSP</w:t>
      </w:r>
      <w:r>
        <w:t xml:space="preserve"> cannot </w:t>
      </w:r>
      <w:r w:rsidR="00B936D7">
        <w:t>apply for</w:t>
      </w:r>
      <w:r>
        <w:t xml:space="preserve"> a waiver </w:t>
      </w:r>
      <w:r w:rsidR="00896280">
        <w:t>of</w:t>
      </w:r>
      <w:r>
        <w:t xml:space="preserve"> </w:t>
      </w:r>
      <w:r w:rsidR="00D034D7">
        <w:t>the obligations set out in clause</w:t>
      </w:r>
      <w:r>
        <w:t xml:space="preserve"> </w:t>
      </w:r>
      <w:r w:rsidR="00630109">
        <w:t>4.1</w:t>
      </w:r>
      <w:r w:rsidR="00630109" w:rsidRPr="00630109">
        <w:t>.</w:t>
      </w:r>
    </w:p>
    <w:p w:rsidR="00067353" w:rsidRDefault="009D3BA6" w:rsidP="006F4738">
      <w:pPr>
        <w:pStyle w:val="Heading2"/>
      </w:pPr>
      <w:bookmarkStart w:id="23" w:name="_Toc459018809"/>
      <w:r>
        <w:t xml:space="preserve">Specific obligations for functional </w:t>
      </w:r>
      <w:r w:rsidR="00D84492">
        <w:t>separation</w:t>
      </w:r>
      <w:bookmarkEnd w:id="23"/>
    </w:p>
    <w:p w:rsidR="006E678D" w:rsidRDefault="006E678D" w:rsidP="006F4738">
      <w:pPr>
        <w:pStyle w:val="Heading3"/>
      </w:pPr>
      <w:bookmarkStart w:id="24" w:name="_Ref456270528"/>
      <w:bookmarkStart w:id="25" w:name="_Toc459018810"/>
      <w:r>
        <w:t>Physical separation/co-location</w:t>
      </w:r>
      <w:bookmarkEnd w:id="24"/>
      <w:bookmarkEnd w:id="25"/>
    </w:p>
    <w:p w:rsidR="00B1187B" w:rsidRDefault="00630109" w:rsidP="00B1187B">
      <w:pPr>
        <w:pStyle w:val="Listalphabet"/>
        <w:numPr>
          <w:ilvl w:val="0"/>
          <w:numId w:val="40"/>
        </w:numPr>
      </w:pPr>
      <w:r>
        <w:t>A</w:t>
      </w:r>
      <w:r w:rsidR="006E678D" w:rsidRPr="006E678D">
        <w:t xml:space="preserve"> </w:t>
      </w:r>
      <w:r w:rsidR="006E678D" w:rsidRPr="00AA2DF5">
        <w:rPr>
          <w:rStyle w:val="Strong"/>
        </w:rPr>
        <w:t>DNSP</w:t>
      </w:r>
      <w:r w:rsidR="006E678D" w:rsidRPr="006E678D">
        <w:t xml:space="preserve"> must operate independent and separate offices </w:t>
      </w:r>
      <w:r w:rsidR="00B35B39">
        <w:t xml:space="preserve">for the provision of </w:t>
      </w:r>
      <w:r w:rsidR="00B17E56" w:rsidRPr="008A56CB">
        <w:rPr>
          <w:rStyle w:val="Strong"/>
        </w:rPr>
        <w:t xml:space="preserve">direct control services </w:t>
      </w:r>
      <w:r w:rsidR="00B17E56">
        <w:t xml:space="preserve">and regulated </w:t>
      </w:r>
      <w:r w:rsidR="00B17E56" w:rsidRPr="008A56CB">
        <w:rPr>
          <w:rStyle w:val="Strong"/>
        </w:rPr>
        <w:t>transmission services</w:t>
      </w:r>
      <w:r w:rsidR="00B17E56">
        <w:t xml:space="preserve"> </w:t>
      </w:r>
      <w:r w:rsidR="00B1187B">
        <w:t xml:space="preserve">from </w:t>
      </w:r>
      <w:r w:rsidR="00B71495">
        <w:t>the office</w:t>
      </w:r>
      <w:r w:rsidR="006B38DA">
        <w:t>s</w:t>
      </w:r>
      <w:r w:rsidR="00B71495">
        <w:t xml:space="preserve"> from which </w:t>
      </w:r>
      <w:r w:rsidR="00B1187B">
        <w:t xml:space="preserve">any </w:t>
      </w:r>
      <w:r w:rsidR="00B35B39">
        <w:t xml:space="preserve">of its </w:t>
      </w:r>
      <w:r w:rsidR="006E678D" w:rsidRPr="006E678D">
        <w:t>separate service provider</w:t>
      </w:r>
      <w:r w:rsidR="00B35B39">
        <w:t>s</w:t>
      </w:r>
      <w:r w:rsidR="006E678D" w:rsidRPr="006E678D">
        <w:t xml:space="preserve"> or </w:t>
      </w:r>
      <w:r w:rsidR="00614558">
        <w:rPr>
          <w:rStyle w:val="Strong"/>
        </w:rPr>
        <w:t>related bod</w:t>
      </w:r>
      <w:r w:rsidR="00FF18A3">
        <w:rPr>
          <w:rStyle w:val="Strong"/>
        </w:rPr>
        <w:t>ies</w:t>
      </w:r>
      <w:r w:rsidR="00614558">
        <w:rPr>
          <w:rStyle w:val="Strong"/>
        </w:rPr>
        <w:t xml:space="preserve"> corporate</w:t>
      </w:r>
      <w:r w:rsidR="006E678D" w:rsidRPr="006E678D">
        <w:t xml:space="preserve"> provides </w:t>
      </w:r>
      <w:r w:rsidR="00EC4F0A">
        <w:t xml:space="preserve">other </w:t>
      </w:r>
      <w:r w:rsidR="006E678D" w:rsidRPr="002F23E9">
        <w:rPr>
          <w:rStyle w:val="Strong"/>
        </w:rPr>
        <w:t>energy-related</w:t>
      </w:r>
      <w:r w:rsidR="006E678D" w:rsidRPr="006E678D">
        <w:t xml:space="preserve"> services</w:t>
      </w:r>
      <w:r w:rsidR="00B1187B">
        <w:t xml:space="preserve">. For example, a </w:t>
      </w:r>
      <w:r w:rsidR="00B1187B" w:rsidRPr="00AA2DF5">
        <w:rPr>
          <w:rStyle w:val="Strong"/>
        </w:rPr>
        <w:t>DNSP</w:t>
      </w:r>
      <w:r w:rsidR="00B1187B">
        <w:t xml:space="preserve"> must </w:t>
      </w:r>
      <w:r w:rsidR="006E678D" w:rsidRPr="006E678D">
        <w:t xml:space="preserve">operate in a different building, </w:t>
      </w:r>
      <w:r w:rsidR="00B1187B">
        <w:t xml:space="preserve">and </w:t>
      </w:r>
      <w:r w:rsidR="006E678D" w:rsidRPr="006E678D">
        <w:t>prevent staff from mixing in the normal course of undertaking work activities</w:t>
      </w:r>
      <w:r w:rsidR="00B1187B">
        <w:t>.</w:t>
      </w:r>
    </w:p>
    <w:p w:rsidR="006E678D" w:rsidRPr="006E678D" w:rsidRDefault="00B1187B" w:rsidP="00B1187B">
      <w:pPr>
        <w:pStyle w:val="Listalphabet"/>
        <w:numPr>
          <w:ilvl w:val="0"/>
          <w:numId w:val="40"/>
        </w:numPr>
      </w:pPr>
      <w:r>
        <w:t>The obligation set out in clause 4.</w:t>
      </w:r>
      <w:r w:rsidR="00181056">
        <w:t>2</w:t>
      </w:r>
      <w:r>
        <w:t xml:space="preserve">.1(a) is </w:t>
      </w:r>
      <w:r w:rsidR="006E678D" w:rsidRPr="006E678D">
        <w:t>subject to</w:t>
      </w:r>
      <w:r>
        <w:t xml:space="preserve"> the following exceptions:</w:t>
      </w:r>
      <w:r w:rsidR="006E678D" w:rsidRPr="006E678D">
        <w:t xml:space="preserve"> </w:t>
      </w:r>
    </w:p>
    <w:p w:rsidR="008F74B1" w:rsidRDefault="008F74B1" w:rsidP="0069009C">
      <w:pPr>
        <w:pStyle w:val="ListLegal"/>
        <w:numPr>
          <w:ilvl w:val="0"/>
          <w:numId w:val="75"/>
        </w:numPr>
      </w:pPr>
      <w:r>
        <w:t>Office accommodation for</w:t>
      </w:r>
      <w:r w:rsidRPr="00A51D1C">
        <w:t xml:space="preserve"> s</w:t>
      </w:r>
      <w:r w:rsidRPr="008F74B1">
        <w:t xml:space="preserve">taff </w:t>
      </w:r>
      <w:r>
        <w:t>of</w:t>
      </w:r>
      <w:r w:rsidRPr="008F74B1">
        <w:t xml:space="preserve"> </w:t>
      </w:r>
      <w:r>
        <w:t xml:space="preserve">its </w:t>
      </w:r>
      <w:r w:rsidRPr="008F74B1">
        <w:t xml:space="preserve">separate service providers or </w:t>
      </w:r>
      <w:r w:rsidRPr="008F74B1">
        <w:rPr>
          <w:rStyle w:val="Strong"/>
        </w:rPr>
        <w:t>related bodies corporate</w:t>
      </w:r>
      <w:r w:rsidRPr="008F74B1">
        <w:t xml:space="preserve"> </w:t>
      </w:r>
      <w:r>
        <w:t xml:space="preserve">that do not </w:t>
      </w:r>
      <w:r w:rsidRPr="008F74B1">
        <w:t xml:space="preserve">provide </w:t>
      </w:r>
      <w:r w:rsidRPr="002F23E9">
        <w:rPr>
          <w:rStyle w:val="Strong"/>
        </w:rPr>
        <w:t>energy-related</w:t>
      </w:r>
      <w:r w:rsidRPr="008F74B1">
        <w:t xml:space="preserve"> services</w:t>
      </w:r>
      <w:r>
        <w:t>; or</w:t>
      </w:r>
    </w:p>
    <w:p w:rsidR="006E678D" w:rsidRPr="00F35B85" w:rsidRDefault="00175DA4" w:rsidP="0069009C">
      <w:pPr>
        <w:pStyle w:val="ListLegal"/>
        <w:numPr>
          <w:ilvl w:val="0"/>
          <w:numId w:val="75"/>
        </w:numPr>
      </w:pPr>
      <w:r w:rsidRPr="00A51D1C">
        <w:lastRenderedPageBreak/>
        <w:t>Office accommodation for s</w:t>
      </w:r>
      <w:r w:rsidR="006B38DA" w:rsidRPr="00A51D1C">
        <w:t xml:space="preserve">taff who are not directly involved in </w:t>
      </w:r>
      <w:r w:rsidRPr="00A51D1C">
        <w:t xml:space="preserve">the provision of </w:t>
      </w:r>
      <w:r w:rsidR="006B38DA" w:rsidRPr="0069009C">
        <w:rPr>
          <w:rStyle w:val="Bold"/>
        </w:rPr>
        <w:t>direct control services</w:t>
      </w:r>
      <w:r w:rsidR="006B38DA" w:rsidRPr="00A51D1C">
        <w:rPr>
          <w:rStyle w:val="Strong"/>
          <w:b w:val="0"/>
          <w:bCs w:val="0"/>
        </w:rPr>
        <w:t xml:space="preserve"> </w:t>
      </w:r>
      <w:r w:rsidR="006B38DA" w:rsidRPr="00A51D1C">
        <w:t xml:space="preserve">and regulated </w:t>
      </w:r>
      <w:r w:rsidR="006B38DA" w:rsidRPr="0069009C">
        <w:rPr>
          <w:rStyle w:val="Bold"/>
        </w:rPr>
        <w:t>transmission services</w:t>
      </w:r>
      <w:r w:rsidR="006B38DA" w:rsidRPr="00A51D1C">
        <w:t xml:space="preserve"> and who </w:t>
      </w:r>
      <w:r w:rsidRPr="00A51D1C">
        <w:t xml:space="preserve">therefore </w:t>
      </w:r>
      <w:r w:rsidR="006B38DA" w:rsidRPr="00A51D1C">
        <w:t xml:space="preserve">do not have access to information about </w:t>
      </w:r>
      <w:r w:rsidRPr="006E645C">
        <w:t xml:space="preserve">electricity </w:t>
      </w:r>
      <w:r w:rsidR="006B38DA" w:rsidRPr="006E645C">
        <w:t>customers</w:t>
      </w:r>
      <w:r w:rsidRPr="006E645C">
        <w:t xml:space="preserve"> and services</w:t>
      </w:r>
      <w:r w:rsidR="006B38DA" w:rsidRPr="006E645C">
        <w:t xml:space="preserve">, such as staff </w:t>
      </w:r>
      <w:r w:rsidRPr="006E645C">
        <w:t>who</w:t>
      </w:r>
      <w:r w:rsidR="006B38DA" w:rsidRPr="006E645C">
        <w:t xml:space="preserve"> exclusively </w:t>
      </w:r>
      <w:r w:rsidRPr="00A93900">
        <w:t xml:space="preserve">perform </w:t>
      </w:r>
      <w:r w:rsidR="00752F1D">
        <w:t>corporate services</w:t>
      </w:r>
      <w:r w:rsidRPr="00F35B85">
        <w:t xml:space="preserve">, for example in </w:t>
      </w:r>
      <w:r w:rsidR="006B38DA" w:rsidRPr="00F35B85">
        <w:t>payroll and human resource</w:t>
      </w:r>
      <w:r w:rsidRPr="00F35B85">
        <w:t>s</w:t>
      </w:r>
      <w:r w:rsidR="006B38DA" w:rsidRPr="00F35B85">
        <w:t xml:space="preserve">; </w:t>
      </w:r>
      <w:r w:rsidR="008F74B1">
        <w:t>or</w:t>
      </w:r>
      <w:r w:rsidR="008F74B1" w:rsidRPr="00F35B85">
        <w:t xml:space="preserve"> </w:t>
      </w:r>
    </w:p>
    <w:p w:rsidR="00B1187B" w:rsidRPr="00F35B85" w:rsidRDefault="00B1187B" w:rsidP="0069009C">
      <w:pPr>
        <w:pStyle w:val="ListLegal2"/>
      </w:pPr>
      <w:r w:rsidRPr="00F35B85">
        <w:t xml:space="preserve">Any arrangements agreed through the waiver process set out in Section </w:t>
      </w:r>
      <w:r w:rsidR="00870DF2" w:rsidRPr="0069009C">
        <w:fldChar w:fldCharType="begin"/>
      </w:r>
      <w:r w:rsidR="00870DF2" w:rsidRPr="00A51D1C">
        <w:instrText xml:space="preserve"> REF _Ref455390303 \r \h </w:instrText>
      </w:r>
      <w:r w:rsidR="00A51D1C">
        <w:instrText xml:space="preserve"> \* MERGEFORMAT </w:instrText>
      </w:r>
      <w:r w:rsidR="00870DF2" w:rsidRPr="0069009C">
        <w:fldChar w:fldCharType="separate"/>
      </w:r>
      <w:r w:rsidR="007F2D89">
        <w:t>5</w:t>
      </w:r>
      <w:r w:rsidR="00870DF2" w:rsidRPr="0069009C">
        <w:fldChar w:fldCharType="end"/>
      </w:r>
      <w:r w:rsidR="00870DF2" w:rsidRPr="00A51D1C">
        <w:t xml:space="preserve"> </w:t>
      </w:r>
      <w:r w:rsidRPr="00A51D1C">
        <w:t xml:space="preserve">of this </w:t>
      </w:r>
      <w:r w:rsidRPr="0069009C">
        <w:rPr>
          <w:rStyle w:val="Bold"/>
        </w:rPr>
        <w:t>Guideline</w:t>
      </w:r>
      <w:r w:rsidRPr="00F35B85">
        <w:t>.</w:t>
      </w:r>
    </w:p>
    <w:p w:rsidR="00067353" w:rsidRPr="00F35B85" w:rsidRDefault="00067353" w:rsidP="00A51D1C">
      <w:pPr>
        <w:pStyle w:val="Heading3"/>
      </w:pPr>
      <w:bookmarkStart w:id="26" w:name="_Toc455509615"/>
      <w:bookmarkStart w:id="27" w:name="_Toc455509670"/>
      <w:bookmarkStart w:id="28" w:name="_Ref456270557"/>
      <w:bookmarkStart w:id="29" w:name="_Toc459018811"/>
      <w:bookmarkEnd w:id="26"/>
      <w:bookmarkEnd w:id="27"/>
      <w:r w:rsidRPr="00F35B85">
        <w:t>Staff sharing</w:t>
      </w:r>
      <w:bookmarkEnd w:id="28"/>
      <w:bookmarkEnd w:id="29"/>
    </w:p>
    <w:p w:rsidR="00C65237" w:rsidRPr="00C65237" w:rsidRDefault="00DD135D" w:rsidP="005E4ABA">
      <w:pPr>
        <w:pStyle w:val="Listalphabet"/>
        <w:numPr>
          <w:ilvl w:val="0"/>
          <w:numId w:val="42"/>
        </w:numPr>
        <w:rPr>
          <w:rStyle w:val="Strong"/>
          <w:b w:val="0"/>
          <w:bCs w:val="0"/>
        </w:rPr>
      </w:pPr>
      <w:r>
        <w:t xml:space="preserve">A </w:t>
      </w:r>
      <w:r w:rsidR="006E678D" w:rsidRPr="00AA2DF5">
        <w:rPr>
          <w:rStyle w:val="Strong"/>
        </w:rPr>
        <w:t>DNSP</w:t>
      </w:r>
      <w:r w:rsidR="006E678D" w:rsidRPr="006E678D">
        <w:t xml:space="preserve"> must ensure that </w:t>
      </w:r>
      <w:r>
        <w:t xml:space="preserve">its </w:t>
      </w:r>
      <w:r w:rsidR="006E678D" w:rsidRPr="006E678D">
        <w:t xml:space="preserve">staff directly involved in the provision </w:t>
      </w:r>
      <w:r w:rsidR="00C3328B">
        <w:t>of</w:t>
      </w:r>
      <w:r w:rsidR="00F040AA">
        <w:t xml:space="preserve"> a</w:t>
      </w:r>
      <w:r w:rsidR="00C3328B">
        <w:t xml:space="preserve"> </w:t>
      </w:r>
      <w:r w:rsidR="00C3328B" w:rsidRPr="00C65237">
        <w:rPr>
          <w:rStyle w:val="Strong"/>
        </w:rPr>
        <w:t>direct control service</w:t>
      </w:r>
      <w:r w:rsidR="00C3328B" w:rsidRPr="00C3328B">
        <w:t xml:space="preserve"> or a regulated </w:t>
      </w:r>
      <w:r w:rsidR="00C3328B" w:rsidRPr="00C3328B">
        <w:rPr>
          <w:rStyle w:val="Strong"/>
        </w:rPr>
        <w:t>transmission service</w:t>
      </w:r>
      <w:r w:rsidR="00C3328B">
        <w:rPr>
          <w:rStyle w:val="Strong"/>
        </w:rPr>
        <w:t xml:space="preserve"> </w:t>
      </w:r>
      <w:r w:rsidR="00C3328B" w:rsidRPr="006E678D">
        <w:t xml:space="preserve">are not also involved in the provision </w:t>
      </w:r>
      <w:r w:rsidR="006E678D" w:rsidRPr="006E678D">
        <w:t>or marketing of a competitive</w:t>
      </w:r>
      <w:r>
        <w:t xml:space="preserve"> or </w:t>
      </w:r>
      <w:r w:rsidR="006E678D" w:rsidRPr="006E678D">
        <w:t xml:space="preserve">contestable </w:t>
      </w:r>
      <w:r w:rsidR="006E678D" w:rsidRPr="002F23E9">
        <w:rPr>
          <w:rStyle w:val="Strong"/>
        </w:rPr>
        <w:t>energy-related</w:t>
      </w:r>
      <w:r w:rsidR="006E678D" w:rsidRPr="006E678D">
        <w:t xml:space="preserve"> service</w:t>
      </w:r>
      <w:r w:rsidR="00C3328B">
        <w:t xml:space="preserve"> by a </w:t>
      </w:r>
      <w:r w:rsidR="00C3328B" w:rsidRPr="00B35B39">
        <w:rPr>
          <w:rStyle w:val="Strong"/>
        </w:rPr>
        <w:t>related body corporate</w:t>
      </w:r>
      <w:r w:rsidR="00C3328B">
        <w:t>.</w:t>
      </w:r>
    </w:p>
    <w:p w:rsidR="00C65237" w:rsidRPr="00C65237" w:rsidRDefault="00C65237" w:rsidP="00771F5E">
      <w:pPr>
        <w:pStyle w:val="Listalphabet"/>
      </w:pPr>
      <w:r w:rsidRPr="00C65237">
        <w:t xml:space="preserve">The </w:t>
      </w:r>
      <w:r w:rsidR="004C625E">
        <w:t xml:space="preserve">restriction </w:t>
      </w:r>
      <w:r w:rsidRPr="00C65237">
        <w:t xml:space="preserve">set </w:t>
      </w:r>
      <w:r w:rsidRPr="00771F5E">
        <w:t>out</w:t>
      </w:r>
      <w:r w:rsidRPr="00C65237">
        <w:t xml:space="preserve"> in clause 4.</w:t>
      </w:r>
      <w:r w:rsidR="00181056">
        <w:t>2</w:t>
      </w:r>
      <w:r w:rsidRPr="00C65237">
        <w:t>.</w:t>
      </w:r>
      <w:r>
        <w:t>2</w:t>
      </w:r>
      <w:r w:rsidRPr="00C65237">
        <w:t xml:space="preserve">(a) </w:t>
      </w:r>
      <w:r w:rsidR="004C625E">
        <w:t>does not apply to</w:t>
      </w:r>
      <w:r w:rsidRPr="00C65237">
        <w:t xml:space="preserve">: </w:t>
      </w:r>
    </w:p>
    <w:p w:rsidR="008F74B1" w:rsidRDefault="008F74B1" w:rsidP="0069009C">
      <w:pPr>
        <w:pStyle w:val="ListLegal"/>
        <w:numPr>
          <w:ilvl w:val="0"/>
          <w:numId w:val="76"/>
        </w:numPr>
      </w:pPr>
      <w:r>
        <w:t xml:space="preserve">A member of staff who is not involved in the provision of </w:t>
      </w:r>
      <w:r w:rsidRPr="002F23E9">
        <w:rPr>
          <w:rStyle w:val="Strong"/>
        </w:rPr>
        <w:t>energy-related</w:t>
      </w:r>
      <w:r>
        <w:t xml:space="preserve"> services; or</w:t>
      </w:r>
    </w:p>
    <w:p w:rsidR="00C3328B" w:rsidRDefault="00C3328B" w:rsidP="0069009C">
      <w:pPr>
        <w:pStyle w:val="ListLegal"/>
        <w:numPr>
          <w:ilvl w:val="0"/>
          <w:numId w:val="76"/>
        </w:numPr>
      </w:pPr>
      <w:r>
        <w:t xml:space="preserve">A member of staff who is a </w:t>
      </w:r>
      <w:r w:rsidRPr="00C3328B">
        <w:t xml:space="preserve">senior executive of both </w:t>
      </w:r>
      <w:r w:rsidR="00C235A3">
        <w:t>a</w:t>
      </w:r>
      <w:r w:rsidRPr="00C3328B">
        <w:t xml:space="preserve"> </w:t>
      </w:r>
      <w:r w:rsidRPr="00C3328B">
        <w:rPr>
          <w:rStyle w:val="Strong"/>
        </w:rPr>
        <w:t>DNSP</w:t>
      </w:r>
      <w:r w:rsidRPr="00C3328B">
        <w:t xml:space="preserve"> and a </w:t>
      </w:r>
      <w:r w:rsidRPr="00C3328B">
        <w:rPr>
          <w:rStyle w:val="Strong"/>
        </w:rPr>
        <w:t>related body corporate</w:t>
      </w:r>
      <w:r>
        <w:t>;</w:t>
      </w:r>
      <w:r w:rsidR="008F74B1">
        <w:t xml:space="preserve"> or</w:t>
      </w:r>
    </w:p>
    <w:p w:rsidR="00C65237" w:rsidRDefault="00A85DE3" w:rsidP="0069009C">
      <w:pPr>
        <w:pStyle w:val="ListLegal2"/>
      </w:pPr>
      <w:r>
        <w:t>A member of staff who is</w:t>
      </w:r>
      <w:r w:rsidR="004C625E" w:rsidRPr="004C625E">
        <w:t xml:space="preserve"> not directly involved in the provision of</w:t>
      </w:r>
      <w:r w:rsidR="00C3328B">
        <w:t xml:space="preserve"> any</w:t>
      </w:r>
      <w:r w:rsidR="007C4889">
        <w:t xml:space="preserve"> </w:t>
      </w:r>
      <w:r w:rsidR="007C4889" w:rsidRPr="00DC150E">
        <w:rPr>
          <w:rStyle w:val="Strong"/>
        </w:rPr>
        <w:t>direct control</w:t>
      </w:r>
      <w:r w:rsidR="00C3328B" w:rsidRPr="00DC150E">
        <w:rPr>
          <w:rStyle w:val="Strong"/>
        </w:rPr>
        <w:t xml:space="preserve"> services</w:t>
      </w:r>
      <w:r w:rsidR="007C4889">
        <w:t xml:space="preserve"> or regulated </w:t>
      </w:r>
      <w:r w:rsidR="007C4889" w:rsidRPr="00DC150E">
        <w:rPr>
          <w:rStyle w:val="Strong"/>
        </w:rPr>
        <w:t>transmission services</w:t>
      </w:r>
      <w:r w:rsidR="007C4889">
        <w:t>,</w:t>
      </w:r>
      <w:r w:rsidR="00C3328B">
        <w:rPr>
          <w:rStyle w:val="Strong"/>
        </w:rPr>
        <w:t xml:space="preserve"> </w:t>
      </w:r>
      <w:r w:rsidR="004C625E" w:rsidRPr="004C625E">
        <w:t xml:space="preserve">and who therefore do not have access to information about electricity customers and services, such as staff who exclusively perform </w:t>
      </w:r>
      <w:r w:rsidR="00A35305">
        <w:t>corporate services</w:t>
      </w:r>
      <w:r w:rsidR="004C625E" w:rsidRPr="004C625E">
        <w:t>, for example in payroll and human resources;</w:t>
      </w:r>
      <w:r w:rsidR="00C3328B">
        <w:t xml:space="preserve"> </w:t>
      </w:r>
      <w:r w:rsidR="008F74B1">
        <w:t xml:space="preserve">or </w:t>
      </w:r>
    </w:p>
    <w:p w:rsidR="006E678D" w:rsidRDefault="004C625E" w:rsidP="0069009C">
      <w:pPr>
        <w:pStyle w:val="ListLegal2"/>
      </w:pPr>
      <w:r>
        <w:t>A</w:t>
      </w:r>
      <w:r w:rsidR="000C2FC0">
        <w:t xml:space="preserve"> member of staff who is involved in the provision of a</w:t>
      </w:r>
      <w:r w:rsidR="00C65237">
        <w:t xml:space="preserve"> </w:t>
      </w:r>
      <w:r w:rsidR="00C65237" w:rsidRPr="00AA2DF5">
        <w:rPr>
          <w:rStyle w:val="Strong"/>
        </w:rPr>
        <w:t>DNSP</w:t>
      </w:r>
      <w:r w:rsidR="00C65237">
        <w:t xml:space="preserve">'s </w:t>
      </w:r>
      <w:r w:rsidR="00C65237" w:rsidRPr="00C65237">
        <w:rPr>
          <w:rStyle w:val="Strong"/>
        </w:rPr>
        <w:t xml:space="preserve">negotiated distribution services </w:t>
      </w:r>
      <w:r w:rsidR="006E678D" w:rsidRPr="006E678D">
        <w:t xml:space="preserve">and </w:t>
      </w:r>
      <w:r w:rsidR="00C65237" w:rsidRPr="00C65237">
        <w:rPr>
          <w:rStyle w:val="Strong"/>
        </w:rPr>
        <w:t>unregulated distribution services</w:t>
      </w:r>
      <w:r>
        <w:t xml:space="preserve">; </w:t>
      </w:r>
      <w:r w:rsidR="008F74B1">
        <w:t xml:space="preserve">or </w:t>
      </w:r>
    </w:p>
    <w:p w:rsidR="00C65237" w:rsidRDefault="004C625E" w:rsidP="0069009C">
      <w:pPr>
        <w:pStyle w:val="ListLegal2"/>
      </w:pPr>
      <w:r>
        <w:t>A</w:t>
      </w:r>
      <w:r w:rsidR="00C65237" w:rsidRPr="00C65237">
        <w:t xml:space="preserve">ny arrangements </w:t>
      </w:r>
      <w:r w:rsidR="007C4889" w:rsidRPr="00C65237">
        <w:t>a</w:t>
      </w:r>
      <w:r w:rsidR="007C4889">
        <w:t>uthorised</w:t>
      </w:r>
      <w:r w:rsidR="007C4889" w:rsidRPr="00C65237">
        <w:t xml:space="preserve"> </w:t>
      </w:r>
      <w:r w:rsidR="00C65237" w:rsidRPr="00C65237">
        <w:t xml:space="preserve">through the waiver process set out in Section </w:t>
      </w:r>
      <w:r w:rsidR="00870DF2">
        <w:fldChar w:fldCharType="begin"/>
      </w:r>
      <w:r w:rsidR="00870DF2">
        <w:instrText xml:space="preserve"> REF _Ref455390303 \r \h </w:instrText>
      </w:r>
      <w:r w:rsidR="00A51D1C">
        <w:instrText xml:space="preserve"> \* MERGEFORMAT </w:instrText>
      </w:r>
      <w:r w:rsidR="00870DF2">
        <w:fldChar w:fldCharType="separate"/>
      </w:r>
      <w:r w:rsidR="007F2D89">
        <w:t>5</w:t>
      </w:r>
      <w:r w:rsidR="00870DF2">
        <w:fldChar w:fldCharType="end"/>
      </w:r>
      <w:r w:rsidR="00870DF2">
        <w:t xml:space="preserve"> </w:t>
      </w:r>
      <w:r w:rsidR="00C65237" w:rsidRPr="00C65237">
        <w:t xml:space="preserve">of this </w:t>
      </w:r>
      <w:r w:rsidR="00C65237" w:rsidRPr="0069009C">
        <w:rPr>
          <w:rStyle w:val="Bold"/>
        </w:rPr>
        <w:t>Guideline</w:t>
      </w:r>
      <w:r w:rsidR="00C65237" w:rsidRPr="00C65237">
        <w:t>.</w:t>
      </w:r>
    </w:p>
    <w:p w:rsidR="00771F5E" w:rsidRPr="00C65237" w:rsidRDefault="00771F5E" w:rsidP="00487E5B">
      <w:pPr>
        <w:pStyle w:val="Listalphabet"/>
      </w:pPr>
      <w:r>
        <w:t xml:space="preserve">A </w:t>
      </w:r>
      <w:r w:rsidRPr="00487E5B">
        <w:rPr>
          <w:rStyle w:val="Strong"/>
        </w:rPr>
        <w:t>DNSP</w:t>
      </w:r>
      <w:r>
        <w:t xml:space="preserve"> must not </w:t>
      </w:r>
      <w:r w:rsidR="002F57FE">
        <w:t>remunerat</w:t>
      </w:r>
      <w:r w:rsidR="0031255E">
        <w:t>e</w:t>
      </w:r>
      <w:r w:rsidR="002F57FE">
        <w:t xml:space="preserve"> </w:t>
      </w:r>
      <w:r w:rsidR="0031255E">
        <w:t xml:space="preserve">or otherwise incentivise </w:t>
      </w:r>
      <w:r w:rsidR="002F57FE">
        <w:t xml:space="preserve">its staff (other than </w:t>
      </w:r>
      <w:r w:rsidR="00C3328B">
        <w:t xml:space="preserve">a staff member who is a senior executive </w:t>
      </w:r>
      <w:r w:rsidR="002F57FE">
        <w:t xml:space="preserve">of both the </w:t>
      </w:r>
      <w:r w:rsidR="002F57FE" w:rsidRPr="00487E5B">
        <w:rPr>
          <w:rStyle w:val="Strong"/>
        </w:rPr>
        <w:t>DNSP</w:t>
      </w:r>
      <w:r w:rsidR="002F57FE">
        <w:t xml:space="preserve"> and a </w:t>
      </w:r>
      <w:r w:rsidR="002F57FE" w:rsidRPr="00487E5B">
        <w:rPr>
          <w:rStyle w:val="Strong"/>
        </w:rPr>
        <w:t>related body corporate</w:t>
      </w:r>
      <w:r w:rsidR="002F57FE">
        <w:t xml:space="preserve">) based on the performance of a </w:t>
      </w:r>
      <w:r w:rsidR="002F57FE">
        <w:rPr>
          <w:rStyle w:val="Strong"/>
        </w:rPr>
        <w:t>related body corporate</w:t>
      </w:r>
      <w:r w:rsidR="00B17E56">
        <w:t>.</w:t>
      </w:r>
    </w:p>
    <w:p w:rsidR="00067353" w:rsidRPr="00067353" w:rsidRDefault="00067353" w:rsidP="008120E3">
      <w:pPr>
        <w:pStyle w:val="Heading2"/>
      </w:pPr>
      <w:bookmarkStart w:id="30" w:name="_Toc455509617"/>
      <w:bookmarkStart w:id="31" w:name="_Toc455509672"/>
      <w:bookmarkStart w:id="32" w:name="_Toc459018812"/>
      <w:bookmarkEnd w:id="30"/>
      <w:bookmarkEnd w:id="31"/>
      <w:r w:rsidRPr="00067353">
        <w:t>Information access and disclosure</w:t>
      </w:r>
      <w:bookmarkEnd w:id="32"/>
    </w:p>
    <w:p w:rsidR="00067353" w:rsidRDefault="00067353" w:rsidP="008120E3">
      <w:pPr>
        <w:pStyle w:val="Heading3"/>
      </w:pPr>
      <w:bookmarkStart w:id="33" w:name="_Toc459018813"/>
      <w:r w:rsidRPr="00067353">
        <w:t xml:space="preserve">Protection </w:t>
      </w:r>
      <w:r w:rsidR="00250CFB">
        <w:t>of information</w:t>
      </w:r>
      <w:bookmarkEnd w:id="33"/>
    </w:p>
    <w:p w:rsidR="006F4738" w:rsidRDefault="00250CFB" w:rsidP="006F4738">
      <w:r>
        <w:t>A</w:t>
      </w:r>
      <w:r w:rsidR="006F4738" w:rsidRPr="006F4738">
        <w:t xml:space="preserve"> </w:t>
      </w:r>
      <w:r w:rsidR="006F4738" w:rsidRPr="00870DF2">
        <w:rPr>
          <w:rStyle w:val="Strong"/>
        </w:rPr>
        <w:t>DNSP</w:t>
      </w:r>
      <w:r w:rsidR="006F4738" w:rsidRPr="006F4738">
        <w:t xml:space="preserve"> must </w:t>
      </w:r>
      <w:r w:rsidR="00FD58B3">
        <w:t>keep</w:t>
      </w:r>
      <w:r w:rsidR="006F4738" w:rsidRPr="006F4738">
        <w:t xml:space="preserve"> information provided by a customer, prospective customer or service provider for </w:t>
      </w:r>
      <w:r w:rsidRPr="00250CFB">
        <w:rPr>
          <w:rStyle w:val="Strong"/>
        </w:rPr>
        <w:t>direct control services</w:t>
      </w:r>
      <w:r w:rsidRPr="006F4738">
        <w:t xml:space="preserve"> </w:t>
      </w:r>
      <w:r w:rsidR="006F4738" w:rsidRPr="006F4738">
        <w:t xml:space="preserve">and/or regulated </w:t>
      </w:r>
      <w:r w:rsidRPr="00250CFB">
        <w:rPr>
          <w:rStyle w:val="Strong"/>
        </w:rPr>
        <w:t>transmission services</w:t>
      </w:r>
      <w:r w:rsidR="00FD58B3">
        <w:rPr>
          <w:rStyle w:val="Strong"/>
        </w:rPr>
        <w:t xml:space="preserve"> </w:t>
      </w:r>
      <w:r w:rsidR="007C4889">
        <w:t>.</w:t>
      </w:r>
      <w:r w:rsidR="00FD58B3">
        <w:t>confidential. T</w:t>
      </w:r>
      <w:r w:rsidR="007C4889">
        <w:t xml:space="preserve">he DNSP must only use this </w:t>
      </w:r>
      <w:r>
        <w:t xml:space="preserve">information </w:t>
      </w:r>
      <w:r w:rsidR="006F4738" w:rsidRPr="006F4738">
        <w:t>for the purpose for which that information was provided</w:t>
      </w:r>
      <w:r>
        <w:t>.</w:t>
      </w:r>
    </w:p>
    <w:p w:rsidR="00FE67A7" w:rsidRDefault="00FE67A7" w:rsidP="006F4738"/>
    <w:p w:rsidR="00FE67A7" w:rsidRDefault="00FE67A7" w:rsidP="006F4738"/>
    <w:p w:rsidR="00067353" w:rsidRDefault="00067353" w:rsidP="008120E3">
      <w:pPr>
        <w:pStyle w:val="Heading3"/>
      </w:pPr>
      <w:bookmarkStart w:id="34" w:name="_Toc459018814"/>
      <w:r w:rsidRPr="00067353">
        <w:lastRenderedPageBreak/>
        <w:t>Sharing</w:t>
      </w:r>
      <w:r w:rsidR="004950D8">
        <w:t xml:space="preserve"> of information</w:t>
      </w:r>
      <w:bookmarkEnd w:id="34"/>
    </w:p>
    <w:p w:rsidR="006F4738" w:rsidRPr="006F4738" w:rsidRDefault="006F4738" w:rsidP="004950D8">
      <w:r w:rsidRPr="006F4738">
        <w:t xml:space="preserve">Where a </w:t>
      </w:r>
      <w:r w:rsidRPr="00870DF2">
        <w:rPr>
          <w:rStyle w:val="Strong"/>
        </w:rPr>
        <w:t>DNSP</w:t>
      </w:r>
      <w:r w:rsidRPr="006F4738">
        <w:t xml:space="preserve"> acquires information in providing </w:t>
      </w:r>
      <w:r w:rsidR="00870DF2" w:rsidRPr="00870DF2">
        <w:rPr>
          <w:rStyle w:val="Strong"/>
        </w:rPr>
        <w:t>direct control services</w:t>
      </w:r>
      <w:r w:rsidR="00870DF2" w:rsidRPr="006F4738">
        <w:t xml:space="preserve"> </w:t>
      </w:r>
      <w:r w:rsidRPr="006F4738">
        <w:t xml:space="preserve">and/or regulated </w:t>
      </w:r>
      <w:r w:rsidR="00870DF2" w:rsidRPr="00870DF2">
        <w:rPr>
          <w:rStyle w:val="Strong"/>
        </w:rPr>
        <w:t>transmission services</w:t>
      </w:r>
      <w:r w:rsidRPr="006F4738">
        <w:t>, and shares th</w:t>
      </w:r>
      <w:r w:rsidR="00FD58B3">
        <w:t>at</w:t>
      </w:r>
      <w:r w:rsidRPr="006F4738">
        <w:t xml:space="preserve"> information </w:t>
      </w:r>
      <w:r w:rsidR="00FD58B3">
        <w:t xml:space="preserve">(including information derived from that information) </w:t>
      </w:r>
      <w:r w:rsidRPr="006F4738">
        <w:t xml:space="preserve">with a </w:t>
      </w:r>
      <w:r w:rsidR="00614558">
        <w:rPr>
          <w:rStyle w:val="Strong"/>
        </w:rPr>
        <w:t>related body corporate</w:t>
      </w:r>
      <w:r w:rsidRPr="006F4738">
        <w:t>, it must provide access to that information</w:t>
      </w:r>
      <w:r w:rsidR="00FD58B3">
        <w:t xml:space="preserve"> (including the derived information)</w:t>
      </w:r>
      <w:r w:rsidRPr="006F4738">
        <w:t xml:space="preserve"> on an equal basis with third parties competing with the </w:t>
      </w:r>
      <w:r w:rsidR="00614558">
        <w:rPr>
          <w:rStyle w:val="Strong"/>
        </w:rPr>
        <w:t>related body corporate</w:t>
      </w:r>
      <w:r w:rsidR="00870DF2">
        <w:t>.</w:t>
      </w:r>
      <w:r w:rsidR="009974C8">
        <w:t xml:space="preserve"> </w:t>
      </w:r>
    </w:p>
    <w:p w:rsidR="00067353" w:rsidRDefault="00067353" w:rsidP="008120E3">
      <w:pPr>
        <w:pStyle w:val="Heading3"/>
      </w:pPr>
      <w:bookmarkStart w:id="35" w:name="_Toc459018815"/>
      <w:r w:rsidRPr="00067353">
        <w:t>Disclosure</w:t>
      </w:r>
      <w:r w:rsidR="004950D8">
        <w:t xml:space="preserve"> of information</w:t>
      </w:r>
      <w:bookmarkEnd w:id="35"/>
    </w:p>
    <w:p w:rsidR="000065B1" w:rsidRDefault="004950D8" w:rsidP="006F4738">
      <w:r>
        <w:t>A</w:t>
      </w:r>
      <w:r w:rsidR="006F4738" w:rsidRPr="006F4738">
        <w:t xml:space="preserve"> </w:t>
      </w:r>
      <w:r w:rsidR="006F4738" w:rsidRPr="00870DF2">
        <w:rPr>
          <w:rStyle w:val="Strong"/>
        </w:rPr>
        <w:t>DNSP</w:t>
      </w:r>
      <w:r w:rsidR="006F4738" w:rsidRPr="006F4738">
        <w:t xml:space="preserve"> must not disclose informati</w:t>
      </w:r>
      <w:r w:rsidRPr="006F4738">
        <w:t xml:space="preserve">on acquired in providing </w:t>
      </w:r>
      <w:r w:rsidRPr="004950D8">
        <w:rPr>
          <w:rStyle w:val="Strong"/>
        </w:rPr>
        <w:t>direct control services</w:t>
      </w:r>
      <w:r w:rsidRPr="006F4738">
        <w:t xml:space="preserve"> or regulated </w:t>
      </w:r>
      <w:r w:rsidRPr="004950D8">
        <w:rPr>
          <w:rStyle w:val="Strong"/>
        </w:rPr>
        <w:t>transmission ser</w:t>
      </w:r>
      <w:r w:rsidR="006F4738" w:rsidRPr="004950D8">
        <w:rPr>
          <w:rStyle w:val="Strong"/>
        </w:rPr>
        <w:t>vices</w:t>
      </w:r>
      <w:r w:rsidR="006F4738" w:rsidRPr="006F4738">
        <w:t xml:space="preserve"> </w:t>
      </w:r>
      <w:r w:rsidR="00FD58B3">
        <w:t xml:space="preserve">(including information derived from that information) </w:t>
      </w:r>
      <w:r w:rsidR="006F4738" w:rsidRPr="006F4738">
        <w:t>to any party</w:t>
      </w:r>
      <w:r w:rsidR="00596131">
        <w:t>,</w:t>
      </w:r>
      <w:r w:rsidR="006F4738" w:rsidRPr="006F4738">
        <w:t xml:space="preserve"> </w:t>
      </w:r>
      <w:r w:rsidR="00771F5E">
        <w:t xml:space="preserve">including a </w:t>
      </w:r>
      <w:r w:rsidR="00771F5E" w:rsidRPr="00487E5B">
        <w:rPr>
          <w:rStyle w:val="Strong"/>
        </w:rPr>
        <w:t>related body corporate</w:t>
      </w:r>
      <w:r w:rsidR="00596131">
        <w:rPr>
          <w:rStyle w:val="Strong"/>
        </w:rPr>
        <w:t>,</w:t>
      </w:r>
      <w:r w:rsidR="00771F5E">
        <w:t xml:space="preserve"> </w:t>
      </w:r>
      <w:r w:rsidR="006F4738" w:rsidRPr="006F4738">
        <w:t xml:space="preserve">without </w:t>
      </w:r>
      <w:r w:rsidR="00B13A22">
        <w:t xml:space="preserve">obtaining </w:t>
      </w:r>
      <w:r w:rsidR="006F4738" w:rsidRPr="006F4738">
        <w:t xml:space="preserve">the </w:t>
      </w:r>
      <w:r w:rsidR="00D358A5">
        <w:t xml:space="preserve">explicit </w:t>
      </w:r>
      <w:r w:rsidR="006F4738" w:rsidRPr="006F4738">
        <w:t xml:space="preserve">informed </w:t>
      </w:r>
      <w:r w:rsidR="00D358A5">
        <w:t xml:space="preserve">consent </w:t>
      </w:r>
      <w:r w:rsidR="006F4738" w:rsidRPr="006F4738">
        <w:t>of the relevant customer</w:t>
      </w:r>
      <w:r w:rsidR="00FD58B3">
        <w:t>s</w:t>
      </w:r>
      <w:r w:rsidR="006F4738" w:rsidRPr="006F4738">
        <w:t xml:space="preserve"> or prospective customer</w:t>
      </w:r>
      <w:r w:rsidR="00FD58B3">
        <w:t>s</w:t>
      </w:r>
      <w:r w:rsidR="006F4738" w:rsidRPr="006F4738">
        <w:t xml:space="preserve"> to whom the information relates</w:t>
      </w:r>
      <w:r>
        <w:t>.</w:t>
      </w:r>
    </w:p>
    <w:p w:rsidR="006F4738" w:rsidRDefault="004950D8" w:rsidP="004950D8">
      <w:pPr>
        <w:pStyle w:val="Heading3"/>
      </w:pPr>
      <w:bookmarkStart w:id="36" w:name="_Toc459018816"/>
      <w:r>
        <w:t>No w</w:t>
      </w:r>
      <w:r w:rsidR="006F4738">
        <w:t>aiver</w:t>
      </w:r>
      <w:bookmarkEnd w:id="36"/>
      <w:r w:rsidR="006F4738">
        <w:t xml:space="preserve"> </w:t>
      </w:r>
    </w:p>
    <w:p w:rsidR="006F4738" w:rsidRPr="006F4738" w:rsidRDefault="009D3BA6" w:rsidP="006F4738">
      <w:r>
        <w:t xml:space="preserve">A </w:t>
      </w:r>
      <w:r w:rsidRPr="002F23E9">
        <w:rPr>
          <w:rStyle w:val="Strong"/>
        </w:rPr>
        <w:t>DNSP</w:t>
      </w:r>
      <w:r>
        <w:t xml:space="preserve"> cannot </w:t>
      </w:r>
      <w:r w:rsidR="00B936D7">
        <w:t>apply for</w:t>
      </w:r>
      <w:r>
        <w:t xml:space="preserve"> a waiver </w:t>
      </w:r>
      <w:r w:rsidR="00896280">
        <w:t>of</w:t>
      </w:r>
      <w:r>
        <w:t xml:space="preserve"> the </w:t>
      </w:r>
      <w:r w:rsidR="004950D8">
        <w:t>obligations set out in this clause 4.</w:t>
      </w:r>
      <w:r w:rsidR="00B30786">
        <w:t>3</w:t>
      </w:r>
      <w:r w:rsidR="004950D8">
        <w:t xml:space="preserve">. </w:t>
      </w:r>
    </w:p>
    <w:p w:rsidR="003E3877" w:rsidRDefault="00067353" w:rsidP="008120E3">
      <w:pPr>
        <w:pStyle w:val="Heading1"/>
      </w:pPr>
      <w:bookmarkStart w:id="37" w:name="_Toc459018817"/>
      <w:bookmarkStart w:id="38" w:name="_Ref455390303"/>
      <w:r w:rsidRPr="00067353">
        <w:lastRenderedPageBreak/>
        <w:t>Waiver</w:t>
      </w:r>
      <w:r w:rsidR="00762FD7">
        <w:t>s</w:t>
      </w:r>
      <w:bookmarkEnd w:id="37"/>
    </w:p>
    <w:p w:rsidR="00445B41" w:rsidRPr="00445B41" w:rsidRDefault="006C5CE6" w:rsidP="00445B41">
      <w:pPr>
        <w:pStyle w:val="Heading2"/>
      </w:pPr>
      <w:bookmarkStart w:id="39" w:name="_Ref455504552"/>
      <w:bookmarkStart w:id="40" w:name="_Toc459018818"/>
      <w:r>
        <w:t>DNSP's application</w:t>
      </w:r>
      <w:r w:rsidR="00445B41">
        <w:t xml:space="preserve"> for a waiver</w:t>
      </w:r>
      <w:bookmarkEnd w:id="39"/>
      <w:bookmarkEnd w:id="40"/>
    </w:p>
    <w:p w:rsidR="006E7DA7" w:rsidRDefault="00445B41" w:rsidP="00E65AD0">
      <w:r>
        <w:t xml:space="preserve">A </w:t>
      </w:r>
      <w:r w:rsidRPr="00971D29">
        <w:rPr>
          <w:rStyle w:val="Strong"/>
        </w:rPr>
        <w:t>DNSP</w:t>
      </w:r>
      <w:r w:rsidRPr="00445B41">
        <w:t xml:space="preserve"> may apply </w:t>
      </w:r>
      <w:r w:rsidR="006C5CE6">
        <w:t xml:space="preserve">in writing </w:t>
      </w:r>
      <w:r w:rsidRPr="00445B41">
        <w:t xml:space="preserve">to the </w:t>
      </w:r>
      <w:r w:rsidRPr="00971D29">
        <w:rPr>
          <w:rStyle w:val="Strong"/>
        </w:rPr>
        <w:t>AER</w:t>
      </w:r>
      <w:r w:rsidRPr="00445B41">
        <w:t xml:space="preserve"> for a waiver of </w:t>
      </w:r>
      <w:r>
        <w:t>its</w:t>
      </w:r>
      <w:r w:rsidRPr="00445B41">
        <w:t xml:space="preserve"> obligations under </w:t>
      </w:r>
      <w:r>
        <w:t xml:space="preserve">clause </w:t>
      </w:r>
      <w:r w:rsidR="00241EC5">
        <w:t xml:space="preserve">4.2 </w:t>
      </w:r>
      <w:r>
        <w:t xml:space="preserve">of </w:t>
      </w:r>
      <w:r w:rsidRPr="00445B41">
        <w:t xml:space="preserve">this </w:t>
      </w:r>
      <w:r w:rsidRPr="0069009C">
        <w:rPr>
          <w:rStyle w:val="Bold"/>
        </w:rPr>
        <w:t>Guideline</w:t>
      </w:r>
      <w:r w:rsidRPr="00445B41">
        <w:t xml:space="preserve">. An application for a waiver must include all information and materials necessary to support the </w:t>
      </w:r>
      <w:r w:rsidRPr="00971D29">
        <w:rPr>
          <w:rStyle w:val="Strong"/>
        </w:rPr>
        <w:t>DNSP</w:t>
      </w:r>
      <w:r>
        <w:t>'s</w:t>
      </w:r>
      <w:r w:rsidRPr="00445B41">
        <w:t xml:space="preserve"> application</w:t>
      </w:r>
      <w:r w:rsidR="006C5CE6">
        <w:t>, including:</w:t>
      </w:r>
    </w:p>
    <w:p w:rsidR="009974C8" w:rsidRDefault="00596131" w:rsidP="009974C8">
      <w:pPr>
        <w:pStyle w:val="Listalphabet"/>
        <w:numPr>
          <w:ilvl w:val="0"/>
          <w:numId w:val="50"/>
        </w:numPr>
      </w:pPr>
      <w:r>
        <w:t xml:space="preserve">The </w:t>
      </w:r>
      <w:r w:rsidR="009974C8" w:rsidRPr="009974C8">
        <w:t>service</w:t>
      </w:r>
      <w:r w:rsidR="003A7A60" w:rsidRPr="00975452">
        <w:rPr>
          <w:rStyle w:val="Strong"/>
          <w:b w:val="0"/>
          <w:bCs w:val="0"/>
        </w:rPr>
        <w:t xml:space="preserve">, or </w:t>
      </w:r>
      <w:r w:rsidR="009974C8">
        <w:t>services</w:t>
      </w:r>
      <w:r w:rsidR="00016194">
        <w:rPr>
          <w:rStyle w:val="Strong"/>
        </w:rPr>
        <w:t>,</w:t>
      </w:r>
      <w:r w:rsidR="009974C8">
        <w:t xml:space="preserve"> </w:t>
      </w:r>
      <w:r w:rsidR="00F040AA">
        <w:t xml:space="preserve">in relation to </w:t>
      </w:r>
      <w:r w:rsidR="009974C8">
        <w:t xml:space="preserve">which </w:t>
      </w:r>
      <w:r w:rsidRPr="006C5CE6">
        <w:t xml:space="preserve">the </w:t>
      </w:r>
      <w:r w:rsidRPr="00596131">
        <w:rPr>
          <w:rStyle w:val="Strong"/>
        </w:rPr>
        <w:t>DNSP</w:t>
      </w:r>
      <w:r w:rsidRPr="00596131">
        <w:t xml:space="preserve"> is requesting the waiver</w:t>
      </w:r>
      <w:r w:rsidR="0084715F" w:rsidRPr="009974C8">
        <w:rPr>
          <w:rStyle w:val="Strong"/>
          <w:b w:val="0"/>
          <w:bCs w:val="0"/>
        </w:rPr>
        <w:t>;</w:t>
      </w:r>
    </w:p>
    <w:p w:rsidR="009974C8" w:rsidRDefault="00E65AD0" w:rsidP="009974C8">
      <w:pPr>
        <w:pStyle w:val="Listalphabet"/>
        <w:numPr>
          <w:ilvl w:val="0"/>
          <w:numId w:val="50"/>
        </w:numPr>
      </w:pPr>
      <w:r>
        <w:t xml:space="preserve">Whether </w:t>
      </w:r>
      <w:r w:rsidRPr="006C5CE6">
        <w:t>t</w:t>
      </w:r>
      <w:r w:rsidR="006C5CE6" w:rsidRPr="006C5CE6">
        <w:t xml:space="preserve">he </w:t>
      </w:r>
      <w:r w:rsidR="003A7A60">
        <w:t xml:space="preserve">waiver </w:t>
      </w:r>
      <w:r w:rsidRPr="00E65AD0">
        <w:t>being</w:t>
      </w:r>
      <w:r>
        <w:t xml:space="preserve"> </w:t>
      </w:r>
      <w:r w:rsidR="003A7A60">
        <w:t xml:space="preserve">sought </w:t>
      </w:r>
      <w:r>
        <w:t xml:space="preserve">relates to the </w:t>
      </w:r>
      <w:r w:rsidR="009974C8">
        <w:t xml:space="preserve">physical separation/co-location obligation in clause  </w:t>
      </w:r>
      <w:r w:rsidR="00241EC5">
        <w:t xml:space="preserve">4.2.1 </w:t>
      </w:r>
      <w:r w:rsidR="003A7A60">
        <w:t xml:space="preserve">and/or </w:t>
      </w:r>
      <w:r w:rsidR="009974C8">
        <w:t xml:space="preserve">to the </w:t>
      </w:r>
      <w:r w:rsidR="003A7A60">
        <w:t>staff sharing</w:t>
      </w:r>
      <w:r>
        <w:t xml:space="preserve"> obligation</w:t>
      </w:r>
      <w:r w:rsidR="009974C8">
        <w:t xml:space="preserve"> in clause </w:t>
      </w:r>
      <w:r w:rsidR="00016194">
        <w:t xml:space="preserve"> </w:t>
      </w:r>
      <w:r w:rsidR="00241EC5">
        <w:t xml:space="preserve">4.2.2 </w:t>
      </w:r>
      <w:r w:rsidR="00016194">
        <w:t>and</w:t>
      </w:r>
      <w:r w:rsidR="003A7A60">
        <w:t xml:space="preserve"> the </w:t>
      </w:r>
      <w:r w:rsidR="006C5CE6" w:rsidRPr="006C5CE6">
        <w:t xml:space="preserve">reason that the </w:t>
      </w:r>
      <w:r w:rsidR="006C5CE6" w:rsidRPr="00971D29">
        <w:rPr>
          <w:rStyle w:val="Strong"/>
        </w:rPr>
        <w:t>DNSP</w:t>
      </w:r>
      <w:r w:rsidR="006C5CE6" w:rsidRPr="006C5CE6">
        <w:t xml:space="preserve"> is requesting the waiver</w:t>
      </w:r>
      <w:r w:rsidR="006C5CE6">
        <w:t>;</w:t>
      </w:r>
    </w:p>
    <w:p w:rsidR="006C5CE6" w:rsidRDefault="006C5CE6" w:rsidP="009974C8">
      <w:pPr>
        <w:pStyle w:val="Listalphabet"/>
        <w:numPr>
          <w:ilvl w:val="0"/>
          <w:numId w:val="50"/>
        </w:numPr>
      </w:pPr>
      <w:r w:rsidRPr="006C5CE6">
        <w:t>The costs associated with</w:t>
      </w:r>
      <w:r w:rsidR="005E4ABA">
        <w:t xml:space="preserve"> the </w:t>
      </w:r>
      <w:r w:rsidR="005E4ABA" w:rsidRPr="00971D29">
        <w:rPr>
          <w:rStyle w:val="Strong"/>
        </w:rPr>
        <w:t>DNSP</w:t>
      </w:r>
      <w:r w:rsidRPr="006C5CE6">
        <w:t xml:space="preserve"> complying with </w:t>
      </w:r>
      <w:r>
        <w:t xml:space="preserve">clause </w:t>
      </w:r>
      <w:r w:rsidR="00B30786">
        <w:t>4.2</w:t>
      </w:r>
      <w:r w:rsidR="009974C8">
        <w:t xml:space="preserve"> if the waiver is </w:t>
      </w:r>
      <w:r w:rsidR="00016194">
        <w:t>refused and how these costs will vary if the waiver is granted</w:t>
      </w:r>
      <w:r>
        <w:t>;</w:t>
      </w:r>
    </w:p>
    <w:p w:rsidR="008F520A" w:rsidRDefault="003C0E20" w:rsidP="00971D29">
      <w:pPr>
        <w:pStyle w:val="Listalphabet"/>
        <w:numPr>
          <w:ilvl w:val="0"/>
          <w:numId w:val="50"/>
        </w:numPr>
      </w:pPr>
      <w:r>
        <w:t xml:space="preserve">Whether </w:t>
      </w:r>
      <w:r w:rsidR="008F520A">
        <w:t xml:space="preserve">the </w:t>
      </w:r>
      <w:r w:rsidR="00214379" w:rsidRPr="00971D29">
        <w:rPr>
          <w:rStyle w:val="Strong"/>
        </w:rPr>
        <w:t>DNSP</w:t>
      </w:r>
      <w:r w:rsidR="00214379">
        <w:t xml:space="preserve"> seeks the </w:t>
      </w:r>
      <w:r w:rsidR="008F520A">
        <w:t xml:space="preserve">waiver </w:t>
      </w:r>
      <w:r w:rsidR="00D84FF3">
        <w:t>to</w:t>
      </w:r>
      <w:r w:rsidR="008F520A">
        <w:t xml:space="preserve"> apply</w:t>
      </w:r>
      <w:r>
        <w:t xml:space="preserve"> to the</w:t>
      </w:r>
      <w:r w:rsidR="003D1ECC">
        <w:t xml:space="preserve"> current </w:t>
      </w:r>
      <w:r w:rsidRPr="003C0E20">
        <w:rPr>
          <w:rStyle w:val="Strong"/>
        </w:rPr>
        <w:t>regulatory control period</w:t>
      </w:r>
      <w:r w:rsidR="00E65AD0">
        <w:rPr>
          <w:rStyle w:val="Strong"/>
        </w:rPr>
        <w:t xml:space="preserve">, </w:t>
      </w:r>
      <w:r>
        <w:t>the</w:t>
      </w:r>
      <w:r w:rsidR="003D1ECC">
        <w:t xml:space="preserve"> next</w:t>
      </w:r>
      <w:r w:rsidRPr="003C0E20">
        <w:rPr>
          <w:rStyle w:val="Strong"/>
        </w:rPr>
        <w:t xml:space="preserve"> regulatory control period</w:t>
      </w:r>
      <w:r w:rsidR="00E65AD0" w:rsidRPr="00E65AD0">
        <w:t xml:space="preserve"> </w:t>
      </w:r>
      <w:r w:rsidR="00E65AD0">
        <w:t>or both</w:t>
      </w:r>
      <w:r w:rsidR="008F520A">
        <w:t>;</w:t>
      </w:r>
    </w:p>
    <w:p w:rsidR="006C5CE6" w:rsidRDefault="006C5CE6" w:rsidP="00971D29">
      <w:pPr>
        <w:pStyle w:val="Listalphabet"/>
        <w:numPr>
          <w:ilvl w:val="0"/>
          <w:numId w:val="50"/>
        </w:numPr>
      </w:pPr>
      <w:r>
        <w:t>A</w:t>
      </w:r>
      <w:r w:rsidRPr="006C5CE6">
        <w:t>ny a</w:t>
      </w:r>
      <w:r w:rsidR="00977E7D">
        <w:t>dditional</w:t>
      </w:r>
      <w:r w:rsidRPr="006C5CE6">
        <w:t xml:space="preserve"> measures that the </w:t>
      </w:r>
      <w:r w:rsidRPr="00971D29">
        <w:rPr>
          <w:rStyle w:val="Strong"/>
        </w:rPr>
        <w:t>DNSP</w:t>
      </w:r>
      <w:r w:rsidRPr="006C5CE6">
        <w:t xml:space="preserve"> proposes to undertake in conjunction with the waiver; and </w:t>
      </w:r>
    </w:p>
    <w:p w:rsidR="006C5CE6" w:rsidRDefault="005E4ABA" w:rsidP="00971D29">
      <w:pPr>
        <w:pStyle w:val="Listalphabet"/>
        <w:numPr>
          <w:ilvl w:val="0"/>
          <w:numId w:val="50"/>
        </w:numPr>
      </w:pPr>
      <w:r>
        <w:t xml:space="preserve">The </w:t>
      </w:r>
      <w:r w:rsidR="00D84FF3">
        <w:t xml:space="preserve">reasons </w:t>
      </w:r>
      <w:r>
        <w:t xml:space="preserve">why the </w:t>
      </w:r>
      <w:r w:rsidRPr="00971D29">
        <w:rPr>
          <w:rStyle w:val="Strong"/>
        </w:rPr>
        <w:t>DNSP</w:t>
      </w:r>
      <w:r>
        <w:t xml:space="preserve"> considers </w:t>
      </w:r>
      <w:r w:rsidR="006C5CE6" w:rsidRPr="006C5CE6">
        <w:t>the waiver should be granted with reference to the matters set out in clause</w:t>
      </w:r>
      <w:r w:rsidR="00241EC5">
        <w:t xml:space="preserve"> 5.2.2</w:t>
      </w:r>
      <w:r w:rsidR="004843E0">
        <w:t>, including, but not necessarily limited to, the benefits, or likely benefits the grant of waiver would bring to electricity consumers</w:t>
      </w:r>
      <w:r w:rsidR="006C5CE6" w:rsidRPr="006C5CE6">
        <w:t xml:space="preserve">.  </w:t>
      </w:r>
    </w:p>
    <w:p w:rsidR="006E7DA7" w:rsidRDefault="006C5CE6" w:rsidP="00971D29">
      <w:pPr>
        <w:pStyle w:val="Heading2"/>
      </w:pPr>
      <w:bookmarkStart w:id="41" w:name="_Toc459018819"/>
      <w:r>
        <w:t>AER's consideration</w:t>
      </w:r>
      <w:r w:rsidR="00445B41">
        <w:t xml:space="preserve"> of </w:t>
      </w:r>
      <w:r>
        <w:t xml:space="preserve">a </w:t>
      </w:r>
      <w:r w:rsidR="00445B41">
        <w:t>waiver application</w:t>
      </w:r>
      <w:bookmarkEnd w:id="41"/>
      <w:r w:rsidR="00445B41">
        <w:t xml:space="preserve"> </w:t>
      </w:r>
    </w:p>
    <w:p w:rsidR="006C5CE6" w:rsidRPr="006C5CE6" w:rsidRDefault="006C5CE6" w:rsidP="00971D29">
      <w:pPr>
        <w:pStyle w:val="Heading3"/>
      </w:pPr>
      <w:bookmarkStart w:id="42" w:name="_Toc459018820"/>
      <w:r>
        <w:t xml:space="preserve">Requirement to consider </w:t>
      </w:r>
      <w:r w:rsidRPr="006C5CE6">
        <w:t>a waiver</w:t>
      </w:r>
      <w:bookmarkEnd w:id="42"/>
    </w:p>
    <w:p w:rsidR="006C5CE6" w:rsidRDefault="00445B41" w:rsidP="00971D29">
      <w:r w:rsidRPr="00445B41">
        <w:t xml:space="preserve">The </w:t>
      </w:r>
      <w:r w:rsidRPr="00971D29">
        <w:rPr>
          <w:rStyle w:val="Strong"/>
        </w:rPr>
        <w:t>AER</w:t>
      </w:r>
      <w:r w:rsidRPr="00445B41">
        <w:t xml:space="preserve"> must consider an application under </w:t>
      </w:r>
      <w:r>
        <w:t>c</w:t>
      </w:r>
      <w:r w:rsidRPr="00445B41">
        <w:t>lause</w:t>
      </w:r>
      <w:r w:rsidR="00241EC5">
        <w:t xml:space="preserve"> 5.1</w:t>
      </w:r>
      <w:r w:rsidR="00B30786">
        <w:t>,</w:t>
      </w:r>
      <w:r>
        <w:t xml:space="preserve"> </w:t>
      </w:r>
      <w:r w:rsidRPr="00445B41">
        <w:t xml:space="preserve">and may subject to </w:t>
      </w:r>
      <w:r>
        <w:t>this c</w:t>
      </w:r>
      <w:r w:rsidRPr="00445B41">
        <w:t>lause, grant, or refuse to grant, the waiver</w:t>
      </w:r>
      <w:r w:rsidR="00F040AA">
        <w:t xml:space="preserve"> subject to such conditions as the </w:t>
      </w:r>
      <w:r w:rsidR="00F040AA" w:rsidRPr="0069009C">
        <w:rPr>
          <w:rStyle w:val="Bold"/>
        </w:rPr>
        <w:t>AER</w:t>
      </w:r>
      <w:r w:rsidR="00F040AA">
        <w:t xml:space="preserve"> considers </w:t>
      </w:r>
      <w:r w:rsidR="00B30786">
        <w:t>necessary</w:t>
      </w:r>
      <w:r w:rsidRPr="00445B41">
        <w:t xml:space="preserve">. </w:t>
      </w:r>
      <w:r>
        <w:t xml:space="preserve"> </w:t>
      </w:r>
    </w:p>
    <w:p w:rsidR="006C5CE6" w:rsidRDefault="006C5CE6" w:rsidP="00971D29">
      <w:pPr>
        <w:pStyle w:val="Heading3"/>
      </w:pPr>
      <w:bookmarkStart w:id="43" w:name="_Ref455505231"/>
      <w:bookmarkStart w:id="44" w:name="_Toc459018821"/>
      <w:r>
        <w:t>Matters AER will consider</w:t>
      </w:r>
      <w:bookmarkEnd w:id="43"/>
      <w:bookmarkEnd w:id="44"/>
    </w:p>
    <w:p w:rsidR="00445B41" w:rsidRDefault="00445B41" w:rsidP="00975452">
      <w:pPr>
        <w:pStyle w:val="Listalphabet"/>
        <w:numPr>
          <w:ilvl w:val="0"/>
          <w:numId w:val="60"/>
        </w:numPr>
      </w:pPr>
      <w:r w:rsidRPr="00445B41">
        <w:t xml:space="preserve">In considering an application under </w:t>
      </w:r>
      <w:r>
        <w:t>c</w:t>
      </w:r>
      <w:r w:rsidRPr="00445B41">
        <w:t>lause</w:t>
      </w:r>
      <w:r>
        <w:t xml:space="preserve"> </w:t>
      </w:r>
      <w:r>
        <w:fldChar w:fldCharType="begin"/>
      </w:r>
      <w:r>
        <w:instrText xml:space="preserve"> REF _Ref455504552 \r \h </w:instrText>
      </w:r>
      <w:r>
        <w:fldChar w:fldCharType="separate"/>
      </w:r>
      <w:r w:rsidR="007F2D89">
        <w:t>5.1</w:t>
      </w:r>
      <w:r>
        <w:fldChar w:fldCharType="end"/>
      </w:r>
      <w:r w:rsidRPr="00445B41">
        <w:t xml:space="preserve">, </w:t>
      </w:r>
      <w:r w:rsidR="00D7029A">
        <w:t xml:space="preserve">and deciding whether to grant, or refuse to grant, the waiver, </w:t>
      </w:r>
      <w:r w:rsidRPr="00445B41">
        <w:t xml:space="preserve">the </w:t>
      </w:r>
      <w:r w:rsidRPr="00971D29">
        <w:rPr>
          <w:rStyle w:val="Strong"/>
        </w:rPr>
        <w:t>AER</w:t>
      </w:r>
      <w:r w:rsidRPr="00445B41">
        <w:t xml:space="preserve"> </w:t>
      </w:r>
      <w:r w:rsidR="00381C27">
        <w:t>may consider any matter it considers relevant</w:t>
      </w:r>
      <w:r w:rsidR="00381C27" w:rsidRPr="00445B41">
        <w:t xml:space="preserve"> </w:t>
      </w:r>
      <w:r w:rsidR="00381C27">
        <w:t xml:space="preserve">but </w:t>
      </w:r>
      <w:r w:rsidRPr="00445B41">
        <w:t xml:space="preserve">will have regard to at least: </w:t>
      </w:r>
    </w:p>
    <w:p w:rsidR="00016194" w:rsidRDefault="00AE21FB" w:rsidP="002C5142">
      <w:pPr>
        <w:pStyle w:val="ListLegal"/>
        <w:numPr>
          <w:ilvl w:val="0"/>
          <w:numId w:val="80"/>
        </w:numPr>
      </w:pPr>
      <w:r>
        <w:t>t</w:t>
      </w:r>
      <w:r w:rsidR="00445B41" w:rsidRPr="00445B41">
        <w:t xml:space="preserve">he </w:t>
      </w:r>
      <w:r w:rsidR="00445B41" w:rsidRPr="00971D29">
        <w:rPr>
          <w:rStyle w:val="Strong"/>
        </w:rPr>
        <w:t>National Electricity Objective</w:t>
      </w:r>
      <w:r w:rsidR="00445B41" w:rsidRPr="00445B41">
        <w:t xml:space="preserve">; </w:t>
      </w:r>
    </w:p>
    <w:p w:rsidR="006C5CE6" w:rsidRDefault="00AE21FB" w:rsidP="002C5142">
      <w:pPr>
        <w:pStyle w:val="ListLegal2"/>
      </w:pPr>
      <w:r>
        <w:t>t</w:t>
      </w:r>
      <w:r w:rsidR="006C5CE6" w:rsidRPr="006C5CE6">
        <w:t xml:space="preserve">he </w:t>
      </w:r>
      <w:r w:rsidR="00015292">
        <w:t>potential for</w:t>
      </w:r>
      <w:r w:rsidR="00F62402">
        <w:t xml:space="preserve"> cross-subsidisation and discrimination</w:t>
      </w:r>
      <w:r w:rsidR="006C5CE6" w:rsidRPr="006C5CE6">
        <w:t xml:space="preserve"> if the waiver is granted or refused</w:t>
      </w:r>
      <w:r>
        <w:t>;</w:t>
      </w:r>
    </w:p>
    <w:p w:rsidR="00445B41" w:rsidRDefault="00AE21FB" w:rsidP="002C5142">
      <w:pPr>
        <w:pStyle w:val="ListLegal2"/>
      </w:pPr>
      <w:r>
        <w:tab/>
      </w:r>
      <w:r w:rsidR="002104F7">
        <w:t xml:space="preserve">whether the benefit, </w:t>
      </w:r>
      <w:r>
        <w:t xml:space="preserve">or </w:t>
      </w:r>
      <w:r w:rsidR="002104F7">
        <w:t>any likely benefit,</w:t>
      </w:r>
      <w:r>
        <w:t xml:space="preserve"> </w:t>
      </w:r>
      <w:r w:rsidR="00445B41" w:rsidRPr="00445B41">
        <w:t xml:space="preserve">to </w:t>
      </w:r>
      <w:r w:rsidR="00F62402">
        <w:t>electricity consumers</w:t>
      </w:r>
      <w:r w:rsidR="00F62402" w:rsidRPr="00445B41">
        <w:t xml:space="preserve"> </w:t>
      </w:r>
      <w:r w:rsidR="00445B41" w:rsidRPr="00445B41">
        <w:t xml:space="preserve">of </w:t>
      </w:r>
      <w:r w:rsidR="00445B41">
        <w:t xml:space="preserve">the </w:t>
      </w:r>
      <w:r w:rsidR="00445B41" w:rsidRPr="00971D29">
        <w:rPr>
          <w:rStyle w:val="Strong"/>
        </w:rPr>
        <w:t>DNSP</w:t>
      </w:r>
      <w:r w:rsidR="00445B41">
        <w:t xml:space="preserve">'s </w:t>
      </w:r>
      <w:r w:rsidR="00445B41" w:rsidRPr="00445B41">
        <w:t xml:space="preserve">compliance with </w:t>
      </w:r>
      <w:r w:rsidR="005E4ABA">
        <w:t>clause</w:t>
      </w:r>
      <w:r w:rsidR="00445B41" w:rsidRPr="00445B41">
        <w:t xml:space="preserve"> </w:t>
      </w:r>
      <w:r w:rsidR="00241EC5">
        <w:t xml:space="preserve">4.2 </w:t>
      </w:r>
      <w:r w:rsidR="00D7029A">
        <w:t>would be</w:t>
      </w:r>
      <w:r w:rsidR="00445B41" w:rsidRPr="00445B41">
        <w:t xml:space="preserve"> outweighed by the cost to the </w:t>
      </w:r>
      <w:r w:rsidR="00445B41" w:rsidRPr="00971D29">
        <w:rPr>
          <w:rStyle w:val="Strong"/>
        </w:rPr>
        <w:t>DNSP</w:t>
      </w:r>
      <w:r w:rsidR="00445B41">
        <w:t xml:space="preserve"> </w:t>
      </w:r>
      <w:r w:rsidR="00445B41" w:rsidRPr="00445B41">
        <w:t>of</w:t>
      </w:r>
      <w:r w:rsidR="006C5CE6">
        <w:t xml:space="preserve"> complying with that obligation.</w:t>
      </w:r>
    </w:p>
    <w:p w:rsidR="00F87937" w:rsidRDefault="00920E77" w:rsidP="00971D29">
      <w:pPr>
        <w:pStyle w:val="Heading3"/>
      </w:pPr>
      <w:bookmarkStart w:id="45" w:name="_Toc459018822"/>
      <w:r>
        <w:t>T</w:t>
      </w:r>
      <w:r w:rsidR="0025168B">
        <w:t>he AER</w:t>
      </w:r>
      <w:r>
        <w:t>'s assessment of the waiver application</w:t>
      </w:r>
      <w:bookmarkEnd w:id="45"/>
    </w:p>
    <w:p w:rsidR="008F520A" w:rsidRDefault="008F520A" w:rsidP="00975452">
      <w:pPr>
        <w:pStyle w:val="Listalphabet"/>
        <w:numPr>
          <w:ilvl w:val="0"/>
          <w:numId w:val="67"/>
        </w:numPr>
      </w:pPr>
      <w:r w:rsidRPr="008F520A">
        <w:t xml:space="preserve">When the </w:t>
      </w:r>
      <w:r w:rsidRPr="0069009C">
        <w:rPr>
          <w:rStyle w:val="Bold"/>
        </w:rPr>
        <w:t>AER</w:t>
      </w:r>
      <w:r>
        <w:t xml:space="preserve"> </w:t>
      </w:r>
      <w:r w:rsidRPr="008F520A">
        <w:t xml:space="preserve">receives an application under </w:t>
      </w:r>
      <w:r w:rsidR="00D43948">
        <w:t xml:space="preserve">clause </w:t>
      </w:r>
      <w:r w:rsidR="007D2424">
        <w:t xml:space="preserve">5.1 </w:t>
      </w:r>
      <w:r w:rsidR="00D43948">
        <w:t>it</w:t>
      </w:r>
      <w:r w:rsidRPr="008F520A">
        <w:t xml:space="preserve">:  </w:t>
      </w:r>
    </w:p>
    <w:p w:rsidR="00502736" w:rsidRDefault="00D7029A" w:rsidP="0069009C">
      <w:pPr>
        <w:pStyle w:val="ListLegal"/>
        <w:numPr>
          <w:ilvl w:val="0"/>
          <w:numId w:val="78"/>
        </w:numPr>
      </w:pPr>
      <w:r>
        <w:lastRenderedPageBreak/>
        <w:t>m</w:t>
      </w:r>
      <w:r w:rsidR="00502736">
        <w:t>ay r</w:t>
      </w:r>
      <w:r w:rsidR="00D84FF3" w:rsidRPr="00D84FF3">
        <w:t xml:space="preserve">eject the application without further consideration </w:t>
      </w:r>
      <w:r w:rsidR="00D84FF3">
        <w:t>i</w:t>
      </w:r>
      <w:r w:rsidR="00D43948" w:rsidRPr="008F520A">
        <w:t xml:space="preserve">f </w:t>
      </w:r>
      <w:r w:rsidR="008F520A" w:rsidRPr="008F520A">
        <w:t xml:space="preserve">it considers that the application has been made </w:t>
      </w:r>
      <w:r w:rsidR="00D84FF3">
        <w:t>on trivial or vexatious grounds;</w:t>
      </w:r>
    </w:p>
    <w:p w:rsidR="00502736" w:rsidRDefault="00D7029A" w:rsidP="0069009C">
      <w:pPr>
        <w:pStyle w:val="ListLegal2"/>
      </w:pPr>
      <w:r>
        <w:t>m</w:t>
      </w:r>
      <w:r w:rsidR="00502736">
        <w:t xml:space="preserve">ay request </w:t>
      </w:r>
      <w:r w:rsidR="0084715F">
        <w:t>any further information that it considers is necessary for it to consult on</w:t>
      </w:r>
      <w:r w:rsidR="00360981">
        <w:t>,</w:t>
      </w:r>
      <w:r w:rsidR="0084715F">
        <w:t xml:space="preserve"> and/or make a decision on</w:t>
      </w:r>
      <w:r w:rsidR="00360981">
        <w:t>,</w:t>
      </w:r>
      <w:r w:rsidR="0084715F">
        <w:t xml:space="preserve"> the application;</w:t>
      </w:r>
      <w:r w:rsidR="00502736">
        <w:t xml:space="preserve"> </w:t>
      </w:r>
    </w:p>
    <w:p w:rsidR="00502736" w:rsidRDefault="00D7029A" w:rsidP="0069009C">
      <w:pPr>
        <w:pStyle w:val="ListLegal2"/>
      </w:pPr>
      <w:r>
        <w:t>m</w:t>
      </w:r>
      <w:r w:rsidR="00502736">
        <w:t xml:space="preserve">ay invite </w:t>
      </w:r>
      <w:r w:rsidR="00D84FF3">
        <w:t xml:space="preserve">public </w:t>
      </w:r>
      <w:r w:rsidR="000401E4">
        <w:t>submissions on the application;</w:t>
      </w:r>
      <w:r>
        <w:t xml:space="preserve"> and</w:t>
      </w:r>
    </w:p>
    <w:p w:rsidR="0025168B" w:rsidRDefault="00D7029A" w:rsidP="0069009C">
      <w:pPr>
        <w:pStyle w:val="ListLegal2"/>
      </w:pPr>
      <w:r>
        <w:t>m</w:t>
      </w:r>
      <w:r w:rsidR="00F040AA">
        <w:t>ay impose such conditions as it considers appropriate when granting a waiver</w:t>
      </w:r>
      <w:r w:rsidR="00502736">
        <w:t>.</w:t>
      </w:r>
    </w:p>
    <w:p w:rsidR="00F87937" w:rsidRDefault="00972C41" w:rsidP="00975452">
      <w:pPr>
        <w:pStyle w:val="Listalphabet"/>
      </w:pPr>
      <w:r>
        <w:t xml:space="preserve">If the </w:t>
      </w:r>
      <w:r w:rsidRPr="0069009C">
        <w:rPr>
          <w:rStyle w:val="Bold"/>
        </w:rPr>
        <w:t>AER</w:t>
      </w:r>
      <w:r>
        <w:t xml:space="preserve"> </w:t>
      </w:r>
      <w:r w:rsidR="009A20C0">
        <w:t>undertakes</w:t>
      </w:r>
      <w:r>
        <w:t xml:space="preserve"> a public consultation process it m</w:t>
      </w:r>
      <w:r w:rsidR="00D7029A">
        <w:t>ay</w:t>
      </w:r>
      <w:r>
        <w:t xml:space="preserve"> p</w:t>
      </w:r>
      <w:r w:rsidR="000401E4">
        <w:t>ublish its d</w:t>
      </w:r>
      <w:r w:rsidR="00F87937">
        <w:t>ecision</w:t>
      </w:r>
      <w:r w:rsidR="000401E4">
        <w:t xml:space="preserve"> that explains the reasons to grant, or refuse to grant, </w:t>
      </w:r>
      <w:r w:rsidR="00F62402">
        <w:t xml:space="preserve">a </w:t>
      </w:r>
      <w:r w:rsidR="000401E4">
        <w:t>waiver</w:t>
      </w:r>
      <w:r w:rsidR="00502736">
        <w:t>.</w:t>
      </w:r>
      <w:r w:rsidR="00214379">
        <w:t xml:space="preserve"> </w:t>
      </w:r>
    </w:p>
    <w:p w:rsidR="00214379" w:rsidRDefault="00502736" w:rsidP="00975452">
      <w:pPr>
        <w:pStyle w:val="Listalphabet"/>
      </w:pPr>
      <w:r>
        <w:t xml:space="preserve">The </w:t>
      </w:r>
      <w:r w:rsidRPr="0069009C">
        <w:rPr>
          <w:rStyle w:val="Bold"/>
        </w:rPr>
        <w:t>AER</w:t>
      </w:r>
      <w:r>
        <w:t xml:space="preserve"> m</w:t>
      </w:r>
      <w:r w:rsidR="00D7029A">
        <w:t>ay</w:t>
      </w:r>
      <w:r>
        <w:t xml:space="preserve"> p</w:t>
      </w:r>
      <w:r w:rsidR="00214379">
        <w:t>ublish t</w:t>
      </w:r>
      <w:r w:rsidR="00214379" w:rsidRPr="00214379">
        <w:t xml:space="preserve">he terms and conditions of any waiver that </w:t>
      </w:r>
      <w:r w:rsidR="00214379">
        <w:t>is</w:t>
      </w:r>
      <w:r w:rsidR="00214379" w:rsidRPr="00214379">
        <w:t xml:space="preserve"> grant</w:t>
      </w:r>
      <w:r w:rsidR="00214379">
        <w:t>ed.</w:t>
      </w:r>
      <w:r w:rsidR="009A20C0">
        <w:t xml:space="preserve"> </w:t>
      </w:r>
    </w:p>
    <w:p w:rsidR="008F520A" w:rsidRDefault="008F520A" w:rsidP="00971D29">
      <w:pPr>
        <w:pStyle w:val="Heading3"/>
      </w:pPr>
      <w:bookmarkStart w:id="46" w:name="_Toc459018823"/>
      <w:r>
        <w:t>Form of waiver</w:t>
      </w:r>
      <w:bookmarkEnd w:id="46"/>
    </w:p>
    <w:p w:rsidR="008F520A" w:rsidRDefault="00DC150E" w:rsidP="00971D29">
      <w:r>
        <w:t xml:space="preserve">The </w:t>
      </w:r>
      <w:r w:rsidRPr="00971D29">
        <w:rPr>
          <w:rStyle w:val="Strong"/>
        </w:rPr>
        <w:t>AER</w:t>
      </w:r>
      <w:r>
        <w:t xml:space="preserve"> may grant</w:t>
      </w:r>
      <w:r w:rsidR="008F520A">
        <w:t xml:space="preserve"> </w:t>
      </w:r>
      <w:r>
        <w:t>a waiver to</w:t>
      </w:r>
      <w:r w:rsidR="00502736">
        <w:t>:</w:t>
      </w:r>
    </w:p>
    <w:p w:rsidR="008F520A" w:rsidRDefault="00F35B85" w:rsidP="00971D29">
      <w:pPr>
        <w:pStyle w:val="Listalphabet"/>
        <w:numPr>
          <w:ilvl w:val="0"/>
          <w:numId w:val="53"/>
        </w:numPr>
      </w:pPr>
      <w:r>
        <w:t>a</w:t>
      </w:r>
      <w:r w:rsidR="008F520A">
        <w:t xml:space="preserve">pply to one or more </w:t>
      </w:r>
      <w:r w:rsidR="008F520A" w:rsidRPr="00971D29">
        <w:rPr>
          <w:rStyle w:val="Strong"/>
        </w:rPr>
        <w:t>DNSP</w:t>
      </w:r>
      <w:r w:rsidR="008F520A">
        <w:t>;</w:t>
      </w:r>
    </w:p>
    <w:p w:rsidR="008F520A" w:rsidRDefault="00F35B85" w:rsidP="00971D29">
      <w:pPr>
        <w:pStyle w:val="Listalphabet"/>
        <w:numPr>
          <w:ilvl w:val="0"/>
          <w:numId w:val="53"/>
        </w:numPr>
      </w:pPr>
      <w:r>
        <w:t>a</w:t>
      </w:r>
      <w:r w:rsidR="008F520A">
        <w:t xml:space="preserve">pply for </w:t>
      </w:r>
      <w:r w:rsidR="00972C41">
        <w:t>the</w:t>
      </w:r>
      <w:r w:rsidR="003D1ECC">
        <w:t xml:space="preserve"> current</w:t>
      </w:r>
      <w:r w:rsidR="00972C41" w:rsidRPr="003C0E20">
        <w:rPr>
          <w:rStyle w:val="Strong"/>
        </w:rPr>
        <w:t xml:space="preserve"> regulatory control period</w:t>
      </w:r>
      <w:r w:rsidR="009A20C0">
        <w:rPr>
          <w:rStyle w:val="Strong"/>
        </w:rPr>
        <w:t xml:space="preserve">, </w:t>
      </w:r>
      <w:r w:rsidR="00972C41">
        <w:t>the</w:t>
      </w:r>
      <w:r w:rsidR="003D1ECC">
        <w:t xml:space="preserve"> next</w:t>
      </w:r>
      <w:r w:rsidR="00972C41" w:rsidRPr="003C0E20">
        <w:rPr>
          <w:rStyle w:val="Strong"/>
        </w:rPr>
        <w:t xml:space="preserve"> regulatory control period</w:t>
      </w:r>
      <w:r w:rsidR="009A20C0">
        <w:t xml:space="preserve"> or both</w:t>
      </w:r>
      <w:r w:rsidR="008F520A">
        <w:t xml:space="preserve">; and </w:t>
      </w:r>
    </w:p>
    <w:p w:rsidR="008F520A" w:rsidRPr="008F520A" w:rsidRDefault="00F35B85" w:rsidP="00971D29">
      <w:pPr>
        <w:pStyle w:val="Listalphabet"/>
        <w:numPr>
          <w:ilvl w:val="0"/>
          <w:numId w:val="53"/>
        </w:numPr>
      </w:pPr>
      <w:r>
        <w:t>b</w:t>
      </w:r>
      <w:r w:rsidR="00502736">
        <w:t xml:space="preserve">e </w:t>
      </w:r>
      <w:r w:rsidR="008F520A">
        <w:t xml:space="preserve">made subject to such terms and conditions as the </w:t>
      </w:r>
      <w:r w:rsidR="008F520A" w:rsidRPr="00971D29">
        <w:rPr>
          <w:rStyle w:val="Strong"/>
        </w:rPr>
        <w:t>AER</w:t>
      </w:r>
      <w:r w:rsidR="008F520A">
        <w:t xml:space="preserve"> considers appropriate.</w:t>
      </w:r>
    </w:p>
    <w:p w:rsidR="00382124" w:rsidRDefault="008F520A" w:rsidP="00971D29">
      <w:pPr>
        <w:pStyle w:val="Heading2"/>
      </w:pPr>
      <w:bookmarkStart w:id="47" w:name="_Toc459018824"/>
      <w:r>
        <w:t>Reviewing</w:t>
      </w:r>
      <w:r w:rsidR="00382124">
        <w:t xml:space="preserve"> </w:t>
      </w:r>
      <w:r w:rsidR="005E4ABA">
        <w:t xml:space="preserve">a </w:t>
      </w:r>
      <w:r w:rsidR="00382124">
        <w:t>waiver</w:t>
      </w:r>
      <w:r w:rsidR="003C0E20">
        <w:t xml:space="preserve"> within a regulatory control period</w:t>
      </w:r>
      <w:bookmarkEnd w:id="47"/>
    </w:p>
    <w:p w:rsidR="00AE21FB" w:rsidRDefault="005E4ABA" w:rsidP="00FE732A">
      <w:r>
        <w:t xml:space="preserve">The </w:t>
      </w:r>
      <w:r w:rsidRPr="00971D29">
        <w:rPr>
          <w:rStyle w:val="Strong"/>
        </w:rPr>
        <w:t>AER</w:t>
      </w:r>
      <w:r>
        <w:t xml:space="preserve"> may </w:t>
      </w:r>
      <w:r w:rsidR="008F520A">
        <w:t xml:space="preserve">review a waiver </w:t>
      </w:r>
      <w:r w:rsidR="00B320F6">
        <w:t xml:space="preserve">within a </w:t>
      </w:r>
      <w:r w:rsidR="00B320F6" w:rsidRPr="00B320F6">
        <w:rPr>
          <w:rStyle w:val="Strong"/>
        </w:rPr>
        <w:t>regulatory control period</w:t>
      </w:r>
      <w:r w:rsidR="00B320F6">
        <w:t xml:space="preserve"> </w:t>
      </w:r>
      <w:r>
        <w:t xml:space="preserve">if </w:t>
      </w:r>
      <w:r w:rsidR="00AF2C73">
        <w:t xml:space="preserve">it </w:t>
      </w:r>
      <w:r w:rsidR="008F520A">
        <w:t xml:space="preserve">considers that it may no </w:t>
      </w:r>
      <w:r w:rsidR="00AF2C73">
        <w:t xml:space="preserve">longer </w:t>
      </w:r>
      <w:r w:rsidR="008F520A">
        <w:t xml:space="preserve">be </w:t>
      </w:r>
      <w:r w:rsidR="00AF2C73">
        <w:t>required</w:t>
      </w:r>
      <w:r w:rsidR="008F520A">
        <w:t xml:space="preserve">. The </w:t>
      </w:r>
      <w:r w:rsidR="008F520A" w:rsidRPr="00971D29">
        <w:rPr>
          <w:rStyle w:val="Strong"/>
        </w:rPr>
        <w:t>AER</w:t>
      </w:r>
      <w:r w:rsidR="008F520A">
        <w:t xml:space="preserve"> may </w:t>
      </w:r>
      <w:r w:rsidR="008F520A" w:rsidRPr="008F520A">
        <w:t>vary or revoke a waiver</w:t>
      </w:r>
      <w:r w:rsidR="00AF2C73">
        <w:t xml:space="preserve">, having regard to the </w:t>
      </w:r>
      <w:r w:rsidRPr="005E4ABA">
        <w:t>matters set out in clause</w:t>
      </w:r>
      <w:r w:rsidR="007D2424">
        <w:t xml:space="preserve"> 5.2.2</w:t>
      </w:r>
      <w:r w:rsidR="00AF2C73">
        <w:t xml:space="preserve">. </w:t>
      </w:r>
    </w:p>
    <w:p w:rsidR="00AE21FB" w:rsidRDefault="00D7029A" w:rsidP="00FE732A">
      <w:r>
        <w:t>The AER may</w:t>
      </w:r>
      <w:r w:rsidR="00AE21FB">
        <w:t>:</w:t>
      </w:r>
    </w:p>
    <w:p w:rsidR="00ED0055" w:rsidRDefault="00AE21FB" w:rsidP="00702DA1">
      <w:pPr>
        <w:pStyle w:val="Listalphabet"/>
        <w:numPr>
          <w:ilvl w:val="0"/>
          <w:numId w:val="81"/>
        </w:numPr>
      </w:pPr>
      <w:r>
        <w:tab/>
      </w:r>
      <w:r w:rsidR="00ED0055">
        <w:t>conduct such consultation as it considers appropriate</w:t>
      </w:r>
      <w:r w:rsidR="00FE67A7">
        <w:t>;</w:t>
      </w:r>
    </w:p>
    <w:p w:rsidR="00502736" w:rsidRDefault="00AE21FB" w:rsidP="00702DA1">
      <w:pPr>
        <w:pStyle w:val="Listalphabet"/>
      </w:pPr>
      <w:r>
        <w:tab/>
      </w:r>
      <w:r w:rsidR="00B320F6">
        <w:t>publish</w:t>
      </w:r>
      <w:r w:rsidR="00B320F6" w:rsidRPr="00B320F6">
        <w:t xml:space="preserve"> its decision that explains the reasons to </w:t>
      </w:r>
      <w:r w:rsidR="00016194">
        <w:t>vary or revoke</w:t>
      </w:r>
      <w:r w:rsidR="00B320F6" w:rsidRPr="00B320F6">
        <w:t xml:space="preserve"> </w:t>
      </w:r>
      <w:r w:rsidR="00D7029A">
        <w:t xml:space="preserve">the </w:t>
      </w:r>
      <w:r w:rsidR="00B320F6" w:rsidRPr="00B320F6">
        <w:t>waiver</w:t>
      </w:r>
      <w:r w:rsidR="00502736">
        <w:t>;</w:t>
      </w:r>
      <w:r w:rsidR="00B320F6">
        <w:t xml:space="preserve"> </w:t>
      </w:r>
    </w:p>
    <w:p w:rsidR="0084715F" w:rsidRDefault="00D7029A" w:rsidP="00702DA1">
      <w:pPr>
        <w:pStyle w:val="Listalphabet"/>
      </w:pPr>
      <w:r>
        <w:t>p</w:t>
      </w:r>
      <w:r w:rsidR="00502736">
        <w:t xml:space="preserve">ublish </w:t>
      </w:r>
      <w:r w:rsidR="00B320F6" w:rsidRPr="00B320F6">
        <w:t xml:space="preserve">the terms and conditions of any </w:t>
      </w:r>
      <w:r w:rsidR="00016194">
        <w:t xml:space="preserve">varied </w:t>
      </w:r>
      <w:r w:rsidR="00B320F6" w:rsidRPr="00B320F6">
        <w:t>waiver that is granted</w:t>
      </w:r>
      <w:r w:rsidR="0084715F">
        <w:t>; and</w:t>
      </w:r>
    </w:p>
    <w:p w:rsidR="006C5CE6" w:rsidRPr="006C5CE6" w:rsidRDefault="00AE21FB" w:rsidP="00702DA1">
      <w:pPr>
        <w:pStyle w:val="Listalphabet"/>
      </w:pPr>
      <w:r>
        <w:t>c</w:t>
      </w:r>
      <w:r w:rsidR="003C0E20">
        <w:t xml:space="preserve">onsider an appropriate transition </w:t>
      </w:r>
      <w:r w:rsidR="0084715F">
        <w:t xml:space="preserve">for the </w:t>
      </w:r>
      <w:r w:rsidR="0084715F" w:rsidRPr="00975452">
        <w:rPr>
          <w:rStyle w:val="Strong"/>
        </w:rPr>
        <w:t>DNSP</w:t>
      </w:r>
      <w:r w:rsidR="0084715F">
        <w:t xml:space="preserve"> to implement </w:t>
      </w:r>
      <w:r w:rsidR="009A20C0">
        <w:t xml:space="preserve">the </w:t>
      </w:r>
      <w:r w:rsidR="009A20C0" w:rsidRPr="00975452">
        <w:rPr>
          <w:rStyle w:val="Strong"/>
        </w:rPr>
        <w:t>AER</w:t>
      </w:r>
      <w:r w:rsidR="009A20C0">
        <w:t>'s</w:t>
      </w:r>
      <w:r w:rsidR="0084715F">
        <w:t xml:space="preserve"> new decision</w:t>
      </w:r>
      <w:r w:rsidR="008F520A">
        <w:t>.</w:t>
      </w:r>
      <w:bookmarkEnd w:id="38"/>
    </w:p>
    <w:p w:rsidR="006C5CE6" w:rsidRPr="00067353" w:rsidRDefault="006C5CE6" w:rsidP="00702DA1">
      <w:pPr>
        <w:pStyle w:val="Listalphabet"/>
        <w:numPr>
          <w:ilvl w:val="0"/>
          <w:numId w:val="0"/>
        </w:numPr>
        <w:ind w:left="643"/>
      </w:pPr>
    </w:p>
    <w:p w:rsidR="00067353" w:rsidRDefault="00382124" w:rsidP="008120E3">
      <w:pPr>
        <w:pStyle w:val="Heading1"/>
      </w:pPr>
      <w:bookmarkStart w:id="48" w:name="_Toc459018825"/>
      <w:r w:rsidRPr="00067353">
        <w:lastRenderedPageBreak/>
        <w:t xml:space="preserve">Compliance </w:t>
      </w:r>
      <w:r w:rsidR="00067353" w:rsidRPr="00067353">
        <w:t>and enforcement</w:t>
      </w:r>
      <w:bookmarkEnd w:id="48"/>
    </w:p>
    <w:p w:rsidR="00067353" w:rsidRDefault="007E1DD6" w:rsidP="008120E3">
      <w:pPr>
        <w:pStyle w:val="Heading2"/>
      </w:pPr>
      <w:bookmarkStart w:id="49" w:name="_Toc455509633"/>
      <w:bookmarkStart w:id="50" w:name="_Toc455509688"/>
      <w:bookmarkStart w:id="51" w:name="_Toc459018826"/>
      <w:bookmarkEnd w:id="49"/>
      <w:bookmarkEnd w:id="50"/>
      <w:r>
        <w:t>Maintaining compliance</w:t>
      </w:r>
      <w:bookmarkEnd w:id="51"/>
    </w:p>
    <w:p w:rsidR="00014D07" w:rsidRDefault="00014D07" w:rsidP="00971D29">
      <w:r w:rsidRPr="00014D07">
        <w:t xml:space="preserve">A </w:t>
      </w:r>
      <w:r w:rsidRPr="00971D29">
        <w:rPr>
          <w:rStyle w:val="Strong"/>
        </w:rPr>
        <w:t>DNSP</w:t>
      </w:r>
      <w:r w:rsidRPr="00014D07">
        <w:t xml:space="preserve"> must establish and maintain </w:t>
      </w:r>
      <w:r w:rsidR="006E7DA7">
        <w:t xml:space="preserve">appropriate internal </w:t>
      </w:r>
      <w:r w:rsidRPr="00014D07">
        <w:t xml:space="preserve">procedures to ensure it complies with its obligations under </w:t>
      </w:r>
      <w:r>
        <w:t xml:space="preserve">this </w:t>
      </w:r>
      <w:r w:rsidRPr="0069009C">
        <w:rPr>
          <w:rStyle w:val="Bold"/>
        </w:rPr>
        <w:t>Guideline</w:t>
      </w:r>
      <w:r w:rsidRPr="00014D07">
        <w:t xml:space="preserve">. The </w:t>
      </w:r>
      <w:r w:rsidRPr="00971D29">
        <w:rPr>
          <w:rStyle w:val="Strong"/>
        </w:rPr>
        <w:t>AER</w:t>
      </w:r>
      <w:r w:rsidRPr="00014D07">
        <w:t xml:space="preserve"> may require the </w:t>
      </w:r>
      <w:r w:rsidRPr="00971D29">
        <w:rPr>
          <w:rStyle w:val="Strong"/>
        </w:rPr>
        <w:t>DNSP</w:t>
      </w:r>
      <w:r w:rsidRPr="00014D07">
        <w:t xml:space="preserve"> to demonstrate the adequacy of these procedures upon reasonable notice. However, any statement made or assurance given by the </w:t>
      </w:r>
      <w:r w:rsidRPr="00971D29">
        <w:rPr>
          <w:rStyle w:val="Strong"/>
        </w:rPr>
        <w:t>AER</w:t>
      </w:r>
      <w:r w:rsidRPr="00014D07">
        <w:t xml:space="preserve"> concerning the adequacy of the </w:t>
      </w:r>
      <w:r w:rsidRPr="00971D29">
        <w:rPr>
          <w:rStyle w:val="Strong"/>
        </w:rPr>
        <w:t>DNSP</w:t>
      </w:r>
      <w:r w:rsidRPr="00014D07">
        <w:t xml:space="preserve">’s compliance procedures does not affect the </w:t>
      </w:r>
      <w:r w:rsidRPr="00971D29">
        <w:rPr>
          <w:rStyle w:val="Strong"/>
        </w:rPr>
        <w:t>DNSP</w:t>
      </w:r>
      <w:r w:rsidRPr="00014D07">
        <w:t xml:space="preserve">’s obligations under </w:t>
      </w:r>
      <w:r>
        <w:t>this</w:t>
      </w:r>
      <w:r w:rsidRPr="00014D07">
        <w:t xml:space="preserve"> </w:t>
      </w:r>
      <w:r w:rsidRPr="0069009C">
        <w:rPr>
          <w:rStyle w:val="Bold"/>
        </w:rPr>
        <w:t>Guideline</w:t>
      </w:r>
      <w:r>
        <w:t>.</w:t>
      </w:r>
    </w:p>
    <w:p w:rsidR="007E1DD6" w:rsidRDefault="007E1DD6" w:rsidP="00971D29">
      <w:pPr>
        <w:pStyle w:val="Heading2"/>
      </w:pPr>
      <w:bookmarkStart w:id="52" w:name="_Toc459018827"/>
      <w:r>
        <w:t>Compliance reporting</w:t>
      </w:r>
      <w:bookmarkEnd w:id="52"/>
    </w:p>
    <w:p w:rsidR="007E1DD6" w:rsidRDefault="00AF4842" w:rsidP="00971D29">
      <w:pPr>
        <w:pStyle w:val="Heading3"/>
      </w:pPr>
      <w:bookmarkStart w:id="53" w:name="_Toc459018828"/>
      <w:r>
        <w:t xml:space="preserve">Annual </w:t>
      </w:r>
      <w:r w:rsidR="00CA1F4C">
        <w:t>compliance report</w:t>
      </w:r>
      <w:bookmarkEnd w:id="53"/>
    </w:p>
    <w:p w:rsidR="00AF4842" w:rsidRDefault="00AF4842" w:rsidP="002F23E9">
      <w:pPr>
        <w:pStyle w:val="Listalphabet"/>
        <w:numPr>
          <w:ilvl w:val="0"/>
          <w:numId w:val="83"/>
        </w:numPr>
      </w:pPr>
      <w:r>
        <w:t xml:space="preserve">A </w:t>
      </w:r>
      <w:r w:rsidR="00014D07" w:rsidRPr="00971D29">
        <w:rPr>
          <w:rStyle w:val="Strong"/>
        </w:rPr>
        <w:t>DNSP</w:t>
      </w:r>
      <w:r w:rsidR="004F27A7">
        <w:t xml:space="preserve"> must</w:t>
      </w:r>
      <w:r w:rsidR="00014D07">
        <w:t xml:space="preserve"> </w:t>
      </w:r>
      <w:r w:rsidR="00334E0D">
        <w:t>prepare</w:t>
      </w:r>
      <w:r w:rsidR="00014D07" w:rsidRPr="00014D07">
        <w:t xml:space="preserve"> a</w:t>
      </w:r>
      <w:r>
        <w:t>n annual</w:t>
      </w:r>
      <w:r w:rsidR="00014D07" w:rsidRPr="00014D07">
        <w:t xml:space="preserve"> </w:t>
      </w:r>
      <w:r>
        <w:t>ring</w:t>
      </w:r>
      <w:r w:rsidR="007C1D16">
        <w:t>–</w:t>
      </w:r>
      <w:r>
        <w:t xml:space="preserve">fencing compliance </w:t>
      </w:r>
      <w:r w:rsidR="00014D07" w:rsidRPr="00014D07">
        <w:t xml:space="preserve">report </w:t>
      </w:r>
      <w:r>
        <w:t xml:space="preserve">and submit it to the </w:t>
      </w:r>
      <w:r w:rsidRPr="002F23E9">
        <w:rPr>
          <w:rStyle w:val="Strong"/>
        </w:rPr>
        <w:t>AER</w:t>
      </w:r>
      <w:r>
        <w:t xml:space="preserve">. The </w:t>
      </w:r>
      <w:r w:rsidR="007C1D16">
        <w:t xml:space="preserve">annual compliance </w:t>
      </w:r>
      <w:r>
        <w:t>report must</w:t>
      </w:r>
      <w:r w:rsidR="00014D07" w:rsidRPr="00014D07">
        <w:t xml:space="preserve"> </w:t>
      </w:r>
      <w:r w:rsidR="004F27A7">
        <w:t xml:space="preserve">identify and </w:t>
      </w:r>
      <w:r w:rsidR="00014D07" w:rsidRPr="00014D07">
        <w:t>describ</w:t>
      </w:r>
      <w:r>
        <w:t>e</w:t>
      </w:r>
      <w:r w:rsidR="004F27A7">
        <w:t>, in respect of the regulatory year to which the report relates</w:t>
      </w:r>
      <w:r>
        <w:t>:</w:t>
      </w:r>
    </w:p>
    <w:p w:rsidR="00AF4842" w:rsidRDefault="004F27A7" w:rsidP="002F23E9">
      <w:pPr>
        <w:pStyle w:val="Listalphabet"/>
        <w:numPr>
          <w:ilvl w:val="1"/>
          <w:numId w:val="82"/>
        </w:numPr>
      </w:pPr>
      <w:r>
        <w:t xml:space="preserve">all </w:t>
      </w:r>
      <w:r w:rsidR="00014D07" w:rsidRPr="00014D07">
        <w:t xml:space="preserve">measures </w:t>
      </w:r>
      <w:r w:rsidR="00AF4842">
        <w:t xml:space="preserve">a </w:t>
      </w:r>
      <w:r w:rsidR="00AF4842" w:rsidRPr="002F23E9">
        <w:rPr>
          <w:rStyle w:val="Strong"/>
        </w:rPr>
        <w:t>DNSP</w:t>
      </w:r>
      <w:r w:rsidR="00334E0D">
        <w:t xml:space="preserve"> has </w:t>
      </w:r>
      <w:r w:rsidR="00014D07" w:rsidRPr="00014D07">
        <w:t xml:space="preserve">taken to ensure compliance with </w:t>
      </w:r>
      <w:r w:rsidR="00107E72">
        <w:t xml:space="preserve">(all) </w:t>
      </w:r>
      <w:r w:rsidR="00014D07" w:rsidRPr="00014D07">
        <w:t xml:space="preserve">its obligations under </w:t>
      </w:r>
      <w:r w:rsidR="00014D07">
        <w:t>this</w:t>
      </w:r>
      <w:r w:rsidR="00014D07" w:rsidRPr="00014D07">
        <w:t xml:space="preserve"> </w:t>
      </w:r>
      <w:r w:rsidR="00014D07" w:rsidRPr="0069009C">
        <w:rPr>
          <w:rStyle w:val="Bold"/>
        </w:rPr>
        <w:t>Guideline</w:t>
      </w:r>
    </w:p>
    <w:p w:rsidR="00AF4842" w:rsidRDefault="004F27A7" w:rsidP="002F23E9">
      <w:pPr>
        <w:pStyle w:val="Listalphabet"/>
        <w:numPr>
          <w:ilvl w:val="1"/>
          <w:numId w:val="82"/>
        </w:numPr>
      </w:pPr>
      <w:r>
        <w:t xml:space="preserve">any </w:t>
      </w:r>
      <w:r w:rsidR="00AF4842">
        <w:t>breach</w:t>
      </w:r>
      <w:r>
        <w:t xml:space="preserve">es </w:t>
      </w:r>
      <w:r w:rsidR="00AF4842">
        <w:t>of th</w:t>
      </w:r>
      <w:r w:rsidR="001A4BDC">
        <w:t>is</w:t>
      </w:r>
      <w:r w:rsidR="00AF4842">
        <w:t xml:space="preserve"> </w:t>
      </w:r>
      <w:r w:rsidR="001A4BDC" w:rsidRPr="002F23E9">
        <w:rPr>
          <w:rStyle w:val="Strong"/>
        </w:rPr>
        <w:t>G</w:t>
      </w:r>
      <w:r w:rsidR="00AF4842" w:rsidRPr="002F23E9">
        <w:rPr>
          <w:rStyle w:val="Strong"/>
        </w:rPr>
        <w:t>uideline</w:t>
      </w:r>
      <w:r w:rsidR="0050206A">
        <w:t xml:space="preserve"> </w:t>
      </w:r>
      <w:r>
        <w:t xml:space="preserve">that relate to the </w:t>
      </w:r>
      <w:r w:rsidRPr="002F23E9">
        <w:rPr>
          <w:rStyle w:val="Strong"/>
        </w:rPr>
        <w:t>DNSP</w:t>
      </w:r>
    </w:p>
    <w:p w:rsidR="00AF4842" w:rsidRDefault="004F27A7" w:rsidP="002F23E9">
      <w:pPr>
        <w:pStyle w:val="Listalphabet"/>
        <w:numPr>
          <w:ilvl w:val="1"/>
          <w:numId w:val="82"/>
        </w:numPr>
      </w:pPr>
      <w:r>
        <w:t xml:space="preserve">all </w:t>
      </w:r>
      <w:r w:rsidR="00AF4842" w:rsidRPr="002F23E9">
        <w:rPr>
          <w:rStyle w:val="Strong"/>
        </w:rPr>
        <w:t>non</w:t>
      </w:r>
      <w:r w:rsidR="008644E9" w:rsidRPr="002F23E9">
        <w:rPr>
          <w:rStyle w:val="Strong"/>
        </w:rPr>
        <w:t>–</w:t>
      </w:r>
      <w:r w:rsidR="00AF4842" w:rsidRPr="002F23E9">
        <w:rPr>
          <w:rStyle w:val="Strong"/>
        </w:rPr>
        <w:t xml:space="preserve">network </w:t>
      </w:r>
      <w:r w:rsidRPr="002F23E9">
        <w:rPr>
          <w:rStyle w:val="Strong"/>
        </w:rPr>
        <w:t>services</w:t>
      </w:r>
      <w:r>
        <w:t xml:space="preserve"> provided by the </w:t>
      </w:r>
      <w:r w:rsidRPr="002F23E9">
        <w:rPr>
          <w:rStyle w:val="Strong"/>
        </w:rPr>
        <w:t>DNSP</w:t>
      </w:r>
      <w:r>
        <w:t>, and all associated activities</w:t>
      </w:r>
      <w:r w:rsidR="00AF4842">
        <w:t xml:space="preserve"> undertaken by the </w:t>
      </w:r>
      <w:r w:rsidR="00AF4842" w:rsidRPr="002F23E9">
        <w:rPr>
          <w:rStyle w:val="Strong"/>
        </w:rPr>
        <w:t>DNSP</w:t>
      </w:r>
      <w:r>
        <w:t xml:space="preserve">, </w:t>
      </w:r>
      <w:r w:rsidR="00AF4842">
        <w:t xml:space="preserve">in accordance with </w:t>
      </w:r>
      <w:r>
        <w:t xml:space="preserve">clause </w:t>
      </w:r>
      <w:r w:rsidR="00AF4842">
        <w:t>3.1(b)</w:t>
      </w:r>
      <w:r>
        <w:t xml:space="preserve"> </w:t>
      </w:r>
      <w:r w:rsidR="00AF4842">
        <w:t xml:space="preserve"> </w:t>
      </w:r>
    </w:p>
    <w:p w:rsidR="00AF4842" w:rsidRDefault="00AF4842" w:rsidP="002F23E9">
      <w:pPr>
        <w:pStyle w:val="Listalphabet"/>
      </w:pPr>
      <w:r>
        <w:t xml:space="preserve">The </w:t>
      </w:r>
      <w:r w:rsidR="00D26D66">
        <w:t xml:space="preserve">annual compliance </w:t>
      </w:r>
      <w:r>
        <w:t xml:space="preserve">report must be accompanied by an assessment of compliance by a suitably qualified </w:t>
      </w:r>
      <w:r w:rsidR="00107E72">
        <w:t>independent</w:t>
      </w:r>
      <w:r w:rsidR="00107E72" w:rsidRPr="00107E72">
        <w:t xml:space="preserve"> </w:t>
      </w:r>
      <w:r>
        <w:t xml:space="preserve">authority. </w:t>
      </w:r>
    </w:p>
    <w:p w:rsidR="00862FA3" w:rsidRPr="00862FA3" w:rsidRDefault="00107E72">
      <w:r>
        <w:t>Annual compliance</w:t>
      </w:r>
      <w:r w:rsidR="00862FA3" w:rsidRPr="00862FA3">
        <w:t xml:space="preserve"> report</w:t>
      </w:r>
      <w:r w:rsidR="00D26D66">
        <w:t>s</w:t>
      </w:r>
      <w:r w:rsidR="00862FA3" w:rsidRPr="00862FA3">
        <w:t xml:space="preserve"> </w:t>
      </w:r>
      <w:r w:rsidR="004F27A7">
        <w:t xml:space="preserve">may </w:t>
      </w:r>
      <w:r w:rsidR="00862FA3" w:rsidRPr="00862FA3">
        <w:t xml:space="preserve">be made publicly available by the </w:t>
      </w:r>
      <w:r w:rsidR="00862FA3" w:rsidRPr="00862FA3">
        <w:rPr>
          <w:rStyle w:val="Strong"/>
        </w:rPr>
        <w:t>AER</w:t>
      </w:r>
      <w:r w:rsidR="00862FA3" w:rsidRPr="00862FA3">
        <w:t xml:space="preserve">.  </w:t>
      </w:r>
    </w:p>
    <w:p w:rsidR="006E7DA7" w:rsidRDefault="006E7DA7" w:rsidP="00334E0D">
      <w:pPr>
        <w:pStyle w:val="Heading3"/>
      </w:pPr>
      <w:bookmarkStart w:id="54" w:name="_Toc459018829"/>
      <w:r>
        <w:t xml:space="preserve">Timing of </w:t>
      </w:r>
      <w:r w:rsidR="00AF4842">
        <w:t xml:space="preserve">annual compliance </w:t>
      </w:r>
      <w:r>
        <w:t>reporting</w:t>
      </w:r>
      <w:bookmarkEnd w:id="54"/>
    </w:p>
    <w:p w:rsidR="00AF4842" w:rsidRDefault="00AF4842" w:rsidP="00971D29">
      <w:r>
        <w:t xml:space="preserve">A </w:t>
      </w:r>
      <w:r w:rsidRPr="002F23E9">
        <w:rPr>
          <w:rStyle w:val="Strong"/>
        </w:rPr>
        <w:t>DNSP</w:t>
      </w:r>
      <w:r>
        <w:t xml:space="preserve"> must submit to the </w:t>
      </w:r>
      <w:r w:rsidRPr="002F23E9">
        <w:rPr>
          <w:rStyle w:val="Strong"/>
        </w:rPr>
        <w:t>AER</w:t>
      </w:r>
      <w:r>
        <w:t xml:space="preserve"> an annual compliance report within 4 months of the end of the regulatory year to which the compliance report r</w:t>
      </w:r>
      <w:r w:rsidR="00E43D08">
        <w:t>elates</w:t>
      </w:r>
      <w:r>
        <w:t>.</w:t>
      </w:r>
    </w:p>
    <w:p w:rsidR="006E7DA7" w:rsidRPr="006E7DA7" w:rsidRDefault="006E7DA7" w:rsidP="00971D29">
      <w:r>
        <w:t xml:space="preserve">A </w:t>
      </w:r>
      <w:r w:rsidRPr="00971D29">
        <w:rPr>
          <w:rStyle w:val="Strong"/>
        </w:rPr>
        <w:t>DNSP</w:t>
      </w:r>
      <w:r>
        <w:t xml:space="preserve"> will not be required to start reporting on its compliance with this </w:t>
      </w:r>
      <w:r w:rsidRPr="0069009C">
        <w:rPr>
          <w:rStyle w:val="Bold"/>
        </w:rPr>
        <w:t>Guideline</w:t>
      </w:r>
      <w:r>
        <w:t xml:space="preserve"> until the </w:t>
      </w:r>
      <w:r w:rsidRPr="00971D29">
        <w:rPr>
          <w:rStyle w:val="Strong"/>
        </w:rPr>
        <w:t>regulatory year</w:t>
      </w:r>
      <w:r>
        <w:t xml:space="preserve"> after this </w:t>
      </w:r>
      <w:r w:rsidRPr="0069009C">
        <w:rPr>
          <w:rStyle w:val="Bold"/>
        </w:rPr>
        <w:t>Guideline</w:t>
      </w:r>
      <w:r>
        <w:t xml:space="preserve"> commences.</w:t>
      </w:r>
    </w:p>
    <w:p w:rsidR="00334E0D" w:rsidRPr="00334E0D" w:rsidRDefault="00334E0D" w:rsidP="00334E0D">
      <w:pPr>
        <w:pStyle w:val="Heading3"/>
      </w:pPr>
      <w:bookmarkStart w:id="55" w:name="_Toc459018830"/>
      <w:r>
        <w:t>Reporting by AER</w:t>
      </w:r>
      <w:bookmarkEnd w:id="55"/>
    </w:p>
    <w:p w:rsidR="00334E0D" w:rsidRDefault="00334E0D" w:rsidP="00971D29">
      <w:r>
        <w:t xml:space="preserve">The </w:t>
      </w:r>
      <w:r w:rsidRPr="00971D29">
        <w:rPr>
          <w:rStyle w:val="Strong"/>
        </w:rPr>
        <w:t>AER</w:t>
      </w:r>
      <w:r>
        <w:t xml:space="preserve"> may </w:t>
      </w:r>
      <w:r w:rsidR="00862FA3">
        <w:t>publish</w:t>
      </w:r>
      <w:r>
        <w:t xml:space="preserve"> reports from time to time about </w:t>
      </w:r>
      <w:r w:rsidRPr="00971D29">
        <w:rPr>
          <w:rStyle w:val="Strong"/>
        </w:rPr>
        <w:t>DNSP</w:t>
      </w:r>
      <w:r>
        <w:t xml:space="preserve">s' compliance with this </w:t>
      </w:r>
      <w:r w:rsidRPr="0069009C">
        <w:rPr>
          <w:rStyle w:val="Bold"/>
        </w:rPr>
        <w:t>Guideline</w:t>
      </w:r>
      <w:r>
        <w:t xml:space="preserve"> on the basis of information provided to it under this clause 6.2.2.</w:t>
      </w:r>
      <w:r w:rsidR="00862FA3">
        <w:t xml:space="preserve">  </w:t>
      </w:r>
    </w:p>
    <w:p w:rsidR="00CA1F4C" w:rsidRDefault="00CA1F4C" w:rsidP="00971D29">
      <w:pPr>
        <w:pStyle w:val="Heading2"/>
      </w:pPr>
      <w:bookmarkStart w:id="56" w:name="_Toc459018831"/>
      <w:r>
        <w:t>Compliance breaches</w:t>
      </w:r>
      <w:bookmarkEnd w:id="56"/>
    </w:p>
    <w:p w:rsidR="00014D07" w:rsidRDefault="007E1DD6" w:rsidP="00971D29">
      <w:r w:rsidRPr="007E1DD6">
        <w:t xml:space="preserve">A </w:t>
      </w:r>
      <w:r w:rsidRPr="00971D29">
        <w:rPr>
          <w:rStyle w:val="Strong"/>
        </w:rPr>
        <w:t>DNSP</w:t>
      </w:r>
      <w:r w:rsidRPr="007E1DD6">
        <w:t xml:space="preserve"> must </w:t>
      </w:r>
      <w:r w:rsidR="006E7DA7">
        <w:t>notify</w:t>
      </w:r>
      <w:r w:rsidRPr="007E1DD6">
        <w:t xml:space="preserve"> the </w:t>
      </w:r>
      <w:r w:rsidRPr="00971D29">
        <w:rPr>
          <w:rStyle w:val="Strong"/>
        </w:rPr>
        <w:t>AER</w:t>
      </w:r>
      <w:r w:rsidRPr="007E1DD6">
        <w:t xml:space="preserve"> in writing </w:t>
      </w:r>
      <w:r w:rsidR="006E7DA7" w:rsidRPr="006E7DA7">
        <w:t xml:space="preserve">within </w:t>
      </w:r>
      <w:r w:rsidR="006E7DA7">
        <w:t>five</w:t>
      </w:r>
      <w:r w:rsidR="006E7DA7" w:rsidRPr="006E7DA7">
        <w:t xml:space="preserve"> business days of becoming aware of </w:t>
      </w:r>
      <w:r w:rsidR="006E7DA7">
        <w:t>a material</w:t>
      </w:r>
      <w:r w:rsidR="006E7DA7" w:rsidRPr="006E7DA7">
        <w:t xml:space="preserve"> breach of its obligations under </w:t>
      </w:r>
      <w:r w:rsidRPr="007E1DD6">
        <w:t xml:space="preserve">this </w:t>
      </w:r>
      <w:r w:rsidRPr="0069009C">
        <w:rPr>
          <w:rStyle w:val="Bold"/>
        </w:rPr>
        <w:t>Guideline</w:t>
      </w:r>
      <w:r w:rsidRPr="007E1DD6">
        <w:t>.</w:t>
      </w:r>
      <w:r w:rsidR="00CA1F4C">
        <w:t xml:space="preserve"> </w:t>
      </w:r>
      <w:r w:rsidRPr="007E1DD6">
        <w:t xml:space="preserve">The </w:t>
      </w:r>
      <w:r w:rsidRPr="00971D29">
        <w:rPr>
          <w:rStyle w:val="Strong"/>
        </w:rPr>
        <w:t>AER</w:t>
      </w:r>
      <w:r w:rsidRPr="007E1DD6">
        <w:t xml:space="preserve"> may seek enforcement of this </w:t>
      </w:r>
      <w:r w:rsidRPr="0069009C">
        <w:rPr>
          <w:rStyle w:val="Bold"/>
        </w:rPr>
        <w:t>Guideline</w:t>
      </w:r>
      <w:r w:rsidRPr="007E1DD6">
        <w:t xml:space="preserve"> by a court in the event of any breach of this </w:t>
      </w:r>
      <w:r w:rsidRPr="0069009C">
        <w:rPr>
          <w:rStyle w:val="Bold"/>
        </w:rPr>
        <w:t>Guideline</w:t>
      </w:r>
      <w:r w:rsidRPr="007E1DD6">
        <w:t xml:space="preserve"> by a </w:t>
      </w:r>
      <w:r w:rsidRPr="00971D29">
        <w:rPr>
          <w:rStyle w:val="Strong"/>
        </w:rPr>
        <w:t>DNSP</w:t>
      </w:r>
      <w:r w:rsidR="00992C1C">
        <w:t xml:space="preserve">, in accordance with the </w:t>
      </w:r>
      <w:r w:rsidR="0084715F">
        <w:rPr>
          <w:rStyle w:val="Strong"/>
        </w:rPr>
        <w:t>NEL</w:t>
      </w:r>
      <w:r w:rsidR="00992C1C">
        <w:t xml:space="preserve">. </w:t>
      </w:r>
    </w:p>
    <w:p w:rsidR="007E1DD6" w:rsidRPr="007E1DD6" w:rsidRDefault="00CA1F4C" w:rsidP="007E1DD6">
      <w:pPr>
        <w:pStyle w:val="Heading2"/>
      </w:pPr>
      <w:bookmarkStart w:id="57" w:name="_Toc459018832"/>
      <w:r>
        <w:lastRenderedPageBreak/>
        <w:t>Complaints and investigations</w:t>
      </w:r>
      <w:bookmarkEnd w:id="57"/>
      <w:r>
        <w:t xml:space="preserve"> </w:t>
      </w:r>
    </w:p>
    <w:p w:rsidR="00237C53" w:rsidRDefault="00237C53" w:rsidP="00FE732A">
      <w:r>
        <w:t xml:space="preserve">At any time, the </w:t>
      </w:r>
      <w:r w:rsidRPr="0069009C">
        <w:rPr>
          <w:rStyle w:val="Bold"/>
        </w:rPr>
        <w:t>AER</w:t>
      </w:r>
      <w:r>
        <w:t xml:space="preserve"> may require a</w:t>
      </w:r>
      <w:r w:rsidRPr="00014D07">
        <w:t xml:space="preserve"> </w:t>
      </w:r>
      <w:r w:rsidRPr="00971D29">
        <w:rPr>
          <w:rStyle w:val="Strong"/>
        </w:rPr>
        <w:t>DNSP</w:t>
      </w:r>
      <w:r w:rsidRPr="00014D07">
        <w:t xml:space="preserve"> </w:t>
      </w:r>
      <w:r>
        <w:t xml:space="preserve">to provide a formal response to particular </w:t>
      </w:r>
      <w:r w:rsidR="00D7029A">
        <w:t xml:space="preserve">complaints or </w:t>
      </w:r>
      <w:r>
        <w:t>concerns about</w:t>
      </w:r>
      <w:r w:rsidRPr="00014D07">
        <w:t xml:space="preserve"> </w:t>
      </w:r>
      <w:r>
        <w:t xml:space="preserve">compliance with this </w:t>
      </w:r>
      <w:r w:rsidRPr="0069009C">
        <w:rPr>
          <w:rStyle w:val="Bold"/>
        </w:rPr>
        <w:t>Guideline</w:t>
      </w:r>
      <w:r>
        <w:t>.</w:t>
      </w:r>
      <w:r w:rsidRPr="00014D07">
        <w:t xml:space="preserve"> </w:t>
      </w:r>
      <w:r>
        <w:t xml:space="preserve"> </w:t>
      </w:r>
    </w:p>
    <w:p w:rsidR="00067353" w:rsidRDefault="00A51D1C" w:rsidP="0069009C">
      <w:pPr>
        <w:pStyle w:val="Heading1notnumber"/>
      </w:pPr>
      <w:bookmarkStart w:id="58" w:name="_Toc459018833"/>
      <w:r>
        <w:lastRenderedPageBreak/>
        <w:t xml:space="preserve">Appendix A </w:t>
      </w:r>
      <w:r>
        <w:rPr>
          <w:rFonts w:cs="Arial"/>
        </w:rPr>
        <w:t>−</w:t>
      </w:r>
      <w:r>
        <w:t xml:space="preserve"> </w:t>
      </w:r>
      <w:r w:rsidR="006E7DA7">
        <w:t>T</w:t>
      </w:r>
      <w:r w:rsidR="00762FD7" w:rsidRPr="00067353">
        <w:t>ransition</w:t>
      </w:r>
      <w:r w:rsidR="00521476">
        <w:t>al arrangements</w:t>
      </w:r>
      <w:bookmarkEnd w:id="58"/>
      <w:r w:rsidR="00762FD7" w:rsidRPr="00067353">
        <w:t xml:space="preserve"> </w:t>
      </w:r>
    </w:p>
    <w:p w:rsidR="00395E8F" w:rsidRDefault="00521476" w:rsidP="00395E8F">
      <w:r>
        <w:t>Despite clause</w:t>
      </w:r>
      <w:r w:rsidR="00A946B4">
        <w:t xml:space="preserve"> 1.1</w:t>
      </w:r>
      <w:r>
        <w:t xml:space="preserve">: </w:t>
      </w:r>
    </w:p>
    <w:p w:rsidR="00521476" w:rsidRDefault="00521476" w:rsidP="00971D29">
      <w:pPr>
        <w:pStyle w:val="Listalphabet"/>
        <w:numPr>
          <w:ilvl w:val="0"/>
          <w:numId w:val="56"/>
        </w:numPr>
      </w:pPr>
      <w:r w:rsidRPr="00521476">
        <w:t>The obligation set out in clause 3.1(a) commence</w:t>
      </w:r>
      <w:r>
        <w:t>s</w:t>
      </w:r>
      <w:r w:rsidRPr="00521476">
        <w:t xml:space="preserve"> on a date that </w:t>
      </w:r>
      <w:r w:rsidR="00821E7A">
        <w:t xml:space="preserve">is </w:t>
      </w:r>
      <w:r>
        <w:t xml:space="preserve">12 </w:t>
      </w:r>
      <w:r w:rsidRPr="00521476">
        <w:t>months after the commencement date provided in clause</w:t>
      </w:r>
      <w:r w:rsidR="00A946B4">
        <w:t xml:space="preserve"> 1.1</w:t>
      </w:r>
      <w:r>
        <w:t xml:space="preserve">; and </w:t>
      </w:r>
    </w:p>
    <w:p w:rsidR="00521476" w:rsidRDefault="00521476" w:rsidP="00521476">
      <w:pPr>
        <w:pStyle w:val="Listalphabet"/>
        <w:numPr>
          <w:ilvl w:val="0"/>
          <w:numId w:val="56"/>
        </w:numPr>
      </w:pPr>
      <w:r w:rsidRPr="00521476">
        <w:t>The obligation</w:t>
      </w:r>
      <w:r>
        <w:t>s</w:t>
      </w:r>
      <w:r w:rsidRPr="00521476">
        <w:t xml:space="preserve"> set out in clause</w:t>
      </w:r>
      <w:r>
        <w:t>s</w:t>
      </w:r>
      <w:r w:rsidRPr="00521476">
        <w:t xml:space="preserve"> 4.</w:t>
      </w:r>
      <w:r w:rsidR="00C83D83">
        <w:t>2</w:t>
      </w:r>
      <w:r w:rsidRPr="00521476">
        <w:t xml:space="preserve">.1 </w:t>
      </w:r>
      <w:r>
        <w:t>and</w:t>
      </w:r>
      <w:r w:rsidRPr="00521476">
        <w:t xml:space="preserve"> 4.</w:t>
      </w:r>
      <w:r w:rsidR="00C83D83">
        <w:t>2</w:t>
      </w:r>
      <w:r w:rsidRPr="00521476">
        <w:t xml:space="preserve">.2 commence on a date that </w:t>
      </w:r>
      <w:r w:rsidR="00821E7A">
        <w:t xml:space="preserve">is </w:t>
      </w:r>
      <w:r>
        <w:t>six</w:t>
      </w:r>
      <w:r w:rsidRPr="00521476">
        <w:t xml:space="preserve"> months after the commencement date provided in clause</w:t>
      </w:r>
      <w:r w:rsidR="00A946B4">
        <w:t xml:space="preserve"> 1.1</w:t>
      </w:r>
      <w:r>
        <w:t>.</w:t>
      </w:r>
    </w:p>
    <w:p w:rsidR="000B3545" w:rsidRPr="00395E8F" w:rsidRDefault="000B3545" w:rsidP="00971D29">
      <w:pPr>
        <w:pStyle w:val="Listalphabet"/>
        <w:numPr>
          <w:ilvl w:val="0"/>
          <w:numId w:val="0"/>
        </w:numPr>
        <w:ind w:left="340" w:hanging="340"/>
      </w:pPr>
    </w:p>
    <w:sectPr w:rsidR="000B3545" w:rsidRPr="00395E8F"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90" w:rsidRDefault="00162590" w:rsidP="004B4412">
      <w:pPr>
        <w:spacing w:before="0"/>
      </w:pPr>
      <w:r>
        <w:separator/>
      </w:r>
    </w:p>
    <w:p w:rsidR="00162590" w:rsidRDefault="00162590"/>
    <w:p w:rsidR="00162590" w:rsidRDefault="00162590"/>
  </w:endnote>
  <w:endnote w:type="continuationSeparator" w:id="0">
    <w:p w:rsidR="00162590" w:rsidRDefault="00162590" w:rsidP="004B4412">
      <w:pPr>
        <w:spacing w:before="0"/>
      </w:pPr>
      <w:r>
        <w:continuationSeparator/>
      </w:r>
    </w:p>
    <w:p w:rsidR="00162590" w:rsidRDefault="00162590"/>
    <w:p w:rsidR="00162590" w:rsidRDefault="00162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90" w:rsidRPr="007A4D1F" w:rsidRDefault="00162590"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876136" w:rsidRPr="00876136">
      <w:rPr>
        <w:rFonts w:eastAsia="Arial" w:cs="Times New Roman"/>
        <w:b/>
        <w:bCs/>
        <w:noProof/>
        <w:color w:val="076A92" w:themeColor="text1"/>
        <w:sz w:val="18"/>
        <w:lang w:val="en-US"/>
      </w:rPr>
      <w:t>Ring-Fencing</w:t>
    </w:r>
    <w:r w:rsidR="00876136">
      <w:rPr>
        <w:rFonts w:eastAsia="Arial" w:cs="Times New Roman"/>
        <w:noProof/>
        <w:color w:val="076A92" w:themeColor="text1"/>
        <w:sz w:val="18"/>
      </w:rPr>
      <w:t xml:space="preserve"> Guideline</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876136">
      <w:rPr>
        <w:rFonts w:eastAsia="Arial" w:cs="Times New Roman"/>
        <w:noProof/>
        <w:color w:val="076A92" w:themeColor="text1"/>
        <w:sz w:val="18"/>
      </w:rPr>
      <w:t>iv</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162590" w:rsidRDefault="00162590"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90" w:rsidRPr="00A91A9E" w:rsidRDefault="00162590" w:rsidP="001376CF">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62590" w:rsidRDefault="00162590"/>
  <w:p w:rsidR="00162590" w:rsidRDefault="0016259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90" w:rsidRDefault="00876136" w:rsidP="00CC7F1D">
    <w:pPr>
      <w:pStyle w:val="Footer"/>
      <w:tabs>
        <w:tab w:val="clear" w:pos="9026"/>
        <w:tab w:val="right" w:pos="8505"/>
      </w:tabs>
    </w:pPr>
    <w:r>
      <w:fldChar w:fldCharType="begin"/>
    </w:r>
    <w:r>
      <w:instrText xml:space="preserve"> STYLEREF  "Report Title"  \* MERGEFORMA</w:instrText>
    </w:r>
    <w:r>
      <w:instrText xml:space="preserve">T </w:instrText>
    </w:r>
    <w:r>
      <w:fldChar w:fldCharType="separate"/>
    </w:r>
    <w:r>
      <w:rPr>
        <w:noProof/>
      </w:rPr>
      <w:t>Ring-Fencing Guideline</w:t>
    </w:r>
    <w:r>
      <w:rPr>
        <w:noProof/>
      </w:rPr>
      <w:fldChar w:fldCharType="end"/>
    </w:r>
    <w:r w:rsidR="00162590">
      <w:tab/>
    </w:r>
    <w:r w:rsidR="00162590">
      <w:tab/>
    </w:r>
    <w:r w:rsidR="00162590">
      <w:fldChar w:fldCharType="begin"/>
    </w:r>
    <w:r w:rsidR="00162590">
      <w:instrText xml:space="preserve"> PAGE   \* MERGEFORMAT </w:instrText>
    </w:r>
    <w:r w:rsidR="00162590">
      <w:fldChar w:fldCharType="separate"/>
    </w:r>
    <w:r>
      <w:rPr>
        <w:noProof/>
      </w:rPr>
      <w:t>12</w:t>
    </w:r>
    <w:r w:rsidR="00162590">
      <w:rPr>
        <w:noProof/>
      </w:rPr>
      <w:fldChar w:fldCharType="end"/>
    </w:r>
  </w:p>
  <w:p w:rsidR="00162590" w:rsidRDefault="00162590"/>
  <w:p w:rsidR="00162590" w:rsidRDefault="0016259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90" w:rsidRDefault="00876136" w:rsidP="00CC7F1D">
    <w:pPr>
      <w:pStyle w:val="Footer"/>
      <w:tabs>
        <w:tab w:val="clear" w:pos="9026"/>
        <w:tab w:val="right" w:pos="8505"/>
      </w:tabs>
    </w:pPr>
    <w:r>
      <w:fldChar w:fldCharType="begin"/>
    </w:r>
    <w:r>
      <w:instrText xml:space="preserve"> STYLEREF  "Report Title"  \* MERGEFORMAT </w:instrText>
    </w:r>
    <w:r>
      <w:fldChar w:fldCharType="separate"/>
    </w:r>
    <w:r>
      <w:rPr>
        <w:noProof/>
      </w:rPr>
      <w:t>Ring-Fencing Guideline</w:t>
    </w:r>
    <w:r>
      <w:rPr>
        <w:noProof/>
      </w:rPr>
      <w:fldChar w:fldCharType="end"/>
    </w:r>
    <w:r w:rsidR="00162590">
      <w:tab/>
    </w:r>
    <w:r w:rsidR="00162590">
      <w:tab/>
    </w:r>
    <w:r w:rsidR="00162590">
      <w:fldChar w:fldCharType="begin"/>
    </w:r>
    <w:r w:rsidR="00162590">
      <w:instrText xml:space="preserve"> PAGE   \* MERGEFORMAT </w:instrText>
    </w:r>
    <w:r w:rsidR="00162590">
      <w:fldChar w:fldCharType="separate"/>
    </w:r>
    <w:r>
      <w:rPr>
        <w:noProof/>
      </w:rPr>
      <w:t>1</w:t>
    </w:r>
    <w:r w:rsidR="00162590">
      <w:fldChar w:fldCharType="end"/>
    </w:r>
  </w:p>
  <w:p w:rsidR="00162590" w:rsidRDefault="00162590">
    <w:pPr>
      <w:pStyle w:val="Footer"/>
    </w:pPr>
  </w:p>
  <w:p w:rsidR="00162590" w:rsidRDefault="00162590"/>
  <w:p w:rsidR="00162590" w:rsidRDefault="001625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90" w:rsidRDefault="00162590" w:rsidP="00182906">
      <w:pPr>
        <w:spacing w:before="0"/>
      </w:pPr>
      <w:r>
        <w:separator/>
      </w:r>
    </w:p>
  </w:footnote>
  <w:footnote w:type="continuationSeparator" w:id="0">
    <w:p w:rsidR="00162590" w:rsidRDefault="00162590" w:rsidP="00182906">
      <w:pPr>
        <w:spacing w:before="0"/>
      </w:pPr>
      <w:r>
        <w:continuationSeparator/>
      </w:r>
    </w:p>
  </w:footnote>
  <w:footnote w:type="continuationNotice" w:id="1">
    <w:p w:rsidR="00162590" w:rsidRDefault="00162590">
      <w:pPr>
        <w:spacing w:before="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0C7AEB7E"/>
    <w:lvl w:ilvl="0" w:tplc="990A9FAA">
      <w:start w:val="1"/>
      <w:numFmt w:val="lowerLetter"/>
      <w:pStyle w:val="Listalphabet"/>
      <w:lvlText w:val="(%1)"/>
      <w:lvlJc w:val="left"/>
      <w:pPr>
        <w:ind w:left="643"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1AA7E2F"/>
    <w:multiLevelType w:val="hybridMultilevel"/>
    <w:tmpl w:val="40B6D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590A2E14"/>
    <w:lvl w:ilvl="0" w:tplc="FC7003B0">
      <w:start w:val="1"/>
      <w:numFmt w:val="lowerRoman"/>
      <w:pStyle w:val="ListLegal"/>
      <w:lvlText w:val="%1."/>
      <w:lvlJc w:val="right"/>
      <w:pPr>
        <w:ind w:left="10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1"/>
  </w:num>
  <w:num w:numId="14">
    <w:abstractNumId w:val="13"/>
  </w:num>
  <w:num w:numId="15">
    <w:abstractNumId w:val="17"/>
  </w:num>
  <w:num w:numId="16">
    <w:abstractNumId w:val="23"/>
  </w:num>
  <w:num w:numId="17">
    <w:abstractNumId w:val="12"/>
  </w:num>
  <w:num w:numId="18">
    <w:abstractNumId w:val="19"/>
  </w:num>
  <w:num w:numId="19">
    <w:abstractNumId w:val="11"/>
  </w:num>
  <w:num w:numId="20">
    <w:abstractNumId w:val="24"/>
  </w:num>
  <w:num w:numId="21">
    <w:abstractNumId w:val="28"/>
  </w:num>
  <w:num w:numId="22">
    <w:abstractNumId w:val="18"/>
  </w:num>
  <w:num w:numId="23">
    <w:abstractNumId w:val="2"/>
    <w:lvlOverride w:ilvl="0">
      <w:startOverride w:val="1"/>
    </w:lvlOverride>
  </w:num>
  <w:num w:numId="24">
    <w:abstractNumId w:val="19"/>
    <w:lvlOverride w:ilvl="0">
      <w:startOverride w:val="1"/>
    </w:lvlOverride>
  </w:num>
  <w:num w:numId="25">
    <w:abstractNumId w:val="26"/>
  </w:num>
  <w:num w:numId="26">
    <w:abstractNumId w:val="22"/>
  </w:num>
  <w:num w:numId="27">
    <w:abstractNumId w:val="9"/>
  </w:num>
  <w:num w:numId="28">
    <w:abstractNumId w:val="16"/>
  </w:num>
  <w:num w:numId="29">
    <w:abstractNumId w:val="10"/>
  </w:num>
  <w:num w:numId="30">
    <w:abstractNumId w:val="25"/>
  </w:num>
  <w:num w:numId="31">
    <w:abstractNumId w:val="2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num>
  <w:num w:numId="34">
    <w:abstractNumId w:val="24"/>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24"/>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28"/>
    <w:lvlOverride w:ilvl="0">
      <w:startOverride w:val="1"/>
    </w:lvlOverride>
  </w:num>
  <w:num w:numId="42">
    <w:abstractNumId w:val="12"/>
    <w:lvlOverride w:ilvl="0">
      <w:startOverride w:val="1"/>
    </w:lvlOverride>
  </w:num>
  <w:num w:numId="43">
    <w:abstractNumId w:val="28"/>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12"/>
    <w:lvlOverride w:ilvl="0">
      <w:startOverride w:val="1"/>
    </w:lvlOverride>
  </w:num>
  <w:num w:numId="52">
    <w:abstractNumId w:val="12"/>
    <w:lvlOverride w:ilvl="0">
      <w:startOverride w:val="1"/>
    </w:lvlOverride>
  </w:num>
  <w:num w:numId="53">
    <w:abstractNumId w:val="12"/>
    <w:lvlOverride w:ilvl="0">
      <w:startOverride w:val="1"/>
    </w:lvlOverride>
  </w:num>
  <w:num w:numId="54">
    <w:abstractNumId w:val="12"/>
    <w:lvlOverride w:ilvl="0">
      <w:startOverride w:val="1"/>
    </w:lvlOverride>
  </w:num>
  <w:num w:numId="55">
    <w:abstractNumId w:val="12"/>
    <w:lvlOverride w:ilvl="0">
      <w:startOverride w:val="1"/>
    </w:lvlOverride>
  </w:num>
  <w:num w:numId="56">
    <w:abstractNumId w:val="12"/>
    <w:lvlOverride w:ilvl="0">
      <w:startOverride w:val="1"/>
    </w:lvlOverride>
  </w:num>
  <w:num w:numId="57">
    <w:abstractNumId w:val="12"/>
    <w:lvlOverride w:ilvl="0">
      <w:startOverride w:val="1"/>
    </w:lvlOverride>
  </w:num>
  <w:num w:numId="58">
    <w:abstractNumId w:val="12"/>
    <w:lvlOverride w:ilvl="0">
      <w:startOverride w:val="1"/>
    </w:lvlOverride>
  </w:num>
  <w:num w:numId="59">
    <w:abstractNumId w:val="12"/>
    <w:lvlOverride w:ilvl="0">
      <w:startOverride w:val="1"/>
    </w:lvlOverride>
  </w:num>
  <w:num w:numId="60">
    <w:abstractNumId w:val="12"/>
    <w:lvlOverride w:ilvl="0">
      <w:startOverride w:val="1"/>
    </w:lvlOverride>
  </w:num>
  <w:num w:numId="61">
    <w:abstractNumId w:val="28"/>
    <w:lvlOverride w:ilvl="0">
      <w:startOverride w:val="1"/>
    </w:lvlOverride>
  </w:num>
  <w:num w:numId="62">
    <w:abstractNumId w:val="12"/>
  </w:num>
  <w:num w:numId="63">
    <w:abstractNumId w:val="28"/>
    <w:lvlOverride w:ilvl="0">
      <w:startOverride w:val="1"/>
    </w:lvlOverride>
  </w:num>
  <w:num w:numId="64">
    <w:abstractNumId w:val="28"/>
    <w:lvlOverride w:ilvl="0">
      <w:startOverride w:val="1"/>
    </w:lvlOverride>
  </w:num>
  <w:num w:numId="65">
    <w:abstractNumId w:val="28"/>
    <w:lvlOverride w:ilvl="0">
      <w:startOverride w:val="1"/>
    </w:lvlOverride>
  </w:num>
  <w:num w:numId="66">
    <w:abstractNumId w:val="28"/>
    <w:lvlOverride w:ilvl="0">
      <w:startOverride w:val="1"/>
    </w:lvlOverride>
  </w:num>
  <w:num w:numId="67">
    <w:abstractNumId w:val="12"/>
    <w:lvlOverride w:ilvl="0">
      <w:startOverride w:val="1"/>
    </w:lvlOverride>
  </w:num>
  <w:num w:numId="68">
    <w:abstractNumId w:val="24"/>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24"/>
    <w:lvlOverride w:ilvl="0">
      <w:startOverride w:val="1"/>
    </w:lvlOverride>
  </w:num>
  <w:num w:numId="72">
    <w:abstractNumId w:val="24"/>
    <w:lvlOverride w:ilvl="0">
      <w:startOverride w:val="1"/>
    </w:lvlOverride>
  </w:num>
  <w:num w:numId="73">
    <w:abstractNumId w:val="24"/>
    <w:lvlOverride w:ilvl="0">
      <w:startOverride w:val="1"/>
    </w:lvlOverride>
  </w:num>
  <w:num w:numId="74">
    <w:abstractNumId w:val="24"/>
    <w:lvlOverride w:ilvl="0">
      <w:startOverride w:val="1"/>
    </w:lvlOverride>
  </w:num>
  <w:num w:numId="75">
    <w:abstractNumId w:val="24"/>
    <w:lvlOverride w:ilvl="0">
      <w:startOverride w:val="1"/>
    </w:lvlOverride>
  </w:num>
  <w:num w:numId="76">
    <w:abstractNumId w:val="24"/>
    <w:lvlOverride w:ilvl="0">
      <w:startOverride w:val="1"/>
    </w:lvlOverride>
  </w:num>
  <w:num w:numId="77">
    <w:abstractNumId w:val="24"/>
    <w:lvlOverride w:ilvl="0">
      <w:startOverride w:val="1"/>
    </w:lvlOverride>
  </w:num>
  <w:num w:numId="78">
    <w:abstractNumId w:val="24"/>
    <w:lvlOverride w:ilvl="0">
      <w:startOverride w:val="1"/>
    </w:lvlOverride>
  </w:num>
  <w:num w:numId="79">
    <w:abstractNumId w:val="24"/>
    <w:lvlOverride w:ilvl="0">
      <w:startOverride w:val="1"/>
    </w:lvlOverride>
  </w:num>
  <w:num w:numId="80">
    <w:abstractNumId w:val="24"/>
    <w:lvlOverride w:ilvl="0">
      <w:startOverride w:val="1"/>
    </w:lvlOverride>
  </w:num>
  <w:num w:numId="81">
    <w:abstractNumId w:val="12"/>
    <w:lvlOverride w:ilvl="0">
      <w:startOverride w:val="1"/>
    </w:lvlOverride>
  </w:num>
  <w:num w:numId="82">
    <w:abstractNumId w:val="12"/>
    <w:lvlOverride w:ilvl="0">
      <w:startOverride w:val="1"/>
    </w:lvlOverride>
  </w:num>
  <w:num w:numId="83">
    <w:abstractNumId w:val="12"/>
    <w:lvlOverride w:ilvl="0">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356\D16 109178  Draft Ring-fencing Guideline.DOCX"/>
  </w:docVars>
  <w:rsids>
    <w:rsidRoot w:val="009546EF"/>
    <w:rsid w:val="0000020D"/>
    <w:rsid w:val="000065B1"/>
    <w:rsid w:val="000067B1"/>
    <w:rsid w:val="00014D07"/>
    <w:rsid w:val="00015292"/>
    <w:rsid w:val="00016194"/>
    <w:rsid w:val="00021202"/>
    <w:rsid w:val="000232BF"/>
    <w:rsid w:val="0002517F"/>
    <w:rsid w:val="00033299"/>
    <w:rsid w:val="0003578C"/>
    <w:rsid w:val="000401E4"/>
    <w:rsid w:val="00043437"/>
    <w:rsid w:val="00063247"/>
    <w:rsid w:val="000637E0"/>
    <w:rsid w:val="00064610"/>
    <w:rsid w:val="00067353"/>
    <w:rsid w:val="00070F9F"/>
    <w:rsid w:val="0007137B"/>
    <w:rsid w:val="00074341"/>
    <w:rsid w:val="00085663"/>
    <w:rsid w:val="00085EBF"/>
    <w:rsid w:val="000A304D"/>
    <w:rsid w:val="000A6C7B"/>
    <w:rsid w:val="000B27C6"/>
    <w:rsid w:val="000B3545"/>
    <w:rsid w:val="000C2C7D"/>
    <w:rsid w:val="000C2FC0"/>
    <w:rsid w:val="000D122C"/>
    <w:rsid w:val="000D3F52"/>
    <w:rsid w:val="000D55CC"/>
    <w:rsid w:val="000E1819"/>
    <w:rsid w:val="000E6C72"/>
    <w:rsid w:val="000F04C1"/>
    <w:rsid w:val="00107CC7"/>
    <w:rsid w:val="00107E72"/>
    <w:rsid w:val="00110778"/>
    <w:rsid w:val="00112AF8"/>
    <w:rsid w:val="00116EB2"/>
    <w:rsid w:val="00121DF7"/>
    <w:rsid w:val="00124609"/>
    <w:rsid w:val="001266D7"/>
    <w:rsid w:val="00130C3C"/>
    <w:rsid w:val="001376CF"/>
    <w:rsid w:val="0014573B"/>
    <w:rsid w:val="001573E4"/>
    <w:rsid w:val="00160756"/>
    <w:rsid w:val="00160857"/>
    <w:rsid w:val="00162590"/>
    <w:rsid w:val="00170114"/>
    <w:rsid w:val="00171606"/>
    <w:rsid w:val="0017232E"/>
    <w:rsid w:val="00174102"/>
    <w:rsid w:val="00175DA4"/>
    <w:rsid w:val="00180157"/>
    <w:rsid w:val="00181056"/>
    <w:rsid w:val="00182906"/>
    <w:rsid w:val="00185CB9"/>
    <w:rsid w:val="00186F77"/>
    <w:rsid w:val="001926A4"/>
    <w:rsid w:val="00192AD5"/>
    <w:rsid w:val="001A4BDC"/>
    <w:rsid w:val="001B1CCB"/>
    <w:rsid w:val="001B2502"/>
    <w:rsid w:val="001B45A0"/>
    <w:rsid w:val="001B4893"/>
    <w:rsid w:val="001C45C1"/>
    <w:rsid w:val="001D055E"/>
    <w:rsid w:val="001F492E"/>
    <w:rsid w:val="001F6DA3"/>
    <w:rsid w:val="002010BC"/>
    <w:rsid w:val="00202E03"/>
    <w:rsid w:val="0020492C"/>
    <w:rsid w:val="00207FDC"/>
    <w:rsid w:val="002104F7"/>
    <w:rsid w:val="00214379"/>
    <w:rsid w:val="00224DB9"/>
    <w:rsid w:val="00233775"/>
    <w:rsid w:val="00235C5A"/>
    <w:rsid w:val="00237C53"/>
    <w:rsid w:val="00240E77"/>
    <w:rsid w:val="00241EC5"/>
    <w:rsid w:val="0024434B"/>
    <w:rsid w:val="00247CFC"/>
    <w:rsid w:val="00250CFB"/>
    <w:rsid w:val="0025168B"/>
    <w:rsid w:val="00251745"/>
    <w:rsid w:val="00263AC0"/>
    <w:rsid w:val="0026772D"/>
    <w:rsid w:val="002713B4"/>
    <w:rsid w:val="0027408D"/>
    <w:rsid w:val="00282075"/>
    <w:rsid w:val="002855D4"/>
    <w:rsid w:val="00285CD1"/>
    <w:rsid w:val="00286874"/>
    <w:rsid w:val="00293A95"/>
    <w:rsid w:val="00296B65"/>
    <w:rsid w:val="002A7DEF"/>
    <w:rsid w:val="002B251A"/>
    <w:rsid w:val="002C25FF"/>
    <w:rsid w:val="002C5142"/>
    <w:rsid w:val="002E1BE5"/>
    <w:rsid w:val="002E2BFC"/>
    <w:rsid w:val="002F23E9"/>
    <w:rsid w:val="002F57FE"/>
    <w:rsid w:val="002F7986"/>
    <w:rsid w:val="00301B40"/>
    <w:rsid w:val="00305CC8"/>
    <w:rsid w:val="00307F6D"/>
    <w:rsid w:val="0031255E"/>
    <w:rsid w:val="003177A2"/>
    <w:rsid w:val="00322E94"/>
    <w:rsid w:val="003271B5"/>
    <w:rsid w:val="00327A1E"/>
    <w:rsid w:val="00327D57"/>
    <w:rsid w:val="00331264"/>
    <w:rsid w:val="003314A0"/>
    <w:rsid w:val="00334C8D"/>
    <w:rsid w:val="00334E0D"/>
    <w:rsid w:val="00350727"/>
    <w:rsid w:val="0035091B"/>
    <w:rsid w:val="003518B3"/>
    <w:rsid w:val="00360981"/>
    <w:rsid w:val="00381C27"/>
    <w:rsid w:val="00382124"/>
    <w:rsid w:val="003846F1"/>
    <w:rsid w:val="003953CF"/>
    <w:rsid w:val="00395E8F"/>
    <w:rsid w:val="003A09C0"/>
    <w:rsid w:val="003A7A60"/>
    <w:rsid w:val="003B3F65"/>
    <w:rsid w:val="003B7E35"/>
    <w:rsid w:val="003C0E20"/>
    <w:rsid w:val="003C1208"/>
    <w:rsid w:val="003D1ECC"/>
    <w:rsid w:val="003E3877"/>
    <w:rsid w:val="00420BCF"/>
    <w:rsid w:val="00421D27"/>
    <w:rsid w:val="00423FD3"/>
    <w:rsid w:val="00440ADF"/>
    <w:rsid w:val="00444966"/>
    <w:rsid w:val="00445B41"/>
    <w:rsid w:val="00451B24"/>
    <w:rsid w:val="0045598C"/>
    <w:rsid w:val="004775DA"/>
    <w:rsid w:val="00480646"/>
    <w:rsid w:val="00480B4B"/>
    <w:rsid w:val="004843E0"/>
    <w:rsid w:val="00485DC4"/>
    <w:rsid w:val="00487E5B"/>
    <w:rsid w:val="004950D8"/>
    <w:rsid w:val="004A43D1"/>
    <w:rsid w:val="004B4412"/>
    <w:rsid w:val="004B6F84"/>
    <w:rsid w:val="004C2CAE"/>
    <w:rsid w:val="004C348C"/>
    <w:rsid w:val="004C625E"/>
    <w:rsid w:val="004C6406"/>
    <w:rsid w:val="004C6F0A"/>
    <w:rsid w:val="004C747E"/>
    <w:rsid w:val="004D3794"/>
    <w:rsid w:val="004D55BA"/>
    <w:rsid w:val="004E22EC"/>
    <w:rsid w:val="004F27A7"/>
    <w:rsid w:val="0050206A"/>
    <w:rsid w:val="00502736"/>
    <w:rsid w:val="00506C1C"/>
    <w:rsid w:val="005131A2"/>
    <w:rsid w:val="00521476"/>
    <w:rsid w:val="0052618A"/>
    <w:rsid w:val="00530128"/>
    <w:rsid w:val="00532467"/>
    <w:rsid w:val="00541172"/>
    <w:rsid w:val="0056080A"/>
    <w:rsid w:val="00562632"/>
    <w:rsid w:val="005637F7"/>
    <w:rsid w:val="00564A4D"/>
    <w:rsid w:val="0056587D"/>
    <w:rsid w:val="00567BA5"/>
    <w:rsid w:val="00571B35"/>
    <w:rsid w:val="00571D57"/>
    <w:rsid w:val="00577A09"/>
    <w:rsid w:val="005829C2"/>
    <w:rsid w:val="00584D8F"/>
    <w:rsid w:val="00595651"/>
    <w:rsid w:val="00596131"/>
    <w:rsid w:val="005A404D"/>
    <w:rsid w:val="005A65C4"/>
    <w:rsid w:val="005B1E3C"/>
    <w:rsid w:val="005B5DFA"/>
    <w:rsid w:val="005C26CC"/>
    <w:rsid w:val="005C4261"/>
    <w:rsid w:val="005E4ABA"/>
    <w:rsid w:val="005F45B7"/>
    <w:rsid w:val="00614558"/>
    <w:rsid w:val="0061564E"/>
    <w:rsid w:val="00615C6B"/>
    <w:rsid w:val="00617C07"/>
    <w:rsid w:val="00625877"/>
    <w:rsid w:val="00630109"/>
    <w:rsid w:val="00631482"/>
    <w:rsid w:val="00632D6D"/>
    <w:rsid w:val="00642C3E"/>
    <w:rsid w:val="00650D62"/>
    <w:rsid w:val="00663DAD"/>
    <w:rsid w:val="006647BC"/>
    <w:rsid w:val="00670957"/>
    <w:rsid w:val="006735BC"/>
    <w:rsid w:val="00676679"/>
    <w:rsid w:val="00681698"/>
    <w:rsid w:val="0069009C"/>
    <w:rsid w:val="00692C5B"/>
    <w:rsid w:val="0069413D"/>
    <w:rsid w:val="006A7C50"/>
    <w:rsid w:val="006B045F"/>
    <w:rsid w:val="006B38DA"/>
    <w:rsid w:val="006B4CF9"/>
    <w:rsid w:val="006B7AC8"/>
    <w:rsid w:val="006C0B63"/>
    <w:rsid w:val="006C1FEB"/>
    <w:rsid w:val="006C2612"/>
    <w:rsid w:val="006C5CE6"/>
    <w:rsid w:val="006D550F"/>
    <w:rsid w:val="006D56D4"/>
    <w:rsid w:val="006D67DD"/>
    <w:rsid w:val="006E1392"/>
    <w:rsid w:val="006E4BBC"/>
    <w:rsid w:val="006E645C"/>
    <w:rsid w:val="006E678D"/>
    <w:rsid w:val="006E7886"/>
    <w:rsid w:val="006E7DA7"/>
    <w:rsid w:val="006F4738"/>
    <w:rsid w:val="00701CAB"/>
    <w:rsid w:val="00702DA1"/>
    <w:rsid w:val="00707563"/>
    <w:rsid w:val="007131E0"/>
    <w:rsid w:val="0072348C"/>
    <w:rsid w:val="00724A37"/>
    <w:rsid w:val="007303C3"/>
    <w:rsid w:val="00743223"/>
    <w:rsid w:val="00745ABF"/>
    <w:rsid w:val="0074658A"/>
    <w:rsid w:val="00746E01"/>
    <w:rsid w:val="00752F1D"/>
    <w:rsid w:val="00757BDF"/>
    <w:rsid w:val="00762FD7"/>
    <w:rsid w:val="00763E5D"/>
    <w:rsid w:val="00767740"/>
    <w:rsid w:val="00771F5E"/>
    <w:rsid w:val="0077755C"/>
    <w:rsid w:val="00777EE6"/>
    <w:rsid w:val="007827AE"/>
    <w:rsid w:val="00782EEA"/>
    <w:rsid w:val="00783193"/>
    <w:rsid w:val="0078736C"/>
    <w:rsid w:val="00791D0C"/>
    <w:rsid w:val="00793A39"/>
    <w:rsid w:val="00795F69"/>
    <w:rsid w:val="007A4D1F"/>
    <w:rsid w:val="007B2C72"/>
    <w:rsid w:val="007C1C53"/>
    <w:rsid w:val="007C1D16"/>
    <w:rsid w:val="007C4889"/>
    <w:rsid w:val="007C74BB"/>
    <w:rsid w:val="007D182F"/>
    <w:rsid w:val="007D2424"/>
    <w:rsid w:val="007D29F2"/>
    <w:rsid w:val="007E0E5D"/>
    <w:rsid w:val="007E1DD6"/>
    <w:rsid w:val="007E4904"/>
    <w:rsid w:val="007E4CB5"/>
    <w:rsid w:val="007F066B"/>
    <w:rsid w:val="007F2D89"/>
    <w:rsid w:val="007F387D"/>
    <w:rsid w:val="007F5F9A"/>
    <w:rsid w:val="008033C4"/>
    <w:rsid w:val="00806C88"/>
    <w:rsid w:val="0081034E"/>
    <w:rsid w:val="008120E3"/>
    <w:rsid w:val="00814C65"/>
    <w:rsid w:val="00821E7A"/>
    <w:rsid w:val="00826827"/>
    <w:rsid w:val="008344F6"/>
    <w:rsid w:val="0083510F"/>
    <w:rsid w:val="00843704"/>
    <w:rsid w:val="0084715F"/>
    <w:rsid w:val="00851209"/>
    <w:rsid w:val="0086243F"/>
    <w:rsid w:val="00862FA3"/>
    <w:rsid w:val="008644E9"/>
    <w:rsid w:val="00870DF2"/>
    <w:rsid w:val="00874F2C"/>
    <w:rsid w:val="00876136"/>
    <w:rsid w:val="008837AC"/>
    <w:rsid w:val="00884650"/>
    <w:rsid w:val="00896280"/>
    <w:rsid w:val="008A3E3C"/>
    <w:rsid w:val="008A56CB"/>
    <w:rsid w:val="008A587D"/>
    <w:rsid w:val="008A7AE6"/>
    <w:rsid w:val="008B2456"/>
    <w:rsid w:val="008C08CC"/>
    <w:rsid w:val="008C5486"/>
    <w:rsid w:val="008D1661"/>
    <w:rsid w:val="008D7420"/>
    <w:rsid w:val="008E1164"/>
    <w:rsid w:val="008E5A77"/>
    <w:rsid w:val="008E6B02"/>
    <w:rsid w:val="008E7031"/>
    <w:rsid w:val="008F1F05"/>
    <w:rsid w:val="008F2354"/>
    <w:rsid w:val="008F520A"/>
    <w:rsid w:val="008F6CD4"/>
    <w:rsid w:val="008F74B1"/>
    <w:rsid w:val="00903FEF"/>
    <w:rsid w:val="00910DBF"/>
    <w:rsid w:val="00920E77"/>
    <w:rsid w:val="009233EE"/>
    <w:rsid w:val="00926C76"/>
    <w:rsid w:val="00926D4C"/>
    <w:rsid w:val="009460AA"/>
    <w:rsid w:val="00947A7B"/>
    <w:rsid w:val="00951978"/>
    <w:rsid w:val="009546EF"/>
    <w:rsid w:val="009661DE"/>
    <w:rsid w:val="00971D29"/>
    <w:rsid w:val="00972C41"/>
    <w:rsid w:val="00975452"/>
    <w:rsid w:val="00977E7D"/>
    <w:rsid w:val="009856B7"/>
    <w:rsid w:val="0099116B"/>
    <w:rsid w:val="00992C1C"/>
    <w:rsid w:val="009974C8"/>
    <w:rsid w:val="009A20C0"/>
    <w:rsid w:val="009A3ABB"/>
    <w:rsid w:val="009A5FC3"/>
    <w:rsid w:val="009B74B0"/>
    <w:rsid w:val="009D172F"/>
    <w:rsid w:val="009D3BA6"/>
    <w:rsid w:val="009D6B46"/>
    <w:rsid w:val="009F4940"/>
    <w:rsid w:val="009F5BA1"/>
    <w:rsid w:val="009F6005"/>
    <w:rsid w:val="009F6051"/>
    <w:rsid w:val="00A0171C"/>
    <w:rsid w:val="00A02A88"/>
    <w:rsid w:val="00A0562E"/>
    <w:rsid w:val="00A0568E"/>
    <w:rsid w:val="00A0726D"/>
    <w:rsid w:val="00A134C4"/>
    <w:rsid w:val="00A22495"/>
    <w:rsid w:val="00A26D5F"/>
    <w:rsid w:val="00A32FBB"/>
    <w:rsid w:val="00A3428F"/>
    <w:rsid w:val="00A35305"/>
    <w:rsid w:val="00A4478A"/>
    <w:rsid w:val="00A44852"/>
    <w:rsid w:val="00A455F8"/>
    <w:rsid w:val="00A51D1C"/>
    <w:rsid w:val="00A5782E"/>
    <w:rsid w:val="00A57D04"/>
    <w:rsid w:val="00A60023"/>
    <w:rsid w:val="00A60A26"/>
    <w:rsid w:val="00A61598"/>
    <w:rsid w:val="00A672B8"/>
    <w:rsid w:val="00A75077"/>
    <w:rsid w:val="00A773B4"/>
    <w:rsid w:val="00A84F46"/>
    <w:rsid w:val="00A85DE3"/>
    <w:rsid w:val="00A871F4"/>
    <w:rsid w:val="00A902E2"/>
    <w:rsid w:val="00A90FE6"/>
    <w:rsid w:val="00A93900"/>
    <w:rsid w:val="00A946B4"/>
    <w:rsid w:val="00A96B95"/>
    <w:rsid w:val="00AA1675"/>
    <w:rsid w:val="00AA2DF5"/>
    <w:rsid w:val="00AB315C"/>
    <w:rsid w:val="00AB6843"/>
    <w:rsid w:val="00AC1B2C"/>
    <w:rsid w:val="00AC3264"/>
    <w:rsid w:val="00AD78D2"/>
    <w:rsid w:val="00AE1BF1"/>
    <w:rsid w:val="00AE21FB"/>
    <w:rsid w:val="00AF0857"/>
    <w:rsid w:val="00AF0DD2"/>
    <w:rsid w:val="00AF1ED6"/>
    <w:rsid w:val="00AF2C73"/>
    <w:rsid w:val="00AF4842"/>
    <w:rsid w:val="00B101AA"/>
    <w:rsid w:val="00B1187B"/>
    <w:rsid w:val="00B13048"/>
    <w:rsid w:val="00B13A22"/>
    <w:rsid w:val="00B140F6"/>
    <w:rsid w:val="00B1716D"/>
    <w:rsid w:val="00B17A1D"/>
    <w:rsid w:val="00B17E56"/>
    <w:rsid w:val="00B207A0"/>
    <w:rsid w:val="00B245EE"/>
    <w:rsid w:val="00B30786"/>
    <w:rsid w:val="00B320F6"/>
    <w:rsid w:val="00B35B39"/>
    <w:rsid w:val="00B37E38"/>
    <w:rsid w:val="00B428C5"/>
    <w:rsid w:val="00B47868"/>
    <w:rsid w:val="00B514DD"/>
    <w:rsid w:val="00B52AF0"/>
    <w:rsid w:val="00B56E03"/>
    <w:rsid w:val="00B671F5"/>
    <w:rsid w:val="00B71495"/>
    <w:rsid w:val="00B7361F"/>
    <w:rsid w:val="00B75ACE"/>
    <w:rsid w:val="00B76DAA"/>
    <w:rsid w:val="00B8080B"/>
    <w:rsid w:val="00B81F44"/>
    <w:rsid w:val="00B82CA1"/>
    <w:rsid w:val="00B87C39"/>
    <w:rsid w:val="00B927D8"/>
    <w:rsid w:val="00B936D7"/>
    <w:rsid w:val="00B96F8B"/>
    <w:rsid w:val="00BA15C4"/>
    <w:rsid w:val="00BA3C98"/>
    <w:rsid w:val="00BA4665"/>
    <w:rsid w:val="00BA53E6"/>
    <w:rsid w:val="00BB2FB2"/>
    <w:rsid w:val="00BB3304"/>
    <w:rsid w:val="00BB6AC0"/>
    <w:rsid w:val="00BD3446"/>
    <w:rsid w:val="00BE1F1B"/>
    <w:rsid w:val="00BE4726"/>
    <w:rsid w:val="00BE47B5"/>
    <w:rsid w:val="00BF48DE"/>
    <w:rsid w:val="00C235A3"/>
    <w:rsid w:val="00C25FA6"/>
    <w:rsid w:val="00C275B2"/>
    <w:rsid w:val="00C3328B"/>
    <w:rsid w:val="00C538A9"/>
    <w:rsid w:val="00C53B5A"/>
    <w:rsid w:val="00C54F5A"/>
    <w:rsid w:val="00C569B4"/>
    <w:rsid w:val="00C56DF7"/>
    <w:rsid w:val="00C65237"/>
    <w:rsid w:val="00C67A92"/>
    <w:rsid w:val="00C70A60"/>
    <w:rsid w:val="00C83D83"/>
    <w:rsid w:val="00C86349"/>
    <w:rsid w:val="00C86679"/>
    <w:rsid w:val="00C96394"/>
    <w:rsid w:val="00CA1F4C"/>
    <w:rsid w:val="00CA489E"/>
    <w:rsid w:val="00CA748B"/>
    <w:rsid w:val="00CB666B"/>
    <w:rsid w:val="00CC213C"/>
    <w:rsid w:val="00CC7F1D"/>
    <w:rsid w:val="00CE5C5F"/>
    <w:rsid w:val="00CF3CE6"/>
    <w:rsid w:val="00CF6034"/>
    <w:rsid w:val="00D01CF0"/>
    <w:rsid w:val="00D034D7"/>
    <w:rsid w:val="00D0442A"/>
    <w:rsid w:val="00D133F2"/>
    <w:rsid w:val="00D26D66"/>
    <w:rsid w:val="00D358A5"/>
    <w:rsid w:val="00D36A7B"/>
    <w:rsid w:val="00D43948"/>
    <w:rsid w:val="00D5016B"/>
    <w:rsid w:val="00D57872"/>
    <w:rsid w:val="00D61388"/>
    <w:rsid w:val="00D61A54"/>
    <w:rsid w:val="00D63DC1"/>
    <w:rsid w:val="00D64DEA"/>
    <w:rsid w:val="00D7029A"/>
    <w:rsid w:val="00D7168E"/>
    <w:rsid w:val="00D71E57"/>
    <w:rsid w:val="00D73F65"/>
    <w:rsid w:val="00D776BA"/>
    <w:rsid w:val="00D80893"/>
    <w:rsid w:val="00D81EF4"/>
    <w:rsid w:val="00D84492"/>
    <w:rsid w:val="00D84FF3"/>
    <w:rsid w:val="00D851C9"/>
    <w:rsid w:val="00D90B3E"/>
    <w:rsid w:val="00D911CE"/>
    <w:rsid w:val="00D92CF1"/>
    <w:rsid w:val="00D92D38"/>
    <w:rsid w:val="00D950F5"/>
    <w:rsid w:val="00DA08FC"/>
    <w:rsid w:val="00DA0C18"/>
    <w:rsid w:val="00DB0F61"/>
    <w:rsid w:val="00DB0F93"/>
    <w:rsid w:val="00DB1A67"/>
    <w:rsid w:val="00DB1C30"/>
    <w:rsid w:val="00DB3F58"/>
    <w:rsid w:val="00DB5074"/>
    <w:rsid w:val="00DB723B"/>
    <w:rsid w:val="00DB72F7"/>
    <w:rsid w:val="00DC150E"/>
    <w:rsid w:val="00DC7981"/>
    <w:rsid w:val="00DD135D"/>
    <w:rsid w:val="00DE4EFA"/>
    <w:rsid w:val="00DE5520"/>
    <w:rsid w:val="00DF5355"/>
    <w:rsid w:val="00DF6C00"/>
    <w:rsid w:val="00E04818"/>
    <w:rsid w:val="00E06442"/>
    <w:rsid w:val="00E128D2"/>
    <w:rsid w:val="00E137FB"/>
    <w:rsid w:val="00E16751"/>
    <w:rsid w:val="00E20C85"/>
    <w:rsid w:val="00E215AE"/>
    <w:rsid w:val="00E22820"/>
    <w:rsid w:val="00E23993"/>
    <w:rsid w:val="00E24858"/>
    <w:rsid w:val="00E25B8C"/>
    <w:rsid w:val="00E334A4"/>
    <w:rsid w:val="00E43D08"/>
    <w:rsid w:val="00E44E8E"/>
    <w:rsid w:val="00E478A6"/>
    <w:rsid w:val="00E565DD"/>
    <w:rsid w:val="00E65AD0"/>
    <w:rsid w:val="00E65C85"/>
    <w:rsid w:val="00E66199"/>
    <w:rsid w:val="00E755EC"/>
    <w:rsid w:val="00E7624D"/>
    <w:rsid w:val="00EA353B"/>
    <w:rsid w:val="00EA3D42"/>
    <w:rsid w:val="00EA6B1B"/>
    <w:rsid w:val="00EB505D"/>
    <w:rsid w:val="00EC4F0A"/>
    <w:rsid w:val="00EC6181"/>
    <w:rsid w:val="00ED0055"/>
    <w:rsid w:val="00ED754E"/>
    <w:rsid w:val="00ED7BE9"/>
    <w:rsid w:val="00EE28F3"/>
    <w:rsid w:val="00EF5110"/>
    <w:rsid w:val="00F040AA"/>
    <w:rsid w:val="00F11147"/>
    <w:rsid w:val="00F13C95"/>
    <w:rsid w:val="00F13D9B"/>
    <w:rsid w:val="00F15882"/>
    <w:rsid w:val="00F15CEB"/>
    <w:rsid w:val="00F171E0"/>
    <w:rsid w:val="00F17F7C"/>
    <w:rsid w:val="00F20BD3"/>
    <w:rsid w:val="00F263FD"/>
    <w:rsid w:val="00F274A5"/>
    <w:rsid w:val="00F35B85"/>
    <w:rsid w:val="00F373A5"/>
    <w:rsid w:val="00F47559"/>
    <w:rsid w:val="00F62402"/>
    <w:rsid w:val="00F64C7B"/>
    <w:rsid w:val="00F676DD"/>
    <w:rsid w:val="00F71778"/>
    <w:rsid w:val="00F75A26"/>
    <w:rsid w:val="00F835C9"/>
    <w:rsid w:val="00F83FAD"/>
    <w:rsid w:val="00F87937"/>
    <w:rsid w:val="00F952A0"/>
    <w:rsid w:val="00FA3C7F"/>
    <w:rsid w:val="00FB0BD5"/>
    <w:rsid w:val="00FB74E2"/>
    <w:rsid w:val="00FC56BB"/>
    <w:rsid w:val="00FD5614"/>
    <w:rsid w:val="00FD58B3"/>
    <w:rsid w:val="00FE0BE1"/>
    <w:rsid w:val="00FE1DE9"/>
    <w:rsid w:val="00FE39C2"/>
    <w:rsid w:val="00FE3C32"/>
    <w:rsid w:val="00FE64AE"/>
    <w:rsid w:val="00FE67A7"/>
    <w:rsid w:val="00FE732A"/>
    <w:rsid w:val="00FF18A3"/>
    <w:rsid w:val="00FF6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62"/>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0B354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614558"/>
    <w:pPr>
      <w:spacing w:line="240" w:lineRule="auto"/>
    </w:pPr>
    <w:rPr>
      <w:sz w:val="20"/>
      <w:szCs w:val="20"/>
    </w:rPr>
  </w:style>
  <w:style w:type="character" w:customStyle="1" w:styleId="CommentTextChar">
    <w:name w:val="Comment Text Char"/>
    <w:basedOn w:val="DefaultParagraphFont"/>
    <w:link w:val="CommentText"/>
    <w:uiPriority w:val="99"/>
    <w:rsid w:val="0061455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4558"/>
    <w:rPr>
      <w:b/>
      <w:bCs/>
    </w:rPr>
  </w:style>
  <w:style w:type="character" w:customStyle="1" w:styleId="CommentSubjectChar">
    <w:name w:val="Comment Subject Char"/>
    <w:basedOn w:val="CommentTextChar"/>
    <w:link w:val="CommentSubject"/>
    <w:uiPriority w:val="99"/>
    <w:semiHidden/>
    <w:rsid w:val="00614558"/>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62"/>
      </w:numPr>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0B354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614558"/>
    <w:pPr>
      <w:spacing w:line="240" w:lineRule="auto"/>
    </w:pPr>
    <w:rPr>
      <w:sz w:val="20"/>
      <w:szCs w:val="20"/>
    </w:rPr>
  </w:style>
  <w:style w:type="character" w:customStyle="1" w:styleId="CommentTextChar">
    <w:name w:val="Comment Text Char"/>
    <w:basedOn w:val="DefaultParagraphFont"/>
    <w:link w:val="CommentText"/>
    <w:uiPriority w:val="99"/>
    <w:rsid w:val="0061455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4558"/>
    <w:rPr>
      <w:b/>
      <w:bCs/>
    </w:rPr>
  </w:style>
  <w:style w:type="character" w:customStyle="1" w:styleId="CommentSubjectChar">
    <w:name w:val="Comment Subject Char"/>
    <w:basedOn w:val="CommentTextChar"/>
    <w:link w:val="CommentSubject"/>
    <w:uiPriority w:val="99"/>
    <w:semiHidden/>
    <w:rsid w:val="0061455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206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C49782-E2A1-49A3-8A3E-FFF2297F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C1C31078</Template>
  <TotalTime>1</TotalTime>
  <Pages>16</Pages>
  <Words>3368</Words>
  <Characters>19203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22526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Neck, Moston</dc:creator>
  <cp:lastModifiedBy>Johansen, Dale</cp:lastModifiedBy>
  <cp:revision>2</cp:revision>
  <cp:lastPrinted>2016-08-11T03:35:00Z</cp:lastPrinted>
  <dcterms:created xsi:type="dcterms:W3CDTF">2016-08-15T00:06:00Z</dcterms:created>
  <dcterms:modified xsi:type="dcterms:W3CDTF">2016-08-15T00:06:00Z</dcterms:modified>
</cp:coreProperties>
</file>