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E8C" w:rsidRDefault="003E4E8C">
      <w:pPr>
        <w:tabs>
          <w:tab w:val="left" w:pos="4050"/>
        </w:tabs>
        <w:rPr>
          <w:rFonts w:ascii="Times New Roman" w:hAnsi="Times New Roman"/>
          <w:sz w:val="24"/>
        </w:rPr>
      </w:pPr>
    </w:p>
    <w:p w:rsidR="00597077" w:rsidRDefault="00597077">
      <w:pPr>
        <w:tabs>
          <w:tab w:val="left" w:pos="4050"/>
        </w:tabs>
        <w:rPr>
          <w:rFonts w:ascii="Times New Roman" w:hAnsi="Times New Roman"/>
          <w:sz w:val="24"/>
        </w:rPr>
      </w:pPr>
    </w:p>
    <w:p w:rsidR="00597077" w:rsidRDefault="00597077">
      <w:pPr>
        <w:tabs>
          <w:tab w:val="left" w:pos="4050"/>
        </w:tabs>
        <w:rPr>
          <w:rFonts w:ascii="Times New Roman" w:hAnsi="Times New Roman"/>
          <w:sz w:val="24"/>
        </w:rPr>
      </w:pPr>
    </w:p>
    <w:p w:rsidR="00597077" w:rsidRDefault="00597077">
      <w:pPr>
        <w:tabs>
          <w:tab w:val="left" w:pos="4050"/>
        </w:tabs>
        <w:rPr>
          <w:rFonts w:ascii="Times New Roman" w:hAnsi="Times New Roman"/>
          <w:sz w:val="24"/>
        </w:rPr>
      </w:pPr>
    </w:p>
    <w:p w:rsidR="00597077" w:rsidRDefault="00597077">
      <w:pPr>
        <w:tabs>
          <w:tab w:val="left" w:pos="4050"/>
        </w:tabs>
        <w:rPr>
          <w:rFonts w:ascii="Times New Roman" w:hAnsi="Times New Roman"/>
          <w:sz w:val="24"/>
        </w:rPr>
      </w:pPr>
    </w:p>
    <w:p w:rsidR="00767836" w:rsidRDefault="00767836">
      <w:pPr>
        <w:tabs>
          <w:tab w:val="left" w:pos="4050"/>
        </w:tabs>
        <w:rPr>
          <w:rFonts w:ascii="Times New Roman" w:hAnsi="Times New Roman"/>
          <w:sz w:val="24"/>
        </w:rPr>
      </w:pPr>
    </w:p>
    <w:p w:rsidR="00767836" w:rsidRDefault="00767836">
      <w:pPr>
        <w:tabs>
          <w:tab w:val="left" w:pos="4050"/>
        </w:tabs>
        <w:rPr>
          <w:rFonts w:ascii="Times New Roman" w:hAnsi="Times New Roman"/>
          <w:sz w:val="24"/>
        </w:rPr>
      </w:pPr>
    </w:p>
    <w:p w:rsidR="00767836" w:rsidRDefault="00846265">
      <w:pPr>
        <w:tabs>
          <w:tab w:val="left" w:pos="4050"/>
        </w:tabs>
        <w:rPr>
          <w:rFonts w:ascii="Times New Roman" w:hAnsi="Times New Roman"/>
          <w:sz w:val="24"/>
        </w:rPr>
      </w:pPr>
      <w:r>
        <w:rPr>
          <w:rFonts w:ascii="Times New Roman" w:hAnsi="Times New Roman"/>
          <w:sz w:val="24"/>
        </w:rPr>
        <w:t>15</w:t>
      </w:r>
      <w:r w:rsidR="00767836">
        <w:rPr>
          <w:rFonts w:ascii="Times New Roman" w:hAnsi="Times New Roman"/>
          <w:sz w:val="24"/>
        </w:rPr>
        <w:t xml:space="preserve"> February 2013</w:t>
      </w:r>
    </w:p>
    <w:p w:rsidR="00597077" w:rsidRDefault="00597077">
      <w:pPr>
        <w:tabs>
          <w:tab w:val="left" w:pos="4050"/>
        </w:tabs>
        <w:rPr>
          <w:rFonts w:ascii="Times New Roman" w:hAnsi="Times New Roman"/>
          <w:sz w:val="24"/>
        </w:rPr>
      </w:pPr>
    </w:p>
    <w:p w:rsidR="00846265" w:rsidRDefault="00846265">
      <w:pPr>
        <w:tabs>
          <w:tab w:val="left" w:pos="4050"/>
        </w:tabs>
        <w:rPr>
          <w:rFonts w:ascii="Times New Roman" w:hAnsi="Times New Roman"/>
          <w:sz w:val="24"/>
        </w:rPr>
      </w:pPr>
    </w:p>
    <w:p w:rsidR="00846265" w:rsidRDefault="00846265">
      <w:pPr>
        <w:tabs>
          <w:tab w:val="left" w:pos="4050"/>
        </w:tabs>
        <w:rPr>
          <w:rFonts w:ascii="Times New Roman" w:hAnsi="Times New Roman"/>
          <w:sz w:val="24"/>
        </w:rPr>
      </w:pPr>
    </w:p>
    <w:p w:rsidR="00846265" w:rsidRDefault="00846265">
      <w:pPr>
        <w:tabs>
          <w:tab w:val="left" w:pos="4050"/>
        </w:tabs>
        <w:rPr>
          <w:rFonts w:ascii="Times New Roman" w:hAnsi="Times New Roman"/>
          <w:sz w:val="24"/>
        </w:rPr>
      </w:pPr>
    </w:p>
    <w:p w:rsidR="00660F4E" w:rsidRDefault="00660F4E">
      <w:pPr>
        <w:tabs>
          <w:tab w:val="left" w:pos="4050"/>
        </w:tabs>
        <w:rPr>
          <w:rFonts w:ascii="Times New Roman" w:hAnsi="Times New Roman"/>
          <w:sz w:val="24"/>
        </w:rPr>
      </w:pPr>
      <w:r>
        <w:rPr>
          <w:rFonts w:ascii="Times New Roman" w:hAnsi="Times New Roman"/>
          <w:sz w:val="24"/>
        </w:rPr>
        <w:t xml:space="preserve">For attention: </w:t>
      </w:r>
    </w:p>
    <w:p w:rsidR="00660F4E" w:rsidRDefault="00660F4E">
      <w:pPr>
        <w:tabs>
          <w:tab w:val="left" w:pos="4050"/>
        </w:tabs>
        <w:rPr>
          <w:rFonts w:ascii="Times New Roman" w:hAnsi="Times New Roman"/>
          <w:sz w:val="24"/>
        </w:rPr>
      </w:pPr>
    </w:p>
    <w:p w:rsidR="00660F4E" w:rsidRDefault="00660F4E">
      <w:pPr>
        <w:tabs>
          <w:tab w:val="left" w:pos="4050"/>
        </w:tabs>
        <w:rPr>
          <w:rFonts w:ascii="Times New Roman" w:hAnsi="Times New Roman"/>
          <w:sz w:val="24"/>
        </w:rPr>
      </w:pPr>
      <w:r>
        <w:rPr>
          <w:rFonts w:ascii="Times New Roman" w:hAnsi="Times New Roman"/>
          <w:sz w:val="24"/>
        </w:rPr>
        <w:t xml:space="preserve">Craig Madden, Director, AER </w:t>
      </w:r>
    </w:p>
    <w:p w:rsidR="00597077" w:rsidRDefault="00660F4E">
      <w:pPr>
        <w:tabs>
          <w:tab w:val="left" w:pos="4050"/>
        </w:tabs>
        <w:rPr>
          <w:rFonts w:ascii="Times New Roman" w:hAnsi="Times New Roman"/>
          <w:sz w:val="24"/>
        </w:rPr>
      </w:pPr>
      <w:r>
        <w:rPr>
          <w:rFonts w:ascii="Times New Roman" w:hAnsi="Times New Roman"/>
          <w:sz w:val="24"/>
        </w:rPr>
        <w:t xml:space="preserve">Scott Sandals, Director, AER </w:t>
      </w:r>
    </w:p>
    <w:p w:rsidR="00767836" w:rsidRDefault="00767836">
      <w:pPr>
        <w:tabs>
          <w:tab w:val="left" w:pos="4050"/>
        </w:tabs>
        <w:rPr>
          <w:rFonts w:ascii="Times New Roman" w:hAnsi="Times New Roman"/>
          <w:sz w:val="24"/>
        </w:rPr>
      </w:pPr>
    </w:p>
    <w:p w:rsidR="00533CF2" w:rsidRDefault="00533CF2">
      <w:pPr>
        <w:tabs>
          <w:tab w:val="left" w:pos="4050"/>
        </w:tabs>
        <w:rPr>
          <w:rFonts w:ascii="Times New Roman" w:hAnsi="Times New Roman"/>
          <w:sz w:val="24"/>
        </w:rPr>
      </w:pPr>
    </w:p>
    <w:p w:rsidR="00660F4E" w:rsidRDefault="00043FD9">
      <w:pPr>
        <w:tabs>
          <w:tab w:val="left" w:pos="4050"/>
        </w:tabs>
        <w:rPr>
          <w:rFonts w:ascii="Times New Roman" w:hAnsi="Times New Roman"/>
          <w:sz w:val="24"/>
        </w:rPr>
      </w:pPr>
      <w:r>
        <w:rPr>
          <w:rFonts w:ascii="Times New Roman" w:hAnsi="Times New Roman"/>
          <w:sz w:val="24"/>
        </w:rPr>
        <w:t xml:space="preserve">By email: </w:t>
      </w:r>
      <w:r w:rsidR="00706A0D">
        <w:rPr>
          <w:rFonts w:ascii="Times New Roman" w:hAnsi="Times New Roman"/>
          <w:sz w:val="24"/>
        </w:rPr>
        <w:t>rateofreturn@aer</w:t>
      </w:r>
      <w:r w:rsidR="00767836">
        <w:rPr>
          <w:rFonts w:ascii="Times New Roman" w:hAnsi="Times New Roman"/>
          <w:sz w:val="24"/>
        </w:rPr>
        <w:t>.gov.au</w:t>
      </w:r>
    </w:p>
    <w:p w:rsidR="00846265" w:rsidRDefault="00846265">
      <w:pPr>
        <w:tabs>
          <w:tab w:val="left" w:pos="4050"/>
        </w:tabs>
        <w:rPr>
          <w:rFonts w:ascii="Times New Roman" w:hAnsi="Times New Roman"/>
          <w:sz w:val="24"/>
        </w:rPr>
      </w:pPr>
    </w:p>
    <w:p w:rsidR="00846265" w:rsidRDefault="00846265">
      <w:pPr>
        <w:tabs>
          <w:tab w:val="left" w:pos="4050"/>
        </w:tabs>
        <w:rPr>
          <w:rFonts w:ascii="Times New Roman" w:hAnsi="Times New Roman"/>
          <w:sz w:val="24"/>
        </w:rPr>
      </w:pPr>
    </w:p>
    <w:p w:rsidR="00597077" w:rsidRDefault="00597077">
      <w:pPr>
        <w:tabs>
          <w:tab w:val="left" w:pos="4050"/>
        </w:tabs>
        <w:rPr>
          <w:rFonts w:ascii="Times New Roman" w:hAnsi="Times New Roman"/>
          <w:sz w:val="24"/>
        </w:rPr>
      </w:pPr>
      <w:r>
        <w:rPr>
          <w:rFonts w:ascii="Times New Roman" w:hAnsi="Times New Roman"/>
          <w:sz w:val="24"/>
        </w:rPr>
        <w:t xml:space="preserve">Dear </w:t>
      </w:r>
      <w:r w:rsidR="00660F4E">
        <w:rPr>
          <w:rFonts w:ascii="Times New Roman" w:hAnsi="Times New Roman"/>
          <w:sz w:val="24"/>
        </w:rPr>
        <w:t>Craig and Scott</w:t>
      </w:r>
    </w:p>
    <w:p w:rsidR="00597077" w:rsidRDefault="00597077">
      <w:pPr>
        <w:tabs>
          <w:tab w:val="left" w:pos="4050"/>
        </w:tabs>
        <w:rPr>
          <w:rFonts w:ascii="Times New Roman" w:hAnsi="Times New Roman"/>
          <w:sz w:val="24"/>
        </w:rPr>
      </w:pPr>
    </w:p>
    <w:p w:rsidR="00597077" w:rsidRDefault="00660F4E">
      <w:pPr>
        <w:tabs>
          <w:tab w:val="left" w:pos="4050"/>
        </w:tabs>
        <w:rPr>
          <w:rFonts w:ascii="Times New Roman" w:hAnsi="Times New Roman"/>
          <w:sz w:val="24"/>
        </w:rPr>
      </w:pPr>
      <w:r>
        <w:rPr>
          <w:rFonts w:ascii="Times New Roman" w:hAnsi="Times New Roman"/>
          <w:sz w:val="24"/>
        </w:rPr>
        <w:t>This letter is the EUAA’s</w:t>
      </w:r>
      <w:r w:rsidR="00597077">
        <w:rPr>
          <w:rFonts w:ascii="Times New Roman" w:hAnsi="Times New Roman"/>
          <w:sz w:val="24"/>
        </w:rPr>
        <w:t xml:space="preserve"> submission to the Australian Energy R</w:t>
      </w:r>
      <w:r>
        <w:rPr>
          <w:rFonts w:ascii="Times New Roman" w:hAnsi="Times New Roman"/>
          <w:sz w:val="24"/>
        </w:rPr>
        <w:t>egulator on its Rate of Return Issues P</w:t>
      </w:r>
      <w:r w:rsidR="00597077">
        <w:rPr>
          <w:rFonts w:ascii="Times New Roman" w:hAnsi="Times New Roman"/>
          <w:sz w:val="24"/>
        </w:rPr>
        <w:t>aper</w:t>
      </w:r>
      <w:r>
        <w:rPr>
          <w:rFonts w:ascii="Times New Roman" w:hAnsi="Times New Roman"/>
          <w:sz w:val="24"/>
        </w:rPr>
        <w:t xml:space="preserve">. It </w:t>
      </w:r>
      <w:r w:rsidR="00706A0D">
        <w:rPr>
          <w:rFonts w:ascii="Times New Roman" w:hAnsi="Times New Roman"/>
          <w:sz w:val="24"/>
        </w:rPr>
        <w:t xml:space="preserve">also </w:t>
      </w:r>
      <w:r>
        <w:rPr>
          <w:rFonts w:ascii="Times New Roman" w:hAnsi="Times New Roman"/>
          <w:sz w:val="24"/>
        </w:rPr>
        <w:t xml:space="preserve">alludes to </w:t>
      </w:r>
      <w:r w:rsidR="00597077">
        <w:rPr>
          <w:rFonts w:ascii="Times New Roman" w:hAnsi="Times New Roman"/>
          <w:sz w:val="24"/>
        </w:rPr>
        <w:t xml:space="preserve">discussion at the first </w:t>
      </w:r>
      <w:r>
        <w:rPr>
          <w:rFonts w:ascii="Times New Roman" w:hAnsi="Times New Roman"/>
          <w:sz w:val="24"/>
        </w:rPr>
        <w:t xml:space="preserve">Rate of Return </w:t>
      </w:r>
      <w:r w:rsidR="00597077">
        <w:rPr>
          <w:rFonts w:ascii="Times New Roman" w:hAnsi="Times New Roman"/>
          <w:sz w:val="24"/>
        </w:rPr>
        <w:t>working group meeting</w:t>
      </w:r>
      <w:r w:rsidR="00706A0D">
        <w:rPr>
          <w:rFonts w:ascii="Times New Roman" w:hAnsi="Times New Roman"/>
          <w:sz w:val="24"/>
        </w:rPr>
        <w:t xml:space="preserve"> earlier this month</w:t>
      </w:r>
      <w:r w:rsidR="00597077">
        <w:rPr>
          <w:rFonts w:ascii="Times New Roman" w:hAnsi="Times New Roman"/>
          <w:sz w:val="24"/>
        </w:rPr>
        <w:t>.</w:t>
      </w:r>
    </w:p>
    <w:p w:rsidR="00597077" w:rsidRDefault="00597077">
      <w:pPr>
        <w:tabs>
          <w:tab w:val="left" w:pos="4050"/>
        </w:tabs>
        <w:rPr>
          <w:rFonts w:ascii="Times New Roman" w:hAnsi="Times New Roman"/>
          <w:sz w:val="24"/>
        </w:rPr>
      </w:pPr>
    </w:p>
    <w:p w:rsidR="00597077" w:rsidRDefault="00597077">
      <w:pPr>
        <w:tabs>
          <w:tab w:val="left" w:pos="4050"/>
        </w:tabs>
        <w:rPr>
          <w:rFonts w:ascii="Times New Roman" w:hAnsi="Times New Roman"/>
          <w:sz w:val="24"/>
        </w:rPr>
      </w:pPr>
      <w:r>
        <w:rPr>
          <w:rFonts w:ascii="Times New Roman" w:hAnsi="Times New Roman"/>
          <w:sz w:val="24"/>
        </w:rPr>
        <w:t xml:space="preserve">We commend the AER for the way that it is developing this work and the effort it is making to involve </w:t>
      </w:r>
      <w:r w:rsidR="00706A0D">
        <w:rPr>
          <w:rFonts w:ascii="Times New Roman" w:hAnsi="Times New Roman"/>
          <w:sz w:val="24"/>
        </w:rPr>
        <w:t>energy users</w:t>
      </w:r>
      <w:r>
        <w:rPr>
          <w:rFonts w:ascii="Times New Roman" w:hAnsi="Times New Roman"/>
          <w:sz w:val="24"/>
        </w:rPr>
        <w:t xml:space="preserve"> in the development of its guidelines. We look forward to making a constructive contribution to this work in the hope that the </w:t>
      </w:r>
      <w:r w:rsidR="00660F4E">
        <w:rPr>
          <w:rFonts w:ascii="Times New Roman" w:hAnsi="Times New Roman"/>
          <w:sz w:val="24"/>
        </w:rPr>
        <w:t>eventual</w:t>
      </w:r>
      <w:r>
        <w:rPr>
          <w:rFonts w:ascii="Times New Roman" w:hAnsi="Times New Roman"/>
          <w:sz w:val="24"/>
        </w:rPr>
        <w:t xml:space="preserve"> guideline </w:t>
      </w:r>
      <w:r w:rsidR="00660F4E">
        <w:rPr>
          <w:rFonts w:ascii="Times New Roman" w:hAnsi="Times New Roman"/>
          <w:sz w:val="24"/>
        </w:rPr>
        <w:t xml:space="preserve">is an effective response to the </w:t>
      </w:r>
      <w:r>
        <w:rPr>
          <w:rFonts w:ascii="Times New Roman" w:hAnsi="Times New Roman"/>
          <w:sz w:val="24"/>
        </w:rPr>
        <w:t xml:space="preserve">unsatisfactory </w:t>
      </w:r>
      <w:r w:rsidR="00660F4E">
        <w:rPr>
          <w:rFonts w:ascii="Times New Roman" w:hAnsi="Times New Roman"/>
          <w:sz w:val="24"/>
        </w:rPr>
        <w:t xml:space="preserve">Weighted Average Cost of Capital (WACC) </w:t>
      </w:r>
      <w:r>
        <w:rPr>
          <w:rFonts w:ascii="Times New Roman" w:hAnsi="Times New Roman"/>
          <w:sz w:val="24"/>
        </w:rPr>
        <w:t>outcomes that have been delivered so far.</w:t>
      </w:r>
    </w:p>
    <w:p w:rsidR="00043FD9" w:rsidRDefault="00043FD9">
      <w:pPr>
        <w:tabs>
          <w:tab w:val="left" w:pos="4050"/>
        </w:tabs>
        <w:rPr>
          <w:rFonts w:ascii="Times New Roman" w:hAnsi="Times New Roman"/>
          <w:sz w:val="24"/>
        </w:rPr>
      </w:pPr>
    </w:p>
    <w:p w:rsidR="00043FD9" w:rsidRDefault="00043FD9">
      <w:pPr>
        <w:tabs>
          <w:tab w:val="left" w:pos="4050"/>
        </w:tabs>
        <w:rPr>
          <w:rFonts w:ascii="Times New Roman" w:hAnsi="Times New Roman"/>
          <w:sz w:val="24"/>
        </w:rPr>
      </w:pPr>
      <w:r>
        <w:rPr>
          <w:rFonts w:ascii="Times New Roman" w:hAnsi="Times New Roman"/>
          <w:sz w:val="24"/>
        </w:rPr>
        <w:t xml:space="preserve">At this early stage, we limit our response in this submission to just two issues </w:t>
      </w:r>
    </w:p>
    <w:p w:rsidR="00597077" w:rsidRDefault="00597077">
      <w:pPr>
        <w:tabs>
          <w:tab w:val="left" w:pos="4050"/>
        </w:tabs>
        <w:rPr>
          <w:rFonts w:ascii="Times New Roman" w:hAnsi="Times New Roman"/>
          <w:sz w:val="24"/>
        </w:rPr>
      </w:pPr>
    </w:p>
    <w:p w:rsidR="00043FD9" w:rsidRDefault="00597077" w:rsidP="00597077">
      <w:pPr>
        <w:tabs>
          <w:tab w:val="left" w:pos="4050"/>
        </w:tabs>
        <w:rPr>
          <w:rFonts w:ascii="Times New Roman" w:hAnsi="Times New Roman"/>
          <w:sz w:val="24"/>
        </w:rPr>
      </w:pPr>
      <w:r>
        <w:rPr>
          <w:rFonts w:ascii="Times New Roman" w:hAnsi="Times New Roman"/>
          <w:sz w:val="24"/>
        </w:rPr>
        <w:t xml:space="preserve">Our first comment is that we consider </w:t>
      </w:r>
      <w:r w:rsidR="00B76876">
        <w:rPr>
          <w:rFonts w:ascii="Times New Roman" w:hAnsi="Times New Roman"/>
          <w:sz w:val="24"/>
        </w:rPr>
        <w:t xml:space="preserve">that </w:t>
      </w:r>
      <w:r>
        <w:rPr>
          <w:rFonts w:ascii="Times New Roman" w:hAnsi="Times New Roman"/>
          <w:sz w:val="24"/>
        </w:rPr>
        <w:t xml:space="preserve">the dichotomy that the AER is drawing between certainty and flexibility is a false dichotomy.  Energy users </w:t>
      </w:r>
      <w:r w:rsidR="00043FD9">
        <w:rPr>
          <w:rFonts w:ascii="Times New Roman" w:hAnsi="Times New Roman"/>
          <w:sz w:val="24"/>
        </w:rPr>
        <w:t>have a preference for</w:t>
      </w:r>
      <w:r>
        <w:rPr>
          <w:rFonts w:ascii="Times New Roman" w:hAnsi="Times New Roman"/>
          <w:sz w:val="24"/>
        </w:rPr>
        <w:t xml:space="preserve"> stable prices, just as we expect investors in network service providers </w:t>
      </w:r>
      <w:r w:rsidR="00043FD9">
        <w:rPr>
          <w:rFonts w:ascii="Times New Roman" w:hAnsi="Times New Roman"/>
          <w:sz w:val="24"/>
        </w:rPr>
        <w:t>have a preference for</w:t>
      </w:r>
      <w:r>
        <w:rPr>
          <w:rFonts w:ascii="Times New Roman" w:hAnsi="Times New Roman"/>
          <w:sz w:val="24"/>
        </w:rPr>
        <w:t xml:space="preserve"> predictable returns. But regulatory determin</w:t>
      </w:r>
      <w:r w:rsidR="0079682E">
        <w:rPr>
          <w:rFonts w:ascii="Times New Roman" w:hAnsi="Times New Roman"/>
          <w:sz w:val="24"/>
        </w:rPr>
        <w:t xml:space="preserve">ations </w:t>
      </w:r>
      <w:r>
        <w:rPr>
          <w:rFonts w:ascii="Times New Roman" w:hAnsi="Times New Roman"/>
          <w:sz w:val="24"/>
        </w:rPr>
        <w:t>of the allowed rates of return that deviate substantially from the cost of capital are not acceptable to users</w:t>
      </w:r>
      <w:r w:rsidR="0079682E">
        <w:rPr>
          <w:rFonts w:ascii="Times New Roman" w:hAnsi="Times New Roman"/>
          <w:sz w:val="24"/>
        </w:rPr>
        <w:t>, even if they are “certain”</w:t>
      </w:r>
      <w:r w:rsidR="00043FD9">
        <w:rPr>
          <w:rFonts w:ascii="Times New Roman" w:hAnsi="Times New Roman"/>
          <w:sz w:val="24"/>
        </w:rPr>
        <w:t>, stable or predictable</w:t>
      </w:r>
      <w:r>
        <w:rPr>
          <w:rFonts w:ascii="Times New Roman" w:hAnsi="Times New Roman"/>
          <w:sz w:val="24"/>
        </w:rPr>
        <w:t xml:space="preserve">. </w:t>
      </w:r>
    </w:p>
    <w:p w:rsidR="00043FD9" w:rsidRDefault="00043FD9" w:rsidP="00597077">
      <w:pPr>
        <w:tabs>
          <w:tab w:val="left" w:pos="4050"/>
        </w:tabs>
        <w:rPr>
          <w:rFonts w:ascii="Times New Roman" w:hAnsi="Times New Roman"/>
          <w:sz w:val="24"/>
        </w:rPr>
      </w:pPr>
    </w:p>
    <w:p w:rsidR="00597077" w:rsidRDefault="00043FD9" w:rsidP="00597077">
      <w:pPr>
        <w:tabs>
          <w:tab w:val="left" w:pos="4050"/>
        </w:tabs>
        <w:rPr>
          <w:rFonts w:ascii="Times New Roman" w:hAnsi="Times New Roman"/>
          <w:sz w:val="24"/>
        </w:rPr>
      </w:pPr>
      <w:r>
        <w:rPr>
          <w:rFonts w:ascii="Times New Roman" w:hAnsi="Times New Roman"/>
          <w:sz w:val="24"/>
        </w:rPr>
        <w:t>The current arrangements for the determination of WACC place</w:t>
      </w:r>
      <w:r w:rsidR="00706A0D">
        <w:rPr>
          <w:rFonts w:ascii="Times New Roman" w:hAnsi="Times New Roman"/>
          <w:sz w:val="24"/>
        </w:rPr>
        <w:t>s</w:t>
      </w:r>
      <w:r>
        <w:rPr>
          <w:rFonts w:ascii="Times New Roman" w:hAnsi="Times New Roman"/>
          <w:sz w:val="24"/>
        </w:rPr>
        <w:t xml:space="preserve"> great importance on stability. But it has delivered returns that are a significant</w:t>
      </w:r>
      <w:r w:rsidR="00706A0D">
        <w:rPr>
          <w:rFonts w:ascii="Times New Roman" w:hAnsi="Times New Roman"/>
          <w:sz w:val="24"/>
        </w:rPr>
        <w:t xml:space="preserve"> premium to the opportunity cost</w:t>
      </w:r>
      <w:r>
        <w:rPr>
          <w:rFonts w:ascii="Times New Roman" w:hAnsi="Times New Roman"/>
          <w:sz w:val="24"/>
        </w:rPr>
        <w:t xml:space="preserve"> of capital. </w:t>
      </w:r>
      <w:r w:rsidR="00597077">
        <w:rPr>
          <w:rFonts w:ascii="Times New Roman" w:hAnsi="Times New Roman"/>
          <w:sz w:val="24"/>
        </w:rPr>
        <w:t xml:space="preserve">This is </w:t>
      </w:r>
      <w:r>
        <w:rPr>
          <w:rFonts w:ascii="Times New Roman" w:hAnsi="Times New Roman"/>
          <w:sz w:val="24"/>
        </w:rPr>
        <w:t xml:space="preserve">why the </w:t>
      </w:r>
      <w:r w:rsidR="00597077">
        <w:rPr>
          <w:rFonts w:ascii="Times New Roman" w:hAnsi="Times New Roman"/>
          <w:sz w:val="24"/>
        </w:rPr>
        <w:t xml:space="preserve">Energy Users Rule Change Committee proposed changes to the </w:t>
      </w:r>
      <w:r>
        <w:rPr>
          <w:rFonts w:ascii="Times New Roman" w:hAnsi="Times New Roman"/>
          <w:sz w:val="24"/>
        </w:rPr>
        <w:t>National Electricity Rules</w:t>
      </w:r>
      <w:r w:rsidR="00597077">
        <w:rPr>
          <w:rFonts w:ascii="Times New Roman" w:hAnsi="Times New Roman"/>
          <w:sz w:val="24"/>
        </w:rPr>
        <w:t xml:space="preserve">. </w:t>
      </w:r>
      <w:r>
        <w:rPr>
          <w:rFonts w:ascii="Times New Roman" w:hAnsi="Times New Roman"/>
          <w:sz w:val="24"/>
        </w:rPr>
        <w:t>E</w:t>
      </w:r>
      <w:r w:rsidR="00597077">
        <w:rPr>
          <w:rFonts w:ascii="Times New Roman" w:hAnsi="Times New Roman"/>
          <w:sz w:val="24"/>
        </w:rPr>
        <w:t>vidence of a substantial difference between allowed returns and cost is by far the most significant</w:t>
      </w:r>
      <w:r>
        <w:rPr>
          <w:rFonts w:ascii="Times New Roman" w:hAnsi="Times New Roman"/>
          <w:sz w:val="24"/>
        </w:rPr>
        <w:t xml:space="preserve"> issue to consumers</w:t>
      </w:r>
      <w:r w:rsidR="00597077">
        <w:rPr>
          <w:rFonts w:ascii="Times New Roman" w:hAnsi="Times New Roman"/>
          <w:sz w:val="24"/>
        </w:rPr>
        <w:t xml:space="preserve">. A defence that although allowed returns </w:t>
      </w:r>
      <w:r w:rsidR="00597077">
        <w:rPr>
          <w:rFonts w:ascii="Times New Roman" w:hAnsi="Times New Roman"/>
          <w:sz w:val="24"/>
        </w:rPr>
        <w:lastRenderedPageBreak/>
        <w:t>are a premium to the cost of capital, they are at least predictable</w:t>
      </w:r>
      <w:r>
        <w:rPr>
          <w:rFonts w:ascii="Times New Roman" w:hAnsi="Times New Roman"/>
          <w:sz w:val="24"/>
        </w:rPr>
        <w:t xml:space="preserve"> </w:t>
      </w:r>
      <w:r w:rsidR="00706A0D">
        <w:rPr>
          <w:rFonts w:ascii="Times New Roman" w:hAnsi="Times New Roman"/>
          <w:sz w:val="24"/>
        </w:rPr>
        <w:t>(</w:t>
      </w:r>
      <w:r>
        <w:rPr>
          <w:rFonts w:ascii="Times New Roman" w:hAnsi="Times New Roman"/>
          <w:sz w:val="24"/>
        </w:rPr>
        <w:t>or the methodology for their calculation is predictable</w:t>
      </w:r>
      <w:r w:rsidR="00706A0D">
        <w:rPr>
          <w:rFonts w:ascii="Times New Roman" w:hAnsi="Times New Roman"/>
          <w:sz w:val="24"/>
        </w:rPr>
        <w:t>)</w:t>
      </w:r>
      <w:r w:rsidR="00597077">
        <w:rPr>
          <w:rFonts w:ascii="Times New Roman" w:hAnsi="Times New Roman"/>
          <w:sz w:val="24"/>
        </w:rPr>
        <w:t xml:space="preserve"> is no defence at all to energy users.</w:t>
      </w:r>
    </w:p>
    <w:p w:rsidR="00597077" w:rsidRDefault="00597077" w:rsidP="00597077">
      <w:pPr>
        <w:tabs>
          <w:tab w:val="left" w:pos="4050"/>
        </w:tabs>
        <w:rPr>
          <w:rFonts w:ascii="Times New Roman" w:hAnsi="Times New Roman"/>
          <w:sz w:val="24"/>
        </w:rPr>
      </w:pPr>
    </w:p>
    <w:p w:rsidR="00B76876" w:rsidRDefault="00597077" w:rsidP="00597077">
      <w:pPr>
        <w:tabs>
          <w:tab w:val="left" w:pos="4050"/>
        </w:tabs>
        <w:rPr>
          <w:rFonts w:ascii="Times New Roman" w:hAnsi="Times New Roman"/>
          <w:sz w:val="24"/>
        </w:rPr>
      </w:pPr>
      <w:r>
        <w:rPr>
          <w:rFonts w:ascii="Times New Roman" w:hAnsi="Times New Roman"/>
          <w:sz w:val="24"/>
        </w:rPr>
        <w:t xml:space="preserve">Our second comment, reiterates </w:t>
      </w:r>
      <w:r w:rsidR="0079682E">
        <w:rPr>
          <w:rFonts w:ascii="Times New Roman" w:hAnsi="Times New Roman"/>
          <w:sz w:val="24"/>
        </w:rPr>
        <w:t xml:space="preserve">points we made at the first working group meeting. At that meeting we suggested that the AER should have regard to the level of the WACC determined by other </w:t>
      </w:r>
      <w:r w:rsidR="00043FD9">
        <w:rPr>
          <w:rFonts w:ascii="Times New Roman" w:hAnsi="Times New Roman"/>
          <w:sz w:val="24"/>
        </w:rPr>
        <w:t xml:space="preserve">economic </w:t>
      </w:r>
      <w:r w:rsidR="0079682E">
        <w:rPr>
          <w:rFonts w:ascii="Times New Roman" w:hAnsi="Times New Roman"/>
          <w:sz w:val="24"/>
        </w:rPr>
        <w:t xml:space="preserve">regulators and regulators in other countries. </w:t>
      </w:r>
      <w:r w:rsidR="00B76876">
        <w:rPr>
          <w:rFonts w:ascii="Times New Roman" w:hAnsi="Times New Roman"/>
          <w:sz w:val="24"/>
        </w:rPr>
        <w:t>There was some</w:t>
      </w:r>
      <w:r w:rsidR="0079682E">
        <w:rPr>
          <w:rFonts w:ascii="Times New Roman" w:hAnsi="Times New Roman"/>
          <w:sz w:val="24"/>
        </w:rPr>
        <w:t xml:space="preserve"> concern </w:t>
      </w:r>
      <w:r w:rsidR="00B76876">
        <w:rPr>
          <w:rFonts w:ascii="Times New Roman" w:hAnsi="Times New Roman"/>
          <w:sz w:val="24"/>
        </w:rPr>
        <w:t xml:space="preserve">expressed by AER representatives </w:t>
      </w:r>
      <w:r w:rsidR="0079682E">
        <w:rPr>
          <w:rFonts w:ascii="Times New Roman" w:hAnsi="Times New Roman"/>
          <w:sz w:val="24"/>
        </w:rPr>
        <w:t>tha</w:t>
      </w:r>
      <w:r w:rsidR="00B76876">
        <w:rPr>
          <w:rFonts w:ascii="Times New Roman" w:hAnsi="Times New Roman"/>
          <w:sz w:val="24"/>
        </w:rPr>
        <w:t xml:space="preserve">t circumstances would differ amongst </w:t>
      </w:r>
      <w:r w:rsidR="0079682E">
        <w:rPr>
          <w:rFonts w:ascii="Times New Roman" w:hAnsi="Times New Roman"/>
          <w:sz w:val="24"/>
        </w:rPr>
        <w:t>countries,</w:t>
      </w:r>
      <w:r w:rsidR="00B76876">
        <w:rPr>
          <w:rFonts w:ascii="Times New Roman" w:hAnsi="Times New Roman"/>
          <w:sz w:val="24"/>
        </w:rPr>
        <w:t xml:space="preserve"> for example</w:t>
      </w:r>
      <w:r w:rsidR="0079682E">
        <w:rPr>
          <w:rFonts w:ascii="Times New Roman" w:hAnsi="Times New Roman"/>
          <w:sz w:val="24"/>
        </w:rPr>
        <w:t xml:space="preserve"> that there would be different policy obligations and so on</w:t>
      </w:r>
      <w:r w:rsidR="00043FD9">
        <w:rPr>
          <w:rFonts w:ascii="Times New Roman" w:hAnsi="Times New Roman"/>
          <w:sz w:val="24"/>
        </w:rPr>
        <w:t xml:space="preserve"> which would undermine comparisons</w:t>
      </w:r>
      <w:r w:rsidR="0079682E">
        <w:rPr>
          <w:rFonts w:ascii="Times New Roman" w:hAnsi="Times New Roman"/>
          <w:sz w:val="24"/>
        </w:rPr>
        <w:t>.</w:t>
      </w:r>
      <w:r w:rsidR="00706A0D">
        <w:rPr>
          <w:rFonts w:ascii="Times New Roman" w:hAnsi="Times New Roman"/>
          <w:sz w:val="24"/>
        </w:rPr>
        <w:t xml:space="preserve"> For this reason</w:t>
      </w:r>
      <w:r w:rsidR="00043FD9">
        <w:rPr>
          <w:rFonts w:ascii="Times New Roman" w:hAnsi="Times New Roman"/>
          <w:sz w:val="24"/>
        </w:rPr>
        <w:t xml:space="preserve">, </w:t>
      </w:r>
      <w:r w:rsidR="00B76876">
        <w:rPr>
          <w:rFonts w:ascii="Times New Roman" w:hAnsi="Times New Roman"/>
          <w:sz w:val="24"/>
        </w:rPr>
        <w:t>it was</w:t>
      </w:r>
      <w:r w:rsidR="00043FD9">
        <w:rPr>
          <w:rFonts w:ascii="Times New Roman" w:hAnsi="Times New Roman"/>
          <w:sz w:val="24"/>
        </w:rPr>
        <w:t xml:space="preserve"> questioned whether the AER’s resources would be well spent on </w:t>
      </w:r>
      <w:r w:rsidR="00706A0D">
        <w:rPr>
          <w:rFonts w:ascii="Times New Roman" w:hAnsi="Times New Roman"/>
          <w:sz w:val="24"/>
        </w:rPr>
        <w:t>developing (and hav</w:t>
      </w:r>
      <w:r w:rsidR="00B76876">
        <w:rPr>
          <w:rFonts w:ascii="Times New Roman" w:hAnsi="Times New Roman"/>
          <w:sz w:val="24"/>
        </w:rPr>
        <w:t>i</w:t>
      </w:r>
      <w:r w:rsidR="00706A0D">
        <w:rPr>
          <w:rFonts w:ascii="Times New Roman" w:hAnsi="Times New Roman"/>
          <w:sz w:val="24"/>
        </w:rPr>
        <w:t>ng regard to) international WACC comparisons</w:t>
      </w:r>
      <w:r w:rsidR="00043FD9">
        <w:rPr>
          <w:rFonts w:ascii="Times New Roman" w:hAnsi="Times New Roman"/>
          <w:sz w:val="24"/>
        </w:rPr>
        <w:t xml:space="preserve">. </w:t>
      </w:r>
    </w:p>
    <w:p w:rsidR="00B76876" w:rsidRDefault="00B76876" w:rsidP="00597077">
      <w:pPr>
        <w:tabs>
          <w:tab w:val="left" w:pos="4050"/>
        </w:tabs>
        <w:rPr>
          <w:rFonts w:ascii="Times New Roman" w:hAnsi="Times New Roman"/>
          <w:sz w:val="24"/>
        </w:rPr>
      </w:pPr>
    </w:p>
    <w:p w:rsidR="0079682E" w:rsidRDefault="0079682E" w:rsidP="00597077">
      <w:pPr>
        <w:tabs>
          <w:tab w:val="left" w:pos="4050"/>
        </w:tabs>
        <w:rPr>
          <w:rFonts w:ascii="Times New Roman" w:hAnsi="Times New Roman"/>
          <w:sz w:val="24"/>
        </w:rPr>
      </w:pPr>
      <w:bookmarkStart w:id="0" w:name="_GoBack"/>
      <w:bookmarkEnd w:id="0"/>
      <w:r>
        <w:rPr>
          <w:rFonts w:ascii="Times New Roman" w:hAnsi="Times New Roman"/>
          <w:sz w:val="24"/>
        </w:rPr>
        <w:t xml:space="preserve">While we agree that differences in context are important, we </w:t>
      </w:r>
      <w:r w:rsidR="00767836">
        <w:rPr>
          <w:rFonts w:ascii="Times New Roman" w:hAnsi="Times New Roman"/>
          <w:sz w:val="24"/>
        </w:rPr>
        <w:t xml:space="preserve">respectfully </w:t>
      </w:r>
      <w:r>
        <w:rPr>
          <w:rFonts w:ascii="Times New Roman" w:hAnsi="Times New Roman"/>
          <w:sz w:val="24"/>
        </w:rPr>
        <w:t>disagree that this invalidate</w:t>
      </w:r>
      <w:r w:rsidR="00EF2105">
        <w:rPr>
          <w:rFonts w:ascii="Times New Roman" w:hAnsi="Times New Roman"/>
          <w:sz w:val="24"/>
        </w:rPr>
        <w:t>s</w:t>
      </w:r>
      <w:r>
        <w:rPr>
          <w:rFonts w:ascii="Times New Roman" w:hAnsi="Times New Roman"/>
          <w:sz w:val="24"/>
        </w:rPr>
        <w:t xml:space="preserve"> international comparison</w:t>
      </w:r>
      <w:r w:rsidR="00767836">
        <w:rPr>
          <w:rFonts w:ascii="Times New Roman" w:hAnsi="Times New Roman"/>
          <w:sz w:val="24"/>
        </w:rPr>
        <w:t xml:space="preserve">, or means that the AER should not have regard to such information in its </w:t>
      </w:r>
      <w:r w:rsidR="00706A0D">
        <w:rPr>
          <w:rFonts w:ascii="Times New Roman" w:hAnsi="Times New Roman"/>
          <w:sz w:val="24"/>
        </w:rPr>
        <w:t xml:space="preserve">WACC </w:t>
      </w:r>
      <w:r w:rsidR="00767836">
        <w:rPr>
          <w:rFonts w:ascii="Times New Roman" w:hAnsi="Times New Roman"/>
          <w:sz w:val="24"/>
        </w:rPr>
        <w:t>decisions</w:t>
      </w:r>
      <w:r>
        <w:rPr>
          <w:rFonts w:ascii="Times New Roman" w:hAnsi="Times New Roman"/>
          <w:sz w:val="24"/>
        </w:rPr>
        <w:t>.</w:t>
      </w:r>
    </w:p>
    <w:p w:rsidR="0079682E" w:rsidRDefault="0079682E" w:rsidP="00597077">
      <w:pPr>
        <w:tabs>
          <w:tab w:val="left" w:pos="4050"/>
        </w:tabs>
        <w:rPr>
          <w:rFonts w:ascii="Times New Roman" w:hAnsi="Times New Roman"/>
          <w:sz w:val="24"/>
        </w:rPr>
      </w:pPr>
    </w:p>
    <w:p w:rsidR="00706A0D" w:rsidRDefault="0079682E" w:rsidP="00597077">
      <w:pPr>
        <w:tabs>
          <w:tab w:val="left" w:pos="4050"/>
        </w:tabs>
        <w:rPr>
          <w:rFonts w:ascii="Times New Roman" w:hAnsi="Times New Roman"/>
          <w:sz w:val="24"/>
        </w:rPr>
      </w:pPr>
      <w:r>
        <w:rPr>
          <w:rFonts w:ascii="Times New Roman" w:hAnsi="Times New Roman"/>
          <w:sz w:val="24"/>
        </w:rPr>
        <w:t xml:space="preserve">Australia has </w:t>
      </w:r>
      <w:r w:rsidR="00706A0D">
        <w:rPr>
          <w:rFonts w:ascii="Times New Roman" w:hAnsi="Times New Roman"/>
          <w:sz w:val="24"/>
        </w:rPr>
        <w:t>open</w:t>
      </w:r>
      <w:r>
        <w:rPr>
          <w:rFonts w:ascii="Times New Roman" w:hAnsi="Times New Roman"/>
          <w:sz w:val="24"/>
        </w:rPr>
        <w:t xml:space="preserve"> capital markets and investors in its network utilities will consider the allowed returns in Australia and compare them to those available for investment in similar firms in other countries. The allowed returns determined by regulators in other, comparable, countries is therefore absolutely relevant in AER decisions. </w:t>
      </w:r>
    </w:p>
    <w:p w:rsidR="00706A0D" w:rsidRDefault="00706A0D" w:rsidP="00597077">
      <w:pPr>
        <w:tabs>
          <w:tab w:val="left" w:pos="4050"/>
        </w:tabs>
        <w:rPr>
          <w:rFonts w:ascii="Times New Roman" w:hAnsi="Times New Roman"/>
          <w:sz w:val="24"/>
        </w:rPr>
      </w:pPr>
    </w:p>
    <w:p w:rsidR="00EF2105" w:rsidRDefault="0079682E" w:rsidP="00597077">
      <w:pPr>
        <w:tabs>
          <w:tab w:val="left" w:pos="4050"/>
        </w:tabs>
        <w:rPr>
          <w:rFonts w:ascii="Times New Roman" w:hAnsi="Times New Roman"/>
          <w:sz w:val="24"/>
        </w:rPr>
      </w:pPr>
      <w:r>
        <w:rPr>
          <w:rFonts w:ascii="Times New Roman" w:hAnsi="Times New Roman"/>
          <w:sz w:val="24"/>
        </w:rPr>
        <w:t>Comparable countries with</w:t>
      </w:r>
      <w:r w:rsidR="00533CF2">
        <w:rPr>
          <w:rFonts w:ascii="Times New Roman" w:hAnsi="Times New Roman"/>
          <w:sz w:val="24"/>
        </w:rPr>
        <w:t xml:space="preserve"> similar regulatory frameworks and </w:t>
      </w:r>
      <w:r>
        <w:rPr>
          <w:rFonts w:ascii="Times New Roman" w:hAnsi="Times New Roman"/>
          <w:sz w:val="24"/>
        </w:rPr>
        <w:t>network performance standards</w:t>
      </w:r>
      <w:r w:rsidR="00EF2105">
        <w:rPr>
          <w:rFonts w:ascii="Times New Roman" w:hAnsi="Times New Roman"/>
          <w:sz w:val="24"/>
        </w:rPr>
        <w:t xml:space="preserve"> and where </w:t>
      </w:r>
      <w:r w:rsidR="00533CF2">
        <w:rPr>
          <w:rFonts w:ascii="Times New Roman" w:hAnsi="Times New Roman"/>
          <w:sz w:val="24"/>
        </w:rPr>
        <w:t xml:space="preserve">WACC </w:t>
      </w:r>
      <w:r w:rsidR="00EF2105">
        <w:rPr>
          <w:rFonts w:ascii="Times New Roman" w:hAnsi="Times New Roman"/>
          <w:sz w:val="24"/>
        </w:rPr>
        <w:t xml:space="preserve">data is </w:t>
      </w:r>
      <w:r w:rsidR="00533CF2">
        <w:rPr>
          <w:rFonts w:ascii="Times New Roman" w:hAnsi="Times New Roman"/>
          <w:sz w:val="24"/>
        </w:rPr>
        <w:t>readily</w:t>
      </w:r>
      <w:r w:rsidR="00EF2105">
        <w:rPr>
          <w:rFonts w:ascii="Times New Roman" w:hAnsi="Times New Roman"/>
          <w:sz w:val="24"/>
        </w:rPr>
        <w:t xml:space="preserve"> available </w:t>
      </w:r>
      <w:r>
        <w:rPr>
          <w:rFonts w:ascii="Times New Roman" w:hAnsi="Times New Roman"/>
          <w:sz w:val="24"/>
        </w:rPr>
        <w:t>include</w:t>
      </w:r>
      <w:r w:rsidR="00533CF2">
        <w:rPr>
          <w:rFonts w:ascii="Times New Roman" w:hAnsi="Times New Roman"/>
          <w:sz w:val="24"/>
        </w:rPr>
        <w:t>s</w:t>
      </w:r>
      <w:r>
        <w:rPr>
          <w:rFonts w:ascii="Times New Roman" w:hAnsi="Times New Roman"/>
          <w:sz w:val="24"/>
        </w:rPr>
        <w:t xml:space="preserve"> Canada, the United States, </w:t>
      </w:r>
      <w:r w:rsidR="00706A0D">
        <w:rPr>
          <w:rFonts w:ascii="Times New Roman" w:hAnsi="Times New Roman"/>
          <w:sz w:val="24"/>
        </w:rPr>
        <w:t xml:space="preserve">Great Britain and </w:t>
      </w:r>
      <w:r w:rsidR="00EF2105">
        <w:rPr>
          <w:rFonts w:ascii="Times New Roman" w:hAnsi="Times New Roman"/>
          <w:sz w:val="24"/>
        </w:rPr>
        <w:t xml:space="preserve">New Zealand. Several other non-anglophone countries particularly those in continental Europe would </w:t>
      </w:r>
      <w:r w:rsidR="00043FD9">
        <w:rPr>
          <w:rFonts w:ascii="Times New Roman" w:hAnsi="Times New Roman"/>
          <w:sz w:val="24"/>
        </w:rPr>
        <w:t xml:space="preserve">also </w:t>
      </w:r>
      <w:r w:rsidR="00EF2105">
        <w:rPr>
          <w:rFonts w:ascii="Times New Roman" w:hAnsi="Times New Roman"/>
          <w:sz w:val="24"/>
        </w:rPr>
        <w:t>be rele</w:t>
      </w:r>
      <w:r w:rsidR="00043FD9">
        <w:rPr>
          <w:rFonts w:ascii="Times New Roman" w:hAnsi="Times New Roman"/>
          <w:sz w:val="24"/>
        </w:rPr>
        <w:t>vant in such a comparative</w:t>
      </w:r>
      <w:r w:rsidR="00EF2105">
        <w:rPr>
          <w:rFonts w:ascii="Times New Roman" w:hAnsi="Times New Roman"/>
          <w:sz w:val="24"/>
        </w:rPr>
        <w:t xml:space="preserve"> analysis, although language barriers may make data collection in these other countries more difficult.</w:t>
      </w:r>
    </w:p>
    <w:p w:rsidR="000972F6" w:rsidRDefault="000972F6" w:rsidP="00597077">
      <w:pPr>
        <w:tabs>
          <w:tab w:val="left" w:pos="4050"/>
        </w:tabs>
        <w:rPr>
          <w:rFonts w:ascii="Times New Roman" w:hAnsi="Times New Roman"/>
          <w:sz w:val="24"/>
        </w:rPr>
      </w:pPr>
    </w:p>
    <w:p w:rsidR="000972F6" w:rsidRDefault="000972F6" w:rsidP="00597077">
      <w:pPr>
        <w:tabs>
          <w:tab w:val="left" w:pos="4050"/>
        </w:tabs>
        <w:rPr>
          <w:rFonts w:ascii="Times New Roman" w:hAnsi="Times New Roman"/>
          <w:sz w:val="24"/>
        </w:rPr>
      </w:pPr>
      <w:r>
        <w:rPr>
          <w:rFonts w:ascii="Times New Roman" w:hAnsi="Times New Roman"/>
          <w:sz w:val="24"/>
        </w:rPr>
        <w:t>There is already a precedent for a wider, international perspective of the cost of capital. For example in its advice in the development of the State of Regulatory Intent, AER staff had regard to international evidence on equity betas. While this is valuable</w:t>
      </w:r>
      <w:r w:rsidR="0057248B">
        <w:rPr>
          <w:rFonts w:ascii="Times New Roman" w:hAnsi="Times New Roman"/>
          <w:sz w:val="24"/>
        </w:rPr>
        <w:t xml:space="preserve"> we would encourage the AER to go further and have regard the eventual outcome (the allowed WACC) and not just the individual WACC parameters. </w:t>
      </w:r>
    </w:p>
    <w:p w:rsidR="00EF2105" w:rsidRDefault="00EF2105" w:rsidP="00597077">
      <w:pPr>
        <w:tabs>
          <w:tab w:val="left" w:pos="4050"/>
        </w:tabs>
        <w:rPr>
          <w:rFonts w:ascii="Times New Roman" w:hAnsi="Times New Roman"/>
          <w:sz w:val="24"/>
        </w:rPr>
      </w:pPr>
    </w:p>
    <w:p w:rsidR="00597077" w:rsidRDefault="0057248B" w:rsidP="00597077">
      <w:pPr>
        <w:tabs>
          <w:tab w:val="left" w:pos="4050"/>
        </w:tabs>
        <w:rPr>
          <w:rFonts w:ascii="Times New Roman" w:hAnsi="Times New Roman"/>
          <w:sz w:val="24"/>
        </w:rPr>
      </w:pPr>
      <w:r>
        <w:rPr>
          <w:rFonts w:ascii="Times New Roman" w:hAnsi="Times New Roman"/>
          <w:sz w:val="24"/>
        </w:rPr>
        <w:t xml:space="preserve">In the first rate of return workshop we were asked to provide some practical advice on how this could be taken forward.  </w:t>
      </w:r>
      <w:r w:rsidR="00EF2105">
        <w:rPr>
          <w:rFonts w:ascii="Times New Roman" w:hAnsi="Times New Roman"/>
          <w:sz w:val="24"/>
        </w:rPr>
        <w:t xml:space="preserve">As an example of the sorts of comparisons that </w:t>
      </w:r>
      <w:r w:rsidR="00043FD9">
        <w:rPr>
          <w:rFonts w:ascii="Times New Roman" w:hAnsi="Times New Roman"/>
          <w:sz w:val="24"/>
        </w:rPr>
        <w:t xml:space="preserve">we suggest </w:t>
      </w:r>
      <w:r w:rsidR="00EF2105">
        <w:rPr>
          <w:rFonts w:ascii="Times New Roman" w:hAnsi="Times New Roman"/>
          <w:sz w:val="24"/>
        </w:rPr>
        <w:t xml:space="preserve">might be useful, the attachment to this letter is a chart that we have developed </w:t>
      </w:r>
      <w:r w:rsidR="00660F4E">
        <w:rPr>
          <w:rFonts w:ascii="Times New Roman" w:hAnsi="Times New Roman"/>
          <w:sz w:val="24"/>
        </w:rPr>
        <w:t xml:space="preserve">of </w:t>
      </w:r>
      <w:r w:rsidR="00EF2105">
        <w:rPr>
          <w:rFonts w:ascii="Times New Roman" w:hAnsi="Times New Roman"/>
          <w:sz w:val="24"/>
        </w:rPr>
        <w:t>a comparable measure of WACC (the Vanilla Pre-tax WACC less the risk free rate)</w:t>
      </w:r>
      <w:r w:rsidR="00660F4E">
        <w:rPr>
          <w:rFonts w:ascii="Times New Roman" w:hAnsi="Times New Roman"/>
          <w:sz w:val="24"/>
        </w:rPr>
        <w:t xml:space="preserve"> </w:t>
      </w:r>
      <w:r w:rsidR="00043FD9">
        <w:rPr>
          <w:rFonts w:ascii="Times New Roman" w:hAnsi="Times New Roman"/>
          <w:sz w:val="24"/>
        </w:rPr>
        <w:t xml:space="preserve">that has been determined </w:t>
      </w:r>
      <w:r w:rsidR="00660F4E">
        <w:rPr>
          <w:rFonts w:ascii="Times New Roman" w:hAnsi="Times New Roman"/>
          <w:sz w:val="24"/>
        </w:rPr>
        <w:t>in all electricity and gas network service provider regulatory determines by the AER, ACCC and all jurisdictional regulators</w:t>
      </w:r>
      <w:r w:rsidR="00043FD9">
        <w:rPr>
          <w:rFonts w:ascii="Times New Roman" w:hAnsi="Times New Roman"/>
          <w:sz w:val="24"/>
        </w:rPr>
        <w:t xml:space="preserve"> in the states covered by the National Electricity Market</w:t>
      </w:r>
      <w:r w:rsidR="00660F4E">
        <w:rPr>
          <w:rFonts w:ascii="Times New Roman" w:hAnsi="Times New Roman"/>
          <w:sz w:val="24"/>
        </w:rPr>
        <w:t>. This</w:t>
      </w:r>
      <w:r w:rsidR="00EF2105">
        <w:rPr>
          <w:rFonts w:ascii="Times New Roman" w:hAnsi="Times New Roman"/>
          <w:sz w:val="24"/>
        </w:rPr>
        <w:t xml:space="preserve"> shows that the AER has consistently set a hi</w:t>
      </w:r>
      <w:r w:rsidR="00660F4E">
        <w:rPr>
          <w:rFonts w:ascii="Times New Roman" w:hAnsi="Times New Roman"/>
          <w:sz w:val="24"/>
        </w:rPr>
        <w:t>gher allowed rate of return than</w:t>
      </w:r>
      <w:r w:rsidR="00EF2105">
        <w:rPr>
          <w:rFonts w:ascii="Times New Roman" w:hAnsi="Times New Roman"/>
          <w:sz w:val="24"/>
        </w:rPr>
        <w:t xml:space="preserve"> the ACCC or jurisdictional regulators. It is evidence such as this, extended </w:t>
      </w:r>
      <w:r w:rsidR="00043FD9">
        <w:rPr>
          <w:rFonts w:ascii="Times New Roman" w:hAnsi="Times New Roman"/>
          <w:sz w:val="24"/>
        </w:rPr>
        <w:t xml:space="preserve">to an international comparison </w:t>
      </w:r>
      <w:r w:rsidR="00EF2105">
        <w:rPr>
          <w:rFonts w:ascii="Times New Roman" w:hAnsi="Times New Roman"/>
          <w:sz w:val="24"/>
        </w:rPr>
        <w:t xml:space="preserve">that we think the AER should have regard to in setting WACC in all future regulatory decisions. </w:t>
      </w:r>
    </w:p>
    <w:p w:rsidR="00660F4E" w:rsidRDefault="00660F4E" w:rsidP="00597077">
      <w:pPr>
        <w:tabs>
          <w:tab w:val="left" w:pos="4050"/>
        </w:tabs>
        <w:rPr>
          <w:rFonts w:ascii="Times New Roman" w:hAnsi="Times New Roman"/>
          <w:sz w:val="24"/>
        </w:rPr>
      </w:pPr>
    </w:p>
    <w:p w:rsidR="00660F4E" w:rsidRDefault="00660F4E" w:rsidP="00597077">
      <w:pPr>
        <w:tabs>
          <w:tab w:val="left" w:pos="4050"/>
        </w:tabs>
        <w:rPr>
          <w:rFonts w:ascii="Times New Roman" w:hAnsi="Times New Roman"/>
          <w:sz w:val="24"/>
        </w:rPr>
      </w:pPr>
      <w:r>
        <w:rPr>
          <w:rFonts w:ascii="Times New Roman" w:hAnsi="Times New Roman"/>
          <w:sz w:val="24"/>
        </w:rPr>
        <w:t>Finally, as a further example of international comparison, we draw attention to Mountain and Littlechild (2011)</w:t>
      </w:r>
      <w:r w:rsidR="00767836">
        <w:rPr>
          <w:rStyle w:val="FootnoteReference"/>
          <w:rFonts w:ascii="Times New Roman" w:hAnsi="Times New Roman"/>
          <w:sz w:val="24"/>
        </w:rPr>
        <w:footnoteReference w:id="1"/>
      </w:r>
      <w:r>
        <w:rPr>
          <w:rFonts w:ascii="Times New Roman" w:hAnsi="Times New Roman"/>
          <w:sz w:val="24"/>
        </w:rPr>
        <w:t xml:space="preserve"> which compared the real vanilla WACC in </w:t>
      </w:r>
      <w:r w:rsidR="00043FD9">
        <w:rPr>
          <w:rFonts w:ascii="Times New Roman" w:hAnsi="Times New Roman"/>
          <w:sz w:val="24"/>
        </w:rPr>
        <w:t xml:space="preserve">regulatory </w:t>
      </w:r>
      <w:r>
        <w:rPr>
          <w:rFonts w:ascii="Times New Roman" w:hAnsi="Times New Roman"/>
          <w:sz w:val="24"/>
        </w:rPr>
        <w:t xml:space="preserve">decisions by IPART, the AER and by Ofgem in Britain, by way of explaining part of the reason for the large (and growing) gap between the charges for distribution services in Britain and in New South Wales. </w:t>
      </w:r>
    </w:p>
    <w:p w:rsidR="00660F4E" w:rsidRDefault="00660F4E" w:rsidP="00597077">
      <w:pPr>
        <w:tabs>
          <w:tab w:val="left" w:pos="4050"/>
        </w:tabs>
        <w:rPr>
          <w:rFonts w:ascii="Times New Roman" w:hAnsi="Times New Roman"/>
          <w:sz w:val="24"/>
        </w:rPr>
      </w:pPr>
    </w:p>
    <w:p w:rsidR="00846265" w:rsidRDefault="00846265" w:rsidP="00597077">
      <w:pPr>
        <w:tabs>
          <w:tab w:val="left" w:pos="4050"/>
        </w:tabs>
        <w:rPr>
          <w:rFonts w:ascii="Times New Roman" w:hAnsi="Times New Roman"/>
          <w:sz w:val="24"/>
        </w:rPr>
      </w:pPr>
    </w:p>
    <w:p w:rsidR="00846265" w:rsidRDefault="00846265" w:rsidP="00597077">
      <w:pPr>
        <w:tabs>
          <w:tab w:val="left" w:pos="4050"/>
        </w:tabs>
        <w:rPr>
          <w:rFonts w:ascii="Times New Roman" w:hAnsi="Times New Roman"/>
          <w:sz w:val="24"/>
        </w:rPr>
      </w:pPr>
    </w:p>
    <w:p w:rsidR="00846265" w:rsidRDefault="00846265" w:rsidP="00597077">
      <w:pPr>
        <w:tabs>
          <w:tab w:val="left" w:pos="4050"/>
        </w:tabs>
        <w:rPr>
          <w:rFonts w:ascii="Times New Roman" w:hAnsi="Times New Roman"/>
          <w:sz w:val="24"/>
        </w:rPr>
      </w:pPr>
    </w:p>
    <w:p w:rsidR="00846265" w:rsidRDefault="00846265" w:rsidP="00597077">
      <w:pPr>
        <w:tabs>
          <w:tab w:val="left" w:pos="4050"/>
        </w:tabs>
        <w:rPr>
          <w:rFonts w:ascii="Times New Roman" w:hAnsi="Times New Roman"/>
          <w:sz w:val="24"/>
        </w:rPr>
      </w:pPr>
    </w:p>
    <w:p w:rsidR="00660F4E" w:rsidRDefault="00660F4E" w:rsidP="00660F4E">
      <w:pPr>
        <w:tabs>
          <w:tab w:val="left" w:pos="4050"/>
        </w:tabs>
        <w:rPr>
          <w:rFonts w:ascii="Times New Roman" w:hAnsi="Times New Roman"/>
          <w:sz w:val="24"/>
        </w:rPr>
      </w:pPr>
      <w:r>
        <w:rPr>
          <w:rFonts w:ascii="Times New Roman" w:hAnsi="Times New Roman"/>
          <w:sz w:val="24"/>
        </w:rPr>
        <w:lastRenderedPageBreak/>
        <w:t xml:space="preserve">We propose that development of such international </w:t>
      </w:r>
      <w:r w:rsidR="00533CF2">
        <w:rPr>
          <w:rFonts w:ascii="Times New Roman" w:hAnsi="Times New Roman"/>
          <w:sz w:val="24"/>
        </w:rPr>
        <w:t>comparisons</w:t>
      </w:r>
      <w:r>
        <w:rPr>
          <w:rFonts w:ascii="Times New Roman" w:hAnsi="Times New Roman"/>
          <w:sz w:val="24"/>
        </w:rPr>
        <w:t xml:space="preserve"> should be</w:t>
      </w:r>
      <w:r w:rsidR="00706A0D">
        <w:rPr>
          <w:rFonts w:ascii="Times New Roman" w:hAnsi="Times New Roman"/>
          <w:sz w:val="24"/>
        </w:rPr>
        <w:t xml:space="preserve"> an</w:t>
      </w:r>
      <w:r>
        <w:rPr>
          <w:rFonts w:ascii="Times New Roman" w:hAnsi="Times New Roman"/>
          <w:sz w:val="24"/>
        </w:rPr>
        <w:t xml:space="preserve"> essential feature of all the AER’s WACC decisions, and hence that this approach would be described in its WACC guideline. We look forward to active discussion of this at the forthcoming workshop in late February. </w:t>
      </w:r>
    </w:p>
    <w:p w:rsidR="00660F4E" w:rsidRDefault="00660F4E" w:rsidP="00660F4E">
      <w:pPr>
        <w:tabs>
          <w:tab w:val="left" w:pos="4050"/>
        </w:tabs>
        <w:rPr>
          <w:rFonts w:ascii="Times New Roman" w:hAnsi="Times New Roman"/>
          <w:sz w:val="24"/>
        </w:rPr>
      </w:pPr>
    </w:p>
    <w:p w:rsidR="00660F4E" w:rsidRDefault="00660F4E" w:rsidP="00660F4E">
      <w:pPr>
        <w:tabs>
          <w:tab w:val="left" w:pos="4050"/>
        </w:tabs>
        <w:rPr>
          <w:rFonts w:ascii="Times New Roman" w:hAnsi="Times New Roman"/>
          <w:sz w:val="24"/>
        </w:rPr>
      </w:pPr>
    </w:p>
    <w:p w:rsidR="00660F4E" w:rsidRDefault="00660F4E" w:rsidP="00660F4E">
      <w:pPr>
        <w:tabs>
          <w:tab w:val="left" w:pos="4050"/>
        </w:tabs>
        <w:rPr>
          <w:rFonts w:ascii="Times New Roman" w:hAnsi="Times New Roman"/>
          <w:sz w:val="24"/>
        </w:rPr>
      </w:pPr>
      <w:r>
        <w:rPr>
          <w:rFonts w:ascii="Times New Roman" w:hAnsi="Times New Roman"/>
          <w:sz w:val="24"/>
        </w:rPr>
        <w:t>Yours sincerely</w:t>
      </w:r>
    </w:p>
    <w:p w:rsidR="00660F4E" w:rsidRDefault="00660F4E" w:rsidP="00660F4E">
      <w:pPr>
        <w:tabs>
          <w:tab w:val="left" w:pos="4050"/>
        </w:tabs>
        <w:rPr>
          <w:rFonts w:ascii="Times New Roman" w:hAnsi="Times New Roman"/>
          <w:sz w:val="24"/>
        </w:rPr>
      </w:pPr>
    </w:p>
    <w:p w:rsidR="00660F4E" w:rsidRDefault="00660F4E" w:rsidP="00660F4E">
      <w:pPr>
        <w:tabs>
          <w:tab w:val="left" w:pos="4050"/>
        </w:tabs>
        <w:rPr>
          <w:rFonts w:ascii="Times New Roman" w:hAnsi="Times New Roman"/>
          <w:sz w:val="24"/>
        </w:rPr>
      </w:pPr>
    </w:p>
    <w:p w:rsidR="00660F4E" w:rsidRDefault="00660F4E" w:rsidP="00660F4E">
      <w:pPr>
        <w:tabs>
          <w:tab w:val="left" w:pos="4050"/>
        </w:tabs>
        <w:rPr>
          <w:rFonts w:ascii="Times New Roman" w:hAnsi="Times New Roman"/>
          <w:sz w:val="24"/>
        </w:rPr>
      </w:pPr>
    </w:p>
    <w:p w:rsidR="00660F4E" w:rsidRDefault="00660F4E" w:rsidP="00660F4E">
      <w:pPr>
        <w:tabs>
          <w:tab w:val="left" w:pos="4050"/>
        </w:tabs>
        <w:rPr>
          <w:rFonts w:ascii="Times New Roman" w:hAnsi="Times New Roman"/>
          <w:sz w:val="24"/>
        </w:rPr>
      </w:pPr>
      <w:r>
        <w:rPr>
          <w:rFonts w:ascii="Times New Roman" w:hAnsi="Times New Roman"/>
          <w:sz w:val="24"/>
        </w:rPr>
        <w:t>Brian Green</w:t>
      </w:r>
    </w:p>
    <w:p w:rsidR="00660F4E" w:rsidRPr="00706A0D" w:rsidRDefault="00660F4E" w:rsidP="00660F4E">
      <w:pPr>
        <w:tabs>
          <w:tab w:val="left" w:pos="4050"/>
        </w:tabs>
        <w:rPr>
          <w:rFonts w:ascii="Times New Roman" w:hAnsi="Times New Roman"/>
          <w:b/>
          <w:sz w:val="24"/>
        </w:rPr>
      </w:pPr>
      <w:r w:rsidRPr="00706A0D">
        <w:rPr>
          <w:rFonts w:ascii="Times New Roman" w:hAnsi="Times New Roman"/>
          <w:b/>
          <w:sz w:val="24"/>
        </w:rPr>
        <w:t>Chairman</w:t>
      </w:r>
    </w:p>
    <w:p w:rsidR="00660F4E" w:rsidRDefault="00660F4E" w:rsidP="00597077">
      <w:pPr>
        <w:tabs>
          <w:tab w:val="left" w:pos="4050"/>
        </w:tabs>
        <w:rPr>
          <w:rFonts w:ascii="Times New Roman" w:hAnsi="Times New Roman"/>
          <w:sz w:val="24"/>
        </w:rPr>
      </w:pPr>
    </w:p>
    <w:p w:rsidR="00EF2105" w:rsidRDefault="00EF2105" w:rsidP="00597077">
      <w:pPr>
        <w:tabs>
          <w:tab w:val="left" w:pos="4050"/>
        </w:tabs>
        <w:rPr>
          <w:rFonts w:ascii="Times New Roman" w:hAnsi="Times New Roman"/>
          <w:sz w:val="24"/>
        </w:rPr>
      </w:pPr>
    </w:p>
    <w:p w:rsidR="00EF2105" w:rsidRDefault="00EF2105" w:rsidP="00597077">
      <w:pPr>
        <w:tabs>
          <w:tab w:val="left" w:pos="4050"/>
        </w:tabs>
        <w:rPr>
          <w:rFonts w:ascii="Times New Roman" w:hAnsi="Times New Roman"/>
          <w:sz w:val="24"/>
        </w:rPr>
      </w:pPr>
    </w:p>
    <w:p w:rsidR="0079682E" w:rsidRDefault="0079682E" w:rsidP="00597077">
      <w:pPr>
        <w:tabs>
          <w:tab w:val="left" w:pos="4050"/>
        </w:tabs>
        <w:rPr>
          <w:rFonts w:ascii="Times New Roman" w:hAnsi="Times New Roman"/>
          <w:sz w:val="24"/>
        </w:rPr>
      </w:pPr>
    </w:p>
    <w:p w:rsidR="0079682E" w:rsidRDefault="0079682E" w:rsidP="00597077">
      <w:pPr>
        <w:tabs>
          <w:tab w:val="left" w:pos="4050"/>
        </w:tabs>
        <w:rPr>
          <w:rFonts w:ascii="Times New Roman" w:hAnsi="Times New Roman"/>
          <w:sz w:val="24"/>
        </w:rPr>
      </w:pPr>
    </w:p>
    <w:p w:rsidR="00597077" w:rsidRDefault="00597077" w:rsidP="00597077">
      <w:pPr>
        <w:tabs>
          <w:tab w:val="left" w:pos="4050"/>
        </w:tabs>
        <w:rPr>
          <w:rFonts w:ascii="Times New Roman" w:hAnsi="Times New Roman"/>
          <w:sz w:val="24"/>
        </w:rPr>
      </w:pPr>
    </w:p>
    <w:p w:rsidR="00597077" w:rsidRDefault="00597077" w:rsidP="00597077">
      <w:pPr>
        <w:tabs>
          <w:tab w:val="left" w:pos="4050"/>
        </w:tabs>
        <w:rPr>
          <w:rFonts w:ascii="Times New Roman" w:hAnsi="Times New Roman"/>
          <w:sz w:val="24"/>
        </w:rPr>
      </w:pPr>
    </w:p>
    <w:p w:rsidR="00597077" w:rsidRDefault="00597077">
      <w:pPr>
        <w:tabs>
          <w:tab w:val="left" w:pos="4050"/>
        </w:tabs>
        <w:rPr>
          <w:rFonts w:ascii="Times New Roman" w:hAnsi="Times New Roman"/>
          <w:sz w:val="24"/>
        </w:rPr>
      </w:pPr>
      <w:r>
        <w:rPr>
          <w:rFonts w:ascii="Times New Roman" w:hAnsi="Times New Roman"/>
          <w:sz w:val="24"/>
        </w:rPr>
        <w:t xml:space="preserve"> </w:t>
      </w:r>
    </w:p>
    <w:p w:rsidR="003E4E8C" w:rsidRDefault="00846265">
      <w:pPr>
        <w:tabs>
          <w:tab w:val="left" w:pos="4050"/>
        </w:tabs>
        <w:rPr>
          <w:rFonts w:ascii="Times New Roman" w:hAnsi="Times New Roman"/>
          <w:sz w:val="24"/>
        </w:rPr>
      </w:pPr>
      <w:r>
        <w:rPr>
          <w:rFonts w:ascii="Times New Roman" w:hAnsi="Times New Roman"/>
          <w:sz w:val="24"/>
        </w:rPr>
        <w:br w:type="page"/>
      </w:r>
    </w:p>
    <w:p w:rsidR="00767836" w:rsidRPr="00846265" w:rsidRDefault="00846265">
      <w:pPr>
        <w:tabs>
          <w:tab w:val="left" w:pos="4050"/>
        </w:tabs>
        <w:rPr>
          <w:rFonts w:ascii="Times New Roman" w:hAnsi="Times New Roman"/>
          <w:b/>
          <w:sz w:val="24"/>
        </w:rPr>
      </w:pPr>
      <w:r w:rsidRPr="00846265">
        <w:rPr>
          <w:rFonts w:ascii="Times New Roman" w:hAnsi="Times New Roman"/>
          <w:b/>
          <w:sz w:val="24"/>
        </w:rPr>
        <w:lastRenderedPageBreak/>
        <w:t>Attach</w:t>
      </w:r>
      <w:r>
        <w:rPr>
          <w:rFonts w:ascii="Times New Roman" w:hAnsi="Times New Roman"/>
          <w:b/>
          <w:sz w:val="24"/>
        </w:rPr>
        <w:t>ment</w:t>
      </w:r>
      <w:r w:rsidRPr="00846265">
        <w:rPr>
          <w:rFonts w:ascii="Times New Roman" w:hAnsi="Times New Roman"/>
          <w:b/>
          <w:sz w:val="24"/>
        </w:rPr>
        <w:t>: A comparison of nominal vanilla WACC less risk free rate determined by the AER, jurisdictional regulators and ACCC</w:t>
      </w:r>
    </w:p>
    <w:p w:rsidR="00767836" w:rsidRDefault="00767836">
      <w:pPr>
        <w:tabs>
          <w:tab w:val="left" w:pos="4050"/>
        </w:tabs>
        <w:rPr>
          <w:rFonts w:ascii="Times New Roman" w:hAnsi="Times New Roman"/>
          <w:sz w:val="24"/>
        </w:rPr>
      </w:pPr>
    </w:p>
    <w:p w:rsidR="00767836" w:rsidRDefault="00767836">
      <w:pPr>
        <w:tabs>
          <w:tab w:val="left" w:pos="4050"/>
        </w:tabs>
        <w:rPr>
          <w:rFonts w:ascii="Times New Roman" w:hAnsi="Times New Roman"/>
          <w:sz w:val="24"/>
        </w:rPr>
      </w:pPr>
    </w:p>
    <w:p w:rsidR="003E4E8C" w:rsidRDefault="003E4E8C">
      <w:pPr>
        <w:tabs>
          <w:tab w:val="left" w:pos="4050"/>
        </w:tabs>
        <w:rPr>
          <w:rFonts w:ascii="Times New Roman" w:hAnsi="Times New Roman"/>
          <w:sz w:val="24"/>
        </w:rPr>
      </w:pPr>
    </w:p>
    <w:p w:rsidR="003E4E8C" w:rsidRDefault="00846265">
      <w:pPr>
        <w:tabs>
          <w:tab w:val="left" w:pos="4050"/>
        </w:tabs>
        <w:rPr>
          <w:rFonts w:ascii="Times New Roman" w:hAnsi="Times New Roman"/>
          <w:sz w:val="24"/>
        </w:rPr>
      </w:pPr>
      <w:r>
        <w:rPr>
          <w:rFonts w:ascii="Times New Roman" w:hAnsi="Times New Roman"/>
          <w:noProof/>
          <w:sz w:val="24"/>
          <w:lang w:val="en-AU" w:eastAsia="en-AU"/>
        </w:rPr>
        <w:drawing>
          <wp:inline distT="0" distB="0" distL="0" distR="0">
            <wp:extent cx="5763895" cy="371919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63895" cy="3719195"/>
                    </a:xfrm>
                    <a:prstGeom prst="rect">
                      <a:avLst/>
                    </a:prstGeom>
                    <a:noFill/>
                    <a:ln>
                      <a:noFill/>
                    </a:ln>
                  </pic:spPr>
                </pic:pic>
              </a:graphicData>
            </a:graphic>
          </wp:inline>
        </w:drawing>
      </w:r>
    </w:p>
    <w:p w:rsidR="003E4E8C" w:rsidRDefault="003E4E8C">
      <w:pPr>
        <w:tabs>
          <w:tab w:val="left" w:pos="4050"/>
        </w:tabs>
        <w:rPr>
          <w:rFonts w:ascii="Times New Roman" w:hAnsi="Times New Roman"/>
          <w:sz w:val="24"/>
        </w:rPr>
      </w:pPr>
    </w:p>
    <w:p w:rsidR="003E4E8C" w:rsidRDefault="003E4E8C">
      <w:pPr>
        <w:tabs>
          <w:tab w:val="left" w:pos="4050"/>
        </w:tabs>
        <w:rPr>
          <w:rFonts w:ascii="Times New Roman" w:hAnsi="Times New Roman"/>
          <w:sz w:val="24"/>
        </w:rPr>
      </w:pPr>
    </w:p>
    <w:p w:rsidR="003E4E8C" w:rsidRPr="00F76F52" w:rsidRDefault="003E4E8C" w:rsidP="003E4E8C"/>
    <w:p w:rsidR="003E4E8C" w:rsidRPr="00F76F52" w:rsidRDefault="003E4E8C">
      <w:pPr>
        <w:tabs>
          <w:tab w:val="left" w:pos="4050"/>
        </w:tabs>
        <w:rPr>
          <w:rFonts w:ascii="Times New Roman" w:hAnsi="Times New Roman"/>
          <w:sz w:val="24"/>
        </w:rPr>
      </w:pPr>
    </w:p>
    <w:p w:rsidR="003E4E8C" w:rsidRDefault="003E4E8C">
      <w:pPr>
        <w:tabs>
          <w:tab w:val="left" w:pos="4050"/>
        </w:tabs>
        <w:rPr>
          <w:rFonts w:ascii="Times New Roman" w:hAnsi="Times New Roman"/>
          <w:sz w:val="24"/>
        </w:rPr>
      </w:pPr>
    </w:p>
    <w:p w:rsidR="003E4E8C" w:rsidRDefault="003E4E8C">
      <w:pPr>
        <w:tabs>
          <w:tab w:val="left" w:pos="4050"/>
        </w:tabs>
        <w:rPr>
          <w:rFonts w:ascii="Times New Roman" w:hAnsi="Times New Roman"/>
          <w:sz w:val="24"/>
        </w:rPr>
      </w:pPr>
    </w:p>
    <w:p w:rsidR="003E4E8C" w:rsidRPr="00F76F52" w:rsidRDefault="003E4E8C">
      <w:pPr>
        <w:tabs>
          <w:tab w:val="left" w:pos="4050"/>
        </w:tabs>
        <w:rPr>
          <w:rFonts w:ascii="Times New Roman" w:hAnsi="Times New Roman"/>
          <w:sz w:val="24"/>
        </w:rPr>
      </w:pPr>
    </w:p>
    <w:p w:rsidR="003E4E8C" w:rsidRPr="00F76F52" w:rsidRDefault="003E4E8C">
      <w:pPr>
        <w:tabs>
          <w:tab w:val="left" w:pos="4050"/>
        </w:tabs>
        <w:rPr>
          <w:rFonts w:ascii="Times New Roman" w:hAnsi="Times New Roman"/>
          <w:sz w:val="24"/>
        </w:rPr>
      </w:pPr>
    </w:p>
    <w:sectPr w:rsidR="003E4E8C" w:rsidRPr="00F76F52" w:rsidSect="004E2F89">
      <w:headerReference w:type="default" r:id="rId8"/>
      <w:headerReference w:type="first" r:id="rId9"/>
      <w:footerReference w:type="first" r:id="rId10"/>
      <w:type w:val="nextColumn"/>
      <w:pgSz w:w="11907" w:h="16840" w:code="9"/>
      <w:pgMar w:top="1134" w:right="1418" w:bottom="301" w:left="1418"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876" w:rsidRDefault="00B76876">
      <w:r>
        <w:separator/>
      </w:r>
    </w:p>
  </w:endnote>
  <w:endnote w:type="continuationSeparator" w:id="0">
    <w:p w:rsidR="00B76876" w:rsidRDefault="00B768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76" w:rsidRDefault="00B76876">
    <w:pPr>
      <w:pStyle w:val="Footer"/>
      <w:rPr>
        <w:rFonts w:ascii="Times New Roman" w:hAnsi="Times New Roman"/>
      </w:rPr>
    </w:pPr>
  </w:p>
  <w:p w:rsidR="00B76876" w:rsidRDefault="00B76876">
    <w:pPr>
      <w:pStyle w:val="Footer"/>
      <w:rPr>
        <w:rFonts w:ascii="Times New Roman" w:hAnsi="Times New Roman"/>
      </w:rPr>
    </w:pPr>
  </w:p>
  <w:p w:rsidR="00B76876" w:rsidRDefault="00B76876">
    <w:pPr>
      <w:pStyle w:val="Footer"/>
      <w:pBdr>
        <w:top w:val="single" w:sz="48" w:space="1" w:color="CCCC00"/>
      </w:pBdr>
      <w:shd w:val="clear" w:color="auto" w:fill="003366"/>
      <w:ind w:left="-1800" w:right="-1440"/>
      <w:jc w:val="center"/>
      <w:rPr>
        <w:rFonts w:ascii="Times New Roman" w:hAnsi="Times New Roman"/>
        <w:sz w:val="16"/>
      </w:rPr>
    </w:pPr>
  </w:p>
  <w:p w:rsidR="00B76876" w:rsidRDefault="00B76876">
    <w:pPr>
      <w:pStyle w:val="Footer"/>
      <w:pBdr>
        <w:top w:val="single" w:sz="48" w:space="1" w:color="CCCC00"/>
      </w:pBdr>
      <w:shd w:val="clear" w:color="auto" w:fill="003366"/>
      <w:tabs>
        <w:tab w:val="left" w:pos="1629"/>
      </w:tabs>
      <w:ind w:left="-1800" w:right="-1440"/>
      <w:rPr>
        <w:rFonts w:ascii="Times New Roman" w:hAnsi="Times New Roman"/>
        <w:sz w:val="22"/>
      </w:rPr>
    </w:pPr>
    <w:r>
      <w:rPr>
        <w:rFonts w:ascii="Times New Roman" w:hAnsi="Times New Roman"/>
        <w:sz w:val="22"/>
      </w:rPr>
      <w:tab/>
    </w:r>
    <w:r>
      <w:rPr>
        <w:rFonts w:ascii="Times New Roman" w:hAnsi="Times New Roman"/>
        <w:sz w:val="22"/>
      </w:rPr>
      <w:tab/>
      <w:t>Energy Users Association of Australia</w:t>
    </w:r>
  </w:p>
  <w:p w:rsidR="00B76876" w:rsidRDefault="00B76876">
    <w:pPr>
      <w:pStyle w:val="Footer"/>
      <w:pBdr>
        <w:top w:val="single" w:sz="48" w:space="1" w:color="CCCC00"/>
      </w:pBdr>
      <w:shd w:val="clear" w:color="auto" w:fill="003366"/>
      <w:ind w:left="-1800" w:right="-1440"/>
      <w:jc w:val="center"/>
      <w:rPr>
        <w:rFonts w:ascii="Times New Roman" w:hAnsi="Times New Roman"/>
        <w:sz w:val="22"/>
      </w:rPr>
    </w:pPr>
    <w:r>
      <w:rPr>
        <w:rFonts w:ascii="Times New Roman" w:hAnsi="Times New Roman"/>
        <w:sz w:val="22"/>
      </w:rPr>
      <w:t>ABN 83 814 086 707</w:t>
    </w:r>
  </w:p>
  <w:p w:rsidR="00B76876" w:rsidRDefault="00B76876">
    <w:pPr>
      <w:pStyle w:val="Footer"/>
      <w:pBdr>
        <w:top w:val="single" w:sz="48" w:space="1" w:color="CCCC00"/>
      </w:pBdr>
      <w:shd w:val="clear" w:color="auto" w:fill="003366"/>
      <w:ind w:left="-1800" w:right="-1440"/>
      <w:jc w:val="center"/>
      <w:rPr>
        <w:rFonts w:ascii="Times New Roman" w:hAnsi="Times New Roman"/>
        <w:sz w:val="22"/>
      </w:rPr>
    </w:pPr>
    <w:r>
      <w:rPr>
        <w:rFonts w:ascii="Times New Roman" w:hAnsi="Times New Roman"/>
        <w:sz w:val="22"/>
      </w:rPr>
      <w:t>Suite 1, Level 2, 19-23 Prospect Street, Box Hill, Victoria, 3128</w:t>
    </w:r>
  </w:p>
  <w:p w:rsidR="00B76876" w:rsidRDefault="00B76876">
    <w:pPr>
      <w:pStyle w:val="Footer"/>
      <w:pBdr>
        <w:top w:val="single" w:sz="48" w:space="1" w:color="CCCC00"/>
      </w:pBdr>
      <w:shd w:val="clear" w:color="auto" w:fill="003366"/>
      <w:ind w:left="-1800" w:right="-1440"/>
      <w:jc w:val="center"/>
      <w:rPr>
        <w:rFonts w:ascii="Times New Roman" w:hAnsi="Times New Roman"/>
        <w:sz w:val="22"/>
      </w:rPr>
    </w:pPr>
    <w:r>
      <w:rPr>
        <w:rFonts w:ascii="Times New Roman" w:hAnsi="Times New Roman"/>
        <w:sz w:val="22"/>
      </w:rPr>
      <w:t xml:space="preserve">Phone: (03) 9898 3900      Fax: (03) 9898 7499     Email: </w:t>
    </w:r>
    <w:hyperlink r:id="rId1" w:history="1">
      <w:r>
        <w:rPr>
          <w:rStyle w:val="Hyperlink"/>
          <w:rFonts w:ascii="Times New Roman" w:hAnsi="Times New Roman"/>
          <w:color w:val="FFFFFF"/>
          <w:sz w:val="22"/>
        </w:rPr>
        <w:t>euaa@euaa.com.au</w:t>
      </w:r>
    </w:hyperlink>
  </w:p>
  <w:p w:rsidR="00B76876" w:rsidRDefault="004E2F89">
    <w:pPr>
      <w:pStyle w:val="Footer"/>
      <w:pBdr>
        <w:top w:val="single" w:sz="48" w:space="1" w:color="CCCC00"/>
      </w:pBdr>
      <w:shd w:val="clear" w:color="auto" w:fill="003366"/>
      <w:ind w:left="-1800" w:right="-1440"/>
      <w:jc w:val="center"/>
      <w:rPr>
        <w:rFonts w:ascii="Times New Roman" w:hAnsi="Times New Roman"/>
        <w:sz w:val="22"/>
      </w:rPr>
    </w:pPr>
    <w:hyperlink r:id="rId2" w:history="1">
      <w:r w:rsidR="00B76876">
        <w:rPr>
          <w:rStyle w:val="Hyperlink"/>
          <w:rFonts w:ascii="Times New Roman" w:hAnsi="Times New Roman"/>
          <w:sz w:val="22"/>
        </w:rPr>
        <w:t>www.euaa.com.au</w:t>
      </w:r>
    </w:hyperlink>
  </w:p>
  <w:p w:rsidR="00B76876" w:rsidRDefault="00B76876">
    <w:pPr>
      <w:pStyle w:val="Footer"/>
      <w:pBdr>
        <w:top w:val="single" w:sz="48" w:space="1" w:color="CCCC00"/>
      </w:pBdr>
      <w:shd w:val="clear" w:color="auto" w:fill="003366"/>
      <w:ind w:left="-1800" w:right="-1440"/>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876" w:rsidRDefault="00B76876">
      <w:r>
        <w:separator/>
      </w:r>
    </w:p>
  </w:footnote>
  <w:footnote w:type="continuationSeparator" w:id="0">
    <w:p w:rsidR="00B76876" w:rsidRDefault="00B76876">
      <w:r>
        <w:continuationSeparator/>
      </w:r>
    </w:p>
  </w:footnote>
  <w:footnote w:id="1">
    <w:p w:rsidR="00B76876" w:rsidRPr="00767836" w:rsidRDefault="00B76876">
      <w:pPr>
        <w:pStyle w:val="FootnoteText"/>
        <w:rPr>
          <w:sz w:val="20"/>
          <w:szCs w:val="20"/>
        </w:rPr>
      </w:pPr>
      <w:r w:rsidRPr="00767836">
        <w:rPr>
          <w:rStyle w:val="FootnoteReference"/>
          <w:sz w:val="20"/>
          <w:szCs w:val="20"/>
        </w:rPr>
        <w:footnoteRef/>
      </w:r>
      <w:r w:rsidRPr="00767836">
        <w:rPr>
          <w:sz w:val="20"/>
          <w:szCs w:val="20"/>
        </w:rPr>
        <w:t xml:space="preserve"> </w:t>
      </w:r>
      <w:r w:rsidRPr="00706A0D">
        <w:rPr>
          <w:rFonts w:ascii="Times New Roman" w:hAnsi="Times New Roman"/>
          <w:sz w:val="20"/>
          <w:szCs w:val="20"/>
        </w:rPr>
        <w:t xml:space="preserve">Mountain, B., Littlechild, S.C, 2010. </w:t>
      </w:r>
      <w:r w:rsidRPr="00706A0D">
        <w:rPr>
          <w:rFonts w:ascii="Times New Roman" w:hAnsi="Times New Roman"/>
          <w:i/>
          <w:color w:val="000000"/>
          <w:sz w:val="20"/>
          <w:szCs w:val="20"/>
        </w:rPr>
        <w:t>Comparing electricity distribution network revenues and costs in New South Wales, Great Britain and Victoria</w:t>
      </w:r>
      <w:r w:rsidRPr="00706A0D">
        <w:rPr>
          <w:rFonts w:ascii="Times New Roman" w:hAnsi="Times New Roman"/>
          <w:color w:val="000000"/>
          <w:sz w:val="20"/>
          <w:szCs w:val="20"/>
        </w:rPr>
        <w:t>. Energy Policy, Issue 38.</w:t>
      </w:r>
      <w:r w:rsidRPr="00767836">
        <w:rPr>
          <w:rFonts w:ascii="Times" w:hAnsi="Times" w:cs="Times"/>
          <w:color w:val="000000"/>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76" w:rsidRDefault="00B76876">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76" w:rsidRDefault="00B76876">
    <w:pPr>
      <w:pStyle w:val="Header"/>
    </w:pPr>
    <w:r>
      <w:rPr>
        <w:noProof/>
        <w:lang w:val="en-AU" w:eastAsia="en-AU"/>
      </w:rPr>
      <w:drawing>
        <wp:anchor distT="0" distB="0" distL="114300" distR="114300" simplePos="0" relativeHeight="251657728" behindDoc="0" locked="0" layoutInCell="1" allowOverlap="1">
          <wp:simplePos x="0" y="0"/>
          <wp:positionH relativeFrom="column">
            <wp:posOffset>3417570</wp:posOffset>
          </wp:positionH>
          <wp:positionV relativeFrom="paragraph">
            <wp:posOffset>262890</wp:posOffset>
          </wp:positionV>
          <wp:extent cx="2519680" cy="1732915"/>
          <wp:effectExtent l="0" t="0" r="0" b="0"/>
          <wp:wrapSquare wrapText="bothSides"/>
          <wp:docPr id="5" name="Picture 5" descr="EU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AA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19680" cy="17329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D68C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A106CD"/>
    <w:multiLevelType w:val="hybridMultilevel"/>
    <w:tmpl w:val="2C90F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B0D5768"/>
    <w:multiLevelType w:val="hybridMultilevel"/>
    <w:tmpl w:val="D554A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78"/>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cVars>
    <w:docVar w:name="currentname" w:val="C:\Documents and Settings\sminh\Local Settings\Temporary Internet Files\Content.Outlook\YKETXBXJ\130215 submission to AER on rate of return issues paper.docx"/>
  </w:docVars>
  <w:rsids>
    <w:rsidRoot w:val="00597077"/>
    <w:rsid w:val="00043FD9"/>
    <w:rsid w:val="000972F6"/>
    <w:rsid w:val="003E4E8C"/>
    <w:rsid w:val="004E2F89"/>
    <w:rsid w:val="00533CF2"/>
    <w:rsid w:val="0057248B"/>
    <w:rsid w:val="00597077"/>
    <w:rsid w:val="00660F4E"/>
    <w:rsid w:val="00706A0D"/>
    <w:rsid w:val="00767836"/>
    <w:rsid w:val="0079682E"/>
    <w:rsid w:val="00846265"/>
    <w:rsid w:val="00AD7E33"/>
    <w:rsid w:val="00B76876"/>
    <w:rsid w:val="00CF43E8"/>
    <w:rsid w:val="00EF2105"/>
    <w:rsid w:val="00F40566"/>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F89"/>
    <w:rPr>
      <w:rFonts w:ascii="Arial" w:hAnsi="Arial"/>
      <w:szCs w:val="18"/>
      <w:lang w:val="en-US"/>
    </w:rPr>
  </w:style>
  <w:style w:type="paragraph" w:styleId="Heading1">
    <w:name w:val="heading 1"/>
    <w:basedOn w:val="Normal"/>
    <w:next w:val="Normal"/>
    <w:qFormat/>
    <w:rsid w:val="004E2F89"/>
    <w:pPr>
      <w:keepNext/>
      <w:outlineLvl w:val="0"/>
    </w:pPr>
    <w:rPr>
      <w:rFonts w:ascii="Times New Roman" w:hAnsi="Times New Roman"/>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E2F89"/>
    <w:pPr>
      <w:spacing w:before="80" w:after="80" w:line="320" w:lineRule="atLeast"/>
      <w:jc w:val="both"/>
    </w:pPr>
    <w:rPr>
      <w:rFonts w:ascii="Book Antiqua" w:hAnsi="Book Antiqua"/>
      <w:b/>
      <w:szCs w:val="22"/>
      <w:lang w:val="en-AU" w:eastAsia="en-AU"/>
    </w:rPr>
  </w:style>
  <w:style w:type="character" w:styleId="PageNumber">
    <w:name w:val="page number"/>
    <w:semiHidden/>
    <w:rsid w:val="004E2F89"/>
    <w:rPr>
      <w:sz w:val="18"/>
    </w:rPr>
  </w:style>
  <w:style w:type="paragraph" w:styleId="Header">
    <w:name w:val="header"/>
    <w:basedOn w:val="Normal"/>
    <w:semiHidden/>
    <w:rsid w:val="004E2F89"/>
    <w:pPr>
      <w:tabs>
        <w:tab w:val="center" w:pos="4320"/>
        <w:tab w:val="right" w:pos="8640"/>
      </w:tabs>
    </w:pPr>
  </w:style>
  <w:style w:type="paragraph" w:styleId="Footer">
    <w:name w:val="footer"/>
    <w:basedOn w:val="Normal"/>
    <w:semiHidden/>
    <w:rsid w:val="004E2F89"/>
    <w:pPr>
      <w:tabs>
        <w:tab w:val="center" w:pos="4320"/>
        <w:tab w:val="right" w:pos="8640"/>
      </w:tabs>
    </w:pPr>
  </w:style>
  <w:style w:type="character" w:styleId="Hyperlink">
    <w:name w:val="Hyperlink"/>
    <w:semiHidden/>
    <w:rsid w:val="004E2F89"/>
    <w:rPr>
      <w:color w:val="0000FF"/>
      <w:u w:val="single"/>
    </w:rPr>
  </w:style>
  <w:style w:type="character" w:styleId="FollowedHyperlink">
    <w:name w:val="FollowedHyperlink"/>
    <w:semiHidden/>
    <w:rsid w:val="004E2F89"/>
    <w:rPr>
      <w:color w:val="800080"/>
      <w:u w:val="single"/>
    </w:rPr>
  </w:style>
  <w:style w:type="paragraph" w:styleId="BodyText">
    <w:name w:val="Body Text"/>
    <w:basedOn w:val="Normal"/>
    <w:semiHidden/>
    <w:rsid w:val="004E2F89"/>
    <w:rPr>
      <w:rFonts w:ascii="Times New Roman" w:hAnsi="Times New Roman"/>
      <w:sz w:val="24"/>
      <w:szCs w:val="20"/>
      <w:lang w:val="en-AU"/>
    </w:rPr>
  </w:style>
  <w:style w:type="paragraph" w:styleId="FootnoteText">
    <w:name w:val="footnote text"/>
    <w:basedOn w:val="Normal"/>
    <w:link w:val="FootnoteTextChar"/>
    <w:uiPriority w:val="99"/>
    <w:unhideWhenUsed/>
    <w:rsid w:val="00767836"/>
    <w:rPr>
      <w:sz w:val="24"/>
      <w:szCs w:val="24"/>
    </w:rPr>
  </w:style>
  <w:style w:type="character" w:customStyle="1" w:styleId="FootnoteTextChar">
    <w:name w:val="Footnote Text Char"/>
    <w:basedOn w:val="DefaultParagraphFont"/>
    <w:link w:val="FootnoteText"/>
    <w:uiPriority w:val="99"/>
    <w:rsid w:val="00767836"/>
    <w:rPr>
      <w:rFonts w:ascii="Arial" w:hAnsi="Arial"/>
      <w:sz w:val="24"/>
      <w:szCs w:val="24"/>
      <w:lang w:val="en-US"/>
    </w:rPr>
  </w:style>
  <w:style w:type="character" w:styleId="FootnoteReference">
    <w:name w:val="footnote reference"/>
    <w:basedOn w:val="DefaultParagraphFont"/>
    <w:uiPriority w:val="99"/>
    <w:unhideWhenUsed/>
    <w:rsid w:val="00767836"/>
    <w:rPr>
      <w:vertAlign w:val="superscript"/>
    </w:rPr>
  </w:style>
  <w:style w:type="paragraph" w:styleId="BalloonText">
    <w:name w:val="Balloon Text"/>
    <w:basedOn w:val="Normal"/>
    <w:link w:val="BalloonTextChar"/>
    <w:uiPriority w:val="99"/>
    <w:semiHidden/>
    <w:unhideWhenUsed/>
    <w:rsid w:val="00533CF2"/>
    <w:rPr>
      <w:rFonts w:ascii="Lucida Grande" w:hAnsi="Lucida Grande" w:cs="Lucida Grande"/>
      <w:sz w:val="18"/>
    </w:rPr>
  </w:style>
  <w:style w:type="character" w:customStyle="1" w:styleId="BalloonTextChar">
    <w:name w:val="Balloon Text Char"/>
    <w:basedOn w:val="DefaultParagraphFont"/>
    <w:link w:val="BalloonText"/>
    <w:uiPriority w:val="99"/>
    <w:semiHidden/>
    <w:rsid w:val="00533CF2"/>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18"/>
      <w:lang w:val="en-US"/>
    </w:rPr>
  </w:style>
  <w:style w:type="paragraph" w:styleId="Heading1">
    <w:name w:val="heading 1"/>
    <w:basedOn w:val="Normal"/>
    <w:next w:val="Normal"/>
    <w:qFormat/>
    <w:pPr>
      <w:keepNext/>
      <w:outlineLvl w:val="0"/>
    </w:pPr>
    <w:rPr>
      <w:rFonts w:ascii="Times New Roman" w:hAnsi="Times New Roman"/>
      <w:b/>
      <w:bCs/>
      <w:sz w:val="24"/>
      <w:szCs w:val="24"/>
      <w:lang w:val="en-A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80" w:after="80" w:line="320" w:lineRule="atLeast"/>
      <w:jc w:val="both"/>
    </w:pPr>
    <w:rPr>
      <w:rFonts w:ascii="Book Antiqua" w:hAnsi="Book Antiqua"/>
      <w:b/>
      <w:szCs w:val="22"/>
      <w:lang w:val="en-AU" w:eastAsia="en-AU"/>
    </w:rPr>
  </w:style>
  <w:style w:type="character" w:styleId="PageNumber">
    <w:name w:val="page number"/>
    <w:semiHidden/>
    <w:rPr>
      <w:sz w:val="1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Times New Roman" w:hAnsi="Times New Roman"/>
      <w:sz w:val="24"/>
      <w:szCs w:val="20"/>
      <w:lang w:val="en-AU"/>
    </w:rPr>
  </w:style>
  <w:style w:type="paragraph" w:styleId="FootnoteText">
    <w:name w:val="footnote text"/>
    <w:basedOn w:val="Normal"/>
    <w:link w:val="FootnoteTextChar"/>
    <w:uiPriority w:val="99"/>
    <w:unhideWhenUsed/>
    <w:rsid w:val="00767836"/>
    <w:rPr>
      <w:sz w:val="24"/>
      <w:szCs w:val="24"/>
    </w:rPr>
  </w:style>
  <w:style w:type="character" w:customStyle="1" w:styleId="FootnoteTextChar">
    <w:name w:val="Footnote Text Char"/>
    <w:basedOn w:val="DefaultParagraphFont"/>
    <w:link w:val="FootnoteText"/>
    <w:uiPriority w:val="99"/>
    <w:rsid w:val="00767836"/>
    <w:rPr>
      <w:rFonts w:ascii="Arial" w:hAnsi="Arial"/>
      <w:sz w:val="24"/>
      <w:szCs w:val="24"/>
      <w:lang w:val="en-US"/>
    </w:rPr>
  </w:style>
  <w:style w:type="character" w:styleId="FootnoteReference">
    <w:name w:val="footnote reference"/>
    <w:basedOn w:val="DefaultParagraphFont"/>
    <w:uiPriority w:val="99"/>
    <w:unhideWhenUsed/>
    <w:rsid w:val="00767836"/>
    <w:rPr>
      <w:vertAlign w:val="superscript"/>
    </w:rPr>
  </w:style>
  <w:style w:type="paragraph" w:styleId="BalloonText">
    <w:name w:val="Balloon Text"/>
    <w:basedOn w:val="Normal"/>
    <w:link w:val="BalloonTextChar"/>
    <w:uiPriority w:val="99"/>
    <w:semiHidden/>
    <w:unhideWhenUsed/>
    <w:rsid w:val="00533CF2"/>
    <w:rPr>
      <w:rFonts w:ascii="Lucida Grande" w:hAnsi="Lucida Grande" w:cs="Lucida Grande"/>
      <w:sz w:val="18"/>
    </w:rPr>
  </w:style>
  <w:style w:type="character" w:customStyle="1" w:styleId="BalloonTextChar">
    <w:name w:val="Balloon Text Char"/>
    <w:basedOn w:val="DefaultParagraphFont"/>
    <w:link w:val="BalloonText"/>
    <w:uiPriority w:val="99"/>
    <w:semiHidden/>
    <w:rsid w:val="00533CF2"/>
    <w:rPr>
      <w:rFonts w:ascii="Lucida Grande" w:hAnsi="Lucida Grande" w:cs="Lucida Grande"/>
      <w:sz w:val="18"/>
      <w:szCs w:val="18"/>
      <w:lang w:val="en-US"/>
    </w:rPr>
  </w:style>
</w:styles>
</file>

<file path=word/webSettings.xml><?xml version="1.0" encoding="utf-8"?>
<w:webSettings xmlns:r="http://schemas.openxmlformats.org/officeDocument/2006/relationships" xmlns:w="http://schemas.openxmlformats.org/wordprocessingml/2006/main">
  <w:divs>
    <w:div w:id="53285075">
      <w:bodyDiv w:val="1"/>
      <w:marLeft w:val="0"/>
      <w:marRight w:val="0"/>
      <w:marTop w:val="0"/>
      <w:marBottom w:val="0"/>
      <w:divBdr>
        <w:top w:val="none" w:sz="0" w:space="0" w:color="auto"/>
        <w:left w:val="none" w:sz="0" w:space="0" w:color="auto"/>
        <w:bottom w:val="none" w:sz="0" w:space="0" w:color="auto"/>
        <w:right w:val="none" w:sz="0" w:space="0" w:color="auto"/>
      </w:divBdr>
    </w:div>
    <w:div w:id="391663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uaa.com.au" TargetMode="External"/><Relationship Id="rId1" Type="http://schemas.openxmlformats.org/officeDocument/2006/relationships/hyperlink" Target="mailto:euaa@euaa.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886</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6 July 2007 </vt:lpstr>
    </vt:vector>
  </TitlesOfParts>
  <Company>The Energy Users Association of Australia</Company>
  <LinksUpToDate>false</LinksUpToDate>
  <CharactersWithSpaces>5632</CharactersWithSpaces>
  <SharedDoc>false</SharedDoc>
  <HLinks>
    <vt:vector size="18" baseType="variant">
      <vt:variant>
        <vt:i4>3473412</vt:i4>
      </vt:variant>
      <vt:variant>
        <vt:i4>3</vt:i4>
      </vt:variant>
      <vt:variant>
        <vt:i4>0</vt:i4>
      </vt:variant>
      <vt:variant>
        <vt:i4>5</vt:i4>
      </vt:variant>
      <vt:variant>
        <vt:lpwstr>http://www.euaa.com.au/</vt:lpwstr>
      </vt:variant>
      <vt:variant>
        <vt:lpwstr/>
      </vt:variant>
      <vt:variant>
        <vt:i4>6094912</vt:i4>
      </vt:variant>
      <vt:variant>
        <vt:i4>0</vt:i4>
      </vt:variant>
      <vt:variant>
        <vt:i4>0</vt:i4>
      </vt:variant>
      <vt:variant>
        <vt:i4>5</vt:i4>
      </vt:variant>
      <vt:variant>
        <vt:lpwstr>mailto:euaa@euaa.com.au</vt:lpwstr>
      </vt:variant>
      <vt:variant>
        <vt:lpwstr/>
      </vt:variant>
      <vt:variant>
        <vt:i4>2031707</vt:i4>
      </vt:variant>
      <vt:variant>
        <vt:i4>-1</vt:i4>
      </vt:variant>
      <vt:variant>
        <vt:i4>2053</vt:i4>
      </vt:variant>
      <vt:variant>
        <vt:i4>1</vt:i4>
      </vt:variant>
      <vt:variant>
        <vt:lpwstr>EUAA_LOGO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July 2007 </dc:title>
  <dc:subject/>
  <dc:creator>sminh</dc:creator>
  <cp:keywords/>
  <dc:description/>
  <cp:lastModifiedBy>sminh</cp:lastModifiedBy>
  <cp:revision>2</cp:revision>
  <dcterms:created xsi:type="dcterms:W3CDTF">2013-02-18T03:31:00Z</dcterms:created>
  <dcterms:modified xsi:type="dcterms:W3CDTF">2013-02-18T03:31:00Z</dcterms:modified>
</cp:coreProperties>
</file>