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6B" w:rsidRDefault="0059396B" w:rsidP="0059396B">
      <w:pPr>
        <w:spacing w:after="0"/>
        <w:rPr>
          <w:rFonts w:asciiTheme="minorHAnsi" w:hAnsiTheme="minorHAnsi"/>
          <w:sz w:val="22"/>
        </w:rPr>
      </w:pPr>
      <w:bookmarkStart w:id="0" w:name="_GoBack"/>
      <w:bookmarkEnd w:id="0"/>
    </w:p>
    <w:p w:rsidR="0059396B" w:rsidRDefault="0059396B" w:rsidP="0059396B">
      <w:pPr>
        <w:spacing w:after="0"/>
        <w:rPr>
          <w:rFonts w:asciiTheme="minorHAnsi" w:hAnsiTheme="minorHAnsi"/>
          <w:sz w:val="22"/>
        </w:rPr>
      </w:pPr>
    </w:p>
    <w:p w:rsidR="0059396B" w:rsidRPr="001943AD" w:rsidRDefault="0059396B" w:rsidP="0059396B">
      <w:pPr>
        <w:spacing w:after="0"/>
        <w:rPr>
          <w:rFonts w:asciiTheme="minorHAnsi" w:hAnsiTheme="minorHAnsi"/>
          <w:szCs w:val="24"/>
        </w:rPr>
      </w:pPr>
    </w:p>
    <w:p w:rsidR="00E02B72" w:rsidRPr="001943AD" w:rsidRDefault="007464A7" w:rsidP="007B43DA">
      <w:p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19 December</w:t>
      </w:r>
      <w:r w:rsidR="001943AD" w:rsidRPr="001943AD">
        <w:rPr>
          <w:rFonts w:asciiTheme="minorHAnsi" w:hAnsiTheme="minorHAnsi"/>
          <w:szCs w:val="24"/>
        </w:rPr>
        <w:t xml:space="preserve"> 2017</w:t>
      </w:r>
    </w:p>
    <w:p w:rsidR="001943AD" w:rsidRPr="001943AD" w:rsidRDefault="001943AD" w:rsidP="007B43DA">
      <w:pPr>
        <w:spacing w:after="0"/>
        <w:rPr>
          <w:rFonts w:asciiTheme="minorHAnsi" w:hAnsiTheme="minorHAnsi"/>
          <w:szCs w:val="24"/>
        </w:rPr>
      </w:pPr>
    </w:p>
    <w:p w:rsidR="001943AD" w:rsidRPr="001943AD" w:rsidRDefault="001943AD" w:rsidP="007B43DA">
      <w:pPr>
        <w:spacing w:after="0"/>
        <w:rPr>
          <w:rFonts w:asciiTheme="minorHAnsi" w:hAnsiTheme="minorHAnsi"/>
          <w:szCs w:val="24"/>
        </w:rPr>
      </w:pPr>
      <w:r w:rsidRPr="001943AD">
        <w:rPr>
          <w:rFonts w:asciiTheme="minorHAnsi" w:hAnsiTheme="minorHAnsi"/>
          <w:szCs w:val="24"/>
        </w:rPr>
        <w:t xml:space="preserve">Attn: </w:t>
      </w:r>
      <w:r w:rsidR="007464A7">
        <w:rPr>
          <w:rFonts w:asciiTheme="minorHAnsi" w:hAnsiTheme="minorHAnsi"/>
          <w:szCs w:val="24"/>
        </w:rPr>
        <w:t>Sarah Proudfoot</w:t>
      </w:r>
    </w:p>
    <w:p w:rsidR="001943AD" w:rsidRPr="001943AD" w:rsidRDefault="001943AD" w:rsidP="007B43DA">
      <w:pPr>
        <w:spacing w:after="0"/>
        <w:rPr>
          <w:rFonts w:asciiTheme="minorHAnsi" w:hAnsiTheme="minorHAnsi"/>
          <w:szCs w:val="24"/>
        </w:rPr>
      </w:pPr>
      <w:r w:rsidRPr="001943AD">
        <w:rPr>
          <w:rFonts w:asciiTheme="minorHAnsi" w:hAnsiTheme="minorHAnsi"/>
          <w:szCs w:val="24"/>
        </w:rPr>
        <w:t>General Manager, Retail Markets</w:t>
      </w:r>
    </w:p>
    <w:p w:rsidR="001943AD" w:rsidRPr="001943AD" w:rsidRDefault="001943AD" w:rsidP="007B43DA">
      <w:pPr>
        <w:spacing w:after="0"/>
        <w:rPr>
          <w:rFonts w:asciiTheme="minorHAnsi" w:hAnsiTheme="minorHAnsi"/>
          <w:szCs w:val="24"/>
        </w:rPr>
      </w:pPr>
      <w:r w:rsidRPr="001943AD">
        <w:rPr>
          <w:rFonts w:asciiTheme="minorHAnsi" w:hAnsiTheme="minorHAnsi"/>
          <w:szCs w:val="24"/>
        </w:rPr>
        <w:t>Australian Energy Regulator</w:t>
      </w:r>
      <w:r w:rsidRPr="001943AD">
        <w:rPr>
          <w:rFonts w:asciiTheme="minorHAnsi" w:hAnsiTheme="minorHAnsi"/>
          <w:szCs w:val="24"/>
        </w:rPr>
        <w:br/>
        <w:t>GPO Box 520</w:t>
      </w:r>
      <w:r w:rsidRPr="001943AD">
        <w:rPr>
          <w:rFonts w:asciiTheme="minorHAnsi" w:hAnsiTheme="minorHAnsi"/>
          <w:szCs w:val="24"/>
        </w:rPr>
        <w:br/>
        <w:t>Melbourne VIC 3001</w:t>
      </w:r>
    </w:p>
    <w:p w:rsidR="001943AD" w:rsidRDefault="001943AD" w:rsidP="007B43DA">
      <w:pPr>
        <w:spacing w:after="0"/>
        <w:rPr>
          <w:rFonts w:asciiTheme="minorHAnsi" w:hAnsiTheme="minorHAnsi"/>
          <w:szCs w:val="24"/>
        </w:rPr>
      </w:pPr>
    </w:p>
    <w:p w:rsidR="001943AD" w:rsidRDefault="001943AD" w:rsidP="007B43DA">
      <w:pPr>
        <w:spacing w:after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Lodged via email to: </w:t>
      </w:r>
      <w:r w:rsidRPr="001943AD">
        <w:rPr>
          <w:rFonts w:asciiTheme="minorHAnsi" w:hAnsiTheme="minorHAnsi"/>
          <w:b/>
          <w:szCs w:val="24"/>
        </w:rPr>
        <w:t>AER</w:t>
      </w:r>
      <w:r w:rsidR="007464A7">
        <w:rPr>
          <w:rFonts w:asciiTheme="minorHAnsi" w:hAnsiTheme="minorHAnsi"/>
          <w:b/>
          <w:szCs w:val="24"/>
        </w:rPr>
        <w:t>Exemptions</w:t>
      </w:r>
      <w:r w:rsidRPr="001943AD">
        <w:rPr>
          <w:rFonts w:asciiTheme="minorHAnsi" w:hAnsiTheme="minorHAnsi"/>
          <w:b/>
          <w:szCs w:val="24"/>
        </w:rPr>
        <w:t>@aer.gov.au</w:t>
      </w:r>
    </w:p>
    <w:p w:rsidR="007464A7" w:rsidRPr="007464A7" w:rsidRDefault="007464A7" w:rsidP="007B43DA">
      <w:pPr>
        <w:spacing w:after="0"/>
        <w:rPr>
          <w:rStyle w:val="Emphasis"/>
          <w:rFonts w:asciiTheme="minorHAnsi" w:hAnsiTheme="minorHAnsi"/>
          <w:b/>
          <w:i w:val="0"/>
          <w:iCs w:val="0"/>
          <w:szCs w:val="24"/>
        </w:rPr>
      </w:pPr>
    </w:p>
    <w:p w:rsidR="001943AD" w:rsidRPr="001943AD" w:rsidRDefault="001943AD" w:rsidP="007B43DA">
      <w:pPr>
        <w:spacing w:after="0"/>
        <w:rPr>
          <w:rStyle w:val="Emphasis"/>
          <w:rFonts w:asciiTheme="minorHAnsi" w:hAnsiTheme="minorHAnsi" w:cs="Helvetica"/>
          <w:i w:val="0"/>
          <w:color w:val="333333"/>
          <w:szCs w:val="24"/>
          <w:shd w:val="clear" w:color="auto" w:fill="FFFFFF"/>
        </w:rPr>
      </w:pPr>
      <w:r w:rsidRPr="001943AD">
        <w:rPr>
          <w:rStyle w:val="Emphasis"/>
          <w:rFonts w:asciiTheme="minorHAnsi" w:hAnsiTheme="minorHAnsi" w:cs="Helvetica"/>
          <w:i w:val="0"/>
          <w:color w:val="333333"/>
          <w:szCs w:val="24"/>
          <w:shd w:val="clear" w:color="auto" w:fill="FFFFFF"/>
        </w:rPr>
        <w:t xml:space="preserve">Dear </w:t>
      </w:r>
      <w:r w:rsidR="007464A7">
        <w:rPr>
          <w:rStyle w:val="Emphasis"/>
          <w:rFonts w:asciiTheme="minorHAnsi" w:hAnsiTheme="minorHAnsi" w:cs="Helvetica"/>
          <w:i w:val="0"/>
          <w:color w:val="333333"/>
          <w:szCs w:val="24"/>
          <w:shd w:val="clear" w:color="auto" w:fill="FFFFFF"/>
        </w:rPr>
        <w:t>Sarah</w:t>
      </w:r>
      <w:r w:rsidRPr="001943AD">
        <w:rPr>
          <w:rStyle w:val="Emphasis"/>
          <w:rFonts w:asciiTheme="minorHAnsi" w:hAnsiTheme="minorHAnsi" w:cs="Helvetica"/>
          <w:i w:val="0"/>
          <w:color w:val="333333"/>
          <w:szCs w:val="24"/>
          <w:shd w:val="clear" w:color="auto" w:fill="FFFFFF"/>
        </w:rPr>
        <w:t>,</w:t>
      </w:r>
    </w:p>
    <w:p w:rsidR="001943AD" w:rsidRPr="001943AD" w:rsidRDefault="001943AD" w:rsidP="007B43DA">
      <w:pPr>
        <w:spacing w:after="0"/>
        <w:rPr>
          <w:rStyle w:val="Emphasis"/>
          <w:rFonts w:asciiTheme="minorHAnsi" w:hAnsiTheme="minorHAnsi" w:cs="Helvetica"/>
          <w:color w:val="333333"/>
          <w:szCs w:val="24"/>
          <w:shd w:val="clear" w:color="auto" w:fill="FFFFFF"/>
        </w:rPr>
      </w:pPr>
    </w:p>
    <w:p w:rsidR="007464A7" w:rsidRPr="00023C9A" w:rsidRDefault="001943AD" w:rsidP="007B43DA">
      <w:pPr>
        <w:spacing w:after="0"/>
        <w:rPr>
          <w:rStyle w:val="Emphasis"/>
          <w:rFonts w:asciiTheme="minorHAnsi" w:hAnsiTheme="minorHAnsi" w:cs="Helvetica"/>
          <w:b/>
          <w:i w:val="0"/>
          <w:szCs w:val="24"/>
          <w:shd w:val="clear" w:color="auto" w:fill="FFFFFF"/>
        </w:rPr>
      </w:pPr>
      <w:r w:rsidRPr="00023C9A">
        <w:rPr>
          <w:rStyle w:val="Emphasis"/>
          <w:rFonts w:asciiTheme="minorHAnsi" w:hAnsiTheme="minorHAnsi" w:cs="Helvetica"/>
          <w:b/>
          <w:i w:val="0"/>
          <w:szCs w:val="24"/>
          <w:shd w:val="clear" w:color="auto" w:fill="FFFFFF"/>
        </w:rPr>
        <w:t xml:space="preserve">Re: </w:t>
      </w:r>
      <w:r w:rsidR="00937024" w:rsidRPr="00023C9A">
        <w:rPr>
          <w:rStyle w:val="Emphasis"/>
          <w:rFonts w:asciiTheme="minorHAnsi" w:hAnsiTheme="minorHAnsi" w:cs="Helvetica"/>
          <w:b/>
          <w:i w:val="0"/>
          <w:szCs w:val="24"/>
          <w:shd w:val="clear" w:color="auto" w:fill="FFFFFF"/>
        </w:rPr>
        <w:t xml:space="preserve">AER </w:t>
      </w:r>
      <w:r w:rsidR="007464A7" w:rsidRPr="00023C9A">
        <w:rPr>
          <w:rStyle w:val="Emphasis"/>
          <w:rFonts w:asciiTheme="minorHAnsi" w:hAnsiTheme="minorHAnsi" w:cs="Helvetica"/>
          <w:b/>
          <w:i w:val="0"/>
          <w:szCs w:val="24"/>
          <w:shd w:val="clear" w:color="auto" w:fill="FFFFFF"/>
        </w:rPr>
        <w:t>Draft (Retail) Exempt Selling Guideline — November 2017</w:t>
      </w:r>
    </w:p>
    <w:p w:rsidR="001943AD" w:rsidRDefault="001943AD" w:rsidP="007B43DA">
      <w:pPr>
        <w:spacing w:after="0"/>
        <w:rPr>
          <w:rStyle w:val="Emphasis"/>
          <w:rFonts w:asciiTheme="minorHAnsi" w:hAnsiTheme="minorHAnsi" w:cs="Helvetica"/>
          <w:b/>
          <w:color w:val="365F91" w:themeColor="accent1" w:themeShade="BF"/>
          <w:szCs w:val="24"/>
          <w:shd w:val="clear" w:color="auto" w:fill="FFFFFF"/>
        </w:rPr>
      </w:pPr>
    </w:p>
    <w:p w:rsidR="001943AD" w:rsidRDefault="00C14922" w:rsidP="00C14922">
      <w:pPr>
        <w:spacing w:after="0"/>
        <w:rPr>
          <w:rStyle w:val="Emphasis"/>
          <w:rFonts w:asciiTheme="minorHAnsi" w:hAnsiTheme="minorHAnsi" w:cs="Helvetica"/>
          <w:szCs w:val="24"/>
          <w:shd w:val="clear" w:color="auto" w:fill="FFFFFF"/>
        </w:rPr>
      </w:pPr>
      <w:r w:rsidRPr="00C14922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Thank you for the opportunity to comment on the</w:t>
      </w:r>
      <w:r w:rsidR="00FE3F3A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</w:t>
      </w:r>
      <w:r w:rsidR="007464A7" w:rsidRPr="007464A7">
        <w:rPr>
          <w:rStyle w:val="Emphasis"/>
          <w:rFonts w:asciiTheme="minorHAnsi" w:hAnsiTheme="minorHAnsi" w:cs="Helvetica"/>
          <w:szCs w:val="24"/>
          <w:shd w:val="clear" w:color="auto" w:fill="FFFFFF"/>
        </w:rPr>
        <w:t xml:space="preserve">AER Draft </w:t>
      </w:r>
      <w:r w:rsidR="007464A7">
        <w:rPr>
          <w:rStyle w:val="Emphasis"/>
          <w:rFonts w:asciiTheme="minorHAnsi" w:hAnsiTheme="minorHAnsi" w:cs="Helvetica"/>
          <w:szCs w:val="24"/>
          <w:shd w:val="clear" w:color="auto" w:fill="FFFFFF"/>
        </w:rPr>
        <w:t>(</w:t>
      </w:r>
      <w:r w:rsidR="007464A7" w:rsidRPr="007464A7">
        <w:rPr>
          <w:rStyle w:val="Emphasis"/>
          <w:rFonts w:asciiTheme="minorHAnsi" w:hAnsiTheme="minorHAnsi" w:cs="Helvetica"/>
          <w:szCs w:val="24"/>
          <w:shd w:val="clear" w:color="auto" w:fill="FFFFFF"/>
        </w:rPr>
        <w:t>Retail</w:t>
      </w:r>
      <w:r w:rsidR="007464A7">
        <w:rPr>
          <w:rStyle w:val="Emphasis"/>
          <w:rFonts w:asciiTheme="minorHAnsi" w:hAnsiTheme="minorHAnsi" w:cs="Helvetica"/>
          <w:szCs w:val="24"/>
          <w:shd w:val="clear" w:color="auto" w:fill="FFFFFF"/>
        </w:rPr>
        <w:t>)</w:t>
      </w:r>
      <w:r w:rsidR="007464A7" w:rsidRPr="007464A7">
        <w:rPr>
          <w:rStyle w:val="Emphasis"/>
          <w:rFonts w:asciiTheme="minorHAnsi" w:hAnsiTheme="minorHAnsi" w:cs="Helvetica"/>
          <w:szCs w:val="24"/>
          <w:shd w:val="clear" w:color="auto" w:fill="FFFFFF"/>
        </w:rPr>
        <w:t xml:space="preserve"> Exempt Selling Guideline</w:t>
      </w:r>
      <w:r w:rsidR="007464A7">
        <w:rPr>
          <w:rStyle w:val="Emphasis"/>
          <w:rFonts w:asciiTheme="minorHAnsi" w:hAnsiTheme="minorHAnsi" w:cs="Helvetica"/>
          <w:szCs w:val="24"/>
          <w:shd w:val="clear" w:color="auto" w:fill="FFFFFF"/>
        </w:rPr>
        <w:t>.</w:t>
      </w:r>
    </w:p>
    <w:p w:rsidR="00C14922" w:rsidRDefault="00C14922" w:rsidP="00C14922">
      <w:pPr>
        <w:spacing w:after="0"/>
        <w:rPr>
          <w:rStyle w:val="Emphasis"/>
          <w:rFonts w:asciiTheme="minorHAnsi" w:hAnsiTheme="minorHAnsi" w:cs="Helvetica"/>
          <w:szCs w:val="24"/>
          <w:shd w:val="clear" w:color="auto" w:fill="FFFFFF"/>
        </w:rPr>
      </w:pPr>
    </w:p>
    <w:p w:rsidR="00C14922" w:rsidRDefault="00C14922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The Energy and Water Ombudsman (Victoria) </w:t>
      </w:r>
      <w:r w:rsidR="00937024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(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EWOV</w:t>
      </w:r>
      <w:r w:rsidR="00937024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)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, is an independent and impartial industry based dispute resolution service. We receive, investigate and resolve complaints between customers and their energy </w:t>
      </w:r>
      <w:r w:rsidR="00937024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and water companies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. </w:t>
      </w:r>
    </w:p>
    <w:p w:rsidR="007464A7" w:rsidRDefault="007464A7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</w:p>
    <w:p w:rsidR="007464A7" w:rsidRDefault="00501F46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While the </w:t>
      </w:r>
      <w:r w:rsidRPr="00501F46">
        <w:rPr>
          <w:rStyle w:val="Emphasis"/>
          <w:rFonts w:asciiTheme="minorHAnsi" w:hAnsiTheme="minorHAnsi" w:cs="Helvetica"/>
          <w:szCs w:val="24"/>
          <w:shd w:val="clear" w:color="auto" w:fill="FFFFFF"/>
        </w:rPr>
        <w:t>Guideline</w:t>
      </w:r>
      <w:r w:rsidR="007464A7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does not apply in Victoria, we support the principle of access to 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free and independent </w:t>
      </w:r>
      <w:r w:rsidR="007464A7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external dispute resolution </w:t>
      </w:r>
      <w:r w:rsidR="00641DDC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(EDR) </w:t>
      </w:r>
      <w:r w:rsidR="007464A7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for energy customers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. In accordance with our well-established view that equal access to </w:t>
      </w:r>
      <w:r w:rsidR="008837A0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EDR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should be available to all customers, regardless of the exempt status of their </w:t>
      </w:r>
      <w:r w:rsidR="000E71E1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supplier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, EWOV offers the following for your consideration.</w:t>
      </w:r>
    </w:p>
    <w:p w:rsidR="00501F46" w:rsidRDefault="00501F46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</w:p>
    <w:p w:rsidR="00501F46" w:rsidRDefault="00501F46" w:rsidP="00C14922">
      <w:pPr>
        <w:spacing w:after="0"/>
        <w:rPr>
          <w:rStyle w:val="Emphasis"/>
          <w:rFonts w:asciiTheme="minorHAnsi" w:hAnsiTheme="minorHAnsi" w:cs="Helvetica"/>
          <w:b/>
          <w:i w:val="0"/>
          <w:szCs w:val="24"/>
          <w:shd w:val="clear" w:color="auto" w:fill="FFFFFF"/>
        </w:rPr>
      </w:pPr>
      <w:r w:rsidRPr="00A3563D">
        <w:rPr>
          <w:rStyle w:val="Emphasis"/>
          <w:rFonts w:asciiTheme="minorHAnsi" w:hAnsiTheme="minorHAnsi" w:cs="Helvetica"/>
          <w:b/>
          <w:i w:val="0"/>
          <w:szCs w:val="24"/>
          <w:shd w:val="clear" w:color="auto" w:fill="FFFFFF"/>
        </w:rPr>
        <w:t>M</w:t>
      </w:r>
      <w:r w:rsidR="00A3563D" w:rsidRPr="00A3563D">
        <w:rPr>
          <w:rStyle w:val="Emphasis"/>
          <w:rFonts w:asciiTheme="minorHAnsi" w:hAnsiTheme="minorHAnsi" w:cs="Helvetica"/>
          <w:b/>
          <w:i w:val="0"/>
          <w:szCs w:val="24"/>
          <w:shd w:val="clear" w:color="auto" w:fill="FFFFFF"/>
        </w:rPr>
        <w:t>ember of an energy ombudsman scheme</w:t>
      </w:r>
    </w:p>
    <w:p w:rsidR="00AC1029" w:rsidRDefault="00AC1029" w:rsidP="00C14922">
      <w:pPr>
        <w:spacing w:after="0"/>
        <w:rPr>
          <w:rStyle w:val="Emphasis"/>
          <w:rFonts w:asciiTheme="minorHAnsi" w:hAnsiTheme="minorHAnsi" w:cs="Helvetica"/>
          <w:b/>
          <w:i w:val="0"/>
          <w:szCs w:val="24"/>
          <w:shd w:val="clear" w:color="auto" w:fill="FFFFFF"/>
        </w:rPr>
      </w:pPr>
    </w:p>
    <w:p w:rsidR="008837A0" w:rsidRDefault="00AC1029" w:rsidP="00C14922">
      <w:pPr>
        <w:spacing w:after="0"/>
        <w:rPr>
          <w:rStyle w:val="Emphasis"/>
          <w:rFonts w:asciiTheme="minorHAnsi" w:hAnsiTheme="minorHAnsi" w:cs="Helvetica"/>
          <w:i w:val="0"/>
          <w:color w:val="FF0000"/>
          <w:szCs w:val="24"/>
          <w:shd w:val="clear" w:color="auto" w:fill="FFFFFF"/>
        </w:rPr>
      </w:pP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We welcome the AER’s inclusion of </w:t>
      </w:r>
      <w:r w:rsidRPr="007464A7">
        <w:rPr>
          <w:rStyle w:val="Emphasis"/>
          <w:rFonts w:asciiTheme="minorHAnsi" w:hAnsiTheme="minorHAnsi" w:cs="Helvetica"/>
          <w:szCs w:val="24"/>
          <w:shd w:val="clear" w:color="auto" w:fill="FFFFFF"/>
        </w:rPr>
        <w:t>Condition 17</w:t>
      </w:r>
      <w:r>
        <w:rPr>
          <w:rStyle w:val="Emphasis"/>
          <w:rFonts w:asciiTheme="minorHAnsi" w:hAnsiTheme="minorHAnsi" w:cs="Helvetica"/>
          <w:szCs w:val="24"/>
          <w:shd w:val="clear" w:color="auto" w:fill="FFFFFF"/>
        </w:rPr>
        <w:t xml:space="preserve"> </w:t>
      </w:r>
      <w:r w:rsidRPr="007464A7">
        <w:rPr>
          <w:rStyle w:val="Emphasis"/>
          <w:rFonts w:asciiTheme="minorHAnsi" w:hAnsiTheme="minorHAnsi" w:cs="Helvetica"/>
          <w:szCs w:val="24"/>
          <w:shd w:val="clear" w:color="auto" w:fill="FFFFFF"/>
        </w:rPr>
        <w:t>—</w:t>
      </w:r>
      <w:r>
        <w:rPr>
          <w:rStyle w:val="Emphasis"/>
          <w:rFonts w:asciiTheme="minorHAnsi" w:hAnsiTheme="minorHAnsi" w:cs="Helvetica"/>
          <w:szCs w:val="24"/>
          <w:shd w:val="clear" w:color="auto" w:fill="FFFFFF"/>
        </w:rPr>
        <w:t xml:space="preserve"> </w:t>
      </w:r>
      <w:r w:rsidRPr="007464A7">
        <w:rPr>
          <w:rStyle w:val="Emphasis"/>
          <w:rFonts w:asciiTheme="minorHAnsi" w:hAnsiTheme="minorHAnsi" w:cs="Helvetica"/>
          <w:szCs w:val="24"/>
          <w:shd w:val="clear" w:color="auto" w:fill="FFFFFF"/>
        </w:rPr>
        <w:t>Member of an energy ombudsman scheme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</w:t>
      </w:r>
      <w:r w:rsidR="005E467D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for residential customers in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the </w:t>
      </w:r>
      <w:r w:rsidRPr="007464A7">
        <w:rPr>
          <w:rStyle w:val="Emphasis"/>
          <w:rFonts w:asciiTheme="minorHAnsi" w:hAnsiTheme="minorHAnsi" w:cs="Helvetica"/>
          <w:szCs w:val="24"/>
          <w:shd w:val="clear" w:color="auto" w:fill="FFFFFF"/>
        </w:rPr>
        <w:t>Guideline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. We have similarly supported changes regarding access to </w:t>
      </w:r>
      <w:r w:rsidR="008837A0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EDR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for </w:t>
      </w:r>
      <w:r w:rsidR="004778D4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the 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customers of exempt sellers in Victoria </w:t>
      </w:r>
      <w:r w:rsidRPr="00023C9A">
        <w:rPr>
          <w:rStyle w:val="Emphasis"/>
          <w:rFonts w:asciiTheme="minorHAnsi" w:hAnsiTheme="minorHAnsi" w:cs="Helvetica"/>
          <w:i w:val="0"/>
          <w:color w:val="000000" w:themeColor="text1"/>
          <w:szCs w:val="24"/>
          <w:shd w:val="clear" w:color="auto" w:fill="FFFFFF"/>
        </w:rPr>
        <w:t>and our position has been outlined at length in</w:t>
      </w:r>
      <w:r w:rsidR="00023C9A">
        <w:rPr>
          <w:rStyle w:val="Emphasis"/>
          <w:rFonts w:asciiTheme="minorHAnsi" w:hAnsiTheme="minorHAnsi" w:cs="Helvetica"/>
          <w:i w:val="0"/>
          <w:color w:val="FF0000"/>
          <w:szCs w:val="24"/>
          <w:shd w:val="clear" w:color="auto" w:fill="FFFFFF"/>
        </w:rPr>
        <w:t xml:space="preserve"> </w:t>
      </w:r>
      <w:r w:rsidR="00513279" w:rsidRPr="00513279">
        <w:rPr>
          <w:rStyle w:val="Emphasis"/>
          <w:rFonts w:asciiTheme="minorHAnsi" w:hAnsiTheme="minorHAnsi" w:cs="Helvetica"/>
          <w:i w:val="0"/>
          <w:iCs w:val="0"/>
          <w:szCs w:val="24"/>
          <w:shd w:val="clear" w:color="auto" w:fill="FFFFFF"/>
        </w:rPr>
        <w:t>our submission</w:t>
      </w:r>
      <w:r w:rsidR="00023C9A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to the </w:t>
      </w:r>
      <w:r w:rsidR="00AE2449" w:rsidRPr="00513279">
        <w:rPr>
          <w:rStyle w:val="Emphasis"/>
          <w:rFonts w:asciiTheme="minorHAnsi" w:hAnsiTheme="minorHAnsi" w:cs="Helvetica"/>
          <w:i w:val="0"/>
          <w:iCs w:val="0"/>
          <w:szCs w:val="24"/>
          <w:shd w:val="clear" w:color="auto" w:fill="FFFFFF"/>
        </w:rPr>
        <w:t xml:space="preserve">Department of Environment, Land, Water and Planning on the Victorian </w:t>
      </w:r>
      <w:r w:rsidR="00AE2449" w:rsidRPr="00513279">
        <w:rPr>
          <w:rStyle w:val="Emphasis"/>
          <w:rFonts w:asciiTheme="minorHAnsi" w:hAnsiTheme="minorHAnsi" w:cs="Helvetica"/>
          <w:iCs w:val="0"/>
          <w:szCs w:val="24"/>
          <w:shd w:val="clear" w:color="auto" w:fill="FFFFFF"/>
        </w:rPr>
        <w:t>General Exemption Order</w:t>
      </w:r>
      <w:r w:rsidR="00513279" w:rsidRPr="00513279">
        <w:rPr>
          <w:rStyle w:val="Emphasis"/>
          <w:rFonts w:asciiTheme="minorHAnsi" w:hAnsiTheme="minorHAnsi" w:cs="Helvetica"/>
          <w:iCs w:val="0"/>
          <w:szCs w:val="24"/>
          <w:shd w:val="clear" w:color="auto" w:fill="FFFFFF"/>
        </w:rPr>
        <w:t>.</w:t>
      </w:r>
      <w:r w:rsidR="00513279" w:rsidRPr="00513279">
        <w:rPr>
          <w:rStyle w:val="FootnoteReference"/>
          <w:rFonts w:asciiTheme="minorHAnsi" w:hAnsiTheme="minorHAnsi" w:cs="Helvetica"/>
          <w:i/>
          <w:szCs w:val="24"/>
          <w:shd w:val="clear" w:color="auto" w:fill="FFFFFF"/>
        </w:rPr>
        <w:footnoteReference w:id="1"/>
      </w:r>
      <w:r w:rsidR="009A4F6E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In this submission, we:</w:t>
      </w:r>
    </w:p>
    <w:p w:rsidR="005F43EE" w:rsidRPr="00513279" w:rsidRDefault="009A4F6E" w:rsidP="00513279">
      <w:pPr>
        <w:pStyle w:val="ListParagraph"/>
        <w:numPr>
          <w:ilvl w:val="0"/>
          <w:numId w:val="3"/>
        </w:num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  <w:r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lastRenderedPageBreak/>
        <w:t xml:space="preserve">supported </w:t>
      </w:r>
      <w:r w:rsidR="00023C9A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co</w:t>
      </w:r>
      <w:r w:rsidR="00DE499B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nsistency with the </w:t>
      </w:r>
      <w:r w:rsidR="00023C9A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principles of effectiveness, accessibility and fairness </w:t>
      </w:r>
      <w:r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listed</w:t>
      </w:r>
      <w:r w:rsidR="00023C9A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in the national </w:t>
      </w:r>
      <w:r w:rsidR="00023C9A" w:rsidRPr="00513279">
        <w:rPr>
          <w:rStyle w:val="Emphasis"/>
          <w:rFonts w:asciiTheme="minorHAnsi" w:hAnsiTheme="minorHAnsi" w:cs="Helvetica"/>
          <w:szCs w:val="24"/>
          <w:shd w:val="clear" w:color="auto" w:fill="FFFFFF"/>
        </w:rPr>
        <w:t>Benchmarks for Industry-based Customer Dispute Resolution</w:t>
      </w:r>
      <w:r w:rsidR="00AE2449" w:rsidRPr="00513279">
        <w:rPr>
          <w:rStyle w:val="FootnoteReference"/>
          <w:rFonts w:asciiTheme="minorHAnsi" w:hAnsiTheme="minorHAnsi" w:cs="Helvetica"/>
          <w:i/>
          <w:iCs/>
          <w:szCs w:val="24"/>
          <w:shd w:val="clear" w:color="auto" w:fill="FFFFFF"/>
        </w:rPr>
        <w:footnoteReference w:id="2"/>
      </w:r>
    </w:p>
    <w:p w:rsidR="005F43EE" w:rsidRPr="00513279" w:rsidRDefault="009A4F6E" w:rsidP="00513279">
      <w:pPr>
        <w:pStyle w:val="ListParagraph"/>
        <w:numPr>
          <w:ilvl w:val="0"/>
          <w:numId w:val="3"/>
        </w:num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  <w:r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highlighted</w:t>
      </w:r>
      <w:r w:rsidR="00AE2449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the existing expertise of ombudsman schemes </w:t>
      </w:r>
      <w:r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in</w:t>
      </w:r>
      <w:r w:rsidR="00AE2449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deal</w:t>
      </w:r>
      <w:r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ing</w:t>
      </w:r>
      <w:r w:rsidR="00AE2449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with energy related disputes between customers and suppliers</w:t>
      </w:r>
      <w:r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.</w:t>
      </w:r>
    </w:p>
    <w:p w:rsidR="008837A0" w:rsidRDefault="008837A0" w:rsidP="00C14922">
      <w:pPr>
        <w:spacing w:after="0"/>
        <w:rPr>
          <w:rStyle w:val="Emphasis"/>
          <w:rFonts w:asciiTheme="minorHAnsi" w:hAnsiTheme="minorHAnsi" w:cs="Helvetica"/>
          <w:i w:val="0"/>
          <w:color w:val="FF0000"/>
          <w:szCs w:val="24"/>
          <w:shd w:val="clear" w:color="auto" w:fill="FFFFFF"/>
        </w:rPr>
      </w:pPr>
    </w:p>
    <w:p w:rsidR="000F5A51" w:rsidRDefault="00641DDC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It is EWOV’s </w:t>
      </w:r>
      <w:r w:rsidR="000F5A51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experience that Victorian small business customers benefit greatly from access to EWOV’s free and independent dispute resolution. </w:t>
      </w:r>
      <w:r w:rsidR="00B36703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Our</w:t>
      </w:r>
      <w:r w:rsidR="000E71E1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2017</w:t>
      </w:r>
      <w:r w:rsidR="00B36703" w:rsidRPr="00513279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</w:t>
      </w:r>
      <w:r w:rsidR="00A7471F" w:rsidRPr="00513279">
        <w:rPr>
          <w:rStyle w:val="Emphasis"/>
          <w:rFonts w:asciiTheme="minorHAnsi" w:hAnsiTheme="minorHAnsi"/>
          <w:iCs w:val="0"/>
        </w:rPr>
        <w:t>Annual Report</w:t>
      </w:r>
      <w:r w:rsidR="00513279">
        <w:rPr>
          <w:rStyle w:val="FootnoteReference"/>
          <w:rFonts w:asciiTheme="minorHAnsi" w:hAnsiTheme="minorHAnsi"/>
          <w:i/>
        </w:rPr>
        <w:footnoteReference w:id="3"/>
      </w:r>
      <w:r w:rsidR="00692165" w:rsidRPr="00692165">
        <w:rPr>
          <w:rStyle w:val="Emphasis"/>
          <w:rFonts w:asciiTheme="minorHAnsi" w:hAnsiTheme="minorHAnsi" w:cs="Helvetica"/>
          <w:i w:val="0"/>
          <w:iCs w:val="0"/>
          <w:szCs w:val="24"/>
          <w:shd w:val="clear" w:color="auto" w:fill="FFFFFF"/>
        </w:rPr>
        <w:t xml:space="preserve"> </w:t>
      </w:r>
      <w:r w:rsidR="000E71E1">
        <w:rPr>
          <w:rStyle w:val="Emphasis"/>
          <w:rFonts w:asciiTheme="minorHAnsi" w:hAnsiTheme="minorHAnsi" w:cs="Helvetica"/>
          <w:i w:val="0"/>
          <w:iCs w:val="0"/>
          <w:szCs w:val="24"/>
          <w:shd w:val="clear" w:color="auto" w:fill="FFFFFF"/>
        </w:rPr>
        <w:t xml:space="preserve">shows </w:t>
      </w:r>
      <w:r w:rsidR="00692165" w:rsidRPr="00692165">
        <w:rPr>
          <w:rStyle w:val="Emphasis"/>
          <w:rFonts w:asciiTheme="minorHAnsi" w:hAnsiTheme="minorHAnsi" w:cs="Helvetica"/>
          <w:i w:val="0"/>
          <w:iCs w:val="0"/>
          <w:szCs w:val="24"/>
          <w:shd w:val="clear" w:color="auto" w:fill="FFFFFF"/>
        </w:rPr>
        <w:t>that in the 2016-17 financial year, 2,524 EWOV cases, or 8 percent of overall EWOV cases, we</w:t>
      </w:r>
      <w:r w:rsidR="00692165">
        <w:rPr>
          <w:rStyle w:val="Emphasis"/>
          <w:rFonts w:asciiTheme="minorHAnsi" w:hAnsiTheme="minorHAnsi" w:cs="Helvetica"/>
          <w:i w:val="0"/>
          <w:iCs w:val="0"/>
          <w:szCs w:val="24"/>
          <w:shd w:val="clear" w:color="auto" w:fill="FFFFFF"/>
        </w:rPr>
        <w:t>re lodged by business customers</w:t>
      </w:r>
      <w:r w:rsidR="00692165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.</w:t>
      </w:r>
      <w:r w:rsidR="00DE499B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</w:t>
      </w:r>
      <w:r w:rsidR="000E71E1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Only a small percentage of these cases required an Investigation, but of those that did, the conciliated outcomes resulted in over $880,000 in billing adjustments</w:t>
      </w:r>
      <w:r w:rsidR="00BF51C8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.</w:t>
      </w:r>
      <w:r w:rsidR="000E71E1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  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</w:t>
      </w:r>
    </w:p>
    <w:p w:rsidR="00513279" w:rsidRDefault="00513279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</w:p>
    <w:p w:rsidR="00C14922" w:rsidRDefault="004778D4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In the Victorian jurisdiction, the</w:t>
      </w:r>
      <w:r w:rsidR="00590B97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Government’s </w:t>
      </w:r>
      <w:r w:rsidR="00590B97" w:rsidRPr="004778D4">
        <w:rPr>
          <w:rStyle w:val="Emphasis"/>
          <w:rFonts w:asciiTheme="minorHAnsi" w:hAnsiTheme="minorHAnsi" w:cs="Helvetica"/>
          <w:szCs w:val="24"/>
          <w:shd w:val="clear" w:color="auto" w:fill="FFFFFF"/>
        </w:rPr>
        <w:t>General Exemption Order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</w:t>
      </w:r>
      <w:r w:rsidR="00590B97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includes ‘</w:t>
      </w:r>
      <w:r w:rsidR="00590B97" w:rsidRPr="00590B97">
        <w:rPr>
          <w:rFonts w:asciiTheme="minorHAnsi" w:hAnsiTheme="minorHAnsi" w:cs="Helvetica"/>
          <w:iCs/>
          <w:szCs w:val="24"/>
          <w:shd w:val="clear" w:color="auto" w:fill="FFFFFF"/>
        </w:rPr>
        <w:t>small commercial/retail customer</w:t>
      </w:r>
      <w:r w:rsidR="00590B97">
        <w:rPr>
          <w:rFonts w:asciiTheme="minorHAnsi" w:hAnsiTheme="minorHAnsi" w:cs="Helvetica"/>
          <w:iCs/>
          <w:szCs w:val="24"/>
          <w:shd w:val="clear" w:color="auto" w:fill="FFFFFF"/>
        </w:rPr>
        <w:t>[s]’, defined as ‘</w:t>
      </w:r>
      <w:r w:rsidR="00590B97" w:rsidRPr="00590B97">
        <w:rPr>
          <w:rFonts w:asciiTheme="minorHAnsi" w:hAnsiTheme="minorHAnsi" w:cs="Helvetica"/>
          <w:iCs/>
          <w:szCs w:val="24"/>
          <w:shd w:val="clear" w:color="auto" w:fill="FFFFFF"/>
        </w:rPr>
        <w:t>a business customer to whom peak demand of less than 500 kVa, and consumption of less than 160 MWh per annum, is distributed, supplied or sold for commercial or industrial purposes</w:t>
      </w:r>
      <w:r w:rsidR="00590B97">
        <w:rPr>
          <w:rFonts w:asciiTheme="minorHAnsi" w:hAnsiTheme="minorHAnsi" w:cs="Helvetica"/>
          <w:iCs/>
          <w:szCs w:val="24"/>
          <w:shd w:val="clear" w:color="auto" w:fill="FFFFFF"/>
        </w:rPr>
        <w:t>’ under Part 1(3).</w:t>
      </w:r>
      <w:r w:rsidR="00A061EE">
        <w:rPr>
          <w:rStyle w:val="FootnoteReference"/>
          <w:rFonts w:asciiTheme="minorHAnsi" w:hAnsiTheme="minorHAnsi" w:cs="Helvetica"/>
          <w:iCs/>
          <w:szCs w:val="24"/>
          <w:shd w:val="clear" w:color="auto" w:fill="FFFFFF"/>
        </w:rPr>
        <w:footnoteReference w:id="4"/>
      </w:r>
      <w:r w:rsidR="00590B97">
        <w:rPr>
          <w:rFonts w:asciiTheme="minorHAnsi" w:hAnsiTheme="minorHAnsi" w:cs="Helvetica"/>
          <w:iCs/>
          <w:szCs w:val="24"/>
          <w:shd w:val="clear" w:color="auto" w:fill="FFFFFF"/>
        </w:rPr>
        <w:t xml:space="preserve"> As </w:t>
      </w:r>
      <w:r w:rsidR="00641DDC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EWOV’s jurisdiction will likely be extended to cover exempt </w:t>
      </w:r>
      <w:r w:rsidR="002E39AF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entities</w:t>
      </w:r>
      <w:r w:rsidR="008837A0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in 2018</w:t>
      </w:r>
      <w:r w:rsidR="00590B97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, we will be handling</w:t>
      </w:r>
      <w:r w:rsidR="00641DDC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complain</w:t>
      </w:r>
      <w:r w:rsidR="00BF51C8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t</w:t>
      </w:r>
      <w:r w:rsidR="00641DDC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s from</w:t>
      </w:r>
      <w:r w:rsidR="00590B97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both</w:t>
      </w:r>
      <w:r w:rsidR="00641DDC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residential and small business customers. It is our view that this scope is not overly burd</w:t>
      </w:r>
      <w:r w:rsidR="008837A0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ensome, and 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necessary</w:t>
      </w:r>
      <w:r w:rsidR="00641DDC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to ensure equitable outcomes for all energy consumers.</w:t>
      </w:r>
    </w:p>
    <w:p w:rsidR="00BF51C8" w:rsidRDefault="00BF51C8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</w:p>
    <w:p w:rsidR="00BF51C8" w:rsidRDefault="00BF51C8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  <w:r w:rsidRPr="00BF51C8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In time, we would encourage the AER to consider extending EDR access in the National Energy Market to small commercial and retail businesses.</w:t>
      </w:r>
    </w:p>
    <w:p w:rsidR="00641DDC" w:rsidRPr="00641DDC" w:rsidRDefault="00641DDC" w:rsidP="00C14922">
      <w:pPr>
        <w:spacing w:after="0"/>
        <w:rPr>
          <w:rStyle w:val="Emphasis"/>
          <w:rFonts w:asciiTheme="minorHAnsi" w:hAnsiTheme="minorHAnsi" w:cs="Helvetica"/>
          <w:b/>
          <w:i w:val="0"/>
          <w:color w:val="FF0000"/>
          <w:szCs w:val="24"/>
          <w:shd w:val="clear" w:color="auto" w:fill="FFFFFF"/>
        </w:rPr>
      </w:pPr>
    </w:p>
    <w:p w:rsidR="00A3563D" w:rsidRDefault="00A3563D" w:rsidP="00C14922">
      <w:pPr>
        <w:spacing w:after="0"/>
        <w:rPr>
          <w:rStyle w:val="Emphasis"/>
          <w:rFonts w:asciiTheme="minorHAnsi" w:hAnsiTheme="minorHAnsi" w:cs="Helvetica"/>
          <w:b/>
          <w:i w:val="0"/>
          <w:szCs w:val="24"/>
          <w:shd w:val="clear" w:color="auto" w:fill="FFFFFF"/>
        </w:rPr>
      </w:pPr>
      <w:r w:rsidRPr="00A3563D">
        <w:rPr>
          <w:rStyle w:val="Emphasis"/>
          <w:rFonts w:asciiTheme="minorHAnsi" w:hAnsiTheme="minorHAnsi" w:cs="Helvetica"/>
          <w:b/>
          <w:i w:val="0"/>
          <w:szCs w:val="24"/>
          <w:shd w:val="clear" w:color="auto" w:fill="FFFFFF"/>
        </w:rPr>
        <w:t>Dispute resolution</w:t>
      </w:r>
    </w:p>
    <w:p w:rsidR="00FC6976" w:rsidRDefault="00FC6976" w:rsidP="00C14922">
      <w:pPr>
        <w:spacing w:after="0"/>
        <w:rPr>
          <w:rStyle w:val="Emphasis"/>
          <w:rFonts w:asciiTheme="minorHAnsi" w:hAnsiTheme="minorHAnsi" w:cs="Helvetica"/>
          <w:b/>
          <w:i w:val="0"/>
          <w:szCs w:val="24"/>
          <w:shd w:val="clear" w:color="auto" w:fill="FFFFFF"/>
        </w:rPr>
      </w:pPr>
    </w:p>
    <w:p w:rsidR="00BE2998" w:rsidRDefault="000C7919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We also support</w:t>
      </w:r>
      <w:r w:rsidR="005E467D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the changes to</w:t>
      </w:r>
      <w:r w:rsidR="005E467D" w:rsidRPr="005E467D">
        <w:rPr>
          <w:rStyle w:val="Emphasis"/>
          <w:rFonts w:asciiTheme="minorHAnsi" w:hAnsiTheme="minorHAnsi" w:cs="Helvetica"/>
          <w:szCs w:val="24"/>
          <w:shd w:val="clear" w:color="auto" w:fill="FFFFFF"/>
        </w:rPr>
        <w:t xml:space="preserve"> Condition 16</w:t>
      </w:r>
      <w:r w:rsidR="005E467D">
        <w:rPr>
          <w:rStyle w:val="Emphasis"/>
          <w:rFonts w:asciiTheme="minorHAnsi" w:hAnsiTheme="minorHAnsi" w:cs="Helvetica"/>
          <w:szCs w:val="24"/>
          <w:shd w:val="clear" w:color="auto" w:fill="FFFFFF"/>
        </w:rPr>
        <w:t xml:space="preserve"> </w:t>
      </w:r>
      <w:r w:rsidR="005E467D" w:rsidRPr="005E467D">
        <w:rPr>
          <w:rStyle w:val="Emphasis"/>
          <w:rFonts w:asciiTheme="minorHAnsi" w:hAnsiTheme="minorHAnsi" w:cs="Helvetica"/>
          <w:szCs w:val="24"/>
          <w:shd w:val="clear" w:color="auto" w:fill="FFFFFF"/>
        </w:rPr>
        <w:t>—</w:t>
      </w:r>
      <w:r w:rsidR="005E467D">
        <w:rPr>
          <w:rStyle w:val="Emphasis"/>
          <w:rFonts w:asciiTheme="minorHAnsi" w:hAnsiTheme="minorHAnsi" w:cs="Helvetica"/>
          <w:szCs w:val="24"/>
          <w:shd w:val="clear" w:color="auto" w:fill="FFFFFF"/>
        </w:rPr>
        <w:t xml:space="preserve"> </w:t>
      </w:r>
      <w:r w:rsidR="005E467D" w:rsidRPr="005E467D">
        <w:rPr>
          <w:rStyle w:val="Emphasis"/>
          <w:rFonts w:asciiTheme="minorHAnsi" w:hAnsiTheme="minorHAnsi" w:cs="Helvetica"/>
          <w:szCs w:val="24"/>
          <w:shd w:val="clear" w:color="auto" w:fill="FFFFFF"/>
        </w:rPr>
        <w:t>Dispute resolution</w:t>
      </w:r>
      <w:r w:rsidR="005E467D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requiring exempt sellers to ‘make a set of procedures for handling complaints and disputes.’ </w:t>
      </w:r>
      <w:r w:rsidR="00B52CB0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We endorse the principle of consistency with the Australian Standard as set out in Condition 16(2). </w:t>
      </w:r>
    </w:p>
    <w:p w:rsidR="00BE2998" w:rsidRDefault="00BE2998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</w:p>
    <w:p w:rsidR="005E467D" w:rsidRPr="005E467D" w:rsidRDefault="00BE2998" w:rsidP="00C14922">
      <w:pPr>
        <w:spacing w:after="0"/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</w:pP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In further support of customer awareness of access </w:t>
      </w:r>
      <w:r w:rsidR="008837A0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to 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dispute resolution, we welcome the AER’s inclusion of Condition 16(c)(i) and (ii) under which the exempt seller must notify the customer of their right to access an ombudsman scheme</w:t>
      </w:r>
      <w:r w:rsidR="00BF51C8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,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 including </w:t>
      </w:r>
      <w:r w:rsidR="002E39AF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providing the </w:t>
      </w:r>
      <w:r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 xml:space="preserve">contact details for the relevant energy ombudsman. The provision of this information by retailers is essential to </w:t>
      </w:r>
      <w:r w:rsidR="00BF51C8">
        <w:rPr>
          <w:rStyle w:val="Emphasis"/>
          <w:rFonts w:asciiTheme="minorHAnsi" w:hAnsiTheme="minorHAnsi" w:cs="Helvetica"/>
          <w:i w:val="0"/>
          <w:szCs w:val="24"/>
          <w:shd w:val="clear" w:color="auto" w:fill="FFFFFF"/>
        </w:rPr>
        <w:t>ensure consumer awareness of access to free and independent dispute resolution.</w:t>
      </w:r>
    </w:p>
    <w:p w:rsidR="00EF1A3E" w:rsidRPr="00EF1A3E" w:rsidRDefault="00EF1A3E" w:rsidP="0049189A">
      <w:pPr>
        <w:spacing w:after="0"/>
        <w:rPr>
          <w:rFonts w:asciiTheme="minorHAnsi" w:hAnsiTheme="minorHAnsi"/>
          <w:color w:val="365F91" w:themeColor="accent1" w:themeShade="BF"/>
          <w:szCs w:val="24"/>
        </w:rPr>
      </w:pPr>
    </w:p>
    <w:p w:rsidR="00B37151" w:rsidRDefault="00B37151" w:rsidP="007B43DA">
      <w:pPr>
        <w:spacing w:after="0"/>
        <w:rPr>
          <w:rFonts w:asciiTheme="minorHAnsi" w:hAnsiTheme="minorHAnsi"/>
          <w:szCs w:val="24"/>
        </w:rPr>
      </w:pPr>
      <w:r w:rsidRPr="00B37151">
        <w:rPr>
          <w:rFonts w:asciiTheme="minorHAnsi" w:hAnsiTheme="minorHAnsi"/>
          <w:szCs w:val="24"/>
        </w:rPr>
        <w:lastRenderedPageBreak/>
        <w:t xml:space="preserve">We trust the above comments are helpful. Should you require further information or have any queries, please contact </w:t>
      </w:r>
      <w:r w:rsidR="00937024">
        <w:rPr>
          <w:rFonts w:asciiTheme="minorHAnsi" w:hAnsiTheme="minorHAnsi"/>
          <w:szCs w:val="24"/>
        </w:rPr>
        <w:t>Katherine George</w:t>
      </w:r>
      <w:r w:rsidRPr="00B37151">
        <w:rPr>
          <w:rFonts w:asciiTheme="minorHAnsi" w:hAnsiTheme="minorHAnsi"/>
          <w:szCs w:val="24"/>
        </w:rPr>
        <w:t xml:space="preserve">, Research and Communications </w:t>
      </w:r>
      <w:r w:rsidR="00937024">
        <w:rPr>
          <w:rFonts w:asciiTheme="minorHAnsi" w:hAnsiTheme="minorHAnsi"/>
          <w:szCs w:val="24"/>
        </w:rPr>
        <w:t>Officer, on (03) 8672 4357</w:t>
      </w:r>
      <w:r w:rsidRPr="00B37151">
        <w:rPr>
          <w:rFonts w:asciiTheme="minorHAnsi" w:hAnsiTheme="minorHAnsi"/>
          <w:szCs w:val="24"/>
        </w:rPr>
        <w:t xml:space="preserve"> or </w:t>
      </w:r>
      <w:r w:rsidR="00937024">
        <w:rPr>
          <w:rFonts w:asciiTheme="minorHAnsi" w:hAnsiTheme="minorHAnsi"/>
          <w:szCs w:val="24"/>
        </w:rPr>
        <w:t>Katherine.george</w:t>
      </w:r>
      <w:r w:rsidRPr="00B37151">
        <w:rPr>
          <w:rFonts w:asciiTheme="minorHAnsi" w:hAnsiTheme="minorHAnsi"/>
          <w:szCs w:val="24"/>
        </w:rPr>
        <w:t xml:space="preserve">@ewov.com.au. </w:t>
      </w:r>
    </w:p>
    <w:p w:rsidR="003B3A6F" w:rsidRDefault="003B3A6F" w:rsidP="007B43DA">
      <w:pPr>
        <w:spacing w:after="0"/>
        <w:rPr>
          <w:rFonts w:asciiTheme="minorHAnsi" w:hAnsiTheme="minorHAnsi"/>
          <w:szCs w:val="24"/>
        </w:rPr>
      </w:pPr>
    </w:p>
    <w:p w:rsidR="00B37151" w:rsidRDefault="00B37151" w:rsidP="007B43DA">
      <w:p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Yours sincerely,</w:t>
      </w:r>
    </w:p>
    <w:p w:rsidR="00B37151" w:rsidRDefault="00B37151" w:rsidP="007B43DA">
      <w:pPr>
        <w:spacing w:after="0"/>
        <w:rPr>
          <w:rFonts w:asciiTheme="minorHAnsi" w:hAnsiTheme="minorHAnsi"/>
          <w:szCs w:val="24"/>
        </w:rPr>
      </w:pPr>
    </w:p>
    <w:p w:rsidR="00B37151" w:rsidRPr="00E70D89" w:rsidRDefault="00B37151" w:rsidP="007B43DA">
      <w:pPr>
        <w:spacing w:after="0"/>
        <w:rPr>
          <w:rFonts w:asciiTheme="minorHAnsi" w:hAnsiTheme="minorHAnsi"/>
          <w:b/>
          <w:szCs w:val="24"/>
        </w:rPr>
      </w:pPr>
      <w:r w:rsidRPr="00E70D89">
        <w:rPr>
          <w:rFonts w:asciiTheme="minorHAnsi" w:hAnsiTheme="minorHAnsi"/>
          <w:b/>
          <w:szCs w:val="24"/>
        </w:rPr>
        <w:t xml:space="preserve">Cynthia Gebert </w:t>
      </w:r>
    </w:p>
    <w:p w:rsidR="00B37151" w:rsidRPr="00B37151" w:rsidRDefault="00B37151" w:rsidP="007B43DA">
      <w:pPr>
        <w:spacing w:after="0"/>
        <w:rPr>
          <w:rFonts w:asciiTheme="minorHAnsi" w:hAnsiTheme="minorHAnsi"/>
          <w:b/>
          <w:szCs w:val="24"/>
        </w:rPr>
      </w:pPr>
      <w:r w:rsidRPr="00B37151">
        <w:rPr>
          <w:rFonts w:asciiTheme="minorHAnsi" w:hAnsiTheme="minorHAnsi"/>
          <w:b/>
          <w:szCs w:val="24"/>
        </w:rPr>
        <w:t>Energy and Water Ombudsman (Victoria)</w:t>
      </w:r>
    </w:p>
    <w:sectPr w:rsidR="00B37151" w:rsidRPr="00B37151" w:rsidSect="0059396B"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73" w:rsidRDefault="00E85A73" w:rsidP="00710DB5">
      <w:pPr>
        <w:spacing w:after="0" w:line="240" w:lineRule="auto"/>
      </w:pPr>
      <w:r>
        <w:separator/>
      </w:r>
    </w:p>
  </w:endnote>
  <w:endnote w:type="continuationSeparator" w:id="0">
    <w:p w:rsidR="00E85A73" w:rsidRDefault="00E85A73" w:rsidP="0071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6D" w:rsidRDefault="00DA4D6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3600" cy="535305"/>
          <wp:effectExtent l="19050" t="0" r="0" b="0"/>
          <wp:wrapSquare wrapText="bothSides"/>
          <wp:docPr id="6" name="Picture 13" descr="logo-contact(conc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ntact(conc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73" w:rsidRDefault="00E85A73" w:rsidP="00710DB5">
      <w:pPr>
        <w:spacing w:after="0" w:line="240" w:lineRule="auto"/>
      </w:pPr>
      <w:r>
        <w:separator/>
      </w:r>
    </w:p>
  </w:footnote>
  <w:footnote w:type="continuationSeparator" w:id="0">
    <w:p w:rsidR="00E85A73" w:rsidRDefault="00E85A73" w:rsidP="00710DB5">
      <w:pPr>
        <w:spacing w:after="0" w:line="240" w:lineRule="auto"/>
      </w:pPr>
      <w:r>
        <w:continuationSeparator/>
      </w:r>
    </w:p>
  </w:footnote>
  <w:footnote w:id="1">
    <w:p w:rsidR="00513279" w:rsidRPr="00513279" w:rsidRDefault="00513279">
      <w:pPr>
        <w:pStyle w:val="FootnoteText"/>
        <w:rPr>
          <w:rFonts w:asciiTheme="minorHAnsi" w:hAnsiTheme="minorHAnsi"/>
        </w:rPr>
      </w:pPr>
      <w:r w:rsidRPr="00513279">
        <w:rPr>
          <w:rStyle w:val="FootnoteReference"/>
          <w:rFonts w:asciiTheme="minorHAnsi" w:hAnsiTheme="minorHAnsi"/>
        </w:rPr>
        <w:footnoteRef/>
      </w:r>
      <w:r w:rsidRPr="00513279">
        <w:rPr>
          <w:rFonts w:asciiTheme="minorHAnsi" w:hAnsiTheme="minorHAnsi"/>
        </w:rPr>
        <w:t xml:space="preserve"> See </w:t>
      </w:r>
      <w:r>
        <w:rPr>
          <w:rFonts w:asciiTheme="minorHAnsi" w:hAnsiTheme="minorHAnsi"/>
        </w:rPr>
        <w:t xml:space="preserve">EWOV, </w:t>
      </w:r>
      <w:r w:rsidRPr="00513279">
        <w:rPr>
          <w:rFonts w:asciiTheme="minorHAnsi" w:hAnsiTheme="minorHAnsi"/>
          <w:i/>
        </w:rPr>
        <w:t>General Exemption Order – Draft Position Paper</w:t>
      </w:r>
      <w:r w:rsidRPr="00513279">
        <w:rPr>
          <w:rFonts w:asciiTheme="minorHAnsi" w:hAnsiTheme="minorHAnsi"/>
        </w:rPr>
        <w:t xml:space="preserve"> </w:t>
      </w:r>
      <w:r w:rsidR="002147EA">
        <w:rPr>
          <w:rFonts w:asciiTheme="minorHAnsi" w:hAnsiTheme="minorHAnsi"/>
        </w:rPr>
        <w:t xml:space="preserve">(August 2016) </w:t>
      </w:r>
      <w:r w:rsidRPr="00513279">
        <w:rPr>
          <w:rFonts w:asciiTheme="minorHAnsi" w:hAnsiTheme="minorHAnsi"/>
        </w:rPr>
        <w:t>&lt;https://www.ewov.com.au/files/ewov-comments-delwp-general-exemption-order-draft-position-paper.pdf&gt;</w:t>
      </w:r>
      <w:r w:rsidR="002147EA">
        <w:rPr>
          <w:rFonts w:asciiTheme="minorHAnsi" w:hAnsiTheme="minorHAnsi"/>
        </w:rPr>
        <w:t>.</w:t>
      </w:r>
    </w:p>
  </w:footnote>
  <w:footnote w:id="2">
    <w:p w:rsidR="00AE2449" w:rsidRDefault="00AE2449">
      <w:pPr>
        <w:pStyle w:val="FootnoteText"/>
      </w:pPr>
      <w:r w:rsidRPr="00AE2449">
        <w:rPr>
          <w:rStyle w:val="FootnoteReference"/>
          <w:rFonts w:asciiTheme="minorHAnsi" w:hAnsiTheme="minorHAnsi"/>
        </w:rPr>
        <w:footnoteRef/>
      </w:r>
      <w:r w:rsidRPr="00AE2449">
        <w:rPr>
          <w:rFonts w:asciiTheme="minorHAnsi" w:hAnsiTheme="minorHAnsi"/>
        </w:rPr>
        <w:t xml:space="preserve"> See </w:t>
      </w:r>
      <w:r w:rsidR="002147EA">
        <w:rPr>
          <w:rFonts w:asciiTheme="minorHAnsi" w:hAnsiTheme="minorHAnsi"/>
        </w:rPr>
        <w:t>Australian Government: The Treasury</w:t>
      </w:r>
      <w:r w:rsidR="00513279">
        <w:rPr>
          <w:rFonts w:asciiTheme="minorHAnsi" w:hAnsiTheme="minorHAnsi"/>
        </w:rPr>
        <w:t xml:space="preserve">, </w:t>
      </w:r>
      <w:r w:rsidRPr="00AE2449">
        <w:rPr>
          <w:rFonts w:asciiTheme="minorHAnsi" w:hAnsiTheme="minorHAnsi"/>
          <w:i/>
        </w:rPr>
        <w:t>Benchmarks for Industry-based Customer Dispute Resolution</w:t>
      </w:r>
      <w:r w:rsidR="00513279">
        <w:rPr>
          <w:rFonts w:asciiTheme="minorHAnsi" w:hAnsiTheme="minorHAnsi"/>
        </w:rPr>
        <w:t xml:space="preserve"> </w:t>
      </w:r>
      <w:r w:rsidR="002147EA">
        <w:rPr>
          <w:rFonts w:asciiTheme="minorHAnsi" w:hAnsiTheme="minorHAnsi"/>
        </w:rPr>
        <w:t xml:space="preserve">(Commonwealth of Australia, February 2015) </w:t>
      </w:r>
      <w:r w:rsidR="00513279">
        <w:rPr>
          <w:rFonts w:asciiTheme="minorHAnsi" w:hAnsiTheme="minorHAnsi"/>
        </w:rPr>
        <w:t>&lt;</w:t>
      </w:r>
      <w:r w:rsidR="00513279" w:rsidRPr="00513279">
        <w:rPr>
          <w:rFonts w:asciiTheme="minorHAnsi" w:hAnsiTheme="minorHAnsi"/>
        </w:rPr>
        <w:t>https://www.ptovic.com.au/images/documents/Benchmarks_February_2015.pdf</w:t>
      </w:r>
      <w:r w:rsidR="00513279">
        <w:rPr>
          <w:rFonts w:asciiTheme="minorHAnsi" w:hAnsiTheme="minorHAnsi"/>
        </w:rPr>
        <w:t>&gt;</w:t>
      </w:r>
      <w:r w:rsidR="002147EA">
        <w:rPr>
          <w:rFonts w:asciiTheme="minorHAnsi" w:hAnsiTheme="minorHAnsi"/>
        </w:rPr>
        <w:t>.</w:t>
      </w:r>
    </w:p>
  </w:footnote>
  <w:footnote w:id="3">
    <w:p w:rsidR="00513279" w:rsidRPr="00513279" w:rsidRDefault="00513279">
      <w:pPr>
        <w:pStyle w:val="FootnoteText"/>
        <w:rPr>
          <w:rFonts w:asciiTheme="minorHAnsi" w:hAnsiTheme="minorHAnsi"/>
        </w:rPr>
      </w:pPr>
      <w:r w:rsidRPr="00513279">
        <w:rPr>
          <w:rStyle w:val="FootnoteReference"/>
          <w:rFonts w:asciiTheme="minorHAnsi" w:hAnsiTheme="minorHAnsi"/>
        </w:rPr>
        <w:footnoteRef/>
      </w:r>
      <w:r w:rsidRPr="00513279">
        <w:rPr>
          <w:rFonts w:asciiTheme="minorHAnsi" w:hAnsiTheme="minorHAnsi"/>
        </w:rPr>
        <w:t xml:space="preserve"> See EWOV, </w:t>
      </w:r>
      <w:r w:rsidRPr="00513279">
        <w:rPr>
          <w:rFonts w:asciiTheme="minorHAnsi" w:hAnsiTheme="minorHAnsi"/>
          <w:i/>
        </w:rPr>
        <w:t>Annual Report</w:t>
      </w:r>
      <w:r w:rsidRPr="00513279">
        <w:rPr>
          <w:rFonts w:asciiTheme="minorHAnsi" w:hAnsiTheme="minorHAnsi"/>
        </w:rPr>
        <w:t xml:space="preserve"> </w:t>
      </w:r>
      <w:r w:rsidR="002147EA">
        <w:rPr>
          <w:rFonts w:asciiTheme="minorHAnsi" w:hAnsiTheme="minorHAnsi"/>
        </w:rPr>
        <w:t xml:space="preserve">(2017) </w:t>
      </w:r>
      <w:r w:rsidRPr="00513279">
        <w:rPr>
          <w:rFonts w:asciiTheme="minorHAnsi" w:hAnsiTheme="minorHAnsi"/>
        </w:rPr>
        <w:t>&lt; https://www.ewov.com.au/files/2017-ewov-annual-report.pdf&gt;</w:t>
      </w:r>
      <w:r w:rsidR="002147EA">
        <w:rPr>
          <w:rFonts w:asciiTheme="minorHAnsi" w:hAnsiTheme="minorHAnsi"/>
        </w:rPr>
        <w:t xml:space="preserve">. </w:t>
      </w:r>
    </w:p>
  </w:footnote>
  <w:footnote w:id="4">
    <w:p w:rsidR="00A061EE" w:rsidRPr="00A061EE" w:rsidRDefault="00A061EE">
      <w:pPr>
        <w:pStyle w:val="FootnoteText"/>
        <w:rPr>
          <w:rFonts w:asciiTheme="minorHAnsi" w:hAnsiTheme="minorHAnsi"/>
        </w:rPr>
      </w:pPr>
      <w:r w:rsidRPr="00A061EE">
        <w:rPr>
          <w:rStyle w:val="FootnoteReference"/>
          <w:rFonts w:asciiTheme="minorHAnsi" w:hAnsiTheme="minorHAnsi"/>
        </w:rPr>
        <w:footnoteRef/>
      </w:r>
      <w:r w:rsidRPr="00A061EE">
        <w:rPr>
          <w:rFonts w:asciiTheme="minorHAnsi" w:hAnsiTheme="minorHAnsi"/>
        </w:rPr>
        <w:t xml:space="preserve"> Victorian Government, </w:t>
      </w:r>
      <w:r w:rsidRPr="00A061EE">
        <w:rPr>
          <w:rFonts w:asciiTheme="minorHAnsi" w:hAnsiTheme="minorHAnsi"/>
          <w:i/>
        </w:rPr>
        <w:t>General Exemption Order</w:t>
      </w:r>
      <w:r w:rsidRPr="00A061EE">
        <w:rPr>
          <w:rFonts w:asciiTheme="minorHAnsi" w:hAnsiTheme="minorHAnsi"/>
        </w:rPr>
        <w:t xml:space="preserve"> (2017) &lt;https://www.energy.vic.gov.au/__data/assets/pdf_file/0029/89309/General-Exemption-Order-2017-GG2017S390.pdf&gt;.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A6" w:rsidRDefault="0059396B">
    <w:pPr>
      <w:pStyle w:val="Header"/>
    </w:pPr>
    <w:r w:rsidRPr="006E12A6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476250</wp:posOffset>
          </wp:positionH>
          <wp:positionV relativeFrom="paragraph">
            <wp:posOffset>171450</wp:posOffset>
          </wp:positionV>
          <wp:extent cx="4695825" cy="571500"/>
          <wp:effectExtent l="19050" t="0" r="0" b="0"/>
          <wp:wrapSquare wrapText="bothSides"/>
          <wp:docPr id="5" name="Picture 10" descr="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58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BE4">
      <w:rPr>
        <w:noProof/>
      </w:rPr>
      <w:pict>
        <v:rect id="Rectangle 5" o:spid="_x0000_s2049" style="position:absolute;margin-left:-129pt;margin-top:-36pt;width:693pt;height:1in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" fillcolor="#6c7175"/>
      </w:pict>
    </w:r>
    <w:r w:rsidR="006E12A6" w:rsidRPr="006E12A6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1371600" cy="1076325"/>
          <wp:effectExtent l="19050" t="0" r="0" b="0"/>
          <wp:wrapSquare wrapText="bothSides"/>
          <wp:docPr id="4" name="Picture 9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2FD"/>
    <w:multiLevelType w:val="hybridMultilevel"/>
    <w:tmpl w:val="CECAA7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16B43"/>
    <w:multiLevelType w:val="hybridMultilevel"/>
    <w:tmpl w:val="6B3EAC6C"/>
    <w:lvl w:ilvl="0" w:tplc="28A8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51C4A"/>
    <w:multiLevelType w:val="hybridMultilevel"/>
    <w:tmpl w:val="E09A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6c717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44E"/>
    <w:rsid w:val="0002178C"/>
    <w:rsid w:val="00023C9A"/>
    <w:rsid w:val="000532ED"/>
    <w:rsid w:val="00071B46"/>
    <w:rsid w:val="000C7919"/>
    <w:rsid w:val="000E71E1"/>
    <w:rsid w:val="000F5A51"/>
    <w:rsid w:val="00162504"/>
    <w:rsid w:val="0017608F"/>
    <w:rsid w:val="00182041"/>
    <w:rsid w:val="00187E27"/>
    <w:rsid w:val="00193DE0"/>
    <w:rsid w:val="001943AD"/>
    <w:rsid w:val="001C1580"/>
    <w:rsid w:val="001D493E"/>
    <w:rsid w:val="0020532E"/>
    <w:rsid w:val="002147EA"/>
    <w:rsid w:val="00246BD4"/>
    <w:rsid w:val="002D774F"/>
    <w:rsid w:val="002E39AF"/>
    <w:rsid w:val="00354216"/>
    <w:rsid w:val="00355937"/>
    <w:rsid w:val="0036121C"/>
    <w:rsid w:val="0038544E"/>
    <w:rsid w:val="003B3A6F"/>
    <w:rsid w:val="003F7FE5"/>
    <w:rsid w:val="004339D9"/>
    <w:rsid w:val="004359C6"/>
    <w:rsid w:val="00456184"/>
    <w:rsid w:val="00470908"/>
    <w:rsid w:val="004778D4"/>
    <w:rsid w:val="00485E22"/>
    <w:rsid w:val="0049189A"/>
    <w:rsid w:val="00494A56"/>
    <w:rsid w:val="004D68C9"/>
    <w:rsid w:val="00501F46"/>
    <w:rsid w:val="00513279"/>
    <w:rsid w:val="00566018"/>
    <w:rsid w:val="00590B97"/>
    <w:rsid w:val="0059396B"/>
    <w:rsid w:val="005E2D3E"/>
    <w:rsid w:val="005E467D"/>
    <w:rsid w:val="005F43EE"/>
    <w:rsid w:val="0061538B"/>
    <w:rsid w:val="00641DDC"/>
    <w:rsid w:val="00661A28"/>
    <w:rsid w:val="00692165"/>
    <w:rsid w:val="006C67B8"/>
    <w:rsid w:val="006E0BE4"/>
    <w:rsid w:val="006E12A6"/>
    <w:rsid w:val="00710DB5"/>
    <w:rsid w:val="007464A7"/>
    <w:rsid w:val="00747917"/>
    <w:rsid w:val="00771C45"/>
    <w:rsid w:val="007B43DA"/>
    <w:rsid w:val="007E4A9F"/>
    <w:rsid w:val="00847858"/>
    <w:rsid w:val="008837A0"/>
    <w:rsid w:val="00897999"/>
    <w:rsid w:val="008C7237"/>
    <w:rsid w:val="008E7995"/>
    <w:rsid w:val="009141BB"/>
    <w:rsid w:val="009160F5"/>
    <w:rsid w:val="00937024"/>
    <w:rsid w:val="00991B65"/>
    <w:rsid w:val="009A2970"/>
    <w:rsid w:val="009A4F6E"/>
    <w:rsid w:val="009A66FB"/>
    <w:rsid w:val="00A061EE"/>
    <w:rsid w:val="00A13D03"/>
    <w:rsid w:val="00A3563D"/>
    <w:rsid w:val="00A7471F"/>
    <w:rsid w:val="00AA0A0D"/>
    <w:rsid w:val="00AA4C14"/>
    <w:rsid w:val="00AC1029"/>
    <w:rsid w:val="00AE2449"/>
    <w:rsid w:val="00B11131"/>
    <w:rsid w:val="00B3477A"/>
    <w:rsid w:val="00B36703"/>
    <w:rsid w:val="00B37151"/>
    <w:rsid w:val="00B52CB0"/>
    <w:rsid w:val="00B97642"/>
    <w:rsid w:val="00BA24AC"/>
    <w:rsid w:val="00BE2998"/>
    <w:rsid w:val="00BF51C8"/>
    <w:rsid w:val="00C14922"/>
    <w:rsid w:val="00C83534"/>
    <w:rsid w:val="00CD0A1C"/>
    <w:rsid w:val="00CF37C9"/>
    <w:rsid w:val="00D47805"/>
    <w:rsid w:val="00D84DD6"/>
    <w:rsid w:val="00DA4D6D"/>
    <w:rsid w:val="00DC737E"/>
    <w:rsid w:val="00DD476E"/>
    <w:rsid w:val="00DE499B"/>
    <w:rsid w:val="00E02B72"/>
    <w:rsid w:val="00E0549E"/>
    <w:rsid w:val="00E130E8"/>
    <w:rsid w:val="00E27A7F"/>
    <w:rsid w:val="00E70D89"/>
    <w:rsid w:val="00E85A73"/>
    <w:rsid w:val="00E96AFC"/>
    <w:rsid w:val="00EB3116"/>
    <w:rsid w:val="00ED042D"/>
    <w:rsid w:val="00ED55E6"/>
    <w:rsid w:val="00EF066E"/>
    <w:rsid w:val="00EF1A3E"/>
    <w:rsid w:val="00F31D4E"/>
    <w:rsid w:val="00F60E6A"/>
    <w:rsid w:val="00F82BE4"/>
    <w:rsid w:val="00FA37F0"/>
    <w:rsid w:val="00FB278C"/>
    <w:rsid w:val="00FB4B20"/>
    <w:rsid w:val="00FC6976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c717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9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50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250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504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6250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62504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771C4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E4A9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250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250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2504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6250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62504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71C45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1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1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B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396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43AD"/>
    <w:rPr>
      <w:i/>
      <w:iCs/>
    </w:rPr>
  </w:style>
  <w:style w:type="paragraph" w:styleId="ListParagraph">
    <w:name w:val="List Paragraph"/>
    <w:basedOn w:val="Normal"/>
    <w:uiPriority w:val="34"/>
    <w:qFormat/>
    <w:rsid w:val="00FE3F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5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A5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A51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4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44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44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132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2299-6E20-497D-9C81-9826182B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32E36280</Template>
  <TotalTime>0</TotalTime>
  <Pages>3</Pages>
  <Words>594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EWOV Limited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Park</dc:creator>
  <cp:lastModifiedBy>Coronel, Danielle</cp:lastModifiedBy>
  <cp:revision>2</cp:revision>
  <cp:lastPrinted>2017-12-15T02:56:00Z</cp:lastPrinted>
  <dcterms:created xsi:type="dcterms:W3CDTF">2017-12-21T05:25:00Z</dcterms:created>
  <dcterms:modified xsi:type="dcterms:W3CDTF">2017-12-21T05:25:00Z</dcterms:modified>
</cp:coreProperties>
</file>