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8FD" w:rsidRDefault="003F38FD">
      <w:pPr>
        <w:spacing w:before="0"/>
        <w:contextualSpacing w:val="0"/>
        <w:rPr>
          <w:rFonts w:eastAsia="Calibri" w:cs="Arial"/>
          <w:b/>
          <w:szCs w:val="24"/>
        </w:rPr>
      </w:pPr>
      <w:bookmarkStart w:id="0" w:name="_GoBack"/>
      <w:bookmarkEnd w:id="0"/>
    </w:p>
    <w:p w:rsidR="003F38FD" w:rsidRDefault="003F38FD">
      <w:pPr>
        <w:spacing w:before="0"/>
        <w:contextualSpacing w:val="0"/>
        <w:rPr>
          <w:rFonts w:eastAsia="Calibri" w:cs="Arial"/>
          <w:b/>
          <w:szCs w:val="24"/>
        </w:rPr>
      </w:pPr>
    </w:p>
    <w:p w:rsidR="003F38FD" w:rsidRDefault="003F38FD">
      <w:pPr>
        <w:spacing w:before="0"/>
        <w:contextualSpacing w:val="0"/>
        <w:rPr>
          <w:rFonts w:eastAsia="Calibri" w:cs="Arial"/>
          <w:b/>
          <w:szCs w:val="24"/>
        </w:rPr>
      </w:pPr>
    </w:p>
    <w:p w:rsidR="003F38FD" w:rsidRPr="00A346C1" w:rsidRDefault="003F38FD" w:rsidP="003F38FD">
      <w:pPr>
        <w:jc w:val="center"/>
        <w:rPr>
          <w:sz w:val="36"/>
          <w:szCs w:val="36"/>
        </w:rPr>
      </w:pPr>
      <w:r w:rsidRPr="00A346C1">
        <w:rPr>
          <w:sz w:val="36"/>
          <w:szCs w:val="36"/>
        </w:rPr>
        <w:t>SUBMISSION</w:t>
      </w:r>
    </w:p>
    <w:p w:rsidR="003F38FD" w:rsidRDefault="003F38FD" w:rsidP="003F38FD">
      <w:pPr>
        <w:jc w:val="center"/>
        <w:rPr>
          <w:sz w:val="36"/>
          <w:szCs w:val="36"/>
        </w:rPr>
      </w:pPr>
    </w:p>
    <w:p w:rsidR="006516ED" w:rsidRPr="00A346C1" w:rsidRDefault="006516ED" w:rsidP="003F38FD">
      <w:pPr>
        <w:jc w:val="center"/>
        <w:rPr>
          <w:sz w:val="36"/>
          <w:szCs w:val="36"/>
        </w:rPr>
      </w:pPr>
    </w:p>
    <w:p w:rsidR="003F38FD" w:rsidRDefault="003F38FD" w:rsidP="003F38FD">
      <w:pPr>
        <w:jc w:val="center"/>
        <w:rPr>
          <w:sz w:val="36"/>
          <w:szCs w:val="36"/>
        </w:rPr>
      </w:pPr>
      <w:r w:rsidRPr="00A346C1">
        <w:rPr>
          <w:sz w:val="36"/>
          <w:szCs w:val="36"/>
        </w:rPr>
        <w:t xml:space="preserve"> </w:t>
      </w:r>
    </w:p>
    <w:p w:rsidR="00292EEB" w:rsidRDefault="00D53545" w:rsidP="00292EEB">
      <w:pPr>
        <w:spacing w:before="0"/>
        <w:contextualSpacing w:val="0"/>
        <w:jc w:val="center"/>
        <w:rPr>
          <w:sz w:val="36"/>
          <w:szCs w:val="36"/>
        </w:rPr>
      </w:pPr>
      <w:r>
        <w:rPr>
          <w:sz w:val="36"/>
          <w:szCs w:val="36"/>
        </w:rPr>
        <w:t>Australian Energy Regulator</w:t>
      </w:r>
    </w:p>
    <w:p w:rsidR="00292EEB" w:rsidRDefault="00292EEB" w:rsidP="00292EEB">
      <w:pPr>
        <w:spacing w:before="0"/>
        <w:contextualSpacing w:val="0"/>
        <w:jc w:val="center"/>
        <w:rPr>
          <w:sz w:val="36"/>
          <w:szCs w:val="36"/>
        </w:rPr>
      </w:pPr>
    </w:p>
    <w:p w:rsidR="00084158" w:rsidRDefault="00084158" w:rsidP="00084158">
      <w:pPr>
        <w:spacing w:before="0"/>
        <w:contextualSpacing w:val="0"/>
        <w:jc w:val="center"/>
        <w:rPr>
          <w:sz w:val="36"/>
          <w:szCs w:val="36"/>
        </w:rPr>
      </w:pPr>
      <w:r>
        <w:rPr>
          <w:sz w:val="36"/>
          <w:szCs w:val="36"/>
        </w:rPr>
        <w:t>TasNetworks (</w:t>
      </w:r>
      <w:proofErr w:type="spellStart"/>
      <w:r>
        <w:rPr>
          <w:sz w:val="36"/>
          <w:szCs w:val="36"/>
        </w:rPr>
        <w:t>Transend</w:t>
      </w:r>
      <w:proofErr w:type="spellEnd"/>
      <w:r>
        <w:rPr>
          <w:sz w:val="36"/>
          <w:szCs w:val="36"/>
        </w:rPr>
        <w:t xml:space="preserve">) </w:t>
      </w:r>
    </w:p>
    <w:p w:rsidR="00084158" w:rsidRPr="00084158" w:rsidRDefault="00084158" w:rsidP="00084158">
      <w:pPr>
        <w:spacing w:before="0"/>
        <w:contextualSpacing w:val="0"/>
        <w:jc w:val="center"/>
        <w:rPr>
          <w:sz w:val="36"/>
          <w:szCs w:val="36"/>
        </w:rPr>
      </w:pPr>
      <w:r>
        <w:rPr>
          <w:sz w:val="36"/>
          <w:szCs w:val="36"/>
        </w:rPr>
        <w:t xml:space="preserve">Draft </w:t>
      </w:r>
      <w:r w:rsidRPr="00084158">
        <w:rPr>
          <w:sz w:val="36"/>
          <w:szCs w:val="36"/>
        </w:rPr>
        <w:t>Determination 2014-2019</w:t>
      </w:r>
    </w:p>
    <w:p w:rsidR="00D53545" w:rsidRDefault="00D53545" w:rsidP="00D53545">
      <w:pPr>
        <w:spacing w:before="0"/>
        <w:contextualSpacing w:val="0"/>
        <w:jc w:val="center"/>
        <w:rPr>
          <w:sz w:val="36"/>
          <w:szCs w:val="36"/>
        </w:rPr>
      </w:pPr>
    </w:p>
    <w:p w:rsidR="00D53545" w:rsidRDefault="00D53545" w:rsidP="00D53545">
      <w:pPr>
        <w:spacing w:before="0"/>
        <w:contextualSpacing w:val="0"/>
        <w:jc w:val="center"/>
        <w:rPr>
          <w:sz w:val="36"/>
          <w:szCs w:val="36"/>
        </w:rPr>
      </w:pPr>
    </w:p>
    <w:p w:rsidR="00D53545" w:rsidRDefault="00D53545" w:rsidP="00D53545">
      <w:pPr>
        <w:spacing w:before="0"/>
        <w:contextualSpacing w:val="0"/>
        <w:jc w:val="center"/>
        <w:rPr>
          <w:sz w:val="36"/>
          <w:szCs w:val="36"/>
        </w:rPr>
      </w:pPr>
    </w:p>
    <w:p w:rsidR="00D53545" w:rsidRDefault="00084158" w:rsidP="00D53545">
      <w:pPr>
        <w:spacing w:before="0"/>
        <w:contextualSpacing w:val="0"/>
        <w:jc w:val="center"/>
        <w:rPr>
          <w:sz w:val="36"/>
          <w:szCs w:val="36"/>
        </w:rPr>
      </w:pPr>
      <w:r>
        <w:rPr>
          <w:sz w:val="36"/>
          <w:szCs w:val="36"/>
        </w:rPr>
        <w:t>February</w:t>
      </w:r>
      <w:r w:rsidR="00D53545">
        <w:rPr>
          <w:sz w:val="36"/>
          <w:szCs w:val="36"/>
        </w:rPr>
        <w:t xml:space="preserve"> 2015</w:t>
      </w:r>
    </w:p>
    <w:p w:rsidR="00D53545" w:rsidRDefault="00D53545" w:rsidP="00D53545">
      <w:pPr>
        <w:spacing w:before="0"/>
        <w:contextualSpacing w:val="0"/>
        <w:jc w:val="center"/>
        <w:rPr>
          <w:rFonts w:eastAsia="Calibri" w:cs="Arial"/>
          <w:b/>
          <w:szCs w:val="24"/>
        </w:rPr>
      </w:pPr>
    </w:p>
    <w:p w:rsidR="006516ED" w:rsidRDefault="006516ED">
      <w:pPr>
        <w:spacing w:before="0"/>
        <w:contextualSpacing w:val="0"/>
        <w:rPr>
          <w:rFonts w:eastAsia="Calibri" w:cs="Arial"/>
          <w:b/>
          <w:szCs w:val="24"/>
        </w:rPr>
      </w:pPr>
      <w:r>
        <w:rPr>
          <w:rFonts w:eastAsia="Calibri" w:cs="Arial"/>
          <w:b/>
          <w:szCs w:val="24"/>
        </w:rPr>
        <w:br w:type="page"/>
      </w:r>
    </w:p>
    <w:p w:rsidR="00D53545" w:rsidRPr="00BE7862" w:rsidRDefault="00D53545" w:rsidP="00084158">
      <w:pPr>
        <w:spacing w:line="360" w:lineRule="auto"/>
        <w:ind w:left="426"/>
        <w:outlineLvl w:val="0"/>
        <w:rPr>
          <w:rFonts w:cs="Arial"/>
          <w:szCs w:val="24"/>
        </w:rPr>
      </w:pPr>
      <w:r w:rsidRPr="00BE7862">
        <w:rPr>
          <w:rFonts w:cs="Arial"/>
          <w:szCs w:val="24"/>
        </w:rPr>
        <w:lastRenderedPageBreak/>
        <w:t xml:space="preserve">Thank you for the opportunity for the Electrical Trades Union of Australia (ETU) to provide comments to the Australian Energy Regulator (AER) on </w:t>
      </w:r>
      <w:r w:rsidR="00084158">
        <w:rPr>
          <w:rFonts w:cs="Arial"/>
          <w:szCs w:val="24"/>
        </w:rPr>
        <w:t xml:space="preserve">the </w:t>
      </w:r>
      <w:r w:rsidR="00084158" w:rsidRPr="00084158">
        <w:rPr>
          <w:rFonts w:cs="Arial"/>
          <w:szCs w:val="24"/>
        </w:rPr>
        <w:t>TasNetworks (</w:t>
      </w:r>
      <w:proofErr w:type="spellStart"/>
      <w:r w:rsidR="00084158" w:rsidRPr="00084158">
        <w:rPr>
          <w:rFonts w:cs="Arial"/>
          <w:szCs w:val="24"/>
        </w:rPr>
        <w:t>Transend</w:t>
      </w:r>
      <w:proofErr w:type="spellEnd"/>
      <w:r w:rsidR="00084158" w:rsidRPr="00084158">
        <w:rPr>
          <w:rFonts w:cs="Arial"/>
          <w:szCs w:val="24"/>
        </w:rPr>
        <w:t>) Draft Determination 2014-2019</w:t>
      </w:r>
      <w:r w:rsidR="00084158">
        <w:rPr>
          <w:rFonts w:cs="Arial"/>
          <w:szCs w:val="24"/>
        </w:rPr>
        <w:t>.</w:t>
      </w:r>
    </w:p>
    <w:p w:rsidR="00D53545" w:rsidRPr="00BE7862" w:rsidRDefault="00D53545" w:rsidP="00D53545">
      <w:pPr>
        <w:spacing w:line="360" w:lineRule="auto"/>
        <w:ind w:left="426"/>
        <w:outlineLvl w:val="0"/>
        <w:rPr>
          <w:rFonts w:cs="Arial"/>
          <w:szCs w:val="24"/>
        </w:rPr>
      </w:pPr>
    </w:p>
    <w:p w:rsidR="00D53545" w:rsidRDefault="006516ED" w:rsidP="00D53545">
      <w:pPr>
        <w:spacing w:line="360" w:lineRule="auto"/>
        <w:ind w:left="426"/>
        <w:outlineLvl w:val="0"/>
        <w:rPr>
          <w:rFonts w:cs="Arial"/>
          <w:szCs w:val="24"/>
        </w:rPr>
      </w:pPr>
      <w:r>
        <w:rPr>
          <w:rFonts w:cs="Arial"/>
          <w:szCs w:val="24"/>
        </w:rPr>
        <w:t xml:space="preserve">The </w:t>
      </w:r>
      <w:r w:rsidR="00D53545" w:rsidRPr="00BE7862">
        <w:rPr>
          <w:rFonts w:cs="Arial"/>
          <w:szCs w:val="24"/>
        </w:rPr>
        <w:t>ETU is the Electrical, Energy and Services Division of the Communications, Electrical, Electronic, Energy, Information, Postal, Plumbing and Allied Services Union of Australia (CEPU). The ETU represents approximately 65,000 electrical and electronic workers across the country and the CEPU as a whole represents approximately 100,000 workers nationally, making us one of the largest trade unions in Australia.</w:t>
      </w:r>
    </w:p>
    <w:p w:rsidR="00084158" w:rsidRDefault="00084158" w:rsidP="00D53545">
      <w:pPr>
        <w:spacing w:line="360" w:lineRule="auto"/>
        <w:ind w:left="426"/>
        <w:outlineLvl w:val="0"/>
        <w:rPr>
          <w:rFonts w:cs="Arial"/>
          <w:szCs w:val="24"/>
        </w:rPr>
      </w:pPr>
    </w:p>
    <w:p w:rsidR="00084158" w:rsidRDefault="00084158" w:rsidP="00084158">
      <w:pPr>
        <w:spacing w:line="360" w:lineRule="auto"/>
        <w:ind w:left="426"/>
        <w:outlineLvl w:val="0"/>
        <w:rPr>
          <w:rFonts w:cs="Arial"/>
          <w:szCs w:val="24"/>
        </w:rPr>
      </w:pPr>
      <w:r w:rsidRPr="00084158">
        <w:rPr>
          <w:rFonts w:cs="Arial"/>
          <w:szCs w:val="24"/>
        </w:rPr>
        <w:t xml:space="preserve">The key issue for ETU and all energy consumers is the ultimate cost of transmission and its’ impact on small to large businesses and individual energy consumers. Since 2008, charges associated with transmission services have increased approximately 200% over the last 5 years. In considering the Revenue Proposal set forward by TasNetworks, the AER should take into account the extent to which it achieves the national electricity objective. This includes promoting efficient investment in electricity services for the long term interests of electricity consumers in relation to price, quality, reliability and safety. ETU believes that the AER should set the minimum only for recoveries and pass the benefits to energy consumers in the form of lower delivered electricity pricing. The Tasmanian economy cannot afford a further increases, particularly given the last 5 years of substantial expenditure which has transpired through a period of declining demand and reliability. </w:t>
      </w:r>
    </w:p>
    <w:p w:rsidR="00084158" w:rsidRDefault="00084158" w:rsidP="00084158">
      <w:pPr>
        <w:spacing w:line="360" w:lineRule="auto"/>
        <w:ind w:left="426"/>
        <w:outlineLvl w:val="0"/>
        <w:rPr>
          <w:rFonts w:cs="Arial"/>
          <w:szCs w:val="24"/>
        </w:rPr>
      </w:pPr>
    </w:p>
    <w:p w:rsidR="00084158" w:rsidRPr="00084158" w:rsidRDefault="00084158" w:rsidP="00084158">
      <w:pPr>
        <w:spacing w:line="360" w:lineRule="auto"/>
        <w:ind w:left="426"/>
        <w:outlineLvl w:val="0"/>
        <w:rPr>
          <w:rFonts w:cs="Arial"/>
          <w:szCs w:val="24"/>
        </w:rPr>
      </w:pPr>
      <w:r w:rsidRPr="00084158">
        <w:rPr>
          <w:rFonts w:cs="Arial"/>
          <w:szCs w:val="24"/>
        </w:rPr>
        <w:t xml:space="preserve">Disproportionate transmission charges, resulting from poor planning and excessive expenditure, threatens large and small businesses to continue </w:t>
      </w:r>
      <w:r w:rsidRPr="00084158">
        <w:rPr>
          <w:rFonts w:cs="Arial"/>
          <w:szCs w:val="24"/>
        </w:rPr>
        <w:lastRenderedPageBreak/>
        <w:t xml:space="preserve">competitively in the global market. </w:t>
      </w:r>
      <w:proofErr w:type="spellStart"/>
      <w:r w:rsidRPr="00084158">
        <w:rPr>
          <w:rFonts w:cs="Arial"/>
          <w:szCs w:val="24"/>
        </w:rPr>
        <w:t>TasNetwork</w:t>
      </w:r>
      <w:proofErr w:type="spellEnd"/>
      <w:r w:rsidRPr="00084158">
        <w:rPr>
          <w:rFonts w:cs="Arial"/>
          <w:szCs w:val="24"/>
        </w:rPr>
        <w:t xml:space="preserve"> is accountable for operating and managing the transmission system in a manner that is both practical and proficient. In light of this, ETU urges the AER to rigorously re-assess TasNetworks proposal, ensuring lowest cost Transmission services result in Tasmania.</w:t>
      </w:r>
    </w:p>
    <w:p w:rsidR="00084158" w:rsidRPr="00084158" w:rsidRDefault="00084158" w:rsidP="00084158">
      <w:pPr>
        <w:spacing w:line="360" w:lineRule="auto"/>
        <w:ind w:left="426"/>
        <w:outlineLvl w:val="0"/>
        <w:rPr>
          <w:rFonts w:cs="Arial"/>
          <w:szCs w:val="24"/>
        </w:rPr>
      </w:pPr>
    </w:p>
    <w:p w:rsidR="00D53545" w:rsidRDefault="00D53545" w:rsidP="00D53545">
      <w:pPr>
        <w:spacing w:line="360" w:lineRule="auto"/>
        <w:ind w:left="426"/>
        <w:outlineLvl w:val="0"/>
        <w:rPr>
          <w:rFonts w:cs="Arial"/>
          <w:szCs w:val="24"/>
        </w:rPr>
      </w:pPr>
      <w:r w:rsidRPr="00BE7862">
        <w:rPr>
          <w:rFonts w:cs="Arial"/>
          <w:szCs w:val="24"/>
        </w:rPr>
        <w:t>Access to affordable, sustainable energy is a cornerstone of today’s modern way of living; however, we have seen the cost of electricity increasing unceasingly, posing significant financial burdens on private consumers and businesses. It is vital that electricity is correctly and fairly priced whilst maintaining a secure supply through robust networks. We believe these aims are not mutually exclusive.</w:t>
      </w:r>
    </w:p>
    <w:p w:rsidR="00D53545" w:rsidRDefault="00D53545" w:rsidP="00D53545">
      <w:pPr>
        <w:spacing w:line="360" w:lineRule="auto"/>
        <w:ind w:left="426"/>
        <w:outlineLvl w:val="0"/>
        <w:rPr>
          <w:rFonts w:cs="Arial"/>
          <w:szCs w:val="24"/>
        </w:rPr>
      </w:pPr>
    </w:p>
    <w:p w:rsidR="00D53545" w:rsidRPr="00BE7862" w:rsidRDefault="00D53545" w:rsidP="00D53545">
      <w:pPr>
        <w:spacing w:line="360" w:lineRule="auto"/>
        <w:ind w:left="426"/>
        <w:outlineLvl w:val="0"/>
        <w:rPr>
          <w:rFonts w:cs="Arial"/>
          <w:szCs w:val="24"/>
        </w:rPr>
      </w:pPr>
      <w:r>
        <w:rPr>
          <w:rFonts w:cs="Arial"/>
          <w:szCs w:val="24"/>
        </w:rPr>
        <w:t>O</w:t>
      </w:r>
      <w:r w:rsidRPr="00BE7862">
        <w:rPr>
          <w:rFonts w:cs="Arial"/>
          <w:szCs w:val="24"/>
        </w:rPr>
        <w:t xml:space="preserve">ver recent years we have seen electricity prices increase by large, unsustainable amounts to the point where it has become the most significant cost of living expenses for private consumers, and one of the largest ongoing expenses for businesses. The hyper-inflation of electricity prices has sparked significant regulatory and policy reform as regulators and governments have reacted. </w:t>
      </w:r>
    </w:p>
    <w:p w:rsidR="00D53545" w:rsidRPr="00BE7862" w:rsidRDefault="00D53545" w:rsidP="00D53545">
      <w:pPr>
        <w:spacing w:line="360" w:lineRule="auto"/>
        <w:ind w:left="426"/>
        <w:outlineLvl w:val="0"/>
        <w:rPr>
          <w:rFonts w:cs="Arial"/>
          <w:szCs w:val="24"/>
        </w:rPr>
      </w:pPr>
    </w:p>
    <w:p w:rsidR="00D53545" w:rsidRPr="00BE7862" w:rsidRDefault="00D53545" w:rsidP="00D53545">
      <w:pPr>
        <w:spacing w:line="360" w:lineRule="auto"/>
        <w:ind w:left="426"/>
        <w:outlineLvl w:val="0"/>
        <w:rPr>
          <w:rFonts w:cs="Arial"/>
          <w:szCs w:val="24"/>
        </w:rPr>
      </w:pPr>
      <w:r w:rsidRPr="00BE7862">
        <w:rPr>
          <w:rFonts w:cs="Arial"/>
          <w:szCs w:val="24"/>
        </w:rPr>
        <w:t>While prices have sky-rocketed, transmission and distribution network companies have enjoyed huge inc</w:t>
      </w:r>
      <w:r>
        <w:rPr>
          <w:rFonts w:cs="Arial"/>
          <w:szCs w:val="24"/>
        </w:rPr>
        <w:t>reases to revenues and profits despite the fact that</w:t>
      </w:r>
      <w:r w:rsidRPr="00BE7862">
        <w:rPr>
          <w:rFonts w:cs="Arial"/>
          <w:szCs w:val="24"/>
        </w:rPr>
        <w:t xml:space="preserve"> the National Electricity Market and the energy sector are one of the most heavily regulated industries in the country</w:t>
      </w:r>
      <w:r>
        <w:rPr>
          <w:rFonts w:cs="Arial"/>
          <w:szCs w:val="24"/>
        </w:rPr>
        <w:t>.</w:t>
      </w:r>
      <w:r w:rsidRPr="00BE7862">
        <w:rPr>
          <w:rFonts w:cs="Arial"/>
          <w:szCs w:val="24"/>
        </w:rPr>
        <w:t xml:space="preserve"> </w:t>
      </w:r>
    </w:p>
    <w:p w:rsidR="00D53545" w:rsidRPr="00BE7862" w:rsidRDefault="00D53545" w:rsidP="00D53545">
      <w:pPr>
        <w:spacing w:line="360" w:lineRule="auto"/>
        <w:ind w:left="426"/>
        <w:outlineLvl w:val="0"/>
        <w:rPr>
          <w:rFonts w:cs="Arial"/>
          <w:szCs w:val="24"/>
        </w:rPr>
      </w:pPr>
    </w:p>
    <w:p w:rsidR="00D53545" w:rsidRPr="00BE7862" w:rsidRDefault="00D53545" w:rsidP="00D53545">
      <w:pPr>
        <w:spacing w:line="360" w:lineRule="auto"/>
        <w:ind w:left="426"/>
        <w:outlineLvl w:val="0"/>
        <w:rPr>
          <w:rFonts w:cs="Arial"/>
          <w:szCs w:val="24"/>
        </w:rPr>
      </w:pPr>
      <w:r w:rsidRPr="00BE7862">
        <w:rPr>
          <w:rFonts w:cs="Arial"/>
          <w:szCs w:val="24"/>
        </w:rPr>
        <w:t xml:space="preserve">The biggest contributor, in our view, to high electricity prices has been the ineffective regulatory environment within the NEM that has resulted in network </w:t>
      </w:r>
      <w:r w:rsidRPr="00BE7862">
        <w:rPr>
          <w:rFonts w:cs="Arial"/>
          <w:szCs w:val="24"/>
        </w:rPr>
        <w:lastRenderedPageBreak/>
        <w:t xml:space="preserve">businesses being able to consistently achieve profits that are far in excess of those allowed for in AER determinations.  </w:t>
      </w:r>
    </w:p>
    <w:p w:rsidR="00D53545" w:rsidRPr="00BE7862" w:rsidRDefault="00D53545" w:rsidP="00D53545">
      <w:pPr>
        <w:spacing w:line="360" w:lineRule="auto"/>
        <w:ind w:left="426"/>
        <w:outlineLvl w:val="0"/>
        <w:rPr>
          <w:rFonts w:cs="Arial"/>
          <w:szCs w:val="24"/>
        </w:rPr>
      </w:pPr>
    </w:p>
    <w:p w:rsidR="00D53545" w:rsidRPr="00BE7862" w:rsidRDefault="00D53545" w:rsidP="00D53545">
      <w:pPr>
        <w:spacing w:line="360" w:lineRule="auto"/>
        <w:ind w:left="426"/>
        <w:outlineLvl w:val="0"/>
        <w:rPr>
          <w:rFonts w:cs="Arial"/>
          <w:szCs w:val="24"/>
        </w:rPr>
      </w:pPr>
      <w:r w:rsidRPr="00BE7862">
        <w:rPr>
          <w:rFonts w:cs="Arial"/>
          <w:szCs w:val="24"/>
        </w:rPr>
        <w:t>Linked to that is the role that forecast modelling by agencies such as the AER, AEMO and AEMC play in decisions of network businesses, generators and new entrants.</w:t>
      </w:r>
      <w:r>
        <w:rPr>
          <w:rFonts w:cs="Arial"/>
          <w:szCs w:val="24"/>
        </w:rPr>
        <w:t xml:space="preserve"> </w:t>
      </w:r>
      <w:r w:rsidRPr="00BE7862">
        <w:rPr>
          <w:rFonts w:cs="Arial"/>
          <w:szCs w:val="24"/>
        </w:rPr>
        <w:t xml:space="preserve">The current oversupply of electricity, along with perceived over investment in networks can be linked back to demand projections from NEM governance bodies that were wildly inaccurate. Coupled with a regulatory environment that did allow for appropriate adjustments, it has contributed significantly to the price outcome problems that are currently besetting energy regulators and governments. </w:t>
      </w:r>
    </w:p>
    <w:p w:rsidR="00D53545" w:rsidRDefault="00D53545" w:rsidP="00D53545">
      <w:pPr>
        <w:spacing w:line="360" w:lineRule="auto"/>
        <w:ind w:left="426"/>
        <w:outlineLvl w:val="0"/>
        <w:rPr>
          <w:rFonts w:cs="Arial"/>
          <w:szCs w:val="24"/>
        </w:rPr>
      </w:pPr>
    </w:p>
    <w:p w:rsidR="00D53545" w:rsidRDefault="00D53545" w:rsidP="00D53545">
      <w:pPr>
        <w:spacing w:line="360" w:lineRule="auto"/>
        <w:ind w:left="426"/>
        <w:outlineLvl w:val="0"/>
        <w:rPr>
          <w:rFonts w:cs="Arial"/>
          <w:szCs w:val="24"/>
        </w:rPr>
      </w:pPr>
      <w:r w:rsidRPr="00BE7862">
        <w:rPr>
          <w:rFonts w:cs="Arial"/>
          <w:szCs w:val="24"/>
        </w:rPr>
        <w:t xml:space="preserve">While it is not possible to accurately predict the future, important data such as demand projections should not be totally wrong, and there needs to be sufficient flexibility in the regulatory process to allow adjustments that protect consumers from having to foot the bill of bad investment decisions via bloated AER determinations. </w:t>
      </w:r>
    </w:p>
    <w:p w:rsidR="00D53545" w:rsidRDefault="00D53545" w:rsidP="00D53545">
      <w:pPr>
        <w:spacing w:line="360" w:lineRule="auto"/>
        <w:ind w:left="426"/>
        <w:outlineLvl w:val="0"/>
        <w:rPr>
          <w:rFonts w:cs="Arial"/>
          <w:szCs w:val="24"/>
        </w:rPr>
      </w:pPr>
    </w:p>
    <w:p w:rsidR="00D53545" w:rsidRPr="00BE7862" w:rsidRDefault="00D53545" w:rsidP="00D53545">
      <w:pPr>
        <w:spacing w:line="360" w:lineRule="auto"/>
        <w:ind w:left="426"/>
        <w:outlineLvl w:val="0"/>
        <w:rPr>
          <w:rFonts w:cs="Arial"/>
          <w:b/>
          <w:szCs w:val="24"/>
        </w:rPr>
      </w:pPr>
      <w:r w:rsidRPr="00BE7862">
        <w:rPr>
          <w:rFonts w:cs="Arial"/>
          <w:b/>
          <w:szCs w:val="24"/>
        </w:rPr>
        <w:t>Regulated Asset Bases (RAB)</w:t>
      </w:r>
    </w:p>
    <w:p w:rsidR="00D53545" w:rsidRDefault="00D53545" w:rsidP="00D53545">
      <w:pPr>
        <w:spacing w:line="360" w:lineRule="auto"/>
        <w:ind w:left="426"/>
        <w:outlineLvl w:val="0"/>
        <w:rPr>
          <w:rFonts w:cs="Arial"/>
          <w:szCs w:val="24"/>
        </w:rPr>
      </w:pPr>
    </w:p>
    <w:p w:rsidR="00D53545" w:rsidRPr="00BE7862" w:rsidRDefault="00631482" w:rsidP="00D53545">
      <w:pPr>
        <w:spacing w:line="360" w:lineRule="auto"/>
        <w:ind w:left="426"/>
        <w:outlineLvl w:val="0"/>
        <w:rPr>
          <w:rFonts w:cs="Arial"/>
          <w:szCs w:val="24"/>
        </w:rPr>
      </w:pPr>
      <w:r>
        <w:rPr>
          <w:rFonts w:cs="Arial"/>
          <w:szCs w:val="24"/>
        </w:rPr>
        <w:t>I</w:t>
      </w:r>
      <w:r w:rsidR="00D53545" w:rsidRPr="00BE7862">
        <w:rPr>
          <w:rFonts w:cs="Arial"/>
          <w:szCs w:val="24"/>
        </w:rPr>
        <w:t>t has become apparent that electricity demand has declined and has significantly decoupled from economic growth. This has been driven, in part, by consumers reducing their consumption in response to th</w:t>
      </w:r>
      <w:r>
        <w:rPr>
          <w:rFonts w:cs="Arial"/>
          <w:szCs w:val="24"/>
        </w:rPr>
        <w:t xml:space="preserve">e dramatic increases in </w:t>
      </w:r>
      <w:r w:rsidR="00D53545" w:rsidRPr="00BE7862">
        <w:rPr>
          <w:rFonts w:cs="Arial"/>
          <w:szCs w:val="24"/>
        </w:rPr>
        <w:t xml:space="preserve">prices. Furthermore, consumers are finding solar and other self-generating electricity more cost effective which is also a key factor in the decline of energy being delivered by the networks. However, one of the main planning tools for network businesses in considering their future capital </w:t>
      </w:r>
      <w:proofErr w:type="spellStart"/>
      <w:r w:rsidR="00D53545" w:rsidRPr="00BE7862">
        <w:rPr>
          <w:rFonts w:cs="Arial"/>
          <w:szCs w:val="24"/>
        </w:rPr>
        <w:t>works</w:t>
      </w:r>
      <w:proofErr w:type="spellEnd"/>
      <w:r w:rsidR="00D53545" w:rsidRPr="00BE7862">
        <w:rPr>
          <w:rFonts w:cs="Arial"/>
          <w:szCs w:val="24"/>
        </w:rPr>
        <w:t xml:space="preserve"> needs, and indeed, </w:t>
      </w:r>
      <w:r w:rsidR="00D53545" w:rsidRPr="00BE7862">
        <w:rPr>
          <w:rFonts w:cs="Arial"/>
          <w:szCs w:val="24"/>
        </w:rPr>
        <w:lastRenderedPageBreak/>
        <w:t>a main planning tool of regulators, is future demand projections. Any objective analysis of projected demand against actual over the last 5 years shows a large disparity.</w:t>
      </w:r>
    </w:p>
    <w:p w:rsidR="00D53545" w:rsidRPr="00BE7862" w:rsidRDefault="00D53545" w:rsidP="00D53545">
      <w:pPr>
        <w:spacing w:line="360" w:lineRule="auto"/>
        <w:ind w:left="426"/>
        <w:outlineLvl w:val="0"/>
        <w:rPr>
          <w:rFonts w:cs="Arial"/>
          <w:szCs w:val="24"/>
        </w:rPr>
      </w:pPr>
    </w:p>
    <w:p w:rsidR="00D53545" w:rsidRPr="00BE7862" w:rsidRDefault="00D53545" w:rsidP="00D53545">
      <w:pPr>
        <w:spacing w:line="360" w:lineRule="auto"/>
        <w:ind w:left="426"/>
        <w:outlineLvl w:val="0"/>
        <w:rPr>
          <w:rFonts w:cs="Arial"/>
          <w:szCs w:val="24"/>
        </w:rPr>
      </w:pPr>
      <w:r w:rsidRPr="00BE7862">
        <w:rPr>
          <w:rFonts w:cs="Arial"/>
          <w:szCs w:val="24"/>
        </w:rPr>
        <w:t>What precipitates is the “death spiral”.</w:t>
      </w:r>
      <w:r w:rsidR="00A15870" w:rsidRPr="00A15870">
        <w:rPr>
          <w:rFonts w:asciiTheme="minorHAnsi" w:hAnsiTheme="minorHAnsi"/>
          <w:sz w:val="22"/>
          <w:vertAlign w:val="superscript"/>
        </w:rPr>
        <w:t xml:space="preserve"> </w:t>
      </w:r>
      <w:r w:rsidR="00A15870" w:rsidRPr="00A15870">
        <w:rPr>
          <w:rFonts w:asciiTheme="minorHAnsi" w:hAnsiTheme="minorHAnsi"/>
          <w:sz w:val="22"/>
          <w:vertAlign w:val="superscript"/>
        </w:rPr>
        <w:footnoteReference w:id="1"/>
      </w:r>
      <w:r w:rsidR="00A15870" w:rsidRPr="00A15870">
        <w:rPr>
          <w:rFonts w:asciiTheme="minorHAnsi" w:hAnsiTheme="minorHAnsi"/>
          <w:sz w:val="22"/>
        </w:rPr>
        <w:t xml:space="preserve"> </w:t>
      </w:r>
      <w:r w:rsidRPr="00BE7862">
        <w:rPr>
          <w:rFonts w:cs="Arial"/>
          <w:szCs w:val="24"/>
        </w:rPr>
        <w:t xml:space="preserve"> The demand continues to decline and the burden to pay for maintaining the networks will be placed on consumers until consumers can no longer afford to stay connected to the network.  Australian energy consumers are already funding a significant level of “stranded assets”.  The Public Interest Advocacy Centre reported that a realistic value of NSW electricity networks is around $13 billion, rather than its current $22 billion valuation.</w:t>
      </w:r>
    </w:p>
    <w:p w:rsidR="00D53545" w:rsidRPr="00BE7862" w:rsidRDefault="00D53545" w:rsidP="00D53545">
      <w:pPr>
        <w:spacing w:line="360" w:lineRule="auto"/>
        <w:ind w:left="426"/>
        <w:outlineLvl w:val="0"/>
        <w:rPr>
          <w:rFonts w:cs="Arial"/>
          <w:szCs w:val="24"/>
        </w:rPr>
      </w:pPr>
    </w:p>
    <w:p w:rsidR="005B2FB8" w:rsidRDefault="00D53545" w:rsidP="00D53545">
      <w:pPr>
        <w:spacing w:line="360" w:lineRule="auto"/>
        <w:ind w:left="426"/>
        <w:outlineLvl w:val="0"/>
        <w:rPr>
          <w:rFonts w:cs="Arial"/>
          <w:szCs w:val="24"/>
        </w:rPr>
      </w:pPr>
      <w:r w:rsidRPr="00BE7862">
        <w:rPr>
          <w:rFonts w:cs="Arial"/>
          <w:szCs w:val="24"/>
        </w:rPr>
        <w:t>The reality is that the RABs, the valuation of the electricity networks’ past investments, are grossly inflated due to unnecessary and inefficient investments, and a flawed valuation methodology. To address Australia’s unsustainable electricity prices it</w:t>
      </w:r>
      <w:r w:rsidR="005B2FB8">
        <w:rPr>
          <w:rFonts w:cs="Arial"/>
          <w:szCs w:val="24"/>
        </w:rPr>
        <w:t xml:space="preserve"> is imperative that </w:t>
      </w:r>
      <w:r w:rsidRPr="00BE7862">
        <w:rPr>
          <w:rFonts w:cs="Arial"/>
          <w:szCs w:val="24"/>
        </w:rPr>
        <w:t xml:space="preserve">RABs are re-valued to more appropriate levels. </w:t>
      </w:r>
    </w:p>
    <w:p w:rsidR="00D53545" w:rsidRPr="00BE7862" w:rsidRDefault="00D53545" w:rsidP="00AC7326">
      <w:pPr>
        <w:spacing w:line="360" w:lineRule="auto"/>
        <w:outlineLvl w:val="0"/>
        <w:rPr>
          <w:rFonts w:cs="Arial"/>
          <w:szCs w:val="24"/>
        </w:rPr>
      </w:pPr>
    </w:p>
    <w:p w:rsidR="00D53545" w:rsidRPr="005B2FB8" w:rsidRDefault="00D53545" w:rsidP="00D53545">
      <w:pPr>
        <w:spacing w:line="360" w:lineRule="auto"/>
        <w:ind w:left="426"/>
        <w:outlineLvl w:val="0"/>
        <w:rPr>
          <w:rFonts w:cs="Arial"/>
          <w:b/>
          <w:szCs w:val="24"/>
        </w:rPr>
      </w:pPr>
      <w:r w:rsidRPr="005B2FB8">
        <w:rPr>
          <w:rFonts w:cs="Arial"/>
          <w:b/>
          <w:szCs w:val="24"/>
        </w:rPr>
        <w:t>Departure from Guidelines – WACC</w:t>
      </w:r>
    </w:p>
    <w:p w:rsidR="00D53545" w:rsidRDefault="00D53545" w:rsidP="00D53545">
      <w:pPr>
        <w:spacing w:line="360" w:lineRule="auto"/>
        <w:ind w:left="426"/>
        <w:outlineLvl w:val="0"/>
        <w:rPr>
          <w:rFonts w:cs="Arial"/>
          <w:szCs w:val="24"/>
        </w:rPr>
      </w:pPr>
    </w:p>
    <w:p w:rsidR="00D53545" w:rsidRPr="00BE7862" w:rsidRDefault="00D53545" w:rsidP="00D53545">
      <w:pPr>
        <w:spacing w:line="360" w:lineRule="auto"/>
        <w:ind w:left="426"/>
        <w:outlineLvl w:val="0"/>
        <w:rPr>
          <w:rFonts w:cs="Arial"/>
          <w:szCs w:val="24"/>
        </w:rPr>
      </w:pPr>
      <w:r w:rsidRPr="00BE7862">
        <w:rPr>
          <w:rFonts w:cs="Arial"/>
          <w:szCs w:val="24"/>
        </w:rPr>
        <w:t xml:space="preserve">A good estimate of the rate of return is necessary to promote efficient prices in the long term interest of consumers. If the rate of return is set too low, the network business may not be able to attract sufficient funds to be able to make the required investments in the network and reliability may decline. On the flip </w:t>
      </w:r>
      <w:r w:rsidRPr="00BE7862">
        <w:rPr>
          <w:rFonts w:cs="Arial"/>
          <w:szCs w:val="24"/>
        </w:rPr>
        <w:lastRenderedPageBreak/>
        <w:t>side, if the rate of return is set too high, the network business may seek to spend too much and consumers will pay inefficiently high prices.</w:t>
      </w:r>
    </w:p>
    <w:p w:rsidR="005B2FB8" w:rsidRDefault="005B2FB8" w:rsidP="00D53545">
      <w:pPr>
        <w:spacing w:line="360" w:lineRule="auto"/>
        <w:ind w:left="426"/>
        <w:outlineLvl w:val="0"/>
        <w:rPr>
          <w:rFonts w:cs="Arial"/>
          <w:szCs w:val="24"/>
        </w:rPr>
      </w:pPr>
    </w:p>
    <w:p w:rsidR="00D53545" w:rsidRPr="00BE7862" w:rsidRDefault="00D53545" w:rsidP="00D53545">
      <w:pPr>
        <w:spacing w:line="360" w:lineRule="auto"/>
        <w:ind w:left="426"/>
        <w:outlineLvl w:val="0"/>
        <w:rPr>
          <w:rFonts w:cs="Arial"/>
          <w:szCs w:val="24"/>
        </w:rPr>
      </w:pPr>
      <w:r w:rsidRPr="00BE7862">
        <w:rPr>
          <w:rFonts w:cs="Arial"/>
          <w:szCs w:val="24"/>
        </w:rPr>
        <w:t>The method of calculating the WACC is crucial to producing fair network price determinations that are in the long term interests of consumers. The ETU recommends that the AER review and apply some of the advice and criticisms on approaches to WACC determinations by the AER Consumer Challenge Panel.</w:t>
      </w:r>
      <w:r w:rsidR="00A15870" w:rsidRPr="00A15870">
        <w:rPr>
          <w:rFonts w:asciiTheme="minorHAnsi" w:hAnsiTheme="minorHAnsi"/>
          <w:sz w:val="22"/>
          <w:vertAlign w:val="superscript"/>
        </w:rPr>
        <w:t xml:space="preserve"> </w:t>
      </w:r>
      <w:r w:rsidR="00A15870" w:rsidRPr="00A15870">
        <w:rPr>
          <w:rFonts w:asciiTheme="minorHAnsi" w:hAnsiTheme="minorHAnsi"/>
          <w:sz w:val="22"/>
          <w:vertAlign w:val="superscript"/>
        </w:rPr>
        <w:footnoteReference w:id="2"/>
      </w:r>
      <w:r w:rsidR="00A15870" w:rsidRPr="00A15870">
        <w:rPr>
          <w:rFonts w:asciiTheme="minorHAnsi" w:hAnsiTheme="minorHAnsi"/>
          <w:sz w:val="22"/>
        </w:rPr>
        <w:t xml:space="preserve"> </w:t>
      </w:r>
      <w:r w:rsidRPr="00BE7862">
        <w:rPr>
          <w:rFonts w:cs="Arial"/>
          <w:szCs w:val="24"/>
        </w:rPr>
        <w:t xml:space="preserve">  </w:t>
      </w:r>
    </w:p>
    <w:p w:rsidR="005B2FB8" w:rsidRDefault="005B2FB8" w:rsidP="00D53545">
      <w:pPr>
        <w:spacing w:line="360" w:lineRule="auto"/>
        <w:ind w:left="426"/>
        <w:outlineLvl w:val="0"/>
        <w:rPr>
          <w:rFonts w:cs="Arial"/>
          <w:szCs w:val="24"/>
        </w:rPr>
      </w:pPr>
    </w:p>
    <w:p w:rsidR="00D53545" w:rsidRPr="00BE7862" w:rsidRDefault="00D53545" w:rsidP="00D53545">
      <w:pPr>
        <w:spacing w:line="360" w:lineRule="auto"/>
        <w:ind w:left="426"/>
        <w:outlineLvl w:val="0"/>
        <w:rPr>
          <w:rFonts w:cs="Arial"/>
          <w:szCs w:val="24"/>
        </w:rPr>
      </w:pPr>
      <w:r w:rsidRPr="00BE7862">
        <w:rPr>
          <w:rFonts w:cs="Arial"/>
          <w:szCs w:val="24"/>
        </w:rPr>
        <w:t xml:space="preserve">We submit that it is critical that outcomes under the AER’s Rate of Return Guideline are compared with the reality of financing low-risk businesses such as regulated monopolies with guaranteed revenues.  ETU believes that conservative application of Rate of Return Guidelines leads the AER to build conservative assumptions about the constituent components upon one another. This results in a final WACC that is higher than what is likely to be the actual cost faced by the networks. </w:t>
      </w:r>
    </w:p>
    <w:p w:rsidR="00D53545" w:rsidRDefault="00D53545" w:rsidP="00D53545">
      <w:pPr>
        <w:spacing w:line="360" w:lineRule="auto"/>
        <w:ind w:left="426"/>
        <w:outlineLvl w:val="0"/>
        <w:rPr>
          <w:rFonts w:cs="Arial"/>
          <w:szCs w:val="24"/>
        </w:rPr>
      </w:pPr>
    </w:p>
    <w:p w:rsidR="00D53545" w:rsidRPr="00BE7862" w:rsidRDefault="005B2FB8" w:rsidP="00D53545">
      <w:pPr>
        <w:spacing w:line="360" w:lineRule="auto"/>
        <w:ind w:left="426"/>
        <w:outlineLvl w:val="0"/>
        <w:rPr>
          <w:rFonts w:cs="Arial"/>
          <w:szCs w:val="24"/>
        </w:rPr>
      </w:pPr>
      <w:r>
        <w:rPr>
          <w:rFonts w:cs="Arial"/>
          <w:szCs w:val="24"/>
        </w:rPr>
        <w:t>The ETU believes that the trade-</w:t>
      </w:r>
      <w:r w:rsidR="00D53545" w:rsidRPr="00BE7862">
        <w:rPr>
          <w:rFonts w:cs="Arial"/>
          <w:szCs w:val="24"/>
        </w:rPr>
        <w:t xml:space="preserve">off between flexibility and uncertainty in the WACC should be further assessed, particularly within the context of comparable risk in the private sector. Where the interest rates fall, networks are able to refinance their borrowing to a lower-cost option. However, consumers/customers have been unable to reap the benefit through lower prices. </w:t>
      </w:r>
    </w:p>
    <w:p w:rsidR="00631482" w:rsidRDefault="00631482" w:rsidP="00D53545">
      <w:pPr>
        <w:spacing w:line="360" w:lineRule="auto"/>
        <w:ind w:left="426"/>
        <w:outlineLvl w:val="0"/>
        <w:rPr>
          <w:rFonts w:cs="Arial"/>
          <w:szCs w:val="24"/>
        </w:rPr>
      </w:pPr>
    </w:p>
    <w:p w:rsidR="00D53545" w:rsidRDefault="00A15870" w:rsidP="00D53545">
      <w:pPr>
        <w:spacing w:line="360" w:lineRule="auto"/>
        <w:ind w:left="426"/>
        <w:outlineLvl w:val="0"/>
        <w:rPr>
          <w:rFonts w:cs="Arial"/>
          <w:szCs w:val="24"/>
        </w:rPr>
      </w:pPr>
      <w:r>
        <w:rPr>
          <w:rFonts w:cs="Arial"/>
          <w:szCs w:val="24"/>
        </w:rPr>
        <w:lastRenderedPageBreak/>
        <w:t>A</w:t>
      </w:r>
      <w:r w:rsidR="00D53545" w:rsidRPr="00BE7862">
        <w:rPr>
          <w:rFonts w:cs="Arial"/>
          <w:szCs w:val="24"/>
        </w:rPr>
        <w:t xml:space="preserve"> report by the AER Con</w:t>
      </w:r>
      <w:r w:rsidR="005B2FB8">
        <w:rPr>
          <w:rFonts w:cs="Arial"/>
          <w:szCs w:val="24"/>
        </w:rPr>
        <w:t>sumer Challenge Panel (Figure 1</w:t>
      </w:r>
      <w:r w:rsidR="00D53545" w:rsidRPr="00BE7862">
        <w:rPr>
          <w:rFonts w:cs="Arial"/>
          <w:szCs w:val="24"/>
        </w:rPr>
        <w:t>) highlighted how the AER consistently set higher WACC than any other Australian state regulators or ACCC.</w:t>
      </w:r>
    </w:p>
    <w:p w:rsidR="00D53545" w:rsidRDefault="00D53545" w:rsidP="00D53545">
      <w:pPr>
        <w:spacing w:line="360" w:lineRule="auto"/>
        <w:ind w:left="426"/>
        <w:outlineLvl w:val="0"/>
        <w:rPr>
          <w:rFonts w:cs="Arial"/>
          <w:szCs w:val="24"/>
        </w:rPr>
      </w:pPr>
    </w:p>
    <w:p w:rsidR="00D53545" w:rsidRPr="005B2FB8" w:rsidRDefault="005B2FB8" w:rsidP="005B2FB8">
      <w:pPr>
        <w:spacing w:line="360" w:lineRule="auto"/>
        <w:ind w:left="426"/>
        <w:jc w:val="center"/>
        <w:outlineLvl w:val="0"/>
        <w:rPr>
          <w:rFonts w:cs="Arial"/>
          <w:szCs w:val="24"/>
          <w:u w:val="single"/>
        </w:rPr>
      </w:pPr>
      <w:r w:rsidRPr="005B2FB8">
        <w:rPr>
          <w:rFonts w:cs="Arial"/>
          <w:szCs w:val="24"/>
          <w:u w:val="single"/>
        </w:rPr>
        <w:t>Figure 1</w:t>
      </w:r>
      <w:r w:rsidR="00D53545" w:rsidRPr="005B2FB8">
        <w:rPr>
          <w:rFonts w:cs="Arial"/>
          <w:szCs w:val="24"/>
          <w:u w:val="single"/>
        </w:rPr>
        <w:t xml:space="preserve"> Nominal Vanilla WACC less risk free rate</w:t>
      </w:r>
    </w:p>
    <w:p w:rsidR="00D53545" w:rsidRDefault="00D53545" w:rsidP="00D53545">
      <w:pPr>
        <w:spacing w:line="360" w:lineRule="auto"/>
        <w:ind w:left="426"/>
        <w:outlineLvl w:val="0"/>
        <w:rPr>
          <w:rFonts w:cs="Arial"/>
          <w:szCs w:val="24"/>
        </w:rPr>
      </w:pPr>
    </w:p>
    <w:p w:rsidR="00D53545" w:rsidRPr="00BE7862" w:rsidRDefault="00D53545" w:rsidP="00D53545">
      <w:pPr>
        <w:spacing w:line="360" w:lineRule="auto"/>
        <w:ind w:left="426"/>
        <w:outlineLvl w:val="0"/>
        <w:rPr>
          <w:rFonts w:cs="Arial"/>
          <w:szCs w:val="24"/>
        </w:rPr>
      </w:pPr>
      <w:r>
        <w:rPr>
          <w:rFonts w:cs="Arial"/>
          <w:noProof/>
          <w:szCs w:val="24"/>
          <w:lang w:eastAsia="en-AU"/>
        </w:rPr>
        <w:drawing>
          <wp:inline distT="0" distB="0" distL="0" distR="0" wp14:anchorId="4199BA57" wp14:editId="418E700D">
            <wp:extent cx="5736590" cy="37007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6590" cy="3700780"/>
                    </a:xfrm>
                    <a:prstGeom prst="rect">
                      <a:avLst/>
                    </a:prstGeom>
                    <a:noFill/>
                  </pic:spPr>
                </pic:pic>
              </a:graphicData>
            </a:graphic>
          </wp:inline>
        </w:drawing>
      </w:r>
    </w:p>
    <w:p w:rsidR="00D53545" w:rsidRPr="00A15870" w:rsidRDefault="00A15870" w:rsidP="00A15870">
      <w:pPr>
        <w:spacing w:line="360" w:lineRule="auto"/>
        <w:ind w:left="426"/>
        <w:jc w:val="center"/>
        <w:outlineLvl w:val="0"/>
        <w:rPr>
          <w:rFonts w:cs="Arial"/>
          <w:sz w:val="20"/>
          <w:szCs w:val="20"/>
        </w:rPr>
      </w:pPr>
      <w:r w:rsidRPr="00A15870">
        <w:rPr>
          <w:rFonts w:cs="Arial"/>
          <w:sz w:val="20"/>
          <w:szCs w:val="20"/>
        </w:rPr>
        <w:t>(Source – AER Consumer Challenge Panel)</w:t>
      </w:r>
    </w:p>
    <w:p w:rsidR="00D53545" w:rsidRDefault="00D53545" w:rsidP="00D53545">
      <w:pPr>
        <w:spacing w:line="360" w:lineRule="auto"/>
        <w:ind w:left="426"/>
        <w:outlineLvl w:val="0"/>
        <w:rPr>
          <w:rFonts w:cs="Arial"/>
          <w:szCs w:val="24"/>
        </w:rPr>
      </w:pPr>
    </w:p>
    <w:p w:rsidR="00D53545" w:rsidRPr="00BE7862" w:rsidRDefault="00D53545" w:rsidP="00D53545">
      <w:pPr>
        <w:spacing w:line="360" w:lineRule="auto"/>
        <w:ind w:left="426"/>
        <w:outlineLvl w:val="0"/>
        <w:rPr>
          <w:rFonts w:cs="Arial"/>
          <w:szCs w:val="24"/>
        </w:rPr>
      </w:pPr>
      <w:r w:rsidRPr="00BE7862">
        <w:rPr>
          <w:rFonts w:cs="Arial"/>
          <w:szCs w:val="24"/>
        </w:rPr>
        <w:t>It is essential that the AER should have regard to actual market and comparative regulatory information in exercising its discretion when determining the regulatory WACC. However, it is quintessential for the AER to carry out extensive and deep investigation into Energex</w:t>
      </w:r>
      <w:r>
        <w:rPr>
          <w:rFonts w:cs="Arial"/>
          <w:szCs w:val="24"/>
        </w:rPr>
        <w:t>’s</w:t>
      </w:r>
      <w:r w:rsidRPr="00BE7862">
        <w:rPr>
          <w:rFonts w:cs="Arial"/>
          <w:szCs w:val="24"/>
        </w:rPr>
        <w:t xml:space="preserve"> </w:t>
      </w:r>
      <w:r>
        <w:rPr>
          <w:rFonts w:cs="Arial"/>
          <w:szCs w:val="24"/>
        </w:rPr>
        <w:t>proposal</w:t>
      </w:r>
      <w:r w:rsidRPr="00BE7862">
        <w:rPr>
          <w:rFonts w:cs="Arial"/>
          <w:szCs w:val="24"/>
        </w:rPr>
        <w:t xml:space="preserve">. </w:t>
      </w:r>
    </w:p>
    <w:p w:rsidR="00D53545" w:rsidRPr="00BE7862" w:rsidRDefault="00D53545" w:rsidP="00D53545">
      <w:pPr>
        <w:spacing w:line="360" w:lineRule="auto"/>
        <w:ind w:left="426"/>
        <w:outlineLvl w:val="0"/>
        <w:rPr>
          <w:rFonts w:cs="Arial"/>
          <w:szCs w:val="24"/>
        </w:rPr>
      </w:pPr>
    </w:p>
    <w:p w:rsidR="00D53545" w:rsidRPr="00E313C7" w:rsidRDefault="00D53545" w:rsidP="00D53545">
      <w:pPr>
        <w:spacing w:after="0" w:line="360" w:lineRule="auto"/>
        <w:ind w:left="426"/>
        <w:rPr>
          <w:rFonts w:eastAsia="Times New Roman" w:cs="Arial"/>
          <w:szCs w:val="24"/>
          <w:u w:val="single"/>
        </w:rPr>
      </w:pPr>
      <w:r w:rsidRPr="00E313C7">
        <w:rPr>
          <w:rFonts w:eastAsia="Times New Roman" w:cs="Arial"/>
          <w:szCs w:val="24"/>
          <w:u w:val="single"/>
        </w:rPr>
        <w:lastRenderedPageBreak/>
        <w:t>Forecast Data Modelling</w:t>
      </w:r>
    </w:p>
    <w:p w:rsidR="00D53545" w:rsidRDefault="00D53545" w:rsidP="00D53545">
      <w:pPr>
        <w:spacing w:line="360" w:lineRule="auto"/>
        <w:ind w:left="426"/>
        <w:rPr>
          <w:rFonts w:cs="Arial"/>
          <w:szCs w:val="24"/>
        </w:rPr>
      </w:pPr>
    </w:p>
    <w:p w:rsidR="00D53545" w:rsidRPr="00E313C7" w:rsidRDefault="00D53545" w:rsidP="00D53545">
      <w:pPr>
        <w:spacing w:after="0" w:line="360" w:lineRule="auto"/>
        <w:ind w:left="426"/>
        <w:rPr>
          <w:rFonts w:cs="Arial"/>
          <w:szCs w:val="24"/>
        </w:rPr>
      </w:pPr>
      <w:r w:rsidRPr="00E313C7">
        <w:rPr>
          <w:rFonts w:cs="Arial"/>
          <w:szCs w:val="24"/>
        </w:rPr>
        <w:t xml:space="preserve">Much has also been made recently of the oversupply of generation in the National Electricity Market, and while that is certainly a consideration when it comes to the long term security of supply of our generation sector, the latest Bureau of Resources and Energy Economics data confirms that final energy consumption (energy consumed by end-use sectors excluding energy used in conversion activities such as electricity generation) actually rose by 2 per cent in 2012–13. </w:t>
      </w:r>
    </w:p>
    <w:p w:rsidR="00A15870" w:rsidRDefault="00A15870" w:rsidP="00D53545">
      <w:pPr>
        <w:spacing w:after="0" w:line="360" w:lineRule="auto"/>
        <w:ind w:left="426"/>
        <w:rPr>
          <w:rFonts w:cs="Arial"/>
          <w:szCs w:val="24"/>
        </w:rPr>
      </w:pPr>
    </w:p>
    <w:p w:rsidR="00D53545" w:rsidRPr="00E313C7" w:rsidRDefault="00D53545" w:rsidP="00D53545">
      <w:pPr>
        <w:spacing w:after="0" w:line="360" w:lineRule="auto"/>
        <w:ind w:left="426"/>
        <w:rPr>
          <w:rFonts w:cs="Arial"/>
          <w:szCs w:val="24"/>
        </w:rPr>
      </w:pPr>
      <w:r>
        <w:rPr>
          <w:rFonts w:cs="Arial"/>
          <w:szCs w:val="24"/>
        </w:rPr>
        <w:t xml:space="preserve">One </w:t>
      </w:r>
      <w:r w:rsidRPr="00E313C7">
        <w:rPr>
          <w:rFonts w:cs="Arial"/>
          <w:szCs w:val="24"/>
        </w:rPr>
        <w:t xml:space="preserve">reason </w:t>
      </w:r>
      <w:r>
        <w:rPr>
          <w:rFonts w:cs="Arial"/>
          <w:szCs w:val="24"/>
        </w:rPr>
        <w:t xml:space="preserve">there is </w:t>
      </w:r>
      <w:r w:rsidRPr="00E313C7">
        <w:rPr>
          <w:rFonts w:cs="Arial"/>
          <w:szCs w:val="24"/>
        </w:rPr>
        <w:t>an oversupply of generation capacity is a result of the ongoing pendulum effect of swinging between too much generation capacity and too little, because of the reluctance of the free market to commercially invest in new generation until there is a period of projected shortage, at which point the market delivers a glut a new capacity as investors rush to build new capacity, which is the current point in the cycle.</w:t>
      </w:r>
    </w:p>
    <w:p w:rsidR="00D53545" w:rsidRDefault="00D53545" w:rsidP="00D53545">
      <w:pPr>
        <w:spacing w:line="360" w:lineRule="auto"/>
        <w:ind w:left="426"/>
        <w:rPr>
          <w:rFonts w:cs="Arial"/>
          <w:szCs w:val="24"/>
        </w:rPr>
      </w:pPr>
    </w:p>
    <w:p w:rsidR="00D53545" w:rsidRPr="00E313C7" w:rsidRDefault="00D53545" w:rsidP="00D53545">
      <w:pPr>
        <w:spacing w:after="0" w:line="360" w:lineRule="auto"/>
        <w:ind w:left="426"/>
        <w:rPr>
          <w:rFonts w:cs="Arial"/>
          <w:szCs w:val="24"/>
        </w:rPr>
      </w:pPr>
      <w:r w:rsidRPr="00E313C7">
        <w:rPr>
          <w:rFonts w:cs="Arial"/>
          <w:szCs w:val="24"/>
        </w:rPr>
        <w:t>Central to this is the role that forecast modelling by agencies such as the AER, AEMO and AEMC play in decisions of network businesses, generators and new entrants.</w:t>
      </w:r>
    </w:p>
    <w:p w:rsidR="00A15870" w:rsidRDefault="00A15870" w:rsidP="00D53545">
      <w:pPr>
        <w:spacing w:after="0" w:line="360" w:lineRule="auto"/>
        <w:ind w:left="426"/>
        <w:rPr>
          <w:rFonts w:cs="Arial"/>
          <w:szCs w:val="24"/>
        </w:rPr>
      </w:pPr>
    </w:p>
    <w:p w:rsidR="00D53545" w:rsidRPr="00E313C7" w:rsidRDefault="00D53545" w:rsidP="00D53545">
      <w:pPr>
        <w:spacing w:after="0" w:line="360" w:lineRule="auto"/>
        <w:ind w:left="426"/>
        <w:rPr>
          <w:rFonts w:cs="Arial"/>
          <w:szCs w:val="24"/>
        </w:rPr>
      </w:pPr>
      <w:r w:rsidRPr="00E313C7">
        <w:rPr>
          <w:rFonts w:cs="Arial"/>
          <w:szCs w:val="24"/>
        </w:rPr>
        <w:t xml:space="preserve">The current oversupply of electricity, along with perceived over investment in networks can be linked back to demand projections from NEM governance bodies that were wildly inaccurate. Coupled with a regulatory environment that did allow for appropriate adjustments, it has contributed significantly to the problems that are currently besetting energy regulators and governments. </w:t>
      </w:r>
    </w:p>
    <w:p w:rsidR="00D53545" w:rsidRDefault="00D53545" w:rsidP="00D53545">
      <w:pPr>
        <w:spacing w:line="360" w:lineRule="auto"/>
        <w:ind w:left="426"/>
        <w:rPr>
          <w:rFonts w:cs="Arial"/>
          <w:szCs w:val="24"/>
        </w:rPr>
      </w:pPr>
    </w:p>
    <w:p w:rsidR="00D53545" w:rsidRDefault="00D53545" w:rsidP="00D53545">
      <w:pPr>
        <w:spacing w:line="360" w:lineRule="auto"/>
        <w:ind w:left="426"/>
        <w:rPr>
          <w:rFonts w:cs="Arial"/>
          <w:szCs w:val="24"/>
        </w:rPr>
      </w:pPr>
      <w:r w:rsidRPr="00E313C7">
        <w:rPr>
          <w:rFonts w:cs="Arial"/>
          <w:szCs w:val="24"/>
        </w:rPr>
        <w:lastRenderedPageBreak/>
        <w:t>Compare the data in the tables below, taken from the Australian Energy Market Operator (AEMO) Electricity Statement of Opportunity 2010 and 2014 respectively.</w:t>
      </w:r>
    </w:p>
    <w:p w:rsidR="00D53545" w:rsidRDefault="00D53545" w:rsidP="00D53545">
      <w:pPr>
        <w:spacing w:line="360" w:lineRule="auto"/>
        <w:ind w:left="426"/>
        <w:rPr>
          <w:rFonts w:cs="Arial"/>
          <w:szCs w:val="24"/>
        </w:rPr>
      </w:pPr>
    </w:p>
    <w:p w:rsidR="00D53545" w:rsidRPr="00E313C7" w:rsidRDefault="005B2FB8" w:rsidP="00D53545">
      <w:pPr>
        <w:spacing w:after="200" w:line="360" w:lineRule="auto"/>
        <w:jc w:val="center"/>
        <w:rPr>
          <w:rFonts w:eastAsia="Calibri" w:cs="Arial"/>
          <w:szCs w:val="24"/>
          <w:u w:val="single"/>
        </w:rPr>
      </w:pPr>
      <w:r>
        <w:rPr>
          <w:rFonts w:eastAsia="Calibri" w:cs="Arial"/>
          <w:szCs w:val="24"/>
          <w:u w:val="single"/>
        </w:rPr>
        <w:t xml:space="preserve">Figure 2 </w:t>
      </w:r>
      <w:r w:rsidR="00D53545" w:rsidRPr="00E313C7">
        <w:rPr>
          <w:rFonts w:eastAsia="Calibri" w:cs="Arial"/>
          <w:szCs w:val="24"/>
          <w:u w:val="single"/>
        </w:rPr>
        <w:t>– 2010 ESOO NEM Projections</w:t>
      </w:r>
    </w:p>
    <w:p w:rsidR="00D53545" w:rsidRDefault="00D53545" w:rsidP="00D53545">
      <w:pPr>
        <w:spacing w:line="360" w:lineRule="auto"/>
        <w:ind w:left="426"/>
        <w:rPr>
          <w:rFonts w:cs="Arial"/>
          <w:szCs w:val="24"/>
        </w:rPr>
      </w:pPr>
    </w:p>
    <w:p w:rsidR="00D53545" w:rsidRDefault="00D53545" w:rsidP="00D53545">
      <w:pPr>
        <w:spacing w:line="360" w:lineRule="auto"/>
        <w:ind w:left="426"/>
        <w:rPr>
          <w:rFonts w:cs="Arial"/>
          <w:szCs w:val="24"/>
        </w:rPr>
      </w:pPr>
      <w:r w:rsidRPr="00780509">
        <w:rPr>
          <w:rFonts w:cs="Arial"/>
          <w:noProof/>
          <w:szCs w:val="24"/>
          <w:lang w:eastAsia="en-AU"/>
        </w:rPr>
        <w:drawing>
          <wp:inline distT="0" distB="0" distL="0" distR="0" wp14:anchorId="106D7167" wp14:editId="51A42541">
            <wp:extent cx="5731310" cy="4781550"/>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31310" cy="4781550"/>
                    </a:xfrm>
                    <a:prstGeom prst="rect">
                      <a:avLst/>
                    </a:prstGeom>
                    <a:noFill/>
                    <a:ln>
                      <a:noFill/>
                    </a:ln>
                  </pic:spPr>
                </pic:pic>
              </a:graphicData>
            </a:graphic>
          </wp:inline>
        </w:drawing>
      </w:r>
    </w:p>
    <w:p w:rsidR="00D53545" w:rsidRPr="005B2FB8" w:rsidRDefault="00D53545" w:rsidP="005B2FB8">
      <w:pPr>
        <w:spacing w:line="360" w:lineRule="auto"/>
        <w:ind w:left="426"/>
        <w:jc w:val="center"/>
        <w:rPr>
          <w:rFonts w:cs="Arial"/>
          <w:sz w:val="20"/>
          <w:szCs w:val="20"/>
        </w:rPr>
      </w:pPr>
      <w:r w:rsidRPr="005B2FB8">
        <w:rPr>
          <w:rFonts w:cs="Arial"/>
          <w:sz w:val="20"/>
          <w:szCs w:val="20"/>
        </w:rPr>
        <w:t>(Source – AEMO 2010)</w:t>
      </w:r>
    </w:p>
    <w:p w:rsidR="00AC7326" w:rsidRDefault="00AC7326" w:rsidP="00D53545">
      <w:pPr>
        <w:spacing w:after="200" w:line="360" w:lineRule="auto"/>
        <w:jc w:val="center"/>
        <w:rPr>
          <w:rFonts w:eastAsia="Calibri" w:cs="Arial"/>
          <w:szCs w:val="24"/>
          <w:u w:val="single"/>
        </w:rPr>
      </w:pPr>
    </w:p>
    <w:p w:rsidR="00AC7326" w:rsidRDefault="00AC7326" w:rsidP="00D53545">
      <w:pPr>
        <w:spacing w:after="200" w:line="360" w:lineRule="auto"/>
        <w:jc w:val="center"/>
        <w:rPr>
          <w:rFonts w:eastAsia="Calibri" w:cs="Arial"/>
          <w:szCs w:val="24"/>
          <w:u w:val="single"/>
        </w:rPr>
      </w:pPr>
    </w:p>
    <w:p w:rsidR="00D53545" w:rsidRPr="00E313C7" w:rsidRDefault="005B2FB8" w:rsidP="00D53545">
      <w:pPr>
        <w:spacing w:after="200" w:line="360" w:lineRule="auto"/>
        <w:jc w:val="center"/>
        <w:rPr>
          <w:rFonts w:eastAsia="Calibri" w:cs="Arial"/>
          <w:szCs w:val="24"/>
          <w:u w:val="single"/>
        </w:rPr>
      </w:pPr>
      <w:r>
        <w:rPr>
          <w:rFonts w:eastAsia="Calibri" w:cs="Arial"/>
          <w:szCs w:val="24"/>
          <w:u w:val="single"/>
        </w:rPr>
        <w:lastRenderedPageBreak/>
        <w:t>Figure 3</w:t>
      </w:r>
      <w:r w:rsidR="00D53545" w:rsidRPr="00E313C7">
        <w:rPr>
          <w:rFonts w:eastAsia="Calibri" w:cs="Arial"/>
          <w:szCs w:val="24"/>
          <w:u w:val="single"/>
        </w:rPr>
        <w:t xml:space="preserve"> – 2014 ESOO NEM Projections</w:t>
      </w:r>
    </w:p>
    <w:p w:rsidR="00D53545" w:rsidRDefault="00D53545" w:rsidP="00D53545">
      <w:pPr>
        <w:spacing w:line="360" w:lineRule="auto"/>
        <w:ind w:left="426"/>
        <w:rPr>
          <w:rFonts w:cs="Arial"/>
          <w:szCs w:val="24"/>
        </w:rPr>
      </w:pPr>
    </w:p>
    <w:p w:rsidR="00D53545" w:rsidRPr="00E313C7" w:rsidRDefault="00D53545" w:rsidP="00D53545">
      <w:pPr>
        <w:spacing w:after="0" w:line="360" w:lineRule="auto"/>
        <w:ind w:left="426"/>
        <w:rPr>
          <w:rFonts w:cs="Arial"/>
          <w:szCs w:val="24"/>
        </w:rPr>
      </w:pPr>
      <w:r>
        <w:rPr>
          <w:rFonts w:cs="Arial"/>
          <w:noProof/>
          <w:szCs w:val="24"/>
          <w:lang w:eastAsia="en-AU"/>
        </w:rPr>
        <w:drawing>
          <wp:inline distT="0" distB="0" distL="0" distR="0" wp14:anchorId="2136083B" wp14:editId="30E67C34">
            <wp:extent cx="5730875" cy="4157980"/>
            <wp:effectExtent l="0" t="0" r="317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30875" cy="4157980"/>
                    </a:xfrm>
                    <a:prstGeom prst="rect">
                      <a:avLst/>
                    </a:prstGeom>
                    <a:noFill/>
                  </pic:spPr>
                </pic:pic>
              </a:graphicData>
            </a:graphic>
          </wp:inline>
        </w:drawing>
      </w:r>
    </w:p>
    <w:p w:rsidR="00D53545" w:rsidRPr="005B2FB8" w:rsidRDefault="00D53545" w:rsidP="005B2FB8">
      <w:pPr>
        <w:spacing w:line="360" w:lineRule="auto"/>
        <w:ind w:left="426"/>
        <w:jc w:val="center"/>
        <w:rPr>
          <w:rFonts w:cs="Arial"/>
          <w:sz w:val="20"/>
          <w:szCs w:val="20"/>
        </w:rPr>
      </w:pPr>
      <w:r w:rsidRPr="005B2FB8">
        <w:rPr>
          <w:rFonts w:cs="Arial"/>
          <w:sz w:val="20"/>
          <w:szCs w:val="20"/>
        </w:rPr>
        <w:t>(Source – AEMO 2014)</w:t>
      </w:r>
    </w:p>
    <w:p w:rsidR="00D53545" w:rsidRDefault="00D53545" w:rsidP="00D53545">
      <w:pPr>
        <w:spacing w:line="360" w:lineRule="auto"/>
        <w:ind w:left="426"/>
        <w:rPr>
          <w:rFonts w:cs="Arial"/>
          <w:szCs w:val="24"/>
        </w:rPr>
      </w:pPr>
    </w:p>
    <w:p w:rsidR="00D53545" w:rsidRPr="00E313C7" w:rsidRDefault="00D53545" w:rsidP="00D53545">
      <w:pPr>
        <w:spacing w:line="360" w:lineRule="auto"/>
        <w:ind w:left="426"/>
        <w:rPr>
          <w:rFonts w:cs="Arial"/>
          <w:szCs w:val="24"/>
        </w:rPr>
      </w:pPr>
      <w:r w:rsidRPr="00E313C7">
        <w:rPr>
          <w:rFonts w:cs="Arial"/>
          <w:szCs w:val="24"/>
        </w:rPr>
        <w:t xml:space="preserve">The difference between the projected </w:t>
      </w:r>
      <w:proofErr w:type="gramStart"/>
      <w:r w:rsidRPr="00E313C7">
        <w:rPr>
          <w:rFonts w:cs="Arial"/>
          <w:szCs w:val="24"/>
        </w:rPr>
        <w:t>demand</w:t>
      </w:r>
      <w:proofErr w:type="gramEnd"/>
      <w:r w:rsidRPr="00E313C7">
        <w:rPr>
          <w:rFonts w:cs="Arial"/>
          <w:szCs w:val="24"/>
        </w:rPr>
        <w:t xml:space="preserve"> is stark, and sobering particularly when you consider how influential the ESOO data is for NEM forward planning of both regulators and participants alike.</w:t>
      </w:r>
    </w:p>
    <w:p w:rsidR="00D53545" w:rsidRDefault="00D53545" w:rsidP="00D53545">
      <w:pPr>
        <w:spacing w:line="360" w:lineRule="auto"/>
        <w:ind w:left="426"/>
        <w:rPr>
          <w:rFonts w:cs="Arial"/>
          <w:szCs w:val="24"/>
        </w:rPr>
      </w:pPr>
    </w:p>
    <w:p w:rsidR="00D53545" w:rsidRDefault="00D53545" w:rsidP="00D53545">
      <w:pPr>
        <w:spacing w:line="360" w:lineRule="auto"/>
        <w:ind w:left="426"/>
        <w:rPr>
          <w:rFonts w:cs="Arial"/>
          <w:szCs w:val="24"/>
        </w:rPr>
      </w:pPr>
      <w:r w:rsidRPr="00E313C7">
        <w:rPr>
          <w:rFonts w:cs="Arial"/>
          <w:szCs w:val="24"/>
        </w:rPr>
        <w:t xml:space="preserve">While it is not possible to accurately predict the future, and sole responsibility does not lime with the AER, AEMO or AEMC, important data such as demand projections should not be so dramatically wrong, and there need to be sufficient </w:t>
      </w:r>
      <w:r w:rsidRPr="00E313C7">
        <w:rPr>
          <w:rFonts w:cs="Arial"/>
          <w:szCs w:val="24"/>
        </w:rPr>
        <w:lastRenderedPageBreak/>
        <w:t>flexibility in the regulatory process to allow adjustments that protect consumers from having to foot the bill of bad investment decisions via bloated AER determinations.</w:t>
      </w:r>
    </w:p>
    <w:p w:rsidR="00AC7326" w:rsidRDefault="00AC7326" w:rsidP="00D53545">
      <w:pPr>
        <w:spacing w:line="360" w:lineRule="auto"/>
        <w:ind w:left="426"/>
        <w:rPr>
          <w:rFonts w:cs="Arial"/>
          <w:szCs w:val="24"/>
        </w:rPr>
      </w:pPr>
    </w:p>
    <w:p w:rsidR="00AC7326" w:rsidRPr="00AC7326" w:rsidRDefault="00CF060C" w:rsidP="00D53545">
      <w:pPr>
        <w:spacing w:line="360" w:lineRule="auto"/>
        <w:ind w:left="426"/>
        <w:rPr>
          <w:rFonts w:cs="Arial"/>
          <w:szCs w:val="24"/>
          <w:u w:val="single"/>
        </w:rPr>
      </w:pPr>
      <w:r>
        <w:rPr>
          <w:rFonts w:cs="Arial"/>
          <w:szCs w:val="24"/>
          <w:u w:val="single"/>
        </w:rPr>
        <w:t>Labour</w:t>
      </w:r>
    </w:p>
    <w:p w:rsidR="00AC7326" w:rsidRDefault="00AC7326" w:rsidP="00D53545">
      <w:pPr>
        <w:spacing w:line="360" w:lineRule="auto"/>
        <w:ind w:left="426"/>
        <w:rPr>
          <w:rFonts w:cs="Arial"/>
          <w:szCs w:val="24"/>
        </w:rPr>
      </w:pPr>
    </w:p>
    <w:p w:rsidR="00A15870" w:rsidRDefault="00AC7326" w:rsidP="00D53545">
      <w:pPr>
        <w:spacing w:line="360" w:lineRule="auto"/>
        <w:ind w:left="426"/>
        <w:rPr>
          <w:rFonts w:cs="Arial"/>
          <w:szCs w:val="24"/>
        </w:rPr>
      </w:pPr>
      <w:r w:rsidRPr="00AC7326">
        <w:rPr>
          <w:rFonts w:cs="Arial"/>
          <w:szCs w:val="24"/>
        </w:rPr>
        <w:t>TasNetwork</w:t>
      </w:r>
      <w:r>
        <w:rPr>
          <w:rFonts w:cs="Arial"/>
          <w:szCs w:val="24"/>
        </w:rPr>
        <w:t xml:space="preserve">s claim that there will be escalating </w:t>
      </w:r>
      <w:r w:rsidRPr="00AC7326">
        <w:rPr>
          <w:rFonts w:cs="Arial"/>
          <w:szCs w:val="24"/>
        </w:rPr>
        <w:t>labour rate</w:t>
      </w:r>
      <w:r>
        <w:rPr>
          <w:rFonts w:cs="Arial"/>
          <w:szCs w:val="24"/>
        </w:rPr>
        <w:t>s over the determination period.</w:t>
      </w:r>
      <w:r w:rsidRPr="00AC7326">
        <w:rPr>
          <w:rFonts w:cs="Arial"/>
          <w:szCs w:val="24"/>
        </w:rPr>
        <w:t xml:space="preserve"> The ETU find that extremely difficult to accept that an industry that is in contraction due to declining demand for its services can creditably claim labour price pressures in excess of CPI.</w:t>
      </w:r>
      <w:r>
        <w:rPr>
          <w:rFonts w:cs="Arial"/>
          <w:szCs w:val="24"/>
        </w:rPr>
        <w:t xml:space="preserve"> This is exacerbated by the large job losses and redundancies that arose during the recent merger of Aurora and Transcend that gave rise to TasNetworks. </w:t>
      </w:r>
    </w:p>
    <w:p w:rsidR="00AC7326" w:rsidRDefault="00AC7326" w:rsidP="00D53545">
      <w:pPr>
        <w:spacing w:line="360" w:lineRule="auto"/>
        <w:ind w:left="426"/>
        <w:rPr>
          <w:rFonts w:cs="Arial"/>
          <w:szCs w:val="24"/>
        </w:rPr>
      </w:pPr>
    </w:p>
    <w:p w:rsidR="00CF060C" w:rsidRPr="00CF060C" w:rsidRDefault="00CF060C" w:rsidP="00D53545">
      <w:pPr>
        <w:spacing w:line="360" w:lineRule="auto"/>
        <w:ind w:left="426"/>
        <w:rPr>
          <w:rFonts w:cs="Arial"/>
          <w:szCs w:val="24"/>
          <w:u w:val="single"/>
        </w:rPr>
      </w:pPr>
      <w:r w:rsidRPr="00CF060C">
        <w:rPr>
          <w:rFonts w:cs="Arial"/>
          <w:szCs w:val="24"/>
          <w:u w:val="single"/>
        </w:rPr>
        <w:t xml:space="preserve">Conclusion </w:t>
      </w:r>
    </w:p>
    <w:p w:rsidR="00CF060C" w:rsidRDefault="00CF060C" w:rsidP="00AC7326">
      <w:pPr>
        <w:spacing w:line="360" w:lineRule="auto"/>
        <w:ind w:left="426"/>
        <w:rPr>
          <w:rFonts w:cs="Arial"/>
          <w:szCs w:val="24"/>
        </w:rPr>
      </w:pPr>
    </w:p>
    <w:p w:rsidR="00A15870" w:rsidRDefault="00AC7326" w:rsidP="00AC7326">
      <w:pPr>
        <w:spacing w:line="360" w:lineRule="auto"/>
        <w:ind w:left="426"/>
        <w:rPr>
          <w:rFonts w:cs="Arial"/>
          <w:szCs w:val="24"/>
        </w:rPr>
      </w:pPr>
      <w:r>
        <w:rPr>
          <w:rFonts w:cs="Arial"/>
          <w:szCs w:val="24"/>
        </w:rPr>
        <w:t xml:space="preserve">In considering the </w:t>
      </w:r>
      <w:r w:rsidRPr="00AC7326">
        <w:rPr>
          <w:rFonts w:cs="Arial"/>
          <w:szCs w:val="24"/>
        </w:rPr>
        <w:t>TasNetworks (</w:t>
      </w:r>
      <w:proofErr w:type="spellStart"/>
      <w:r w:rsidRPr="00AC7326">
        <w:rPr>
          <w:rFonts w:cs="Arial"/>
          <w:szCs w:val="24"/>
        </w:rPr>
        <w:t>Transend</w:t>
      </w:r>
      <w:proofErr w:type="spellEnd"/>
      <w:r w:rsidRPr="00AC7326">
        <w:rPr>
          <w:rFonts w:cs="Arial"/>
          <w:szCs w:val="24"/>
        </w:rPr>
        <w:t xml:space="preserve">) </w:t>
      </w:r>
      <w:r>
        <w:rPr>
          <w:rFonts w:cs="Arial"/>
          <w:szCs w:val="24"/>
        </w:rPr>
        <w:t xml:space="preserve">Final </w:t>
      </w:r>
      <w:r w:rsidRPr="00AC7326">
        <w:rPr>
          <w:rFonts w:cs="Arial"/>
          <w:szCs w:val="24"/>
        </w:rPr>
        <w:t>Determination 2014-2019</w:t>
      </w:r>
      <w:r>
        <w:rPr>
          <w:rFonts w:cs="Arial"/>
          <w:szCs w:val="24"/>
        </w:rPr>
        <w:t xml:space="preserve"> w</w:t>
      </w:r>
      <w:r w:rsidR="00A15870">
        <w:rPr>
          <w:rFonts w:cs="Arial"/>
          <w:szCs w:val="24"/>
        </w:rPr>
        <w:t xml:space="preserve">e urge the AER to use the discretion that has been afforded by the recent NEM rule changes to ensure that the draft determinations reflect a sustainable balance between consumer relief, safe and secure networks, and prudent pass through costs that represent good value for consumers and network businesses alike. </w:t>
      </w:r>
    </w:p>
    <w:p w:rsidR="00157437" w:rsidRDefault="00157437" w:rsidP="00D53545">
      <w:pPr>
        <w:spacing w:line="360" w:lineRule="auto"/>
        <w:ind w:left="426"/>
        <w:rPr>
          <w:rFonts w:cs="Arial"/>
          <w:szCs w:val="24"/>
        </w:rPr>
      </w:pPr>
    </w:p>
    <w:p w:rsidR="00A15870" w:rsidRPr="008B4584" w:rsidRDefault="00A15870" w:rsidP="00D53545">
      <w:pPr>
        <w:spacing w:line="360" w:lineRule="auto"/>
        <w:ind w:left="426"/>
        <w:rPr>
          <w:rFonts w:cs="Arial"/>
          <w:szCs w:val="24"/>
        </w:rPr>
      </w:pPr>
    </w:p>
    <w:p w:rsidR="008A3EA5" w:rsidRDefault="008A3EA5">
      <w:pPr>
        <w:spacing w:before="0"/>
        <w:contextualSpacing w:val="0"/>
        <w:rPr>
          <w:rFonts w:eastAsia="Calibri" w:cs="Arial"/>
          <w:b/>
          <w:szCs w:val="24"/>
        </w:rPr>
      </w:pPr>
    </w:p>
    <w:p w:rsidR="003F38FD" w:rsidRDefault="003F38FD">
      <w:pPr>
        <w:spacing w:before="0"/>
        <w:contextualSpacing w:val="0"/>
        <w:rPr>
          <w:rFonts w:eastAsia="Calibri" w:cs="Arial"/>
          <w:b/>
          <w:szCs w:val="24"/>
        </w:rPr>
      </w:pPr>
    </w:p>
    <w:sectPr w:rsidR="003F38FD" w:rsidSect="003F38FD">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06F5" w:rsidRDefault="00D406F5" w:rsidP="0050599A">
      <w:pPr>
        <w:spacing w:before="0" w:after="0" w:line="240" w:lineRule="auto"/>
      </w:pPr>
      <w:r>
        <w:separator/>
      </w:r>
    </w:p>
  </w:endnote>
  <w:endnote w:type="continuationSeparator" w:id="0">
    <w:p w:rsidR="00D406F5" w:rsidRDefault="00D406F5" w:rsidP="0050599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yriad Pro Light">
    <w:altName w:val="Myriad Pro Light"/>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EA4" w:rsidRDefault="001D1EA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D23" w:rsidRDefault="007A3D23" w:rsidP="008A3EA5">
    <w:pPr>
      <w:pStyle w:val="Footer"/>
      <w:ind w:left="-284"/>
      <w:jc w:val="center"/>
    </w:pPr>
    <w:r w:rsidRPr="008A3EA5">
      <w:rPr>
        <w:rFonts w:ascii="Times New Roman" w:eastAsia="Times New Roman" w:hAnsi="Times New Roman" w:cs="Times New Roman"/>
        <w:noProof/>
        <w:sz w:val="20"/>
        <w:szCs w:val="20"/>
        <w:lang w:eastAsia="en-AU"/>
      </w:rPr>
      <w:drawing>
        <wp:inline distT="0" distB="0" distL="0" distR="0" wp14:anchorId="2670D232" wp14:editId="513C9DCE">
          <wp:extent cx="6338199" cy="771525"/>
          <wp:effectExtent l="0" t="0" r="571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TUN-Letterhead-bottom.jpg"/>
                  <pic:cNvPicPr/>
                </pic:nvPicPr>
                <pic:blipFill>
                  <a:blip r:embed="rId1">
                    <a:extLst>
                      <a:ext uri="{28A0092B-C50C-407E-A947-70E740481C1C}">
                        <a14:useLocalDpi xmlns:a14="http://schemas.microsoft.com/office/drawing/2010/main" val="0"/>
                      </a:ext>
                    </a:extLst>
                  </a:blip>
                  <a:stretch>
                    <a:fillRect/>
                  </a:stretch>
                </pic:blipFill>
                <pic:spPr>
                  <a:xfrm>
                    <a:off x="0" y="0"/>
                    <a:ext cx="6347458" cy="772652"/>
                  </a:xfrm>
                  <a:prstGeom prst="rect">
                    <a:avLst/>
                  </a:prstGeom>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EA4" w:rsidRDefault="001D1EA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06F5" w:rsidRDefault="00D406F5" w:rsidP="0050599A">
      <w:pPr>
        <w:spacing w:before="0" w:after="0" w:line="240" w:lineRule="auto"/>
      </w:pPr>
      <w:r>
        <w:separator/>
      </w:r>
    </w:p>
  </w:footnote>
  <w:footnote w:type="continuationSeparator" w:id="0">
    <w:p w:rsidR="00D406F5" w:rsidRDefault="00D406F5" w:rsidP="0050599A">
      <w:pPr>
        <w:spacing w:before="0" w:after="0" w:line="240" w:lineRule="auto"/>
      </w:pPr>
      <w:r>
        <w:continuationSeparator/>
      </w:r>
    </w:p>
  </w:footnote>
  <w:footnote w:id="1">
    <w:p w:rsidR="00A15870" w:rsidRPr="009B7379" w:rsidRDefault="00A15870" w:rsidP="00A15870">
      <w:pPr>
        <w:pStyle w:val="FootnoteText"/>
      </w:pPr>
      <w:r w:rsidRPr="009B7379">
        <w:rPr>
          <w:rStyle w:val="FootnoteReference"/>
        </w:rPr>
        <w:footnoteRef/>
      </w:r>
      <w:r w:rsidRPr="009B7379">
        <w:t xml:space="preserve"> The Energy Market Death Spiral - Rethinking Customer Hardship, Paul </w:t>
      </w:r>
      <w:proofErr w:type="spellStart"/>
      <w:r w:rsidRPr="009B7379">
        <w:t>Simshauser</w:t>
      </w:r>
      <w:proofErr w:type="spellEnd"/>
      <w:r w:rsidRPr="009B7379">
        <w:t xml:space="preserve"> and Tim Nelson , 2012 &lt;http://aglblog.com.au/wp-content/uploads/2012/07/No-31-Death-Spiral1.pdf&gt;</w:t>
      </w:r>
    </w:p>
  </w:footnote>
  <w:footnote w:id="2">
    <w:p w:rsidR="00A15870" w:rsidRPr="00A737FA" w:rsidRDefault="00A15870" w:rsidP="00A15870">
      <w:pPr>
        <w:pStyle w:val="Default"/>
        <w:rPr>
          <w:sz w:val="20"/>
          <w:szCs w:val="20"/>
        </w:rPr>
      </w:pPr>
      <w:r>
        <w:rPr>
          <w:rStyle w:val="FootnoteReference"/>
        </w:rPr>
        <w:footnoteRef/>
      </w:r>
      <w:r>
        <w:t xml:space="preserve"> </w:t>
      </w:r>
      <w:r>
        <w:rPr>
          <w:sz w:val="20"/>
          <w:szCs w:val="20"/>
        </w:rPr>
        <w:t xml:space="preserve">AER Consumer Challenge Panel: Smelling the roses and escaping the rabbit holes: the value of looking at actual outcomes in deciding WACC, July 2014 </w:t>
      </w:r>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EA4" w:rsidRDefault="001D1EA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D23" w:rsidRDefault="007A3D23" w:rsidP="003F38FD">
    <w:pPr>
      <w:pStyle w:val="Header"/>
      <w:ind w:left="-851"/>
    </w:pPr>
    <w:r>
      <w:rPr>
        <w:noProof/>
        <w:lang w:eastAsia="en-AU"/>
      </w:rPr>
      <w:drawing>
        <wp:inline distT="0" distB="0" distL="0" distR="0" wp14:anchorId="788D9F35" wp14:editId="6C21B248">
          <wp:extent cx="6844463" cy="1875086"/>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TUN-Letterhead-top.jpg"/>
                  <pic:cNvPicPr/>
                </pic:nvPicPr>
                <pic:blipFill>
                  <a:blip r:embed="rId1">
                    <a:extLst>
                      <a:ext uri="{28A0092B-C50C-407E-A947-70E740481C1C}">
                        <a14:useLocalDpi xmlns:a14="http://schemas.microsoft.com/office/drawing/2010/main" val="0"/>
                      </a:ext>
                    </a:extLst>
                  </a:blip>
                  <a:stretch>
                    <a:fillRect/>
                  </a:stretch>
                </pic:blipFill>
                <pic:spPr>
                  <a:xfrm>
                    <a:off x="0" y="0"/>
                    <a:ext cx="6897064" cy="1889496"/>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1EA4" w:rsidRDefault="001D1EA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9A2711"/>
    <w:multiLevelType w:val="hybridMultilevel"/>
    <w:tmpl w:val="B730382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19212F6A"/>
    <w:multiLevelType w:val="hybridMultilevel"/>
    <w:tmpl w:val="B730382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2300675D"/>
    <w:multiLevelType w:val="hybridMultilevel"/>
    <w:tmpl w:val="3BFA51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292B21EF"/>
    <w:multiLevelType w:val="hybridMultilevel"/>
    <w:tmpl w:val="0A0E11B8"/>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2C4228DD"/>
    <w:multiLevelType w:val="hybridMultilevel"/>
    <w:tmpl w:val="DD823CB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3F9B648E"/>
    <w:multiLevelType w:val="hybridMultilevel"/>
    <w:tmpl w:val="E50EF3D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476072D3"/>
    <w:multiLevelType w:val="hybridMultilevel"/>
    <w:tmpl w:val="C12A16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6F294CA5"/>
    <w:multiLevelType w:val="hybridMultilevel"/>
    <w:tmpl w:val="2A84610A"/>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0"/>
  </w:num>
  <w:num w:numId="5">
    <w:abstractNumId w:val="3"/>
  </w:num>
  <w:num w:numId="6">
    <w:abstractNumId w:val="7"/>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removePersonalInformation/>
  <w:removeDateAndTime/>
  <w:hideSpellingErrors/>
  <w:hideGrammaticalErrors/>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Users\jmana\AppData\Local\Microsoft\Windows\Temporary Internet Files\Content.Outlook\KM489NWB\ETU TasNetwork AER Determination Submission.docx"/>
  </w:docVars>
  <w:rsids>
    <w:rsidRoot w:val="00436B51"/>
    <w:rsid w:val="00013D50"/>
    <w:rsid w:val="0006620E"/>
    <w:rsid w:val="00082840"/>
    <w:rsid w:val="00084158"/>
    <w:rsid w:val="000C14FE"/>
    <w:rsid w:val="000F75AA"/>
    <w:rsid w:val="00106EC5"/>
    <w:rsid w:val="0013213D"/>
    <w:rsid w:val="00157437"/>
    <w:rsid w:val="00190268"/>
    <w:rsid w:val="00197853"/>
    <w:rsid w:val="001D1EA4"/>
    <w:rsid w:val="001D2A7E"/>
    <w:rsid w:val="002365FC"/>
    <w:rsid w:val="0024480A"/>
    <w:rsid w:val="00292EEB"/>
    <w:rsid w:val="00302470"/>
    <w:rsid w:val="00313845"/>
    <w:rsid w:val="00342040"/>
    <w:rsid w:val="00347048"/>
    <w:rsid w:val="00351FEF"/>
    <w:rsid w:val="003F38FD"/>
    <w:rsid w:val="00411980"/>
    <w:rsid w:val="00436B51"/>
    <w:rsid w:val="004B569B"/>
    <w:rsid w:val="004E1C49"/>
    <w:rsid w:val="0050258C"/>
    <w:rsid w:val="0050599A"/>
    <w:rsid w:val="00507823"/>
    <w:rsid w:val="00510FBD"/>
    <w:rsid w:val="00526CBC"/>
    <w:rsid w:val="0055197D"/>
    <w:rsid w:val="00572906"/>
    <w:rsid w:val="00577DC3"/>
    <w:rsid w:val="005B2FB8"/>
    <w:rsid w:val="005B7DDF"/>
    <w:rsid w:val="005C1736"/>
    <w:rsid w:val="005C1D6A"/>
    <w:rsid w:val="005F4DB7"/>
    <w:rsid w:val="00631482"/>
    <w:rsid w:val="00637CFF"/>
    <w:rsid w:val="006516ED"/>
    <w:rsid w:val="006A2CEB"/>
    <w:rsid w:val="006D3FEC"/>
    <w:rsid w:val="00712BDB"/>
    <w:rsid w:val="00724846"/>
    <w:rsid w:val="00724CAF"/>
    <w:rsid w:val="0074229F"/>
    <w:rsid w:val="0076528E"/>
    <w:rsid w:val="00767A28"/>
    <w:rsid w:val="00780509"/>
    <w:rsid w:val="007903E7"/>
    <w:rsid w:val="007907EC"/>
    <w:rsid w:val="007A3D23"/>
    <w:rsid w:val="007C12E6"/>
    <w:rsid w:val="0081247C"/>
    <w:rsid w:val="00813520"/>
    <w:rsid w:val="008307A9"/>
    <w:rsid w:val="008337E3"/>
    <w:rsid w:val="008900D0"/>
    <w:rsid w:val="008A3EA5"/>
    <w:rsid w:val="008A7540"/>
    <w:rsid w:val="008E2E93"/>
    <w:rsid w:val="009E4FD7"/>
    <w:rsid w:val="00A05980"/>
    <w:rsid w:val="00A06520"/>
    <w:rsid w:val="00A13B4D"/>
    <w:rsid w:val="00A15870"/>
    <w:rsid w:val="00A26E17"/>
    <w:rsid w:val="00A477FD"/>
    <w:rsid w:val="00A5498E"/>
    <w:rsid w:val="00A632BD"/>
    <w:rsid w:val="00A84E4E"/>
    <w:rsid w:val="00A9542E"/>
    <w:rsid w:val="00AA0E5C"/>
    <w:rsid w:val="00AB03C8"/>
    <w:rsid w:val="00AC70B3"/>
    <w:rsid w:val="00AC7326"/>
    <w:rsid w:val="00B3127D"/>
    <w:rsid w:val="00B427A2"/>
    <w:rsid w:val="00B432B8"/>
    <w:rsid w:val="00B4464E"/>
    <w:rsid w:val="00B55886"/>
    <w:rsid w:val="00B56D5A"/>
    <w:rsid w:val="00B710DA"/>
    <w:rsid w:val="00B82B4E"/>
    <w:rsid w:val="00B93BE7"/>
    <w:rsid w:val="00BA2BBB"/>
    <w:rsid w:val="00BC62E3"/>
    <w:rsid w:val="00BD2F5B"/>
    <w:rsid w:val="00BE235E"/>
    <w:rsid w:val="00BE7CBD"/>
    <w:rsid w:val="00C2619D"/>
    <w:rsid w:val="00C44A1B"/>
    <w:rsid w:val="00C95B62"/>
    <w:rsid w:val="00CC29B8"/>
    <w:rsid w:val="00CD720E"/>
    <w:rsid w:val="00CF060C"/>
    <w:rsid w:val="00D406F5"/>
    <w:rsid w:val="00D456C8"/>
    <w:rsid w:val="00D52494"/>
    <w:rsid w:val="00D53380"/>
    <w:rsid w:val="00D53545"/>
    <w:rsid w:val="00D61660"/>
    <w:rsid w:val="00D64D27"/>
    <w:rsid w:val="00DA552F"/>
    <w:rsid w:val="00DC5669"/>
    <w:rsid w:val="00E2431E"/>
    <w:rsid w:val="00E3692A"/>
    <w:rsid w:val="00E44903"/>
    <w:rsid w:val="00E563CA"/>
    <w:rsid w:val="00E67C0F"/>
    <w:rsid w:val="00E91678"/>
    <w:rsid w:val="00EA060E"/>
    <w:rsid w:val="00EF4248"/>
    <w:rsid w:val="00F57FF9"/>
    <w:rsid w:val="00F71B7D"/>
    <w:rsid w:val="00FB6C52"/>
    <w:rsid w:val="00FC2F76"/>
    <w:rsid w:val="00FF27F2"/>
    <w:rsid w:val="00FF5E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2E93"/>
    <w:pPr>
      <w:spacing w:before="160"/>
      <w:contextualSpacing/>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Recommendation,L,List Paragraph1,B1 paragraph"/>
    <w:basedOn w:val="Normal"/>
    <w:link w:val="ListParagraphChar"/>
    <w:uiPriority w:val="34"/>
    <w:qFormat/>
    <w:rsid w:val="00342040"/>
    <w:pPr>
      <w:spacing w:before="0" w:after="200" w:line="276" w:lineRule="auto"/>
      <w:ind w:left="720"/>
    </w:pPr>
    <w:rPr>
      <w:rFonts w:ascii="Calibri" w:eastAsia="Times New Roman" w:hAnsi="Calibri" w:cs="Calibri"/>
      <w:sz w:val="22"/>
    </w:rPr>
  </w:style>
  <w:style w:type="character" w:customStyle="1" w:styleId="ListParagraphChar">
    <w:name w:val="List Paragraph Char"/>
    <w:aliases w:val="Recommendation Char,L Char,List Paragraph1 Char,B1 paragraph Char"/>
    <w:link w:val="ListParagraph"/>
    <w:uiPriority w:val="34"/>
    <w:locked/>
    <w:rsid w:val="00342040"/>
    <w:rPr>
      <w:rFonts w:ascii="Calibri" w:eastAsia="Times New Roman" w:hAnsi="Calibri" w:cs="Calibri"/>
    </w:rPr>
  </w:style>
  <w:style w:type="paragraph" w:styleId="FootnoteText">
    <w:name w:val="footnote text"/>
    <w:basedOn w:val="Normal"/>
    <w:link w:val="FootnoteTextChar"/>
    <w:uiPriority w:val="99"/>
    <w:semiHidden/>
    <w:unhideWhenUsed/>
    <w:rsid w:val="0050599A"/>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50599A"/>
    <w:rPr>
      <w:rFonts w:ascii="Arial" w:hAnsi="Arial"/>
      <w:sz w:val="20"/>
      <w:szCs w:val="20"/>
    </w:rPr>
  </w:style>
  <w:style w:type="character" w:styleId="FootnoteReference">
    <w:name w:val="footnote reference"/>
    <w:basedOn w:val="DefaultParagraphFont"/>
    <w:uiPriority w:val="99"/>
    <w:semiHidden/>
    <w:unhideWhenUsed/>
    <w:rsid w:val="0050599A"/>
    <w:rPr>
      <w:vertAlign w:val="superscript"/>
    </w:rPr>
  </w:style>
  <w:style w:type="character" w:styleId="Hyperlink">
    <w:name w:val="Hyperlink"/>
    <w:basedOn w:val="DefaultParagraphFont"/>
    <w:uiPriority w:val="99"/>
    <w:unhideWhenUsed/>
    <w:rsid w:val="00A05980"/>
    <w:rPr>
      <w:color w:val="0563C1" w:themeColor="hyperlink"/>
      <w:u w:val="single"/>
    </w:rPr>
  </w:style>
  <w:style w:type="paragraph" w:customStyle="1" w:styleId="Default">
    <w:name w:val="Default"/>
    <w:rsid w:val="00E563CA"/>
    <w:pPr>
      <w:autoSpaceDE w:val="0"/>
      <w:autoSpaceDN w:val="0"/>
      <w:adjustRightInd w:val="0"/>
      <w:spacing w:after="0" w:line="240" w:lineRule="auto"/>
    </w:pPr>
    <w:rPr>
      <w:rFonts w:ascii="Myriad Pro Light" w:hAnsi="Myriad Pro Light" w:cs="Myriad Pro Light"/>
      <w:color w:val="000000"/>
      <w:sz w:val="24"/>
      <w:szCs w:val="24"/>
    </w:rPr>
  </w:style>
  <w:style w:type="character" w:styleId="FollowedHyperlink">
    <w:name w:val="FollowedHyperlink"/>
    <w:basedOn w:val="DefaultParagraphFont"/>
    <w:uiPriority w:val="99"/>
    <w:semiHidden/>
    <w:unhideWhenUsed/>
    <w:rsid w:val="00FC2F76"/>
    <w:rPr>
      <w:color w:val="954F72" w:themeColor="followedHyperlink"/>
      <w:u w:val="single"/>
    </w:rPr>
  </w:style>
  <w:style w:type="paragraph" w:styleId="Header">
    <w:name w:val="header"/>
    <w:basedOn w:val="Normal"/>
    <w:link w:val="HeaderChar"/>
    <w:uiPriority w:val="99"/>
    <w:unhideWhenUsed/>
    <w:rsid w:val="008A3EA5"/>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8A3EA5"/>
    <w:rPr>
      <w:rFonts w:ascii="Arial" w:hAnsi="Arial"/>
      <w:sz w:val="24"/>
    </w:rPr>
  </w:style>
  <w:style w:type="paragraph" w:styleId="Footer">
    <w:name w:val="footer"/>
    <w:basedOn w:val="Normal"/>
    <w:link w:val="FooterChar"/>
    <w:uiPriority w:val="99"/>
    <w:unhideWhenUsed/>
    <w:rsid w:val="008A3EA5"/>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8A3EA5"/>
    <w:rPr>
      <w:rFonts w:ascii="Arial" w:hAnsi="Arial"/>
      <w:sz w:val="24"/>
    </w:rPr>
  </w:style>
  <w:style w:type="paragraph" w:styleId="NormalWeb">
    <w:name w:val="Normal (Web)"/>
    <w:basedOn w:val="Normal"/>
    <w:uiPriority w:val="99"/>
    <w:unhideWhenUsed/>
    <w:rsid w:val="0050258C"/>
    <w:pPr>
      <w:spacing w:before="100" w:beforeAutospacing="1" w:after="100" w:afterAutospacing="1" w:line="240" w:lineRule="auto"/>
      <w:contextualSpacing w:val="0"/>
    </w:pPr>
    <w:rPr>
      <w:rFonts w:ascii="Times New Roman" w:eastAsia="Times New Roman" w:hAnsi="Times New Roman" w:cs="Times New Roman"/>
      <w:szCs w:val="24"/>
      <w:lang w:eastAsia="en-AU"/>
    </w:rPr>
  </w:style>
  <w:style w:type="paragraph" w:styleId="BalloonText">
    <w:name w:val="Balloon Text"/>
    <w:basedOn w:val="Normal"/>
    <w:link w:val="BalloonTextChar"/>
    <w:uiPriority w:val="99"/>
    <w:semiHidden/>
    <w:unhideWhenUsed/>
    <w:rsid w:val="001D1EA4"/>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1EA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2E93"/>
    <w:pPr>
      <w:spacing w:before="160"/>
      <w:contextualSpacing/>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Recommendation,L,List Paragraph1,B1 paragraph"/>
    <w:basedOn w:val="Normal"/>
    <w:link w:val="ListParagraphChar"/>
    <w:uiPriority w:val="34"/>
    <w:qFormat/>
    <w:rsid w:val="00342040"/>
    <w:pPr>
      <w:spacing w:before="0" w:after="200" w:line="276" w:lineRule="auto"/>
      <w:ind w:left="720"/>
    </w:pPr>
    <w:rPr>
      <w:rFonts w:ascii="Calibri" w:eastAsia="Times New Roman" w:hAnsi="Calibri" w:cs="Calibri"/>
      <w:sz w:val="22"/>
    </w:rPr>
  </w:style>
  <w:style w:type="character" w:customStyle="1" w:styleId="ListParagraphChar">
    <w:name w:val="List Paragraph Char"/>
    <w:aliases w:val="Recommendation Char,L Char,List Paragraph1 Char,B1 paragraph Char"/>
    <w:link w:val="ListParagraph"/>
    <w:uiPriority w:val="34"/>
    <w:locked/>
    <w:rsid w:val="00342040"/>
    <w:rPr>
      <w:rFonts w:ascii="Calibri" w:eastAsia="Times New Roman" w:hAnsi="Calibri" w:cs="Calibri"/>
    </w:rPr>
  </w:style>
  <w:style w:type="paragraph" w:styleId="FootnoteText">
    <w:name w:val="footnote text"/>
    <w:basedOn w:val="Normal"/>
    <w:link w:val="FootnoteTextChar"/>
    <w:uiPriority w:val="99"/>
    <w:semiHidden/>
    <w:unhideWhenUsed/>
    <w:rsid w:val="0050599A"/>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50599A"/>
    <w:rPr>
      <w:rFonts w:ascii="Arial" w:hAnsi="Arial"/>
      <w:sz w:val="20"/>
      <w:szCs w:val="20"/>
    </w:rPr>
  </w:style>
  <w:style w:type="character" w:styleId="FootnoteReference">
    <w:name w:val="footnote reference"/>
    <w:basedOn w:val="DefaultParagraphFont"/>
    <w:uiPriority w:val="99"/>
    <w:semiHidden/>
    <w:unhideWhenUsed/>
    <w:rsid w:val="0050599A"/>
    <w:rPr>
      <w:vertAlign w:val="superscript"/>
    </w:rPr>
  </w:style>
  <w:style w:type="character" w:styleId="Hyperlink">
    <w:name w:val="Hyperlink"/>
    <w:basedOn w:val="DefaultParagraphFont"/>
    <w:uiPriority w:val="99"/>
    <w:unhideWhenUsed/>
    <w:rsid w:val="00A05980"/>
    <w:rPr>
      <w:color w:val="0563C1" w:themeColor="hyperlink"/>
      <w:u w:val="single"/>
    </w:rPr>
  </w:style>
  <w:style w:type="paragraph" w:customStyle="1" w:styleId="Default">
    <w:name w:val="Default"/>
    <w:rsid w:val="00E563CA"/>
    <w:pPr>
      <w:autoSpaceDE w:val="0"/>
      <w:autoSpaceDN w:val="0"/>
      <w:adjustRightInd w:val="0"/>
      <w:spacing w:after="0" w:line="240" w:lineRule="auto"/>
    </w:pPr>
    <w:rPr>
      <w:rFonts w:ascii="Myriad Pro Light" w:hAnsi="Myriad Pro Light" w:cs="Myriad Pro Light"/>
      <w:color w:val="000000"/>
      <w:sz w:val="24"/>
      <w:szCs w:val="24"/>
    </w:rPr>
  </w:style>
  <w:style w:type="character" w:styleId="FollowedHyperlink">
    <w:name w:val="FollowedHyperlink"/>
    <w:basedOn w:val="DefaultParagraphFont"/>
    <w:uiPriority w:val="99"/>
    <w:semiHidden/>
    <w:unhideWhenUsed/>
    <w:rsid w:val="00FC2F76"/>
    <w:rPr>
      <w:color w:val="954F72" w:themeColor="followedHyperlink"/>
      <w:u w:val="single"/>
    </w:rPr>
  </w:style>
  <w:style w:type="paragraph" w:styleId="Header">
    <w:name w:val="header"/>
    <w:basedOn w:val="Normal"/>
    <w:link w:val="HeaderChar"/>
    <w:uiPriority w:val="99"/>
    <w:unhideWhenUsed/>
    <w:rsid w:val="008A3EA5"/>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8A3EA5"/>
    <w:rPr>
      <w:rFonts w:ascii="Arial" w:hAnsi="Arial"/>
      <w:sz w:val="24"/>
    </w:rPr>
  </w:style>
  <w:style w:type="paragraph" w:styleId="Footer">
    <w:name w:val="footer"/>
    <w:basedOn w:val="Normal"/>
    <w:link w:val="FooterChar"/>
    <w:uiPriority w:val="99"/>
    <w:unhideWhenUsed/>
    <w:rsid w:val="008A3EA5"/>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8A3EA5"/>
    <w:rPr>
      <w:rFonts w:ascii="Arial" w:hAnsi="Arial"/>
      <w:sz w:val="24"/>
    </w:rPr>
  </w:style>
  <w:style w:type="paragraph" w:styleId="NormalWeb">
    <w:name w:val="Normal (Web)"/>
    <w:basedOn w:val="Normal"/>
    <w:uiPriority w:val="99"/>
    <w:unhideWhenUsed/>
    <w:rsid w:val="0050258C"/>
    <w:pPr>
      <w:spacing w:before="100" w:beforeAutospacing="1" w:after="100" w:afterAutospacing="1" w:line="240" w:lineRule="auto"/>
      <w:contextualSpacing w:val="0"/>
    </w:pPr>
    <w:rPr>
      <w:rFonts w:ascii="Times New Roman" w:eastAsia="Times New Roman" w:hAnsi="Times New Roman" w:cs="Times New Roman"/>
      <w:szCs w:val="24"/>
      <w:lang w:eastAsia="en-AU"/>
    </w:rPr>
  </w:style>
  <w:style w:type="paragraph" w:styleId="BalloonText">
    <w:name w:val="Balloon Text"/>
    <w:basedOn w:val="Normal"/>
    <w:link w:val="BalloonTextChar"/>
    <w:uiPriority w:val="99"/>
    <w:semiHidden/>
    <w:unhideWhenUsed/>
    <w:rsid w:val="001D1EA4"/>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1EA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7016173">
      <w:bodyDiv w:val="1"/>
      <w:marLeft w:val="0"/>
      <w:marRight w:val="0"/>
      <w:marTop w:val="0"/>
      <w:marBottom w:val="0"/>
      <w:divBdr>
        <w:top w:val="none" w:sz="0" w:space="0" w:color="auto"/>
        <w:left w:val="none" w:sz="0" w:space="0" w:color="auto"/>
        <w:bottom w:val="none" w:sz="0" w:space="0" w:color="auto"/>
        <w:right w:val="none" w:sz="0" w:space="0" w:color="auto"/>
      </w:divBdr>
    </w:div>
    <w:div w:id="1154225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5.jpg"/></Relationships>
</file>

<file path=word/_rels/header2.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8E7734F4</Template>
  <TotalTime>0</TotalTime>
  <Pages>11</Pages>
  <Words>1702</Words>
  <Characters>9708</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11388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2015-02-06T06:52:00Z</dcterms:created>
  <dcterms:modified xsi:type="dcterms:W3CDTF">2015-02-06T06:52:00Z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