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18F2A7DB" wp14:editId="301E38E1">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51195C" w:rsidP="002A4EF8">
      <w:pPr>
        <w:rPr>
          <w:b/>
          <w:sz w:val="36"/>
          <w:szCs w:val="36"/>
        </w:rPr>
      </w:pPr>
      <w:r>
        <w:rPr>
          <w:b/>
          <w:sz w:val="36"/>
          <w:szCs w:val="36"/>
        </w:rPr>
        <w:t>28 August</w:t>
      </w:r>
      <w:r w:rsidR="00451DFF">
        <w:rPr>
          <w:b/>
          <w:sz w:val="36"/>
          <w:szCs w:val="36"/>
        </w:rPr>
        <w:t xml:space="preserve"> </w:t>
      </w:r>
      <w:r w:rsidR="00F90A80">
        <w:rPr>
          <w:b/>
          <w:sz w:val="36"/>
          <w:szCs w:val="36"/>
        </w:rPr>
        <w:t xml:space="preserve">– </w:t>
      </w:r>
      <w:r>
        <w:rPr>
          <w:b/>
          <w:sz w:val="36"/>
          <w:szCs w:val="36"/>
        </w:rPr>
        <w:t>3</w:t>
      </w:r>
      <w:r w:rsidR="00FC0DB9">
        <w:rPr>
          <w:b/>
          <w:sz w:val="36"/>
          <w:szCs w:val="36"/>
        </w:rPr>
        <w:t> </w:t>
      </w:r>
      <w:r>
        <w:rPr>
          <w:b/>
          <w:sz w:val="36"/>
          <w:szCs w:val="36"/>
        </w:rPr>
        <w:t>September</w:t>
      </w:r>
      <w:r w:rsidR="00FC0DB9">
        <w:rPr>
          <w:b/>
          <w:sz w:val="36"/>
          <w:szCs w:val="36"/>
        </w:rPr>
        <w:t xml:space="preserv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354B6E" w:rsidRPr="00BE2075">
        <w:t xml:space="preserve">Figure </w:t>
      </w:r>
      <w:r w:rsidR="00354B6E">
        <w:t>1</w:t>
      </w:r>
      <w:r w:rsidRPr="00C4712A">
        <w:fldChar w:fldCharType="end"/>
      </w:r>
      <w:r w:rsidRPr="00C4712A">
        <w:t xml:space="preserve"> </w:t>
      </w:r>
      <w:r w:rsidR="00AF7058" w:rsidRPr="00C4712A">
        <w:t xml:space="preserve">shows the spot prices that occurred in each region during the week </w:t>
      </w:r>
      <w:r w:rsidR="00F835F8">
        <w:t>2</w:t>
      </w:r>
      <w:r w:rsidR="0051195C">
        <w:t>8 August</w:t>
      </w:r>
      <w:r w:rsidR="009709BF">
        <w:t xml:space="preserve"> </w:t>
      </w:r>
      <w:r w:rsidR="0051195C">
        <w:t>to 3</w:t>
      </w:r>
      <w:r w:rsidR="00290C73">
        <w:t> </w:t>
      </w:r>
      <w:r w:rsidR="0051195C">
        <w:t>September</w:t>
      </w:r>
      <w:r w:rsidR="00290C73">
        <w:t> </w:t>
      </w:r>
      <w:r w:rsidR="00FA25D4" w:rsidRPr="00C4712A">
        <w:t>2016</w:t>
      </w:r>
      <w:r w:rsidR="00AF7058" w:rsidRPr="00C4712A">
        <w:t>.</w:t>
      </w:r>
      <w:r w:rsidR="00E03725">
        <w:t xml:space="preserve"> </w:t>
      </w:r>
    </w:p>
    <w:p w:rsidR="00BF4639" w:rsidRPr="00C4712A" w:rsidRDefault="00275002" w:rsidP="00405B42">
      <w:pPr>
        <w:pStyle w:val="Caption"/>
      </w:pPr>
      <w:bookmarkStart w:id="6" w:name="_Ref410382491"/>
      <w:bookmarkStart w:id="7" w:name="OLE_LINK28"/>
      <w:bookmarkStart w:id="8" w:name="OLE_LINK29"/>
      <w:r w:rsidRPr="00BE2075">
        <w:t xml:space="preserve">Figure </w:t>
      </w:r>
      <w:r w:rsidR="00D90958">
        <w:fldChar w:fldCharType="begin"/>
      </w:r>
      <w:r w:rsidR="00D90958">
        <w:instrText xml:space="preserve"> SEQ Figure \* ARABIC </w:instrText>
      </w:r>
      <w:r w:rsidR="00D90958">
        <w:fldChar w:fldCharType="separate"/>
      </w:r>
      <w:r w:rsidR="00354B6E">
        <w:rPr>
          <w:noProof/>
        </w:rPr>
        <w:t>1</w:t>
      </w:r>
      <w:r w:rsidR="00D90958">
        <w:rPr>
          <w:noProof/>
        </w:rPr>
        <w:fldChar w:fldCharType="end"/>
      </w:r>
      <w:bookmarkEnd w:id="6"/>
      <w:r w:rsidRPr="00BE2075">
        <w:t>: Spot price by region ($/MWh)</w:t>
      </w:r>
    </w:p>
    <w:p w:rsidR="00EC05BF" w:rsidRDefault="00DC759C" w:rsidP="00C4712A">
      <w:pPr>
        <w:pStyle w:val="Caption"/>
        <w:rPr>
          <w:bCs w:val="0"/>
          <w:lang w:eastAsia="en-AU"/>
        </w:rPr>
      </w:pPr>
      <w:r w:rsidRPr="00DC759C">
        <w:rPr>
          <w:noProof/>
          <w:lang w:eastAsia="en-AU"/>
        </w:rPr>
        <w:drawing>
          <wp:inline distT="0" distB="0" distL="0" distR="0" wp14:anchorId="1278CBAF" wp14:editId="3F2AB80A">
            <wp:extent cx="5731510" cy="2862539"/>
            <wp:effectExtent l="0" t="0" r="2540" b="0"/>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2539"/>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354B6E" w:rsidRPr="00C4712A">
        <w:t xml:space="preserve">Figure </w:t>
      </w:r>
      <w:r w:rsidR="00354B6E">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354B6E" w:rsidRPr="009A7F75">
        <w:t xml:space="preserve">Table </w:t>
      </w:r>
      <w:r w:rsidR="00354B6E">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9" w:name="_Ref410382517"/>
      <w:r w:rsidRPr="00C4712A">
        <w:lastRenderedPageBreak/>
        <w:t xml:space="preserve">Figure </w:t>
      </w:r>
      <w:r w:rsidR="00D90958">
        <w:fldChar w:fldCharType="begin"/>
      </w:r>
      <w:r w:rsidR="00D90958">
        <w:instrText xml:space="preserve"> SEQ Figure \* ARABIC </w:instrText>
      </w:r>
      <w:r w:rsidR="00D90958">
        <w:fldChar w:fldCharType="separate"/>
      </w:r>
      <w:r w:rsidR="00354B6E">
        <w:rPr>
          <w:noProof/>
        </w:rPr>
        <w:t>2</w:t>
      </w:r>
      <w:r w:rsidR="00D90958">
        <w:rPr>
          <w:noProof/>
        </w:rPr>
        <w:fldChar w:fldCharType="end"/>
      </w:r>
      <w:bookmarkEnd w:id="9"/>
      <w:r w:rsidRPr="00C4712A">
        <w:t>: Volume weighted average spot price by region ($/MWh)</w:t>
      </w:r>
    </w:p>
    <w:p w:rsidR="001F22EE" w:rsidRDefault="00DC759C" w:rsidP="00F167CF">
      <w:pPr>
        <w:spacing w:before="0" w:after="120" w:line="240" w:lineRule="auto"/>
      </w:pPr>
      <w:r w:rsidRPr="00DC759C">
        <w:rPr>
          <w:noProof/>
          <w:lang w:eastAsia="en-AU"/>
        </w:rPr>
        <w:drawing>
          <wp:inline distT="0" distB="0" distL="0" distR="0" wp14:anchorId="64E32BB3" wp14:editId="7A106A95">
            <wp:extent cx="5731510" cy="2862539"/>
            <wp:effectExtent l="0" t="0" r="2540" b="0"/>
            <wp:docPr id="3" name="Picture 3"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2539"/>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0" w:name="_Ref410382587"/>
      <w:r w:rsidRPr="009A7F75">
        <w:t xml:space="preserve">Table </w:t>
      </w:r>
      <w:r w:rsidR="00D90958">
        <w:fldChar w:fldCharType="begin"/>
      </w:r>
      <w:r w:rsidR="00D90958">
        <w:instrText xml:space="preserve"> SEQ Table \* ARABIC </w:instrText>
      </w:r>
      <w:r w:rsidR="00D90958">
        <w:fldChar w:fldCharType="separate"/>
      </w:r>
      <w:r w:rsidR="00354B6E">
        <w:rPr>
          <w:noProof/>
        </w:rPr>
        <w:t>1</w:t>
      </w:r>
      <w:r w:rsidR="00D90958">
        <w:rPr>
          <w:noProof/>
        </w:rPr>
        <w:fldChar w:fldCharType="end"/>
      </w:r>
      <w:bookmarkEnd w:id="10"/>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DC759C" w:rsidRPr="00C4712A" w:rsidTr="00E334A4">
        <w:trPr>
          <w:trHeight w:hRule="exact" w:val="340"/>
        </w:trPr>
        <w:tc>
          <w:tcPr>
            <w:tcW w:w="1357" w:type="pct"/>
            <w:noWrap/>
            <w:vAlign w:val="center"/>
            <w:hideMark/>
          </w:tcPr>
          <w:p w:rsidR="00DC759C" w:rsidRPr="00C4712A" w:rsidRDefault="00DC759C"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DC759C" w:rsidRDefault="00DC759C" w:rsidP="00B568E6">
            <w:pPr>
              <w:spacing w:before="0" w:after="0" w:line="240" w:lineRule="auto"/>
              <w:jc w:val="center"/>
              <w:rPr>
                <w:rFonts w:cs="Arial"/>
                <w:sz w:val="20"/>
                <w:szCs w:val="20"/>
              </w:rPr>
            </w:pPr>
            <w:r>
              <w:rPr>
                <w:rFonts w:cs="Arial"/>
                <w:sz w:val="20"/>
                <w:szCs w:val="20"/>
              </w:rPr>
              <w:t>52</w:t>
            </w:r>
          </w:p>
        </w:tc>
        <w:tc>
          <w:tcPr>
            <w:tcW w:w="729" w:type="pct"/>
            <w:noWrap/>
            <w:vAlign w:val="center"/>
          </w:tcPr>
          <w:p w:rsidR="00DC759C" w:rsidRDefault="00DC759C" w:rsidP="00B568E6">
            <w:pPr>
              <w:spacing w:before="0" w:after="0" w:line="240" w:lineRule="auto"/>
              <w:jc w:val="center"/>
              <w:rPr>
                <w:rFonts w:cs="Arial"/>
                <w:sz w:val="20"/>
                <w:szCs w:val="20"/>
              </w:rPr>
            </w:pPr>
            <w:r>
              <w:rPr>
                <w:rFonts w:cs="Arial"/>
                <w:sz w:val="20"/>
                <w:szCs w:val="20"/>
              </w:rPr>
              <w:t>48</w:t>
            </w:r>
          </w:p>
        </w:tc>
        <w:tc>
          <w:tcPr>
            <w:tcW w:w="728" w:type="pct"/>
            <w:noWrap/>
            <w:vAlign w:val="center"/>
          </w:tcPr>
          <w:p w:rsidR="00DC759C" w:rsidRDefault="00DC759C" w:rsidP="00B568E6">
            <w:pPr>
              <w:spacing w:before="0" w:after="0" w:line="240" w:lineRule="auto"/>
              <w:jc w:val="center"/>
              <w:rPr>
                <w:rFonts w:cs="Arial"/>
                <w:sz w:val="20"/>
                <w:szCs w:val="20"/>
              </w:rPr>
            </w:pPr>
            <w:r>
              <w:rPr>
                <w:rFonts w:cs="Arial"/>
                <w:sz w:val="20"/>
                <w:szCs w:val="20"/>
              </w:rPr>
              <w:t>42</w:t>
            </w:r>
          </w:p>
        </w:tc>
        <w:tc>
          <w:tcPr>
            <w:tcW w:w="729" w:type="pct"/>
            <w:noWrap/>
            <w:vAlign w:val="center"/>
          </w:tcPr>
          <w:p w:rsidR="00DC759C" w:rsidRDefault="00DC759C" w:rsidP="00B568E6">
            <w:pPr>
              <w:spacing w:before="0" w:after="0" w:line="240" w:lineRule="auto"/>
              <w:jc w:val="center"/>
              <w:rPr>
                <w:rFonts w:cs="Arial"/>
                <w:sz w:val="20"/>
                <w:szCs w:val="20"/>
              </w:rPr>
            </w:pPr>
            <w:r>
              <w:rPr>
                <w:rFonts w:cs="Arial"/>
                <w:sz w:val="20"/>
                <w:szCs w:val="20"/>
              </w:rPr>
              <w:t>54</w:t>
            </w:r>
          </w:p>
        </w:tc>
        <w:tc>
          <w:tcPr>
            <w:tcW w:w="729" w:type="pct"/>
            <w:noWrap/>
            <w:vAlign w:val="center"/>
          </w:tcPr>
          <w:p w:rsidR="00DC759C" w:rsidRDefault="00DC759C" w:rsidP="00B568E6">
            <w:pPr>
              <w:spacing w:before="0" w:after="0" w:line="240" w:lineRule="auto"/>
              <w:jc w:val="center"/>
              <w:rPr>
                <w:rFonts w:cs="Arial"/>
                <w:sz w:val="20"/>
                <w:szCs w:val="20"/>
              </w:rPr>
            </w:pPr>
            <w:r>
              <w:rPr>
                <w:rFonts w:cs="Arial"/>
                <w:sz w:val="20"/>
                <w:szCs w:val="20"/>
              </w:rPr>
              <w:t>52</w:t>
            </w:r>
          </w:p>
        </w:tc>
      </w:tr>
      <w:tr w:rsidR="00DC759C"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DC759C" w:rsidRPr="00C4712A" w:rsidRDefault="00DC759C" w:rsidP="00B65CAC">
            <w:pPr>
              <w:spacing w:before="100" w:beforeAutospacing="1" w:after="100" w:afterAutospacing="1" w:line="240" w:lineRule="auto"/>
              <w:rPr>
                <w:rFonts w:cs="Arial"/>
                <w:bCs/>
                <w:szCs w:val="20"/>
              </w:rPr>
            </w:pPr>
            <w:r>
              <w:rPr>
                <w:rFonts w:cs="Arial"/>
                <w:bCs/>
                <w:szCs w:val="20"/>
              </w:rPr>
              <w:t>15-16 financial YTD</w:t>
            </w:r>
          </w:p>
        </w:tc>
        <w:tc>
          <w:tcPr>
            <w:tcW w:w="728" w:type="pct"/>
            <w:noWrap/>
            <w:vAlign w:val="center"/>
          </w:tcPr>
          <w:p w:rsidR="00DC759C" w:rsidRDefault="00DC759C" w:rsidP="00B568E6">
            <w:pPr>
              <w:spacing w:before="0" w:after="0" w:line="240" w:lineRule="auto"/>
              <w:jc w:val="center"/>
              <w:rPr>
                <w:rFonts w:cs="Arial"/>
                <w:szCs w:val="20"/>
              </w:rPr>
            </w:pPr>
            <w:r>
              <w:rPr>
                <w:rFonts w:cs="Arial"/>
                <w:szCs w:val="20"/>
              </w:rPr>
              <w:t>45</w:t>
            </w:r>
          </w:p>
        </w:tc>
        <w:tc>
          <w:tcPr>
            <w:tcW w:w="729" w:type="pct"/>
            <w:noWrap/>
            <w:vAlign w:val="center"/>
          </w:tcPr>
          <w:p w:rsidR="00DC759C" w:rsidRDefault="00DC759C" w:rsidP="00B568E6">
            <w:pPr>
              <w:spacing w:before="0" w:after="0" w:line="240" w:lineRule="auto"/>
              <w:jc w:val="center"/>
              <w:rPr>
                <w:rFonts w:cs="Arial"/>
                <w:szCs w:val="20"/>
              </w:rPr>
            </w:pPr>
            <w:r>
              <w:rPr>
                <w:rFonts w:cs="Arial"/>
                <w:szCs w:val="20"/>
              </w:rPr>
              <w:t>39</w:t>
            </w:r>
          </w:p>
        </w:tc>
        <w:tc>
          <w:tcPr>
            <w:tcW w:w="728" w:type="pct"/>
            <w:noWrap/>
            <w:vAlign w:val="center"/>
          </w:tcPr>
          <w:p w:rsidR="00DC759C" w:rsidRDefault="00DC759C" w:rsidP="00B568E6">
            <w:pPr>
              <w:spacing w:before="0" w:after="0" w:line="240" w:lineRule="auto"/>
              <w:jc w:val="center"/>
              <w:rPr>
                <w:rFonts w:cs="Arial"/>
                <w:szCs w:val="20"/>
              </w:rPr>
            </w:pPr>
            <w:r>
              <w:rPr>
                <w:rFonts w:cs="Arial"/>
                <w:szCs w:val="20"/>
              </w:rPr>
              <w:t>37</w:t>
            </w:r>
          </w:p>
        </w:tc>
        <w:tc>
          <w:tcPr>
            <w:tcW w:w="729" w:type="pct"/>
            <w:noWrap/>
            <w:vAlign w:val="center"/>
          </w:tcPr>
          <w:p w:rsidR="00DC759C" w:rsidRDefault="00DC759C" w:rsidP="00B568E6">
            <w:pPr>
              <w:spacing w:before="0" w:after="0" w:line="240" w:lineRule="auto"/>
              <w:jc w:val="center"/>
              <w:rPr>
                <w:rFonts w:cs="Arial"/>
                <w:szCs w:val="20"/>
              </w:rPr>
            </w:pPr>
            <w:r>
              <w:rPr>
                <w:rFonts w:cs="Arial"/>
                <w:szCs w:val="20"/>
              </w:rPr>
              <w:t>72</w:t>
            </w:r>
          </w:p>
        </w:tc>
        <w:tc>
          <w:tcPr>
            <w:tcW w:w="729" w:type="pct"/>
            <w:noWrap/>
            <w:vAlign w:val="center"/>
          </w:tcPr>
          <w:p w:rsidR="00DC759C" w:rsidRDefault="00DC759C" w:rsidP="00B568E6">
            <w:pPr>
              <w:spacing w:before="0" w:after="0" w:line="240" w:lineRule="auto"/>
              <w:jc w:val="center"/>
              <w:rPr>
                <w:rFonts w:cs="Arial"/>
                <w:szCs w:val="20"/>
              </w:rPr>
            </w:pPr>
            <w:r>
              <w:rPr>
                <w:rFonts w:cs="Arial"/>
                <w:szCs w:val="20"/>
              </w:rPr>
              <w:t>35</w:t>
            </w:r>
          </w:p>
        </w:tc>
      </w:tr>
      <w:tr w:rsidR="00DC759C" w:rsidRPr="00C4712A" w:rsidTr="00E334A4">
        <w:trPr>
          <w:trHeight w:hRule="exact" w:val="340"/>
        </w:trPr>
        <w:tc>
          <w:tcPr>
            <w:tcW w:w="1357" w:type="pct"/>
            <w:noWrap/>
            <w:vAlign w:val="center"/>
            <w:hideMark/>
          </w:tcPr>
          <w:p w:rsidR="00DC759C" w:rsidRPr="00C4712A" w:rsidRDefault="00DC759C" w:rsidP="009A7F75">
            <w:pPr>
              <w:spacing w:before="100" w:beforeAutospacing="1" w:after="100" w:afterAutospacing="1" w:line="240" w:lineRule="auto"/>
              <w:rPr>
                <w:rFonts w:cs="Arial"/>
                <w:bCs/>
                <w:sz w:val="20"/>
                <w:szCs w:val="20"/>
              </w:rPr>
            </w:pPr>
            <w:r>
              <w:rPr>
                <w:rFonts w:cs="Arial"/>
                <w:bCs/>
                <w:sz w:val="20"/>
                <w:szCs w:val="20"/>
              </w:rPr>
              <w:t>16-17</w:t>
            </w:r>
            <w:r w:rsidRPr="00C4712A">
              <w:rPr>
                <w:rFonts w:cs="Arial"/>
                <w:bCs/>
                <w:sz w:val="20"/>
                <w:szCs w:val="20"/>
              </w:rPr>
              <w:t xml:space="preserve"> </w:t>
            </w:r>
            <w:r>
              <w:rPr>
                <w:rFonts w:cs="Arial"/>
                <w:bCs/>
                <w:sz w:val="20"/>
                <w:szCs w:val="20"/>
              </w:rPr>
              <w:t>financial YTD</w:t>
            </w:r>
          </w:p>
        </w:tc>
        <w:tc>
          <w:tcPr>
            <w:tcW w:w="728" w:type="pct"/>
            <w:noWrap/>
            <w:vAlign w:val="center"/>
          </w:tcPr>
          <w:p w:rsidR="00DC759C" w:rsidRDefault="00DC759C" w:rsidP="00B568E6">
            <w:pPr>
              <w:spacing w:before="0" w:after="0" w:line="240" w:lineRule="auto"/>
              <w:jc w:val="center"/>
              <w:rPr>
                <w:rFonts w:cs="Arial"/>
                <w:sz w:val="20"/>
                <w:szCs w:val="20"/>
              </w:rPr>
            </w:pPr>
            <w:r>
              <w:rPr>
                <w:rFonts w:cs="Arial"/>
                <w:sz w:val="20"/>
                <w:szCs w:val="20"/>
              </w:rPr>
              <w:t>57</w:t>
            </w:r>
          </w:p>
        </w:tc>
        <w:tc>
          <w:tcPr>
            <w:tcW w:w="729" w:type="pct"/>
            <w:noWrap/>
            <w:vAlign w:val="center"/>
          </w:tcPr>
          <w:p w:rsidR="00DC759C" w:rsidRDefault="00DC759C" w:rsidP="00B568E6">
            <w:pPr>
              <w:spacing w:before="0" w:after="0" w:line="240" w:lineRule="auto"/>
              <w:jc w:val="center"/>
              <w:rPr>
                <w:rFonts w:cs="Arial"/>
                <w:sz w:val="20"/>
                <w:szCs w:val="20"/>
              </w:rPr>
            </w:pPr>
            <w:r>
              <w:rPr>
                <w:rFonts w:cs="Arial"/>
                <w:sz w:val="20"/>
                <w:szCs w:val="20"/>
              </w:rPr>
              <w:t>60</w:t>
            </w:r>
          </w:p>
        </w:tc>
        <w:tc>
          <w:tcPr>
            <w:tcW w:w="728" w:type="pct"/>
            <w:noWrap/>
            <w:vAlign w:val="center"/>
          </w:tcPr>
          <w:p w:rsidR="00DC759C" w:rsidRDefault="00DC759C" w:rsidP="00B568E6">
            <w:pPr>
              <w:spacing w:before="0" w:after="0" w:line="240" w:lineRule="auto"/>
              <w:jc w:val="center"/>
              <w:rPr>
                <w:rFonts w:cs="Arial"/>
                <w:sz w:val="20"/>
                <w:szCs w:val="20"/>
              </w:rPr>
            </w:pPr>
            <w:r>
              <w:rPr>
                <w:rFonts w:cs="Arial"/>
                <w:sz w:val="20"/>
                <w:szCs w:val="20"/>
              </w:rPr>
              <w:t>57</w:t>
            </w:r>
          </w:p>
        </w:tc>
        <w:tc>
          <w:tcPr>
            <w:tcW w:w="729" w:type="pct"/>
            <w:noWrap/>
            <w:vAlign w:val="center"/>
          </w:tcPr>
          <w:p w:rsidR="00DC759C" w:rsidRDefault="00DC759C" w:rsidP="00B568E6">
            <w:pPr>
              <w:spacing w:before="0" w:after="0" w:line="240" w:lineRule="auto"/>
              <w:jc w:val="center"/>
              <w:rPr>
                <w:rFonts w:cs="Arial"/>
                <w:sz w:val="20"/>
                <w:szCs w:val="20"/>
              </w:rPr>
            </w:pPr>
            <w:r>
              <w:rPr>
                <w:rFonts w:cs="Arial"/>
                <w:sz w:val="20"/>
                <w:szCs w:val="20"/>
              </w:rPr>
              <w:t>160</w:t>
            </w:r>
          </w:p>
        </w:tc>
        <w:tc>
          <w:tcPr>
            <w:tcW w:w="729" w:type="pct"/>
            <w:noWrap/>
            <w:vAlign w:val="center"/>
          </w:tcPr>
          <w:p w:rsidR="00DC759C" w:rsidRDefault="00DC759C" w:rsidP="00B568E6">
            <w:pPr>
              <w:spacing w:before="0" w:after="0" w:line="240" w:lineRule="auto"/>
              <w:jc w:val="center"/>
              <w:rPr>
                <w:rFonts w:cs="Arial"/>
                <w:sz w:val="20"/>
                <w:szCs w:val="20"/>
              </w:rPr>
            </w:pPr>
            <w:r>
              <w:rPr>
                <w:rFonts w:cs="Arial"/>
                <w:sz w:val="20"/>
                <w:szCs w:val="20"/>
              </w:rPr>
              <w:t>58</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DC759C" w:rsidP="000F5487">
      <w:pPr>
        <w:pStyle w:val="AERbodytext"/>
      </w:pPr>
      <w:r>
        <w:t>There were 21</w:t>
      </w:r>
      <w:r w:rsidR="000B1726">
        <w:t>0</w:t>
      </w:r>
      <w:r w:rsidR="000F5487">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354B6E" w:rsidRPr="00C4712A">
        <w:t xml:space="preserve">Table </w:t>
      </w:r>
      <w:r w:rsidR="00354B6E">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lastRenderedPageBreak/>
        <w:t xml:space="preserve">Table </w:t>
      </w:r>
      <w:r w:rsidR="00D90958">
        <w:fldChar w:fldCharType="begin"/>
      </w:r>
      <w:r w:rsidR="00D90958">
        <w:instrText xml:space="preserve"> SEQ Table \* ARABIC </w:instrText>
      </w:r>
      <w:r w:rsidR="00D90958">
        <w:fldChar w:fldCharType="separate"/>
      </w:r>
      <w:r w:rsidR="00354B6E">
        <w:rPr>
          <w:noProof/>
        </w:rPr>
        <w:t>2</w:t>
      </w:r>
      <w:r w:rsidR="00D90958">
        <w:rPr>
          <w:noProof/>
        </w:rPr>
        <w:fldChar w:fldCharType="end"/>
      </w:r>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DC759C"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DC759C" w:rsidRPr="00C4712A" w:rsidRDefault="00DC759C" w:rsidP="006C62B7">
            <w:pPr>
              <w:spacing w:after="0" w:line="240" w:lineRule="auto"/>
              <w:rPr>
                <w:sz w:val="20"/>
                <w:szCs w:val="20"/>
              </w:rPr>
            </w:pPr>
            <w:r w:rsidRPr="00C4712A">
              <w:rPr>
                <w:sz w:val="20"/>
                <w:szCs w:val="20"/>
              </w:rPr>
              <w:t>% of total above forecast</w:t>
            </w:r>
          </w:p>
        </w:tc>
        <w:tc>
          <w:tcPr>
            <w:tcW w:w="1571" w:type="dxa"/>
            <w:noWrap/>
            <w:vAlign w:val="center"/>
          </w:tcPr>
          <w:p w:rsidR="00DC759C" w:rsidRDefault="00DC759C" w:rsidP="00D90958">
            <w:pPr>
              <w:spacing w:after="0" w:line="240" w:lineRule="auto"/>
              <w:jc w:val="center"/>
              <w:rPr>
                <w:rFonts w:cs="Arial"/>
                <w:sz w:val="20"/>
                <w:szCs w:val="20"/>
              </w:rPr>
            </w:pPr>
            <w:r>
              <w:rPr>
                <w:rFonts w:cs="Arial"/>
                <w:sz w:val="20"/>
                <w:szCs w:val="20"/>
              </w:rPr>
              <w:t>2</w:t>
            </w:r>
          </w:p>
        </w:tc>
        <w:tc>
          <w:tcPr>
            <w:tcW w:w="1572" w:type="dxa"/>
            <w:noWrap/>
            <w:vAlign w:val="center"/>
          </w:tcPr>
          <w:p w:rsidR="00DC759C" w:rsidRDefault="00DC759C" w:rsidP="00D90958">
            <w:pPr>
              <w:spacing w:after="0" w:line="240" w:lineRule="auto"/>
              <w:jc w:val="center"/>
              <w:rPr>
                <w:rFonts w:cs="Arial"/>
                <w:sz w:val="20"/>
                <w:szCs w:val="20"/>
              </w:rPr>
            </w:pPr>
            <w:r>
              <w:rPr>
                <w:rFonts w:cs="Arial"/>
                <w:sz w:val="20"/>
                <w:szCs w:val="20"/>
              </w:rPr>
              <w:t>81</w:t>
            </w:r>
          </w:p>
        </w:tc>
        <w:tc>
          <w:tcPr>
            <w:tcW w:w="1572" w:type="dxa"/>
            <w:noWrap/>
            <w:vAlign w:val="center"/>
          </w:tcPr>
          <w:p w:rsidR="00DC759C" w:rsidRDefault="00DC759C" w:rsidP="00D90958">
            <w:pPr>
              <w:spacing w:after="0" w:line="240" w:lineRule="auto"/>
              <w:jc w:val="center"/>
              <w:rPr>
                <w:rFonts w:cs="Arial"/>
                <w:sz w:val="20"/>
                <w:szCs w:val="20"/>
              </w:rPr>
            </w:pPr>
            <w:r>
              <w:rPr>
                <w:rFonts w:cs="Arial"/>
                <w:sz w:val="20"/>
                <w:szCs w:val="20"/>
              </w:rPr>
              <w:t>0</w:t>
            </w:r>
          </w:p>
        </w:tc>
        <w:tc>
          <w:tcPr>
            <w:tcW w:w="1572" w:type="dxa"/>
            <w:vAlign w:val="center"/>
          </w:tcPr>
          <w:p w:rsidR="00DC759C" w:rsidRDefault="00DC759C" w:rsidP="00D90958">
            <w:pPr>
              <w:spacing w:after="0" w:line="240" w:lineRule="auto"/>
              <w:jc w:val="center"/>
              <w:rPr>
                <w:rFonts w:cs="Arial"/>
                <w:sz w:val="20"/>
                <w:szCs w:val="20"/>
              </w:rPr>
            </w:pPr>
            <w:r>
              <w:rPr>
                <w:rFonts w:cs="Arial"/>
                <w:sz w:val="20"/>
                <w:szCs w:val="20"/>
              </w:rPr>
              <w:t>1</w:t>
            </w:r>
          </w:p>
        </w:tc>
      </w:tr>
      <w:tr w:rsidR="00DC759C"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DC759C" w:rsidRPr="00C4712A" w:rsidRDefault="00DC759C" w:rsidP="006C62B7">
            <w:pPr>
              <w:spacing w:after="0" w:line="240" w:lineRule="auto"/>
              <w:rPr>
                <w:sz w:val="20"/>
                <w:szCs w:val="20"/>
              </w:rPr>
            </w:pPr>
            <w:r w:rsidRPr="00C4712A">
              <w:rPr>
                <w:sz w:val="20"/>
                <w:szCs w:val="20"/>
              </w:rPr>
              <w:t>% of total below forecast</w:t>
            </w:r>
          </w:p>
        </w:tc>
        <w:tc>
          <w:tcPr>
            <w:tcW w:w="1571" w:type="dxa"/>
            <w:noWrap/>
            <w:vAlign w:val="center"/>
          </w:tcPr>
          <w:p w:rsidR="00DC759C" w:rsidRDefault="00DC759C" w:rsidP="00D90958">
            <w:pPr>
              <w:spacing w:after="0" w:line="240" w:lineRule="auto"/>
              <w:jc w:val="center"/>
              <w:rPr>
                <w:rFonts w:cs="Arial"/>
                <w:sz w:val="20"/>
                <w:szCs w:val="20"/>
              </w:rPr>
            </w:pPr>
            <w:r>
              <w:rPr>
                <w:rFonts w:cs="Arial"/>
                <w:sz w:val="20"/>
                <w:szCs w:val="20"/>
              </w:rPr>
              <w:t>13</w:t>
            </w:r>
          </w:p>
        </w:tc>
        <w:tc>
          <w:tcPr>
            <w:tcW w:w="1572" w:type="dxa"/>
            <w:noWrap/>
            <w:vAlign w:val="center"/>
          </w:tcPr>
          <w:p w:rsidR="00DC759C" w:rsidRDefault="00DC759C" w:rsidP="00D90958">
            <w:pPr>
              <w:spacing w:after="0" w:line="240" w:lineRule="auto"/>
              <w:jc w:val="center"/>
              <w:rPr>
                <w:rFonts w:cs="Arial"/>
                <w:sz w:val="20"/>
                <w:szCs w:val="20"/>
              </w:rPr>
            </w:pPr>
            <w:r>
              <w:rPr>
                <w:rFonts w:cs="Arial"/>
                <w:sz w:val="20"/>
                <w:szCs w:val="20"/>
              </w:rPr>
              <w:t>2</w:t>
            </w:r>
          </w:p>
        </w:tc>
        <w:tc>
          <w:tcPr>
            <w:tcW w:w="1572" w:type="dxa"/>
            <w:noWrap/>
            <w:vAlign w:val="center"/>
          </w:tcPr>
          <w:p w:rsidR="00DC759C" w:rsidRDefault="00DC759C" w:rsidP="00D90958">
            <w:pPr>
              <w:spacing w:after="0" w:line="240" w:lineRule="auto"/>
              <w:jc w:val="center"/>
              <w:rPr>
                <w:rFonts w:cs="Arial"/>
                <w:sz w:val="20"/>
                <w:szCs w:val="20"/>
              </w:rPr>
            </w:pPr>
            <w:r>
              <w:rPr>
                <w:rFonts w:cs="Arial"/>
                <w:sz w:val="20"/>
                <w:szCs w:val="20"/>
              </w:rPr>
              <w:t>0</w:t>
            </w:r>
          </w:p>
        </w:tc>
        <w:tc>
          <w:tcPr>
            <w:tcW w:w="1572" w:type="dxa"/>
            <w:vAlign w:val="center"/>
          </w:tcPr>
          <w:p w:rsidR="00DC759C" w:rsidRDefault="00DC759C" w:rsidP="00D90958">
            <w:pPr>
              <w:spacing w:after="0" w:line="240" w:lineRule="auto"/>
              <w:jc w:val="center"/>
              <w:rPr>
                <w:rFonts w:cs="Arial"/>
                <w:sz w:val="20"/>
                <w:szCs w:val="20"/>
              </w:rPr>
            </w:pPr>
            <w:r>
              <w:rPr>
                <w:rFonts w:cs="Arial"/>
                <w:sz w:val="20"/>
                <w:szCs w:val="20"/>
              </w:rPr>
              <w:t>0</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354B6E" w:rsidRPr="00C4712A">
        <w:t xml:space="preserve">Figure </w:t>
      </w:r>
      <w:r w:rsidR="00354B6E">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354B6E" w:rsidRPr="002C6B96">
        <w:t xml:space="preserve">Figure </w:t>
      </w:r>
      <w:r w:rsidR="00354B6E" w:rsidRPr="00354B6E">
        <w:rPr>
          <w:bCs w:val="0"/>
          <w:noProof/>
        </w:rPr>
        <w:t>7</w:t>
      </w:r>
      <w:r w:rsidR="00C81324">
        <w:fldChar w:fldCharType="end"/>
      </w:r>
      <w:r w:rsidR="00C81324">
        <w:t xml:space="preserve"> </w:t>
      </w:r>
      <w:r w:rsidR="001121C2">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C4712A">
        <w:t xml:space="preserve">Figure </w:t>
      </w:r>
      <w:r w:rsidR="00D90958">
        <w:fldChar w:fldCharType="begin"/>
      </w:r>
      <w:r w:rsidR="00D90958">
        <w:instrText xml:space="preserve"> SEQ Figure \* ARABIC </w:instrText>
      </w:r>
      <w:r w:rsidR="00D90958">
        <w:fldChar w:fldCharType="separate"/>
      </w:r>
      <w:r w:rsidR="00354B6E">
        <w:rPr>
          <w:noProof/>
        </w:rPr>
        <w:t>3</w:t>
      </w:r>
      <w:r w:rsidR="00D90958">
        <w:rPr>
          <w:noProof/>
        </w:rPr>
        <w:fldChar w:fldCharType="end"/>
      </w:r>
      <w:bookmarkEnd w:id="13"/>
      <w:r w:rsidRPr="00C4712A">
        <w:t>: Queensland generation and bidding patterns</w:t>
      </w:r>
    </w:p>
    <w:p w:rsidR="007B78AB" w:rsidRPr="008707C1" w:rsidRDefault="00DC759C" w:rsidP="00886FA8">
      <w:pPr>
        <w:pStyle w:val="AERbodytext"/>
        <w:rPr>
          <w:bCs w:val="0"/>
        </w:rPr>
      </w:pPr>
      <w:r w:rsidRPr="00DC759C">
        <w:rPr>
          <w:noProof/>
        </w:rPr>
        <w:drawing>
          <wp:inline distT="0" distB="0" distL="0" distR="0" wp14:anchorId="62D5E04B" wp14:editId="420A9B5A">
            <wp:extent cx="5731510" cy="4118068"/>
            <wp:effectExtent l="0" t="0" r="2540" b="0"/>
            <wp:docPr id="4" name="Picture 4" descr="Figure 4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C4712A">
        <w:lastRenderedPageBreak/>
        <w:t xml:space="preserve">Figure </w:t>
      </w:r>
      <w:r w:rsidR="00D90958">
        <w:fldChar w:fldCharType="begin"/>
      </w:r>
      <w:r w:rsidR="00D90958">
        <w:instrText xml:space="preserve"> SEQ Figure \* ARABIC </w:instrText>
      </w:r>
      <w:r w:rsidR="00D90958">
        <w:fldChar w:fldCharType="separate"/>
      </w:r>
      <w:r w:rsidR="00354B6E">
        <w:rPr>
          <w:noProof/>
        </w:rPr>
        <w:t>4</w:t>
      </w:r>
      <w:r w:rsidR="00D90958">
        <w:rPr>
          <w:noProof/>
        </w:rPr>
        <w:fldChar w:fldCharType="end"/>
      </w:r>
      <w:bookmarkEnd w:id="14"/>
      <w:r w:rsidRPr="00C4712A">
        <w:t>: New South Wales generation and bidding patterns</w:t>
      </w:r>
    </w:p>
    <w:p w:rsidR="00181C46" w:rsidRPr="00C4712A" w:rsidRDefault="00DC759C" w:rsidP="00181C46">
      <w:r w:rsidRPr="00DC759C">
        <w:rPr>
          <w:noProof/>
          <w:lang w:eastAsia="en-AU"/>
        </w:rPr>
        <w:drawing>
          <wp:inline distT="0" distB="0" distL="0" distR="0" wp14:anchorId="2BF69A12" wp14:editId="2E817E3B">
            <wp:extent cx="5731510" cy="4124003"/>
            <wp:effectExtent l="0" t="0" r="2540" b="0"/>
            <wp:docPr id="8" name="Picture 8"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4003"/>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D90958">
        <w:fldChar w:fldCharType="begin"/>
      </w:r>
      <w:r w:rsidR="00D90958">
        <w:instrText xml:space="preserve"> SEQ Figure \* ARABIC </w:instrText>
      </w:r>
      <w:r w:rsidR="00D90958">
        <w:fldChar w:fldCharType="separate"/>
      </w:r>
      <w:r w:rsidR="00354B6E">
        <w:rPr>
          <w:noProof/>
        </w:rPr>
        <w:t>5</w:t>
      </w:r>
      <w:r w:rsidR="00D90958">
        <w:rPr>
          <w:noProof/>
        </w:rPr>
        <w:fldChar w:fldCharType="end"/>
      </w:r>
      <w:r w:rsidRPr="00C4712A">
        <w:t>: Victoria generation and bidding patterns</w:t>
      </w:r>
    </w:p>
    <w:p w:rsidR="00FB265D" w:rsidRDefault="00DC759C" w:rsidP="00FB265D">
      <w:r w:rsidRPr="00DC759C">
        <w:rPr>
          <w:noProof/>
          <w:lang w:eastAsia="en-AU"/>
        </w:rPr>
        <w:drawing>
          <wp:inline distT="0" distB="0" distL="0" distR="0" wp14:anchorId="38D4612B" wp14:editId="46A09041">
            <wp:extent cx="5731510" cy="4118068"/>
            <wp:effectExtent l="0" t="0" r="2540" b="0"/>
            <wp:docPr id="11" name="Picture 11" descr="Figure 4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275002" w:rsidRDefault="00275002" w:rsidP="000E2946">
      <w:pPr>
        <w:pStyle w:val="Caption"/>
      </w:pPr>
      <w:bookmarkStart w:id="15" w:name="_Ref423965683"/>
      <w:r w:rsidRPr="00610304">
        <w:lastRenderedPageBreak/>
        <w:t xml:space="preserve">Figure </w:t>
      </w:r>
      <w:r w:rsidR="00D90958">
        <w:fldChar w:fldCharType="begin"/>
      </w:r>
      <w:r w:rsidR="00D90958">
        <w:instrText xml:space="preserve"> SEQ Figure \* ARABIC </w:instrText>
      </w:r>
      <w:r w:rsidR="00D90958">
        <w:fldChar w:fldCharType="separate"/>
      </w:r>
      <w:r w:rsidR="00354B6E">
        <w:rPr>
          <w:noProof/>
        </w:rPr>
        <w:t>6</w:t>
      </w:r>
      <w:r w:rsidR="00D90958">
        <w:rPr>
          <w:noProof/>
        </w:rPr>
        <w:fldChar w:fldCharType="end"/>
      </w:r>
      <w:bookmarkEnd w:id="15"/>
      <w:r w:rsidRPr="00610304">
        <w:t>: South Australia generation and bidding patterns</w:t>
      </w:r>
    </w:p>
    <w:p w:rsidR="002F2481" w:rsidRDefault="003A5E58" w:rsidP="00A25353">
      <w:r w:rsidRPr="003A5E58">
        <w:rPr>
          <w:noProof/>
          <w:lang w:eastAsia="en-AU"/>
        </w:rPr>
        <w:drawing>
          <wp:inline distT="0" distB="0" distL="0" distR="0" wp14:anchorId="18CADB18" wp14:editId="3943D427">
            <wp:extent cx="5731510" cy="4240073"/>
            <wp:effectExtent l="0" t="0" r="2540" b="8255"/>
            <wp:docPr id="13" name="Picture 13"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40073"/>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2C6B96">
        <w:t xml:space="preserve">Figure </w:t>
      </w:r>
      <w:r w:rsidR="00D90958">
        <w:fldChar w:fldCharType="begin"/>
      </w:r>
      <w:r w:rsidR="00D90958">
        <w:instrText xml:space="preserve"> SEQ Figure \* ARABIC </w:instrText>
      </w:r>
      <w:r w:rsidR="00D90958">
        <w:fldChar w:fldCharType="separate"/>
      </w:r>
      <w:r w:rsidR="00354B6E">
        <w:rPr>
          <w:noProof/>
        </w:rPr>
        <w:t>7</w:t>
      </w:r>
      <w:r w:rsidR="00D90958">
        <w:rPr>
          <w:noProof/>
        </w:rPr>
        <w:fldChar w:fldCharType="end"/>
      </w:r>
      <w:bookmarkEnd w:id="16"/>
      <w:r w:rsidRPr="002C6B96">
        <w:t>: Tasmania generation and bidding patterns</w:t>
      </w:r>
    </w:p>
    <w:bookmarkEnd w:id="17"/>
    <w:p w:rsidR="00E43848" w:rsidRDefault="00DC759C" w:rsidP="00AF7C0E">
      <w:pPr>
        <w:pStyle w:val="AERbodytext"/>
      </w:pPr>
      <w:r w:rsidRPr="00DC759C">
        <w:rPr>
          <w:noProof/>
        </w:rPr>
        <w:drawing>
          <wp:inline distT="0" distB="0" distL="0" distR="0" wp14:anchorId="7A2EAAFD" wp14:editId="6B62AF68">
            <wp:extent cx="5731510" cy="4118068"/>
            <wp:effectExtent l="0" t="0" r="2540" b="0"/>
            <wp:docPr id="12" name="Picture 12" descr="Figure 4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0D75BA">
      <w:pPr>
        <w:pStyle w:val="Bulletpoint"/>
        <w:jc w:val="both"/>
      </w:pPr>
      <w:r w:rsidRPr="00C4712A">
        <w:t>fast services, which arrest a frequency deviation within the first 6 seconds of a contingent event (raise and lower 6 second)</w:t>
      </w:r>
    </w:p>
    <w:p w:rsidR="00275002" w:rsidRPr="00C4712A" w:rsidRDefault="00275002" w:rsidP="000D75BA">
      <w:pPr>
        <w:pStyle w:val="Bulletpoint"/>
        <w:jc w:val="both"/>
      </w:pPr>
      <w:r w:rsidRPr="00C4712A">
        <w:t>slow services, which stabilise frequency deviations within 60 seconds of the event (raise and lower 60 second)</w:t>
      </w:r>
    </w:p>
    <w:p w:rsidR="00275002" w:rsidRPr="00C4712A" w:rsidRDefault="00275002" w:rsidP="000D75BA">
      <w:pPr>
        <w:pStyle w:val="Bulletpoint"/>
        <w:jc w:val="both"/>
      </w:pPr>
      <w:proofErr w:type="gramStart"/>
      <w:r w:rsidRPr="00C4712A">
        <w:t>delayed</w:t>
      </w:r>
      <w:proofErr w:type="gramEnd"/>
      <w:r w:rsidRPr="00C4712A">
        <w:t xml:space="preserve"> services, which return the frequency to the normal operating band within 5</w:t>
      </w:r>
      <w:r w:rsidR="000D75BA">
        <w:t> </w:t>
      </w:r>
      <w:r w:rsidRPr="00C4712A">
        <w:t>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6861F0" w:rsidRPr="006861F0" w:rsidRDefault="006861F0" w:rsidP="006861F0">
      <w:pPr>
        <w:spacing w:before="120" w:after="120" w:line="240" w:lineRule="auto"/>
        <w:jc w:val="both"/>
        <w:rPr>
          <w:rFonts w:eastAsia="Times New Roman" w:cs="Arial"/>
          <w:bCs/>
          <w:lang w:eastAsia="en-AU"/>
        </w:rPr>
      </w:pPr>
      <w:bookmarkStart w:id="18" w:name="_Ref410383413"/>
      <w:r w:rsidRPr="006861F0">
        <w:rPr>
          <w:rFonts w:eastAsia="Times New Roman" w:cs="Arial"/>
          <w:bCs/>
          <w:lang w:eastAsia="en-AU"/>
        </w:rPr>
        <w:t xml:space="preserve">The total cost of FCAS on </w:t>
      </w:r>
      <w:r w:rsidR="00F20C14">
        <w:rPr>
          <w:rFonts w:eastAsia="Times New Roman" w:cs="Arial"/>
          <w:bCs/>
          <w:lang w:eastAsia="en-AU"/>
        </w:rPr>
        <w:t>the mainland for the week was $8</w:t>
      </w:r>
      <w:r>
        <w:rPr>
          <w:rFonts w:eastAsia="Times New Roman" w:cs="Arial"/>
          <w:bCs/>
          <w:lang w:eastAsia="en-AU"/>
        </w:rPr>
        <w:t> </w:t>
      </w:r>
      <w:r w:rsidR="003A5E58">
        <w:rPr>
          <w:rFonts w:eastAsia="Times New Roman" w:cs="Arial"/>
          <w:bCs/>
          <w:lang w:eastAsia="en-AU"/>
        </w:rPr>
        <w:t>46</w:t>
      </w:r>
      <w:r w:rsidR="00F20C14">
        <w:rPr>
          <w:rFonts w:eastAsia="Times New Roman" w:cs="Arial"/>
          <w:bCs/>
          <w:lang w:eastAsia="en-AU"/>
        </w:rPr>
        <w:t>5</w:t>
      </w:r>
      <w:r>
        <w:rPr>
          <w:rFonts w:eastAsia="Times New Roman" w:cs="Arial"/>
          <w:bCs/>
          <w:lang w:eastAsia="en-AU"/>
        </w:rPr>
        <w:t> </w:t>
      </w:r>
      <w:r w:rsidR="003A5E58">
        <w:rPr>
          <w:rFonts w:eastAsia="Times New Roman" w:cs="Arial"/>
          <w:bCs/>
          <w:lang w:eastAsia="en-AU"/>
        </w:rPr>
        <w:t>5</w:t>
      </w:r>
      <w:r w:rsidRPr="006861F0">
        <w:rPr>
          <w:rFonts w:eastAsia="Times New Roman" w:cs="Arial"/>
          <w:bCs/>
          <w:lang w:eastAsia="en-AU"/>
        </w:rPr>
        <w:t xml:space="preserve">00 or </w:t>
      </w:r>
      <w:r w:rsidR="003A5E58">
        <w:rPr>
          <w:rFonts w:eastAsia="Times New Roman" w:cs="Arial"/>
          <w:bCs/>
          <w:lang w:eastAsia="en-AU"/>
        </w:rPr>
        <w:t>around</w:t>
      </w:r>
      <w:r w:rsidRPr="006861F0">
        <w:rPr>
          <w:rFonts w:eastAsia="Times New Roman" w:cs="Arial"/>
          <w:bCs/>
          <w:lang w:eastAsia="en-AU"/>
        </w:rPr>
        <w:t xml:space="preserve"> </w:t>
      </w:r>
      <w:r w:rsidR="003A5E58">
        <w:rPr>
          <w:rFonts w:eastAsia="Times New Roman" w:cs="Arial"/>
          <w:bCs/>
          <w:lang w:eastAsia="en-AU"/>
        </w:rPr>
        <w:t>5</w:t>
      </w:r>
      <w:r w:rsidRPr="006861F0">
        <w:rPr>
          <w:rFonts w:eastAsia="Times New Roman" w:cs="Arial"/>
          <w:bCs/>
          <w:lang w:eastAsia="en-AU"/>
        </w:rPr>
        <w:t xml:space="preserve"> per cent of energy turnover on the mainland.</w:t>
      </w:r>
    </w:p>
    <w:p w:rsidR="00354B6E" w:rsidRPr="006861F0" w:rsidRDefault="006861F0" w:rsidP="006861F0">
      <w:pPr>
        <w:spacing w:before="120" w:after="120" w:line="240" w:lineRule="auto"/>
        <w:jc w:val="both"/>
        <w:rPr>
          <w:rFonts w:eastAsia="Times New Roman" w:cs="Arial"/>
          <w:bCs/>
          <w:lang w:eastAsia="en-AU"/>
        </w:rPr>
      </w:pPr>
      <w:r w:rsidRPr="006861F0">
        <w:rPr>
          <w:rFonts w:eastAsia="Times New Roman" w:cs="Arial"/>
          <w:bCs/>
          <w:lang w:eastAsia="en-AU"/>
        </w:rPr>
        <w:t>The total cost of FCAS i</w:t>
      </w:r>
      <w:r w:rsidR="000B589F">
        <w:rPr>
          <w:rFonts w:eastAsia="Times New Roman" w:cs="Arial"/>
          <w:bCs/>
          <w:lang w:eastAsia="en-AU"/>
        </w:rPr>
        <w:t>n Tasmania for the week was $</w:t>
      </w:r>
      <w:r w:rsidR="003A5E58">
        <w:rPr>
          <w:rFonts w:eastAsia="Times New Roman" w:cs="Arial"/>
          <w:bCs/>
          <w:lang w:eastAsia="en-AU"/>
        </w:rPr>
        <w:t>262</w:t>
      </w:r>
      <w:r>
        <w:rPr>
          <w:rFonts w:eastAsia="Times New Roman" w:cs="Arial"/>
          <w:bCs/>
          <w:lang w:eastAsia="en-AU"/>
        </w:rPr>
        <w:t> </w:t>
      </w:r>
      <w:r w:rsidR="003A5E58">
        <w:rPr>
          <w:rFonts w:eastAsia="Times New Roman" w:cs="Arial"/>
          <w:bCs/>
          <w:lang w:eastAsia="en-AU"/>
        </w:rPr>
        <w:t>0</w:t>
      </w:r>
      <w:r w:rsidRPr="006861F0">
        <w:rPr>
          <w:rFonts w:eastAsia="Times New Roman" w:cs="Arial"/>
          <w:bCs/>
          <w:lang w:eastAsia="en-AU"/>
        </w:rPr>
        <w:t xml:space="preserve">00 or </w:t>
      </w:r>
      <w:r w:rsidR="003A5E58">
        <w:rPr>
          <w:rFonts w:eastAsia="Times New Roman" w:cs="Arial"/>
          <w:bCs/>
          <w:lang w:eastAsia="en-AU"/>
        </w:rPr>
        <w:t>around 3</w:t>
      </w:r>
      <w:r w:rsidRPr="006861F0">
        <w:rPr>
          <w:rFonts w:eastAsia="Times New Roman" w:cs="Arial"/>
          <w:bCs/>
          <w:lang w:eastAsia="en-AU"/>
        </w:rPr>
        <w:t xml:space="preserve"> per cent of energy turnover in Tasmania.</w:t>
      </w:r>
      <w:r w:rsidR="00F3590E" w:rsidRPr="00C4712A">
        <w:rPr>
          <w:rFonts w:eastAsia="Times New Roman" w:cs="Arial"/>
          <w:bCs/>
          <w:lang w:eastAsia="en-AU"/>
        </w:rPr>
        <w:fldChar w:fldCharType="begin"/>
      </w:r>
      <w:r w:rsidR="00F3590E" w:rsidRPr="006861F0">
        <w:rPr>
          <w:rFonts w:eastAsia="Times New Roman" w:cs="Arial"/>
          <w:bCs/>
          <w:lang w:eastAsia="en-AU"/>
        </w:rPr>
        <w:instrText xml:space="preserve"> REF _Ref418082853 \h </w:instrText>
      </w:r>
      <w:r w:rsidR="00215E19" w:rsidRPr="006861F0">
        <w:rPr>
          <w:rFonts w:eastAsia="Times New Roman" w:cs="Arial"/>
          <w:bCs/>
          <w:lang w:eastAsia="en-AU"/>
        </w:rPr>
        <w:instrText xml:space="preserve"> \* MERGEFORMAT </w:instrText>
      </w:r>
      <w:r w:rsidR="00F3590E" w:rsidRPr="00C4712A">
        <w:rPr>
          <w:rFonts w:eastAsia="Times New Roman" w:cs="Arial"/>
          <w:bCs/>
          <w:lang w:eastAsia="en-AU"/>
        </w:rPr>
      </w:r>
      <w:r w:rsidR="00F3590E" w:rsidRPr="00C4712A">
        <w:rPr>
          <w:rFonts w:eastAsia="Times New Roman" w:cs="Arial"/>
          <w:bCs/>
          <w:lang w:eastAsia="en-AU"/>
        </w:rPr>
        <w:fldChar w:fldCharType="separate"/>
      </w:r>
    </w:p>
    <w:p w:rsidR="00B01BD3" w:rsidRDefault="00354B6E" w:rsidP="00551739">
      <w:pPr>
        <w:pStyle w:val="AERbodytext"/>
      </w:pPr>
      <w:r w:rsidRPr="00551739">
        <w:t xml:space="preserve">Figure </w:t>
      </w:r>
      <w: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354B6E">
        <w:rPr>
          <w:noProof/>
        </w:rPr>
        <w:t>8</w:t>
      </w:r>
      <w:r w:rsidR="00DF6E09">
        <w:rPr>
          <w:noProof/>
        </w:rPr>
        <w:fldChar w:fldCharType="end"/>
      </w:r>
      <w:bookmarkEnd w:id="18"/>
      <w:bookmarkEnd w:id="19"/>
      <w:r w:rsidRPr="00551739">
        <w:rPr>
          <w:noProof/>
        </w:rPr>
        <w:t>: Daily frequency control ancillary service cost</w:t>
      </w:r>
    </w:p>
    <w:p w:rsidR="00562103" w:rsidRDefault="005C08DE" w:rsidP="00562103">
      <w:r w:rsidRPr="005C08DE">
        <w:rPr>
          <w:noProof/>
          <w:lang w:eastAsia="en-AU"/>
        </w:rPr>
        <w:drawing>
          <wp:inline distT="0" distB="0" distL="0" distR="0" wp14:anchorId="43F02097" wp14:editId="6E1F2BC7">
            <wp:extent cx="5731510" cy="2893149"/>
            <wp:effectExtent l="0" t="0" r="2540" b="2540"/>
            <wp:docPr id="15" name="Picture 15"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149"/>
                    </a:xfrm>
                    <a:prstGeom prst="rect">
                      <a:avLst/>
                    </a:prstGeom>
                    <a:noFill/>
                    <a:ln>
                      <a:noFill/>
                    </a:ln>
                  </pic:spPr>
                </pic:pic>
              </a:graphicData>
            </a:graphic>
          </wp:inline>
        </w:drawing>
      </w:r>
    </w:p>
    <w:p w:rsidR="003A5E58" w:rsidRPr="003A5E58" w:rsidRDefault="00C71DE6" w:rsidP="00631C80">
      <w:pPr>
        <w:pStyle w:val="AERbodytext"/>
      </w:pPr>
      <w:r>
        <w:t xml:space="preserve">On 1 September </w:t>
      </w:r>
      <w:proofErr w:type="gramStart"/>
      <w:r>
        <w:t>t</w:t>
      </w:r>
      <w:r w:rsidR="003A5E58" w:rsidRPr="003A5E58">
        <w:t xml:space="preserve">he </w:t>
      </w:r>
      <w:r w:rsidR="005C08DE">
        <w:t xml:space="preserve"> </w:t>
      </w:r>
      <w:r w:rsidR="003A5E58" w:rsidRPr="003A5E58">
        <w:t>price</w:t>
      </w:r>
      <w:proofErr w:type="gramEnd"/>
      <w:r w:rsidR="003A5E58" w:rsidRPr="003A5E58">
        <w:t xml:space="preserve"> of </w:t>
      </w:r>
      <w:r>
        <w:t>r</w:t>
      </w:r>
      <w:r w:rsidR="003A5E58" w:rsidRPr="003A5E58">
        <w:t xml:space="preserve">aise and </w:t>
      </w:r>
      <w:r>
        <w:t>l</w:t>
      </w:r>
      <w:r w:rsidR="003A5E58" w:rsidRPr="003A5E58">
        <w:t>ower regulation services in South Australia exce</w:t>
      </w:r>
      <w:r w:rsidR="003A5E58">
        <w:t>eded $8000</w:t>
      </w:r>
      <w:r w:rsidR="005C08DE">
        <w:t>/</w:t>
      </w:r>
      <w:r w:rsidR="003A5E58" w:rsidRPr="003A5E58">
        <w:t>MW for 111 consecuti</w:t>
      </w:r>
      <w:r w:rsidR="003A585C">
        <w:t>ve dispatch intervals</w:t>
      </w:r>
      <w:r>
        <w:t xml:space="preserve"> from </w:t>
      </w:r>
      <w:r w:rsidR="003A5E58" w:rsidRPr="003A5E58">
        <w:t>7.20</w:t>
      </w:r>
      <w:r w:rsidR="00B568E6">
        <w:t> </w:t>
      </w:r>
      <w:r w:rsidR="003A5E58" w:rsidRPr="003A5E58">
        <w:t xml:space="preserve">am </w:t>
      </w:r>
      <w:r>
        <w:t>to</w:t>
      </w:r>
      <w:r w:rsidR="00D62514">
        <w:t xml:space="preserve"> </w:t>
      </w:r>
      <w:r w:rsidR="003A5E58" w:rsidRPr="003A5E58">
        <w:t>4.40</w:t>
      </w:r>
      <w:r w:rsidR="00B568E6">
        <w:t> </w:t>
      </w:r>
      <w:r w:rsidR="003A5E58" w:rsidRPr="003A5E58">
        <w:t>pm at a cost of around $6.5</w:t>
      </w:r>
      <w:r w:rsidR="00BF5542">
        <w:t> </w:t>
      </w:r>
      <w:r w:rsidR="003A5E58" w:rsidRPr="003A5E58">
        <w:t>m</w:t>
      </w:r>
      <w:r w:rsidR="00BF5542">
        <w:t>illion</w:t>
      </w:r>
      <w:r w:rsidR="003A5E58" w:rsidRPr="003A5E58">
        <w:t>. The Cum</w:t>
      </w:r>
      <w:r w:rsidR="003A5E58">
        <w:t>ulative Price Threshold of $210 </w:t>
      </w:r>
      <w:r w:rsidR="003A5E58" w:rsidRPr="003A5E58">
        <w:t>100 was breached and prices were capped at $300</w:t>
      </w:r>
      <w:r w:rsidR="00B568E6">
        <w:t>/</w:t>
      </w:r>
      <w:r w:rsidR="003A5E58" w:rsidRPr="003A5E58">
        <w:t xml:space="preserve">MW from 4.40 pm. A planned outage by AusNet of the Moorabool to </w:t>
      </w:r>
      <w:proofErr w:type="spellStart"/>
      <w:r w:rsidR="003A5E58" w:rsidRPr="003A5E58">
        <w:t>Tarrone</w:t>
      </w:r>
      <w:proofErr w:type="spellEnd"/>
      <w:r w:rsidR="003A5E58" w:rsidRPr="003A5E58">
        <w:t xml:space="preserve"> line in Victoria, which started at 7</w:t>
      </w:r>
      <w:r w:rsidR="00B568E6">
        <w:t> </w:t>
      </w:r>
      <w:r w:rsidR="003A5E58" w:rsidRPr="003A5E58">
        <w:t xml:space="preserve">am, created a single contingency </w:t>
      </w:r>
      <w:r w:rsidR="003A5E58" w:rsidRPr="003A5E58">
        <w:lastRenderedPageBreak/>
        <w:t>which if occurs separates South Australia from the rest of the NEM. This would mean that South Australia has to source its regulation services locally</w:t>
      </w:r>
      <w:r w:rsidR="00673E49">
        <w:t>.</w:t>
      </w:r>
      <w:r w:rsidR="003A5E58" w:rsidRPr="003A5E58">
        <w:t xml:space="preserve"> </w:t>
      </w:r>
    </w:p>
    <w:p w:rsidR="005C08DE" w:rsidRPr="005C08DE" w:rsidRDefault="005C08DE" w:rsidP="00631C80">
      <w:pPr>
        <w:pStyle w:val="AERbodytext"/>
        <w:rPr>
          <w:color w:val="000000"/>
        </w:rPr>
      </w:pPr>
      <w:r w:rsidRPr="005C08DE">
        <w:rPr>
          <w:color w:val="000000"/>
        </w:rPr>
        <w:t xml:space="preserve">In accordance with clause 3.13.7 of the Electricity Rules, the AER will issue a separate report into the circumstances that led to the price exceeding $5000/MW. </w:t>
      </w:r>
    </w:p>
    <w:bookmarkEnd w:id="0"/>
    <w:bookmarkEnd w:id="1"/>
    <w:bookmarkEnd w:id="2"/>
    <w:bookmarkEnd w:id="3"/>
    <w:bookmarkEnd w:id="4"/>
    <w:bookmarkEnd w:id="5"/>
    <w:p w:rsidR="00925ADD" w:rsidRPr="00C4712A" w:rsidRDefault="00925ADD" w:rsidP="00925ADD">
      <w:pPr>
        <w:pStyle w:val="AERHeading1"/>
      </w:pPr>
      <w:r w:rsidRPr="00C4712A">
        <w:t>Detailed market analysis of significant price events</w:t>
      </w:r>
    </w:p>
    <w:p w:rsidR="00925ADD" w:rsidRDefault="00631C80" w:rsidP="00925ADD">
      <w:pPr>
        <w:pStyle w:val="Heading2"/>
        <w:rPr>
          <w:rFonts w:eastAsia="Times New Roman"/>
          <w:b w:val="0"/>
          <w:bCs w:val="0"/>
          <w:lang w:eastAsia="en-AU"/>
        </w:rPr>
      </w:pPr>
      <w:r>
        <w:rPr>
          <w:rFonts w:eastAsia="Times New Roman"/>
          <w:b w:val="0"/>
          <w:bCs w:val="0"/>
          <w:lang w:eastAsia="en-AU"/>
        </w:rPr>
        <w:t>Tasmania</w:t>
      </w:r>
    </w:p>
    <w:p w:rsidR="00925ADD" w:rsidRDefault="00925ADD" w:rsidP="00925ADD">
      <w:pPr>
        <w:pStyle w:val="AERbodytext"/>
      </w:pPr>
      <w:r w:rsidRPr="00F060C8">
        <w:t>There w</w:t>
      </w:r>
      <w:r w:rsidR="00FC0910">
        <w:t>as</w:t>
      </w:r>
      <w:r w:rsidRPr="00F060C8">
        <w:t xml:space="preserve"> </w:t>
      </w:r>
      <w:r w:rsidR="00FC0910">
        <w:t>one</w:t>
      </w:r>
      <w:r w:rsidRPr="00F060C8">
        <w:t xml:space="preserve"> occasion where the spot price in </w:t>
      </w:r>
      <w:r w:rsidR="00FC0910">
        <w:t>Tasmania</w:t>
      </w:r>
      <w:r w:rsidRPr="00F060C8">
        <w:t xml:space="preserve"> was greater than three times the </w:t>
      </w:r>
      <w:r w:rsidR="00FC0910">
        <w:t>Tasmania</w:t>
      </w:r>
      <w:r w:rsidRPr="00F060C8">
        <w:t xml:space="preserve"> weekly average price of $</w:t>
      </w:r>
      <w:r w:rsidR="00FC0910">
        <w:t>52</w:t>
      </w:r>
      <w:r w:rsidRPr="00F060C8">
        <w:t>/MWh and above $250/MWh</w:t>
      </w:r>
      <w:r>
        <w:t>.</w:t>
      </w:r>
      <w:r w:rsidRPr="00AF7C0E">
        <w:t xml:space="preserve"> </w:t>
      </w:r>
    </w:p>
    <w:p w:rsidR="00925ADD" w:rsidRPr="005F37A9" w:rsidRDefault="00FC0910" w:rsidP="00925ADD">
      <w:pPr>
        <w:pStyle w:val="Heading3"/>
        <w:rPr>
          <w:rFonts w:eastAsia="Times New Roman"/>
        </w:rPr>
      </w:pPr>
      <w:r>
        <w:rPr>
          <w:rFonts w:eastAsia="Times New Roman"/>
        </w:rPr>
        <w:t>Saturday</w:t>
      </w:r>
      <w:r w:rsidR="00925ADD">
        <w:rPr>
          <w:rFonts w:eastAsia="Times New Roman"/>
        </w:rPr>
        <w:t xml:space="preserve">, </w:t>
      </w:r>
      <w:r>
        <w:rPr>
          <w:rFonts w:eastAsia="Times New Roman"/>
        </w:rPr>
        <w:t>3</w:t>
      </w:r>
      <w:r w:rsidR="00925ADD">
        <w:rPr>
          <w:rFonts w:eastAsia="Times New Roman"/>
        </w:rPr>
        <w:t xml:space="preserve"> </w:t>
      </w:r>
      <w:r>
        <w:rPr>
          <w:rFonts w:eastAsia="Times New Roman"/>
        </w:rPr>
        <w:t>September</w:t>
      </w:r>
    </w:p>
    <w:p w:rsidR="00925ADD" w:rsidRPr="001C5A97" w:rsidRDefault="00925ADD" w:rsidP="00925ADD">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884"/>
        <w:gridCol w:w="1070"/>
        <w:gridCol w:w="994"/>
        <w:gridCol w:w="848"/>
        <w:gridCol w:w="850"/>
        <w:gridCol w:w="995"/>
        <w:gridCol w:w="992"/>
        <w:gridCol w:w="852"/>
        <w:gridCol w:w="846"/>
      </w:tblGrid>
      <w:tr w:rsidR="00925ADD" w:rsidRPr="0073319F" w:rsidTr="00FC0910">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 xml:space="preserve">Time </w:t>
            </w:r>
          </w:p>
        </w:tc>
        <w:tc>
          <w:tcPr>
            <w:tcW w:w="1581" w:type="pct"/>
            <w:gridSpan w:val="3"/>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Demand (MW)</w:t>
            </w:r>
          </w:p>
        </w:tc>
        <w:tc>
          <w:tcPr>
            <w:tcW w:w="1443" w:type="pct"/>
            <w:gridSpan w:val="3"/>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Availability (MW)</w:t>
            </w:r>
          </w:p>
        </w:tc>
      </w:tr>
      <w:tr w:rsidR="00925ADD" w:rsidRPr="0073319F" w:rsidTr="00FC0910">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4 hr forecast</w:t>
            </w:r>
          </w:p>
        </w:tc>
        <w:tc>
          <w:tcPr>
            <w:tcW w:w="454"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12 hr forecast</w:t>
            </w:r>
          </w:p>
        </w:tc>
      </w:tr>
      <w:tr w:rsidR="00FC0910" w:rsidRPr="0073319F" w:rsidTr="00FC0910">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C0910" w:rsidRPr="00FC0910" w:rsidRDefault="00FC0910" w:rsidP="00631C80">
            <w:pPr>
              <w:spacing w:line="240" w:lineRule="auto"/>
              <w:jc w:val="center"/>
              <w:rPr>
                <w:rFonts w:cs="Arial"/>
                <w:sz w:val="20"/>
                <w:szCs w:val="20"/>
              </w:rPr>
            </w:pPr>
            <w:r w:rsidRPr="00FC0910">
              <w:rPr>
                <w:rFonts w:cs="Arial"/>
                <w:sz w:val="20"/>
                <w:szCs w:val="20"/>
              </w:rPr>
              <w:t xml:space="preserve">9 </w:t>
            </w:r>
            <w:r w:rsidR="00631C80">
              <w:rPr>
                <w:rFonts w:cs="Arial"/>
                <w:sz w:val="20"/>
                <w:szCs w:val="20"/>
              </w:rPr>
              <w:t>pm</w:t>
            </w:r>
          </w:p>
        </w:tc>
        <w:tc>
          <w:tcPr>
            <w:tcW w:w="474" w:type="pct"/>
            <w:vAlign w:val="center"/>
          </w:tcPr>
          <w:p w:rsidR="00FC0910" w:rsidRPr="00FC0910" w:rsidRDefault="00FC0910" w:rsidP="00FC0910">
            <w:pPr>
              <w:spacing w:line="240" w:lineRule="auto"/>
              <w:jc w:val="center"/>
              <w:rPr>
                <w:rFonts w:cs="Arial"/>
                <w:sz w:val="20"/>
                <w:szCs w:val="20"/>
              </w:rPr>
            </w:pPr>
            <w:r w:rsidRPr="00FC0910">
              <w:rPr>
                <w:rFonts w:cs="Arial"/>
                <w:sz w:val="20"/>
                <w:szCs w:val="20"/>
              </w:rPr>
              <w:t>318.73</w:t>
            </w:r>
          </w:p>
        </w:tc>
        <w:tc>
          <w:tcPr>
            <w:tcW w:w="574" w:type="pct"/>
            <w:vAlign w:val="center"/>
          </w:tcPr>
          <w:p w:rsidR="00FC0910" w:rsidRPr="00FC0910" w:rsidRDefault="00FC0910" w:rsidP="00FC0910">
            <w:pPr>
              <w:spacing w:line="240" w:lineRule="auto"/>
              <w:jc w:val="center"/>
              <w:rPr>
                <w:rFonts w:cs="Arial"/>
                <w:sz w:val="20"/>
                <w:szCs w:val="20"/>
              </w:rPr>
            </w:pPr>
            <w:r w:rsidRPr="00FC0910">
              <w:rPr>
                <w:rFonts w:cs="Arial"/>
                <w:sz w:val="20"/>
                <w:szCs w:val="20"/>
              </w:rPr>
              <w:t>26.79</w:t>
            </w:r>
          </w:p>
        </w:tc>
        <w:tc>
          <w:tcPr>
            <w:tcW w:w="533" w:type="pct"/>
            <w:vAlign w:val="center"/>
          </w:tcPr>
          <w:p w:rsidR="00FC0910" w:rsidRPr="00FC0910" w:rsidRDefault="00FC0910" w:rsidP="00FC0910">
            <w:pPr>
              <w:spacing w:line="240" w:lineRule="auto"/>
              <w:jc w:val="center"/>
              <w:rPr>
                <w:rFonts w:cs="Arial"/>
                <w:sz w:val="20"/>
                <w:szCs w:val="20"/>
              </w:rPr>
            </w:pPr>
            <w:r w:rsidRPr="00FC0910">
              <w:rPr>
                <w:rFonts w:cs="Arial"/>
                <w:sz w:val="20"/>
                <w:szCs w:val="20"/>
              </w:rPr>
              <w:t>25.78</w:t>
            </w:r>
          </w:p>
        </w:tc>
        <w:tc>
          <w:tcPr>
            <w:tcW w:w="455" w:type="pct"/>
            <w:vAlign w:val="center"/>
          </w:tcPr>
          <w:p w:rsidR="00FC0910" w:rsidRPr="00FC0910" w:rsidRDefault="00FC0910" w:rsidP="00FC0910">
            <w:pPr>
              <w:spacing w:line="240" w:lineRule="auto"/>
              <w:jc w:val="center"/>
              <w:rPr>
                <w:rFonts w:cs="Arial"/>
                <w:sz w:val="20"/>
                <w:szCs w:val="20"/>
              </w:rPr>
            </w:pPr>
            <w:r w:rsidRPr="00FC0910">
              <w:rPr>
                <w:rFonts w:cs="Arial"/>
                <w:sz w:val="20"/>
                <w:szCs w:val="20"/>
              </w:rPr>
              <w:t>1197</w:t>
            </w:r>
          </w:p>
        </w:tc>
        <w:tc>
          <w:tcPr>
            <w:tcW w:w="456" w:type="pct"/>
            <w:vAlign w:val="center"/>
          </w:tcPr>
          <w:p w:rsidR="00FC0910" w:rsidRPr="00FC0910" w:rsidRDefault="00FC0910" w:rsidP="00FC0910">
            <w:pPr>
              <w:spacing w:line="240" w:lineRule="auto"/>
              <w:jc w:val="center"/>
              <w:rPr>
                <w:rFonts w:cs="Arial"/>
                <w:sz w:val="20"/>
                <w:szCs w:val="20"/>
              </w:rPr>
            </w:pPr>
            <w:r w:rsidRPr="00FC0910">
              <w:rPr>
                <w:rFonts w:cs="Arial"/>
                <w:sz w:val="20"/>
                <w:szCs w:val="20"/>
              </w:rPr>
              <w:t>1195</w:t>
            </w:r>
          </w:p>
        </w:tc>
        <w:tc>
          <w:tcPr>
            <w:tcW w:w="534" w:type="pct"/>
            <w:vAlign w:val="center"/>
          </w:tcPr>
          <w:p w:rsidR="00FC0910" w:rsidRPr="00FC0910" w:rsidRDefault="00FC0910" w:rsidP="00FC0910">
            <w:pPr>
              <w:spacing w:line="240" w:lineRule="auto"/>
              <w:jc w:val="center"/>
              <w:rPr>
                <w:rFonts w:cs="Arial"/>
                <w:sz w:val="20"/>
                <w:szCs w:val="20"/>
              </w:rPr>
            </w:pPr>
            <w:r w:rsidRPr="00FC0910">
              <w:rPr>
                <w:rFonts w:cs="Arial"/>
                <w:sz w:val="20"/>
                <w:szCs w:val="20"/>
              </w:rPr>
              <w:t>1172</w:t>
            </w:r>
          </w:p>
        </w:tc>
        <w:tc>
          <w:tcPr>
            <w:tcW w:w="532" w:type="pct"/>
            <w:vAlign w:val="center"/>
          </w:tcPr>
          <w:p w:rsidR="00FC0910" w:rsidRPr="00FC0910" w:rsidRDefault="00FC0910" w:rsidP="00FC0910">
            <w:pPr>
              <w:spacing w:line="240" w:lineRule="auto"/>
              <w:jc w:val="center"/>
              <w:rPr>
                <w:rFonts w:cs="Arial"/>
                <w:sz w:val="20"/>
                <w:szCs w:val="20"/>
              </w:rPr>
            </w:pPr>
            <w:r w:rsidRPr="00FC0910">
              <w:rPr>
                <w:rFonts w:cs="Arial"/>
                <w:sz w:val="20"/>
                <w:szCs w:val="20"/>
              </w:rPr>
              <w:t>1997</w:t>
            </w:r>
          </w:p>
        </w:tc>
        <w:tc>
          <w:tcPr>
            <w:tcW w:w="457" w:type="pct"/>
            <w:vAlign w:val="center"/>
          </w:tcPr>
          <w:p w:rsidR="00FC0910" w:rsidRPr="00FC0910" w:rsidRDefault="00FC0910" w:rsidP="00FC0910">
            <w:pPr>
              <w:spacing w:line="240" w:lineRule="auto"/>
              <w:jc w:val="center"/>
              <w:rPr>
                <w:rFonts w:cs="Arial"/>
                <w:sz w:val="20"/>
                <w:szCs w:val="20"/>
              </w:rPr>
            </w:pPr>
            <w:r w:rsidRPr="00FC0910">
              <w:rPr>
                <w:rFonts w:cs="Arial"/>
                <w:sz w:val="20"/>
                <w:szCs w:val="20"/>
              </w:rPr>
              <w:t>1928</w:t>
            </w:r>
          </w:p>
        </w:tc>
        <w:tc>
          <w:tcPr>
            <w:tcW w:w="454" w:type="pct"/>
            <w:vAlign w:val="center"/>
          </w:tcPr>
          <w:p w:rsidR="00FC0910" w:rsidRPr="00FC0910" w:rsidRDefault="00FC0910" w:rsidP="00FC0910">
            <w:pPr>
              <w:spacing w:line="240" w:lineRule="auto"/>
              <w:jc w:val="center"/>
              <w:rPr>
                <w:rFonts w:cs="Arial"/>
                <w:sz w:val="20"/>
                <w:szCs w:val="20"/>
              </w:rPr>
            </w:pPr>
            <w:r w:rsidRPr="00FC0910">
              <w:rPr>
                <w:rFonts w:cs="Arial"/>
                <w:sz w:val="20"/>
                <w:szCs w:val="20"/>
              </w:rPr>
              <w:t>1974</w:t>
            </w:r>
          </w:p>
        </w:tc>
      </w:tr>
    </w:tbl>
    <w:p w:rsidR="00925ADD" w:rsidRDefault="00631C80" w:rsidP="00D62514">
      <w:pPr>
        <w:jc w:val="both"/>
      </w:pPr>
      <w:r>
        <w:t>Conditions at the time saw demand close to forecast and availability higher than forecast.</w:t>
      </w:r>
    </w:p>
    <w:p w:rsidR="008A1035" w:rsidRDefault="008A1035" w:rsidP="008A1035">
      <w:pPr>
        <w:jc w:val="both"/>
      </w:pPr>
      <w:r>
        <w:t xml:space="preserve">There was little capacity priced between $0/MWh and $277/MWh meaning small changes in demand and availability could lead to volatile prices. At 8.35 pm there was a step change in offers at </w:t>
      </w:r>
      <w:r w:rsidR="00E07B94">
        <w:t xml:space="preserve">the </w:t>
      </w:r>
      <w:r>
        <w:t>Lemon</w:t>
      </w:r>
      <w:r w:rsidR="000920F6">
        <w:t>th</w:t>
      </w:r>
      <w:r>
        <w:t>yme</w:t>
      </w:r>
      <w:r w:rsidR="000920F6">
        <w:t>/</w:t>
      </w:r>
      <w:r>
        <w:t>Wilmot</w:t>
      </w:r>
      <w:r w:rsidR="000920F6">
        <w:t xml:space="preserve"> Power Station</w:t>
      </w:r>
      <w:r>
        <w:t>, which had been set up a day in advance. The unit went from having all 85 MW priced less than zero to 54 MW priced less than zero. With all low-priced generation either trapped or stranded in FCAS or fully dispatched the price increase</w:t>
      </w:r>
      <w:r w:rsidR="00AC70A2">
        <w:t>d</w:t>
      </w:r>
      <w:r>
        <w:t xml:space="preserve"> from $58/MWh at 8.30 pm to $407/MWh at 8.35 </w:t>
      </w:r>
      <w:r w:rsidR="007C5DBB">
        <w:t>p</w:t>
      </w:r>
      <w:r>
        <w:t xml:space="preserve">m </w:t>
      </w:r>
      <w:r w:rsidR="00AC70A2">
        <w:t xml:space="preserve">before falling to around </w:t>
      </w:r>
      <w:r>
        <w:t>$300/MWh for the rest of the trading interval.</w:t>
      </w:r>
    </w:p>
    <w:p w:rsidR="00D90958" w:rsidRDefault="00D90958">
      <w:pPr>
        <w:spacing w:line="240" w:lineRule="auto"/>
        <w:rPr>
          <w:rFonts w:eastAsiaTheme="majorEastAsia" w:cstheme="majorBidi"/>
          <w:b/>
          <w:bCs/>
          <w:color w:val="51626F"/>
          <w:sz w:val="28"/>
          <w:szCs w:val="26"/>
        </w:rPr>
      </w:pPr>
      <w:r>
        <w:br w:type="page"/>
      </w:r>
    </w:p>
    <w:p w:rsidR="00275002" w:rsidRPr="009064FC" w:rsidRDefault="00275002" w:rsidP="004F6D0A">
      <w:pPr>
        <w:pStyle w:val="Heading2"/>
      </w:pPr>
      <w:bookmarkStart w:id="20" w:name="_GoBack"/>
      <w:bookmarkEnd w:id="20"/>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354B6E">
        <w:t>Figure 9</w:t>
      </w:r>
      <w:r>
        <w:fldChar w:fldCharType="end"/>
      </w:r>
      <w:r>
        <w:t xml:space="preserve"> </w:t>
      </w:r>
      <w:r w:rsidRPr="0031019A">
        <w:t>shows for all mainland regions the prices for base contracts (and total traded quantities for the week) for each quarter for the next four financial years.</w:t>
      </w:r>
      <w:r w:rsidR="00E176EC">
        <w:t xml:space="preserve"> </w:t>
      </w:r>
    </w:p>
    <w:p w:rsidR="00D73D17" w:rsidRDefault="00275002" w:rsidP="00783D4E">
      <w:pPr>
        <w:pStyle w:val="Caption"/>
        <w:spacing w:before="0" w:line="240" w:lineRule="auto"/>
      </w:pPr>
      <w:bookmarkStart w:id="21" w:name="_Ref410386540"/>
      <w:r>
        <w:t xml:space="preserve">Figure </w:t>
      </w:r>
      <w:r w:rsidR="00D90958">
        <w:fldChar w:fldCharType="begin"/>
      </w:r>
      <w:r w:rsidR="00D90958">
        <w:instrText xml:space="preserve"> SEQ Figure \* ARABIC </w:instrText>
      </w:r>
      <w:r w:rsidR="00D90958">
        <w:fldChar w:fldCharType="separate"/>
      </w:r>
      <w:r w:rsidR="00354B6E">
        <w:rPr>
          <w:noProof/>
        </w:rPr>
        <w:t>9</w:t>
      </w:r>
      <w:r w:rsidR="00D90958">
        <w:rPr>
          <w:noProof/>
        </w:rPr>
        <w:fldChar w:fldCharType="end"/>
      </w:r>
      <w:bookmarkEnd w:id="21"/>
      <w:r w:rsidR="002515C3">
        <w:t>:</w:t>
      </w:r>
      <w:r>
        <w:t xml:space="preserve"> </w:t>
      </w:r>
      <w:r w:rsidRPr="007A6ACB">
        <w:t>Quarterly base future prices Q</w:t>
      </w:r>
      <w:r w:rsidR="00491631">
        <w:t>3</w:t>
      </w:r>
      <w:r w:rsidR="00C4712A">
        <w:t xml:space="preserve"> 2016</w:t>
      </w:r>
      <w:r w:rsidRPr="007A6ACB">
        <w:t xml:space="preserve"> – Q</w:t>
      </w:r>
      <w:r w:rsidR="00D97DE8">
        <w:t>2</w:t>
      </w:r>
      <w:r w:rsidR="0069547C">
        <w:t xml:space="preserve"> 2020</w:t>
      </w:r>
      <w:r w:rsidR="003A585C" w:rsidRPr="003A585C">
        <w:rPr>
          <w:b w:val="0"/>
          <w:bCs w:val="0"/>
        </w:rPr>
        <w:t xml:space="preserve"> </w:t>
      </w:r>
      <w:r w:rsidR="0087223A" w:rsidRPr="0087223A">
        <w:rPr>
          <w:noProof/>
          <w:lang w:eastAsia="en-AU"/>
        </w:rPr>
        <w:drawing>
          <wp:inline distT="0" distB="0" distL="0" distR="0" wp14:anchorId="0D42D9FB" wp14:editId="58B13B50">
            <wp:extent cx="5731510" cy="2883920"/>
            <wp:effectExtent l="0" t="0" r="2540" b="0"/>
            <wp:docPr id="5" name="Picture 5"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3920"/>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354B6E" w:rsidRPr="00491631">
        <w:t xml:space="preserve">Figure </w:t>
      </w:r>
      <w:r w:rsidR="00354B6E">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w:t>
      </w:r>
      <w:r w:rsidRPr="0087223A">
        <w:t xml:space="preserve">The AER notes that data for </w:t>
      </w:r>
      <w:r w:rsidR="005A5657" w:rsidRPr="0087223A">
        <w:t>South </w:t>
      </w:r>
      <w:r w:rsidRPr="0087223A">
        <w:t>Australia is less reliable due to very low numbers of trades.</w:t>
      </w:r>
      <w:r w:rsidR="00E56597" w:rsidRPr="00E56597">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D90958">
        <w:fldChar w:fldCharType="begin"/>
      </w:r>
      <w:r w:rsidR="00D90958">
        <w:instrText xml:space="preserve"> SEQ Figure \* ARABIC </w:instrText>
      </w:r>
      <w:r w:rsidR="00D90958">
        <w:fldChar w:fldCharType="separate"/>
      </w:r>
      <w:r w:rsidR="00354B6E">
        <w:rPr>
          <w:noProof/>
        </w:rPr>
        <w:t>10</w:t>
      </w:r>
      <w:r w:rsidR="00D90958">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664083" w:rsidP="00C466B4">
      <w:pPr>
        <w:pStyle w:val="Source"/>
        <w:spacing w:before="0" w:after="120" w:line="240" w:lineRule="auto"/>
        <w:jc w:val="both"/>
      </w:pPr>
      <w:r w:rsidRPr="00664083">
        <w:rPr>
          <w:noProof/>
          <w:lang w:eastAsia="en-AU"/>
        </w:rPr>
        <w:drawing>
          <wp:inline distT="0" distB="0" distL="0" distR="0" wp14:anchorId="3E5BC25B" wp14:editId="613BEDAE">
            <wp:extent cx="5731510" cy="2899274"/>
            <wp:effectExtent l="0" t="0" r="2540" b="0"/>
            <wp:docPr id="7" name="Picture 7"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9274"/>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4"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354B6E">
        <w:t xml:space="preserve">Figure </w:t>
      </w:r>
      <w:r w:rsidR="00354B6E">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D90958">
        <w:fldChar w:fldCharType="begin"/>
      </w:r>
      <w:r w:rsidR="00D90958">
        <w:instrText xml:space="preserve"> SEQ Figure \* ARABIC </w:instrText>
      </w:r>
      <w:r w:rsidR="00D90958">
        <w:fldChar w:fldCharType="separate"/>
      </w:r>
      <w:r w:rsidR="00354B6E">
        <w:rPr>
          <w:noProof/>
        </w:rPr>
        <w:t>11</w:t>
      </w:r>
      <w:r w:rsidR="00D90958">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87223A" w:rsidP="00037EB9">
      <w:pPr>
        <w:pStyle w:val="Source"/>
        <w:spacing w:before="0" w:after="0" w:line="240" w:lineRule="auto"/>
      </w:pPr>
      <w:r w:rsidRPr="0087223A">
        <w:rPr>
          <w:noProof/>
          <w:lang w:eastAsia="en-AU"/>
        </w:rPr>
        <w:drawing>
          <wp:inline distT="0" distB="0" distL="0" distR="0" wp14:anchorId="2EE090E9" wp14:editId="7823FA1B">
            <wp:extent cx="5731510" cy="2871938"/>
            <wp:effectExtent l="0" t="0" r="2540" b="5080"/>
            <wp:docPr id="10" name="Picture 10" descr="Figure 11 shows how the price for each regional Quarter 1 2017 cap contract has changed over the last 10 weeks (as well as the total number of trades each week). The closing quarter 1 2015 and quarter 1 2016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1938"/>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6"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AC70A2">
        <w:t>September</w:t>
      </w:r>
      <w:r w:rsidR="00AC70A2" w:rsidRPr="00D92E07">
        <w:t xml:space="preserve"> </w:t>
      </w:r>
      <w:r w:rsidR="00C4712A" w:rsidRPr="00D92E07">
        <w:t>2016</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DC" w:rsidRDefault="00C24CDC" w:rsidP="004B4412">
      <w:pPr>
        <w:spacing w:before="0"/>
      </w:pPr>
      <w:r>
        <w:separator/>
      </w:r>
    </w:p>
  </w:endnote>
  <w:endnote w:type="continuationSeparator" w:id="0">
    <w:p w:rsidR="00C24CDC" w:rsidRDefault="00C24CD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1A9E" w:rsidRDefault="00C24CDC"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24CDC" w:rsidRDefault="00C24CDC"/>
  <w:p w:rsidR="00C24CDC" w:rsidRDefault="00C24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4D89" w:rsidRDefault="00C24CDC"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90958">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6B" w:rsidRPr="00A94D89" w:rsidRDefault="00C24CDC"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90958">
      <w:rPr>
        <w:rFonts w:cs="Arial"/>
        <w:i/>
        <w:noProof/>
      </w:rPr>
      <w:t>1</w:t>
    </w:r>
    <w:r w:rsidRPr="001F1B78">
      <w:rPr>
        <w:rFonts w:cs="Arial"/>
        <w:i/>
        <w:noProof/>
      </w:rPr>
      <w:fldChar w:fldCharType="end"/>
    </w:r>
    <w:r w:rsidRPr="00F52F00">
      <w:rPr>
        <w:rFonts w:cs="Arial"/>
        <w:i/>
      </w:rPr>
      <w:tab/>
      <w:t xml:space="preserve">AER reference: 39220 – </w:t>
    </w:r>
    <w:r w:rsidR="007F45D2">
      <w:rPr>
        <w:rFonts w:cs="Arial"/>
        <w:i/>
      </w:rPr>
      <w:t>D16/</w:t>
    </w:r>
    <w:r w:rsidR="00B568E6">
      <w:rPr>
        <w:rFonts w:cs="Arial"/>
        <w:i/>
      </w:rPr>
      <w:t>1</w:t>
    </w:r>
    <w:r w:rsidR="00631C80">
      <w:rPr>
        <w:rFonts w:cs="Arial"/>
        <w:i/>
      </w:rPr>
      <w:t>22468</w:t>
    </w:r>
  </w:p>
  <w:p w:rsidR="00C24CDC" w:rsidRDefault="00C2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DC" w:rsidRDefault="00C24CDC" w:rsidP="004B4412">
      <w:pPr>
        <w:spacing w:before="0"/>
      </w:pPr>
      <w:r>
        <w:separator/>
      </w:r>
    </w:p>
  </w:footnote>
  <w:footnote w:type="continuationSeparator" w:id="0">
    <w:p w:rsidR="00C24CDC" w:rsidRDefault="00C24CDC"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44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day\20160828 - 20160903 electricity report (D2016-00122468).docx"/>
  </w:docVars>
  <w:rsids>
    <w:rsidRoot w:val="00275002"/>
    <w:rsid w:val="00000817"/>
    <w:rsid w:val="00000BFE"/>
    <w:rsid w:val="00000CC3"/>
    <w:rsid w:val="00001D6D"/>
    <w:rsid w:val="00003169"/>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22B6"/>
    <w:rsid w:val="00085663"/>
    <w:rsid w:val="00085EBF"/>
    <w:rsid w:val="00086B36"/>
    <w:rsid w:val="00086CF3"/>
    <w:rsid w:val="00087C4A"/>
    <w:rsid w:val="00087CDC"/>
    <w:rsid w:val="00091FB4"/>
    <w:rsid w:val="000920F6"/>
    <w:rsid w:val="00092DE3"/>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D0A74"/>
    <w:rsid w:val="000D122C"/>
    <w:rsid w:val="000D19B5"/>
    <w:rsid w:val="000D1F96"/>
    <w:rsid w:val="000D20BA"/>
    <w:rsid w:val="000D355E"/>
    <w:rsid w:val="000D3C77"/>
    <w:rsid w:val="000D4350"/>
    <w:rsid w:val="000D5ADE"/>
    <w:rsid w:val="000D68C5"/>
    <w:rsid w:val="000D75BA"/>
    <w:rsid w:val="000E00DE"/>
    <w:rsid w:val="000E1819"/>
    <w:rsid w:val="000E1A1B"/>
    <w:rsid w:val="000E2330"/>
    <w:rsid w:val="000E26B0"/>
    <w:rsid w:val="000E2946"/>
    <w:rsid w:val="000E4F81"/>
    <w:rsid w:val="000E54D6"/>
    <w:rsid w:val="000E55C7"/>
    <w:rsid w:val="000E5B55"/>
    <w:rsid w:val="000E6C72"/>
    <w:rsid w:val="000E7180"/>
    <w:rsid w:val="000E77BB"/>
    <w:rsid w:val="000E7E24"/>
    <w:rsid w:val="000F189E"/>
    <w:rsid w:val="000F1956"/>
    <w:rsid w:val="000F1D61"/>
    <w:rsid w:val="000F5487"/>
    <w:rsid w:val="000F56F6"/>
    <w:rsid w:val="000F5855"/>
    <w:rsid w:val="000F6FA7"/>
    <w:rsid w:val="000F77D6"/>
    <w:rsid w:val="000F7EE1"/>
    <w:rsid w:val="00100142"/>
    <w:rsid w:val="00100B12"/>
    <w:rsid w:val="00102B64"/>
    <w:rsid w:val="00105281"/>
    <w:rsid w:val="00105AF3"/>
    <w:rsid w:val="0010740E"/>
    <w:rsid w:val="0011019A"/>
    <w:rsid w:val="001107FF"/>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5F4F"/>
    <w:rsid w:val="00126022"/>
    <w:rsid w:val="001270EB"/>
    <w:rsid w:val="0012758A"/>
    <w:rsid w:val="00127CAB"/>
    <w:rsid w:val="00130196"/>
    <w:rsid w:val="0013057E"/>
    <w:rsid w:val="0013257C"/>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3E4"/>
    <w:rsid w:val="00160756"/>
    <w:rsid w:val="00162584"/>
    <w:rsid w:val="001629C6"/>
    <w:rsid w:val="00162C9F"/>
    <w:rsid w:val="00164658"/>
    <w:rsid w:val="00164FB1"/>
    <w:rsid w:val="00165247"/>
    <w:rsid w:val="001653F3"/>
    <w:rsid w:val="00165C87"/>
    <w:rsid w:val="001666AA"/>
    <w:rsid w:val="00166BD2"/>
    <w:rsid w:val="0017054C"/>
    <w:rsid w:val="001711CC"/>
    <w:rsid w:val="0017232E"/>
    <w:rsid w:val="00173AE6"/>
    <w:rsid w:val="00173DC1"/>
    <w:rsid w:val="00174102"/>
    <w:rsid w:val="001756AF"/>
    <w:rsid w:val="00176AEF"/>
    <w:rsid w:val="001778E3"/>
    <w:rsid w:val="00180157"/>
    <w:rsid w:val="00181C46"/>
    <w:rsid w:val="001832C7"/>
    <w:rsid w:val="00185510"/>
    <w:rsid w:val="00186831"/>
    <w:rsid w:val="00186F77"/>
    <w:rsid w:val="001901A4"/>
    <w:rsid w:val="00190F24"/>
    <w:rsid w:val="0019177E"/>
    <w:rsid w:val="00191C6F"/>
    <w:rsid w:val="00191DA4"/>
    <w:rsid w:val="00192441"/>
    <w:rsid w:val="001926A4"/>
    <w:rsid w:val="001936FA"/>
    <w:rsid w:val="00193ED7"/>
    <w:rsid w:val="001977CC"/>
    <w:rsid w:val="00197DD5"/>
    <w:rsid w:val="001A2BC2"/>
    <w:rsid w:val="001A2C0A"/>
    <w:rsid w:val="001A3AEC"/>
    <w:rsid w:val="001A3CDA"/>
    <w:rsid w:val="001A4FE0"/>
    <w:rsid w:val="001A5B9F"/>
    <w:rsid w:val="001A6790"/>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5079"/>
    <w:rsid w:val="001C5A97"/>
    <w:rsid w:val="001C5EF2"/>
    <w:rsid w:val="001C5F6B"/>
    <w:rsid w:val="001C666A"/>
    <w:rsid w:val="001C6748"/>
    <w:rsid w:val="001D055E"/>
    <w:rsid w:val="001D0C65"/>
    <w:rsid w:val="001D0CE3"/>
    <w:rsid w:val="001D3A5B"/>
    <w:rsid w:val="001D5BEB"/>
    <w:rsid w:val="001D5EE6"/>
    <w:rsid w:val="001D60FF"/>
    <w:rsid w:val="001D7698"/>
    <w:rsid w:val="001D7FB7"/>
    <w:rsid w:val="001E01B4"/>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3530"/>
    <w:rsid w:val="001F4726"/>
    <w:rsid w:val="001F492E"/>
    <w:rsid w:val="001F6DA3"/>
    <w:rsid w:val="001F7575"/>
    <w:rsid w:val="00201136"/>
    <w:rsid w:val="0020132A"/>
    <w:rsid w:val="00201A4B"/>
    <w:rsid w:val="00201C06"/>
    <w:rsid w:val="00203300"/>
    <w:rsid w:val="0020376D"/>
    <w:rsid w:val="00204159"/>
    <w:rsid w:val="00204302"/>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221"/>
    <w:rsid w:val="00217C29"/>
    <w:rsid w:val="002214D9"/>
    <w:rsid w:val="002216F5"/>
    <w:rsid w:val="00222F04"/>
    <w:rsid w:val="00223FEA"/>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160"/>
    <w:rsid w:val="00262F65"/>
    <w:rsid w:val="00263AC0"/>
    <w:rsid w:val="002649D2"/>
    <w:rsid w:val="002649D8"/>
    <w:rsid w:val="00265486"/>
    <w:rsid w:val="0026772D"/>
    <w:rsid w:val="00270A51"/>
    <w:rsid w:val="00270AF4"/>
    <w:rsid w:val="002714A4"/>
    <w:rsid w:val="00272178"/>
    <w:rsid w:val="0027318A"/>
    <w:rsid w:val="00275002"/>
    <w:rsid w:val="00275927"/>
    <w:rsid w:val="002762EA"/>
    <w:rsid w:val="00276A9F"/>
    <w:rsid w:val="00280A5E"/>
    <w:rsid w:val="002817AB"/>
    <w:rsid w:val="002828A0"/>
    <w:rsid w:val="00283BF8"/>
    <w:rsid w:val="0028440E"/>
    <w:rsid w:val="0028521F"/>
    <w:rsid w:val="00285B8A"/>
    <w:rsid w:val="00286874"/>
    <w:rsid w:val="00286D68"/>
    <w:rsid w:val="00290C73"/>
    <w:rsid w:val="00291658"/>
    <w:rsid w:val="0029246F"/>
    <w:rsid w:val="00294653"/>
    <w:rsid w:val="00294D01"/>
    <w:rsid w:val="00296B65"/>
    <w:rsid w:val="00296D07"/>
    <w:rsid w:val="002A0450"/>
    <w:rsid w:val="002A0AF0"/>
    <w:rsid w:val="002A1B5C"/>
    <w:rsid w:val="002A2900"/>
    <w:rsid w:val="002A3CF2"/>
    <w:rsid w:val="002A4EF8"/>
    <w:rsid w:val="002A72AE"/>
    <w:rsid w:val="002A7439"/>
    <w:rsid w:val="002A7729"/>
    <w:rsid w:val="002A7C78"/>
    <w:rsid w:val="002A7DEF"/>
    <w:rsid w:val="002B0749"/>
    <w:rsid w:val="002B0DAE"/>
    <w:rsid w:val="002B1949"/>
    <w:rsid w:val="002B1B50"/>
    <w:rsid w:val="002B3B2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300C0B"/>
    <w:rsid w:val="00302D83"/>
    <w:rsid w:val="00303F1A"/>
    <w:rsid w:val="0030495F"/>
    <w:rsid w:val="0030576E"/>
    <w:rsid w:val="003061FA"/>
    <w:rsid w:val="003062C2"/>
    <w:rsid w:val="00306DD8"/>
    <w:rsid w:val="003072FB"/>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574A1"/>
    <w:rsid w:val="00361D84"/>
    <w:rsid w:val="003624C2"/>
    <w:rsid w:val="00362ABA"/>
    <w:rsid w:val="003642AD"/>
    <w:rsid w:val="00364EF1"/>
    <w:rsid w:val="00366515"/>
    <w:rsid w:val="00367142"/>
    <w:rsid w:val="003715C8"/>
    <w:rsid w:val="00371F3A"/>
    <w:rsid w:val="003749F7"/>
    <w:rsid w:val="00375E24"/>
    <w:rsid w:val="00376373"/>
    <w:rsid w:val="003769E2"/>
    <w:rsid w:val="00377133"/>
    <w:rsid w:val="00380696"/>
    <w:rsid w:val="003816D4"/>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4D05"/>
    <w:rsid w:val="003A53D5"/>
    <w:rsid w:val="003A585C"/>
    <w:rsid w:val="003A5E58"/>
    <w:rsid w:val="003A7DC0"/>
    <w:rsid w:val="003B069D"/>
    <w:rsid w:val="003B0D56"/>
    <w:rsid w:val="003B282E"/>
    <w:rsid w:val="003B40ED"/>
    <w:rsid w:val="003B4804"/>
    <w:rsid w:val="003B4D9B"/>
    <w:rsid w:val="003B5D14"/>
    <w:rsid w:val="003B6F90"/>
    <w:rsid w:val="003B7D71"/>
    <w:rsid w:val="003C0710"/>
    <w:rsid w:val="003C16AA"/>
    <w:rsid w:val="003C24A9"/>
    <w:rsid w:val="003C2A86"/>
    <w:rsid w:val="003C2B22"/>
    <w:rsid w:val="003C2BC1"/>
    <w:rsid w:val="003C30E5"/>
    <w:rsid w:val="003C3C98"/>
    <w:rsid w:val="003C3D77"/>
    <w:rsid w:val="003C62E9"/>
    <w:rsid w:val="003C6315"/>
    <w:rsid w:val="003C7164"/>
    <w:rsid w:val="003C7EFA"/>
    <w:rsid w:val="003D4F14"/>
    <w:rsid w:val="003D5258"/>
    <w:rsid w:val="003D62D9"/>
    <w:rsid w:val="003E1341"/>
    <w:rsid w:val="003E19A2"/>
    <w:rsid w:val="003E309F"/>
    <w:rsid w:val="003E3C33"/>
    <w:rsid w:val="003E47DC"/>
    <w:rsid w:val="003E521D"/>
    <w:rsid w:val="003E74FF"/>
    <w:rsid w:val="003E78A9"/>
    <w:rsid w:val="003F004E"/>
    <w:rsid w:val="003F0289"/>
    <w:rsid w:val="003F3672"/>
    <w:rsid w:val="003F3CA9"/>
    <w:rsid w:val="003F4AF9"/>
    <w:rsid w:val="003F54CB"/>
    <w:rsid w:val="003F57F1"/>
    <w:rsid w:val="003F5F74"/>
    <w:rsid w:val="003F66C5"/>
    <w:rsid w:val="003F747A"/>
    <w:rsid w:val="003F75C8"/>
    <w:rsid w:val="00401B53"/>
    <w:rsid w:val="00402142"/>
    <w:rsid w:val="00403473"/>
    <w:rsid w:val="004034C5"/>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641"/>
    <w:rsid w:val="004176E8"/>
    <w:rsid w:val="00420AA9"/>
    <w:rsid w:val="00421154"/>
    <w:rsid w:val="0042429B"/>
    <w:rsid w:val="00424809"/>
    <w:rsid w:val="004253D6"/>
    <w:rsid w:val="00425E38"/>
    <w:rsid w:val="004269FF"/>
    <w:rsid w:val="004303EE"/>
    <w:rsid w:val="00432B5B"/>
    <w:rsid w:val="00433242"/>
    <w:rsid w:val="00436B54"/>
    <w:rsid w:val="00436F76"/>
    <w:rsid w:val="00440D85"/>
    <w:rsid w:val="00441A99"/>
    <w:rsid w:val="00442767"/>
    <w:rsid w:val="00444A48"/>
    <w:rsid w:val="0044748A"/>
    <w:rsid w:val="00450611"/>
    <w:rsid w:val="004507A1"/>
    <w:rsid w:val="0045129B"/>
    <w:rsid w:val="004518EA"/>
    <w:rsid w:val="00451DFF"/>
    <w:rsid w:val="00453327"/>
    <w:rsid w:val="00453A41"/>
    <w:rsid w:val="00456C20"/>
    <w:rsid w:val="00462CFF"/>
    <w:rsid w:val="00463932"/>
    <w:rsid w:val="00465210"/>
    <w:rsid w:val="0046790A"/>
    <w:rsid w:val="0047014C"/>
    <w:rsid w:val="00470AF4"/>
    <w:rsid w:val="00470EE9"/>
    <w:rsid w:val="0047130B"/>
    <w:rsid w:val="00471992"/>
    <w:rsid w:val="00471E68"/>
    <w:rsid w:val="0047237E"/>
    <w:rsid w:val="0047251B"/>
    <w:rsid w:val="0047346C"/>
    <w:rsid w:val="004740D3"/>
    <w:rsid w:val="00477821"/>
    <w:rsid w:val="0048018F"/>
    <w:rsid w:val="00480B4B"/>
    <w:rsid w:val="00480DA9"/>
    <w:rsid w:val="004819B1"/>
    <w:rsid w:val="004831F8"/>
    <w:rsid w:val="004835FB"/>
    <w:rsid w:val="00484D9C"/>
    <w:rsid w:val="00485752"/>
    <w:rsid w:val="00485DC4"/>
    <w:rsid w:val="00487C10"/>
    <w:rsid w:val="00491631"/>
    <w:rsid w:val="004923CD"/>
    <w:rsid w:val="00492A06"/>
    <w:rsid w:val="0049337E"/>
    <w:rsid w:val="00493B02"/>
    <w:rsid w:val="00494036"/>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4A76"/>
    <w:rsid w:val="004D5447"/>
    <w:rsid w:val="004D55BA"/>
    <w:rsid w:val="004E0F0F"/>
    <w:rsid w:val="004E1B1C"/>
    <w:rsid w:val="004E1E95"/>
    <w:rsid w:val="004E34E7"/>
    <w:rsid w:val="004E38D9"/>
    <w:rsid w:val="004E4142"/>
    <w:rsid w:val="004E567F"/>
    <w:rsid w:val="004E6AFC"/>
    <w:rsid w:val="004E70CA"/>
    <w:rsid w:val="004E755C"/>
    <w:rsid w:val="004E7D10"/>
    <w:rsid w:val="004F171D"/>
    <w:rsid w:val="004F18F3"/>
    <w:rsid w:val="004F5381"/>
    <w:rsid w:val="004F6D0A"/>
    <w:rsid w:val="004F6ED0"/>
    <w:rsid w:val="00501B85"/>
    <w:rsid w:val="0050244E"/>
    <w:rsid w:val="00502843"/>
    <w:rsid w:val="00502D42"/>
    <w:rsid w:val="00502F3B"/>
    <w:rsid w:val="005033F6"/>
    <w:rsid w:val="005047F1"/>
    <w:rsid w:val="00505B5E"/>
    <w:rsid w:val="00510A43"/>
    <w:rsid w:val="0051195C"/>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611E"/>
    <w:rsid w:val="0054102B"/>
    <w:rsid w:val="0054173F"/>
    <w:rsid w:val="00541B82"/>
    <w:rsid w:val="0054254C"/>
    <w:rsid w:val="0054313C"/>
    <w:rsid w:val="00543945"/>
    <w:rsid w:val="00543BEC"/>
    <w:rsid w:val="00544C6F"/>
    <w:rsid w:val="00547DC4"/>
    <w:rsid w:val="005502E7"/>
    <w:rsid w:val="00551739"/>
    <w:rsid w:val="00552108"/>
    <w:rsid w:val="0055298D"/>
    <w:rsid w:val="00552DA2"/>
    <w:rsid w:val="00554D95"/>
    <w:rsid w:val="00555667"/>
    <w:rsid w:val="005556B9"/>
    <w:rsid w:val="00556553"/>
    <w:rsid w:val="00556B64"/>
    <w:rsid w:val="005575B9"/>
    <w:rsid w:val="00560CE5"/>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183"/>
    <w:rsid w:val="00582446"/>
    <w:rsid w:val="005839B3"/>
    <w:rsid w:val="00584D8F"/>
    <w:rsid w:val="00585D42"/>
    <w:rsid w:val="0058645E"/>
    <w:rsid w:val="005943E8"/>
    <w:rsid w:val="005950AB"/>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838"/>
    <w:rsid w:val="005B0EF5"/>
    <w:rsid w:val="005B1402"/>
    <w:rsid w:val="005B1E3C"/>
    <w:rsid w:val="005B4810"/>
    <w:rsid w:val="005B4C44"/>
    <w:rsid w:val="005B62AF"/>
    <w:rsid w:val="005B6FC9"/>
    <w:rsid w:val="005B7F8F"/>
    <w:rsid w:val="005C08DE"/>
    <w:rsid w:val="005C26CC"/>
    <w:rsid w:val="005C3411"/>
    <w:rsid w:val="005C3D54"/>
    <w:rsid w:val="005C3DEC"/>
    <w:rsid w:val="005C4E3D"/>
    <w:rsid w:val="005C4F80"/>
    <w:rsid w:val="005C53C0"/>
    <w:rsid w:val="005C546A"/>
    <w:rsid w:val="005C553B"/>
    <w:rsid w:val="005C592F"/>
    <w:rsid w:val="005C5D2E"/>
    <w:rsid w:val="005C5E72"/>
    <w:rsid w:val="005D0F07"/>
    <w:rsid w:val="005D24A9"/>
    <w:rsid w:val="005D2FBD"/>
    <w:rsid w:val="005D5ECD"/>
    <w:rsid w:val="005D69AF"/>
    <w:rsid w:val="005E0B7E"/>
    <w:rsid w:val="005E2086"/>
    <w:rsid w:val="005E343A"/>
    <w:rsid w:val="005E6DAF"/>
    <w:rsid w:val="005E6FFA"/>
    <w:rsid w:val="005E7718"/>
    <w:rsid w:val="005F0661"/>
    <w:rsid w:val="005F0CD5"/>
    <w:rsid w:val="005F37A9"/>
    <w:rsid w:val="005F59D5"/>
    <w:rsid w:val="005F69C4"/>
    <w:rsid w:val="005F6ADE"/>
    <w:rsid w:val="005F702C"/>
    <w:rsid w:val="005F7247"/>
    <w:rsid w:val="00600B2D"/>
    <w:rsid w:val="00601705"/>
    <w:rsid w:val="00602A58"/>
    <w:rsid w:val="00602BFF"/>
    <w:rsid w:val="00603914"/>
    <w:rsid w:val="00604DB6"/>
    <w:rsid w:val="006057DD"/>
    <w:rsid w:val="006074A3"/>
    <w:rsid w:val="00607BA0"/>
    <w:rsid w:val="00610304"/>
    <w:rsid w:val="00612006"/>
    <w:rsid w:val="00612702"/>
    <w:rsid w:val="00612FE8"/>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4083"/>
    <w:rsid w:val="00665ACC"/>
    <w:rsid w:val="00666226"/>
    <w:rsid w:val="0067092D"/>
    <w:rsid w:val="0067180B"/>
    <w:rsid w:val="00673D15"/>
    <w:rsid w:val="00673E49"/>
    <w:rsid w:val="006741D4"/>
    <w:rsid w:val="00675C7F"/>
    <w:rsid w:val="00675E21"/>
    <w:rsid w:val="00676392"/>
    <w:rsid w:val="00676679"/>
    <w:rsid w:val="00677233"/>
    <w:rsid w:val="006777D7"/>
    <w:rsid w:val="00681479"/>
    <w:rsid w:val="0068251F"/>
    <w:rsid w:val="00682A0D"/>
    <w:rsid w:val="006836D7"/>
    <w:rsid w:val="00684647"/>
    <w:rsid w:val="00684E01"/>
    <w:rsid w:val="006861F0"/>
    <w:rsid w:val="00686411"/>
    <w:rsid w:val="00687AA8"/>
    <w:rsid w:val="00690F0B"/>
    <w:rsid w:val="00694FD6"/>
    <w:rsid w:val="0069547C"/>
    <w:rsid w:val="006956EC"/>
    <w:rsid w:val="00696FCB"/>
    <w:rsid w:val="006A0411"/>
    <w:rsid w:val="006A20CE"/>
    <w:rsid w:val="006A21CD"/>
    <w:rsid w:val="006A35B0"/>
    <w:rsid w:val="006A698D"/>
    <w:rsid w:val="006A6EDD"/>
    <w:rsid w:val="006A7C64"/>
    <w:rsid w:val="006B0C7B"/>
    <w:rsid w:val="006B3202"/>
    <w:rsid w:val="006B32F3"/>
    <w:rsid w:val="006B4CF9"/>
    <w:rsid w:val="006B6CC3"/>
    <w:rsid w:val="006B77F5"/>
    <w:rsid w:val="006B7AC8"/>
    <w:rsid w:val="006C1813"/>
    <w:rsid w:val="006C196C"/>
    <w:rsid w:val="006C1E8B"/>
    <w:rsid w:val="006C1F0C"/>
    <w:rsid w:val="006C2373"/>
    <w:rsid w:val="006C318F"/>
    <w:rsid w:val="006C3620"/>
    <w:rsid w:val="006C41C4"/>
    <w:rsid w:val="006C447D"/>
    <w:rsid w:val="006C4534"/>
    <w:rsid w:val="006C5B09"/>
    <w:rsid w:val="006C62B7"/>
    <w:rsid w:val="006D0C1E"/>
    <w:rsid w:val="006D1D94"/>
    <w:rsid w:val="006D3561"/>
    <w:rsid w:val="006D38CE"/>
    <w:rsid w:val="006D550F"/>
    <w:rsid w:val="006D5B9F"/>
    <w:rsid w:val="006D6001"/>
    <w:rsid w:val="006D6AE2"/>
    <w:rsid w:val="006D6B47"/>
    <w:rsid w:val="006D7923"/>
    <w:rsid w:val="006E1E7D"/>
    <w:rsid w:val="006E218F"/>
    <w:rsid w:val="006E244A"/>
    <w:rsid w:val="006E5F3E"/>
    <w:rsid w:val="006E78CF"/>
    <w:rsid w:val="006F0601"/>
    <w:rsid w:val="006F0B74"/>
    <w:rsid w:val="006F0D76"/>
    <w:rsid w:val="006F1044"/>
    <w:rsid w:val="006F3750"/>
    <w:rsid w:val="006F393C"/>
    <w:rsid w:val="006F3C98"/>
    <w:rsid w:val="006F3FCB"/>
    <w:rsid w:val="006F48AA"/>
    <w:rsid w:val="006F4C38"/>
    <w:rsid w:val="006F4D5B"/>
    <w:rsid w:val="006F6C2D"/>
    <w:rsid w:val="00700DAB"/>
    <w:rsid w:val="00701CAB"/>
    <w:rsid w:val="007037F6"/>
    <w:rsid w:val="00704518"/>
    <w:rsid w:val="00704CA4"/>
    <w:rsid w:val="00707011"/>
    <w:rsid w:val="00707242"/>
    <w:rsid w:val="00707563"/>
    <w:rsid w:val="0071151C"/>
    <w:rsid w:val="00711BF6"/>
    <w:rsid w:val="00712D03"/>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6063"/>
    <w:rsid w:val="00746E01"/>
    <w:rsid w:val="00747D2F"/>
    <w:rsid w:val="0075017A"/>
    <w:rsid w:val="00751821"/>
    <w:rsid w:val="007532DD"/>
    <w:rsid w:val="00753ADA"/>
    <w:rsid w:val="007600A5"/>
    <w:rsid w:val="00760FD8"/>
    <w:rsid w:val="00761409"/>
    <w:rsid w:val="007618A3"/>
    <w:rsid w:val="00762D41"/>
    <w:rsid w:val="00763E5D"/>
    <w:rsid w:val="00764468"/>
    <w:rsid w:val="00764C7F"/>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0FFE"/>
    <w:rsid w:val="007A1135"/>
    <w:rsid w:val="007A1428"/>
    <w:rsid w:val="007A1AB0"/>
    <w:rsid w:val="007A33E8"/>
    <w:rsid w:val="007A3A5D"/>
    <w:rsid w:val="007A6572"/>
    <w:rsid w:val="007A6656"/>
    <w:rsid w:val="007A7264"/>
    <w:rsid w:val="007B1732"/>
    <w:rsid w:val="007B2C72"/>
    <w:rsid w:val="007B3F68"/>
    <w:rsid w:val="007B497F"/>
    <w:rsid w:val="007B57F8"/>
    <w:rsid w:val="007B742A"/>
    <w:rsid w:val="007B78AB"/>
    <w:rsid w:val="007C0679"/>
    <w:rsid w:val="007C1C53"/>
    <w:rsid w:val="007C2EE8"/>
    <w:rsid w:val="007C5DBB"/>
    <w:rsid w:val="007C6254"/>
    <w:rsid w:val="007C62FE"/>
    <w:rsid w:val="007C6FE2"/>
    <w:rsid w:val="007C7930"/>
    <w:rsid w:val="007D00F6"/>
    <w:rsid w:val="007D1133"/>
    <w:rsid w:val="007D2028"/>
    <w:rsid w:val="007D47B2"/>
    <w:rsid w:val="007D53A8"/>
    <w:rsid w:val="007D6FC9"/>
    <w:rsid w:val="007D74C6"/>
    <w:rsid w:val="007D7AEB"/>
    <w:rsid w:val="007E1516"/>
    <w:rsid w:val="007E4904"/>
    <w:rsid w:val="007E4CB5"/>
    <w:rsid w:val="007E5597"/>
    <w:rsid w:val="007E647C"/>
    <w:rsid w:val="007E74E0"/>
    <w:rsid w:val="007E7D47"/>
    <w:rsid w:val="007F066B"/>
    <w:rsid w:val="007F0F77"/>
    <w:rsid w:val="007F2BBD"/>
    <w:rsid w:val="007F2D03"/>
    <w:rsid w:val="007F3B2C"/>
    <w:rsid w:val="007F3D64"/>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37C0C"/>
    <w:rsid w:val="00840C6C"/>
    <w:rsid w:val="00840D87"/>
    <w:rsid w:val="00840FCC"/>
    <w:rsid w:val="00843C59"/>
    <w:rsid w:val="008445D3"/>
    <w:rsid w:val="00845396"/>
    <w:rsid w:val="00847ED9"/>
    <w:rsid w:val="00850C5A"/>
    <w:rsid w:val="00851209"/>
    <w:rsid w:val="0085188E"/>
    <w:rsid w:val="00851B46"/>
    <w:rsid w:val="00852B3D"/>
    <w:rsid w:val="008556A5"/>
    <w:rsid w:val="00855D1C"/>
    <w:rsid w:val="00856965"/>
    <w:rsid w:val="00856C3E"/>
    <w:rsid w:val="00857917"/>
    <w:rsid w:val="0086123D"/>
    <w:rsid w:val="00861AED"/>
    <w:rsid w:val="00862467"/>
    <w:rsid w:val="00864A9F"/>
    <w:rsid w:val="00867506"/>
    <w:rsid w:val="008707C1"/>
    <w:rsid w:val="00870903"/>
    <w:rsid w:val="00871F42"/>
    <w:rsid w:val="0087223A"/>
    <w:rsid w:val="0087280A"/>
    <w:rsid w:val="0087308C"/>
    <w:rsid w:val="00873B1F"/>
    <w:rsid w:val="0087479D"/>
    <w:rsid w:val="00882E1D"/>
    <w:rsid w:val="008837AC"/>
    <w:rsid w:val="00883FB8"/>
    <w:rsid w:val="00884D30"/>
    <w:rsid w:val="0088604D"/>
    <w:rsid w:val="00886662"/>
    <w:rsid w:val="00886BAB"/>
    <w:rsid w:val="00886CEC"/>
    <w:rsid w:val="00886FA8"/>
    <w:rsid w:val="00887EBF"/>
    <w:rsid w:val="008909FD"/>
    <w:rsid w:val="00890E9F"/>
    <w:rsid w:val="008934F4"/>
    <w:rsid w:val="00895878"/>
    <w:rsid w:val="00896C79"/>
    <w:rsid w:val="008A0E23"/>
    <w:rsid w:val="008A1035"/>
    <w:rsid w:val="008A147B"/>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668B"/>
    <w:rsid w:val="008D6AC3"/>
    <w:rsid w:val="008E1B1B"/>
    <w:rsid w:val="008E1E8E"/>
    <w:rsid w:val="008E2316"/>
    <w:rsid w:val="008E2C54"/>
    <w:rsid w:val="008E3AAC"/>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A78"/>
    <w:rsid w:val="00903CF6"/>
    <w:rsid w:val="009057E0"/>
    <w:rsid w:val="009064FC"/>
    <w:rsid w:val="0091130F"/>
    <w:rsid w:val="00913C7D"/>
    <w:rsid w:val="00914975"/>
    <w:rsid w:val="00914A87"/>
    <w:rsid w:val="00915BFF"/>
    <w:rsid w:val="0091710E"/>
    <w:rsid w:val="00921066"/>
    <w:rsid w:val="00921957"/>
    <w:rsid w:val="00922ACF"/>
    <w:rsid w:val="009233EE"/>
    <w:rsid w:val="00924207"/>
    <w:rsid w:val="0092422F"/>
    <w:rsid w:val="00925ADD"/>
    <w:rsid w:val="00927426"/>
    <w:rsid w:val="0092748A"/>
    <w:rsid w:val="00927738"/>
    <w:rsid w:val="0093233D"/>
    <w:rsid w:val="00932606"/>
    <w:rsid w:val="009335AE"/>
    <w:rsid w:val="00933B55"/>
    <w:rsid w:val="00935408"/>
    <w:rsid w:val="00936740"/>
    <w:rsid w:val="009377D8"/>
    <w:rsid w:val="00940393"/>
    <w:rsid w:val="0094150C"/>
    <w:rsid w:val="00941C1B"/>
    <w:rsid w:val="00942863"/>
    <w:rsid w:val="00944863"/>
    <w:rsid w:val="009456B7"/>
    <w:rsid w:val="009456DC"/>
    <w:rsid w:val="0094643C"/>
    <w:rsid w:val="00947919"/>
    <w:rsid w:val="00950B15"/>
    <w:rsid w:val="0095158D"/>
    <w:rsid w:val="00952CF7"/>
    <w:rsid w:val="00953534"/>
    <w:rsid w:val="00953576"/>
    <w:rsid w:val="009540FA"/>
    <w:rsid w:val="00956C19"/>
    <w:rsid w:val="00957591"/>
    <w:rsid w:val="0095772E"/>
    <w:rsid w:val="0096061C"/>
    <w:rsid w:val="00960AC5"/>
    <w:rsid w:val="00960C83"/>
    <w:rsid w:val="00963053"/>
    <w:rsid w:val="00963B7A"/>
    <w:rsid w:val="00963EC7"/>
    <w:rsid w:val="009661DE"/>
    <w:rsid w:val="009709BF"/>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3D22"/>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1895"/>
    <w:rsid w:val="009D3016"/>
    <w:rsid w:val="009D30B3"/>
    <w:rsid w:val="009D3902"/>
    <w:rsid w:val="009D47E3"/>
    <w:rsid w:val="009D5AB7"/>
    <w:rsid w:val="009D633E"/>
    <w:rsid w:val="009D6B46"/>
    <w:rsid w:val="009E1209"/>
    <w:rsid w:val="009E1242"/>
    <w:rsid w:val="009E1C38"/>
    <w:rsid w:val="009E2520"/>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11053"/>
    <w:rsid w:val="00A1210E"/>
    <w:rsid w:val="00A159BF"/>
    <w:rsid w:val="00A15E40"/>
    <w:rsid w:val="00A16DAF"/>
    <w:rsid w:val="00A16F26"/>
    <w:rsid w:val="00A20EEB"/>
    <w:rsid w:val="00A21F54"/>
    <w:rsid w:val="00A2302C"/>
    <w:rsid w:val="00A25353"/>
    <w:rsid w:val="00A2563F"/>
    <w:rsid w:val="00A26739"/>
    <w:rsid w:val="00A26C2F"/>
    <w:rsid w:val="00A30B76"/>
    <w:rsid w:val="00A31252"/>
    <w:rsid w:val="00A35169"/>
    <w:rsid w:val="00A3632A"/>
    <w:rsid w:val="00A37951"/>
    <w:rsid w:val="00A37D64"/>
    <w:rsid w:val="00A42006"/>
    <w:rsid w:val="00A432BC"/>
    <w:rsid w:val="00A433FB"/>
    <w:rsid w:val="00A441EA"/>
    <w:rsid w:val="00A4478A"/>
    <w:rsid w:val="00A44852"/>
    <w:rsid w:val="00A45EAC"/>
    <w:rsid w:val="00A47A03"/>
    <w:rsid w:val="00A505D4"/>
    <w:rsid w:val="00A52A1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334D"/>
    <w:rsid w:val="00A75AAA"/>
    <w:rsid w:val="00A77B76"/>
    <w:rsid w:val="00A81710"/>
    <w:rsid w:val="00A81EF8"/>
    <w:rsid w:val="00A8219E"/>
    <w:rsid w:val="00A84107"/>
    <w:rsid w:val="00A84E2D"/>
    <w:rsid w:val="00A84F46"/>
    <w:rsid w:val="00A85DE3"/>
    <w:rsid w:val="00A871F4"/>
    <w:rsid w:val="00A87F90"/>
    <w:rsid w:val="00A912B1"/>
    <w:rsid w:val="00A91A4B"/>
    <w:rsid w:val="00A923DD"/>
    <w:rsid w:val="00A93139"/>
    <w:rsid w:val="00A9455D"/>
    <w:rsid w:val="00A94D89"/>
    <w:rsid w:val="00A956AD"/>
    <w:rsid w:val="00A96CE0"/>
    <w:rsid w:val="00A971A0"/>
    <w:rsid w:val="00AA0C1B"/>
    <w:rsid w:val="00AA0CEB"/>
    <w:rsid w:val="00AA12D3"/>
    <w:rsid w:val="00AA39C0"/>
    <w:rsid w:val="00AA3A2C"/>
    <w:rsid w:val="00AA476F"/>
    <w:rsid w:val="00AA649A"/>
    <w:rsid w:val="00AA73F0"/>
    <w:rsid w:val="00AB1500"/>
    <w:rsid w:val="00AB1CC2"/>
    <w:rsid w:val="00AB6478"/>
    <w:rsid w:val="00AB6927"/>
    <w:rsid w:val="00AB6AF1"/>
    <w:rsid w:val="00AC0FE9"/>
    <w:rsid w:val="00AC1491"/>
    <w:rsid w:val="00AC1B2C"/>
    <w:rsid w:val="00AC1CF3"/>
    <w:rsid w:val="00AC242C"/>
    <w:rsid w:val="00AC3264"/>
    <w:rsid w:val="00AC48DA"/>
    <w:rsid w:val="00AC5B96"/>
    <w:rsid w:val="00AC70A2"/>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8E6"/>
    <w:rsid w:val="00B56CF6"/>
    <w:rsid w:val="00B56E03"/>
    <w:rsid w:val="00B6278D"/>
    <w:rsid w:val="00B62BB5"/>
    <w:rsid w:val="00B63E2C"/>
    <w:rsid w:val="00B64DF7"/>
    <w:rsid w:val="00B652AF"/>
    <w:rsid w:val="00B65ABB"/>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4260"/>
    <w:rsid w:val="00B956D7"/>
    <w:rsid w:val="00BA1F27"/>
    <w:rsid w:val="00BA2E61"/>
    <w:rsid w:val="00BA390A"/>
    <w:rsid w:val="00BA3992"/>
    <w:rsid w:val="00BA4665"/>
    <w:rsid w:val="00BA50DC"/>
    <w:rsid w:val="00BA5D97"/>
    <w:rsid w:val="00BA621C"/>
    <w:rsid w:val="00BB127C"/>
    <w:rsid w:val="00BB20BA"/>
    <w:rsid w:val="00BB2FB2"/>
    <w:rsid w:val="00BB3304"/>
    <w:rsid w:val="00BB4732"/>
    <w:rsid w:val="00BB51C2"/>
    <w:rsid w:val="00BB6815"/>
    <w:rsid w:val="00BB7780"/>
    <w:rsid w:val="00BC03BC"/>
    <w:rsid w:val="00BC1B6B"/>
    <w:rsid w:val="00BC4B2E"/>
    <w:rsid w:val="00BC4CD2"/>
    <w:rsid w:val="00BC5D4F"/>
    <w:rsid w:val="00BC5E1C"/>
    <w:rsid w:val="00BC614B"/>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7DBC"/>
    <w:rsid w:val="00BE7DFF"/>
    <w:rsid w:val="00BE7F9E"/>
    <w:rsid w:val="00BF19CB"/>
    <w:rsid w:val="00BF1BF5"/>
    <w:rsid w:val="00BF1E45"/>
    <w:rsid w:val="00BF2274"/>
    <w:rsid w:val="00BF295F"/>
    <w:rsid w:val="00BF4639"/>
    <w:rsid w:val="00BF5542"/>
    <w:rsid w:val="00BF6004"/>
    <w:rsid w:val="00BF65C1"/>
    <w:rsid w:val="00BF771C"/>
    <w:rsid w:val="00C004FD"/>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38EB"/>
    <w:rsid w:val="00C24398"/>
    <w:rsid w:val="00C248B1"/>
    <w:rsid w:val="00C24CDC"/>
    <w:rsid w:val="00C25A9A"/>
    <w:rsid w:val="00C273A6"/>
    <w:rsid w:val="00C30BBE"/>
    <w:rsid w:val="00C3355D"/>
    <w:rsid w:val="00C34065"/>
    <w:rsid w:val="00C35876"/>
    <w:rsid w:val="00C35BA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72E0"/>
    <w:rsid w:val="00C70205"/>
    <w:rsid w:val="00C71DE6"/>
    <w:rsid w:val="00C7295C"/>
    <w:rsid w:val="00C729B4"/>
    <w:rsid w:val="00C72B95"/>
    <w:rsid w:val="00C73A47"/>
    <w:rsid w:val="00C73C83"/>
    <w:rsid w:val="00C7472B"/>
    <w:rsid w:val="00C74A11"/>
    <w:rsid w:val="00C80612"/>
    <w:rsid w:val="00C81324"/>
    <w:rsid w:val="00C81890"/>
    <w:rsid w:val="00C81A67"/>
    <w:rsid w:val="00C81FC6"/>
    <w:rsid w:val="00C8473D"/>
    <w:rsid w:val="00C85FF1"/>
    <w:rsid w:val="00C86679"/>
    <w:rsid w:val="00C86919"/>
    <w:rsid w:val="00C872DB"/>
    <w:rsid w:val="00C87867"/>
    <w:rsid w:val="00C91830"/>
    <w:rsid w:val="00C9478B"/>
    <w:rsid w:val="00C94A8E"/>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D5338"/>
    <w:rsid w:val="00CE0074"/>
    <w:rsid w:val="00CE0A5F"/>
    <w:rsid w:val="00CE15A5"/>
    <w:rsid w:val="00CE1831"/>
    <w:rsid w:val="00CE1B68"/>
    <w:rsid w:val="00CE2DD3"/>
    <w:rsid w:val="00CE4B01"/>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067B"/>
    <w:rsid w:val="00D22BD4"/>
    <w:rsid w:val="00D22E23"/>
    <w:rsid w:val="00D2306D"/>
    <w:rsid w:val="00D250AC"/>
    <w:rsid w:val="00D270E1"/>
    <w:rsid w:val="00D323D0"/>
    <w:rsid w:val="00D32767"/>
    <w:rsid w:val="00D33489"/>
    <w:rsid w:val="00D372FA"/>
    <w:rsid w:val="00D40B44"/>
    <w:rsid w:val="00D41EB0"/>
    <w:rsid w:val="00D42ECE"/>
    <w:rsid w:val="00D43232"/>
    <w:rsid w:val="00D43663"/>
    <w:rsid w:val="00D43C03"/>
    <w:rsid w:val="00D44037"/>
    <w:rsid w:val="00D4594F"/>
    <w:rsid w:val="00D4681D"/>
    <w:rsid w:val="00D510A2"/>
    <w:rsid w:val="00D5111E"/>
    <w:rsid w:val="00D5124C"/>
    <w:rsid w:val="00D53F55"/>
    <w:rsid w:val="00D60387"/>
    <w:rsid w:val="00D61388"/>
    <w:rsid w:val="00D613F3"/>
    <w:rsid w:val="00D615F9"/>
    <w:rsid w:val="00D61A54"/>
    <w:rsid w:val="00D61C75"/>
    <w:rsid w:val="00D62514"/>
    <w:rsid w:val="00D62BAD"/>
    <w:rsid w:val="00D64DEA"/>
    <w:rsid w:val="00D65E49"/>
    <w:rsid w:val="00D67D07"/>
    <w:rsid w:val="00D70F71"/>
    <w:rsid w:val="00D71771"/>
    <w:rsid w:val="00D725C2"/>
    <w:rsid w:val="00D73D17"/>
    <w:rsid w:val="00D74261"/>
    <w:rsid w:val="00D74971"/>
    <w:rsid w:val="00D77C40"/>
    <w:rsid w:val="00D80893"/>
    <w:rsid w:val="00D81B2D"/>
    <w:rsid w:val="00D839A7"/>
    <w:rsid w:val="00D83BFF"/>
    <w:rsid w:val="00D83DD9"/>
    <w:rsid w:val="00D84797"/>
    <w:rsid w:val="00D86899"/>
    <w:rsid w:val="00D87097"/>
    <w:rsid w:val="00D87C8A"/>
    <w:rsid w:val="00D90958"/>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BC2"/>
    <w:rsid w:val="00DA6816"/>
    <w:rsid w:val="00DA72EB"/>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3DE"/>
    <w:rsid w:val="00DD502F"/>
    <w:rsid w:val="00DD79F4"/>
    <w:rsid w:val="00DE27A1"/>
    <w:rsid w:val="00DE45B5"/>
    <w:rsid w:val="00DE4CDA"/>
    <w:rsid w:val="00DE4EFA"/>
    <w:rsid w:val="00DE5104"/>
    <w:rsid w:val="00DE5520"/>
    <w:rsid w:val="00DE5AB1"/>
    <w:rsid w:val="00DE6006"/>
    <w:rsid w:val="00DE6AA6"/>
    <w:rsid w:val="00DE7345"/>
    <w:rsid w:val="00DE771A"/>
    <w:rsid w:val="00DF02A4"/>
    <w:rsid w:val="00DF0714"/>
    <w:rsid w:val="00DF1C55"/>
    <w:rsid w:val="00DF2298"/>
    <w:rsid w:val="00DF2934"/>
    <w:rsid w:val="00DF2D42"/>
    <w:rsid w:val="00DF3C7E"/>
    <w:rsid w:val="00DF504B"/>
    <w:rsid w:val="00DF6E09"/>
    <w:rsid w:val="00DF7793"/>
    <w:rsid w:val="00E00EC9"/>
    <w:rsid w:val="00E014D8"/>
    <w:rsid w:val="00E023D3"/>
    <w:rsid w:val="00E03069"/>
    <w:rsid w:val="00E034A6"/>
    <w:rsid w:val="00E03725"/>
    <w:rsid w:val="00E04818"/>
    <w:rsid w:val="00E06442"/>
    <w:rsid w:val="00E07B94"/>
    <w:rsid w:val="00E1139A"/>
    <w:rsid w:val="00E113E2"/>
    <w:rsid w:val="00E115DE"/>
    <w:rsid w:val="00E13056"/>
    <w:rsid w:val="00E13280"/>
    <w:rsid w:val="00E135DB"/>
    <w:rsid w:val="00E13C85"/>
    <w:rsid w:val="00E15B15"/>
    <w:rsid w:val="00E176EC"/>
    <w:rsid w:val="00E17E20"/>
    <w:rsid w:val="00E214E9"/>
    <w:rsid w:val="00E227A4"/>
    <w:rsid w:val="00E2374E"/>
    <w:rsid w:val="00E23993"/>
    <w:rsid w:val="00E247D2"/>
    <w:rsid w:val="00E24D12"/>
    <w:rsid w:val="00E2504E"/>
    <w:rsid w:val="00E25B8C"/>
    <w:rsid w:val="00E25F40"/>
    <w:rsid w:val="00E274E8"/>
    <w:rsid w:val="00E275E5"/>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805CC"/>
    <w:rsid w:val="00E809F7"/>
    <w:rsid w:val="00E8137D"/>
    <w:rsid w:val="00E823D9"/>
    <w:rsid w:val="00E8569F"/>
    <w:rsid w:val="00E86851"/>
    <w:rsid w:val="00E91678"/>
    <w:rsid w:val="00E91BED"/>
    <w:rsid w:val="00E926FC"/>
    <w:rsid w:val="00E936DB"/>
    <w:rsid w:val="00E95CA7"/>
    <w:rsid w:val="00E96EFF"/>
    <w:rsid w:val="00E973CA"/>
    <w:rsid w:val="00EA1DEE"/>
    <w:rsid w:val="00EA3D42"/>
    <w:rsid w:val="00EA4DD9"/>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E24"/>
    <w:rsid w:val="00EE164B"/>
    <w:rsid w:val="00EE28F3"/>
    <w:rsid w:val="00EE347F"/>
    <w:rsid w:val="00EE42C2"/>
    <w:rsid w:val="00EE46CE"/>
    <w:rsid w:val="00EE575A"/>
    <w:rsid w:val="00EE6B29"/>
    <w:rsid w:val="00EF013A"/>
    <w:rsid w:val="00EF0E42"/>
    <w:rsid w:val="00EF0FE6"/>
    <w:rsid w:val="00EF1961"/>
    <w:rsid w:val="00EF3F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67CF"/>
    <w:rsid w:val="00F16858"/>
    <w:rsid w:val="00F1785E"/>
    <w:rsid w:val="00F20BD3"/>
    <w:rsid w:val="00F20C14"/>
    <w:rsid w:val="00F219B8"/>
    <w:rsid w:val="00F22856"/>
    <w:rsid w:val="00F247E7"/>
    <w:rsid w:val="00F248D0"/>
    <w:rsid w:val="00F27967"/>
    <w:rsid w:val="00F27EF9"/>
    <w:rsid w:val="00F3008B"/>
    <w:rsid w:val="00F32D35"/>
    <w:rsid w:val="00F336DF"/>
    <w:rsid w:val="00F3401F"/>
    <w:rsid w:val="00F342A8"/>
    <w:rsid w:val="00F35787"/>
    <w:rsid w:val="00F3590E"/>
    <w:rsid w:val="00F35CAA"/>
    <w:rsid w:val="00F36430"/>
    <w:rsid w:val="00F373A5"/>
    <w:rsid w:val="00F376D3"/>
    <w:rsid w:val="00F42DB4"/>
    <w:rsid w:val="00F45B2F"/>
    <w:rsid w:val="00F45C69"/>
    <w:rsid w:val="00F46013"/>
    <w:rsid w:val="00F47559"/>
    <w:rsid w:val="00F50531"/>
    <w:rsid w:val="00F50A7C"/>
    <w:rsid w:val="00F5112C"/>
    <w:rsid w:val="00F541D9"/>
    <w:rsid w:val="00F5475E"/>
    <w:rsid w:val="00F55548"/>
    <w:rsid w:val="00F55859"/>
    <w:rsid w:val="00F55C77"/>
    <w:rsid w:val="00F6043C"/>
    <w:rsid w:val="00F60561"/>
    <w:rsid w:val="00F60B34"/>
    <w:rsid w:val="00F61055"/>
    <w:rsid w:val="00F61AA8"/>
    <w:rsid w:val="00F61EEA"/>
    <w:rsid w:val="00F63B85"/>
    <w:rsid w:val="00F64A21"/>
    <w:rsid w:val="00F64A7A"/>
    <w:rsid w:val="00F64C7B"/>
    <w:rsid w:val="00F64F82"/>
    <w:rsid w:val="00F65F7F"/>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1DFF"/>
    <w:rsid w:val="00F835F8"/>
    <w:rsid w:val="00F83FAD"/>
    <w:rsid w:val="00F87EBA"/>
    <w:rsid w:val="00F90705"/>
    <w:rsid w:val="00F908CD"/>
    <w:rsid w:val="00F90A80"/>
    <w:rsid w:val="00F93027"/>
    <w:rsid w:val="00F946BA"/>
    <w:rsid w:val="00F94788"/>
    <w:rsid w:val="00F952A0"/>
    <w:rsid w:val="00F965FC"/>
    <w:rsid w:val="00F9786B"/>
    <w:rsid w:val="00FA25D4"/>
    <w:rsid w:val="00FA279B"/>
    <w:rsid w:val="00FA3830"/>
    <w:rsid w:val="00FA3C7F"/>
    <w:rsid w:val="00FA7736"/>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910"/>
    <w:rsid w:val="00FC0DB9"/>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CA8"/>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4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D41473-6DFF-4398-B8C8-8FBF3631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10830732</Template>
  <TotalTime>0</TotalTime>
  <Pages>9</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2016-09-20T01:02:00Z</dcterms:created>
  <dcterms:modified xsi:type="dcterms:W3CDTF">2016-09-20T01:27:00Z</dcterms:modified>
</cp:coreProperties>
</file>