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drawings/drawing2.xml" ContentType="application/vnd.openxmlformats-officedocument.drawingml.chartshapes+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drawings/drawing3.xml" ContentType="application/vnd.openxmlformats-officedocument.drawingml.chartshapes+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drawings/drawing4.xml" ContentType="application/vnd.openxmlformats-officedocument.drawingml.chartshapes+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theme/themeOverride53.xml" ContentType="application/vnd.openxmlformats-officedocument.themeOverride+xml"/>
  <Override PartName="/word/drawings/drawing5.xml" ContentType="application/vnd.openxmlformats-officedocument.drawingml.chartshapes+xml"/>
  <Override PartName="/word/charts/chart55.xml" ContentType="application/vnd.openxmlformats-officedocument.drawingml.chart+xml"/>
  <Override PartName="/word/theme/themeOverride54.xml" ContentType="application/vnd.openxmlformats-officedocument.themeOverride+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charts/chart59.xml" ContentType="application/vnd.openxmlformats-officedocument.drawingml.chart+xml"/>
  <Override PartName="/word/theme/themeOverride58.xml" ContentType="application/vnd.openxmlformats-officedocument.themeOverride+xml"/>
  <Override PartName="/word/charts/chart60.xml" ContentType="application/vnd.openxmlformats-officedocument.drawingml.chart+xml"/>
  <Override PartName="/word/theme/themeOverride59.xml" ContentType="application/vnd.openxmlformats-officedocument.themeOverride+xml"/>
  <Override PartName="/word/charts/chart61.xml" ContentType="application/vnd.openxmlformats-officedocument.drawingml.chart+xml"/>
  <Override PartName="/word/theme/themeOverride60.xml" ContentType="application/vnd.openxmlformats-officedocument.themeOverride+xml"/>
  <Override PartName="/word/charts/chart62.xml" ContentType="application/vnd.openxmlformats-officedocument.drawingml.chart+xml"/>
  <Override PartName="/word/theme/themeOverride61.xml" ContentType="application/vnd.openxmlformats-officedocument.themeOverride+xml"/>
  <Override PartName="/word/drawings/drawing6.xml" ContentType="application/vnd.openxmlformats-officedocument.drawingml.chartshapes+xml"/>
  <Override PartName="/word/charts/chart63.xml" ContentType="application/vnd.openxmlformats-officedocument.drawingml.chart+xml"/>
  <Override PartName="/word/theme/themeOverride62.xml" ContentType="application/vnd.openxmlformats-officedocument.themeOverride+xml"/>
  <Override PartName="/word/charts/chart64.xml" ContentType="application/vnd.openxmlformats-officedocument.drawingml.chart+xml"/>
  <Override PartName="/word/theme/themeOverride63.xml" ContentType="application/vnd.openxmlformats-officedocument.themeOverride+xml"/>
  <Override PartName="/word/charts/chart65.xml" ContentType="application/vnd.openxmlformats-officedocument.drawingml.chart+xml"/>
  <Override PartName="/word/theme/themeOverride64.xml" ContentType="application/vnd.openxmlformats-officedocument.themeOverride+xml"/>
  <Override PartName="/word/charts/chart66.xml" ContentType="application/vnd.openxmlformats-officedocument.drawingml.chart+xml"/>
  <Override PartName="/word/theme/themeOverride65.xml" ContentType="application/vnd.openxmlformats-officedocument.themeOverride+xml"/>
  <Override PartName="/word/charts/chart67.xml" ContentType="application/vnd.openxmlformats-officedocument.drawingml.chart+xml"/>
  <Override PartName="/word/theme/themeOverride66.xml" ContentType="application/vnd.openxmlformats-officedocument.themeOverride+xml"/>
  <Override PartName="/word/charts/chart68.xml" ContentType="application/vnd.openxmlformats-officedocument.drawingml.chart+xml"/>
  <Override PartName="/word/theme/themeOverride67.xml" ContentType="application/vnd.openxmlformats-officedocument.themeOverride+xml"/>
  <Override PartName="/word/charts/chart69.xml" ContentType="application/vnd.openxmlformats-officedocument.drawingml.chart+xml"/>
  <Override PartName="/word/theme/themeOverride68.xml" ContentType="application/vnd.openxmlformats-officedocument.themeOverride+xml"/>
  <Override PartName="/word/charts/chart70.xml" ContentType="application/vnd.openxmlformats-officedocument.drawingml.chart+xml"/>
  <Override PartName="/word/theme/themeOverride69.xml" ContentType="application/vnd.openxmlformats-officedocument.themeOverride+xml"/>
  <Override PartName="/word/drawings/drawing7.xml" ContentType="application/vnd.openxmlformats-officedocument.drawingml.chartshapes+xml"/>
  <Override PartName="/word/charts/chart71.xml" ContentType="application/vnd.openxmlformats-officedocument.drawingml.chart+xml"/>
  <Override PartName="/word/theme/themeOverride70.xml" ContentType="application/vnd.openxmlformats-officedocument.themeOverride+xml"/>
  <Override PartName="/word/charts/chart72.xml" ContentType="application/vnd.openxmlformats-officedocument.drawingml.chart+xml"/>
  <Override PartName="/word/theme/themeOverride71.xml" ContentType="application/vnd.openxmlformats-officedocument.themeOverride+xml"/>
  <Override PartName="/word/charts/chart73.xml" ContentType="application/vnd.openxmlformats-officedocument.drawingml.chart+xml"/>
  <Override PartName="/word/theme/themeOverride72.xml" ContentType="application/vnd.openxmlformats-officedocument.themeOverride+xml"/>
  <Override PartName="/word/charts/chart74.xml" ContentType="application/vnd.openxmlformats-officedocument.drawingml.chart+xml"/>
  <Override PartName="/word/theme/themeOverride73.xml" ContentType="application/vnd.openxmlformats-officedocument.themeOverride+xml"/>
  <Override PartName="/word/charts/chart75.xml" ContentType="application/vnd.openxmlformats-officedocument.drawingml.chart+xml"/>
  <Override PartName="/word/theme/themeOverride74.xml" ContentType="application/vnd.openxmlformats-officedocument.themeOverride+xml"/>
  <Override PartName="/word/charts/chart76.xml" ContentType="application/vnd.openxmlformats-officedocument.drawingml.chart+xml"/>
  <Override PartName="/word/theme/themeOverride75.xml" ContentType="application/vnd.openxmlformats-officedocument.themeOverride+xml"/>
  <Override PartName="/word/charts/chart77.xml" ContentType="application/vnd.openxmlformats-officedocument.drawingml.chart+xml"/>
  <Override PartName="/word/theme/themeOverride76.xml" ContentType="application/vnd.openxmlformats-officedocument.themeOverride+xml"/>
  <Override PartName="/word/charts/chart78.xml" ContentType="application/vnd.openxmlformats-officedocument.drawingml.chart+xml"/>
  <Override PartName="/word/theme/themeOverride77.xml" ContentType="application/vnd.openxmlformats-officedocument.themeOverride+xml"/>
  <Override PartName="/word/drawings/drawing8.xml" ContentType="application/vnd.openxmlformats-officedocument.drawingml.chartshapes+xml"/>
  <Override PartName="/word/charts/chart79.xml" ContentType="application/vnd.openxmlformats-officedocument.drawingml.chart+xml"/>
  <Override PartName="/word/theme/themeOverride78.xml" ContentType="application/vnd.openxmlformats-officedocument.themeOverride+xml"/>
  <Override PartName="/word/charts/chart80.xml" ContentType="application/vnd.openxmlformats-officedocument.drawingml.chart+xml"/>
  <Override PartName="/word/theme/themeOverride79.xml" ContentType="application/vnd.openxmlformats-officedocument.themeOverride+xml"/>
  <Override PartName="/word/charts/chart81.xml" ContentType="application/vnd.openxmlformats-officedocument.drawingml.chart+xml"/>
  <Override PartName="/word/theme/themeOverride80.xml" ContentType="application/vnd.openxmlformats-officedocument.themeOverride+xml"/>
  <Override PartName="/word/charts/chart82.xml" ContentType="application/vnd.openxmlformats-officedocument.drawingml.chart+xml"/>
  <Override PartName="/word/theme/themeOverride81.xml" ContentType="application/vnd.openxmlformats-officedocument.themeOverride+xml"/>
  <Override PartName="/word/charts/chart83.xml" ContentType="application/vnd.openxmlformats-officedocument.drawingml.chart+xml"/>
  <Override PartName="/word/theme/themeOverride82.xml" ContentType="application/vnd.openxmlformats-officedocument.themeOverride+xml"/>
  <Override PartName="/word/charts/chart84.xml" ContentType="application/vnd.openxmlformats-officedocument.drawingml.chart+xml"/>
  <Override PartName="/word/theme/themeOverride83.xml" ContentType="application/vnd.openxmlformats-officedocument.themeOverride+xml"/>
  <Override PartName="/word/charts/chart85.xml" ContentType="application/vnd.openxmlformats-officedocument.drawingml.chart+xml"/>
  <Override PartName="/word/theme/themeOverride84.xml" ContentType="application/vnd.openxmlformats-officedocument.themeOverride+xml"/>
  <Override PartName="/word/charts/chart86.xml" ContentType="application/vnd.openxmlformats-officedocument.drawingml.chart+xml"/>
  <Override PartName="/word/theme/themeOverride85.xml" ContentType="application/vnd.openxmlformats-officedocument.themeOverride+xml"/>
  <Override PartName="/word/charts/chart87.xml" ContentType="application/vnd.openxmlformats-officedocument.drawingml.chart+xml"/>
  <Override PartName="/word/theme/themeOverride86.xml" ContentType="application/vnd.openxmlformats-officedocument.themeOverride+xml"/>
  <Override PartName="/word/charts/chart88.xml" ContentType="application/vnd.openxmlformats-officedocument.drawingml.chart+xml"/>
  <Override PartName="/word/theme/themeOverride87.xml" ContentType="application/vnd.openxmlformats-officedocument.themeOverride+xml"/>
  <Override PartName="/word/drawings/drawing9.xml" ContentType="application/vnd.openxmlformats-officedocument.drawingml.chartshapes+xml"/>
  <Override PartName="/word/charts/chart89.xml" ContentType="application/vnd.openxmlformats-officedocument.drawingml.chart+xml"/>
  <Override PartName="/word/theme/themeOverride88.xml" ContentType="application/vnd.openxmlformats-officedocument.themeOverride+xml"/>
  <Override PartName="/word/charts/chart90.xml" ContentType="application/vnd.openxmlformats-officedocument.drawingml.chart+xml"/>
  <Override PartName="/word/theme/themeOverride89.xml" ContentType="application/vnd.openxmlformats-officedocument.themeOverride+xml"/>
  <Override PartName="/word/charts/chart91.xml" ContentType="application/vnd.openxmlformats-officedocument.drawingml.chart+xml"/>
  <Override PartName="/word/theme/themeOverride90.xml" ContentType="application/vnd.openxmlformats-officedocument.themeOverride+xml"/>
  <Override PartName="/word/charts/chart92.xml" ContentType="application/vnd.openxmlformats-officedocument.drawingml.chart+xml"/>
  <Override PartName="/word/theme/themeOverride91.xml" ContentType="application/vnd.openxmlformats-officedocument.themeOverride+xml"/>
  <Override PartName="/word/charts/chart93.xml" ContentType="application/vnd.openxmlformats-officedocument.drawingml.chart+xml"/>
  <Override PartName="/word/theme/themeOverride92.xml" ContentType="application/vnd.openxmlformats-officedocument.themeOverride+xml"/>
  <Override PartName="/word/charts/chart94.xml" ContentType="application/vnd.openxmlformats-officedocument.drawingml.chart+xml"/>
  <Override PartName="/word/theme/themeOverride93.xml" ContentType="application/vnd.openxmlformats-officedocument.themeOverride+xml"/>
  <Override PartName="/word/charts/chart95.xml" ContentType="application/vnd.openxmlformats-officedocument.drawingml.chart+xml"/>
  <Override PartName="/word/theme/themeOverride94.xml" ContentType="application/vnd.openxmlformats-officedocument.themeOverride+xml"/>
  <Override PartName="/word/charts/chart96.xml" ContentType="application/vnd.openxmlformats-officedocument.drawingml.chart+xml"/>
  <Override PartName="/word/theme/themeOverride95.xml" ContentType="application/vnd.openxmlformats-officedocument.themeOverride+xml"/>
  <Override PartName="/word/charts/chart97.xml" ContentType="application/vnd.openxmlformats-officedocument.drawingml.chart+xml"/>
  <Override PartName="/word/theme/themeOverride96.xml" ContentType="application/vnd.openxmlformats-officedocument.themeOverride+xml"/>
  <Override PartName="/word/charts/chart98.xml" ContentType="application/vnd.openxmlformats-officedocument.drawingml.chart+xml"/>
  <Override PartName="/word/theme/themeOverride97.xml" ContentType="application/vnd.openxmlformats-officedocument.themeOverride+xml"/>
  <Override PartName="/word/drawings/drawing10.xml" ContentType="application/vnd.openxmlformats-officedocument.drawingml.chartshapes+xml"/>
  <Override PartName="/word/charts/chart99.xml" ContentType="application/vnd.openxmlformats-officedocument.drawingml.chart+xml"/>
  <Override PartName="/word/theme/themeOverride98.xml" ContentType="application/vnd.openxmlformats-officedocument.themeOverride+xml"/>
  <Override PartName="/word/charts/chart100.xml" ContentType="application/vnd.openxmlformats-officedocument.drawingml.chart+xml"/>
  <Override PartName="/word/theme/themeOverride99.xml" ContentType="application/vnd.openxmlformats-officedocument.themeOverride+xml"/>
  <Override PartName="/word/charts/chart101.xml" ContentType="application/vnd.openxmlformats-officedocument.drawingml.chart+xml"/>
  <Override PartName="/word/theme/themeOverride100.xml" ContentType="application/vnd.openxmlformats-officedocument.themeOverride+xml"/>
  <Override PartName="/word/charts/chart102.xml" ContentType="application/vnd.openxmlformats-officedocument.drawingml.chart+xml"/>
  <Override PartName="/word/theme/themeOverride101.xml" ContentType="application/vnd.openxmlformats-officedocument.themeOverride+xml"/>
  <Override PartName="/word/charts/chart103.xml" ContentType="application/vnd.openxmlformats-officedocument.drawingml.chart+xml"/>
  <Override PartName="/word/theme/themeOverride102.xml" ContentType="application/vnd.openxmlformats-officedocument.themeOverride+xml"/>
  <Override PartName="/word/drawings/drawing11.xml" ContentType="application/vnd.openxmlformats-officedocument.drawingml.chartshapes+xml"/>
  <Override PartName="/word/charts/chart104.xml" ContentType="application/vnd.openxmlformats-officedocument.drawingml.chart+xml"/>
  <Override PartName="/word/theme/themeOverride103.xml" ContentType="application/vnd.openxmlformats-officedocument.themeOverride+xml"/>
  <Override PartName="/word/charts/chart105.xml" ContentType="application/vnd.openxmlformats-officedocument.drawingml.chart+xml"/>
  <Override PartName="/word/theme/themeOverride104.xml" ContentType="application/vnd.openxmlformats-officedocument.themeOverride+xml"/>
  <Override PartName="/word/charts/chart106.xml" ContentType="application/vnd.openxmlformats-officedocument.drawingml.chart+xml"/>
  <Override PartName="/word/theme/themeOverride105.xml" ContentType="application/vnd.openxmlformats-officedocument.themeOverride+xml"/>
  <Override PartName="/word/charts/chart107.xml" ContentType="application/vnd.openxmlformats-officedocument.drawingml.chart+xml"/>
  <Override PartName="/word/theme/themeOverride106.xml" ContentType="application/vnd.openxmlformats-officedocument.themeOverride+xml"/>
  <Override PartName="/word/drawings/drawing12.xml" ContentType="application/vnd.openxmlformats-officedocument.drawingml.chartshapes+xml"/>
  <Override PartName="/word/charts/chart108.xml" ContentType="application/vnd.openxmlformats-officedocument.drawingml.chart+xml"/>
  <Override PartName="/word/theme/themeOverride107.xml" ContentType="application/vnd.openxmlformats-officedocument.themeOverride+xml"/>
  <Override PartName="/word/charts/chart109.xml" ContentType="application/vnd.openxmlformats-officedocument.drawingml.chart+xml"/>
  <Override PartName="/word/theme/themeOverride108.xml" ContentType="application/vnd.openxmlformats-officedocument.themeOverride+xml"/>
  <Override PartName="/word/charts/chart110.xml" ContentType="application/vnd.openxmlformats-officedocument.drawingml.chart+xml"/>
  <Override PartName="/word/theme/themeOverride109.xml" ContentType="application/vnd.openxmlformats-officedocument.themeOverride+xml"/>
  <Override PartName="/word/charts/chart111.xml" ContentType="application/vnd.openxmlformats-officedocument.drawingml.chart+xml"/>
  <Override PartName="/word/theme/themeOverride110.xml" ContentType="application/vnd.openxmlformats-officedocument.themeOverride+xml"/>
  <Override PartName="/word/charts/chart112.xml" ContentType="application/vnd.openxmlformats-officedocument.drawingml.chart+xml"/>
  <Override PartName="/word/theme/themeOverride111.xml" ContentType="application/vnd.openxmlformats-officedocument.themeOverride+xml"/>
  <Override PartName="/word/charts/chart113.xml" ContentType="application/vnd.openxmlformats-officedocument.drawingml.chart+xml"/>
  <Override PartName="/word/theme/themeOverride112.xml" ContentType="application/vnd.openxmlformats-officedocument.themeOverride+xml"/>
  <Override PartName="/word/charts/chart114.xml" ContentType="application/vnd.openxmlformats-officedocument.drawingml.chart+xml"/>
  <Override PartName="/word/charts/chart115.xml" ContentType="application/vnd.openxmlformats-officedocument.drawingml.chart+xml"/>
  <Override PartName="/word/theme/themeOverride113.xml" ContentType="application/vnd.openxmlformats-officedocument.themeOverride+xml"/>
  <Override PartName="/word/charts/chart116.xml" ContentType="application/vnd.openxmlformats-officedocument.drawingml.chart+xml"/>
  <Override PartName="/word/theme/themeOverride114.xml" ContentType="application/vnd.openxmlformats-officedocument.themeOverride+xml"/>
  <Override PartName="/word/charts/chart117.xml" ContentType="application/vnd.openxmlformats-officedocument.drawingml.chart+xml"/>
  <Override PartName="/word/theme/themeOverride115.xml" ContentType="application/vnd.openxmlformats-officedocument.themeOverride+xml"/>
  <Override PartName="/word/drawings/drawing13.xml" ContentType="application/vnd.openxmlformats-officedocument.drawingml.chartshapes+xml"/>
  <Override PartName="/word/charts/chart118.xml" ContentType="application/vnd.openxmlformats-officedocument.drawingml.chart+xml"/>
  <Override PartName="/word/theme/themeOverride116.xml" ContentType="application/vnd.openxmlformats-officedocument.themeOverride+xml"/>
  <Override PartName="/word/charts/chart119.xml" ContentType="application/vnd.openxmlformats-officedocument.drawingml.chart+xml"/>
  <Override PartName="/word/theme/themeOverride117.xml" ContentType="application/vnd.openxmlformats-officedocument.themeOverride+xml"/>
  <Override PartName="/word/charts/chart120.xml" ContentType="application/vnd.openxmlformats-officedocument.drawingml.chart+xml"/>
  <Override PartName="/word/theme/themeOverride118.xml" ContentType="application/vnd.openxmlformats-officedocument.themeOverride+xml"/>
  <Override PartName="/word/charts/chart121.xml" ContentType="application/vnd.openxmlformats-officedocument.drawingml.chart+xml"/>
  <Override PartName="/word/theme/themeOverride119.xml" ContentType="application/vnd.openxmlformats-officedocument.themeOverride+xml"/>
  <Override PartName="/word/charts/chart122.xml" ContentType="application/vnd.openxmlformats-officedocument.drawingml.chart+xml"/>
  <Override PartName="/word/theme/themeOverride120.xml" ContentType="application/vnd.openxmlformats-officedocument.themeOverride+xml"/>
  <Override PartName="/word/charts/chart123.xml" ContentType="application/vnd.openxmlformats-officedocument.drawingml.chart+xml"/>
  <Override PartName="/word/theme/themeOverride121.xml" ContentType="application/vnd.openxmlformats-officedocument.themeOverride+xml"/>
  <Override PartName="/word/charts/chart124.xml" ContentType="application/vnd.openxmlformats-officedocument.drawingml.chart+xml"/>
  <Override PartName="/word/theme/themeOverride122.xml" ContentType="application/vnd.openxmlformats-officedocument.themeOverride+xml"/>
  <Override PartName="/word/charts/chart125.xml" ContentType="application/vnd.openxmlformats-officedocument.drawingml.chart+xml"/>
  <Override PartName="/word/theme/themeOverride123.xml" ContentType="application/vnd.openxmlformats-officedocument.themeOverride+xml"/>
  <Override PartName="/word/drawings/drawing14.xml" ContentType="application/vnd.openxmlformats-officedocument.drawingml.chartshapes+xml"/>
  <Override PartName="/word/charts/chart126.xml" ContentType="application/vnd.openxmlformats-officedocument.drawingml.chart+xml"/>
  <Override PartName="/word/theme/themeOverride124.xml" ContentType="application/vnd.openxmlformats-officedocument.themeOverride+xml"/>
  <Override PartName="/word/charts/chart127.xml" ContentType="application/vnd.openxmlformats-officedocument.drawingml.chart+xml"/>
  <Override PartName="/word/theme/themeOverride125.xml" ContentType="application/vnd.openxmlformats-officedocument.themeOverride+xml"/>
  <Override PartName="/word/charts/chart128.xml" ContentType="application/vnd.openxmlformats-officedocument.drawingml.chart+xml"/>
  <Override PartName="/word/theme/themeOverride126.xml" ContentType="application/vnd.openxmlformats-officedocument.themeOverride+xml"/>
  <Override PartName="/word/charts/chart129.xml" ContentType="application/vnd.openxmlformats-officedocument.drawingml.chart+xml"/>
  <Override PartName="/word/theme/themeOverride127.xml" ContentType="application/vnd.openxmlformats-officedocument.themeOverride+xml"/>
  <Override PartName="/word/charts/chart130.xml" ContentType="application/vnd.openxmlformats-officedocument.drawingml.chart+xml"/>
  <Override PartName="/word/theme/themeOverride128.xml" ContentType="application/vnd.openxmlformats-officedocument.themeOverride+xml"/>
  <Override PartName="/word/charts/chart131.xml" ContentType="application/vnd.openxmlformats-officedocument.drawingml.chart+xml"/>
  <Override PartName="/word/theme/themeOverride129.xml" ContentType="application/vnd.openxmlformats-officedocument.themeOverride+xml"/>
  <Override PartName="/word/charts/chart132.xml" ContentType="application/vnd.openxmlformats-officedocument.drawingml.chart+xml"/>
  <Override PartName="/word/theme/themeOverride130.xml" ContentType="application/vnd.openxmlformats-officedocument.themeOverride+xml"/>
  <Override PartName="/word/charts/chart133.xml" ContentType="application/vnd.openxmlformats-officedocument.drawingml.chart+xml"/>
  <Override PartName="/word/theme/themeOverride131.xml" ContentType="application/vnd.openxmlformats-officedocument.themeOverride+xml"/>
  <Override PartName="/word/charts/chart134.xml" ContentType="application/vnd.openxmlformats-officedocument.drawingml.chart+xml"/>
  <Override PartName="/word/theme/themeOverride132.xml" ContentType="application/vnd.openxmlformats-officedocument.themeOverride+xml"/>
  <Override PartName="/word/charts/chart135.xml" ContentType="application/vnd.openxmlformats-officedocument.drawingml.chart+xml"/>
  <Override PartName="/word/theme/themeOverride133.xml" ContentType="application/vnd.openxmlformats-officedocument.themeOverride+xml"/>
  <Override PartName="/word/drawings/drawing15.xml" ContentType="application/vnd.openxmlformats-officedocument.drawingml.chartshapes+xml"/>
  <Override PartName="/word/charts/chart136.xml" ContentType="application/vnd.openxmlformats-officedocument.drawingml.chart+xml"/>
  <Override PartName="/word/theme/themeOverride134.xml" ContentType="application/vnd.openxmlformats-officedocument.themeOverride+xml"/>
  <Override PartName="/word/charts/chart137.xml" ContentType="application/vnd.openxmlformats-officedocument.drawingml.chart+xml"/>
  <Override PartName="/word/theme/themeOverride135.xml" ContentType="application/vnd.openxmlformats-officedocument.themeOverride+xml"/>
  <Override PartName="/word/charts/chart138.xml" ContentType="application/vnd.openxmlformats-officedocument.drawingml.chart+xml"/>
  <Override PartName="/word/theme/themeOverride136.xml" ContentType="application/vnd.openxmlformats-officedocument.themeOverride+xml"/>
  <Override PartName="/word/charts/chart139.xml" ContentType="application/vnd.openxmlformats-officedocument.drawingml.chart+xml"/>
  <Override PartName="/word/theme/themeOverride137.xml" ContentType="application/vnd.openxmlformats-officedocument.themeOverride+xml"/>
  <Override PartName="/word/charts/chart140.xml" ContentType="application/vnd.openxmlformats-officedocument.drawingml.chart+xml"/>
  <Override PartName="/word/theme/themeOverride138.xml" ContentType="application/vnd.openxmlformats-officedocument.themeOverride+xml"/>
  <Override PartName="/word/charts/chart141.xml" ContentType="application/vnd.openxmlformats-officedocument.drawingml.chart+xml"/>
  <Override PartName="/word/theme/themeOverride139.xml" ContentType="application/vnd.openxmlformats-officedocument.themeOverride+xml"/>
  <Override PartName="/word/charts/chart142.xml" ContentType="application/vnd.openxmlformats-officedocument.drawingml.chart+xml"/>
  <Override PartName="/word/theme/themeOverride140.xml" ContentType="application/vnd.openxmlformats-officedocument.themeOverride+xml"/>
  <Override PartName="/word/charts/chart143.xml" ContentType="application/vnd.openxmlformats-officedocument.drawingml.chart+xml"/>
  <Override PartName="/word/theme/themeOverride141.xml" ContentType="application/vnd.openxmlformats-officedocument.themeOverride+xml"/>
  <Override PartName="/word/charts/chart144.xml" ContentType="application/vnd.openxmlformats-officedocument.drawingml.chart+xml"/>
  <Override PartName="/word/theme/themeOverride142.xml" ContentType="application/vnd.openxmlformats-officedocument.themeOverride+xml"/>
  <Override PartName="/word/charts/chart145.xml" ContentType="application/vnd.openxmlformats-officedocument.drawingml.chart+xml"/>
  <Override PartName="/word/theme/themeOverride143.xml" ContentType="application/vnd.openxmlformats-officedocument.themeOverride+xml"/>
  <Override PartName="/word/drawings/drawing16.xml" ContentType="application/vnd.openxmlformats-officedocument.drawingml.chartshapes+xml"/>
  <Override PartName="/word/charts/chart146.xml" ContentType="application/vnd.openxmlformats-officedocument.drawingml.chart+xml"/>
  <Override PartName="/word/theme/themeOverride144.xml" ContentType="application/vnd.openxmlformats-officedocument.themeOverride+xml"/>
  <Override PartName="/word/charts/chart147.xml" ContentType="application/vnd.openxmlformats-officedocument.drawingml.chart+xml"/>
  <Override PartName="/word/theme/themeOverride145.xml" ContentType="application/vnd.openxmlformats-officedocument.themeOverride+xml"/>
  <Override PartName="/word/charts/chart148.xml" ContentType="application/vnd.openxmlformats-officedocument.drawingml.chart+xml"/>
  <Override PartName="/word/theme/themeOverride146.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C83" w:rsidRPr="00AE2FC7" w:rsidRDefault="002A7C83" w:rsidP="00A95D61">
      <w:r w:rsidRPr="00AE2FC7">
        <w:rPr>
          <w:noProof/>
          <w:lang w:eastAsia="en-AU"/>
        </w:rPr>
        <w:drawing>
          <wp:anchor distT="0" distB="0" distL="114300" distR="114300" simplePos="0" relativeHeight="251665408" behindDoc="1" locked="0" layoutInCell="1" allowOverlap="1" wp14:anchorId="7708DB95" wp14:editId="29DCE641">
            <wp:simplePos x="0" y="0"/>
            <wp:positionH relativeFrom="column">
              <wp:posOffset>-1104900</wp:posOffset>
            </wp:positionH>
            <wp:positionV relativeFrom="paragraph">
              <wp:posOffset>-927735</wp:posOffset>
            </wp:positionV>
            <wp:extent cx="7591425" cy="10728960"/>
            <wp:effectExtent l="0" t="0" r="9525" b="0"/>
            <wp:wrapNone/>
            <wp:docPr id="454" name="Picture 454"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AE2FC7" w:rsidRPr="00AE2FC7" w:rsidRDefault="00AE2FC7" w:rsidP="00F171E0"/>
    <w:p w:rsidR="00AE2FC7" w:rsidRPr="00AE2FC7" w:rsidRDefault="00AE2FC7" w:rsidP="00F171E0"/>
    <w:p w:rsidR="00AE2FC7" w:rsidRPr="00AE2FC7" w:rsidRDefault="00AE2FC7" w:rsidP="00F171E0"/>
    <w:p w:rsidR="00AE2FC7" w:rsidRPr="00AE2FC7" w:rsidRDefault="00AE2FC7" w:rsidP="00F171E0"/>
    <w:p w:rsidR="00AE2FC7" w:rsidRPr="00AE2FC7" w:rsidRDefault="00AE2FC7" w:rsidP="00F171E0"/>
    <w:p w:rsidR="00AE2FC7" w:rsidRPr="00AE2FC7" w:rsidRDefault="00AE2FC7" w:rsidP="00F171E0"/>
    <w:p w:rsidR="00AE2FC7" w:rsidRPr="000A6C7B" w:rsidRDefault="00AE2FC7" w:rsidP="00AE2FC7">
      <w:pPr>
        <w:pStyle w:val="ReportTitle"/>
      </w:pPr>
      <w:r>
        <w:t>Electricity distribut</w:t>
      </w:r>
      <w:r w:rsidR="00D95C32">
        <w:t>ors</w:t>
      </w:r>
      <w:r>
        <w:t xml:space="preserve"> 2011</w:t>
      </w:r>
      <w:r w:rsidR="007A3240">
        <w:t>–</w:t>
      </w:r>
      <w:r>
        <w:t>13 performance report</w:t>
      </w:r>
    </w:p>
    <w:p w:rsidR="00AE2FC7" w:rsidRPr="000A6C7B" w:rsidRDefault="00AE2FC7" w:rsidP="00AE2FC7">
      <w:pPr>
        <w:pStyle w:val="ReportSubtitle"/>
      </w:pPr>
    </w:p>
    <w:p w:rsidR="00AE2FC7" w:rsidRPr="00AE2FC7" w:rsidRDefault="00C32EB3" w:rsidP="00AE2FC7">
      <w:pPr>
        <w:pStyle w:val="ReportDate"/>
      </w:pPr>
      <w:r>
        <w:t xml:space="preserve">June </w:t>
      </w:r>
      <w:r w:rsidR="00AE2FC7">
        <w:t>2015</w:t>
      </w:r>
    </w:p>
    <w:p w:rsidR="00AE2FC7" w:rsidRPr="00AE2FC7" w:rsidRDefault="00AE2FC7" w:rsidP="00AE2FC7">
      <w:r w:rsidRPr="00AE2FC7">
        <w:br w:type="page"/>
      </w:r>
    </w:p>
    <w:p w:rsidR="000A6C7B" w:rsidRDefault="000A6C7B" w:rsidP="00327A1E">
      <w:pPr>
        <w:pStyle w:val="Copyright"/>
      </w:pPr>
      <w:r>
        <w:lastRenderedPageBreak/>
        <w:t>© Commonwealth of Australia 201</w:t>
      </w:r>
      <w:r w:rsidR="00D95C32">
        <w:t>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Default="000A6C7B" w:rsidP="00185CB9">
      <w:pPr>
        <w:pStyle w:val="StyleCopyrightBefore0pt"/>
        <w:numPr>
          <w:ilvl w:val="0"/>
          <w:numId w:val="27"/>
        </w:numPr>
      </w:pPr>
      <w:r>
        <w:t>the Commonwealth Coat of Arms</w:t>
      </w:r>
    </w:p>
    <w:p w:rsidR="000A6C7B" w:rsidRDefault="000A6C7B" w:rsidP="00185CB9">
      <w:pPr>
        <w:pStyle w:val="StyleCopyrightBefore0pt"/>
        <w:numPr>
          <w:ilvl w:val="0"/>
          <w:numId w:val="27"/>
        </w:numPr>
      </w:pPr>
      <w:r>
        <w:t>the ACCC and AER logos</w:t>
      </w:r>
    </w:p>
    <w:p w:rsidR="000A6C7B" w:rsidRPr="00B927D8" w:rsidRDefault="000A6C7B" w:rsidP="00B927D8">
      <w:pPr>
        <w:pStyle w:val="ListBullet"/>
        <w:numPr>
          <w:ilvl w:val="0"/>
          <w:numId w:val="27"/>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 xml:space="preserve">Requests and inquiries concerning reproduction and rights should be addressed to the </w:t>
      </w:r>
      <w:r w:rsidR="007A4D1F">
        <w:br/>
      </w:r>
      <w:r>
        <w:t xml:space="preserve">Director, Corporate Communications </w:t>
      </w:r>
      <w:r w:rsidR="007A4D1F">
        <w:br/>
      </w:r>
      <w:r>
        <w:t xml:space="preserve">Australian Competition and Consumer Commission </w:t>
      </w:r>
      <w:r w:rsidR="007A4D1F">
        <w:br/>
      </w:r>
      <w:r>
        <w:t xml:space="preserve">GPO Box 4141 </w:t>
      </w:r>
      <w:r w:rsidR="007A4D1F">
        <w:br/>
      </w:r>
      <w:r>
        <w:t xml:space="preserve">Canberra ACT 2601 </w:t>
      </w:r>
      <w:r w:rsidR="007A4D1F">
        <w:br/>
      </w:r>
      <w:r>
        <w:t xml:space="preserve">or </w:t>
      </w:r>
      <w:r w:rsidRPr="00B4372B">
        <w:rPr>
          <w:rStyle w:val="Hyperlink"/>
        </w:rPr>
        <w:t>publishing.unit@accc.gov.au</w:t>
      </w:r>
      <w:r>
        <w:t>.</w:t>
      </w:r>
    </w:p>
    <w:p w:rsidR="00951978" w:rsidRDefault="000A6C7B" w:rsidP="00A02A88">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0A6C7B">
      <w:pPr>
        <w:pStyle w:val="Copyright"/>
      </w:pPr>
      <w:r>
        <w:t>Tel: (03) 9290 1444</w:t>
      </w:r>
      <w:r w:rsidR="00951978">
        <w:br/>
      </w:r>
      <w:r>
        <w:t>Fax: (03) 9290 1457</w:t>
      </w:r>
    </w:p>
    <w:p w:rsidR="000A6C7B" w:rsidRPr="00951978" w:rsidRDefault="000A6C7B" w:rsidP="000A6C7B">
      <w:pPr>
        <w:pStyle w:val="Copyright"/>
        <w:rPr>
          <w:color w:val="0000FF"/>
          <w:sz w:val="22"/>
          <w:u w:val="single"/>
        </w:rPr>
      </w:pPr>
      <w:r>
        <w:t xml:space="preserve">Email: </w:t>
      </w:r>
      <w:hyperlink r:id="rId10" w:history="1">
        <w:r w:rsidRPr="00D64888">
          <w:rPr>
            <w:rStyle w:val="Hyperlink"/>
          </w:rPr>
          <w:t>AERInquiry@aer.gov.au</w:t>
        </w:r>
      </w:hyperlink>
      <w:r w:rsidR="00951978">
        <w:rPr>
          <w:rStyle w:val="Hyperlink"/>
        </w:rPr>
        <w:br/>
      </w:r>
      <w:r>
        <w:t xml:space="preserve">AER Reference: </w:t>
      </w:r>
      <w:r w:rsidR="00A95D61">
        <w:t>48890</w:t>
      </w:r>
      <w:r w:rsidR="0072418F">
        <w:t>, D15/88781</w:t>
      </w:r>
    </w:p>
    <w:p w:rsidR="000A6C7B" w:rsidRDefault="000A6C7B" w:rsidP="000A6C7B"/>
    <w:p w:rsidR="002010BC" w:rsidRDefault="002010BC">
      <w:pPr>
        <w:spacing w:line="240" w:lineRule="auto"/>
      </w:pPr>
      <w:r>
        <w:br w:type="page"/>
      </w:r>
    </w:p>
    <w:p w:rsidR="002010BC" w:rsidRDefault="00A75077" w:rsidP="00A75077">
      <w:pPr>
        <w:pStyle w:val="TOCHeading"/>
      </w:pPr>
      <w:r>
        <w:lastRenderedPageBreak/>
        <w:t>Contents</w:t>
      </w:r>
    </w:p>
    <w:p w:rsidR="00C1436E" w:rsidRDefault="00A75077">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23086424" w:history="1">
        <w:r w:rsidR="00C1436E" w:rsidRPr="00974C77">
          <w:rPr>
            <w:rStyle w:val="Hyperlink"/>
          </w:rPr>
          <w:t>Preface</w:t>
        </w:r>
        <w:r w:rsidR="00C1436E">
          <w:rPr>
            <w:webHidden/>
          </w:rPr>
          <w:tab/>
        </w:r>
        <w:r w:rsidR="00C1436E">
          <w:rPr>
            <w:webHidden/>
          </w:rPr>
          <w:fldChar w:fldCharType="begin"/>
        </w:r>
        <w:r w:rsidR="00C1436E">
          <w:rPr>
            <w:webHidden/>
          </w:rPr>
          <w:instrText xml:space="preserve"> PAGEREF _Toc423086424 \h </w:instrText>
        </w:r>
        <w:r w:rsidR="00C1436E">
          <w:rPr>
            <w:webHidden/>
          </w:rPr>
        </w:r>
        <w:r w:rsidR="00C1436E">
          <w:rPr>
            <w:webHidden/>
          </w:rPr>
          <w:fldChar w:fldCharType="separate"/>
        </w:r>
        <w:r w:rsidR="002337B5">
          <w:rPr>
            <w:webHidden/>
          </w:rPr>
          <w:t>1</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25" w:history="1">
        <w:r w:rsidR="00C1436E" w:rsidRPr="00974C77">
          <w:rPr>
            <w:rStyle w:val="Hyperlink"/>
          </w:rPr>
          <w:t>1</w:t>
        </w:r>
        <w:r w:rsidR="00C1436E">
          <w:rPr>
            <w:rFonts w:asciiTheme="minorHAnsi" w:eastAsiaTheme="minorEastAsia" w:hAnsiTheme="minorHAnsi"/>
            <w:b w:val="0"/>
            <w:color w:val="auto"/>
            <w:sz w:val="22"/>
            <w:lang w:val="en-AU" w:eastAsia="en-AU"/>
          </w:rPr>
          <w:tab/>
        </w:r>
        <w:r w:rsidR="00C1436E" w:rsidRPr="00974C77">
          <w:rPr>
            <w:rStyle w:val="Hyperlink"/>
          </w:rPr>
          <w:t>Introduction</w:t>
        </w:r>
        <w:r w:rsidR="00C1436E">
          <w:rPr>
            <w:webHidden/>
          </w:rPr>
          <w:tab/>
        </w:r>
        <w:r w:rsidR="00C1436E">
          <w:rPr>
            <w:webHidden/>
          </w:rPr>
          <w:fldChar w:fldCharType="begin"/>
        </w:r>
        <w:r w:rsidR="00C1436E">
          <w:rPr>
            <w:webHidden/>
          </w:rPr>
          <w:instrText xml:space="preserve"> PAGEREF _Toc423086425 \h </w:instrText>
        </w:r>
        <w:r w:rsidR="00C1436E">
          <w:rPr>
            <w:webHidden/>
          </w:rPr>
        </w:r>
        <w:r w:rsidR="00C1436E">
          <w:rPr>
            <w:webHidden/>
          </w:rPr>
          <w:fldChar w:fldCharType="separate"/>
        </w:r>
        <w:r>
          <w:rPr>
            <w:webHidden/>
          </w:rPr>
          <w:t>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26" w:history="1">
        <w:r w:rsidR="00C1436E" w:rsidRPr="00974C77">
          <w:rPr>
            <w:rStyle w:val="Hyperlink"/>
          </w:rPr>
          <w:t>1.1</w:t>
        </w:r>
        <w:r w:rsidR="00C1436E">
          <w:rPr>
            <w:rFonts w:asciiTheme="minorHAnsi" w:eastAsiaTheme="minorEastAsia" w:hAnsiTheme="minorHAnsi"/>
            <w:b w:val="0"/>
            <w:color w:val="auto"/>
            <w:sz w:val="22"/>
            <w:lang w:eastAsia="en-AU"/>
          </w:rPr>
          <w:tab/>
        </w:r>
        <w:r w:rsidR="00C1436E" w:rsidRPr="00974C77">
          <w:rPr>
            <w:rStyle w:val="Hyperlink"/>
          </w:rPr>
          <w:t>Our role</w:t>
        </w:r>
        <w:r w:rsidR="00C1436E">
          <w:rPr>
            <w:webHidden/>
          </w:rPr>
          <w:tab/>
        </w:r>
        <w:r w:rsidR="00C1436E">
          <w:rPr>
            <w:webHidden/>
          </w:rPr>
          <w:fldChar w:fldCharType="begin"/>
        </w:r>
        <w:r w:rsidR="00C1436E">
          <w:rPr>
            <w:webHidden/>
          </w:rPr>
          <w:instrText xml:space="preserve"> PAGEREF _Toc423086426 \h </w:instrText>
        </w:r>
        <w:r w:rsidR="00C1436E">
          <w:rPr>
            <w:webHidden/>
          </w:rPr>
        </w:r>
        <w:r w:rsidR="00C1436E">
          <w:rPr>
            <w:webHidden/>
          </w:rPr>
          <w:fldChar w:fldCharType="separate"/>
        </w:r>
        <w:r>
          <w:rPr>
            <w:webHidden/>
          </w:rPr>
          <w:t>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27" w:history="1">
        <w:r w:rsidR="00C1436E" w:rsidRPr="00974C77">
          <w:rPr>
            <w:rStyle w:val="Hyperlink"/>
          </w:rPr>
          <w:t>1.2</w:t>
        </w:r>
        <w:r w:rsidR="00C1436E">
          <w:rPr>
            <w:rFonts w:asciiTheme="minorHAnsi" w:eastAsiaTheme="minorEastAsia" w:hAnsiTheme="minorHAnsi"/>
            <w:b w:val="0"/>
            <w:color w:val="auto"/>
            <w:sz w:val="22"/>
            <w:lang w:eastAsia="en-AU"/>
          </w:rPr>
          <w:tab/>
        </w:r>
        <w:r w:rsidR="00C1436E" w:rsidRPr="00974C77">
          <w:rPr>
            <w:rStyle w:val="Hyperlink"/>
          </w:rPr>
          <w:t>Priorities and objectives of performance reporting</w:t>
        </w:r>
        <w:r w:rsidR="00C1436E">
          <w:rPr>
            <w:webHidden/>
          </w:rPr>
          <w:tab/>
        </w:r>
        <w:r w:rsidR="00C1436E">
          <w:rPr>
            <w:webHidden/>
          </w:rPr>
          <w:fldChar w:fldCharType="begin"/>
        </w:r>
        <w:r w:rsidR="00C1436E">
          <w:rPr>
            <w:webHidden/>
          </w:rPr>
          <w:instrText xml:space="preserve"> PAGEREF _Toc423086427 \h </w:instrText>
        </w:r>
        <w:r w:rsidR="00C1436E">
          <w:rPr>
            <w:webHidden/>
          </w:rPr>
        </w:r>
        <w:r w:rsidR="00C1436E">
          <w:rPr>
            <w:webHidden/>
          </w:rPr>
          <w:fldChar w:fldCharType="separate"/>
        </w:r>
        <w:r>
          <w:rPr>
            <w:webHidden/>
          </w:rPr>
          <w:t>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28" w:history="1">
        <w:r w:rsidR="00C1436E" w:rsidRPr="00974C77">
          <w:rPr>
            <w:rStyle w:val="Hyperlink"/>
          </w:rPr>
          <w:t>1.3</w:t>
        </w:r>
        <w:r w:rsidR="00C1436E">
          <w:rPr>
            <w:rFonts w:asciiTheme="minorHAnsi" w:eastAsiaTheme="minorEastAsia" w:hAnsiTheme="minorHAnsi"/>
            <w:b w:val="0"/>
            <w:color w:val="auto"/>
            <w:sz w:val="22"/>
            <w:lang w:eastAsia="en-AU"/>
          </w:rPr>
          <w:tab/>
        </w:r>
        <w:r w:rsidR="00C1436E" w:rsidRPr="00974C77">
          <w:rPr>
            <w:rStyle w:val="Hyperlink"/>
          </w:rPr>
          <w:t>Scope of the report</w:t>
        </w:r>
        <w:r w:rsidR="00C1436E">
          <w:rPr>
            <w:webHidden/>
          </w:rPr>
          <w:tab/>
        </w:r>
        <w:r w:rsidR="00C1436E">
          <w:rPr>
            <w:webHidden/>
          </w:rPr>
          <w:fldChar w:fldCharType="begin"/>
        </w:r>
        <w:r w:rsidR="00C1436E">
          <w:rPr>
            <w:webHidden/>
          </w:rPr>
          <w:instrText xml:space="preserve"> PAGEREF _Toc423086428 \h </w:instrText>
        </w:r>
        <w:r w:rsidR="00C1436E">
          <w:rPr>
            <w:webHidden/>
          </w:rPr>
        </w:r>
        <w:r w:rsidR="00C1436E">
          <w:rPr>
            <w:webHidden/>
          </w:rPr>
          <w:fldChar w:fldCharType="separate"/>
        </w:r>
        <w:r>
          <w:rPr>
            <w:webHidden/>
          </w:rPr>
          <w:t>3</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29" w:history="1">
        <w:r w:rsidR="00C1436E" w:rsidRPr="00974C77">
          <w:rPr>
            <w:rStyle w:val="Hyperlink"/>
          </w:rPr>
          <w:t>1.4</w:t>
        </w:r>
        <w:r w:rsidR="00C1436E">
          <w:rPr>
            <w:rFonts w:asciiTheme="minorHAnsi" w:eastAsiaTheme="minorEastAsia" w:hAnsiTheme="minorHAnsi"/>
            <w:b w:val="0"/>
            <w:color w:val="auto"/>
            <w:sz w:val="22"/>
            <w:lang w:eastAsia="en-AU"/>
          </w:rPr>
          <w:tab/>
        </w:r>
        <w:r w:rsidR="00C1436E" w:rsidRPr="00974C77">
          <w:rPr>
            <w:rStyle w:val="Hyperlink"/>
          </w:rPr>
          <w:t>Sources of information</w:t>
        </w:r>
        <w:r w:rsidR="00C1436E">
          <w:rPr>
            <w:webHidden/>
          </w:rPr>
          <w:tab/>
        </w:r>
        <w:r w:rsidR="00C1436E">
          <w:rPr>
            <w:webHidden/>
          </w:rPr>
          <w:fldChar w:fldCharType="begin"/>
        </w:r>
        <w:r w:rsidR="00C1436E">
          <w:rPr>
            <w:webHidden/>
          </w:rPr>
          <w:instrText xml:space="preserve"> PAGEREF _Toc423086429 \h </w:instrText>
        </w:r>
        <w:r w:rsidR="00C1436E">
          <w:rPr>
            <w:webHidden/>
          </w:rPr>
        </w:r>
        <w:r w:rsidR="00C1436E">
          <w:rPr>
            <w:webHidden/>
          </w:rPr>
          <w:fldChar w:fldCharType="separate"/>
        </w:r>
        <w:r>
          <w:rPr>
            <w:webHidden/>
          </w:rPr>
          <w:t>3</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30" w:history="1">
        <w:r w:rsidR="00C1436E" w:rsidRPr="00974C77">
          <w:rPr>
            <w:rStyle w:val="Hyperlink"/>
          </w:rPr>
          <w:t>1.5</w:t>
        </w:r>
        <w:r w:rsidR="00C1436E">
          <w:rPr>
            <w:rFonts w:asciiTheme="minorHAnsi" w:eastAsiaTheme="minorEastAsia" w:hAnsiTheme="minorHAnsi"/>
            <w:b w:val="0"/>
            <w:color w:val="auto"/>
            <w:sz w:val="22"/>
            <w:lang w:eastAsia="en-AU"/>
          </w:rPr>
          <w:tab/>
        </w:r>
        <w:r w:rsidR="00C1436E" w:rsidRPr="00974C77">
          <w:rPr>
            <w:rStyle w:val="Hyperlink"/>
          </w:rPr>
          <w:t>Presentation of data</w:t>
        </w:r>
        <w:r w:rsidR="00C1436E">
          <w:rPr>
            <w:webHidden/>
          </w:rPr>
          <w:tab/>
        </w:r>
        <w:r w:rsidR="00C1436E">
          <w:rPr>
            <w:webHidden/>
          </w:rPr>
          <w:fldChar w:fldCharType="begin"/>
        </w:r>
        <w:r w:rsidR="00C1436E">
          <w:rPr>
            <w:webHidden/>
          </w:rPr>
          <w:instrText xml:space="preserve"> PAGEREF _Toc423086430 \h </w:instrText>
        </w:r>
        <w:r w:rsidR="00C1436E">
          <w:rPr>
            <w:webHidden/>
          </w:rPr>
        </w:r>
        <w:r w:rsidR="00C1436E">
          <w:rPr>
            <w:webHidden/>
          </w:rPr>
          <w:fldChar w:fldCharType="separate"/>
        </w:r>
        <w:r>
          <w:rPr>
            <w:webHidden/>
          </w:rPr>
          <w:t>4</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34" w:history="1">
        <w:r w:rsidR="00C1436E" w:rsidRPr="00974C77">
          <w:rPr>
            <w:rStyle w:val="Hyperlink"/>
          </w:rPr>
          <w:t>1.6</w:t>
        </w:r>
        <w:r w:rsidR="00C1436E">
          <w:rPr>
            <w:rFonts w:asciiTheme="minorHAnsi" w:eastAsiaTheme="minorEastAsia" w:hAnsiTheme="minorHAnsi"/>
            <w:b w:val="0"/>
            <w:color w:val="auto"/>
            <w:sz w:val="22"/>
            <w:lang w:eastAsia="en-AU"/>
          </w:rPr>
          <w:tab/>
        </w:r>
        <w:r w:rsidR="00C1436E" w:rsidRPr="00974C77">
          <w:rPr>
            <w:rStyle w:val="Hyperlink"/>
          </w:rPr>
          <w:t>Structure of the report</w:t>
        </w:r>
        <w:r w:rsidR="00C1436E">
          <w:rPr>
            <w:webHidden/>
          </w:rPr>
          <w:tab/>
        </w:r>
        <w:r w:rsidR="00C1436E">
          <w:rPr>
            <w:webHidden/>
          </w:rPr>
          <w:fldChar w:fldCharType="begin"/>
        </w:r>
        <w:r w:rsidR="00C1436E">
          <w:rPr>
            <w:webHidden/>
          </w:rPr>
          <w:instrText xml:space="preserve"> PAGEREF _Toc423086434 \h </w:instrText>
        </w:r>
        <w:r w:rsidR="00C1436E">
          <w:rPr>
            <w:webHidden/>
          </w:rPr>
        </w:r>
        <w:r w:rsidR="00C1436E">
          <w:rPr>
            <w:webHidden/>
          </w:rPr>
          <w:fldChar w:fldCharType="separate"/>
        </w:r>
        <w:r>
          <w:rPr>
            <w:webHidden/>
          </w:rPr>
          <w:t>4</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35" w:history="1">
        <w:r w:rsidR="00C1436E" w:rsidRPr="00974C77">
          <w:rPr>
            <w:rStyle w:val="Hyperlink"/>
          </w:rPr>
          <w:t>1.7</w:t>
        </w:r>
        <w:r w:rsidR="00C1436E">
          <w:rPr>
            <w:rFonts w:asciiTheme="minorHAnsi" w:eastAsiaTheme="minorEastAsia" w:hAnsiTheme="minorHAnsi"/>
            <w:b w:val="0"/>
            <w:color w:val="auto"/>
            <w:sz w:val="22"/>
            <w:lang w:eastAsia="en-AU"/>
          </w:rPr>
          <w:tab/>
        </w:r>
        <w:r w:rsidR="00C1436E" w:rsidRPr="00974C77">
          <w:rPr>
            <w:rStyle w:val="Hyperlink"/>
          </w:rPr>
          <w:t>Comments from interested parties</w:t>
        </w:r>
        <w:r w:rsidR="00C1436E">
          <w:rPr>
            <w:webHidden/>
          </w:rPr>
          <w:tab/>
        </w:r>
        <w:r w:rsidR="00C1436E">
          <w:rPr>
            <w:webHidden/>
          </w:rPr>
          <w:fldChar w:fldCharType="begin"/>
        </w:r>
        <w:r w:rsidR="00C1436E">
          <w:rPr>
            <w:webHidden/>
          </w:rPr>
          <w:instrText xml:space="preserve"> PAGEREF _Toc423086435 \h </w:instrText>
        </w:r>
        <w:r w:rsidR="00C1436E">
          <w:rPr>
            <w:webHidden/>
          </w:rPr>
        </w:r>
        <w:r w:rsidR="00C1436E">
          <w:rPr>
            <w:webHidden/>
          </w:rPr>
          <w:fldChar w:fldCharType="separate"/>
        </w:r>
        <w:r>
          <w:rPr>
            <w:webHidden/>
          </w:rPr>
          <w:t>5</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36" w:history="1">
        <w:r w:rsidR="00C1436E" w:rsidRPr="00974C77">
          <w:rPr>
            <w:rStyle w:val="Hyperlink"/>
          </w:rPr>
          <w:t>2</w:t>
        </w:r>
        <w:r w:rsidR="00C1436E">
          <w:rPr>
            <w:rFonts w:asciiTheme="minorHAnsi" w:eastAsiaTheme="minorEastAsia" w:hAnsiTheme="minorHAnsi"/>
            <w:b w:val="0"/>
            <w:color w:val="auto"/>
            <w:sz w:val="22"/>
            <w:lang w:val="en-AU" w:eastAsia="en-AU"/>
          </w:rPr>
          <w:tab/>
        </w:r>
        <w:r w:rsidR="00C1436E" w:rsidRPr="00974C77">
          <w:rPr>
            <w:rStyle w:val="Hyperlink"/>
          </w:rPr>
          <w:t>Overview</w:t>
        </w:r>
        <w:r w:rsidR="00C1436E">
          <w:rPr>
            <w:webHidden/>
          </w:rPr>
          <w:tab/>
        </w:r>
        <w:r w:rsidR="00C1436E">
          <w:rPr>
            <w:webHidden/>
          </w:rPr>
          <w:fldChar w:fldCharType="begin"/>
        </w:r>
        <w:r w:rsidR="00C1436E">
          <w:rPr>
            <w:webHidden/>
          </w:rPr>
          <w:instrText xml:space="preserve"> PAGEREF _Toc423086436 \h </w:instrText>
        </w:r>
        <w:r w:rsidR="00C1436E">
          <w:rPr>
            <w:webHidden/>
          </w:rPr>
        </w:r>
        <w:r w:rsidR="00C1436E">
          <w:rPr>
            <w:webHidden/>
          </w:rPr>
          <w:fldChar w:fldCharType="separate"/>
        </w:r>
        <w:r>
          <w:rPr>
            <w:webHidden/>
          </w:rPr>
          <w:t>6</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37" w:history="1">
        <w:r w:rsidR="00C1436E" w:rsidRPr="00974C77">
          <w:rPr>
            <w:rStyle w:val="Hyperlink"/>
          </w:rPr>
          <w:t>2.1</w:t>
        </w:r>
        <w:r w:rsidR="00C1436E">
          <w:rPr>
            <w:rFonts w:asciiTheme="minorHAnsi" w:eastAsiaTheme="minorEastAsia" w:hAnsiTheme="minorHAnsi"/>
            <w:b w:val="0"/>
            <w:color w:val="auto"/>
            <w:sz w:val="22"/>
            <w:lang w:eastAsia="en-AU"/>
          </w:rPr>
          <w:tab/>
        </w:r>
        <w:r w:rsidR="00C1436E" w:rsidRPr="00974C77">
          <w:rPr>
            <w:rStyle w:val="Hyperlink"/>
          </w:rPr>
          <w:t>Energy Delivered</w:t>
        </w:r>
        <w:r w:rsidR="00C1436E">
          <w:rPr>
            <w:webHidden/>
          </w:rPr>
          <w:tab/>
        </w:r>
        <w:r w:rsidR="00C1436E">
          <w:rPr>
            <w:webHidden/>
          </w:rPr>
          <w:fldChar w:fldCharType="begin"/>
        </w:r>
        <w:r w:rsidR="00C1436E">
          <w:rPr>
            <w:webHidden/>
          </w:rPr>
          <w:instrText xml:space="preserve"> PAGEREF _Toc423086437 \h </w:instrText>
        </w:r>
        <w:r w:rsidR="00C1436E">
          <w:rPr>
            <w:webHidden/>
          </w:rPr>
        </w:r>
        <w:r w:rsidR="00C1436E">
          <w:rPr>
            <w:webHidden/>
          </w:rPr>
          <w:fldChar w:fldCharType="separate"/>
        </w:r>
        <w:r>
          <w:rPr>
            <w:webHidden/>
          </w:rPr>
          <w:t>6</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38" w:history="1">
        <w:r w:rsidR="00C1436E" w:rsidRPr="00974C77">
          <w:rPr>
            <w:rStyle w:val="Hyperlink"/>
          </w:rPr>
          <w:t>2.2</w:t>
        </w:r>
        <w:r w:rsidR="00C1436E">
          <w:rPr>
            <w:rFonts w:asciiTheme="minorHAnsi" w:eastAsiaTheme="minorEastAsia" w:hAnsiTheme="minorHAnsi"/>
            <w:b w:val="0"/>
            <w:color w:val="auto"/>
            <w:sz w:val="22"/>
            <w:lang w:eastAsia="en-AU"/>
          </w:rPr>
          <w:tab/>
        </w:r>
        <w:r w:rsidR="00C1436E" w:rsidRPr="00974C77">
          <w:rPr>
            <w:rStyle w:val="Hyperlink"/>
          </w:rPr>
          <w:t>Capital expenditure</w:t>
        </w:r>
        <w:r w:rsidR="00C1436E">
          <w:rPr>
            <w:webHidden/>
          </w:rPr>
          <w:tab/>
        </w:r>
        <w:r w:rsidR="00C1436E">
          <w:rPr>
            <w:webHidden/>
          </w:rPr>
          <w:fldChar w:fldCharType="begin"/>
        </w:r>
        <w:r w:rsidR="00C1436E">
          <w:rPr>
            <w:webHidden/>
          </w:rPr>
          <w:instrText xml:space="preserve"> PAGEREF _Toc423086438 \h </w:instrText>
        </w:r>
        <w:r w:rsidR="00C1436E">
          <w:rPr>
            <w:webHidden/>
          </w:rPr>
        </w:r>
        <w:r w:rsidR="00C1436E">
          <w:rPr>
            <w:webHidden/>
          </w:rPr>
          <w:fldChar w:fldCharType="separate"/>
        </w:r>
        <w:r>
          <w:rPr>
            <w:webHidden/>
          </w:rPr>
          <w:t>6</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39" w:history="1">
        <w:r w:rsidR="00C1436E" w:rsidRPr="00974C77">
          <w:rPr>
            <w:rStyle w:val="Hyperlink"/>
          </w:rPr>
          <w:t>2.3</w:t>
        </w:r>
        <w:r w:rsidR="00C1436E">
          <w:rPr>
            <w:rFonts w:asciiTheme="minorHAnsi" w:eastAsiaTheme="minorEastAsia" w:hAnsiTheme="minorHAnsi"/>
            <w:b w:val="0"/>
            <w:color w:val="auto"/>
            <w:sz w:val="22"/>
            <w:lang w:eastAsia="en-AU"/>
          </w:rPr>
          <w:tab/>
        </w:r>
        <w:r w:rsidR="00C1436E" w:rsidRPr="00974C77">
          <w:rPr>
            <w:rStyle w:val="Hyperlink"/>
          </w:rPr>
          <w:t>Regulatory asset base</w:t>
        </w:r>
        <w:r w:rsidR="00C1436E">
          <w:rPr>
            <w:webHidden/>
          </w:rPr>
          <w:tab/>
        </w:r>
        <w:r w:rsidR="00C1436E">
          <w:rPr>
            <w:webHidden/>
          </w:rPr>
          <w:fldChar w:fldCharType="begin"/>
        </w:r>
        <w:r w:rsidR="00C1436E">
          <w:rPr>
            <w:webHidden/>
          </w:rPr>
          <w:instrText xml:space="preserve"> PAGEREF _Toc423086439 \h </w:instrText>
        </w:r>
        <w:r w:rsidR="00C1436E">
          <w:rPr>
            <w:webHidden/>
          </w:rPr>
        </w:r>
        <w:r w:rsidR="00C1436E">
          <w:rPr>
            <w:webHidden/>
          </w:rPr>
          <w:fldChar w:fldCharType="separate"/>
        </w:r>
        <w:r>
          <w:rPr>
            <w:webHidden/>
          </w:rPr>
          <w:t>7</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40" w:history="1">
        <w:r w:rsidR="00C1436E" w:rsidRPr="00974C77">
          <w:rPr>
            <w:rStyle w:val="Hyperlink"/>
          </w:rPr>
          <w:t>2.4</w:t>
        </w:r>
        <w:r w:rsidR="00C1436E">
          <w:rPr>
            <w:rFonts w:asciiTheme="minorHAnsi" w:eastAsiaTheme="minorEastAsia" w:hAnsiTheme="minorHAnsi"/>
            <w:b w:val="0"/>
            <w:color w:val="auto"/>
            <w:sz w:val="22"/>
            <w:lang w:eastAsia="en-AU"/>
          </w:rPr>
          <w:tab/>
        </w:r>
        <w:r w:rsidR="00C1436E" w:rsidRPr="00974C77">
          <w:rPr>
            <w:rStyle w:val="Hyperlink"/>
          </w:rPr>
          <w:t>Operating expenditure</w:t>
        </w:r>
        <w:r w:rsidR="00C1436E">
          <w:rPr>
            <w:webHidden/>
          </w:rPr>
          <w:tab/>
        </w:r>
        <w:r w:rsidR="00C1436E">
          <w:rPr>
            <w:webHidden/>
          </w:rPr>
          <w:fldChar w:fldCharType="begin"/>
        </w:r>
        <w:r w:rsidR="00C1436E">
          <w:rPr>
            <w:webHidden/>
          </w:rPr>
          <w:instrText xml:space="preserve"> PAGEREF _Toc423086440 \h </w:instrText>
        </w:r>
        <w:r w:rsidR="00C1436E">
          <w:rPr>
            <w:webHidden/>
          </w:rPr>
        </w:r>
        <w:r w:rsidR="00C1436E">
          <w:rPr>
            <w:webHidden/>
          </w:rPr>
          <w:fldChar w:fldCharType="separate"/>
        </w:r>
        <w:r>
          <w:rPr>
            <w:webHidden/>
          </w:rPr>
          <w:t>8</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41" w:history="1">
        <w:r w:rsidR="00C1436E" w:rsidRPr="00974C77">
          <w:rPr>
            <w:rStyle w:val="Hyperlink"/>
          </w:rPr>
          <w:t>2.5</w:t>
        </w:r>
        <w:r w:rsidR="00C1436E">
          <w:rPr>
            <w:rFonts w:asciiTheme="minorHAnsi" w:eastAsiaTheme="minorEastAsia" w:hAnsiTheme="minorHAnsi"/>
            <w:b w:val="0"/>
            <w:color w:val="auto"/>
            <w:sz w:val="22"/>
            <w:lang w:eastAsia="en-AU"/>
          </w:rPr>
          <w:tab/>
        </w:r>
        <w:r w:rsidR="00C1436E" w:rsidRPr="00974C77">
          <w:rPr>
            <w:rStyle w:val="Hyperlink"/>
          </w:rPr>
          <w:t>Revenue</w:t>
        </w:r>
        <w:r w:rsidR="00C1436E">
          <w:rPr>
            <w:webHidden/>
          </w:rPr>
          <w:tab/>
        </w:r>
        <w:r w:rsidR="00C1436E">
          <w:rPr>
            <w:webHidden/>
          </w:rPr>
          <w:fldChar w:fldCharType="begin"/>
        </w:r>
        <w:r w:rsidR="00C1436E">
          <w:rPr>
            <w:webHidden/>
          </w:rPr>
          <w:instrText xml:space="preserve"> PAGEREF _Toc423086441 \h </w:instrText>
        </w:r>
        <w:r w:rsidR="00C1436E">
          <w:rPr>
            <w:webHidden/>
          </w:rPr>
        </w:r>
        <w:r w:rsidR="00C1436E">
          <w:rPr>
            <w:webHidden/>
          </w:rPr>
          <w:fldChar w:fldCharType="separate"/>
        </w:r>
        <w:r>
          <w:rPr>
            <w:webHidden/>
          </w:rPr>
          <w:t>8</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42" w:history="1">
        <w:r w:rsidR="00C1436E" w:rsidRPr="00974C77">
          <w:rPr>
            <w:rStyle w:val="Hyperlink"/>
          </w:rPr>
          <w:t>2.6</w:t>
        </w:r>
        <w:r w:rsidR="00C1436E">
          <w:rPr>
            <w:rFonts w:asciiTheme="minorHAnsi" w:eastAsiaTheme="minorEastAsia" w:hAnsiTheme="minorHAnsi"/>
            <w:b w:val="0"/>
            <w:color w:val="auto"/>
            <w:sz w:val="22"/>
            <w:lang w:eastAsia="en-AU"/>
          </w:rPr>
          <w:tab/>
        </w:r>
        <w:r w:rsidR="00C1436E" w:rsidRPr="00974C77">
          <w:rPr>
            <w:rStyle w:val="Hyperlink"/>
          </w:rPr>
          <w:t>Service performance</w:t>
        </w:r>
        <w:r w:rsidR="00C1436E">
          <w:rPr>
            <w:webHidden/>
          </w:rPr>
          <w:tab/>
        </w:r>
        <w:r w:rsidR="00C1436E">
          <w:rPr>
            <w:webHidden/>
          </w:rPr>
          <w:fldChar w:fldCharType="begin"/>
        </w:r>
        <w:r w:rsidR="00C1436E">
          <w:rPr>
            <w:webHidden/>
          </w:rPr>
          <w:instrText xml:space="preserve"> PAGEREF _Toc423086442 \h </w:instrText>
        </w:r>
        <w:r w:rsidR="00C1436E">
          <w:rPr>
            <w:webHidden/>
          </w:rPr>
        </w:r>
        <w:r w:rsidR="00C1436E">
          <w:rPr>
            <w:webHidden/>
          </w:rPr>
          <w:fldChar w:fldCharType="separate"/>
        </w:r>
        <w:r>
          <w:rPr>
            <w:webHidden/>
          </w:rPr>
          <w:t>9</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45" w:history="1">
        <w:r w:rsidR="00C1436E" w:rsidRPr="00974C77">
          <w:rPr>
            <w:rStyle w:val="Hyperlink"/>
          </w:rPr>
          <w:t>3</w:t>
        </w:r>
        <w:r w:rsidR="00C1436E">
          <w:rPr>
            <w:rFonts w:asciiTheme="minorHAnsi" w:eastAsiaTheme="minorEastAsia" w:hAnsiTheme="minorHAnsi"/>
            <w:b w:val="0"/>
            <w:color w:val="auto"/>
            <w:sz w:val="22"/>
            <w:lang w:val="en-AU" w:eastAsia="en-AU"/>
          </w:rPr>
          <w:tab/>
        </w:r>
        <w:r w:rsidR="00C1436E" w:rsidRPr="00974C77">
          <w:rPr>
            <w:rStyle w:val="Hyperlink"/>
          </w:rPr>
          <w:t>Electricity distribution networks</w:t>
        </w:r>
        <w:r w:rsidR="00C1436E">
          <w:rPr>
            <w:webHidden/>
          </w:rPr>
          <w:tab/>
        </w:r>
        <w:r w:rsidR="00C1436E">
          <w:rPr>
            <w:webHidden/>
          </w:rPr>
          <w:fldChar w:fldCharType="begin"/>
        </w:r>
        <w:r w:rsidR="00C1436E">
          <w:rPr>
            <w:webHidden/>
          </w:rPr>
          <w:instrText xml:space="preserve"> PAGEREF _Toc423086445 \h </w:instrText>
        </w:r>
        <w:r w:rsidR="00C1436E">
          <w:rPr>
            <w:webHidden/>
          </w:rPr>
        </w:r>
        <w:r w:rsidR="00C1436E">
          <w:rPr>
            <w:webHidden/>
          </w:rPr>
          <w:fldChar w:fldCharType="separate"/>
        </w:r>
        <w:r>
          <w:rPr>
            <w:webHidden/>
          </w:rPr>
          <w:t>12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46" w:history="1">
        <w:r w:rsidR="00C1436E" w:rsidRPr="00974C77">
          <w:rPr>
            <w:rStyle w:val="Hyperlink"/>
          </w:rPr>
          <w:t>3.1</w:t>
        </w:r>
        <w:r w:rsidR="00C1436E">
          <w:rPr>
            <w:rFonts w:asciiTheme="minorHAnsi" w:eastAsiaTheme="minorEastAsia" w:hAnsiTheme="minorHAnsi"/>
            <w:b w:val="0"/>
            <w:color w:val="auto"/>
            <w:sz w:val="22"/>
            <w:lang w:eastAsia="en-AU"/>
          </w:rPr>
          <w:tab/>
        </w:r>
        <w:r w:rsidR="00C1436E" w:rsidRPr="00974C77">
          <w:rPr>
            <w:rStyle w:val="Hyperlink"/>
          </w:rPr>
          <w:t>Electricity networks in the NEM</w:t>
        </w:r>
        <w:r w:rsidR="00C1436E">
          <w:rPr>
            <w:webHidden/>
          </w:rPr>
          <w:tab/>
        </w:r>
        <w:r w:rsidR="00C1436E">
          <w:rPr>
            <w:webHidden/>
          </w:rPr>
          <w:fldChar w:fldCharType="begin"/>
        </w:r>
        <w:r w:rsidR="00C1436E">
          <w:rPr>
            <w:webHidden/>
          </w:rPr>
          <w:instrText xml:space="preserve"> PAGEREF _Toc423086446 \h </w:instrText>
        </w:r>
        <w:r w:rsidR="00C1436E">
          <w:rPr>
            <w:webHidden/>
          </w:rPr>
        </w:r>
        <w:r w:rsidR="00C1436E">
          <w:rPr>
            <w:webHidden/>
          </w:rPr>
          <w:fldChar w:fldCharType="separate"/>
        </w:r>
        <w:r>
          <w:rPr>
            <w:webHidden/>
          </w:rPr>
          <w:t>12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47" w:history="1">
        <w:r w:rsidR="00C1436E" w:rsidRPr="00974C77">
          <w:rPr>
            <w:rStyle w:val="Hyperlink"/>
          </w:rPr>
          <w:t>3.2</w:t>
        </w:r>
        <w:r w:rsidR="00C1436E">
          <w:rPr>
            <w:rFonts w:asciiTheme="minorHAnsi" w:eastAsiaTheme="minorEastAsia" w:hAnsiTheme="minorHAnsi"/>
            <w:b w:val="0"/>
            <w:color w:val="auto"/>
            <w:sz w:val="22"/>
            <w:lang w:eastAsia="en-AU"/>
          </w:rPr>
          <w:tab/>
        </w:r>
        <w:r w:rsidR="00C1436E" w:rsidRPr="00974C77">
          <w:rPr>
            <w:rStyle w:val="Hyperlink"/>
          </w:rPr>
          <w:t>Ownership</w:t>
        </w:r>
        <w:r w:rsidR="00C1436E">
          <w:rPr>
            <w:webHidden/>
          </w:rPr>
          <w:tab/>
        </w:r>
        <w:r w:rsidR="00C1436E">
          <w:rPr>
            <w:webHidden/>
          </w:rPr>
          <w:fldChar w:fldCharType="begin"/>
        </w:r>
        <w:r w:rsidR="00C1436E">
          <w:rPr>
            <w:webHidden/>
          </w:rPr>
          <w:instrText xml:space="preserve"> PAGEREF _Toc423086447 \h </w:instrText>
        </w:r>
        <w:r w:rsidR="00C1436E">
          <w:rPr>
            <w:webHidden/>
          </w:rPr>
        </w:r>
        <w:r w:rsidR="00C1436E">
          <w:rPr>
            <w:webHidden/>
          </w:rPr>
          <w:fldChar w:fldCharType="separate"/>
        </w:r>
        <w:r>
          <w:rPr>
            <w:webHidden/>
          </w:rPr>
          <w:t>14</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48" w:history="1">
        <w:r w:rsidR="00C1436E" w:rsidRPr="00974C77">
          <w:rPr>
            <w:rStyle w:val="Hyperlink"/>
          </w:rPr>
          <w:t>3.3</w:t>
        </w:r>
        <w:r w:rsidR="00C1436E">
          <w:rPr>
            <w:rFonts w:asciiTheme="minorHAnsi" w:eastAsiaTheme="minorEastAsia" w:hAnsiTheme="minorHAnsi"/>
            <w:b w:val="0"/>
            <w:color w:val="auto"/>
            <w:sz w:val="22"/>
            <w:lang w:eastAsia="en-AU"/>
          </w:rPr>
          <w:tab/>
        </w:r>
        <w:r w:rsidR="00C1436E" w:rsidRPr="00974C77">
          <w:rPr>
            <w:rStyle w:val="Hyperlink"/>
          </w:rPr>
          <w:t>Key features of distribution networks</w:t>
        </w:r>
        <w:r w:rsidR="00C1436E">
          <w:rPr>
            <w:webHidden/>
          </w:rPr>
          <w:tab/>
        </w:r>
        <w:r w:rsidR="00C1436E">
          <w:rPr>
            <w:webHidden/>
          </w:rPr>
          <w:fldChar w:fldCharType="begin"/>
        </w:r>
        <w:r w:rsidR="00C1436E">
          <w:rPr>
            <w:webHidden/>
          </w:rPr>
          <w:instrText xml:space="preserve"> PAGEREF _Toc423086448 \h </w:instrText>
        </w:r>
        <w:r w:rsidR="00C1436E">
          <w:rPr>
            <w:webHidden/>
          </w:rPr>
        </w:r>
        <w:r w:rsidR="00C1436E">
          <w:rPr>
            <w:webHidden/>
          </w:rPr>
          <w:fldChar w:fldCharType="separate"/>
        </w:r>
        <w:r>
          <w:rPr>
            <w:webHidden/>
          </w:rPr>
          <w:t>14</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51" w:history="1">
        <w:r w:rsidR="00C1436E" w:rsidRPr="00974C77">
          <w:rPr>
            <w:rStyle w:val="Hyperlink"/>
          </w:rPr>
          <w:t>4</w:t>
        </w:r>
        <w:r w:rsidR="00C1436E">
          <w:rPr>
            <w:rFonts w:asciiTheme="minorHAnsi" w:eastAsiaTheme="minorEastAsia" w:hAnsiTheme="minorHAnsi"/>
            <w:b w:val="0"/>
            <w:color w:val="auto"/>
            <w:sz w:val="22"/>
            <w:lang w:val="en-AU" w:eastAsia="en-AU"/>
          </w:rPr>
          <w:tab/>
        </w:r>
        <w:r w:rsidR="00C1436E" w:rsidRPr="00974C77">
          <w:rPr>
            <w:rStyle w:val="Hyperlink"/>
          </w:rPr>
          <w:t>Demand</w:t>
        </w:r>
        <w:r w:rsidR="00C1436E">
          <w:rPr>
            <w:webHidden/>
          </w:rPr>
          <w:tab/>
        </w:r>
        <w:r w:rsidR="00C1436E">
          <w:rPr>
            <w:webHidden/>
          </w:rPr>
          <w:fldChar w:fldCharType="begin"/>
        </w:r>
        <w:r w:rsidR="00C1436E">
          <w:rPr>
            <w:webHidden/>
          </w:rPr>
          <w:instrText xml:space="preserve"> PAGEREF _Toc423086451 \h </w:instrText>
        </w:r>
        <w:r w:rsidR="00C1436E">
          <w:rPr>
            <w:webHidden/>
          </w:rPr>
        </w:r>
        <w:r w:rsidR="00C1436E">
          <w:rPr>
            <w:webHidden/>
          </w:rPr>
          <w:fldChar w:fldCharType="separate"/>
        </w:r>
        <w:r>
          <w:rPr>
            <w:webHidden/>
          </w:rPr>
          <w:t>18</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52" w:history="1">
        <w:r w:rsidR="00C1436E" w:rsidRPr="00974C77">
          <w:rPr>
            <w:rStyle w:val="Hyperlink"/>
          </w:rPr>
          <w:t>4.1</w:t>
        </w:r>
        <w:r w:rsidR="00C1436E">
          <w:rPr>
            <w:rFonts w:asciiTheme="minorHAnsi" w:eastAsiaTheme="minorEastAsia" w:hAnsiTheme="minorHAnsi"/>
            <w:b w:val="0"/>
            <w:color w:val="auto"/>
            <w:sz w:val="22"/>
            <w:lang w:eastAsia="en-AU"/>
          </w:rPr>
          <w:tab/>
        </w:r>
        <w:r w:rsidR="00C1436E" w:rsidRPr="00974C77">
          <w:rPr>
            <w:rStyle w:val="Hyperlink"/>
          </w:rPr>
          <w:t>Energy delivered</w:t>
        </w:r>
        <w:r w:rsidR="00C1436E">
          <w:rPr>
            <w:webHidden/>
          </w:rPr>
          <w:tab/>
        </w:r>
        <w:r w:rsidR="00C1436E">
          <w:rPr>
            <w:webHidden/>
          </w:rPr>
          <w:fldChar w:fldCharType="begin"/>
        </w:r>
        <w:r w:rsidR="00C1436E">
          <w:rPr>
            <w:webHidden/>
          </w:rPr>
          <w:instrText xml:space="preserve"> PAGEREF _Toc423086452 \h </w:instrText>
        </w:r>
        <w:r w:rsidR="00C1436E">
          <w:rPr>
            <w:webHidden/>
          </w:rPr>
        </w:r>
        <w:r w:rsidR="00C1436E">
          <w:rPr>
            <w:webHidden/>
          </w:rPr>
          <w:fldChar w:fldCharType="separate"/>
        </w:r>
        <w:r>
          <w:rPr>
            <w:webHidden/>
          </w:rPr>
          <w:t>18</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53" w:history="1">
        <w:r w:rsidR="00C1436E" w:rsidRPr="00974C77">
          <w:rPr>
            <w:rStyle w:val="Hyperlink"/>
          </w:rPr>
          <w:t>4.2</w:t>
        </w:r>
        <w:r w:rsidR="00C1436E">
          <w:rPr>
            <w:rFonts w:asciiTheme="minorHAnsi" w:eastAsiaTheme="minorEastAsia" w:hAnsiTheme="minorHAnsi"/>
            <w:b w:val="0"/>
            <w:color w:val="auto"/>
            <w:sz w:val="22"/>
            <w:lang w:eastAsia="en-AU"/>
          </w:rPr>
          <w:tab/>
        </w:r>
        <w:r w:rsidR="00C1436E" w:rsidRPr="00974C77">
          <w:rPr>
            <w:rStyle w:val="Hyperlink"/>
          </w:rPr>
          <w:t>Maximum demand</w:t>
        </w:r>
        <w:r w:rsidR="00C1436E">
          <w:rPr>
            <w:webHidden/>
          </w:rPr>
          <w:tab/>
        </w:r>
        <w:r w:rsidR="00C1436E">
          <w:rPr>
            <w:webHidden/>
          </w:rPr>
          <w:fldChar w:fldCharType="begin"/>
        </w:r>
        <w:r w:rsidR="00C1436E">
          <w:rPr>
            <w:webHidden/>
          </w:rPr>
          <w:instrText xml:space="preserve"> PAGEREF _Toc423086453 \h </w:instrText>
        </w:r>
        <w:r w:rsidR="00C1436E">
          <w:rPr>
            <w:webHidden/>
          </w:rPr>
        </w:r>
        <w:r w:rsidR="00C1436E">
          <w:rPr>
            <w:webHidden/>
          </w:rPr>
          <w:fldChar w:fldCharType="separate"/>
        </w:r>
        <w:r>
          <w:rPr>
            <w:webHidden/>
          </w:rPr>
          <w:t>19</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54" w:history="1">
        <w:r w:rsidR="00C1436E" w:rsidRPr="00974C77">
          <w:rPr>
            <w:rStyle w:val="Hyperlink"/>
          </w:rPr>
          <w:t>5</w:t>
        </w:r>
        <w:r w:rsidR="00C1436E">
          <w:rPr>
            <w:rFonts w:asciiTheme="minorHAnsi" w:eastAsiaTheme="minorEastAsia" w:hAnsiTheme="minorHAnsi"/>
            <w:b w:val="0"/>
            <w:color w:val="auto"/>
            <w:sz w:val="22"/>
            <w:lang w:val="en-AU" w:eastAsia="en-AU"/>
          </w:rPr>
          <w:tab/>
        </w:r>
        <w:r w:rsidR="00C1436E" w:rsidRPr="00974C77">
          <w:rPr>
            <w:rStyle w:val="Hyperlink"/>
          </w:rPr>
          <w:t>Capital expenditure</w:t>
        </w:r>
        <w:r w:rsidR="00C1436E">
          <w:rPr>
            <w:webHidden/>
          </w:rPr>
          <w:tab/>
        </w:r>
        <w:r w:rsidR="00C1436E">
          <w:rPr>
            <w:webHidden/>
          </w:rPr>
          <w:fldChar w:fldCharType="begin"/>
        </w:r>
        <w:r w:rsidR="00C1436E">
          <w:rPr>
            <w:webHidden/>
          </w:rPr>
          <w:instrText xml:space="preserve"> PAGEREF _Toc423086454 \h </w:instrText>
        </w:r>
        <w:r w:rsidR="00C1436E">
          <w:rPr>
            <w:webHidden/>
          </w:rPr>
        </w:r>
        <w:r w:rsidR="00C1436E">
          <w:rPr>
            <w:webHidden/>
          </w:rPr>
          <w:fldChar w:fldCharType="separate"/>
        </w:r>
        <w:r>
          <w:rPr>
            <w:webHidden/>
          </w:rPr>
          <w:t>21</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55" w:history="1">
        <w:r w:rsidR="00C1436E" w:rsidRPr="00974C77">
          <w:rPr>
            <w:rStyle w:val="Hyperlink"/>
          </w:rPr>
          <w:t>5.1</w:t>
        </w:r>
        <w:r w:rsidR="00C1436E">
          <w:rPr>
            <w:rFonts w:asciiTheme="minorHAnsi" w:eastAsiaTheme="minorEastAsia" w:hAnsiTheme="minorHAnsi"/>
            <w:b w:val="0"/>
            <w:color w:val="auto"/>
            <w:sz w:val="22"/>
            <w:lang w:eastAsia="en-AU"/>
          </w:rPr>
          <w:tab/>
        </w:r>
        <w:r w:rsidR="00C1436E" w:rsidRPr="00974C77">
          <w:rPr>
            <w:rStyle w:val="Hyperlink"/>
          </w:rPr>
          <w:t>Capital expenditure in electricity distribution</w:t>
        </w:r>
        <w:r w:rsidR="00C1436E">
          <w:rPr>
            <w:webHidden/>
          </w:rPr>
          <w:tab/>
        </w:r>
        <w:r w:rsidR="00C1436E">
          <w:rPr>
            <w:webHidden/>
          </w:rPr>
          <w:fldChar w:fldCharType="begin"/>
        </w:r>
        <w:r w:rsidR="00C1436E">
          <w:rPr>
            <w:webHidden/>
          </w:rPr>
          <w:instrText xml:space="preserve"> PAGEREF _Toc423086455 \h </w:instrText>
        </w:r>
        <w:r w:rsidR="00C1436E">
          <w:rPr>
            <w:webHidden/>
          </w:rPr>
        </w:r>
        <w:r w:rsidR="00C1436E">
          <w:rPr>
            <w:webHidden/>
          </w:rPr>
          <w:fldChar w:fldCharType="separate"/>
        </w:r>
        <w:r>
          <w:rPr>
            <w:webHidden/>
          </w:rPr>
          <w:t>21</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58" w:history="1">
        <w:r w:rsidR="00C1436E" w:rsidRPr="00974C77">
          <w:rPr>
            <w:rStyle w:val="Hyperlink"/>
          </w:rPr>
          <w:t>6</w:t>
        </w:r>
        <w:r w:rsidR="00C1436E">
          <w:rPr>
            <w:rFonts w:asciiTheme="minorHAnsi" w:eastAsiaTheme="minorEastAsia" w:hAnsiTheme="minorHAnsi"/>
            <w:b w:val="0"/>
            <w:color w:val="auto"/>
            <w:sz w:val="22"/>
            <w:lang w:val="en-AU" w:eastAsia="en-AU"/>
          </w:rPr>
          <w:tab/>
        </w:r>
        <w:r w:rsidR="00C1436E" w:rsidRPr="00974C77">
          <w:rPr>
            <w:rStyle w:val="Hyperlink"/>
          </w:rPr>
          <w:t>Operating expenditure</w:t>
        </w:r>
        <w:r w:rsidR="00C1436E">
          <w:rPr>
            <w:webHidden/>
          </w:rPr>
          <w:tab/>
        </w:r>
        <w:r w:rsidR="00C1436E">
          <w:rPr>
            <w:webHidden/>
          </w:rPr>
          <w:fldChar w:fldCharType="begin"/>
        </w:r>
        <w:r w:rsidR="00C1436E">
          <w:rPr>
            <w:webHidden/>
          </w:rPr>
          <w:instrText xml:space="preserve"> PAGEREF _Toc423086458 \h </w:instrText>
        </w:r>
        <w:r w:rsidR="00C1436E">
          <w:rPr>
            <w:webHidden/>
          </w:rPr>
        </w:r>
        <w:r w:rsidR="00C1436E">
          <w:rPr>
            <w:webHidden/>
          </w:rPr>
          <w:fldChar w:fldCharType="separate"/>
        </w:r>
        <w:r>
          <w:rPr>
            <w:webHidden/>
          </w:rPr>
          <w:t>25</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59" w:history="1">
        <w:r w:rsidR="00C1436E" w:rsidRPr="00974C77">
          <w:rPr>
            <w:rStyle w:val="Hyperlink"/>
          </w:rPr>
          <w:t>6.1</w:t>
        </w:r>
        <w:r w:rsidR="00C1436E">
          <w:rPr>
            <w:rFonts w:asciiTheme="minorHAnsi" w:eastAsiaTheme="minorEastAsia" w:hAnsiTheme="minorHAnsi"/>
            <w:b w:val="0"/>
            <w:color w:val="auto"/>
            <w:sz w:val="22"/>
            <w:lang w:eastAsia="en-AU"/>
          </w:rPr>
          <w:tab/>
        </w:r>
        <w:r w:rsidR="00C1436E" w:rsidRPr="00974C77">
          <w:rPr>
            <w:rStyle w:val="Hyperlink"/>
          </w:rPr>
          <w:t>Operating expenditure in electricity distribution</w:t>
        </w:r>
        <w:r w:rsidR="00C1436E">
          <w:rPr>
            <w:webHidden/>
          </w:rPr>
          <w:tab/>
        </w:r>
        <w:r w:rsidR="00C1436E">
          <w:rPr>
            <w:webHidden/>
          </w:rPr>
          <w:fldChar w:fldCharType="begin"/>
        </w:r>
        <w:r w:rsidR="00C1436E">
          <w:rPr>
            <w:webHidden/>
          </w:rPr>
          <w:instrText xml:space="preserve"> PAGEREF _Toc423086459 \h </w:instrText>
        </w:r>
        <w:r w:rsidR="00C1436E">
          <w:rPr>
            <w:webHidden/>
          </w:rPr>
        </w:r>
        <w:r w:rsidR="00C1436E">
          <w:rPr>
            <w:webHidden/>
          </w:rPr>
          <w:fldChar w:fldCharType="separate"/>
        </w:r>
        <w:r>
          <w:rPr>
            <w:webHidden/>
          </w:rPr>
          <w:t>25</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62" w:history="1">
        <w:r w:rsidR="00C1436E" w:rsidRPr="00974C77">
          <w:rPr>
            <w:rStyle w:val="Hyperlink"/>
          </w:rPr>
          <w:t>7</w:t>
        </w:r>
        <w:r w:rsidR="00C1436E">
          <w:rPr>
            <w:rFonts w:asciiTheme="minorHAnsi" w:eastAsiaTheme="minorEastAsia" w:hAnsiTheme="minorHAnsi"/>
            <w:b w:val="0"/>
            <w:color w:val="auto"/>
            <w:sz w:val="22"/>
            <w:lang w:val="en-AU" w:eastAsia="en-AU"/>
          </w:rPr>
          <w:tab/>
        </w:r>
        <w:r w:rsidR="00C1436E" w:rsidRPr="00974C77">
          <w:rPr>
            <w:rStyle w:val="Hyperlink"/>
          </w:rPr>
          <w:t>Revenue</w:t>
        </w:r>
        <w:r w:rsidR="00C1436E">
          <w:rPr>
            <w:webHidden/>
          </w:rPr>
          <w:tab/>
        </w:r>
        <w:r w:rsidR="00C1436E">
          <w:rPr>
            <w:webHidden/>
          </w:rPr>
          <w:fldChar w:fldCharType="begin"/>
        </w:r>
        <w:r w:rsidR="00C1436E">
          <w:rPr>
            <w:webHidden/>
          </w:rPr>
          <w:instrText xml:space="preserve"> PAGEREF _Toc423086462 \h </w:instrText>
        </w:r>
        <w:r w:rsidR="00C1436E">
          <w:rPr>
            <w:webHidden/>
          </w:rPr>
        </w:r>
        <w:r w:rsidR="00C1436E">
          <w:rPr>
            <w:webHidden/>
          </w:rPr>
          <w:fldChar w:fldCharType="separate"/>
        </w:r>
        <w:r>
          <w:rPr>
            <w:webHidden/>
          </w:rPr>
          <w:t>27</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63" w:history="1">
        <w:r w:rsidR="00C1436E" w:rsidRPr="00974C77">
          <w:rPr>
            <w:rStyle w:val="Hyperlink"/>
          </w:rPr>
          <w:t>7.1</w:t>
        </w:r>
        <w:r w:rsidR="00C1436E">
          <w:rPr>
            <w:rFonts w:asciiTheme="minorHAnsi" w:eastAsiaTheme="minorEastAsia" w:hAnsiTheme="minorHAnsi"/>
            <w:b w:val="0"/>
            <w:color w:val="auto"/>
            <w:sz w:val="22"/>
            <w:lang w:eastAsia="en-AU"/>
          </w:rPr>
          <w:tab/>
        </w:r>
        <w:r w:rsidR="00C1436E" w:rsidRPr="00974C77">
          <w:rPr>
            <w:rStyle w:val="Hyperlink"/>
          </w:rPr>
          <w:t>Revenue in electricity distribution</w:t>
        </w:r>
        <w:r w:rsidR="00C1436E">
          <w:rPr>
            <w:webHidden/>
          </w:rPr>
          <w:tab/>
        </w:r>
        <w:r w:rsidR="00C1436E">
          <w:rPr>
            <w:webHidden/>
          </w:rPr>
          <w:fldChar w:fldCharType="begin"/>
        </w:r>
        <w:r w:rsidR="00C1436E">
          <w:rPr>
            <w:webHidden/>
          </w:rPr>
          <w:instrText xml:space="preserve"> PAGEREF _Toc423086463 \h </w:instrText>
        </w:r>
        <w:r w:rsidR="00C1436E">
          <w:rPr>
            <w:webHidden/>
          </w:rPr>
        </w:r>
        <w:r w:rsidR="00C1436E">
          <w:rPr>
            <w:webHidden/>
          </w:rPr>
          <w:fldChar w:fldCharType="separate"/>
        </w:r>
        <w:r>
          <w:rPr>
            <w:webHidden/>
          </w:rPr>
          <w:t>27</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67" w:history="1">
        <w:r w:rsidR="00C1436E" w:rsidRPr="00974C77">
          <w:rPr>
            <w:rStyle w:val="Hyperlink"/>
          </w:rPr>
          <w:t>7.2</w:t>
        </w:r>
        <w:r w:rsidR="00C1436E">
          <w:rPr>
            <w:rFonts w:asciiTheme="minorHAnsi" w:eastAsiaTheme="minorEastAsia" w:hAnsiTheme="minorHAnsi"/>
            <w:b w:val="0"/>
            <w:color w:val="auto"/>
            <w:sz w:val="22"/>
            <w:lang w:eastAsia="en-AU"/>
          </w:rPr>
          <w:tab/>
        </w:r>
        <w:r w:rsidR="00C1436E" w:rsidRPr="00974C77">
          <w:rPr>
            <w:rStyle w:val="Hyperlink"/>
          </w:rPr>
          <w:t>Revenue, 2011–13</w:t>
        </w:r>
        <w:r w:rsidR="00C1436E">
          <w:rPr>
            <w:webHidden/>
          </w:rPr>
          <w:tab/>
        </w:r>
        <w:r w:rsidR="00C1436E">
          <w:rPr>
            <w:webHidden/>
          </w:rPr>
          <w:fldChar w:fldCharType="begin"/>
        </w:r>
        <w:r w:rsidR="00C1436E">
          <w:rPr>
            <w:webHidden/>
          </w:rPr>
          <w:instrText xml:space="preserve"> PAGEREF _Toc423086467 \h </w:instrText>
        </w:r>
        <w:r w:rsidR="00C1436E">
          <w:rPr>
            <w:webHidden/>
          </w:rPr>
        </w:r>
        <w:r w:rsidR="00C1436E">
          <w:rPr>
            <w:webHidden/>
          </w:rPr>
          <w:fldChar w:fldCharType="separate"/>
        </w:r>
        <w:r>
          <w:rPr>
            <w:webHidden/>
          </w:rPr>
          <w:t>29</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68" w:history="1">
        <w:r w:rsidR="00C1436E" w:rsidRPr="00974C77">
          <w:rPr>
            <w:rStyle w:val="Hyperlink"/>
          </w:rPr>
          <w:t>8</w:t>
        </w:r>
        <w:r w:rsidR="00C1436E">
          <w:rPr>
            <w:rFonts w:asciiTheme="minorHAnsi" w:eastAsiaTheme="minorEastAsia" w:hAnsiTheme="minorHAnsi"/>
            <w:b w:val="0"/>
            <w:color w:val="auto"/>
            <w:sz w:val="22"/>
            <w:lang w:val="en-AU" w:eastAsia="en-AU"/>
          </w:rPr>
          <w:tab/>
        </w:r>
        <w:r w:rsidR="00C1436E" w:rsidRPr="00974C77">
          <w:rPr>
            <w:rStyle w:val="Hyperlink"/>
          </w:rPr>
          <w:t>Service performance</w:t>
        </w:r>
        <w:r w:rsidR="00C1436E">
          <w:rPr>
            <w:webHidden/>
          </w:rPr>
          <w:tab/>
        </w:r>
        <w:r w:rsidR="00C1436E">
          <w:rPr>
            <w:webHidden/>
          </w:rPr>
          <w:fldChar w:fldCharType="begin"/>
        </w:r>
        <w:r w:rsidR="00C1436E">
          <w:rPr>
            <w:webHidden/>
          </w:rPr>
          <w:instrText xml:space="preserve"> PAGEREF _Toc423086468 \h </w:instrText>
        </w:r>
        <w:r w:rsidR="00C1436E">
          <w:rPr>
            <w:webHidden/>
          </w:rPr>
        </w:r>
        <w:r w:rsidR="00C1436E">
          <w:rPr>
            <w:webHidden/>
          </w:rPr>
          <w:fldChar w:fldCharType="separate"/>
        </w:r>
        <w:r>
          <w:rPr>
            <w:webHidden/>
          </w:rPr>
          <w:t>32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69" w:history="1">
        <w:r w:rsidR="00C1436E" w:rsidRPr="00974C77">
          <w:rPr>
            <w:rStyle w:val="Hyperlink"/>
          </w:rPr>
          <w:t>8.1</w:t>
        </w:r>
        <w:r w:rsidR="00C1436E">
          <w:rPr>
            <w:rFonts w:asciiTheme="minorHAnsi" w:eastAsiaTheme="minorEastAsia" w:hAnsiTheme="minorHAnsi"/>
            <w:b w:val="0"/>
            <w:color w:val="auto"/>
            <w:sz w:val="22"/>
            <w:lang w:eastAsia="en-AU"/>
          </w:rPr>
          <w:tab/>
        </w:r>
        <w:r w:rsidR="00C1436E" w:rsidRPr="00974C77">
          <w:rPr>
            <w:rStyle w:val="Hyperlink"/>
          </w:rPr>
          <w:t>Reliability of supply</w:t>
        </w:r>
        <w:r w:rsidR="00C1436E">
          <w:rPr>
            <w:webHidden/>
          </w:rPr>
          <w:tab/>
        </w:r>
        <w:r w:rsidR="00C1436E">
          <w:rPr>
            <w:webHidden/>
          </w:rPr>
          <w:fldChar w:fldCharType="begin"/>
        </w:r>
        <w:r w:rsidR="00C1436E">
          <w:rPr>
            <w:webHidden/>
          </w:rPr>
          <w:instrText xml:space="preserve"> PAGEREF _Toc423086469 \h </w:instrText>
        </w:r>
        <w:r w:rsidR="00C1436E">
          <w:rPr>
            <w:webHidden/>
          </w:rPr>
        </w:r>
        <w:r w:rsidR="00C1436E">
          <w:rPr>
            <w:webHidden/>
          </w:rPr>
          <w:fldChar w:fldCharType="separate"/>
        </w:r>
        <w:r>
          <w:rPr>
            <w:webHidden/>
          </w:rPr>
          <w:t>32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71" w:history="1">
        <w:r w:rsidR="00C1436E" w:rsidRPr="00974C77">
          <w:rPr>
            <w:rStyle w:val="Hyperlink"/>
          </w:rPr>
          <w:t>8.2</w:t>
        </w:r>
        <w:r w:rsidR="00C1436E">
          <w:rPr>
            <w:rFonts w:asciiTheme="minorHAnsi" w:eastAsiaTheme="minorEastAsia" w:hAnsiTheme="minorHAnsi"/>
            <w:b w:val="0"/>
            <w:color w:val="auto"/>
            <w:sz w:val="22"/>
            <w:lang w:eastAsia="en-AU"/>
          </w:rPr>
          <w:tab/>
        </w:r>
        <w:r w:rsidR="00C1436E" w:rsidRPr="00974C77">
          <w:rPr>
            <w:rStyle w:val="Hyperlink"/>
          </w:rPr>
          <w:t>Service target performance incentive scheme</w:t>
        </w:r>
        <w:r w:rsidR="00C1436E">
          <w:rPr>
            <w:webHidden/>
          </w:rPr>
          <w:tab/>
        </w:r>
        <w:r w:rsidR="00C1436E">
          <w:rPr>
            <w:webHidden/>
          </w:rPr>
          <w:fldChar w:fldCharType="begin"/>
        </w:r>
        <w:r w:rsidR="00C1436E">
          <w:rPr>
            <w:webHidden/>
          </w:rPr>
          <w:instrText xml:space="preserve"> PAGEREF _Toc423086471 \h </w:instrText>
        </w:r>
        <w:r w:rsidR="00C1436E">
          <w:rPr>
            <w:webHidden/>
          </w:rPr>
        </w:r>
        <w:r w:rsidR="00C1436E">
          <w:rPr>
            <w:webHidden/>
          </w:rPr>
          <w:fldChar w:fldCharType="separate"/>
        </w:r>
        <w:r>
          <w:rPr>
            <w:webHidden/>
          </w:rPr>
          <w:t>33</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476" w:history="1">
        <w:r w:rsidR="00C1436E" w:rsidRPr="00974C77">
          <w:rPr>
            <w:rStyle w:val="Hyperlink"/>
          </w:rPr>
          <w:t>9</w:t>
        </w:r>
        <w:r w:rsidR="00C1436E">
          <w:rPr>
            <w:rFonts w:asciiTheme="minorHAnsi" w:eastAsiaTheme="minorEastAsia" w:hAnsiTheme="minorHAnsi"/>
            <w:b w:val="0"/>
            <w:color w:val="auto"/>
            <w:sz w:val="22"/>
            <w:lang w:val="en-AU" w:eastAsia="en-AU"/>
          </w:rPr>
          <w:tab/>
        </w:r>
        <w:r w:rsidR="00C1436E" w:rsidRPr="00974C77">
          <w:rPr>
            <w:rStyle w:val="Hyperlink"/>
          </w:rPr>
          <w:t>Distribution networks</w:t>
        </w:r>
        <w:r w:rsidR="00C1436E">
          <w:rPr>
            <w:webHidden/>
          </w:rPr>
          <w:tab/>
        </w:r>
        <w:r w:rsidR="00C1436E">
          <w:rPr>
            <w:webHidden/>
          </w:rPr>
          <w:fldChar w:fldCharType="begin"/>
        </w:r>
        <w:r w:rsidR="00C1436E">
          <w:rPr>
            <w:webHidden/>
          </w:rPr>
          <w:instrText xml:space="preserve"> PAGEREF _Toc423086476 \h </w:instrText>
        </w:r>
        <w:r w:rsidR="00C1436E">
          <w:rPr>
            <w:webHidden/>
          </w:rPr>
        </w:r>
        <w:r w:rsidR="00C1436E">
          <w:rPr>
            <w:webHidden/>
          </w:rPr>
          <w:fldChar w:fldCharType="separate"/>
        </w:r>
        <w:r>
          <w:rPr>
            <w:webHidden/>
          </w:rPr>
          <w:t>45</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78" w:history="1">
        <w:r w:rsidR="00C1436E" w:rsidRPr="00974C77">
          <w:rPr>
            <w:rStyle w:val="Hyperlink"/>
          </w:rPr>
          <w:t>9.1</w:t>
        </w:r>
        <w:r w:rsidR="00C1436E">
          <w:rPr>
            <w:rFonts w:asciiTheme="minorHAnsi" w:eastAsiaTheme="minorEastAsia" w:hAnsiTheme="minorHAnsi"/>
            <w:b w:val="0"/>
            <w:color w:val="auto"/>
            <w:sz w:val="22"/>
            <w:lang w:eastAsia="en-AU"/>
          </w:rPr>
          <w:tab/>
        </w:r>
        <w:r w:rsidR="00C1436E" w:rsidRPr="00974C77">
          <w:rPr>
            <w:rStyle w:val="Hyperlink"/>
          </w:rPr>
          <w:t>ActewAGL</w:t>
        </w:r>
        <w:r w:rsidR="00C1436E">
          <w:rPr>
            <w:webHidden/>
          </w:rPr>
          <w:tab/>
        </w:r>
        <w:r w:rsidR="00C1436E">
          <w:rPr>
            <w:webHidden/>
          </w:rPr>
          <w:fldChar w:fldCharType="begin"/>
        </w:r>
        <w:r w:rsidR="00C1436E">
          <w:rPr>
            <w:webHidden/>
          </w:rPr>
          <w:instrText xml:space="preserve"> PAGEREF _Toc423086478 \h </w:instrText>
        </w:r>
        <w:r w:rsidR="00C1436E">
          <w:rPr>
            <w:webHidden/>
          </w:rPr>
        </w:r>
        <w:r w:rsidR="00C1436E">
          <w:rPr>
            <w:webHidden/>
          </w:rPr>
          <w:fldChar w:fldCharType="separate"/>
        </w:r>
        <w:r>
          <w:rPr>
            <w:webHidden/>
          </w:rPr>
          <w:t>46</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85" w:history="1">
        <w:r w:rsidR="00C1436E" w:rsidRPr="00974C77">
          <w:rPr>
            <w:rStyle w:val="Hyperlink"/>
          </w:rPr>
          <w:t>9.2</w:t>
        </w:r>
        <w:r w:rsidR="00C1436E">
          <w:rPr>
            <w:rFonts w:asciiTheme="minorHAnsi" w:eastAsiaTheme="minorEastAsia" w:hAnsiTheme="minorHAnsi"/>
            <w:b w:val="0"/>
            <w:color w:val="auto"/>
            <w:sz w:val="22"/>
            <w:lang w:eastAsia="en-AU"/>
          </w:rPr>
          <w:tab/>
        </w:r>
        <w:r w:rsidR="00C1436E" w:rsidRPr="00974C77">
          <w:rPr>
            <w:rStyle w:val="Hyperlink"/>
          </w:rPr>
          <w:t>Ausgrid</w:t>
        </w:r>
        <w:r w:rsidR="00C1436E">
          <w:rPr>
            <w:webHidden/>
          </w:rPr>
          <w:tab/>
        </w:r>
        <w:r w:rsidR="00C1436E">
          <w:rPr>
            <w:webHidden/>
          </w:rPr>
          <w:fldChar w:fldCharType="begin"/>
        </w:r>
        <w:r w:rsidR="00C1436E">
          <w:rPr>
            <w:webHidden/>
          </w:rPr>
          <w:instrText xml:space="preserve"> PAGEREF _Toc423086485 \h </w:instrText>
        </w:r>
        <w:r w:rsidR="00C1436E">
          <w:rPr>
            <w:webHidden/>
          </w:rPr>
        </w:r>
        <w:r w:rsidR="00C1436E">
          <w:rPr>
            <w:webHidden/>
          </w:rPr>
          <w:fldChar w:fldCharType="separate"/>
        </w:r>
        <w:r>
          <w:rPr>
            <w:webHidden/>
          </w:rPr>
          <w:t>55</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493" w:history="1">
        <w:r w:rsidR="00C1436E" w:rsidRPr="00974C77">
          <w:rPr>
            <w:rStyle w:val="Hyperlink"/>
          </w:rPr>
          <w:t>9.3</w:t>
        </w:r>
        <w:r w:rsidR="00C1436E">
          <w:rPr>
            <w:rFonts w:asciiTheme="minorHAnsi" w:eastAsiaTheme="minorEastAsia" w:hAnsiTheme="minorHAnsi"/>
            <w:b w:val="0"/>
            <w:color w:val="auto"/>
            <w:sz w:val="22"/>
            <w:lang w:eastAsia="en-AU"/>
          </w:rPr>
          <w:tab/>
        </w:r>
        <w:r w:rsidR="00C1436E" w:rsidRPr="00974C77">
          <w:rPr>
            <w:rStyle w:val="Hyperlink"/>
          </w:rPr>
          <w:t>Endeavour Energy</w:t>
        </w:r>
        <w:r w:rsidR="00C1436E">
          <w:rPr>
            <w:webHidden/>
          </w:rPr>
          <w:tab/>
        </w:r>
        <w:r w:rsidR="00C1436E">
          <w:rPr>
            <w:webHidden/>
          </w:rPr>
          <w:fldChar w:fldCharType="begin"/>
        </w:r>
        <w:r w:rsidR="00C1436E">
          <w:rPr>
            <w:webHidden/>
          </w:rPr>
          <w:instrText xml:space="preserve"> PAGEREF _Toc423086493 \h </w:instrText>
        </w:r>
        <w:r w:rsidR="00C1436E">
          <w:rPr>
            <w:webHidden/>
          </w:rPr>
        </w:r>
        <w:r w:rsidR="00C1436E">
          <w:rPr>
            <w:webHidden/>
          </w:rPr>
          <w:fldChar w:fldCharType="separate"/>
        </w:r>
        <w:r>
          <w:rPr>
            <w:webHidden/>
          </w:rPr>
          <w:t>64</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501" w:history="1">
        <w:r w:rsidR="00C1436E" w:rsidRPr="00974C77">
          <w:rPr>
            <w:rStyle w:val="Hyperlink"/>
          </w:rPr>
          <w:t>9.4</w:t>
        </w:r>
        <w:r w:rsidR="00C1436E">
          <w:rPr>
            <w:rFonts w:asciiTheme="minorHAnsi" w:eastAsiaTheme="minorEastAsia" w:hAnsiTheme="minorHAnsi"/>
            <w:b w:val="0"/>
            <w:color w:val="auto"/>
            <w:sz w:val="22"/>
            <w:lang w:eastAsia="en-AU"/>
          </w:rPr>
          <w:tab/>
        </w:r>
        <w:r w:rsidR="00C1436E" w:rsidRPr="00974C77">
          <w:rPr>
            <w:rStyle w:val="Hyperlink"/>
          </w:rPr>
          <w:t>Essential Energy</w:t>
        </w:r>
        <w:r w:rsidR="00C1436E">
          <w:rPr>
            <w:webHidden/>
          </w:rPr>
          <w:tab/>
        </w:r>
        <w:r w:rsidR="00C1436E">
          <w:rPr>
            <w:webHidden/>
          </w:rPr>
          <w:fldChar w:fldCharType="begin"/>
        </w:r>
        <w:r w:rsidR="00C1436E">
          <w:rPr>
            <w:webHidden/>
          </w:rPr>
          <w:instrText xml:space="preserve"> PAGEREF _Toc423086501 \h </w:instrText>
        </w:r>
        <w:r w:rsidR="00C1436E">
          <w:rPr>
            <w:webHidden/>
          </w:rPr>
        </w:r>
        <w:r w:rsidR="00C1436E">
          <w:rPr>
            <w:webHidden/>
          </w:rPr>
          <w:fldChar w:fldCharType="separate"/>
        </w:r>
        <w:r>
          <w:rPr>
            <w:webHidden/>
          </w:rPr>
          <w:t>73</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509" w:history="1">
        <w:r w:rsidR="00C1436E" w:rsidRPr="00974C77">
          <w:rPr>
            <w:rStyle w:val="Hyperlink"/>
          </w:rPr>
          <w:t>9.5</w:t>
        </w:r>
        <w:r w:rsidR="00C1436E">
          <w:rPr>
            <w:rFonts w:asciiTheme="minorHAnsi" w:eastAsiaTheme="minorEastAsia" w:hAnsiTheme="minorHAnsi"/>
            <w:b w:val="0"/>
            <w:color w:val="auto"/>
            <w:sz w:val="22"/>
            <w:lang w:eastAsia="en-AU"/>
          </w:rPr>
          <w:tab/>
        </w:r>
        <w:r w:rsidR="00C1436E" w:rsidRPr="00974C77">
          <w:rPr>
            <w:rStyle w:val="Hyperlink"/>
          </w:rPr>
          <w:t>Energex</w:t>
        </w:r>
        <w:r w:rsidR="00C1436E">
          <w:rPr>
            <w:webHidden/>
          </w:rPr>
          <w:tab/>
        </w:r>
        <w:r w:rsidR="00C1436E">
          <w:rPr>
            <w:webHidden/>
          </w:rPr>
          <w:fldChar w:fldCharType="begin"/>
        </w:r>
        <w:r w:rsidR="00C1436E">
          <w:rPr>
            <w:webHidden/>
          </w:rPr>
          <w:instrText xml:space="preserve"> PAGEREF _Toc423086509 \h </w:instrText>
        </w:r>
        <w:r w:rsidR="00C1436E">
          <w:rPr>
            <w:webHidden/>
          </w:rPr>
        </w:r>
        <w:r w:rsidR="00C1436E">
          <w:rPr>
            <w:webHidden/>
          </w:rPr>
          <w:fldChar w:fldCharType="separate"/>
        </w:r>
        <w:r>
          <w:rPr>
            <w:webHidden/>
          </w:rPr>
          <w:t>82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517" w:history="1">
        <w:r w:rsidR="00C1436E" w:rsidRPr="00974C77">
          <w:rPr>
            <w:rStyle w:val="Hyperlink"/>
          </w:rPr>
          <w:t>9.6</w:t>
        </w:r>
        <w:r w:rsidR="00C1436E">
          <w:rPr>
            <w:rFonts w:asciiTheme="minorHAnsi" w:eastAsiaTheme="minorEastAsia" w:hAnsiTheme="minorHAnsi"/>
            <w:b w:val="0"/>
            <w:color w:val="auto"/>
            <w:sz w:val="22"/>
            <w:lang w:eastAsia="en-AU"/>
          </w:rPr>
          <w:tab/>
        </w:r>
        <w:r w:rsidR="00C1436E" w:rsidRPr="00974C77">
          <w:rPr>
            <w:rStyle w:val="Hyperlink"/>
          </w:rPr>
          <w:t>Ergon Energy</w:t>
        </w:r>
        <w:r w:rsidR="00C1436E">
          <w:rPr>
            <w:webHidden/>
          </w:rPr>
          <w:tab/>
        </w:r>
        <w:r w:rsidR="00C1436E">
          <w:rPr>
            <w:webHidden/>
          </w:rPr>
          <w:fldChar w:fldCharType="begin"/>
        </w:r>
        <w:r w:rsidR="00C1436E">
          <w:rPr>
            <w:webHidden/>
          </w:rPr>
          <w:instrText xml:space="preserve"> PAGEREF _Toc423086517 \h </w:instrText>
        </w:r>
        <w:r w:rsidR="00C1436E">
          <w:rPr>
            <w:webHidden/>
          </w:rPr>
        </w:r>
        <w:r w:rsidR="00C1436E">
          <w:rPr>
            <w:webHidden/>
          </w:rPr>
          <w:fldChar w:fldCharType="separate"/>
        </w:r>
        <w:r>
          <w:rPr>
            <w:webHidden/>
          </w:rPr>
          <w:t>92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525" w:history="1">
        <w:r w:rsidR="00C1436E" w:rsidRPr="00974C77">
          <w:rPr>
            <w:rStyle w:val="Hyperlink"/>
          </w:rPr>
          <w:t>9.7</w:t>
        </w:r>
        <w:r w:rsidR="00C1436E">
          <w:rPr>
            <w:rFonts w:asciiTheme="minorHAnsi" w:eastAsiaTheme="minorEastAsia" w:hAnsiTheme="minorHAnsi"/>
            <w:b w:val="0"/>
            <w:color w:val="auto"/>
            <w:sz w:val="22"/>
            <w:lang w:eastAsia="en-AU"/>
          </w:rPr>
          <w:tab/>
        </w:r>
        <w:r w:rsidR="00C1436E" w:rsidRPr="00974C77">
          <w:rPr>
            <w:rStyle w:val="Hyperlink"/>
          </w:rPr>
          <w:t>SA Power Networks</w:t>
        </w:r>
        <w:r w:rsidR="00C1436E">
          <w:rPr>
            <w:webHidden/>
          </w:rPr>
          <w:tab/>
        </w:r>
        <w:r w:rsidR="00C1436E">
          <w:rPr>
            <w:webHidden/>
          </w:rPr>
          <w:fldChar w:fldCharType="begin"/>
        </w:r>
        <w:r w:rsidR="00C1436E">
          <w:rPr>
            <w:webHidden/>
          </w:rPr>
          <w:instrText xml:space="preserve"> PAGEREF _Toc423086525 \h </w:instrText>
        </w:r>
        <w:r w:rsidR="00C1436E">
          <w:rPr>
            <w:webHidden/>
          </w:rPr>
        </w:r>
        <w:r w:rsidR="00C1436E">
          <w:rPr>
            <w:webHidden/>
          </w:rPr>
          <w:fldChar w:fldCharType="separate"/>
        </w:r>
        <w:r>
          <w:rPr>
            <w:webHidden/>
          </w:rPr>
          <w:t>102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533" w:history="1">
        <w:r w:rsidR="00C1436E" w:rsidRPr="00974C77">
          <w:rPr>
            <w:rStyle w:val="Hyperlink"/>
          </w:rPr>
          <w:t>9.8</w:t>
        </w:r>
        <w:r w:rsidR="00C1436E">
          <w:rPr>
            <w:rFonts w:asciiTheme="minorHAnsi" w:eastAsiaTheme="minorEastAsia" w:hAnsiTheme="minorHAnsi"/>
            <w:b w:val="0"/>
            <w:color w:val="auto"/>
            <w:sz w:val="22"/>
            <w:lang w:eastAsia="en-AU"/>
          </w:rPr>
          <w:tab/>
        </w:r>
        <w:r w:rsidR="00C1436E" w:rsidRPr="00974C77">
          <w:rPr>
            <w:rStyle w:val="Hyperlink"/>
          </w:rPr>
          <w:t>TasNetworks (formerly Aurora Energy)</w:t>
        </w:r>
        <w:r w:rsidR="00C1436E">
          <w:rPr>
            <w:webHidden/>
          </w:rPr>
          <w:tab/>
        </w:r>
        <w:r w:rsidR="00C1436E">
          <w:rPr>
            <w:webHidden/>
          </w:rPr>
          <w:fldChar w:fldCharType="begin"/>
        </w:r>
        <w:r w:rsidR="00C1436E">
          <w:rPr>
            <w:webHidden/>
          </w:rPr>
          <w:instrText xml:space="preserve"> PAGEREF _Toc423086533 \h </w:instrText>
        </w:r>
        <w:r w:rsidR="00C1436E">
          <w:rPr>
            <w:webHidden/>
          </w:rPr>
        </w:r>
        <w:r w:rsidR="00C1436E">
          <w:rPr>
            <w:webHidden/>
          </w:rPr>
          <w:fldChar w:fldCharType="separate"/>
        </w:r>
        <w:r>
          <w:rPr>
            <w:webHidden/>
          </w:rPr>
          <w:t>112</w:t>
        </w:r>
        <w:r w:rsidR="00C1436E">
          <w:rPr>
            <w:webHidden/>
          </w:rPr>
          <w:fldChar w:fldCharType="end"/>
        </w:r>
      </w:hyperlink>
    </w:p>
    <w:p w:rsidR="00C1436E" w:rsidRDefault="002337B5">
      <w:pPr>
        <w:pStyle w:val="TOC2"/>
        <w:rPr>
          <w:rFonts w:asciiTheme="minorHAnsi" w:eastAsiaTheme="minorEastAsia" w:hAnsiTheme="minorHAnsi"/>
          <w:b w:val="0"/>
          <w:color w:val="auto"/>
          <w:sz w:val="22"/>
          <w:lang w:eastAsia="en-AU"/>
        </w:rPr>
      </w:pPr>
      <w:hyperlink w:anchor="_Toc423086541" w:history="1">
        <w:r w:rsidR="00C1436E" w:rsidRPr="00974C77">
          <w:rPr>
            <w:rStyle w:val="Hyperlink"/>
          </w:rPr>
          <w:t>9.9</w:t>
        </w:r>
        <w:r w:rsidR="00C1436E">
          <w:rPr>
            <w:rFonts w:asciiTheme="minorHAnsi" w:eastAsiaTheme="minorEastAsia" w:hAnsiTheme="minorHAnsi"/>
            <w:b w:val="0"/>
            <w:color w:val="auto"/>
            <w:sz w:val="22"/>
            <w:lang w:eastAsia="en-AU"/>
          </w:rPr>
          <w:tab/>
        </w:r>
        <w:r w:rsidR="00C1436E" w:rsidRPr="00974C77">
          <w:rPr>
            <w:rStyle w:val="Hyperlink"/>
          </w:rPr>
          <w:t>AusNet Services (formerly SP AusNet Distribution)</w:t>
        </w:r>
        <w:r w:rsidR="00C1436E">
          <w:rPr>
            <w:webHidden/>
          </w:rPr>
          <w:tab/>
        </w:r>
        <w:r w:rsidR="00C1436E">
          <w:rPr>
            <w:webHidden/>
          </w:rPr>
          <w:fldChar w:fldCharType="begin"/>
        </w:r>
        <w:r w:rsidR="00C1436E">
          <w:rPr>
            <w:webHidden/>
          </w:rPr>
          <w:instrText xml:space="preserve"> PAGEREF _Toc423086541 \h </w:instrText>
        </w:r>
        <w:r w:rsidR="00C1436E">
          <w:rPr>
            <w:webHidden/>
          </w:rPr>
        </w:r>
        <w:r w:rsidR="00C1436E">
          <w:rPr>
            <w:webHidden/>
          </w:rPr>
          <w:fldChar w:fldCharType="separate"/>
        </w:r>
        <w:r>
          <w:rPr>
            <w:webHidden/>
          </w:rPr>
          <w:t>122</w:t>
        </w:r>
        <w:r w:rsidR="00C1436E">
          <w:rPr>
            <w:webHidden/>
          </w:rPr>
          <w:fldChar w:fldCharType="end"/>
        </w:r>
      </w:hyperlink>
    </w:p>
    <w:p w:rsidR="00C1436E" w:rsidRDefault="002337B5">
      <w:pPr>
        <w:pStyle w:val="TOC2"/>
        <w:tabs>
          <w:tab w:val="left" w:pos="1276"/>
        </w:tabs>
        <w:rPr>
          <w:rFonts w:asciiTheme="minorHAnsi" w:eastAsiaTheme="minorEastAsia" w:hAnsiTheme="minorHAnsi"/>
          <w:b w:val="0"/>
          <w:color w:val="auto"/>
          <w:sz w:val="22"/>
          <w:lang w:eastAsia="en-AU"/>
        </w:rPr>
      </w:pPr>
      <w:hyperlink w:anchor="_Toc423086549" w:history="1">
        <w:r w:rsidR="00C1436E" w:rsidRPr="00974C77">
          <w:rPr>
            <w:rStyle w:val="Hyperlink"/>
          </w:rPr>
          <w:t>9.10</w:t>
        </w:r>
        <w:r w:rsidR="00C1436E">
          <w:rPr>
            <w:rFonts w:asciiTheme="minorHAnsi" w:eastAsiaTheme="minorEastAsia" w:hAnsiTheme="minorHAnsi"/>
            <w:b w:val="0"/>
            <w:color w:val="auto"/>
            <w:sz w:val="22"/>
            <w:lang w:eastAsia="en-AU"/>
          </w:rPr>
          <w:tab/>
        </w:r>
        <w:r w:rsidR="00C1436E" w:rsidRPr="00974C77">
          <w:rPr>
            <w:rStyle w:val="Hyperlink"/>
          </w:rPr>
          <w:t>CitiPower</w:t>
        </w:r>
        <w:r w:rsidR="00C1436E">
          <w:rPr>
            <w:webHidden/>
          </w:rPr>
          <w:tab/>
        </w:r>
        <w:r w:rsidR="00C1436E">
          <w:rPr>
            <w:webHidden/>
          </w:rPr>
          <w:fldChar w:fldCharType="begin"/>
        </w:r>
        <w:r w:rsidR="00C1436E">
          <w:rPr>
            <w:webHidden/>
          </w:rPr>
          <w:instrText xml:space="preserve"> PAGEREF _Toc423086549 \h </w:instrText>
        </w:r>
        <w:r w:rsidR="00C1436E">
          <w:rPr>
            <w:webHidden/>
          </w:rPr>
        </w:r>
        <w:r w:rsidR="00C1436E">
          <w:rPr>
            <w:webHidden/>
          </w:rPr>
          <w:fldChar w:fldCharType="separate"/>
        </w:r>
        <w:r>
          <w:rPr>
            <w:webHidden/>
          </w:rPr>
          <w:t>132</w:t>
        </w:r>
        <w:r w:rsidR="00C1436E">
          <w:rPr>
            <w:webHidden/>
          </w:rPr>
          <w:fldChar w:fldCharType="end"/>
        </w:r>
      </w:hyperlink>
    </w:p>
    <w:p w:rsidR="00C1436E" w:rsidRDefault="002337B5">
      <w:pPr>
        <w:pStyle w:val="TOC2"/>
        <w:tabs>
          <w:tab w:val="left" w:pos="1276"/>
        </w:tabs>
        <w:rPr>
          <w:rFonts w:asciiTheme="minorHAnsi" w:eastAsiaTheme="minorEastAsia" w:hAnsiTheme="minorHAnsi"/>
          <w:b w:val="0"/>
          <w:color w:val="auto"/>
          <w:sz w:val="22"/>
          <w:lang w:eastAsia="en-AU"/>
        </w:rPr>
      </w:pPr>
      <w:hyperlink w:anchor="_Toc423086557" w:history="1">
        <w:r w:rsidR="00C1436E" w:rsidRPr="00974C77">
          <w:rPr>
            <w:rStyle w:val="Hyperlink"/>
          </w:rPr>
          <w:t>9.11</w:t>
        </w:r>
        <w:r w:rsidR="00C1436E">
          <w:rPr>
            <w:rFonts w:asciiTheme="minorHAnsi" w:eastAsiaTheme="minorEastAsia" w:hAnsiTheme="minorHAnsi"/>
            <w:b w:val="0"/>
            <w:color w:val="auto"/>
            <w:sz w:val="22"/>
            <w:lang w:eastAsia="en-AU"/>
          </w:rPr>
          <w:tab/>
        </w:r>
        <w:r w:rsidR="00C1436E" w:rsidRPr="00974C77">
          <w:rPr>
            <w:rStyle w:val="Hyperlink"/>
          </w:rPr>
          <w:t>JEN (Jemena Electricity Networks)</w:t>
        </w:r>
        <w:r w:rsidR="00C1436E">
          <w:rPr>
            <w:webHidden/>
          </w:rPr>
          <w:tab/>
        </w:r>
        <w:r w:rsidR="00C1436E">
          <w:rPr>
            <w:webHidden/>
          </w:rPr>
          <w:fldChar w:fldCharType="begin"/>
        </w:r>
        <w:r w:rsidR="00C1436E">
          <w:rPr>
            <w:webHidden/>
          </w:rPr>
          <w:instrText xml:space="preserve"> PAGEREF _Toc423086557 \h </w:instrText>
        </w:r>
        <w:r w:rsidR="00C1436E">
          <w:rPr>
            <w:webHidden/>
          </w:rPr>
        </w:r>
        <w:r w:rsidR="00C1436E">
          <w:rPr>
            <w:webHidden/>
          </w:rPr>
          <w:fldChar w:fldCharType="separate"/>
        </w:r>
        <w:r>
          <w:rPr>
            <w:webHidden/>
          </w:rPr>
          <w:t>142</w:t>
        </w:r>
        <w:r w:rsidR="00C1436E">
          <w:rPr>
            <w:webHidden/>
          </w:rPr>
          <w:fldChar w:fldCharType="end"/>
        </w:r>
      </w:hyperlink>
    </w:p>
    <w:p w:rsidR="00C1436E" w:rsidRDefault="002337B5">
      <w:pPr>
        <w:pStyle w:val="TOC2"/>
        <w:tabs>
          <w:tab w:val="left" w:pos="1276"/>
        </w:tabs>
        <w:rPr>
          <w:rFonts w:asciiTheme="minorHAnsi" w:eastAsiaTheme="minorEastAsia" w:hAnsiTheme="minorHAnsi"/>
          <w:b w:val="0"/>
          <w:color w:val="auto"/>
          <w:sz w:val="22"/>
          <w:lang w:eastAsia="en-AU"/>
        </w:rPr>
      </w:pPr>
      <w:hyperlink w:anchor="_Toc423086566" w:history="1">
        <w:r w:rsidR="00C1436E" w:rsidRPr="00974C77">
          <w:rPr>
            <w:rStyle w:val="Hyperlink"/>
          </w:rPr>
          <w:t>9.12</w:t>
        </w:r>
        <w:r w:rsidR="00C1436E">
          <w:rPr>
            <w:rFonts w:asciiTheme="minorHAnsi" w:eastAsiaTheme="minorEastAsia" w:hAnsiTheme="minorHAnsi"/>
            <w:b w:val="0"/>
            <w:color w:val="auto"/>
            <w:sz w:val="22"/>
            <w:lang w:eastAsia="en-AU"/>
          </w:rPr>
          <w:tab/>
        </w:r>
        <w:r w:rsidR="00C1436E" w:rsidRPr="00974C77">
          <w:rPr>
            <w:rStyle w:val="Hyperlink"/>
          </w:rPr>
          <w:t>Powercor</w:t>
        </w:r>
        <w:r w:rsidR="00C1436E">
          <w:rPr>
            <w:webHidden/>
          </w:rPr>
          <w:tab/>
        </w:r>
        <w:r w:rsidR="00C1436E">
          <w:rPr>
            <w:webHidden/>
          </w:rPr>
          <w:fldChar w:fldCharType="begin"/>
        </w:r>
        <w:r w:rsidR="00C1436E">
          <w:rPr>
            <w:webHidden/>
          </w:rPr>
          <w:instrText xml:space="preserve"> PAGEREF _Toc423086566 \h </w:instrText>
        </w:r>
        <w:r w:rsidR="00C1436E">
          <w:rPr>
            <w:webHidden/>
          </w:rPr>
        </w:r>
        <w:r w:rsidR="00C1436E">
          <w:rPr>
            <w:webHidden/>
          </w:rPr>
          <w:fldChar w:fldCharType="separate"/>
        </w:r>
        <w:r>
          <w:rPr>
            <w:webHidden/>
          </w:rPr>
          <w:t>151</w:t>
        </w:r>
        <w:r w:rsidR="00C1436E">
          <w:rPr>
            <w:webHidden/>
          </w:rPr>
          <w:fldChar w:fldCharType="end"/>
        </w:r>
      </w:hyperlink>
    </w:p>
    <w:p w:rsidR="00C1436E" w:rsidRDefault="002337B5">
      <w:pPr>
        <w:pStyle w:val="TOC2"/>
        <w:tabs>
          <w:tab w:val="left" w:pos="1276"/>
        </w:tabs>
        <w:rPr>
          <w:rFonts w:asciiTheme="minorHAnsi" w:eastAsiaTheme="minorEastAsia" w:hAnsiTheme="minorHAnsi"/>
          <w:b w:val="0"/>
          <w:color w:val="auto"/>
          <w:sz w:val="22"/>
          <w:lang w:eastAsia="en-AU"/>
        </w:rPr>
      </w:pPr>
      <w:hyperlink w:anchor="_Toc423086574" w:history="1">
        <w:r w:rsidR="00C1436E" w:rsidRPr="00974C77">
          <w:rPr>
            <w:rStyle w:val="Hyperlink"/>
          </w:rPr>
          <w:t>9.13</w:t>
        </w:r>
        <w:r w:rsidR="00C1436E">
          <w:rPr>
            <w:rFonts w:asciiTheme="minorHAnsi" w:eastAsiaTheme="minorEastAsia" w:hAnsiTheme="minorHAnsi"/>
            <w:b w:val="0"/>
            <w:color w:val="auto"/>
            <w:sz w:val="22"/>
            <w:lang w:eastAsia="en-AU"/>
          </w:rPr>
          <w:tab/>
        </w:r>
        <w:r w:rsidR="00C1436E" w:rsidRPr="00974C77">
          <w:rPr>
            <w:rStyle w:val="Hyperlink"/>
          </w:rPr>
          <w:t>United Energy</w:t>
        </w:r>
        <w:r w:rsidR="00C1436E">
          <w:rPr>
            <w:webHidden/>
          </w:rPr>
          <w:tab/>
        </w:r>
        <w:r w:rsidR="00C1436E">
          <w:rPr>
            <w:webHidden/>
          </w:rPr>
          <w:fldChar w:fldCharType="begin"/>
        </w:r>
        <w:r w:rsidR="00C1436E">
          <w:rPr>
            <w:webHidden/>
          </w:rPr>
          <w:instrText xml:space="preserve"> PAGEREF _Toc423086574 \h </w:instrText>
        </w:r>
        <w:r w:rsidR="00C1436E">
          <w:rPr>
            <w:webHidden/>
          </w:rPr>
        </w:r>
        <w:r w:rsidR="00C1436E">
          <w:rPr>
            <w:webHidden/>
          </w:rPr>
          <w:fldChar w:fldCharType="separate"/>
        </w:r>
        <w:r>
          <w:rPr>
            <w:webHidden/>
          </w:rPr>
          <w:t>161</w:t>
        </w:r>
        <w:r w:rsidR="00C1436E">
          <w:rPr>
            <w:webHidden/>
          </w:rPr>
          <w:fldChar w:fldCharType="end"/>
        </w:r>
      </w:hyperlink>
    </w:p>
    <w:p w:rsidR="00C1436E" w:rsidRDefault="002337B5">
      <w:pPr>
        <w:pStyle w:val="TOC1"/>
        <w:rPr>
          <w:rFonts w:asciiTheme="minorHAnsi" w:eastAsiaTheme="minorEastAsia" w:hAnsiTheme="minorHAnsi"/>
          <w:b w:val="0"/>
          <w:color w:val="auto"/>
          <w:sz w:val="22"/>
          <w:lang w:val="en-AU" w:eastAsia="en-AU"/>
        </w:rPr>
      </w:pPr>
      <w:hyperlink w:anchor="_Toc423086581" w:history="1">
        <w:r w:rsidR="00C1436E" w:rsidRPr="00974C77">
          <w:rPr>
            <w:rStyle w:val="Hyperlink"/>
          </w:rPr>
          <w:t>10</w:t>
        </w:r>
        <w:r w:rsidR="00C1436E">
          <w:rPr>
            <w:rFonts w:asciiTheme="minorHAnsi" w:eastAsiaTheme="minorEastAsia" w:hAnsiTheme="minorHAnsi"/>
            <w:b w:val="0"/>
            <w:color w:val="auto"/>
            <w:sz w:val="22"/>
            <w:lang w:val="en-AU" w:eastAsia="en-AU"/>
          </w:rPr>
          <w:tab/>
        </w:r>
        <w:r w:rsidR="00C1436E" w:rsidRPr="00974C77">
          <w:rPr>
            <w:rStyle w:val="Hyperlink"/>
          </w:rPr>
          <w:t>Glossary</w:t>
        </w:r>
        <w:r w:rsidR="00C1436E">
          <w:rPr>
            <w:webHidden/>
          </w:rPr>
          <w:tab/>
        </w:r>
        <w:r w:rsidR="00C1436E">
          <w:rPr>
            <w:webHidden/>
          </w:rPr>
          <w:fldChar w:fldCharType="begin"/>
        </w:r>
        <w:r w:rsidR="00C1436E">
          <w:rPr>
            <w:webHidden/>
          </w:rPr>
          <w:instrText xml:space="preserve"> PAGEREF _Toc423086581 \h </w:instrText>
        </w:r>
        <w:r w:rsidR="00C1436E">
          <w:rPr>
            <w:webHidden/>
          </w:rPr>
        </w:r>
        <w:r w:rsidR="00C1436E">
          <w:rPr>
            <w:webHidden/>
          </w:rPr>
          <w:fldChar w:fldCharType="separate"/>
        </w:r>
        <w:r>
          <w:rPr>
            <w:webHidden/>
          </w:rPr>
          <w:t>170</w:t>
        </w:r>
        <w:r w:rsidR="00C1436E">
          <w:rPr>
            <w:webHidden/>
          </w:rPr>
          <w:fldChar w:fldCharType="end"/>
        </w:r>
      </w:hyperlink>
    </w:p>
    <w:p w:rsidR="0020492C" w:rsidRDefault="00A75077" w:rsidP="009F5BA1">
      <w:r>
        <w:fldChar w:fldCharType="end"/>
      </w:r>
      <w:r w:rsidR="0020492C">
        <w:tab/>
      </w:r>
    </w:p>
    <w:p w:rsidR="0020492C" w:rsidRDefault="0020492C" w:rsidP="0020492C">
      <w:bookmarkStart w:id="0" w:name="_Toc213047617"/>
    </w:p>
    <w:p w:rsidR="0020492C" w:rsidRDefault="0020492C" w:rsidP="0020492C">
      <w:pPr>
        <w:sectPr w:rsidR="0020492C" w:rsidSect="007A4D1F">
          <w:footerReference w:type="default" r:id="rId11"/>
          <w:pgSz w:w="11906" w:h="16838" w:code="9"/>
          <w:pgMar w:top="1440" w:right="1700" w:bottom="1582" w:left="1729" w:header="720" w:footer="1009" w:gutter="0"/>
          <w:pgNumType w:fmt="lowerRoman"/>
          <w:cols w:space="720"/>
          <w:docGrid w:linePitch="326"/>
        </w:sectPr>
      </w:pPr>
    </w:p>
    <w:p w:rsidR="00AE2FC7" w:rsidRPr="0053090B" w:rsidRDefault="00AE2FC7" w:rsidP="00AE2FC7">
      <w:pPr>
        <w:pStyle w:val="Heading1notnumber"/>
      </w:pPr>
      <w:bookmarkStart w:id="1" w:name="_Toc409009953"/>
      <w:bookmarkStart w:id="2" w:name="_Toc409771578"/>
      <w:bookmarkStart w:id="3" w:name="_Toc423086424"/>
      <w:r w:rsidRPr="0053090B">
        <w:lastRenderedPageBreak/>
        <w:t>Preface</w:t>
      </w:r>
      <w:bookmarkEnd w:id="1"/>
      <w:bookmarkEnd w:id="2"/>
      <w:bookmarkEnd w:id="3"/>
    </w:p>
    <w:p w:rsidR="00FC69C9" w:rsidRDefault="008D0928" w:rsidP="00FC69C9">
      <w:r>
        <w:t>I am pleased to present t</w:t>
      </w:r>
      <w:r w:rsidR="00FC69C9">
        <w:t>he 2011-13 performance report for electricity distribution networks.</w:t>
      </w:r>
    </w:p>
    <w:p w:rsidR="00FC69C9" w:rsidRDefault="00FC69C9" w:rsidP="00FC69C9">
      <w:r>
        <w:t xml:space="preserve">The performance report is the first report to cover all </w:t>
      </w:r>
      <w:r w:rsidR="008D0928">
        <w:t xml:space="preserve">13 </w:t>
      </w:r>
      <w:r>
        <w:t xml:space="preserve">distributors in the National Electricity Market (NEM), and provides information on recent trends in expenditures by distributors and the level of service provided to customers. </w:t>
      </w:r>
    </w:p>
    <w:p w:rsidR="00FC69C9" w:rsidRDefault="00FC69C9" w:rsidP="00FC69C9">
      <w:r>
        <w:t xml:space="preserve">The distributors report improving service levels for distribution customers, with the number of interruptions to supply and the length of interruptions to supply </w:t>
      </w:r>
      <w:proofErr w:type="gramStart"/>
      <w:r>
        <w:t>both falling</w:t>
      </w:r>
      <w:proofErr w:type="gramEnd"/>
      <w:r>
        <w:t xml:space="preserve"> in every year since 2010. </w:t>
      </w:r>
    </w:p>
    <w:p w:rsidR="00FC69C9" w:rsidRDefault="00FC69C9" w:rsidP="00FC69C9">
      <w:r>
        <w:t xml:space="preserve">Demand for electricity is reported to have declined across the NEM and was around 5 per cent less than forecast for 2011-13. Reduced demand contributed to lower than forecast expenditure by the distributors, especially on network growth projects. Total expenditure by all distributors on capital projects was $5.2 billion in 2013, 16 per cent less than forecast. </w:t>
      </w:r>
    </w:p>
    <w:p w:rsidR="00AE2FC7" w:rsidRPr="0053090B" w:rsidRDefault="00AE2FC7" w:rsidP="00FC69C9">
      <w:r w:rsidRPr="0053090B">
        <w:t xml:space="preserve">The Australian Energy Regulator is responsible for the economic regulation of electricity network service providers (NSPs). The NSPs operate in the NEM, in accordance with the National Electricity Law (NEL) and the National Electricity Rules (NER). In undertaking </w:t>
      </w:r>
      <w:r w:rsidR="00520362">
        <w:t>our</w:t>
      </w:r>
      <w:r w:rsidRPr="0053090B">
        <w:t xml:space="preserve"> economic regulatory functions </w:t>
      </w:r>
      <w:r>
        <w:t>we</w:t>
      </w:r>
      <w:r w:rsidRPr="0053090B">
        <w:t xml:space="preserve"> promote the National Electricity Objective, which is to:</w:t>
      </w:r>
    </w:p>
    <w:p w:rsidR="00AE2FC7" w:rsidRPr="0053090B" w:rsidRDefault="00AE2FC7" w:rsidP="00B4372B">
      <w:pPr>
        <w:pStyle w:val="Quote"/>
      </w:pPr>
      <w:r w:rsidRPr="0053090B">
        <w:t>Promote efficient investment in, and efficient operation and use of electricity services for the long term interests of consumers of electricity with respect to electricity supply and the national electricity system.</w:t>
      </w:r>
    </w:p>
    <w:p w:rsidR="00AE2FC7" w:rsidRPr="0053090B" w:rsidRDefault="00520362" w:rsidP="00AE2FC7">
      <w:r>
        <w:t>Our</w:t>
      </w:r>
      <w:r w:rsidRPr="0053090B">
        <w:t xml:space="preserve"> </w:t>
      </w:r>
      <w:r w:rsidR="00AE2FC7" w:rsidRPr="0053090B">
        <w:t xml:space="preserve">role includes annual performance reporting </w:t>
      </w:r>
      <w:r>
        <w:t>on</w:t>
      </w:r>
      <w:r w:rsidRPr="0053090B">
        <w:t xml:space="preserve"> </w:t>
      </w:r>
      <w:r w:rsidR="00AE2FC7" w:rsidRPr="0053090B">
        <w:t xml:space="preserve">regulated NSPs. Performance reporting increases the transparency and accountability </w:t>
      </w:r>
      <w:r>
        <w:t>needed</w:t>
      </w:r>
      <w:r w:rsidRPr="0053090B">
        <w:t xml:space="preserve"> </w:t>
      </w:r>
      <w:r w:rsidR="00AE2FC7" w:rsidRPr="0053090B">
        <w:t xml:space="preserve">to underpin efficiency based regulation. </w:t>
      </w:r>
      <w:r w:rsidR="008D0928" w:rsidRPr="0053090B">
        <w:t xml:space="preserve">This </w:t>
      </w:r>
      <w:r w:rsidR="00AE2FC7" w:rsidRPr="0053090B">
        <w:t>report promotes the N</w:t>
      </w:r>
      <w:r w:rsidR="002B35EB">
        <w:t>ational Electricity Objective</w:t>
      </w:r>
      <w:r w:rsidR="00AE2FC7" w:rsidRPr="0053090B">
        <w:t xml:space="preserve"> by better informing both regulated NSPs and other stakeholders of the NSPs’ performance. </w:t>
      </w:r>
      <w:r>
        <w:t>It</w:t>
      </w:r>
      <w:r w:rsidR="00AE2FC7" w:rsidRPr="0053090B">
        <w:t xml:space="preserve"> provides comprehensive, accurate and reliable information about </w:t>
      </w:r>
      <w:r>
        <w:t xml:space="preserve">the </w:t>
      </w:r>
      <w:r w:rsidR="00AE2FC7" w:rsidRPr="0053090B">
        <w:t>services customers receive</w:t>
      </w:r>
      <w:r>
        <w:t xml:space="preserve"> and</w:t>
      </w:r>
      <w:r w:rsidR="00AE2FC7" w:rsidRPr="0053090B">
        <w:t xml:space="preserve"> promotes better service by comparing distribution network service providers </w:t>
      </w:r>
      <w:r>
        <w:t>and encouraging them</w:t>
      </w:r>
      <w:r w:rsidR="00AE2FC7" w:rsidRPr="0053090B">
        <w:t xml:space="preserve"> to improve their performance. </w:t>
      </w:r>
    </w:p>
    <w:p w:rsidR="00AE2FC7" w:rsidRPr="0053090B" w:rsidRDefault="00AE2FC7" w:rsidP="00AE2FC7">
      <w:r w:rsidRPr="0053090B">
        <w:t xml:space="preserve">This report reflects </w:t>
      </w:r>
      <w:r>
        <w:t>our</w:t>
      </w:r>
      <w:r w:rsidRPr="0053090B">
        <w:t xml:space="preserve"> priorities and objectives for NSP performance reporting. It has been prepared as part of </w:t>
      </w:r>
      <w:r>
        <w:t>our</w:t>
      </w:r>
      <w:r w:rsidRPr="0053090B">
        <w:t xml:space="preserve"> </w:t>
      </w:r>
      <w:r w:rsidR="00520362">
        <w:t xml:space="preserve">overall </w:t>
      </w:r>
      <w:r w:rsidRPr="0053090B">
        <w:t xml:space="preserve">network reporting and information strategy. </w:t>
      </w:r>
      <w:r>
        <w:t>We</w:t>
      </w:r>
      <w:r w:rsidRPr="0053090B">
        <w:t xml:space="preserve"> will continue to implement </w:t>
      </w:r>
      <w:r w:rsidR="00520362">
        <w:t>the</w:t>
      </w:r>
      <w:r w:rsidRPr="0053090B">
        <w:t xml:space="preserve"> strategy</w:t>
      </w:r>
      <w:r w:rsidR="00520362">
        <w:t xml:space="preserve"> aiming</w:t>
      </w:r>
      <w:r w:rsidRPr="0053090B">
        <w:t xml:space="preserve"> to include more comprehensive financial and service performance information in future DNSP performance reports. </w:t>
      </w:r>
    </w:p>
    <w:p w:rsidR="00AE2FC7" w:rsidRPr="0053090B" w:rsidRDefault="00AE2FC7" w:rsidP="00AE2FC7">
      <w:r w:rsidRPr="0053090B">
        <w:t>I hope this report provide</w:t>
      </w:r>
      <w:r w:rsidR="00520362">
        <w:t>s</w:t>
      </w:r>
      <w:r w:rsidRPr="0053090B">
        <w:t xml:space="preserve"> interested parties with</w:t>
      </w:r>
      <w:r w:rsidR="00A17D71">
        <w:t xml:space="preserve"> sufficient</w:t>
      </w:r>
      <w:r w:rsidRPr="0053090B">
        <w:t xml:space="preserve"> information </w:t>
      </w:r>
      <w:r w:rsidR="00A17D71">
        <w:t>to</w:t>
      </w:r>
      <w:r w:rsidR="00520362" w:rsidRPr="0053090B">
        <w:t xml:space="preserve"> </w:t>
      </w:r>
      <w:r w:rsidRPr="0053090B">
        <w:t>enable critical evaluation of DNSPs’ performance under their distribution determinations. I encourage you to read th</w:t>
      </w:r>
      <w:r w:rsidR="00520362">
        <w:t>e</w:t>
      </w:r>
      <w:r w:rsidRPr="0053090B">
        <w:t xml:space="preserve"> report an</w:t>
      </w:r>
      <w:r w:rsidR="00CC0E3F">
        <w:t xml:space="preserve">d provide feedback to the AER. </w:t>
      </w:r>
    </w:p>
    <w:p w:rsidR="00AE2FC7" w:rsidRDefault="00AE2FC7" w:rsidP="00AE2FC7">
      <w:pPr>
        <w:rPr>
          <w:rStyle w:val="Strong"/>
        </w:rPr>
      </w:pPr>
      <w:r w:rsidRPr="0053090B">
        <w:rPr>
          <w:rStyle w:val="Strong"/>
        </w:rPr>
        <w:t>Paula Conboy</w:t>
      </w:r>
      <w:r w:rsidR="00520362">
        <w:rPr>
          <w:rStyle w:val="Strong"/>
        </w:rPr>
        <w:t>,</w:t>
      </w:r>
      <w:r w:rsidRPr="0053090B">
        <w:rPr>
          <w:rStyle w:val="Strong"/>
        </w:rPr>
        <w:t xml:space="preserve"> Chair</w:t>
      </w:r>
    </w:p>
    <w:p w:rsidR="00AE2FC7" w:rsidRPr="0053090B" w:rsidRDefault="00AE2FC7" w:rsidP="00216225">
      <w:pPr>
        <w:pStyle w:val="Heading1"/>
      </w:pPr>
      <w:bookmarkStart w:id="4" w:name="_Toc409009954"/>
      <w:bookmarkStart w:id="5" w:name="_Toc409771579"/>
      <w:bookmarkStart w:id="6" w:name="_Toc423086425"/>
      <w:r w:rsidRPr="0053090B">
        <w:lastRenderedPageBreak/>
        <w:t>Introduction</w:t>
      </w:r>
      <w:bookmarkEnd w:id="4"/>
      <w:bookmarkEnd w:id="5"/>
      <w:bookmarkEnd w:id="6"/>
    </w:p>
    <w:p w:rsidR="00AE2FC7" w:rsidRPr="0053090B" w:rsidRDefault="00133534" w:rsidP="00B4372B">
      <w:pPr>
        <w:pStyle w:val="Heading2"/>
      </w:pPr>
      <w:bookmarkStart w:id="7" w:name="_Toc409009955"/>
      <w:bookmarkStart w:id="8" w:name="_Toc409771580"/>
      <w:bookmarkStart w:id="9" w:name="_Toc423086426"/>
      <w:r>
        <w:t>Our</w:t>
      </w:r>
      <w:r w:rsidR="00AE2FC7" w:rsidRPr="0053090B">
        <w:t xml:space="preserve"> role</w:t>
      </w:r>
      <w:bookmarkEnd w:id="7"/>
      <w:bookmarkEnd w:id="8"/>
      <w:bookmarkEnd w:id="9"/>
    </w:p>
    <w:p w:rsidR="00AE2FC7" w:rsidRPr="0053090B" w:rsidRDefault="00AE2FC7" w:rsidP="00AE2FC7">
      <w:r w:rsidRPr="0053090B">
        <w:t>The Australian Energy Regulator (AER) is responsible for the economic regulation of electricity networks in the National Electricity Market (NEM). This</w:t>
      </w:r>
      <w:r w:rsidR="00520362">
        <w:t xml:space="preserve"> role</w:t>
      </w:r>
      <w:r w:rsidRPr="0053090B">
        <w:t xml:space="preserve"> includes compliance monitoring, reporting and enforcement of </w:t>
      </w:r>
      <w:r w:rsidR="00520362">
        <w:t>our</w:t>
      </w:r>
      <w:r w:rsidR="00520362" w:rsidRPr="0053090B">
        <w:t xml:space="preserve"> </w:t>
      </w:r>
      <w:r w:rsidRPr="0053090B">
        <w:t xml:space="preserve">pricing determinations. In carrying out these functions, </w:t>
      </w:r>
      <w:r>
        <w:t>we</w:t>
      </w:r>
      <w:r w:rsidRPr="0053090B">
        <w:t xml:space="preserve"> collect </w:t>
      </w:r>
      <w:r w:rsidR="00577DBA" w:rsidRPr="0053090B">
        <w:t xml:space="preserve">annually </w:t>
      </w:r>
      <w:r w:rsidRPr="0053090B">
        <w:t xml:space="preserve">a wide range of regulatory, financial and operational information from distribution network service providers (DNSPs). </w:t>
      </w:r>
      <w:r w:rsidR="00520362">
        <w:t>We use this information to</w:t>
      </w:r>
      <w:r w:rsidRPr="0053090B">
        <w:t>:</w:t>
      </w:r>
    </w:p>
    <w:p w:rsidR="00AE2FC7" w:rsidRPr="0053090B" w:rsidRDefault="00AE2FC7" w:rsidP="00F5379B">
      <w:pPr>
        <w:pStyle w:val="ListBullet"/>
      </w:pPr>
      <w:r w:rsidRPr="0053090B">
        <w:t>monitor the DNSPs' compliance with aspects of the</w:t>
      </w:r>
      <w:r w:rsidR="00520362">
        <w:t>ir</w:t>
      </w:r>
      <w:r w:rsidRPr="0053090B">
        <w:t xml:space="preserve"> distribution determination</w:t>
      </w:r>
    </w:p>
    <w:p w:rsidR="00AE2FC7" w:rsidRPr="0053090B" w:rsidRDefault="00AE2FC7" w:rsidP="00F5379B">
      <w:pPr>
        <w:pStyle w:val="ListBullet"/>
      </w:pPr>
      <w:r w:rsidRPr="0053090B">
        <w:t>monitor actual outcomes against</w:t>
      </w:r>
      <w:r w:rsidR="00520362">
        <w:t xml:space="preserve"> the</w:t>
      </w:r>
      <w:r w:rsidRPr="0053090B">
        <w:t xml:space="preserve"> forecasts in a </w:t>
      </w:r>
      <w:r w:rsidR="00520362">
        <w:t xml:space="preserve">DNSP's </w:t>
      </w:r>
      <w:r w:rsidRPr="0053090B">
        <w:t>distribution determination</w:t>
      </w:r>
    </w:p>
    <w:p w:rsidR="00AE2FC7" w:rsidRPr="0053090B" w:rsidRDefault="00AE2FC7" w:rsidP="00F5379B">
      <w:pPr>
        <w:pStyle w:val="ListBullet"/>
      </w:pPr>
      <w:r w:rsidRPr="0053090B">
        <w:t>prepar</w:t>
      </w:r>
      <w:r w:rsidR="00520362">
        <w:t>e</w:t>
      </w:r>
      <w:r w:rsidRPr="0053090B">
        <w:t xml:space="preserve"> for </w:t>
      </w:r>
      <w:r w:rsidR="0004712E">
        <w:t>a</w:t>
      </w:r>
      <w:r w:rsidR="0004712E" w:rsidRPr="0053090B">
        <w:t xml:space="preserve"> </w:t>
      </w:r>
      <w:r w:rsidRPr="0053090B">
        <w:t>DNSP</w:t>
      </w:r>
      <w:r w:rsidR="00520362">
        <w:t>'</w:t>
      </w:r>
      <w:r w:rsidRPr="0053090B">
        <w:t>s next distribution determination</w:t>
      </w:r>
    </w:p>
    <w:p w:rsidR="00AE2FC7" w:rsidRPr="0053090B" w:rsidRDefault="00AE2FC7" w:rsidP="00F5379B">
      <w:pPr>
        <w:pStyle w:val="ListBullet"/>
      </w:pPr>
      <w:proofErr w:type="gramStart"/>
      <w:r w:rsidRPr="0053090B">
        <w:t>report</w:t>
      </w:r>
      <w:proofErr w:type="gramEnd"/>
      <w:r w:rsidRPr="0053090B">
        <w:t xml:space="preserve"> on a DNSP's financial and operational performance. </w:t>
      </w:r>
    </w:p>
    <w:p w:rsidR="00AE2FC7" w:rsidRPr="0053090B" w:rsidRDefault="00AE2FC7" w:rsidP="00B4372B">
      <w:pPr>
        <w:pStyle w:val="Heading2"/>
      </w:pPr>
      <w:bookmarkStart w:id="10" w:name="_Toc409009956"/>
      <w:bookmarkStart w:id="11" w:name="_Toc409771581"/>
      <w:bookmarkStart w:id="12" w:name="_Toc423086427"/>
      <w:r w:rsidRPr="0053090B">
        <w:t>Priorities and objectives of performance reporting</w:t>
      </w:r>
      <w:bookmarkEnd w:id="10"/>
      <w:bookmarkEnd w:id="11"/>
      <w:bookmarkEnd w:id="12"/>
    </w:p>
    <w:p w:rsidR="00AE2FC7" w:rsidRPr="0053090B" w:rsidRDefault="00AE2FC7" w:rsidP="00AE2FC7">
      <w:r w:rsidRPr="0053090B">
        <w:t xml:space="preserve">In April 2011, </w:t>
      </w:r>
      <w:r>
        <w:t>we</w:t>
      </w:r>
      <w:r w:rsidRPr="0053090B">
        <w:t xml:space="preserve"> published </w:t>
      </w:r>
      <w:r w:rsidR="00443A5D">
        <w:t>our</w:t>
      </w:r>
      <w:r w:rsidRPr="0053090B">
        <w:t xml:space="preserve"> statement of approach to the priorities and objectives of electricity network service providers (NSP) performance reports. </w:t>
      </w:r>
      <w:r>
        <w:t>Our</w:t>
      </w:r>
      <w:r w:rsidRPr="0053090B">
        <w:t xml:space="preserve"> objectives in publishing network performance reports are to educate stakeholders, promote transparency, and to enhance accountability. </w:t>
      </w:r>
      <w:r w:rsidR="00520362">
        <w:t>In this way the reports</w:t>
      </w:r>
      <w:r w:rsidRPr="0053090B">
        <w:t xml:space="preserve"> act as an incentive </w:t>
      </w:r>
      <w:r w:rsidR="00520362">
        <w:t xml:space="preserve">for NSPs </w:t>
      </w:r>
      <w:r w:rsidRPr="0053090B">
        <w:t xml:space="preserve">to improve performance. </w:t>
      </w:r>
    </w:p>
    <w:p w:rsidR="00AE2FC7" w:rsidRPr="0053090B" w:rsidRDefault="00520362" w:rsidP="00AE2FC7">
      <w:r>
        <w:t>For us</w:t>
      </w:r>
      <w:r w:rsidRPr="0053090B">
        <w:t xml:space="preserve"> </w:t>
      </w:r>
      <w:r w:rsidR="00B4372B">
        <w:t xml:space="preserve">to </w:t>
      </w:r>
      <w:r w:rsidR="00AE2FC7" w:rsidRPr="0053090B">
        <w:t>achieve these objectives</w:t>
      </w:r>
      <w:r>
        <w:t>,</w:t>
      </w:r>
      <w:r w:rsidR="00AE2FC7" w:rsidRPr="0053090B">
        <w:t xml:space="preserve"> the priorities of network performance reporting are to</w:t>
      </w:r>
      <w:r>
        <w:t xml:space="preserve"> report</w:t>
      </w:r>
      <w:r w:rsidR="00AE2FC7" w:rsidRPr="0053090B">
        <w:t>:</w:t>
      </w:r>
      <w:r w:rsidR="00182EB2">
        <w:rPr>
          <w:rStyle w:val="FootnoteReference"/>
        </w:rPr>
        <w:footnoteReference w:id="2"/>
      </w:r>
      <w:r w:rsidR="00AE2FC7" w:rsidRPr="0053090B">
        <w:t xml:space="preserve"> </w:t>
      </w:r>
    </w:p>
    <w:p w:rsidR="00AE2FC7" w:rsidRPr="0053090B" w:rsidRDefault="00AE2FC7" w:rsidP="00F5379B">
      <w:pPr>
        <w:pStyle w:val="ListBullet"/>
      </w:pPr>
      <w:r w:rsidRPr="0053090B">
        <w:t xml:space="preserve">the NSPs' compliance with approved cost allocation methods, and </w:t>
      </w:r>
      <w:r w:rsidR="00B8663F">
        <w:t xml:space="preserve">with </w:t>
      </w:r>
      <w:r w:rsidRPr="0053090B">
        <w:t>elements of the</w:t>
      </w:r>
      <w:r w:rsidR="00B8663F">
        <w:t>ir</w:t>
      </w:r>
      <w:r w:rsidRPr="0053090B">
        <w:t xml:space="preserve"> regulatory determination </w:t>
      </w:r>
      <w:r w:rsidR="00B8663F">
        <w:t>(</w:t>
      </w:r>
      <w:r w:rsidRPr="0053090B">
        <w:t>including service standards and incentive schemes</w:t>
      </w:r>
      <w:r w:rsidR="00B8663F">
        <w:t>)</w:t>
      </w:r>
    </w:p>
    <w:p w:rsidR="00AE2FC7" w:rsidRPr="0053090B" w:rsidRDefault="00AE2FC7" w:rsidP="00F5379B">
      <w:pPr>
        <w:pStyle w:val="ListBullet"/>
      </w:pPr>
      <w:r w:rsidRPr="0053090B">
        <w:t xml:space="preserve">the NSPs’ forecast and actual outputs </w:t>
      </w:r>
      <w:r w:rsidR="00B8663F">
        <w:t>(</w:t>
      </w:r>
      <w:r w:rsidRPr="0053090B">
        <w:t xml:space="preserve">including measures of network </w:t>
      </w:r>
      <w:r w:rsidR="00B8663F">
        <w:t>use</w:t>
      </w:r>
      <w:r w:rsidR="00B8663F" w:rsidRPr="0053090B">
        <w:t xml:space="preserve"> </w:t>
      </w:r>
      <w:r w:rsidRPr="0053090B">
        <w:t>and asset age</w:t>
      </w:r>
      <w:r w:rsidR="00B8663F">
        <w:t>)</w:t>
      </w:r>
      <w:r w:rsidRPr="0053090B">
        <w:t xml:space="preserve">, to identify areas of NSP performance </w:t>
      </w:r>
      <w:r w:rsidR="00B8663F">
        <w:t>we</w:t>
      </w:r>
      <w:r w:rsidR="00B8663F" w:rsidRPr="0053090B">
        <w:t xml:space="preserve"> </w:t>
      </w:r>
      <w:r w:rsidRPr="0053090B">
        <w:t>may review</w:t>
      </w:r>
    </w:p>
    <w:p w:rsidR="00AE2FC7" w:rsidRPr="0053090B" w:rsidRDefault="00AE2FC7" w:rsidP="00F5379B">
      <w:pPr>
        <w:pStyle w:val="ListBullet"/>
      </w:pPr>
      <w:r w:rsidRPr="0053090B">
        <w:t>forecast and actual capital and operating expenditure, and reasons for differences between forecast and actual expenditures</w:t>
      </w:r>
    </w:p>
    <w:p w:rsidR="00AE2FC7" w:rsidRPr="0053090B" w:rsidRDefault="00AE2FC7" w:rsidP="00F5379B">
      <w:pPr>
        <w:pStyle w:val="ListBullet"/>
      </w:pPr>
      <w:r w:rsidRPr="0053090B">
        <w:t>benchmark expenditure information</w:t>
      </w:r>
      <w:r w:rsidR="00B8663F">
        <w:t>,</w:t>
      </w:r>
      <w:r w:rsidRPr="0053090B">
        <w:t xml:space="preserve"> to allow comparison of NSP performance over time and between NSPs </w:t>
      </w:r>
      <w:r w:rsidR="00B8663F">
        <w:t>(</w:t>
      </w:r>
      <w:r w:rsidRPr="0053090B">
        <w:t>including in different jurisdictions</w:t>
      </w:r>
      <w:r w:rsidR="00B8663F">
        <w:t>)</w:t>
      </w:r>
    </w:p>
    <w:p w:rsidR="00AE2FC7" w:rsidRPr="0053090B" w:rsidRDefault="00AE2FC7" w:rsidP="00F5379B">
      <w:pPr>
        <w:pStyle w:val="ListBullet"/>
      </w:pPr>
      <w:r w:rsidRPr="0053090B">
        <w:t>the NSPs’ network operations, including service standard levels and demand management information</w:t>
      </w:r>
    </w:p>
    <w:p w:rsidR="00AE2FC7" w:rsidRPr="0053090B" w:rsidRDefault="00AE2FC7" w:rsidP="00F5379B">
      <w:pPr>
        <w:pStyle w:val="ListBullet"/>
      </w:pPr>
      <w:r w:rsidRPr="0053090B">
        <w:t>comprehensive, accurate and reliable information, enabling stakeholders to analys</w:t>
      </w:r>
      <w:r w:rsidR="00B8663F">
        <w:t>e</w:t>
      </w:r>
      <w:r w:rsidRPr="0053090B">
        <w:t xml:space="preserve"> performance and have confidence in the results </w:t>
      </w:r>
    </w:p>
    <w:p w:rsidR="00AE2FC7" w:rsidRPr="0053090B" w:rsidRDefault="00AE2FC7" w:rsidP="00F5379B">
      <w:pPr>
        <w:pStyle w:val="ListBullet"/>
      </w:pPr>
      <w:r w:rsidRPr="0053090B">
        <w:t xml:space="preserve">information over time </w:t>
      </w:r>
      <w:r w:rsidR="00B8663F">
        <w:t>identifying</w:t>
      </w:r>
      <w:r w:rsidRPr="0053090B">
        <w:t xml:space="preserve"> trends and compari</w:t>
      </w:r>
      <w:r w:rsidR="00B8663F">
        <w:t>ng</w:t>
      </w:r>
      <w:r w:rsidRPr="0053090B">
        <w:t xml:space="preserve"> of changes </w:t>
      </w:r>
      <w:r w:rsidR="00B8663F" w:rsidRPr="0053090B">
        <w:t>in</w:t>
      </w:r>
      <w:r w:rsidR="00B8663F">
        <w:t xml:space="preserve"> NSPs' </w:t>
      </w:r>
      <w:r w:rsidRPr="0053090B">
        <w:t xml:space="preserve">performance, outputs and expenditures </w:t>
      </w:r>
    </w:p>
    <w:p w:rsidR="00AE2FC7" w:rsidRPr="0053090B" w:rsidRDefault="00AE2FC7" w:rsidP="00F5379B">
      <w:pPr>
        <w:pStyle w:val="ListBullet"/>
      </w:pPr>
      <w:r w:rsidRPr="0053090B">
        <w:t xml:space="preserve">the NSPs’ </w:t>
      </w:r>
      <w:r w:rsidR="002B35EB">
        <w:t>financial performance</w:t>
      </w:r>
      <w:r w:rsidRPr="0053090B">
        <w:t xml:space="preserve">, comparing </w:t>
      </w:r>
      <w:r w:rsidR="00B8663F">
        <w:t>NSPs</w:t>
      </w:r>
      <w:r w:rsidR="00B8663F" w:rsidRPr="0053090B">
        <w:t xml:space="preserve"> </w:t>
      </w:r>
      <w:r w:rsidRPr="0053090B">
        <w:t>within and across jurisdictions and</w:t>
      </w:r>
      <w:r w:rsidR="00B8663F">
        <w:t xml:space="preserve"> across</w:t>
      </w:r>
      <w:r w:rsidRPr="0053090B">
        <w:t xml:space="preserve"> regulatory control periods</w:t>
      </w:r>
    </w:p>
    <w:p w:rsidR="00AE2FC7" w:rsidRDefault="00AE2FC7" w:rsidP="00F5379B">
      <w:pPr>
        <w:pStyle w:val="ListBullet"/>
      </w:pPr>
      <w:proofErr w:type="gramStart"/>
      <w:r w:rsidRPr="0053090B">
        <w:lastRenderedPageBreak/>
        <w:t>information</w:t>
      </w:r>
      <w:proofErr w:type="gramEnd"/>
      <w:r w:rsidRPr="0053090B">
        <w:t xml:space="preserve"> that can be </w:t>
      </w:r>
      <w:r w:rsidR="00B8663F">
        <w:t>used</w:t>
      </w:r>
      <w:r w:rsidR="00B8663F" w:rsidRPr="0053090B">
        <w:t xml:space="preserve"> </w:t>
      </w:r>
      <w:r w:rsidRPr="0053090B">
        <w:t xml:space="preserve">for future distribution determinations </w:t>
      </w:r>
      <w:r w:rsidR="00B8663F">
        <w:t>(</w:t>
      </w:r>
      <w:r w:rsidRPr="0053090B">
        <w:t>including cost drivers, expenditure trends, service levels and variations in network performance</w:t>
      </w:r>
      <w:r w:rsidR="00B8663F">
        <w:t>)</w:t>
      </w:r>
      <w:r w:rsidRPr="0053090B">
        <w:t>.</w:t>
      </w:r>
    </w:p>
    <w:p w:rsidR="007164E8" w:rsidRPr="0053090B" w:rsidRDefault="007164E8" w:rsidP="007164E8">
      <w:r>
        <w:t>Our</w:t>
      </w:r>
      <w:r w:rsidRPr="0053090B">
        <w:t xml:space="preserve"> objective in monitoring </w:t>
      </w:r>
      <w:r>
        <w:t>the DNSPs</w:t>
      </w:r>
      <w:r w:rsidR="0004712E">
        <w:t>’</w:t>
      </w:r>
      <w:r>
        <w:t xml:space="preserve"> performance and </w:t>
      </w:r>
      <w:r w:rsidRPr="0053090B">
        <w:t>publishing th</w:t>
      </w:r>
      <w:r>
        <w:t xml:space="preserve">is report </w:t>
      </w:r>
      <w:r w:rsidRPr="0053090B">
        <w:t xml:space="preserve">is to increase accountability for performance through greater transparency. In particular, </w:t>
      </w:r>
      <w:r>
        <w:t>we</w:t>
      </w:r>
      <w:r w:rsidRPr="0053090B">
        <w:t xml:space="preserve"> aim to:</w:t>
      </w:r>
    </w:p>
    <w:p w:rsidR="007164E8" w:rsidRPr="0053090B" w:rsidRDefault="007164E8" w:rsidP="00F5379B">
      <w:pPr>
        <w:pStyle w:val="ListBullet"/>
      </w:pPr>
      <w:r w:rsidRPr="0053090B">
        <w:t>facilitate informed public input into future decisions by the AER</w:t>
      </w:r>
    </w:p>
    <w:p w:rsidR="007164E8" w:rsidRPr="0053090B" w:rsidRDefault="007164E8" w:rsidP="00F5379B">
      <w:pPr>
        <w:pStyle w:val="ListBullet"/>
      </w:pPr>
      <w:r w:rsidRPr="0053090B">
        <w:t xml:space="preserve">allow public scrutiny of </w:t>
      </w:r>
      <w:r>
        <w:t xml:space="preserve">DNSPs' </w:t>
      </w:r>
      <w:r w:rsidRPr="0053090B">
        <w:t>performance against distribution determinations</w:t>
      </w:r>
    </w:p>
    <w:p w:rsidR="007164E8" w:rsidRPr="0053090B" w:rsidRDefault="007164E8" w:rsidP="00F5379B">
      <w:pPr>
        <w:pStyle w:val="ListBullet"/>
      </w:pPr>
      <w:proofErr w:type="gramStart"/>
      <w:r w:rsidRPr="0053090B">
        <w:t>increase</w:t>
      </w:r>
      <w:proofErr w:type="gramEnd"/>
      <w:r w:rsidRPr="0053090B">
        <w:t xml:space="preserve"> transparency of the regulatory process and the outcomes that </w:t>
      </w:r>
      <w:r>
        <w:t xml:space="preserve">it </w:t>
      </w:r>
      <w:r w:rsidRPr="0053090B">
        <w:t>generate</w:t>
      </w:r>
      <w:r>
        <w:t>s</w:t>
      </w:r>
      <w:r w:rsidRPr="0053090B">
        <w:t>.</w:t>
      </w:r>
    </w:p>
    <w:p w:rsidR="00AE2FC7" w:rsidRPr="0053090B" w:rsidRDefault="00AE2FC7" w:rsidP="00B4372B">
      <w:pPr>
        <w:pStyle w:val="Heading2"/>
      </w:pPr>
      <w:bookmarkStart w:id="13" w:name="_Toc409009957"/>
      <w:bookmarkStart w:id="14" w:name="_Toc409771582"/>
      <w:bookmarkStart w:id="15" w:name="_Toc423086428"/>
      <w:r w:rsidRPr="0053090B">
        <w:t>Scope of the report</w:t>
      </w:r>
      <w:bookmarkEnd w:id="13"/>
      <w:bookmarkEnd w:id="14"/>
      <w:bookmarkEnd w:id="15"/>
    </w:p>
    <w:p w:rsidR="00AE2FC7" w:rsidRPr="0053090B" w:rsidRDefault="00B8663F" w:rsidP="00AE2FC7">
      <w:r>
        <w:t>This</w:t>
      </w:r>
      <w:r w:rsidR="00AE2FC7" w:rsidRPr="0053090B">
        <w:t xml:space="preserve"> report focuses primarily on the years 2011 to 2013</w:t>
      </w:r>
      <w:r w:rsidR="00A17D71">
        <w:t>,</w:t>
      </w:r>
      <w:r w:rsidR="00A17D71" w:rsidRPr="00A17D71">
        <w:t xml:space="preserve"> </w:t>
      </w:r>
      <w:r w:rsidR="00A17D71">
        <w:t>when</w:t>
      </w:r>
      <w:r w:rsidR="00A17D71" w:rsidRPr="0053090B">
        <w:t xml:space="preserve"> </w:t>
      </w:r>
      <w:r w:rsidR="00A17D71">
        <w:t>we</w:t>
      </w:r>
      <w:r w:rsidR="00A17D71" w:rsidRPr="0053090B">
        <w:t xml:space="preserve"> commenced regulation of all DNSPs in the NEM</w:t>
      </w:r>
      <w:r w:rsidR="00AE2FC7" w:rsidRPr="0053090B">
        <w:t xml:space="preserve">. </w:t>
      </w:r>
      <w:r w:rsidR="00AE2FC7">
        <w:t>We have</w:t>
      </w:r>
      <w:r w:rsidR="00AE2FC7" w:rsidRPr="0053090B">
        <w:t xml:space="preserve"> not previously published a report on the DNSPs' performance in these years. </w:t>
      </w:r>
      <w:r>
        <w:t>The report also</w:t>
      </w:r>
      <w:r w:rsidR="00AE2FC7" w:rsidRPr="0053090B">
        <w:t xml:space="preserve"> contains</w:t>
      </w:r>
      <w:r w:rsidR="00AE2FC7">
        <w:t xml:space="preserve"> some</w:t>
      </w:r>
      <w:r w:rsidR="00AE2FC7" w:rsidRPr="0053090B">
        <w:t xml:space="preserve"> information relating to the previous </w:t>
      </w:r>
      <w:r w:rsidR="00182EB2">
        <w:t>years</w:t>
      </w:r>
      <w:r w:rsidR="00AE2FC7" w:rsidRPr="0053090B">
        <w:t xml:space="preserve"> to provide trend information. </w:t>
      </w:r>
    </w:p>
    <w:p w:rsidR="00AE2FC7" w:rsidRPr="0053090B" w:rsidRDefault="00AE2FC7" w:rsidP="00AE2FC7">
      <w:r w:rsidRPr="0053090B">
        <w:t xml:space="preserve">The report provides stakeholders and interested parties with information and comparative data on the financial and service performance of DNSPs. In particular, </w:t>
      </w:r>
      <w:r w:rsidR="00B8663F">
        <w:t>it</w:t>
      </w:r>
      <w:r w:rsidRPr="0053090B">
        <w:t xml:space="preserve"> details:</w:t>
      </w:r>
    </w:p>
    <w:p w:rsidR="00AE2FC7" w:rsidRPr="0053090B" w:rsidRDefault="00AE2FC7" w:rsidP="00F5379B">
      <w:pPr>
        <w:pStyle w:val="ListBullet"/>
      </w:pPr>
      <w:r>
        <w:t>a</w:t>
      </w:r>
      <w:r w:rsidRPr="0053090B">
        <w:t xml:space="preserve">ctual energy delivered and maximum demand compared </w:t>
      </w:r>
      <w:r w:rsidR="00B8663F">
        <w:t>with</w:t>
      </w:r>
      <w:r w:rsidR="00B8663F" w:rsidRPr="0053090B">
        <w:t xml:space="preserve"> </w:t>
      </w:r>
      <w:r w:rsidRPr="0053090B">
        <w:t>forecasts</w:t>
      </w:r>
    </w:p>
    <w:p w:rsidR="00AE2FC7" w:rsidRPr="0053090B" w:rsidRDefault="00AE2FC7" w:rsidP="00F5379B">
      <w:pPr>
        <w:pStyle w:val="ListBullet"/>
      </w:pPr>
      <w:r w:rsidRPr="0053090B">
        <w:t xml:space="preserve">actual capital expenditures compared </w:t>
      </w:r>
      <w:r w:rsidR="00B8663F">
        <w:t>with</w:t>
      </w:r>
      <w:r w:rsidR="00B8663F" w:rsidRPr="0053090B">
        <w:t xml:space="preserve"> </w:t>
      </w:r>
      <w:r w:rsidRPr="0053090B">
        <w:t>forecasts</w:t>
      </w:r>
    </w:p>
    <w:p w:rsidR="00AE2FC7" w:rsidRPr="0053090B" w:rsidRDefault="00AE2FC7" w:rsidP="00F5379B">
      <w:pPr>
        <w:pStyle w:val="ListBullet"/>
      </w:pPr>
      <w:r w:rsidRPr="0053090B">
        <w:t xml:space="preserve">actual operating and maintenance expenditures compared </w:t>
      </w:r>
      <w:r w:rsidR="00B8663F">
        <w:t>with</w:t>
      </w:r>
      <w:r w:rsidR="00B8663F" w:rsidRPr="0053090B">
        <w:t xml:space="preserve"> </w:t>
      </w:r>
      <w:r w:rsidRPr="0053090B">
        <w:t>forecasts</w:t>
      </w:r>
    </w:p>
    <w:p w:rsidR="00AE2FC7" w:rsidRPr="0053090B" w:rsidRDefault="00AE2FC7" w:rsidP="00F5379B">
      <w:pPr>
        <w:pStyle w:val="ListBullet"/>
      </w:pPr>
      <w:r w:rsidRPr="0053090B">
        <w:t xml:space="preserve">actual revenues recovered from customers compared </w:t>
      </w:r>
      <w:r w:rsidR="00B8663F">
        <w:t>with</w:t>
      </w:r>
      <w:r w:rsidR="00B8663F" w:rsidRPr="0053090B">
        <w:t xml:space="preserve"> </w:t>
      </w:r>
      <w:r w:rsidRPr="0053090B">
        <w:t>forecasts</w:t>
      </w:r>
    </w:p>
    <w:p w:rsidR="00AE2FC7" w:rsidRPr="0053090B" w:rsidRDefault="00AE2FC7" w:rsidP="00F5379B">
      <w:pPr>
        <w:pStyle w:val="ListBullet"/>
      </w:pPr>
      <w:r w:rsidRPr="0053090B">
        <w:t xml:space="preserve">actual regulatory asset base </w:t>
      </w:r>
      <w:r w:rsidR="00F5379B">
        <w:t xml:space="preserve">(RAB) </w:t>
      </w:r>
      <w:r w:rsidRPr="0053090B">
        <w:t xml:space="preserve">compared </w:t>
      </w:r>
      <w:r w:rsidR="00B8663F">
        <w:t>with the</w:t>
      </w:r>
      <w:r w:rsidR="00B8663F" w:rsidRPr="0053090B">
        <w:t xml:space="preserve"> </w:t>
      </w:r>
      <w:r w:rsidRPr="0053090B">
        <w:t>forecast</w:t>
      </w:r>
    </w:p>
    <w:p w:rsidR="00AE2FC7" w:rsidRPr="0053090B" w:rsidRDefault="00AE2FC7" w:rsidP="00F5379B">
      <w:pPr>
        <w:pStyle w:val="ListBullet"/>
      </w:pPr>
      <w:proofErr w:type="gramStart"/>
      <w:r w:rsidRPr="0053090B">
        <w:t>network</w:t>
      </w:r>
      <w:proofErr w:type="gramEnd"/>
      <w:r w:rsidRPr="0053090B">
        <w:t xml:space="preserve"> reliability outcomes compared </w:t>
      </w:r>
      <w:r w:rsidR="00B8663F">
        <w:t>with</w:t>
      </w:r>
      <w:r w:rsidR="00B8663F" w:rsidRPr="0053090B">
        <w:t xml:space="preserve"> </w:t>
      </w:r>
      <w:r w:rsidRPr="0053090B">
        <w:t>established targets.</w:t>
      </w:r>
    </w:p>
    <w:p w:rsidR="00AE2FC7" w:rsidRDefault="00AE2FC7" w:rsidP="00AE2FC7">
      <w:r>
        <w:t xml:space="preserve">The report also provides information on individual businesses earnings </w:t>
      </w:r>
      <w:r w:rsidR="00B8663F">
        <w:t>for</w:t>
      </w:r>
      <w:r>
        <w:t xml:space="preserve"> th</w:t>
      </w:r>
      <w:r w:rsidR="00B8663F">
        <w:t>re</w:t>
      </w:r>
      <w:r>
        <w:t>e years</w:t>
      </w:r>
      <w:r w:rsidR="00B8663F">
        <w:t>,</w:t>
      </w:r>
      <w:r>
        <w:t xml:space="preserve"> 2011</w:t>
      </w:r>
      <w:r w:rsidR="007A3240">
        <w:t>–</w:t>
      </w:r>
      <w:r>
        <w:t xml:space="preserve">2013. However, we do not present comparative data on earnings </w:t>
      </w:r>
      <w:r w:rsidR="00B8663F">
        <w:t xml:space="preserve">because </w:t>
      </w:r>
      <w:r w:rsidR="00F5379B">
        <w:t xml:space="preserve">the </w:t>
      </w:r>
      <w:r w:rsidR="00B8663F">
        <w:t xml:space="preserve">data </w:t>
      </w:r>
      <w:r w:rsidR="00F5379B">
        <w:t>is</w:t>
      </w:r>
      <w:r w:rsidR="00B8663F">
        <w:t xml:space="preserve"> inconsistent across</w:t>
      </w:r>
      <w:r>
        <w:t xml:space="preserve"> the DNSPs, and </w:t>
      </w:r>
      <w:r w:rsidR="00B8663F">
        <w:t>across</w:t>
      </w:r>
      <w:r>
        <w:t xml:space="preserve"> years. We intend to revise the annual reporting requirements to improve our ability to report on the</w:t>
      </w:r>
      <w:r w:rsidR="00B8663F">
        <w:t xml:space="preserve"> </w:t>
      </w:r>
      <w:r>
        <w:t>DNSPs</w:t>
      </w:r>
      <w:r w:rsidR="002A7C83">
        <w:t>'</w:t>
      </w:r>
      <w:r w:rsidR="00577DBA">
        <w:t xml:space="preserve"> future</w:t>
      </w:r>
      <w:r>
        <w:t xml:space="preserve"> financial performance.</w:t>
      </w:r>
    </w:p>
    <w:p w:rsidR="00AE2FC7" w:rsidRPr="0053090B" w:rsidRDefault="00AE2FC7" w:rsidP="00B4372B">
      <w:pPr>
        <w:pStyle w:val="Heading2"/>
      </w:pPr>
      <w:bookmarkStart w:id="16" w:name="_Toc409009958"/>
      <w:bookmarkStart w:id="17" w:name="_Toc409771583"/>
      <w:bookmarkStart w:id="18" w:name="_Toc423086429"/>
      <w:r w:rsidRPr="0053090B">
        <w:t>Sources of information</w:t>
      </w:r>
      <w:bookmarkEnd w:id="16"/>
      <w:bookmarkEnd w:id="17"/>
      <w:bookmarkEnd w:id="18"/>
    </w:p>
    <w:p w:rsidR="00AE2FC7" w:rsidRPr="0053090B" w:rsidRDefault="007164E8" w:rsidP="00AE2FC7">
      <w:r>
        <w:t xml:space="preserve">The </w:t>
      </w:r>
      <w:r w:rsidR="00AE2FC7">
        <w:t>DNSPs</w:t>
      </w:r>
      <w:r w:rsidR="00AE2FC7" w:rsidRPr="0053090B">
        <w:t xml:space="preserve"> </w:t>
      </w:r>
      <w:r>
        <w:t>must</w:t>
      </w:r>
      <w:r w:rsidR="00AE2FC7" w:rsidRPr="0053090B">
        <w:t xml:space="preserve"> submit financial and non</w:t>
      </w:r>
      <w:r w:rsidR="007A3240">
        <w:t>–</w:t>
      </w:r>
      <w:r w:rsidR="00AE2FC7" w:rsidRPr="0053090B">
        <w:t>financial information in accordance with annual reporting regulatory information notices (RIN</w:t>
      </w:r>
      <w:r>
        <w:t>s</w:t>
      </w:r>
      <w:r w:rsidR="00AE2FC7" w:rsidRPr="0053090B">
        <w:t xml:space="preserve">). The </w:t>
      </w:r>
      <w:r w:rsidR="00E81945">
        <w:t>A</w:t>
      </w:r>
      <w:r w:rsidR="00AE2FC7" w:rsidRPr="0053090B">
        <w:t xml:space="preserve">nnual </w:t>
      </w:r>
      <w:r w:rsidR="00E81945">
        <w:t>R</w:t>
      </w:r>
      <w:r w:rsidR="00AE2FC7" w:rsidRPr="0053090B">
        <w:t xml:space="preserve">eporting RINs </w:t>
      </w:r>
      <w:r>
        <w:t>were</w:t>
      </w:r>
      <w:r w:rsidR="00AE2FC7" w:rsidRPr="0053090B">
        <w:t xml:space="preserve"> the main source of data for this report, particularly in relation to actual outcomes. </w:t>
      </w:r>
      <w:r>
        <w:t>We sourced f</w:t>
      </w:r>
      <w:r w:rsidR="00AE2FC7" w:rsidRPr="0053090B">
        <w:t xml:space="preserve">orecast information from </w:t>
      </w:r>
      <w:r w:rsidR="00AE2FC7">
        <w:t>our</w:t>
      </w:r>
      <w:r w:rsidR="00AE2FC7" w:rsidRPr="0053090B">
        <w:t xml:space="preserve"> distribution determinations, incorporating </w:t>
      </w:r>
      <w:r>
        <w:t xml:space="preserve">any </w:t>
      </w:r>
      <w:r w:rsidR="00AE2FC7" w:rsidRPr="0053090B">
        <w:t>adjustments made as the result of Australian Competition Tribunal (Tribunal) decisions</w:t>
      </w:r>
      <w:r>
        <w:t>, or cost pass through decisions</w:t>
      </w:r>
      <w:r w:rsidR="00AE2FC7" w:rsidRPr="0053090B">
        <w:t xml:space="preserve">.  </w:t>
      </w:r>
    </w:p>
    <w:p w:rsidR="00AE2FC7" w:rsidRPr="0053090B" w:rsidRDefault="00AE2FC7" w:rsidP="00AE2FC7">
      <w:r w:rsidRPr="0053090B">
        <w:t>Other sources of information include</w:t>
      </w:r>
      <w:r w:rsidR="007164E8">
        <w:t>d</w:t>
      </w:r>
      <w:r w:rsidRPr="0053090B">
        <w:t>:</w:t>
      </w:r>
    </w:p>
    <w:p w:rsidR="00AE2FC7" w:rsidRPr="0053090B" w:rsidRDefault="00AE2FC7" w:rsidP="00F5379B">
      <w:pPr>
        <w:pStyle w:val="ListBullet"/>
      </w:pPr>
      <w:r w:rsidRPr="0053090B">
        <w:t>revenue proposals</w:t>
      </w:r>
      <w:r w:rsidR="007164E8" w:rsidRPr="007164E8">
        <w:t xml:space="preserve"> </w:t>
      </w:r>
      <w:r w:rsidR="007164E8">
        <w:t xml:space="preserve">DNSPs </w:t>
      </w:r>
      <w:r w:rsidRPr="0053090B">
        <w:t>submitted to the AER</w:t>
      </w:r>
    </w:p>
    <w:p w:rsidR="00AE2FC7" w:rsidRPr="0053090B" w:rsidRDefault="00AE2FC7" w:rsidP="00F5379B">
      <w:pPr>
        <w:pStyle w:val="ListBullet"/>
      </w:pPr>
      <w:r w:rsidRPr="0053090B">
        <w:t>regulatory accounts from jurisdictional regulators</w:t>
      </w:r>
    </w:p>
    <w:p w:rsidR="00AE2FC7" w:rsidRPr="0053090B" w:rsidRDefault="00AE2FC7" w:rsidP="00F5379B">
      <w:pPr>
        <w:pStyle w:val="ListBullet"/>
      </w:pPr>
      <w:proofErr w:type="gramStart"/>
      <w:r w:rsidRPr="0053090B">
        <w:t>economic</w:t>
      </w:r>
      <w:proofErr w:type="gramEnd"/>
      <w:r w:rsidRPr="0053090B">
        <w:t xml:space="preserve"> benchmarking and category analysis RIN responses</w:t>
      </w:r>
      <w:r w:rsidR="007164E8">
        <w:t xml:space="preserve"> DNSPs submitted to the AER</w:t>
      </w:r>
      <w:r w:rsidRPr="0053090B">
        <w:t>.</w:t>
      </w:r>
    </w:p>
    <w:p w:rsidR="00AE2FC7" w:rsidRPr="0053090B" w:rsidRDefault="00AE2FC7" w:rsidP="00B4372B">
      <w:pPr>
        <w:pStyle w:val="Heading2"/>
      </w:pPr>
      <w:bookmarkStart w:id="19" w:name="_Toc409009959"/>
      <w:bookmarkStart w:id="20" w:name="_Toc409771584"/>
      <w:bookmarkStart w:id="21" w:name="_Toc423086430"/>
      <w:r w:rsidRPr="0053090B">
        <w:lastRenderedPageBreak/>
        <w:t>Presentation of data</w:t>
      </w:r>
      <w:bookmarkEnd w:id="19"/>
      <w:bookmarkEnd w:id="20"/>
      <w:bookmarkEnd w:id="21"/>
      <w:r w:rsidRPr="0053090B">
        <w:t xml:space="preserve"> </w:t>
      </w:r>
    </w:p>
    <w:p w:rsidR="00AE2FC7" w:rsidRPr="0053090B" w:rsidRDefault="00AE2FC7" w:rsidP="00AE2FC7">
      <w:r w:rsidRPr="0053090B">
        <w:t xml:space="preserve">The following </w:t>
      </w:r>
      <w:r>
        <w:t>information about the data in this report will assist in any analysis or interpretation</w:t>
      </w:r>
      <w:r w:rsidRPr="0053090B">
        <w:t>.</w:t>
      </w:r>
    </w:p>
    <w:p w:rsidR="00AE2FC7" w:rsidRPr="007164E8" w:rsidRDefault="00AE2FC7" w:rsidP="00B4372B">
      <w:pPr>
        <w:pStyle w:val="Heading3"/>
      </w:pPr>
      <w:bookmarkStart w:id="22" w:name="_Toc423008318"/>
      <w:bookmarkStart w:id="23" w:name="_Toc423008924"/>
      <w:bookmarkStart w:id="24" w:name="_Toc423086431"/>
      <w:r w:rsidRPr="007164E8">
        <w:t>Forecast figures</w:t>
      </w:r>
      <w:bookmarkEnd w:id="22"/>
      <w:bookmarkEnd w:id="23"/>
      <w:bookmarkEnd w:id="24"/>
    </w:p>
    <w:p w:rsidR="00AE2FC7" w:rsidRPr="0053090B" w:rsidRDefault="007164E8" w:rsidP="00AE2FC7">
      <w:r w:rsidRPr="0053090B">
        <w:t xml:space="preserve">This </w:t>
      </w:r>
      <w:r w:rsidR="00AE2FC7" w:rsidRPr="0053090B">
        <w:t xml:space="preserve">report </w:t>
      </w:r>
      <w:r>
        <w:t xml:space="preserve">compares </w:t>
      </w:r>
      <w:r w:rsidR="00AE2FC7" w:rsidRPr="0053090B">
        <w:t xml:space="preserve">actual expenditures and revenues </w:t>
      </w:r>
      <w:r>
        <w:t>with the</w:t>
      </w:r>
      <w:r w:rsidR="00AE2FC7" w:rsidRPr="0053090B">
        <w:t xml:space="preserve"> forecasts in </w:t>
      </w:r>
      <w:r w:rsidR="00443A5D">
        <w:t>our</w:t>
      </w:r>
      <w:r w:rsidR="00AE2FC7" w:rsidRPr="0053090B">
        <w:t xml:space="preserve"> distribution determinations. To enhance comparability, </w:t>
      </w:r>
      <w:r>
        <w:t xml:space="preserve">we present </w:t>
      </w:r>
      <w:r w:rsidR="00AE2FC7" w:rsidRPr="0053090B">
        <w:t>all financial figures in December 2012 dollars. For example,</w:t>
      </w:r>
      <w:r>
        <w:t xml:space="preserve"> we removed</w:t>
      </w:r>
      <w:r w:rsidR="00AE2FC7" w:rsidRPr="0053090B">
        <w:t xml:space="preserve"> forecast inflation from all forecast figures to deflate them to a base year dollar amount. </w:t>
      </w:r>
      <w:r>
        <w:t>We</w:t>
      </w:r>
      <w:r w:rsidR="00AE2FC7" w:rsidRPr="0053090B">
        <w:t xml:space="preserve"> then inflated/deflated</w:t>
      </w:r>
      <w:r>
        <w:t xml:space="preserve"> these amounts</w:t>
      </w:r>
      <w:r w:rsidR="00AE2FC7" w:rsidRPr="0053090B">
        <w:t xml:space="preserve"> to December 2012 dollars using the consumer price index</w:t>
      </w:r>
      <w:r w:rsidR="00F5379B">
        <w:t xml:space="preserve"> (CPI)</w:t>
      </w:r>
      <w:r w:rsidR="00AE2FC7" w:rsidRPr="0053090B">
        <w:t>.</w:t>
      </w:r>
    </w:p>
    <w:p w:rsidR="00AE2FC7" w:rsidRPr="0053090B" w:rsidRDefault="00AE2FC7" w:rsidP="00B4372B">
      <w:pPr>
        <w:pStyle w:val="Heading3"/>
      </w:pPr>
      <w:bookmarkStart w:id="25" w:name="_Toc423008319"/>
      <w:bookmarkStart w:id="26" w:name="_Toc423008925"/>
      <w:bookmarkStart w:id="27" w:name="_Toc423086432"/>
      <w:r w:rsidRPr="0053090B">
        <w:t>Colour coding of charts</w:t>
      </w:r>
      <w:bookmarkEnd w:id="25"/>
      <w:bookmarkEnd w:id="26"/>
      <w:bookmarkEnd w:id="27"/>
    </w:p>
    <w:p w:rsidR="00AE2FC7" w:rsidRDefault="007164E8" w:rsidP="00AE2FC7">
      <w:r>
        <w:t>In all figures we</w:t>
      </w:r>
      <w:r w:rsidR="00AE2FC7" w:rsidRPr="0053090B">
        <w:t xml:space="preserve"> have us</w:t>
      </w:r>
      <w:r>
        <w:t>ed</w:t>
      </w:r>
      <w:r w:rsidR="00AE2FC7" w:rsidRPr="0053090B">
        <w:t xml:space="preserve"> colour coding to indicate the jurisdiction in which the </w:t>
      </w:r>
      <w:r w:rsidR="00AE2FC7">
        <w:t>DNSP</w:t>
      </w:r>
      <w:r w:rsidR="00AE2FC7" w:rsidRPr="0053090B">
        <w:t xml:space="preserve"> operates.</w:t>
      </w:r>
    </w:p>
    <w:p w:rsidR="00AE2FC7" w:rsidRDefault="00AE2FC7" w:rsidP="00AE2FC7">
      <w:r w:rsidRPr="00AE2FC7">
        <w:rPr>
          <w:noProof/>
          <w:lang w:eastAsia="en-AU"/>
        </w:rPr>
        <w:drawing>
          <wp:inline distT="0" distB="0" distL="0" distR="0" wp14:anchorId="1BEE33E9" wp14:editId="1C4A365B">
            <wp:extent cx="3816350" cy="3310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350" cy="3310255"/>
                    </a:xfrm>
                    <a:prstGeom prst="rect">
                      <a:avLst/>
                    </a:prstGeom>
                    <a:noFill/>
                  </pic:spPr>
                </pic:pic>
              </a:graphicData>
            </a:graphic>
          </wp:inline>
        </w:drawing>
      </w:r>
    </w:p>
    <w:p w:rsidR="00972551" w:rsidRPr="00972551" w:rsidRDefault="00972551" w:rsidP="00B4372B">
      <w:pPr>
        <w:pStyle w:val="Heading3"/>
      </w:pPr>
      <w:bookmarkStart w:id="28" w:name="_Toc423008320"/>
      <w:bookmarkStart w:id="29" w:name="_Toc423008926"/>
      <w:bookmarkStart w:id="30" w:name="_Toc423086433"/>
      <w:r w:rsidRPr="00972551">
        <w:t>Financial year/calendar year</w:t>
      </w:r>
      <w:bookmarkEnd w:id="28"/>
      <w:bookmarkEnd w:id="29"/>
      <w:bookmarkEnd w:id="30"/>
    </w:p>
    <w:p w:rsidR="00972551" w:rsidRPr="00972551" w:rsidRDefault="00972551" w:rsidP="00972551">
      <w:r w:rsidRPr="00972551">
        <w:t xml:space="preserve">The Australian Capital Territory, New South Wales, Queensland, South Australian and Tasmanian DNSPs report on a financial year basis, whereas Victorian DNSPs report on a calendar year basis. For the purposes of this report any figures, tables or statements that compare both non–Victorian and Victorian DNSPs refer to the relevant calendar year for the Victorian DNSPs. The relevant financial year for the non–Victorian DNSPs ends in the calendar year (that is, 2013 relates to the 2012–13 financial year). However, figures and tables relating to only non–Victorian DNSPs show the relevant financial year. </w:t>
      </w:r>
    </w:p>
    <w:p w:rsidR="00AE2FC7" w:rsidRPr="00C12EE5" w:rsidRDefault="00AE2FC7" w:rsidP="00B4372B">
      <w:pPr>
        <w:pStyle w:val="Heading2"/>
      </w:pPr>
      <w:bookmarkStart w:id="31" w:name="_Toc423086434"/>
      <w:r w:rsidRPr="00C12EE5">
        <w:t>Structure of the report</w:t>
      </w:r>
      <w:bookmarkEnd w:id="31"/>
    </w:p>
    <w:p w:rsidR="00AE2FC7" w:rsidRPr="00C12EE5" w:rsidRDefault="00AE2FC7" w:rsidP="00AE2FC7">
      <w:r w:rsidRPr="00C12EE5">
        <w:t>The report is structured as follows:</w:t>
      </w:r>
    </w:p>
    <w:p w:rsidR="00AE2FC7" w:rsidRPr="00C12EE5" w:rsidRDefault="00AE2FC7" w:rsidP="00F5379B">
      <w:pPr>
        <w:pStyle w:val="ListBullet"/>
      </w:pPr>
      <w:r w:rsidRPr="00C12EE5">
        <w:lastRenderedPageBreak/>
        <w:t>Chapter 2 provides</w:t>
      </w:r>
      <w:r w:rsidR="00A17D71">
        <w:t xml:space="preserve"> aggregate</w:t>
      </w:r>
      <w:r w:rsidRPr="00C12EE5">
        <w:t xml:space="preserve"> information on the energy delivered, capital expenditure, operating expenditure, revenue and service performance of all DNSPs in the NEM. </w:t>
      </w:r>
    </w:p>
    <w:p w:rsidR="00AE2FC7" w:rsidRPr="00C12EE5" w:rsidRDefault="00AE2FC7" w:rsidP="00F5379B">
      <w:pPr>
        <w:pStyle w:val="ListBullet"/>
      </w:pPr>
      <w:r w:rsidRPr="00C12EE5">
        <w:t xml:space="preserve">Chapter 3 provides an overview of electricity distribution in the NEM, ownership of the DNSPs and key features of </w:t>
      </w:r>
      <w:r w:rsidR="00430061">
        <w:t>the</w:t>
      </w:r>
      <w:r w:rsidR="00430061" w:rsidRPr="00C12EE5">
        <w:t xml:space="preserve"> </w:t>
      </w:r>
      <w:r w:rsidRPr="00C12EE5">
        <w:t>networks.</w:t>
      </w:r>
    </w:p>
    <w:p w:rsidR="00AE2FC7" w:rsidRPr="00C12EE5" w:rsidRDefault="00AE2FC7" w:rsidP="00F5379B">
      <w:pPr>
        <w:pStyle w:val="ListBullet"/>
      </w:pPr>
      <w:r w:rsidRPr="00C12EE5">
        <w:t xml:space="preserve">Chapter 4 compares the DNSPs' actual energy delivered and maximum demand with </w:t>
      </w:r>
      <w:r w:rsidR="00DD4FC1">
        <w:t>our approved</w:t>
      </w:r>
      <w:r w:rsidRPr="00C12EE5">
        <w:t xml:space="preserve"> forecasts </w:t>
      </w:r>
      <w:r w:rsidR="00430061">
        <w:t>for</w:t>
      </w:r>
      <w:r w:rsidRPr="00C12EE5">
        <w:t xml:space="preserve"> 2011</w:t>
      </w:r>
      <w:r w:rsidR="007A3240">
        <w:t>–</w:t>
      </w:r>
      <w:r w:rsidRPr="00C12EE5">
        <w:t>13.</w:t>
      </w:r>
    </w:p>
    <w:p w:rsidR="00AE2FC7" w:rsidRPr="00C12EE5" w:rsidRDefault="00AE2FC7" w:rsidP="00F5379B">
      <w:pPr>
        <w:pStyle w:val="ListBullet"/>
      </w:pPr>
      <w:r w:rsidRPr="00C12EE5">
        <w:t xml:space="preserve">Chapter 5 compares the DNSPs' actual capital expenditure with </w:t>
      </w:r>
      <w:r w:rsidR="00DD4FC1">
        <w:t>our approved</w:t>
      </w:r>
      <w:r w:rsidRPr="00C12EE5">
        <w:t xml:space="preserve"> forecasts </w:t>
      </w:r>
      <w:r w:rsidR="00430061">
        <w:t>for</w:t>
      </w:r>
      <w:r w:rsidRPr="00C12EE5">
        <w:t xml:space="preserve"> 2011</w:t>
      </w:r>
      <w:r w:rsidR="007A3240">
        <w:t>–</w:t>
      </w:r>
      <w:r w:rsidRPr="00C12EE5">
        <w:t>13.</w:t>
      </w:r>
    </w:p>
    <w:p w:rsidR="00AE2FC7" w:rsidRPr="00C12EE5" w:rsidRDefault="00AE2FC7" w:rsidP="00F5379B">
      <w:pPr>
        <w:pStyle w:val="ListBullet"/>
      </w:pPr>
      <w:r w:rsidRPr="00C12EE5">
        <w:t xml:space="preserve">Chapter 6 compares the DNSPs' actual operating expenditure with </w:t>
      </w:r>
      <w:r w:rsidR="00DD4FC1">
        <w:t>our approved</w:t>
      </w:r>
      <w:r w:rsidRPr="00C12EE5">
        <w:t xml:space="preserve"> forecasts </w:t>
      </w:r>
      <w:r w:rsidR="00430061">
        <w:t>for</w:t>
      </w:r>
      <w:r w:rsidRPr="00C12EE5">
        <w:t xml:space="preserve"> 2011</w:t>
      </w:r>
      <w:r w:rsidR="007A3240">
        <w:t>–</w:t>
      </w:r>
      <w:r w:rsidRPr="00C12EE5">
        <w:t>13.</w:t>
      </w:r>
    </w:p>
    <w:p w:rsidR="00AE2FC7" w:rsidRPr="00C12EE5" w:rsidRDefault="00AE2FC7" w:rsidP="00F5379B">
      <w:pPr>
        <w:pStyle w:val="ListBullet"/>
      </w:pPr>
      <w:r w:rsidRPr="00C12EE5">
        <w:t xml:space="preserve">Chapter 7 compares the DNSPs' actual revenue with </w:t>
      </w:r>
      <w:r w:rsidR="00DD4FC1">
        <w:t>our approved</w:t>
      </w:r>
      <w:r w:rsidRPr="00C12EE5">
        <w:t xml:space="preserve"> revenue forecasts </w:t>
      </w:r>
      <w:r w:rsidR="00430061">
        <w:t>for</w:t>
      </w:r>
      <w:r w:rsidRPr="00C12EE5">
        <w:t xml:space="preserve"> 2011</w:t>
      </w:r>
      <w:r w:rsidR="007A3240">
        <w:t>–</w:t>
      </w:r>
      <w:r w:rsidRPr="00C12EE5">
        <w:t>13.</w:t>
      </w:r>
    </w:p>
    <w:p w:rsidR="00AE2FC7" w:rsidRPr="00C12EE5" w:rsidRDefault="00AE2FC7" w:rsidP="00F5379B">
      <w:pPr>
        <w:pStyle w:val="ListBullet"/>
      </w:pPr>
      <w:r w:rsidRPr="00C12EE5">
        <w:t xml:space="preserve">Chapter </w:t>
      </w:r>
      <w:r>
        <w:t>8</w:t>
      </w:r>
      <w:r w:rsidRPr="00C12EE5">
        <w:t xml:space="preserve"> compares the DNSPs' service performance with targets </w:t>
      </w:r>
      <w:r w:rsidR="00430061">
        <w:t>for</w:t>
      </w:r>
      <w:r w:rsidRPr="00C12EE5">
        <w:t xml:space="preserve"> 2011</w:t>
      </w:r>
      <w:r w:rsidR="007A3240">
        <w:t>–</w:t>
      </w:r>
      <w:r w:rsidRPr="00C12EE5">
        <w:t xml:space="preserve">13. </w:t>
      </w:r>
    </w:p>
    <w:p w:rsidR="00AE2FC7" w:rsidRPr="00C12EE5" w:rsidRDefault="00AE2FC7" w:rsidP="00F5379B">
      <w:pPr>
        <w:pStyle w:val="ListBullet"/>
      </w:pPr>
      <w:r w:rsidRPr="00C12EE5">
        <w:t xml:space="preserve">Chapter </w:t>
      </w:r>
      <w:r>
        <w:t>9</w:t>
      </w:r>
      <w:r w:rsidRPr="00C12EE5">
        <w:t xml:space="preserve"> provides detailed </w:t>
      </w:r>
      <w:r w:rsidR="00A17D71">
        <w:t>information</w:t>
      </w:r>
      <w:r>
        <w:t xml:space="preserve"> </w:t>
      </w:r>
      <w:r w:rsidR="00430061">
        <w:t xml:space="preserve">and commentary </w:t>
      </w:r>
      <w:r>
        <w:t>from</w:t>
      </w:r>
      <w:r w:rsidRPr="00C12EE5">
        <w:t xml:space="preserve"> each DNSP.</w:t>
      </w:r>
    </w:p>
    <w:p w:rsidR="00AE2FC7" w:rsidRPr="00C12EE5" w:rsidRDefault="00AE2FC7" w:rsidP="00B4372B">
      <w:pPr>
        <w:pStyle w:val="Heading2"/>
      </w:pPr>
      <w:bookmarkStart w:id="32" w:name="_Toc423086435"/>
      <w:r w:rsidRPr="00C12EE5">
        <w:t>Comments from interested parties</w:t>
      </w:r>
      <w:bookmarkEnd w:id="32"/>
    </w:p>
    <w:p w:rsidR="00AE2FC7" w:rsidRPr="00C12EE5" w:rsidRDefault="00430061" w:rsidP="00AE2FC7">
      <w:r>
        <w:t>We welcome c</w:t>
      </w:r>
      <w:r w:rsidRPr="00C12EE5">
        <w:t xml:space="preserve">omments </w:t>
      </w:r>
      <w:r>
        <w:t>on</w:t>
      </w:r>
      <w:r w:rsidR="00AE2FC7" w:rsidRPr="00C12EE5">
        <w:t xml:space="preserve"> this report</w:t>
      </w:r>
      <w:r>
        <w:t xml:space="preserve">. Interested parties </w:t>
      </w:r>
      <w:r w:rsidR="00AE2FC7" w:rsidRPr="00C12EE5">
        <w:t>can be submit</w:t>
      </w:r>
      <w:r>
        <w:t xml:space="preserve"> comments by</w:t>
      </w:r>
      <w:r w:rsidR="00AE2FC7" w:rsidRPr="00C12EE5">
        <w:t xml:space="preserve"> email to </w:t>
      </w:r>
      <w:hyperlink r:id="rId13" w:history="1">
        <w:r w:rsidR="00AE2FC7" w:rsidRPr="00A72134">
          <w:rPr>
            <w:rStyle w:val="Hyperlink"/>
          </w:rPr>
          <w:t>AERinquiry@aer.gov.au</w:t>
        </w:r>
      </w:hyperlink>
      <w:r w:rsidR="00AE2FC7">
        <w:t xml:space="preserve"> (marked Attn:</w:t>
      </w:r>
      <w:r w:rsidR="00AE2FC7" w:rsidRPr="00BD3DA3">
        <w:t xml:space="preserve"> </w:t>
      </w:r>
      <w:r w:rsidR="00AE2FC7" w:rsidRPr="00C12EE5">
        <w:t>General Manager, Finance and Reporting</w:t>
      </w:r>
      <w:r w:rsidR="00AE2FC7">
        <w:t>)</w:t>
      </w:r>
      <w:r w:rsidR="00AE2FC7" w:rsidRPr="00C12EE5">
        <w:t>, or by mail to:</w:t>
      </w:r>
    </w:p>
    <w:p w:rsidR="00AE2FC7" w:rsidRPr="00C12EE5" w:rsidRDefault="00AE2FC7" w:rsidP="00AE2FC7">
      <w:r w:rsidRPr="00C12EE5">
        <w:t>Warwick Anderson</w:t>
      </w:r>
    </w:p>
    <w:p w:rsidR="00AE2FC7" w:rsidRPr="00C12EE5" w:rsidRDefault="00AE2FC7" w:rsidP="00AE2FC7">
      <w:r w:rsidRPr="00C12EE5">
        <w:t>General Manager, Finance and Reporting</w:t>
      </w:r>
    </w:p>
    <w:p w:rsidR="00AE2FC7" w:rsidRPr="00C12EE5" w:rsidRDefault="00AE2FC7" w:rsidP="00AE2FC7">
      <w:r w:rsidRPr="00C12EE5">
        <w:t>Australian Energy Regulator</w:t>
      </w:r>
    </w:p>
    <w:p w:rsidR="00AE2FC7" w:rsidRDefault="00AE2FC7" w:rsidP="00AE2FC7">
      <w:r w:rsidRPr="00C12EE5">
        <w:t>GPO Box 313</w:t>
      </w:r>
      <w:r w:rsidR="002B35EB">
        <w:t>1</w:t>
      </w:r>
      <w:r w:rsidRPr="00C12EE5">
        <w:t>, Canberra, ACT 2601</w:t>
      </w:r>
    </w:p>
    <w:p w:rsidR="00AE2FC7" w:rsidRDefault="00AE2FC7" w:rsidP="00AE2FC7"/>
    <w:p w:rsidR="00AE2FC7" w:rsidRPr="00C12EE5" w:rsidRDefault="00AE2FC7" w:rsidP="00AE2FC7">
      <w:pPr>
        <w:pStyle w:val="Heading1"/>
      </w:pPr>
      <w:bookmarkStart w:id="33" w:name="_Toc409009960"/>
      <w:bookmarkStart w:id="34" w:name="_Toc409771585"/>
      <w:bookmarkStart w:id="35" w:name="_Toc423086436"/>
      <w:r w:rsidRPr="00C12EE5">
        <w:lastRenderedPageBreak/>
        <w:t>Overview</w:t>
      </w:r>
      <w:bookmarkEnd w:id="33"/>
      <w:bookmarkEnd w:id="34"/>
      <w:bookmarkEnd w:id="35"/>
    </w:p>
    <w:p w:rsidR="00AE2FC7" w:rsidRPr="00C12EE5" w:rsidRDefault="00AE2FC7" w:rsidP="00AE2FC7">
      <w:r w:rsidRPr="00C12EE5">
        <w:t>This chapter provides</w:t>
      </w:r>
      <w:r w:rsidR="00430061">
        <w:t xml:space="preserve"> aggregate</w:t>
      </w:r>
      <w:r w:rsidRPr="00C12EE5">
        <w:t xml:space="preserve"> information on energy delivered, capital expenditure, operating expenditure, revenue and service performance</w:t>
      </w:r>
      <w:r w:rsidR="00430061">
        <w:t>.</w:t>
      </w:r>
      <w:r w:rsidRPr="00C12EE5">
        <w:t xml:space="preserve"> </w:t>
      </w:r>
      <w:r w:rsidR="00430061">
        <w:t>The data</w:t>
      </w:r>
      <w:r w:rsidR="003A59E3">
        <w:t xml:space="preserve"> </w:t>
      </w:r>
      <w:r w:rsidR="00430061">
        <w:t xml:space="preserve">are </w:t>
      </w:r>
      <w:r w:rsidRPr="00C12EE5">
        <w:t>for all DNSPs in the NEM.</w:t>
      </w:r>
      <w:r w:rsidR="00430061">
        <w:t xml:space="preserve"> The data include a</w:t>
      </w:r>
      <w:r w:rsidRPr="00C12EE5">
        <w:t xml:space="preserve">mendments made to forecasts as </w:t>
      </w:r>
      <w:r w:rsidR="00430061">
        <w:t>a</w:t>
      </w:r>
      <w:r w:rsidR="00430061" w:rsidRPr="00C12EE5">
        <w:t xml:space="preserve"> </w:t>
      </w:r>
      <w:r w:rsidRPr="00C12EE5">
        <w:t>result of Tribunal orders or approved pass throughs</w:t>
      </w:r>
      <w:r w:rsidR="00430061">
        <w:t>.</w:t>
      </w:r>
      <w:r w:rsidR="00041634">
        <w:rPr>
          <w:rStyle w:val="FootnoteReference"/>
        </w:rPr>
        <w:footnoteReference w:id="3"/>
      </w:r>
      <w:r w:rsidRPr="00C12EE5">
        <w:t xml:space="preserve"> </w:t>
      </w:r>
    </w:p>
    <w:p w:rsidR="00AE2FC7" w:rsidRPr="00C12EE5" w:rsidRDefault="00430061" w:rsidP="00F5379B">
      <w:pPr>
        <w:pStyle w:val="Heading2"/>
      </w:pPr>
      <w:bookmarkStart w:id="36" w:name="_Toc409009961"/>
      <w:bookmarkStart w:id="37" w:name="_Toc409771586"/>
      <w:bookmarkStart w:id="38" w:name="_Toc423086437"/>
      <w:r>
        <w:t>Energy Delivered</w:t>
      </w:r>
      <w:bookmarkEnd w:id="36"/>
      <w:bookmarkEnd w:id="37"/>
      <w:bookmarkEnd w:id="38"/>
    </w:p>
    <w:p w:rsidR="00AE2FC7" w:rsidRPr="00C12EE5" w:rsidRDefault="00AE2FC7" w:rsidP="00A17D71">
      <w:pPr>
        <w:ind w:right="-113"/>
      </w:pPr>
      <w:r w:rsidRPr="00C12EE5">
        <w:t xml:space="preserve">In 2013, the </w:t>
      </w:r>
      <w:r w:rsidR="00445E56" w:rsidRPr="00C12EE5">
        <w:t xml:space="preserve">DNSPs delivered </w:t>
      </w:r>
      <w:r w:rsidRPr="00C12EE5">
        <w:t>approximately 143</w:t>
      </w:r>
      <w:r>
        <w:t> </w:t>
      </w:r>
      <w:r w:rsidRPr="00C12EE5">
        <w:t>terawatt hours (</w:t>
      </w:r>
      <w:proofErr w:type="spellStart"/>
      <w:r w:rsidRPr="00C12EE5">
        <w:t>TWh</w:t>
      </w:r>
      <w:proofErr w:type="spellEnd"/>
      <w:r w:rsidRPr="00C12EE5">
        <w:t>)</w:t>
      </w:r>
      <w:r w:rsidR="00A17D71">
        <w:t xml:space="preserve"> of energy</w:t>
      </w:r>
      <w:r w:rsidR="00445E56">
        <w:t xml:space="preserve"> (Figure 2-1)</w:t>
      </w:r>
      <w:r w:rsidRPr="00C12EE5">
        <w:t xml:space="preserve">, a </w:t>
      </w:r>
      <w:r w:rsidR="00445E56">
        <w:t xml:space="preserve">fall of </w:t>
      </w:r>
      <w:r w:rsidRPr="00C12EE5">
        <w:t xml:space="preserve">1.3 per cent from the previous year, and approximately 7.3 per cent below forecast. This </w:t>
      </w:r>
      <w:r w:rsidR="00445E56">
        <w:t>fall</w:t>
      </w:r>
      <w:r w:rsidR="00445E56" w:rsidRPr="00C12EE5">
        <w:t xml:space="preserve"> </w:t>
      </w:r>
      <w:r w:rsidRPr="00C12EE5">
        <w:t xml:space="preserve">continued a trend of declining electricity consumption since 2010. </w:t>
      </w:r>
    </w:p>
    <w:p w:rsidR="00AE2FC7" w:rsidRPr="00C12EE5" w:rsidRDefault="00AE2FC7" w:rsidP="00AE2FC7">
      <w:r w:rsidRPr="00C12EE5">
        <w:t>Over 2011</w:t>
      </w:r>
      <w:r w:rsidR="007A3240">
        <w:t>–</w:t>
      </w:r>
      <w:r w:rsidRPr="00C12EE5">
        <w:t xml:space="preserve">13, the </w:t>
      </w:r>
      <w:r w:rsidR="00445E56" w:rsidRPr="00C12EE5">
        <w:t>DNSPs</w:t>
      </w:r>
      <w:r w:rsidR="0004712E">
        <w:t>’</w:t>
      </w:r>
      <w:r w:rsidR="00445E56" w:rsidRPr="00C12EE5">
        <w:t xml:space="preserve"> deliver</w:t>
      </w:r>
      <w:r w:rsidR="00445E56">
        <w:t>y of</w:t>
      </w:r>
      <w:r w:rsidR="00445E56" w:rsidRPr="00C12EE5">
        <w:t xml:space="preserve"> </w:t>
      </w:r>
      <w:r w:rsidRPr="00C12EE5">
        <w:t xml:space="preserve">total energy </w:t>
      </w:r>
      <w:r w:rsidR="00445E56">
        <w:t xml:space="preserve">fell </w:t>
      </w:r>
      <w:r w:rsidRPr="00C12EE5">
        <w:t xml:space="preserve">by an annual average of 1.4 per cent. </w:t>
      </w:r>
      <w:r w:rsidR="00445E56">
        <w:t>It</w:t>
      </w:r>
      <w:r w:rsidRPr="00C12EE5">
        <w:t xml:space="preserve"> was 5.3 per cent lower than </w:t>
      </w:r>
      <w:r w:rsidR="00DD4FC1">
        <w:t>our approved</w:t>
      </w:r>
      <w:r w:rsidRPr="00C12EE5">
        <w:t xml:space="preserve"> forecast</w:t>
      </w:r>
      <w:r w:rsidR="00445E56">
        <w:t xml:space="preserve"> for the period</w:t>
      </w:r>
      <w:r w:rsidRPr="00C12EE5">
        <w:t xml:space="preserve">. </w:t>
      </w:r>
    </w:p>
    <w:p w:rsidR="00E9693C" w:rsidRDefault="00AE2FC7" w:rsidP="00972E3F">
      <w:pPr>
        <w:pStyle w:val="Caption"/>
      </w:pPr>
      <w:r>
        <w:t>Figure </w:t>
      </w:r>
      <w:r w:rsidRPr="00C12EE5">
        <w:t>2–1</w:t>
      </w:r>
      <w:r w:rsidRPr="00C12EE5">
        <w:tab/>
        <w:t>Total energy delivered by DNSPs in the NEM</w:t>
      </w:r>
    </w:p>
    <w:p w:rsidR="00AE2FC7" w:rsidRDefault="00E9693C" w:rsidP="00972E3F">
      <w:pPr>
        <w:pStyle w:val="Caption"/>
      </w:pPr>
      <w:r w:rsidRPr="00E9693C">
        <w:t xml:space="preserve"> </w:t>
      </w:r>
      <w:r w:rsidRPr="00E9693C">
        <w:rPr>
          <w:noProof/>
          <w:lang w:eastAsia="en-AU"/>
        </w:rPr>
        <w:drawing>
          <wp:inline distT="0" distB="0" distL="0" distR="0" wp14:anchorId="66140A30" wp14:editId="29D7B811">
            <wp:extent cx="4574381" cy="2752725"/>
            <wp:effectExtent l="0" t="0" r="0" b="0"/>
            <wp:docPr id="399" name="Chart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2FC7" w:rsidRPr="00C12EE5" w:rsidRDefault="00AE2FC7" w:rsidP="00F5379B">
      <w:pPr>
        <w:pStyle w:val="Heading2"/>
      </w:pPr>
      <w:bookmarkStart w:id="39" w:name="_Toc409009962"/>
      <w:bookmarkStart w:id="40" w:name="_Toc409771587"/>
      <w:bookmarkStart w:id="41" w:name="_Toc423086438"/>
      <w:r w:rsidRPr="00C12EE5">
        <w:t>Capital expenditure</w:t>
      </w:r>
      <w:bookmarkEnd w:id="39"/>
      <w:bookmarkEnd w:id="40"/>
      <w:bookmarkEnd w:id="41"/>
    </w:p>
    <w:p w:rsidR="00AE2FC7" w:rsidRPr="00C12EE5" w:rsidRDefault="00445E56" w:rsidP="00AE2FC7">
      <w:r>
        <w:t>In 2013, t</w:t>
      </w:r>
      <w:r w:rsidR="00AE2FC7" w:rsidRPr="00C12EE5">
        <w:t>otal capital expenditure by DNSPs on standard control services</w:t>
      </w:r>
      <w:r w:rsidR="0076580C">
        <w:rPr>
          <w:rStyle w:val="FootnoteReference"/>
        </w:rPr>
        <w:footnoteReference w:id="4"/>
      </w:r>
      <w:r w:rsidR="00AE2FC7" w:rsidRPr="00C12EE5">
        <w:t xml:space="preserve"> was approximately $5.</w:t>
      </w:r>
      <w:r w:rsidR="00274327">
        <w:t>2 </w:t>
      </w:r>
      <w:r w:rsidR="00AE2FC7" w:rsidRPr="00C12EE5">
        <w:t xml:space="preserve">billion. </w:t>
      </w:r>
      <w:proofErr w:type="gramStart"/>
      <w:r>
        <w:t>Over</w:t>
      </w:r>
      <w:r w:rsidR="00AE2FC7" w:rsidRPr="00C12EE5">
        <w:t xml:space="preserve"> 2011</w:t>
      </w:r>
      <w:r w:rsidR="007A3240">
        <w:t>–</w:t>
      </w:r>
      <w:r w:rsidR="00AE2FC7" w:rsidRPr="00C12EE5">
        <w:t xml:space="preserve">13 </w:t>
      </w:r>
      <w:r>
        <w:t>it</w:t>
      </w:r>
      <w:r w:rsidR="00AE2FC7" w:rsidRPr="00C12EE5">
        <w:t xml:space="preserve"> was approximately</w:t>
      </w:r>
      <w:r w:rsidR="003A59E3">
        <w:t xml:space="preserve"> </w:t>
      </w:r>
      <w:r w:rsidR="00AE2FC7" w:rsidRPr="00C12EE5">
        <w:t>1</w:t>
      </w:r>
      <w:r w:rsidR="00274327">
        <w:t>6</w:t>
      </w:r>
      <w:r w:rsidR="00AE2FC7" w:rsidRPr="00C12EE5">
        <w:t xml:space="preserve"> per cent less than </w:t>
      </w:r>
      <w:r w:rsidR="00E72215">
        <w:t>our</w:t>
      </w:r>
      <w:r w:rsidR="00AE2FC7" w:rsidRPr="00C12EE5">
        <w:t xml:space="preserve"> approved forecast </w:t>
      </w:r>
      <w:r>
        <w:t xml:space="preserve">for the period </w:t>
      </w:r>
      <w:r w:rsidR="00AE2FC7" w:rsidRPr="00C12EE5">
        <w:t>(</w:t>
      </w:r>
      <w:r w:rsidR="00AE2FC7">
        <w:t>Figure </w:t>
      </w:r>
      <w:r w:rsidR="00AE2FC7" w:rsidRPr="00C12EE5">
        <w:t>2–2).</w:t>
      </w:r>
      <w:proofErr w:type="gramEnd"/>
      <w:r w:rsidR="00AE2FC7" w:rsidRPr="00C12EE5">
        <w:t xml:space="preserve"> </w:t>
      </w:r>
    </w:p>
    <w:p w:rsidR="00E9693C" w:rsidRDefault="00AE2FC7" w:rsidP="00972E3F">
      <w:pPr>
        <w:pStyle w:val="Caption"/>
      </w:pPr>
      <w:r>
        <w:lastRenderedPageBreak/>
        <w:t>Figure </w:t>
      </w:r>
      <w:r w:rsidRPr="00C12EE5">
        <w:t>2–2</w:t>
      </w:r>
      <w:r w:rsidRPr="00C12EE5">
        <w:tab/>
        <w:t>Total capital expenditure by DNSPs in the NEM</w:t>
      </w:r>
    </w:p>
    <w:p w:rsidR="00AE2FC7" w:rsidRDefault="00502B99" w:rsidP="00502B99">
      <w:pPr>
        <w:pStyle w:val="Caption"/>
        <w:keepNext w:val="0"/>
      </w:pPr>
      <w:r>
        <w:rPr>
          <w:noProof/>
          <w:lang w:eastAsia="en-AU"/>
        </w:rPr>
        <w:drawing>
          <wp:inline distT="0" distB="0" distL="0" distR="0" wp14:anchorId="53BD3BD7" wp14:editId="1DAD94E1">
            <wp:extent cx="4895850" cy="3136106"/>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2FC7" w:rsidRPr="00C12EE5" w:rsidRDefault="00AE2FC7" w:rsidP="00F5379B">
      <w:pPr>
        <w:pStyle w:val="Heading2"/>
      </w:pPr>
      <w:bookmarkStart w:id="42" w:name="_Toc423086439"/>
      <w:r w:rsidRPr="00C12EE5">
        <w:t>Regulatory asset base</w:t>
      </w:r>
      <w:bookmarkEnd w:id="42"/>
    </w:p>
    <w:p w:rsidR="00AE2FC7" w:rsidRPr="00C12EE5" w:rsidRDefault="00274327" w:rsidP="00AE2FC7">
      <w:r w:rsidRPr="00C12EE5">
        <w:t xml:space="preserve">The </w:t>
      </w:r>
      <w:r w:rsidR="00AE2FC7" w:rsidRPr="00C12EE5">
        <w:t xml:space="preserve">RAB reflects </w:t>
      </w:r>
      <w:r w:rsidR="00445E56">
        <w:t>a</w:t>
      </w:r>
      <w:r w:rsidR="00445E56" w:rsidRPr="00C12EE5">
        <w:t xml:space="preserve"> </w:t>
      </w:r>
      <w:r w:rsidR="00AE2FC7" w:rsidRPr="00C12EE5">
        <w:t>DNSP's opening capital base when it was first regulated, plus subsequent new investment, less depreciation on existing assets.</w:t>
      </w:r>
    </w:p>
    <w:p w:rsidR="00AE2FC7" w:rsidRPr="00C12EE5" w:rsidRDefault="00445E56" w:rsidP="00AE2FC7">
      <w:r>
        <w:t>At the end of 2013, t</w:t>
      </w:r>
      <w:r w:rsidR="00AE2FC7" w:rsidRPr="00C12EE5">
        <w:t>he combined RAB value of all the DNSPs in the NEM was approximately $58.7 billion (</w:t>
      </w:r>
      <w:r w:rsidR="00AE2FC7">
        <w:t>Figure </w:t>
      </w:r>
      <w:r w:rsidR="00AE2FC7" w:rsidRPr="00C12EE5">
        <w:t xml:space="preserve">2–3). </w:t>
      </w:r>
      <w:r>
        <w:t>That value</w:t>
      </w:r>
      <w:r w:rsidR="00AE2FC7" w:rsidRPr="00C12EE5">
        <w:t xml:space="preserve"> increased by approximately 21 per cen</w:t>
      </w:r>
      <w:r>
        <w:t>t over 2011–13</w:t>
      </w:r>
      <w:r w:rsidR="00EB3CD7">
        <w:t>,</w:t>
      </w:r>
      <w:r>
        <w:t xml:space="preserve"> which was less than our forecast</w:t>
      </w:r>
      <w:r w:rsidR="00AE2FC7" w:rsidRPr="00C12EE5">
        <w:t xml:space="preserve"> increase </w:t>
      </w:r>
      <w:r w:rsidR="00FE0E88">
        <w:t>of</w:t>
      </w:r>
      <w:r w:rsidR="00FE0E88" w:rsidRPr="00C12EE5">
        <w:t xml:space="preserve"> </w:t>
      </w:r>
      <w:r w:rsidR="00AE2FC7" w:rsidRPr="00C12EE5">
        <w:t xml:space="preserve">31 per cent over </w:t>
      </w:r>
      <w:r w:rsidR="00FE0E88" w:rsidRPr="00C12EE5">
        <w:t>th</w:t>
      </w:r>
      <w:r w:rsidR="00FE0E88">
        <w:t>e</w:t>
      </w:r>
      <w:r w:rsidR="00FE0E88" w:rsidRPr="00C12EE5">
        <w:t xml:space="preserve"> </w:t>
      </w:r>
      <w:r w:rsidR="00AE2FC7" w:rsidRPr="00C12EE5">
        <w:t>period.</w:t>
      </w:r>
    </w:p>
    <w:p w:rsidR="00AE2FC7" w:rsidRDefault="00AE2FC7" w:rsidP="00972E3F">
      <w:pPr>
        <w:pStyle w:val="Caption"/>
      </w:pPr>
      <w:r>
        <w:t>Figure </w:t>
      </w:r>
      <w:r w:rsidRPr="00C12EE5">
        <w:t>2–3</w:t>
      </w:r>
      <w:r w:rsidRPr="00C12EE5">
        <w:tab/>
        <w:t>Combined regulatory asset base for all DNSPs</w:t>
      </w:r>
    </w:p>
    <w:p w:rsidR="00AE2FC7" w:rsidRDefault="00E9693C" w:rsidP="00AE2FC7">
      <w:r w:rsidRPr="00E9693C">
        <w:rPr>
          <w:noProof/>
          <w:lang w:eastAsia="en-AU"/>
        </w:rPr>
        <w:drawing>
          <wp:inline distT="0" distB="0" distL="0" distR="0" wp14:anchorId="27353330" wp14:editId="3EF97BCC">
            <wp:extent cx="4886325" cy="3124200"/>
            <wp:effectExtent l="0" t="0" r="0" b="0"/>
            <wp:docPr id="401" name="Chart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2FC7" w:rsidRPr="00C12EE5" w:rsidRDefault="00AE2FC7" w:rsidP="002247CC">
      <w:pPr>
        <w:pStyle w:val="Heading2"/>
      </w:pPr>
      <w:bookmarkStart w:id="43" w:name="_Toc409009963"/>
      <w:bookmarkStart w:id="44" w:name="_Toc409771588"/>
      <w:bookmarkStart w:id="45" w:name="_Toc423086440"/>
      <w:r w:rsidRPr="00C12EE5">
        <w:t>Operating expenditure</w:t>
      </w:r>
      <w:bookmarkEnd w:id="43"/>
      <w:bookmarkEnd w:id="44"/>
      <w:bookmarkEnd w:id="45"/>
    </w:p>
    <w:p w:rsidR="00AE2FC7" w:rsidRPr="00C12EE5" w:rsidRDefault="00FE0E88" w:rsidP="00AE2FC7">
      <w:r>
        <w:t>In 2013 t</w:t>
      </w:r>
      <w:r w:rsidR="00AE2FC7" w:rsidRPr="00C12EE5">
        <w:t xml:space="preserve">otal operating expenditure </w:t>
      </w:r>
      <w:r>
        <w:t>by</w:t>
      </w:r>
      <w:r w:rsidRPr="00C12EE5">
        <w:t xml:space="preserve"> DNSPs </w:t>
      </w:r>
      <w:r w:rsidR="00AE2FC7" w:rsidRPr="00C12EE5">
        <w:t>on standard control services was approximately $3.2</w:t>
      </w:r>
      <w:r w:rsidR="00274327">
        <w:t> </w:t>
      </w:r>
      <w:r w:rsidR="00AE2FC7" w:rsidRPr="00C12EE5">
        <w:t xml:space="preserve">billion. </w:t>
      </w:r>
      <w:proofErr w:type="gramStart"/>
      <w:r w:rsidR="00AE2FC7" w:rsidRPr="00C12EE5">
        <w:t>Over 2011</w:t>
      </w:r>
      <w:r w:rsidR="007A3240">
        <w:t>–</w:t>
      </w:r>
      <w:r w:rsidR="00AE2FC7" w:rsidRPr="00C12EE5">
        <w:t xml:space="preserve">13 </w:t>
      </w:r>
      <w:r>
        <w:t>it</w:t>
      </w:r>
      <w:r w:rsidR="00AE2FC7" w:rsidRPr="00C12EE5">
        <w:t xml:space="preserve"> was within 1 per cent of </w:t>
      </w:r>
      <w:r w:rsidR="00E72215">
        <w:t>our</w:t>
      </w:r>
      <w:r w:rsidR="00AE2FC7" w:rsidRPr="00C12EE5">
        <w:t xml:space="preserve"> approved forecast</w:t>
      </w:r>
      <w:r>
        <w:t xml:space="preserve"> for the period</w:t>
      </w:r>
      <w:r w:rsidR="00AE2FC7" w:rsidRPr="00C12EE5">
        <w:t xml:space="preserve"> (</w:t>
      </w:r>
      <w:r w:rsidR="00AE2FC7">
        <w:t>Figure </w:t>
      </w:r>
      <w:r w:rsidR="00AE2FC7" w:rsidRPr="00C12EE5">
        <w:t>2–4).</w:t>
      </w:r>
      <w:proofErr w:type="gramEnd"/>
    </w:p>
    <w:p w:rsidR="00AE2FC7" w:rsidRDefault="00AE2FC7" w:rsidP="00972E3F">
      <w:pPr>
        <w:pStyle w:val="Caption"/>
      </w:pPr>
      <w:r>
        <w:t>Figure </w:t>
      </w:r>
      <w:r w:rsidRPr="00C12EE5">
        <w:t>2–4</w:t>
      </w:r>
      <w:r w:rsidRPr="00C12EE5">
        <w:tab/>
        <w:t>Total operating expenditure by DNSPs in the NEM</w:t>
      </w:r>
    </w:p>
    <w:p w:rsidR="00AE2FC7" w:rsidRDefault="00502B99" w:rsidP="00AE2FC7">
      <w:r>
        <w:rPr>
          <w:noProof/>
          <w:lang w:eastAsia="en-AU"/>
        </w:rPr>
        <w:drawing>
          <wp:inline distT="0" distB="0" distL="0" distR="0" wp14:anchorId="040F2644" wp14:editId="543BBA6C">
            <wp:extent cx="4888706" cy="3121818"/>
            <wp:effectExtent l="0" t="0" r="7620"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2FC7" w:rsidRPr="00C12EE5" w:rsidRDefault="00AE2FC7" w:rsidP="002247CC">
      <w:pPr>
        <w:pStyle w:val="Heading2"/>
      </w:pPr>
      <w:bookmarkStart w:id="46" w:name="_Toc409009964"/>
      <w:bookmarkStart w:id="47" w:name="_Toc409771589"/>
      <w:bookmarkStart w:id="48" w:name="_Toc423086441"/>
      <w:r w:rsidRPr="00C12EE5">
        <w:t>Revenue</w:t>
      </w:r>
      <w:bookmarkEnd w:id="46"/>
      <w:bookmarkEnd w:id="47"/>
      <w:bookmarkEnd w:id="48"/>
    </w:p>
    <w:p w:rsidR="00976912" w:rsidRPr="00C12EE5" w:rsidRDefault="00976912" w:rsidP="00976912">
      <w:r>
        <w:t xml:space="preserve">Revenues are determined by </w:t>
      </w:r>
      <w:r w:rsidR="00F72773">
        <w:t>us</w:t>
      </w:r>
      <w:r>
        <w:t xml:space="preserve"> using </w:t>
      </w:r>
      <w:r w:rsidR="00F72773">
        <w:t xml:space="preserve">our </w:t>
      </w:r>
      <w:r>
        <w:t xml:space="preserve">building block model. </w:t>
      </w:r>
      <w:r w:rsidRPr="004A6B29">
        <w:t>This model determines the revenue</w:t>
      </w:r>
      <w:r>
        <w:t xml:space="preserve"> that</w:t>
      </w:r>
      <w:r w:rsidRPr="004A6B29">
        <w:t xml:space="preserve"> a DNSP needs to cover its efficient costs and provide a commercial rate of return</w:t>
      </w:r>
      <w:r w:rsidR="00C32EB3">
        <w:t xml:space="preserve"> on its RAB</w:t>
      </w:r>
      <w:r>
        <w:t xml:space="preserve">. </w:t>
      </w:r>
      <w:r w:rsidRPr="00C12EE5">
        <w:t>The main revenue drivers for the DNSPs are the rate of return</w:t>
      </w:r>
      <w:r w:rsidR="00C32EB3">
        <w:t xml:space="preserve">, </w:t>
      </w:r>
      <w:r>
        <w:t>the RAB</w:t>
      </w:r>
      <w:r w:rsidRPr="00C12EE5">
        <w:t xml:space="preserve"> </w:t>
      </w:r>
      <w:r w:rsidR="00C32EB3">
        <w:t xml:space="preserve">(which increases with </w:t>
      </w:r>
      <w:r w:rsidRPr="00C12EE5">
        <w:t>capital expenditure</w:t>
      </w:r>
      <w:r w:rsidR="00C32EB3">
        <w:t xml:space="preserve">), depreciation </w:t>
      </w:r>
      <w:r w:rsidRPr="00C12EE5">
        <w:t>and operating costs</w:t>
      </w:r>
      <w:r>
        <w:t>.</w:t>
      </w:r>
      <w:r w:rsidRPr="00C12EE5">
        <w:t xml:space="preserve"> </w:t>
      </w:r>
      <w:r>
        <w:t>The DNSPs</w:t>
      </w:r>
      <w:r w:rsidRPr="00C12EE5">
        <w:t xml:space="preserve"> are capital intensive, so even small changes to the return earned on assets can have a significant impact on revenue requirements.</w:t>
      </w:r>
    </w:p>
    <w:p w:rsidR="00AE2FC7" w:rsidRPr="00C12EE5" w:rsidRDefault="00FE0E88" w:rsidP="00AE2FC7">
      <w:r>
        <w:t>In 2013 t</w:t>
      </w:r>
      <w:r w:rsidR="00AE2FC7" w:rsidRPr="00C12EE5">
        <w:t xml:space="preserve">otal distribution revenue </w:t>
      </w:r>
      <w:r>
        <w:t xml:space="preserve">that DNSPs </w:t>
      </w:r>
      <w:r w:rsidR="00AE2FC7" w:rsidRPr="00C12EE5">
        <w:t>recovered for standard control services was approximately $10.4</w:t>
      </w:r>
      <w:r w:rsidR="00274327">
        <w:t> </w:t>
      </w:r>
      <w:r w:rsidR="00AE2FC7" w:rsidRPr="00C12EE5">
        <w:t xml:space="preserve">billion. </w:t>
      </w:r>
      <w:proofErr w:type="gramStart"/>
      <w:r w:rsidR="00AE2FC7" w:rsidRPr="00C12EE5">
        <w:t>Over 2011</w:t>
      </w:r>
      <w:r w:rsidR="007A3240">
        <w:t>–</w:t>
      </w:r>
      <w:r w:rsidR="00AE2FC7" w:rsidRPr="00C12EE5">
        <w:t>13</w:t>
      </w:r>
      <w:r w:rsidR="003A59E3">
        <w:t xml:space="preserve"> </w:t>
      </w:r>
      <w:r>
        <w:t>it</w:t>
      </w:r>
      <w:r w:rsidR="00AE2FC7" w:rsidRPr="00C12EE5">
        <w:t xml:space="preserve"> was comparable with </w:t>
      </w:r>
      <w:r w:rsidR="00E72215">
        <w:t>our</w:t>
      </w:r>
      <w:r w:rsidR="00AE2FC7" w:rsidRPr="00C12EE5">
        <w:t xml:space="preserve"> approved forecast</w:t>
      </w:r>
      <w:r>
        <w:t xml:space="preserve"> for the period</w:t>
      </w:r>
      <w:r w:rsidR="00AE2FC7" w:rsidRPr="00C12EE5">
        <w:t xml:space="preserve"> (</w:t>
      </w:r>
      <w:r w:rsidR="00AE2FC7">
        <w:t>Figure </w:t>
      </w:r>
      <w:r w:rsidR="00AE2FC7" w:rsidRPr="00C12EE5">
        <w:t>2–5).</w:t>
      </w:r>
      <w:proofErr w:type="gramEnd"/>
    </w:p>
    <w:p w:rsidR="00AE2FC7" w:rsidRDefault="00AE2FC7" w:rsidP="00972E3F">
      <w:pPr>
        <w:pStyle w:val="Caption"/>
      </w:pPr>
      <w:r>
        <w:t>Figure </w:t>
      </w:r>
      <w:r w:rsidRPr="00C12EE5">
        <w:t>2–5</w:t>
      </w:r>
      <w:r w:rsidRPr="00C12EE5">
        <w:tab/>
        <w:t>Total revenue recovered by DNSPs in the NEM</w:t>
      </w:r>
    </w:p>
    <w:p w:rsidR="00E9693C" w:rsidRPr="00E9693C" w:rsidRDefault="00502B99" w:rsidP="00E9693C">
      <w:r w:rsidRPr="00E9693C">
        <w:rPr>
          <w:noProof/>
          <w:lang w:eastAsia="en-AU"/>
        </w:rPr>
        <w:t xml:space="preserve"> </w:t>
      </w:r>
      <w:r>
        <w:rPr>
          <w:noProof/>
          <w:lang w:eastAsia="en-AU"/>
        </w:rPr>
        <w:drawing>
          <wp:inline distT="0" distB="0" distL="0" distR="0" wp14:anchorId="126B9229" wp14:editId="43D2E8F7">
            <wp:extent cx="4893468" cy="3121819"/>
            <wp:effectExtent l="0" t="0" r="2540" b="25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2FC7" w:rsidRPr="00C12EE5" w:rsidRDefault="00AE2FC7" w:rsidP="002247CC">
      <w:pPr>
        <w:pStyle w:val="Heading2"/>
      </w:pPr>
      <w:bookmarkStart w:id="49" w:name="_Toc409009965"/>
      <w:bookmarkStart w:id="50" w:name="_Toc409771590"/>
      <w:bookmarkStart w:id="51" w:name="_Toc423086442"/>
      <w:r w:rsidRPr="00C12EE5">
        <w:t>Service performance</w:t>
      </w:r>
      <w:bookmarkEnd w:id="49"/>
      <w:bookmarkEnd w:id="50"/>
      <w:bookmarkEnd w:id="51"/>
    </w:p>
    <w:p w:rsidR="00AE2FC7" w:rsidRPr="00C12EE5" w:rsidRDefault="00AE2FC7" w:rsidP="002247CC">
      <w:pPr>
        <w:pStyle w:val="Heading3"/>
      </w:pPr>
      <w:bookmarkStart w:id="52" w:name="_Toc413062022"/>
      <w:bookmarkStart w:id="53" w:name="_Toc413311023"/>
      <w:bookmarkStart w:id="54" w:name="_Toc423008936"/>
      <w:bookmarkStart w:id="55" w:name="_Toc423086443"/>
      <w:r w:rsidRPr="00C12EE5">
        <w:t>Total interruptions to supply</w:t>
      </w:r>
      <w:bookmarkEnd w:id="52"/>
      <w:bookmarkEnd w:id="53"/>
      <w:bookmarkEnd w:id="54"/>
      <w:bookmarkEnd w:id="55"/>
    </w:p>
    <w:p w:rsidR="00AE2FC7" w:rsidRPr="00C12EE5" w:rsidRDefault="00AE2FC7" w:rsidP="00AE2FC7">
      <w:r w:rsidRPr="00C12EE5">
        <w:t>In 2013 the average distribution network customer in the NEM experienced:</w:t>
      </w:r>
    </w:p>
    <w:p w:rsidR="00AE2FC7" w:rsidRPr="00C12EE5" w:rsidRDefault="00AE2FC7" w:rsidP="002247CC">
      <w:pPr>
        <w:pStyle w:val="ListBullet"/>
      </w:pPr>
      <w:r w:rsidRPr="00C12EE5">
        <w:t>325 total minutes off supply</w:t>
      </w:r>
      <w:r w:rsidR="00D36DB0">
        <w:t>, as measured by the system average interruption duration index (</w:t>
      </w:r>
      <w:r w:rsidR="00D36DB0" w:rsidRPr="00C12EE5">
        <w:t>SAIDI)</w:t>
      </w:r>
      <w:r w:rsidR="00D36DB0">
        <w:t xml:space="preserve"> (Figure 2</w:t>
      </w:r>
      <w:r w:rsidR="00D36DB0" w:rsidRPr="00D36DB0">
        <w:t>‒</w:t>
      </w:r>
      <w:r w:rsidR="00D36DB0">
        <w:t>6)</w:t>
      </w:r>
    </w:p>
    <w:p w:rsidR="00AE2FC7" w:rsidRPr="00C12EE5" w:rsidRDefault="00AE2FC7" w:rsidP="002247CC">
      <w:pPr>
        <w:pStyle w:val="ListBullet"/>
      </w:pPr>
      <w:r w:rsidRPr="00C12EE5">
        <w:t>1.86 interruptions to supply</w:t>
      </w:r>
      <w:r w:rsidR="00D36DB0">
        <w:t>, as measured by the system average interruption frequency index</w:t>
      </w:r>
      <w:r w:rsidR="00D36DB0" w:rsidRPr="00C12EE5">
        <w:t xml:space="preserve"> (SAIFI)</w:t>
      </w:r>
      <w:r w:rsidR="00D36DB0">
        <w:t xml:space="preserve"> (Figure 2</w:t>
      </w:r>
      <w:r w:rsidR="00D36DB0" w:rsidRPr="00D36DB0">
        <w:t>‒</w:t>
      </w:r>
      <w:r w:rsidR="00D36DB0">
        <w:t>7).</w:t>
      </w:r>
    </w:p>
    <w:p w:rsidR="00AE2FC7" w:rsidRPr="00C12EE5" w:rsidRDefault="00AE2FC7" w:rsidP="00AE2FC7">
      <w:r w:rsidRPr="00C12EE5">
        <w:t>Total network SAIDI for the average distribution network customer in the NEM was relatively high in both 2011 and in 2013</w:t>
      </w:r>
      <w:r w:rsidR="006939A8">
        <w:t xml:space="preserve"> (Figure 2.6)</w:t>
      </w:r>
      <w:r w:rsidRPr="00C12EE5">
        <w:t>. In 2011, floods affected much of central and southern Queensland. In 2013 Queensland was affected by Tropical Cyclone Oswald which caused widespread storms and flooding.</w:t>
      </w:r>
      <w:r w:rsidR="006939A8">
        <w:t xml:space="preserve"> While these events impacted on the amount of time customers were without electricity, they did not </w:t>
      </w:r>
      <w:proofErr w:type="gramStart"/>
      <w:r w:rsidR="006939A8">
        <w:t>cause</w:t>
      </w:r>
      <w:proofErr w:type="gramEnd"/>
      <w:r w:rsidR="006939A8">
        <w:t xml:space="preserve"> a significant change in the number of interruptions experienced (Figure 2.7).</w:t>
      </w:r>
    </w:p>
    <w:p w:rsidR="00AE2FC7" w:rsidRDefault="00AE2FC7" w:rsidP="00972E3F">
      <w:pPr>
        <w:pStyle w:val="Caption"/>
      </w:pPr>
      <w:r>
        <w:t>Figure </w:t>
      </w:r>
      <w:r w:rsidRPr="00C12EE5">
        <w:t>2–6</w:t>
      </w:r>
      <w:r w:rsidRPr="00C12EE5">
        <w:tab/>
        <w:t xml:space="preserve">Total minutes off supply </w:t>
      </w:r>
      <w:r w:rsidR="00D36DB0">
        <w:t>for</w:t>
      </w:r>
      <w:r w:rsidRPr="00C12EE5">
        <w:t xml:space="preserve"> distribution customer</w:t>
      </w:r>
      <w:r w:rsidR="00D36DB0">
        <w:t>s</w:t>
      </w:r>
      <w:r w:rsidRPr="00C12EE5">
        <w:t xml:space="preserve"> </w:t>
      </w:r>
    </w:p>
    <w:p w:rsidR="00E9693C" w:rsidRPr="00E9693C" w:rsidRDefault="00E9693C" w:rsidP="00E9693C">
      <w:r w:rsidRPr="00E9693C">
        <w:rPr>
          <w:noProof/>
          <w:lang w:eastAsia="en-AU"/>
        </w:rPr>
        <w:drawing>
          <wp:inline distT="0" distB="0" distL="0" distR="0" wp14:anchorId="0D401CCE" wp14:editId="6F9DD2D7">
            <wp:extent cx="4572000" cy="2743200"/>
            <wp:effectExtent l="0" t="0" r="0" b="0"/>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2FC7" w:rsidRDefault="00AE2FC7" w:rsidP="00972E3F">
      <w:pPr>
        <w:pStyle w:val="Caption"/>
      </w:pPr>
      <w:r>
        <w:t>Figure </w:t>
      </w:r>
      <w:r w:rsidRPr="00C12EE5">
        <w:t>2–7</w:t>
      </w:r>
      <w:r w:rsidRPr="00C12EE5">
        <w:tab/>
        <w:t xml:space="preserve">Total interruptions to supply </w:t>
      </w:r>
      <w:r w:rsidR="00D36DB0">
        <w:t xml:space="preserve">for </w:t>
      </w:r>
      <w:r w:rsidRPr="00C12EE5">
        <w:t xml:space="preserve">distribution customers </w:t>
      </w:r>
    </w:p>
    <w:p w:rsidR="00AE2FC7" w:rsidRDefault="00E9693C" w:rsidP="00AE2FC7">
      <w:r w:rsidRPr="00E9693C">
        <w:rPr>
          <w:noProof/>
          <w:lang w:eastAsia="en-AU"/>
        </w:rPr>
        <w:drawing>
          <wp:inline distT="0" distB="0" distL="0" distR="0" wp14:anchorId="14AE714D" wp14:editId="033D5FBB">
            <wp:extent cx="4572000" cy="2743200"/>
            <wp:effectExtent l="0" t="0" r="0" b="0"/>
            <wp:docPr id="405" name="Chart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2FC7" w:rsidRPr="00C12EE5" w:rsidRDefault="00AE2FC7" w:rsidP="002247CC">
      <w:pPr>
        <w:pStyle w:val="Heading3"/>
      </w:pPr>
      <w:bookmarkStart w:id="56" w:name="_Toc413062023"/>
      <w:bookmarkStart w:id="57" w:name="_Toc413311024"/>
      <w:bookmarkStart w:id="58" w:name="_Toc423008937"/>
      <w:bookmarkStart w:id="59" w:name="_Toc423086444"/>
      <w:r w:rsidRPr="00C12EE5">
        <w:t>Reliability of supply (normalised)</w:t>
      </w:r>
      <w:bookmarkEnd w:id="56"/>
      <w:bookmarkEnd w:id="57"/>
      <w:bookmarkEnd w:id="58"/>
      <w:bookmarkEnd w:id="59"/>
    </w:p>
    <w:p w:rsidR="00D906AD" w:rsidRDefault="00D36DB0" w:rsidP="00AE2FC7">
      <w:r>
        <w:t xml:space="preserve">Sometimes </w:t>
      </w:r>
      <w:r w:rsidR="00EB3CD7">
        <w:t>interruptions to supply (</w:t>
      </w:r>
      <w:r>
        <w:t>outages</w:t>
      </w:r>
      <w:r w:rsidR="00EB3CD7">
        <w:t>)</w:t>
      </w:r>
      <w:r>
        <w:t xml:space="preserve"> occur through circumstances beyond the control of DNSPs. Such outages could be caused by severe weather events (storms, cyclones), natural disasters, or by outages on the transmission networks. As these outages cannot be controlled by the DNSPs, we remove the</w:t>
      </w:r>
      <w:r w:rsidR="00EB3CD7">
        <w:t>ir i</w:t>
      </w:r>
      <w:r>
        <w:t>m</w:t>
      </w:r>
      <w:r w:rsidR="00EB3CD7">
        <w:t>pact</w:t>
      </w:r>
      <w:r>
        <w:t xml:space="preserve"> from the data (normalise the data) to compare </w:t>
      </w:r>
      <w:r w:rsidR="00EB3CD7">
        <w:t>network</w:t>
      </w:r>
      <w:r>
        <w:t xml:space="preserve"> reliability. </w:t>
      </w:r>
    </w:p>
    <w:p w:rsidR="00AE2FC7" w:rsidRPr="00C12EE5" w:rsidRDefault="00AE2FC7" w:rsidP="00AE2FC7">
      <w:r w:rsidRPr="00C12EE5">
        <w:t>After removing the effect of events considered to be beyond the DNSPs' control, the average distribution network customer experienced fewer unplanned minutes off supply and fewer unplanned interruptions to supply for the fourth consecutive year in 2013.</w:t>
      </w:r>
      <w:r w:rsidR="00EB3CD7">
        <w:t xml:space="preserve"> </w:t>
      </w:r>
      <w:r w:rsidRPr="00C12EE5">
        <w:t xml:space="preserve">In 2013 </w:t>
      </w:r>
      <w:r w:rsidR="00D36DB0">
        <w:t>they</w:t>
      </w:r>
      <w:r w:rsidRPr="00C12EE5">
        <w:t xml:space="preserve"> experienced:</w:t>
      </w:r>
    </w:p>
    <w:p w:rsidR="00AE2FC7" w:rsidRPr="00C12EE5" w:rsidRDefault="00AE2FC7" w:rsidP="002247CC">
      <w:pPr>
        <w:pStyle w:val="ListBullet"/>
      </w:pPr>
      <w:r w:rsidRPr="00C12EE5">
        <w:t>118 unplanned (normalised) sustained minutes off supply (</w:t>
      </w:r>
      <w:r>
        <w:t>Figure </w:t>
      </w:r>
      <w:r w:rsidRPr="00C12EE5">
        <w:t xml:space="preserve">2–8) </w:t>
      </w:r>
    </w:p>
    <w:p w:rsidR="00AE2FC7" w:rsidRPr="00C12EE5" w:rsidRDefault="00AE2FC7" w:rsidP="002247CC">
      <w:pPr>
        <w:pStyle w:val="ListBullet"/>
      </w:pPr>
      <w:r w:rsidRPr="00C12EE5">
        <w:t>1.26 unplanned (normalised) interruptions to supply (</w:t>
      </w:r>
      <w:r>
        <w:t>Figure </w:t>
      </w:r>
      <w:r w:rsidRPr="00C12EE5">
        <w:t>2–9).</w:t>
      </w:r>
    </w:p>
    <w:p w:rsidR="00AE2FC7" w:rsidRDefault="00AE2FC7" w:rsidP="00972E3F">
      <w:pPr>
        <w:pStyle w:val="Caption"/>
      </w:pPr>
      <w:r>
        <w:t>Figure </w:t>
      </w:r>
      <w:r w:rsidRPr="00C12EE5">
        <w:t>2–8</w:t>
      </w:r>
      <w:r w:rsidRPr="00C12EE5">
        <w:tab/>
        <w:t xml:space="preserve">Unplanned (normalised) minutes off supply </w:t>
      </w:r>
      <w:r w:rsidR="00D36DB0">
        <w:t>for</w:t>
      </w:r>
      <w:r w:rsidRPr="00C12EE5">
        <w:t xml:space="preserve"> distribution customers (SAIDI)</w:t>
      </w:r>
    </w:p>
    <w:p w:rsidR="00E9693C" w:rsidRPr="00E9693C" w:rsidRDefault="00E9693C" w:rsidP="00E9693C">
      <w:r w:rsidRPr="00E9693C">
        <w:rPr>
          <w:noProof/>
          <w:lang w:eastAsia="en-AU"/>
        </w:rPr>
        <w:drawing>
          <wp:inline distT="0" distB="0" distL="0" distR="0" wp14:anchorId="648E4AB8" wp14:editId="41D5611E">
            <wp:extent cx="4572000" cy="2762250"/>
            <wp:effectExtent l="0" t="0" r="0" b="0"/>
            <wp:docPr id="407" name="Chart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FC7" w:rsidRDefault="00AE2FC7" w:rsidP="00972E3F">
      <w:pPr>
        <w:pStyle w:val="Caption"/>
      </w:pPr>
      <w:r>
        <w:t>Figure </w:t>
      </w:r>
      <w:r w:rsidRPr="00C12EE5">
        <w:t>2–9</w:t>
      </w:r>
      <w:r w:rsidRPr="00C12EE5">
        <w:tab/>
      </w:r>
      <w:proofErr w:type="gramStart"/>
      <w:r w:rsidRPr="00C12EE5">
        <w:t>Unplanned</w:t>
      </w:r>
      <w:proofErr w:type="gramEnd"/>
      <w:r w:rsidRPr="00C12EE5">
        <w:t xml:space="preserve"> (normalised) interruptions to supply </w:t>
      </w:r>
      <w:r w:rsidR="00D36DB0">
        <w:t>for</w:t>
      </w:r>
      <w:r w:rsidRPr="00C12EE5">
        <w:t xml:space="preserve"> distribution customers (SAIFI)</w:t>
      </w:r>
    </w:p>
    <w:p w:rsidR="00AE2FC7" w:rsidRDefault="00E9693C" w:rsidP="00AE2FC7">
      <w:r w:rsidRPr="00E9693C">
        <w:rPr>
          <w:noProof/>
          <w:lang w:eastAsia="en-AU"/>
        </w:rPr>
        <w:drawing>
          <wp:inline distT="0" distB="0" distL="0" distR="0" wp14:anchorId="31FB9870" wp14:editId="1C13C0AE">
            <wp:extent cx="4572000" cy="2743200"/>
            <wp:effectExtent l="0" t="0" r="0" b="0"/>
            <wp:docPr id="406" name="Chart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2FC7" w:rsidRDefault="00AE2FC7" w:rsidP="00AE2FC7"/>
    <w:p w:rsidR="00AE2FC7" w:rsidRPr="00846CFC" w:rsidRDefault="00AE2FC7" w:rsidP="00AE2FC7">
      <w:pPr>
        <w:pStyle w:val="Heading1"/>
      </w:pPr>
      <w:bookmarkStart w:id="60" w:name="_Toc409771591"/>
      <w:bookmarkStart w:id="61" w:name="_Toc423086445"/>
      <w:r w:rsidRPr="00846CFC">
        <w:t>Electricity distribution networks</w:t>
      </w:r>
      <w:bookmarkEnd w:id="60"/>
      <w:bookmarkEnd w:id="61"/>
    </w:p>
    <w:p w:rsidR="007E5F8A" w:rsidRPr="00846CFC" w:rsidRDefault="007E5F8A" w:rsidP="007E5F8A">
      <w:bookmarkStart w:id="62" w:name="_Toc409771592"/>
      <w:r w:rsidRPr="00846CFC">
        <w:t>This chapter provides an overview of electricity distribution in the</w:t>
      </w:r>
      <w:r>
        <w:t xml:space="preserve"> </w:t>
      </w:r>
      <w:r w:rsidRPr="00846CFC">
        <w:t xml:space="preserve">NEM and general information </w:t>
      </w:r>
      <w:r>
        <w:t>about</w:t>
      </w:r>
      <w:r w:rsidRPr="00846CFC">
        <w:t xml:space="preserve"> the distribution networks. </w:t>
      </w:r>
    </w:p>
    <w:p w:rsidR="00AE2FC7" w:rsidRPr="00846CFC" w:rsidRDefault="00AE2FC7" w:rsidP="00EB3CD7">
      <w:pPr>
        <w:pStyle w:val="Heading2"/>
      </w:pPr>
      <w:bookmarkStart w:id="63" w:name="_Toc423086446"/>
      <w:r w:rsidRPr="00846CFC">
        <w:t>Electricity networks in the NEM</w:t>
      </w:r>
      <w:bookmarkEnd w:id="62"/>
      <w:bookmarkEnd w:id="63"/>
    </w:p>
    <w:p w:rsidR="00AE2FC7" w:rsidRPr="00846CFC" w:rsidRDefault="00AE2FC7" w:rsidP="00AE2FC7">
      <w:r w:rsidRPr="00846CFC">
        <w:t>The NEM is a wholesale market in which generators sell electricity in eastern and southern Australia. The energy retailers bundle electricity with network services for sale to residential, commercial and industrial energy users.</w:t>
      </w:r>
    </w:p>
    <w:p w:rsidR="002979F9" w:rsidRPr="00846CFC" w:rsidRDefault="002979F9" w:rsidP="002979F9">
      <w:r w:rsidRPr="00846CFC">
        <w:t>The NEM in eastern and southern Australia provides an interconnected transmission network from Queensland through to New South Wales, the Australian Capital Territory, Victoria, South Australia and Tasmania. The NEM transmission network has a long, thin, low density structure, reflecting the location of, and distance between, major demand centres. It comprises five state based transmission networks, with cross</w:t>
      </w:r>
      <w:r>
        <w:t>-</w:t>
      </w:r>
      <w:r w:rsidRPr="00846CFC">
        <w:t>border interconnectors linking the grid.</w:t>
      </w:r>
    </w:p>
    <w:p w:rsidR="002979F9" w:rsidRDefault="002979F9" w:rsidP="002979F9">
      <w:r w:rsidRPr="00846CFC">
        <w:t>Electricity is transported along transmission networks at high voltages to minimise energy losses. It must then be stepped down to lower voltages in a distribution network for safe use by customers. Most customers in Australia require delivery at around 230–240</w:t>
      </w:r>
      <w:r>
        <w:t> </w:t>
      </w:r>
      <w:r w:rsidRPr="00846CFC">
        <w:t>volts. DNSPs</w:t>
      </w:r>
      <w:r>
        <w:t xml:space="preserve"> </w:t>
      </w:r>
      <w:r w:rsidRPr="00846CFC">
        <w:t xml:space="preserve">transport electricity from transmission networks to residential and business customers. </w:t>
      </w:r>
    </w:p>
    <w:p w:rsidR="002979F9" w:rsidRPr="00846CFC" w:rsidRDefault="002979F9" w:rsidP="002979F9">
      <w:r w:rsidRPr="00846CFC">
        <w:t>A distribution network consists of the poles and wires that carry electricity, as well as substations, transformers, switching equipment, and monitoring and signalling equipment.</w:t>
      </w:r>
      <w:r>
        <w:t xml:space="preserve"> </w:t>
      </w:r>
      <w:r w:rsidRPr="00846CFC">
        <w:t>The total length of distribution networks in the NEM is around 750</w:t>
      </w:r>
      <w:r>
        <w:t> </w:t>
      </w:r>
      <w:r w:rsidRPr="00846CFC">
        <w:t xml:space="preserve">000 </w:t>
      </w:r>
      <w:r>
        <w:t>kilometres, crossing both</w:t>
      </w:r>
      <w:r w:rsidRPr="00846CFC">
        <w:t xml:space="preserve"> urban and regional areas</w:t>
      </w:r>
      <w:r>
        <w:t>. The DNSPs need to make a</w:t>
      </w:r>
      <w:r w:rsidRPr="00846CFC">
        <w:t xml:space="preserve"> substantial investment in </w:t>
      </w:r>
      <w:r>
        <w:t xml:space="preserve">network </w:t>
      </w:r>
      <w:r w:rsidRPr="00846CFC">
        <w:t xml:space="preserve">infrastructure. </w:t>
      </w:r>
    </w:p>
    <w:p w:rsidR="002979F9" w:rsidRPr="00846CFC" w:rsidRDefault="002979F9" w:rsidP="002979F9">
      <w:r w:rsidRPr="00846CFC">
        <w:t xml:space="preserve">This report focuses on the 13 major DNSPs that operate within the NEM </w:t>
      </w:r>
      <w:r>
        <w:t>(Figure </w:t>
      </w:r>
      <w:r w:rsidRPr="00846CFC">
        <w:t>3–1</w:t>
      </w:r>
      <w:r>
        <w:t xml:space="preserve">) </w:t>
      </w:r>
      <w:r w:rsidRPr="00846CFC">
        <w:t xml:space="preserve">and </w:t>
      </w:r>
      <w:r>
        <w:t>that we regulate</w:t>
      </w:r>
      <w:r w:rsidRPr="00846CFC">
        <w:t xml:space="preserve"> under the National Electricity Law and the National Electricity Rules. New South Wales, Queensland and Victoria each have multiple distribution businesses that are monopoly providers in designated areas. The </w:t>
      </w:r>
      <w:r>
        <w:t>Australian Capital Territory</w:t>
      </w:r>
      <w:r w:rsidRPr="00846CFC">
        <w:t>, South Australia and Tasmania each have one major distribution business. Some jurisdictions also have small regional networks with separate ownership.</w:t>
      </w:r>
    </w:p>
    <w:p w:rsidR="00AE2FC7" w:rsidRPr="00846CFC" w:rsidRDefault="00AE2FC7" w:rsidP="00AE2FC7">
      <w:r>
        <w:t>Figure </w:t>
      </w:r>
      <w:r w:rsidRPr="00846CFC">
        <w:t>3–1 illustrates the distribution networks in the NEM and the geographic areas in which they operate.</w:t>
      </w:r>
    </w:p>
    <w:p w:rsidR="00AE2FC7" w:rsidRDefault="00AE2FC7" w:rsidP="00972E3F">
      <w:pPr>
        <w:pStyle w:val="Caption"/>
      </w:pPr>
      <w:r>
        <w:t>Figure </w:t>
      </w:r>
      <w:r w:rsidRPr="00846CFC">
        <w:t>3–1</w:t>
      </w:r>
      <w:r w:rsidRPr="00846CFC">
        <w:tab/>
        <w:t>Distribution networks in the NEM</w:t>
      </w:r>
    </w:p>
    <w:p w:rsidR="00AE2FC7" w:rsidRDefault="00AE2FC7" w:rsidP="00AE2FC7">
      <w:r w:rsidRPr="00AE2FC7">
        <w:rPr>
          <w:noProof/>
          <w:lang w:eastAsia="en-AU"/>
        </w:rPr>
        <w:drawing>
          <wp:inline distT="0" distB="0" distL="0" distR="0" wp14:anchorId="3CD38B55" wp14:editId="1A951798">
            <wp:extent cx="6450330" cy="82181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0330" cy="8218170"/>
                    </a:xfrm>
                    <a:prstGeom prst="rect">
                      <a:avLst/>
                    </a:prstGeom>
                    <a:noFill/>
                  </pic:spPr>
                </pic:pic>
              </a:graphicData>
            </a:graphic>
          </wp:inline>
        </w:drawing>
      </w:r>
    </w:p>
    <w:p w:rsidR="00AE2FC7" w:rsidRPr="00846CFC" w:rsidRDefault="00AE2FC7" w:rsidP="00EB3CD7">
      <w:pPr>
        <w:pStyle w:val="Heading2"/>
      </w:pPr>
      <w:bookmarkStart w:id="64" w:name="_Toc409771593"/>
      <w:bookmarkStart w:id="65" w:name="_Toc423086447"/>
      <w:r w:rsidRPr="00846CFC">
        <w:t>Ownership</w:t>
      </w:r>
      <w:bookmarkEnd w:id="64"/>
      <w:bookmarkEnd w:id="65"/>
    </w:p>
    <w:p w:rsidR="00AE2FC7" w:rsidRPr="00846CFC" w:rsidRDefault="00AE2FC7" w:rsidP="00AE2FC7">
      <w:r w:rsidRPr="00846CFC">
        <w:t>The New South Wales, Queensland and Tasmanian DNSPs are all government owned. The ACT DNSP has joint government and private ownership.</w:t>
      </w:r>
    </w:p>
    <w:p w:rsidR="00AE2FC7" w:rsidRPr="00846CFC" w:rsidRDefault="00AE2FC7" w:rsidP="00AE2FC7">
      <w:r w:rsidRPr="00846CFC">
        <w:t>Queensland privatised much of its energy retail sector in 2006−07, but the state owned Ergon Energy continues to provide both distribution and retail services.</w:t>
      </w:r>
    </w:p>
    <w:p w:rsidR="00AE2FC7" w:rsidRPr="00846CFC" w:rsidRDefault="00AE2FC7" w:rsidP="00AE2FC7">
      <w:r w:rsidRPr="00846CFC">
        <w:t>The Tasmanian Government recently merged its distribution business (Aurora Energy) with its transmission business (</w:t>
      </w:r>
      <w:proofErr w:type="spellStart"/>
      <w:r w:rsidRPr="00846CFC">
        <w:t>Transend</w:t>
      </w:r>
      <w:proofErr w:type="spellEnd"/>
      <w:r w:rsidRPr="00846CFC">
        <w:t xml:space="preserve"> Networks). The merged entity 'Tasmanian Networks Pty </w:t>
      </w:r>
      <w:proofErr w:type="gramStart"/>
      <w:r w:rsidRPr="00846CFC">
        <w:t>Limited</w:t>
      </w:r>
      <w:proofErr w:type="gramEnd"/>
      <w:r w:rsidRPr="00846CFC">
        <w:t xml:space="preserve">' (trading as </w:t>
      </w:r>
      <w:proofErr w:type="spellStart"/>
      <w:r w:rsidRPr="00846CFC">
        <w:t>TasNetworks</w:t>
      </w:r>
      <w:proofErr w:type="spellEnd"/>
      <w:r w:rsidRPr="00846CFC">
        <w:t xml:space="preserve">) commenced operations on 1 July 2014. It provides both transmission and distribution services. Aurora Energy Pty Limited continues to exist, but only provides retail services. </w:t>
      </w:r>
    </w:p>
    <w:p w:rsidR="00AE2FC7" w:rsidRPr="00846CFC" w:rsidRDefault="00AE2FC7" w:rsidP="00AE2FC7">
      <w:r w:rsidRPr="00846CFC">
        <w:t>Victoria’s five DNSPs are privately owned, while the South Australian DNSP is leased to private interests:</w:t>
      </w:r>
    </w:p>
    <w:p w:rsidR="00AE2FC7" w:rsidRPr="00846CFC" w:rsidRDefault="00AE2FC7" w:rsidP="00541AF5">
      <w:pPr>
        <w:pStyle w:val="ListBullet"/>
      </w:pPr>
      <w:r w:rsidRPr="00846CFC">
        <w:t>Cheung Kong Infrastructure and Power Assets jointly have a 51 per cent stake in two Victorian DNSPs (</w:t>
      </w:r>
      <w:proofErr w:type="spellStart"/>
      <w:r w:rsidRPr="00846CFC">
        <w:t>Powercor</w:t>
      </w:r>
      <w:proofErr w:type="spellEnd"/>
      <w:r w:rsidRPr="00846CFC">
        <w:t xml:space="preserve"> and </w:t>
      </w:r>
      <w:proofErr w:type="spellStart"/>
      <w:r w:rsidRPr="00846CFC">
        <w:t>CitiPower</w:t>
      </w:r>
      <w:proofErr w:type="spellEnd"/>
      <w:r w:rsidRPr="00846CFC">
        <w:t xml:space="preserve">) and a 200 year lease of the South Australian DNSP (SA Power Networks). The remaining 49 per cent of the two Victorian DNSPs is held by Spark Infrastructure, a publicly listed infrastructure fund in which Cheung Kong Infrastructure has a direct interest. The remaining interests </w:t>
      </w:r>
      <w:r w:rsidR="00F72773">
        <w:t xml:space="preserve">of Spark Infrastructure </w:t>
      </w:r>
      <w:r w:rsidRPr="00846CFC">
        <w:t>are widely held.</w:t>
      </w:r>
    </w:p>
    <w:p w:rsidR="00AE2FC7" w:rsidRPr="00846CFC" w:rsidRDefault="00AE2FC7" w:rsidP="00541AF5">
      <w:pPr>
        <w:pStyle w:val="ListBullet"/>
      </w:pPr>
      <w:r w:rsidRPr="00846CFC">
        <w:t xml:space="preserve">In 2013 State Grid Corporation of China acquired significant stakes in electricity distribution assets from Singapore Power International. State Grid now owns 60 per cent of </w:t>
      </w:r>
      <w:proofErr w:type="spellStart"/>
      <w:r w:rsidRPr="00846CFC">
        <w:t>Jemena</w:t>
      </w:r>
      <w:proofErr w:type="spellEnd"/>
      <w:r w:rsidRPr="00846CFC">
        <w:t xml:space="preserve">, and almost 20 per cent of </w:t>
      </w:r>
      <w:proofErr w:type="spellStart"/>
      <w:r w:rsidRPr="00846CFC">
        <w:t>AusNet</w:t>
      </w:r>
      <w:proofErr w:type="spellEnd"/>
      <w:r w:rsidRPr="00846CFC">
        <w:t xml:space="preserve"> services, previously held by SPI </w:t>
      </w:r>
      <w:proofErr w:type="spellStart"/>
      <w:r w:rsidRPr="00846CFC">
        <w:t>PowerNet</w:t>
      </w:r>
      <w:proofErr w:type="spellEnd"/>
      <w:r w:rsidRPr="00846CFC">
        <w:t xml:space="preserve"> Pty Ltd.</w:t>
      </w:r>
    </w:p>
    <w:p w:rsidR="00AE2FC7" w:rsidRPr="00846CFC" w:rsidRDefault="00AE2FC7" w:rsidP="00541AF5">
      <w:pPr>
        <w:pStyle w:val="ListBullet"/>
      </w:pPr>
      <w:r w:rsidRPr="00846CFC">
        <w:t xml:space="preserve">Singapore Power International has a minority ownership in </w:t>
      </w:r>
      <w:proofErr w:type="spellStart"/>
      <w:r w:rsidRPr="00846CFC">
        <w:t>Jemena</w:t>
      </w:r>
      <w:proofErr w:type="spellEnd"/>
      <w:r w:rsidRPr="00846CFC">
        <w:t xml:space="preserve"> (which owns the </w:t>
      </w:r>
      <w:proofErr w:type="spellStart"/>
      <w:r w:rsidRPr="00846CFC">
        <w:t>Jemena</w:t>
      </w:r>
      <w:proofErr w:type="spellEnd"/>
      <w:r w:rsidRPr="00846CFC">
        <w:t xml:space="preserve"> DNSP in Victoria) and part owns the United Energy (Victoria) and </w:t>
      </w:r>
      <w:proofErr w:type="spellStart"/>
      <w:r w:rsidRPr="00846CFC">
        <w:t>ActewAGL</w:t>
      </w:r>
      <w:proofErr w:type="spellEnd"/>
      <w:r w:rsidRPr="00846CFC">
        <w:t xml:space="preserve"> (ACT) DNSPs (previously held a majority interest). Until 2014, Singapore Power International also had a 51 per cent stake in </w:t>
      </w:r>
      <w:proofErr w:type="spellStart"/>
      <w:r w:rsidRPr="00846CFC">
        <w:t>AusNet</w:t>
      </w:r>
      <w:proofErr w:type="spellEnd"/>
      <w:r w:rsidRPr="00846CFC">
        <w:t xml:space="preserve"> Services, which operates Victoria’s transmission business and the </w:t>
      </w:r>
      <w:proofErr w:type="spellStart"/>
      <w:r w:rsidRPr="00846CFC">
        <w:t>AusNet</w:t>
      </w:r>
      <w:proofErr w:type="spellEnd"/>
      <w:r w:rsidRPr="00846CFC">
        <w:t xml:space="preserve"> Services DNSPs</w:t>
      </w:r>
      <w:r w:rsidR="002979F9">
        <w:t>.</w:t>
      </w:r>
      <w:r>
        <w:t xml:space="preserve"> </w:t>
      </w:r>
      <w:r w:rsidR="002979F9">
        <w:t>It</w:t>
      </w:r>
      <w:r>
        <w:t xml:space="preserve"> maintains an ownership share of 31.1 per cent</w:t>
      </w:r>
      <w:r w:rsidRPr="00687648">
        <w:t xml:space="preserve"> of </w:t>
      </w:r>
      <w:proofErr w:type="spellStart"/>
      <w:r w:rsidRPr="00687648">
        <w:t>AusNet</w:t>
      </w:r>
      <w:proofErr w:type="spellEnd"/>
      <w:r w:rsidRPr="00687648">
        <w:t xml:space="preserve"> Services</w:t>
      </w:r>
      <w:r w:rsidRPr="00846CFC">
        <w:t xml:space="preserve">. </w:t>
      </w:r>
    </w:p>
    <w:p w:rsidR="00AE2FC7" w:rsidRPr="00846CFC" w:rsidRDefault="00AE2FC7" w:rsidP="00EB3CD7">
      <w:pPr>
        <w:pStyle w:val="Heading2"/>
      </w:pPr>
      <w:bookmarkStart w:id="66" w:name="_Toc409771594"/>
      <w:bookmarkStart w:id="67" w:name="_Toc423086448"/>
      <w:r w:rsidRPr="00846CFC">
        <w:t>Key features of distribution networks</w:t>
      </w:r>
      <w:bookmarkEnd w:id="66"/>
      <w:bookmarkEnd w:id="67"/>
    </w:p>
    <w:p w:rsidR="002979F9" w:rsidRPr="00846CFC" w:rsidRDefault="002979F9" w:rsidP="002979F9">
      <w:bookmarkStart w:id="68" w:name="_Toc409771595"/>
      <w:bookmarkStart w:id="69" w:name="_Toc412790549"/>
      <w:r w:rsidRPr="00846CFC">
        <w:t>The operating environment faced by each DNSP is unique. This section highlights significant factors</w:t>
      </w:r>
      <w:r>
        <w:t xml:space="preserve"> that affect operating environment</w:t>
      </w:r>
      <w:r w:rsidR="00541AF5">
        <w:t>s</w:t>
      </w:r>
      <w:r w:rsidRPr="00846CFC">
        <w:t xml:space="preserve">, as well as </w:t>
      </w:r>
      <w:r>
        <w:t>each DNSP's</w:t>
      </w:r>
      <w:r w:rsidRPr="00846CFC">
        <w:t xml:space="preserve"> environmental issues.</w:t>
      </w:r>
    </w:p>
    <w:p w:rsidR="00AE2FC7" w:rsidRPr="00846CFC" w:rsidRDefault="00AE2FC7" w:rsidP="00EB3CD7">
      <w:pPr>
        <w:pStyle w:val="Heading3"/>
      </w:pPr>
      <w:bookmarkStart w:id="70" w:name="_Toc413062028"/>
      <w:bookmarkStart w:id="71" w:name="_Toc413311029"/>
      <w:bookmarkStart w:id="72" w:name="_Toc423086449"/>
      <w:r w:rsidRPr="00846CFC">
        <w:t>Customers and line length</w:t>
      </w:r>
      <w:bookmarkEnd w:id="68"/>
      <w:bookmarkEnd w:id="69"/>
      <w:bookmarkEnd w:id="70"/>
      <w:bookmarkEnd w:id="71"/>
      <w:bookmarkEnd w:id="72"/>
    </w:p>
    <w:p w:rsidR="00AE2FC7" w:rsidRPr="00846CFC" w:rsidRDefault="00AE2FC7" w:rsidP="00AE2FC7">
      <w:r w:rsidRPr="00846CFC">
        <w:t xml:space="preserve">The DNSPs connect customers to the electricity supply through a network of overhead and underground lines. </w:t>
      </w:r>
    </w:p>
    <w:p w:rsidR="002979F9" w:rsidRPr="00846CFC" w:rsidRDefault="00AE2FC7" w:rsidP="002979F9">
      <w:r>
        <w:t>Figure </w:t>
      </w:r>
      <w:r w:rsidRPr="00846CFC">
        <w:t xml:space="preserve">3–2 shows a composite of the number of network customers served and the total line length for </w:t>
      </w:r>
      <w:r w:rsidR="00EB3CD7">
        <w:t xml:space="preserve">each </w:t>
      </w:r>
      <w:r w:rsidRPr="00846CFC">
        <w:t xml:space="preserve">DNSP. </w:t>
      </w:r>
      <w:r w:rsidR="002979F9">
        <w:t>Figure </w:t>
      </w:r>
      <w:r w:rsidR="002979F9" w:rsidRPr="00846CFC">
        <w:t xml:space="preserve">3–3 indicates the proportional composition of underground and overhead lines on each distribution network. </w:t>
      </w:r>
    </w:p>
    <w:p w:rsidR="00EB3CD7" w:rsidRPr="00846CFC" w:rsidRDefault="00EB3CD7" w:rsidP="00EB3CD7">
      <w:r w:rsidRPr="00846CFC">
        <w:t xml:space="preserve">The </w:t>
      </w:r>
      <w:proofErr w:type="gramStart"/>
      <w:r w:rsidRPr="00846CFC">
        <w:t xml:space="preserve">profile of a DNSPs' lines </w:t>
      </w:r>
      <w:r>
        <w:t>affect</w:t>
      </w:r>
      <w:proofErr w:type="gramEnd"/>
      <w:r w:rsidRPr="00846CFC">
        <w:t xml:space="preserve"> its cost structure in the following ways:</w:t>
      </w:r>
    </w:p>
    <w:p w:rsidR="00EB3CD7" w:rsidRPr="002979F9" w:rsidRDefault="00EB3CD7" w:rsidP="00541AF5">
      <w:pPr>
        <w:pStyle w:val="ListBullet"/>
      </w:pPr>
      <w:r w:rsidRPr="002979F9">
        <w:t>Underground lines:</w:t>
      </w:r>
    </w:p>
    <w:p w:rsidR="00EB3CD7" w:rsidRPr="00846CFC" w:rsidRDefault="00EB3CD7" w:rsidP="00541AF5">
      <w:pPr>
        <w:pStyle w:val="ListBullet2"/>
      </w:pPr>
      <w:r>
        <w:t>are s</w:t>
      </w:r>
      <w:r w:rsidRPr="00846CFC">
        <w:t xml:space="preserve">heltered from external factors (weather or human activities) </w:t>
      </w:r>
      <w:r>
        <w:t>so</w:t>
      </w:r>
      <w:r w:rsidRPr="00846CFC">
        <w:t xml:space="preserve"> are </w:t>
      </w:r>
      <w:r>
        <w:t>more reliable</w:t>
      </w:r>
    </w:p>
    <w:p w:rsidR="00EB3CD7" w:rsidRPr="00846CFC" w:rsidRDefault="00EB3CD7" w:rsidP="00541AF5">
      <w:pPr>
        <w:pStyle w:val="ListBullet2"/>
      </w:pPr>
      <w:r w:rsidRPr="00846CFC">
        <w:t xml:space="preserve">generally require less maintenance (apart from cable terminations at the ends), </w:t>
      </w:r>
      <w:r>
        <w:t>so</w:t>
      </w:r>
      <w:r w:rsidRPr="00846CFC">
        <w:t xml:space="preserve"> the</w:t>
      </w:r>
      <w:r>
        <w:t>ir</w:t>
      </w:r>
      <w:r w:rsidRPr="00846CFC">
        <w:t xml:space="preserve"> maintenance cost is substantially less than </w:t>
      </w:r>
      <w:r>
        <w:t>that for overhead lines</w:t>
      </w:r>
    </w:p>
    <w:p w:rsidR="00EB3CD7" w:rsidRPr="00846CFC" w:rsidRDefault="00EB3CD7" w:rsidP="00541AF5">
      <w:pPr>
        <w:pStyle w:val="ListBullet2"/>
      </w:pPr>
      <w:proofErr w:type="gramStart"/>
      <w:r>
        <w:t>in</w:t>
      </w:r>
      <w:proofErr w:type="gramEnd"/>
      <w:r>
        <w:t xml:space="preserve"> the case of f</w:t>
      </w:r>
      <w:r w:rsidRPr="00846CFC">
        <w:t xml:space="preserve">ailure or damage (for example, by excavator or tree roots) generally </w:t>
      </w:r>
      <w:r>
        <w:t>take</w:t>
      </w:r>
      <w:r w:rsidRPr="00846CFC">
        <w:t xml:space="preserve"> more time to locate and repair </w:t>
      </w:r>
      <w:r>
        <w:t>compared with</w:t>
      </w:r>
      <w:r w:rsidRPr="00846CFC">
        <w:t xml:space="preserve"> an overhead line.</w:t>
      </w:r>
    </w:p>
    <w:p w:rsidR="00EB3CD7" w:rsidRPr="00846CFC" w:rsidRDefault="00EB3CD7" w:rsidP="00EB3CD7">
      <w:pPr>
        <w:pStyle w:val="Bulletpoint"/>
        <w:keepNext/>
      </w:pPr>
      <w:r w:rsidRPr="00846CFC">
        <w:t>Overhead lines:</w:t>
      </w:r>
    </w:p>
    <w:p w:rsidR="00EB3CD7" w:rsidRPr="00846CFC" w:rsidRDefault="00EB3CD7" w:rsidP="00541AF5">
      <w:pPr>
        <w:pStyle w:val="ListBullet2"/>
      </w:pPr>
      <w:r>
        <w:t>are s</w:t>
      </w:r>
      <w:r w:rsidRPr="00846CFC">
        <w:t xml:space="preserve">ubstantially cheaper to build than underground cable circuits because the material is cheaper and requires less civil </w:t>
      </w:r>
      <w:r>
        <w:t xml:space="preserve">engineering </w:t>
      </w:r>
      <w:r w:rsidRPr="00846CFC">
        <w:t>work</w:t>
      </w:r>
    </w:p>
    <w:p w:rsidR="00EB3CD7" w:rsidRPr="002979F9" w:rsidRDefault="00EB3CD7" w:rsidP="00541AF5">
      <w:pPr>
        <w:pStyle w:val="ListBullet2"/>
      </w:pPr>
      <w:proofErr w:type="gramStart"/>
      <w:r w:rsidRPr="002979F9">
        <w:t>have</w:t>
      </w:r>
      <w:proofErr w:type="gramEnd"/>
      <w:r w:rsidRPr="002979F9">
        <w:t xml:space="preserve"> a higher maintenance cost compared with underground lines, due to structural costs (poles, cross arms, insulators, stays etc.) and the need for clearance and safety management (relating to trees, construction activities, the public etc.).</w:t>
      </w:r>
    </w:p>
    <w:p w:rsidR="00EB3CD7" w:rsidRPr="00846CFC" w:rsidRDefault="00EB3CD7" w:rsidP="00EB3CD7">
      <w:r w:rsidRPr="00846CFC">
        <w:t xml:space="preserve">Overhead lines are more predominant in rural areas </w:t>
      </w:r>
      <w:r>
        <w:t>because</w:t>
      </w:r>
      <w:r w:rsidRPr="00846CFC">
        <w:t xml:space="preserve"> they are significantly cheaper to construct. Underground lines are more common in </w:t>
      </w:r>
      <w:r>
        <w:t>central business district</w:t>
      </w:r>
      <w:r w:rsidRPr="00846CFC">
        <w:t xml:space="preserve"> and urban areas</w:t>
      </w:r>
      <w:r>
        <w:t>,</w:t>
      </w:r>
      <w:r w:rsidRPr="00846CFC">
        <w:t xml:space="preserve"> where they are often located with other infrastructure assets such as water, telecom</w:t>
      </w:r>
      <w:r>
        <w:t>munication</w:t>
      </w:r>
      <w:r w:rsidRPr="00846CFC">
        <w:t>s and gas.</w:t>
      </w:r>
      <w:r w:rsidRPr="002979F9">
        <w:t xml:space="preserve"> </w:t>
      </w:r>
      <w:r w:rsidRPr="00846CFC">
        <w:t>In most new residential subdivisions and customer growth areas</w:t>
      </w:r>
      <w:r>
        <w:t>,</w:t>
      </w:r>
      <w:r w:rsidRPr="00846CFC">
        <w:t xml:space="preserve"> lines are now built underground as standard.</w:t>
      </w:r>
      <w:r>
        <w:t xml:space="preserve"> </w:t>
      </w:r>
    </w:p>
    <w:p w:rsidR="00AE2FC7" w:rsidRDefault="00AE2FC7" w:rsidP="00972E3F">
      <w:pPr>
        <w:pStyle w:val="Caption"/>
      </w:pPr>
      <w:r>
        <w:t>Figure </w:t>
      </w:r>
      <w:r w:rsidRPr="00846CFC">
        <w:t>3–2</w:t>
      </w:r>
      <w:r w:rsidRPr="00846CFC">
        <w:tab/>
        <w:t>Total customers</w:t>
      </w:r>
      <w:r w:rsidR="002979F9">
        <w:t xml:space="preserve"> and </w:t>
      </w:r>
      <w:r w:rsidRPr="00846CFC">
        <w:t>line length</w:t>
      </w:r>
      <w:r w:rsidR="002979F9">
        <w:t xml:space="preserve"> by DNSP</w:t>
      </w:r>
      <w:r w:rsidRPr="00846CFC">
        <w:t>, 2013</w:t>
      </w:r>
    </w:p>
    <w:p w:rsidR="00071DFC" w:rsidRDefault="00071DFC" w:rsidP="00AE2FC7">
      <w:r w:rsidRPr="00071DFC">
        <w:rPr>
          <w:noProof/>
          <w:lang w:eastAsia="en-AU"/>
        </w:rPr>
        <w:drawing>
          <wp:inline distT="0" distB="0" distL="0" distR="0" wp14:anchorId="64B6E248" wp14:editId="5713C99C">
            <wp:extent cx="4572000" cy="2772461"/>
            <wp:effectExtent l="0" t="0" r="0" b="8890"/>
            <wp:docPr id="422" name="Chart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2FC7" w:rsidRDefault="00AE2FC7" w:rsidP="00972E3F">
      <w:pPr>
        <w:pStyle w:val="Caption"/>
      </w:pPr>
      <w:r>
        <w:t>Figure </w:t>
      </w:r>
      <w:r w:rsidRPr="00846CFC">
        <w:t>3–3</w:t>
      </w:r>
      <w:r w:rsidRPr="00846CFC">
        <w:tab/>
        <w:t xml:space="preserve">Proportion of overhead and underground lines </w:t>
      </w:r>
      <w:r w:rsidR="002979F9">
        <w:t xml:space="preserve">by DNSP, </w:t>
      </w:r>
      <w:r w:rsidRPr="00846CFC">
        <w:t>2013</w:t>
      </w:r>
    </w:p>
    <w:p w:rsidR="00AE2FC7" w:rsidRPr="00B3636B" w:rsidRDefault="00071DFC" w:rsidP="00AE2FC7">
      <w:r w:rsidRPr="00071DFC">
        <w:rPr>
          <w:noProof/>
          <w:lang w:eastAsia="en-AU"/>
        </w:rPr>
        <w:drawing>
          <wp:inline distT="0" distB="0" distL="0" distR="0" wp14:anchorId="2D2A3D44" wp14:editId="487D1A24">
            <wp:extent cx="4229100" cy="2743200"/>
            <wp:effectExtent l="0" t="0" r="0" b="0"/>
            <wp:docPr id="423" name="Chart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2FC7" w:rsidRPr="00846CFC" w:rsidRDefault="00AE2FC7" w:rsidP="00EB3CD7">
      <w:pPr>
        <w:pStyle w:val="Heading3"/>
      </w:pPr>
      <w:bookmarkStart w:id="73" w:name="_Toc413062029"/>
      <w:bookmarkStart w:id="74" w:name="_Toc413311030"/>
      <w:bookmarkStart w:id="75" w:name="_Toc423086450"/>
      <w:r w:rsidRPr="00846CFC">
        <w:t>Customer density</w:t>
      </w:r>
      <w:bookmarkEnd w:id="73"/>
      <w:bookmarkEnd w:id="74"/>
      <w:bookmarkEnd w:id="75"/>
    </w:p>
    <w:p w:rsidR="00AE2FC7" w:rsidRPr="00846CFC" w:rsidRDefault="00AE2FC7" w:rsidP="00AE2FC7">
      <w:r w:rsidRPr="00846CFC">
        <w:t>Customer density measures the average number of customers connected per kilometre of distribution line (</w:t>
      </w:r>
      <w:r>
        <w:t>Figure </w:t>
      </w:r>
      <w:r w:rsidRPr="00846CFC">
        <w:t xml:space="preserve">3–4). </w:t>
      </w:r>
      <w:r w:rsidR="002979F9">
        <w:t>It</w:t>
      </w:r>
      <w:r w:rsidRPr="00846CFC">
        <w:t xml:space="preserve"> is used to group key drivers of both operational and capital expenditure. These drivers include, but are not limited to:</w:t>
      </w:r>
    </w:p>
    <w:p w:rsidR="00AE2FC7" w:rsidRPr="00846CFC" w:rsidRDefault="00AE2FC7" w:rsidP="00541AF5">
      <w:pPr>
        <w:pStyle w:val="ListBullet"/>
      </w:pPr>
      <w:r w:rsidRPr="00846CFC">
        <w:t>asset spacing</w:t>
      </w:r>
    </w:p>
    <w:p w:rsidR="00AE2FC7" w:rsidRPr="00846CFC" w:rsidRDefault="00AE2FC7" w:rsidP="00541AF5">
      <w:pPr>
        <w:pStyle w:val="ListBullet"/>
      </w:pPr>
      <w:r w:rsidRPr="00846CFC">
        <w:t>asset exposure</w:t>
      </w:r>
    </w:p>
    <w:p w:rsidR="00AE2FC7" w:rsidRPr="00846CFC" w:rsidRDefault="00AE2FC7" w:rsidP="00541AF5">
      <w:pPr>
        <w:pStyle w:val="ListBullet"/>
      </w:pPr>
      <w:r w:rsidRPr="00846CFC">
        <w:t>travel time</w:t>
      </w:r>
    </w:p>
    <w:p w:rsidR="00AE2FC7" w:rsidRPr="00846CFC" w:rsidRDefault="00AE2FC7" w:rsidP="00541AF5">
      <w:pPr>
        <w:pStyle w:val="ListBullet"/>
      </w:pPr>
      <w:r w:rsidRPr="00846CFC">
        <w:t>traffic management</w:t>
      </w:r>
    </w:p>
    <w:p w:rsidR="00AE2FC7" w:rsidRPr="00846CFC" w:rsidRDefault="00AE2FC7" w:rsidP="00541AF5">
      <w:pPr>
        <w:pStyle w:val="ListBullet"/>
      </w:pPr>
      <w:r w:rsidRPr="00846CFC">
        <w:t>asset complexity</w:t>
      </w:r>
    </w:p>
    <w:p w:rsidR="00AE2FC7" w:rsidRPr="00846CFC" w:rsidRDefault="00AE2FC7" w:rsidP="00541AF5">
      <w:pPr>
        <w:pStyle w:val="ListBullet"/>
      </w:pPr>
      <w:r w:rsidRPr="00846CFC">
        <w:t>proximity to third</w:t>
      </w:r>
      <w:r w:rsidR="007A3240">
        <w:t>–</w:t>
      </w:r>
      <w:r w:rsidRPr="00846CFC">
        <w:t>party assets</w:t>
      </w:r>
    </w:p>
    <w:p w:rsidR="00AE2FC7" w:rsidRPr="00846CFC" w:rsidRDefault="00AE2FC7" w:rsidP="00541AF5">
      <w:pPr>
        <w:pStyle w:val="ListBullet"/>
      </w:pPr>
      <w:r w:rsidRPr="00846CFC">
        <w:t>proportion of overhead/underground lines</w:t>
      </w:r>
    </w:p>
    <w:p w:rsidR="00AE2FC7" w:rsidRPr="00846CFC" w:rsidRDefault="006939A8" w:rsidP="00541AF5">
      <w:pPr>
        <w:pStyle w:val="ListBullet"/>
      </w:pPr>
      <w:proofErr w:type="gramStart"/>
      <w:r>
        <w:t>landscape</w:t>
      </w:r>
      <w:proofErr w:type="gramEnd"/>
      <w:r>
        <w:t xml:space="preserve"> and environment</w:t>
      </w:r>
      <w:r w:rsidR="00AE2FC7" w:rsidRPr="00846CFC">
        <w:t>.</w:t>
      </w:r>
    </w:p>
    <w:p w:rsidR="00AE2FC7" w:rsidRPr="00846CFC" w:rsidRDefault="00645FF5" w:rsidP="00AE2FC7">
      <w:r w:rsidRPr="00846CFC">
        <w:t xml:space="preserve">Generally </w:t>
      </w:r>
      <w:r w:rsidR="00AE2FC7" w:rsidRPr="00846CFC">
        <w:t xml:space="preserve">it is more expensive to provide electricity to a customer in a rural area than in areas where customers are more closely located. </w:t>
      </w:r>
    </w:p>
    <w:p w:rsidR="00AE2FC7" w:rsidRDefault="00AE2FC7" w:rsidP="00972E3F">
      <w:pPr>
        <w:pStyle w:val="Caption"/>
      </w:pPr>
      <w:r>
        <w:t>Figure </w:t>
      </w:r>
      <w:r w:rsidRPr="00846CFC">
        <w:t>3–4</w:t>
      </w:r>
      <w:r w:rsidRPr="00846CFC">
        <w:tab/>
        <w:t>Customer density</w:t>
      </w:r>
      <w:r w:rsidR="00645FF5">
        <w:t xml:space="preserve"> by DNSP</w:t>
      </w:r>
      <w:r w:rsidRPr="00846CFC">
        <w:t>, 2013</w:t>
      </w:r>
    </w:p>
    <w:p w:rsidR="00AE2FC7" w:rsidRPr="00B3636B" w:rsidRDefault="00071DFC" w:rsidP="00972E3F">
      <w:pPr>
        <w:pStyle w:val="Caption"/>
      </w:pPr>
      <w:r w:rsidRPr="00071DFC">
        <w:rPr>
          <w:noProof/>
          <w:lang w:eastAsia="en-AU"/>
        </w:rPr>
        <w:drawing>
          <wp:inline distT="0" distB="0" distL="0" distR="0" wp14:anchorId="0260B903" wp14:editId="53A66B13">
            <wp:extent cx="4572000" cy="1938338"/>
            <wp:effectExtent l="0" t="0" r="0" b="5080"/>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2FC7" w:rsidRPr="00846CFC" w:rsidRDefault="00EB3CD7" w:rsidP="00AE2FC7">
      <w:r w:rsidRPr="00846CFC">
        <w:t xml:space="preserve">The </w:t>
      </w:r>
      <w:r w:rsidR="00645FF5" w:rsidRPr="00846CFC">
        <w:t xml:space="preserve">number and proportion of network customers </w:t>
      </w:r>
      <w:r w:rsidR="00645FF5">
        <w:t>that</w:t>
      </w:r>
      <w:r w:rsidR="00645FF5" w:rsidRPr="00846CFC">
        <w:t xml:space="preserve"> the DNSPs </w:t>
      </w:r>
      <w:r w:rsidR="00645FF5">
        <w:t xml:space="preserve">classify </w:t>
      </w:r>
      <w:r w:rsidR="00645FF5" w:rsidRPr="00846CFC">
        <w:t xml:space="preserve">into </w:t>
      </w:r>
      <w:r w:rsidR="00645FF5">
        <w:t xml:space="preserve">our </w:t>
      </w:r>
      <w:r w:rsidR="00645FF5" w:rsidRPr="00846CFC">
        <w:t xml:space="preserve">standard feeder categories </w:t>
      </w:r>
      <w:r>
        <w:t xml:space="preserve">is useful for understanding customer density </w:t>
      </w:r>
      <w:r w:rsidR="00AE2FC7" w:rsidRPr="00846CFC">
        <w:t>(</w:t>
      </w:r>
      <w:r w:rsidR="00AA3077">
        <w:t>Figure 3.5</w:t>
      </w:r>
      <w:r w:rsidR="00645FF5">
        <w:t>,</w:t>
      </w:r>
      <w:r w:rsidR="00AA3077">
        <w:t xml:space="preserve"> also </w:t>
      </w:r>
      <w:r w:rsidR="00AE2FC7" w:rsidRPr="00846CFC">
        <w:t xml:space="preserve">see </w:t>
      </w:r>
      <w:r w:rsidR="00AE2FC7">
        <w:t>Table 8</w:t>
      </w:r>
      <w:r w:rsidR="00AE2FC7" w:rsidRPr="00846CFC">
        <w:t xml:space="preserve">–2 and </w:t>
      </w:r>
      <w:r w:rsidR="00AE2FC7">
        <w:t>Table 8</w:t>
      </w:r>
      <w:r w:rsidR="00AE2FC7" w:rsidRPr="00846CFC">
        <w:t xml:space="preserve">–3). </w:t>
      </w:r>
    </w:p>
    <w:p w:rsidR="00AE2FC7" w:rsidRDefault="00AE2FC7" w:rsidP="00972E3F">
      <w:pPr>
        <w:pStyle w:val="Caption"/>
      </w:pPr>
      <w:r>
        <w:t>Figure </w:t>
      </w:r>
      <w:r w:rsidRPr="00846CFC">
        <w:t>3–5</w:t>
      </w:r>
      <w:r w:rsidRPr="00846CFC">
        <w:tab/>
        <w:t>Proportion</w:t>
      </w:r>
      <w:r w:rsidR="00645FF5">
        <w:t xml:space="preserve"> </w:t>
      </w:r>
      <w:r w:rsidRPr="00846CFC">
        <w:t>of customers by feeder category</w:t>
      </w:r>
      <w:r w:rsidR="00645FF5">
        <w:t xml:space="preserve"> and DNSP</w:t>
      </w:r>
      <w:r w:rsidRPr="00846CFC">
        <w:t>, 2013</w:t>
      </w:r>
    </w:p>
    <w:p w:rsidR="00AE2FC7" w:rsidRPr="00B3636B" w:rsidRDefault="00071DFC" w:rsidP="00AE2FC7">
      <w:r w:rsidRPr="00071DFC">
        <w:rPr>
          <w:noProof/>
          <w:lang w:eastAsia="en-AU"/>
        </w:rPr>
        <w:drawing>
          <wp:inline distT="0" distB="0" distL="0" distR="0" wp14:anchorId="3266A095" wp14:editId="262B3518">
            <wp:extent cx="4572000" cy="2743200"/>
            <wp:effectExtent l="0" t="0" r="0" b="0"/>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2FC7" w:rsidRPr="00846CFC" w:rsidRDefault="00AE2FC7" w:rsidP="00AE2FC7">
      <w:pPr>
        <w:pStyle w:val="Heading1"/>
      </w:pPr>
      <w:bookmarkStart w:id="76" w:name="_Toc409771596"/>
      <w:bookmarkStart w:id="77" w:name="_Toc423086451"/>
      <w:r w:rsidRPr="00846CFC">
        <w:t>Demand</w:t>
      </w:r>
      <w:bookmarkEnd w:id="76"/>
      <w:bookmarkEnd w:id="77"/>
    </w:p>
    <w:p w:rsidR="00645FF5" w:rsidRPr="00846CFC" w:rsidRDefault="00645FF5" w:rsidP="00645FF5">
      <w:bookmarkStart w:id="78" w:name="_Toc409771597"/>
      <w:r w:rsidRPr="00846CFC">
        <w:t xml:space="preserve">This chapter provides forecast and actual information </w:t>
      </w:r>
      <w:r>
        <w:t>on</w:t>
      </w:r>
      <w:r w:rsidRPr="00846CFC">
        <w:t xml:space="preserve"> energy delivered</w:t>
      </w:r>
      <w:r>
        <w:t xml:space="preserve"> </w:t>
      </w:r>
      <w:r w:rsidRPr="00846CFC">
        <w:t>and maximum demand for the</w:t>
      </w:r>
      <w:r>
        <w:t xml:space="preserve"> </w:t>
      </w:r>
      <w:r w:rsidRPr="00846CFC">
        <w:t xml:space="preserve">DNSPs. Forecast growth in maximum demand </w:t>
      </w:r>
      <w:r>
        <w:t xml:space="preserve">is </w:t>
      </w:r>
      <w:r w:rsidRPr="00846CFC">
        <w:t>a key driver of network investment and</w:t>
      </w:r>
      <w:r>
        <w:t>,</w:t>
      </w:r>
      <w:r w:rsidRPr="00846CFC">
        <w:t xml:space="preserve"> therefore</w:t>
      </w:r>
      <w:r>
        <w:t>,</w:t>
      </w:r>
      <w:r w:rsidRPr="00846CFC">
        <w:t xml:space="preserve"> revenue. </w:t>
      </w:r>
    </w:p>
    <w:p w:rsidR="00AE2FC7" w:rsidRPr="00846CFC" w:rsidRDefault="00AE2FC7" w:rsidP="00541AF5">
      <w:pPr>
        <w:pStyle w:val="Heading2"/>
      </w:pPr>
      <w:bookmarkStart w:id="79" w:name="_Toc423086452"/>
      <w:r w:rsidRPr="00846CFC">
        <w:t>Energy delivered</w:t>
      </w:r>
      <w:bookmarkEnd w:id="78"/>
      <w:bookmarkEnd w:id="79"/>
    </w:p>
    <w:p w:rsidR="00645FF5" w:rsidRPr="00846CFC" w:rsidRDefault="00645FF5" w:rsidP="00645FF5">
      <w:r>
        <w:t xml:space="preserve">Maximum demand is a measure of the peak amount of energy delivered to customers. </w:t>
      </w:r>
      <w:r w:rsidRPr="00846CFC">
        <w:t>The NEM supplies electricity to over nine million residential and business customers. In 2013 the DNSPs delivered more than 143</w:t>
      </w:r>
      <w:r>
        <w:t> </w:t>
      </w:r>
      <w:proofErr w:type="spellStart"/>
      <w:r w:rsidRPr="00846CFC">
        <w:t>TWh</w:t>
      </w:r>
      <w:proofErr w:type="spellEnd"/>
      <w:r w:rsidRPr="00846CFC">
        <w:t xml:space="preserve"> of electricity</w:t>
      </w:r>
      <w:r w:rsidRPr="00645FF5">
        <w:t>—</w:t>
      </w:r>
      <w:r w:rsidRPr="00846CFC">
        <w:t>a 1.3</w:t>
      </w:r>
      <w:r>
        <w:t> </w:t>
      </w:r>
      <w:r w:rsidRPr="00846CFC">
        <w:t xml:space="preserve">per cent reduction </w:t>
      </w:r>
      <w:r>
        <w:t>on</w:t>
      </w:r>
      <w:r w:rsidRPr="00846CFC">
        <w:t xml:space="preserve"> the previous year</w:t>
      </w:r>
      <w:r>
        <w:t xml:space="preserve">'s </w:t>
      </w:r>
      <w:proofErr w:type="gramStart"/>
      <w:r>
        <w:t>total</w:t>
      </w:r>
      <w:r w:rsidRPr="00846CFC">
        <w:t>,</w:t>
      </w:r>
      <w:proofErr w:type="gramEnd"/>
      <w:r w:rsidRPr="00846CFC">
        <w:t xml:space="preserve"> and approximately 7.3</w:t>
      </w:r>
      <w:r>
        <w:t> </w:t>
      </w:r>
      <w:r w:rsidRPr="00846CFC">
        <w:t>per cent below forecast. This outcome continue</w:t>
      </w:r>
      <w:r>
        <w:t>d</w:t>
      </w:r>
      <w:r w:rsidRPr="00846CFC">
        <w:t xml:space="preserve"> a trend of declining electricity demand since 2010. </w:t>
      </w:r>
    </w:p>
    <w:p w:rsidR="00645FF5" w:rsidRPr="00846CFC" w:rsidRDefault="00645FF5" w:rsidP="00645FF5">
      <w:r w:rsidRPr="00846CFC">
        <w:t>T</w:t>
      </w:r>
      <w:r>
        <w:t>he decline in t</w:t>
      </w:r>
      <w:r w:rsidRPr="00846CFC">
        <w:t xml:space="preserve">otal electricity supplied through the distribution network </w:t>
      </w:r>
      <w:r>
        <w:t>reflects</w:t>
      </w:r>
      <w:r w:rsidRPr="00846CFC">
        <w:t>:</w:t>
      </w:r>
    </w:p>
    <w:p w:rsidR="00645FF5" w:rsidRPr="00846CFC" w:rsidRDefault="00645FF5" w:rsidP="00645FF5">
      <w:pPr>
        <w:pStyle w:val="Bulletpoint"/>
      </w:pPr>
      <w:proofErr w:type="gramStart"/>
      <w:r w:rsidRPr="00846CFC">
        <w:t>commercial</w:t>
      </w:r>
      <w:proofErr w:type="gramEnd"/>
      <w:r w:rsidRPr="00846CFC">
        <w:t xml:space="preserve"> and residential customers responding to higher electricity costs by reducing energy use and adopting energy efficiency measures such as solar water heating. New building regulations on energy efficiency reinforce this </w:t>
      </w:r>
      <w:r>
        <w:t>behaviour</w:t>
      </w:r>
    </w:p>
    <w:p w:rsidR="00645FF5" w:rsidRPr="00846CFC" w:rsidRDefault="00645FF5" w:rsidP="00645FF5">
      <w:pPr>
        <w:pStyle w:val="Bulletpoint"/>
      </w:pPr>
      <w:r w:rsidRPr="00846CFC">
        <w:t>subdued economic growth and weaker energy demand from the manufacturing sector</w:t>
      </w:r>
    </w:p>
    <w:p w:rsidR="00645FF5" w:rsidRPr="00846CFC" w:rsidRDefault="00645FF5" w:rsidP="00645FF5">
      <w:pPr>
        <w:pStyle w:val="Bulletpoint"/>
      </w:pPr>
      <w:proofErr w:type="gramStart"/>
      <w:r w:rsidRPr="00846CFC">
        <w:t>the</w:t>
      </w:r>
      <w:proofErr w:type="gramEnd"/>
      <w:r w:rsidRPr="00846CFC">
        <w:t xml:space="preserve"> continued rise in rooftop solar photovoltaic (PV) generation (which reduces demand for electricity supplied through the grid). </w:t>
      </w:r>
    </w:p>
    <w:p w:rsidR="00645FF5" w:rsidRDefault="00645FF5" w:rsidP="00645FF5">
      <w:proofErr w:type="gramStart"/>
      <w:r>
        <w:t>Over</w:t>
      </w:r>
      <w:r w:rsidRPr="00846CFC">
        <w:t xml:space="preserve"> 20</w:t>
      </w:r>
      <w:r>
        <w:t>11–</w:t>
      </w:r>
      <w:r w:rsidRPr="00846CFC">
        <w:t xml:space="preserve">13 </w:t>
      </w:r>
      <w:r>
        <w:t>the DNSPs total energy delivery</w:t>
      </w:r>
      <w:r w:rsidRPr="00846CFC">
        <w:t xml:space="preserve"> </w:t>
      </w:r>
      <w:r>
        <w:t>fell by an average of 1.4 </w:t>
      </w:r>
      <w:r w:rsidRPr="00846CFC">
        <w:t xml:space="preserve">per cent </w:t>
      </w:r>
      <w:r>
        <w:t>each</w:t>
      </w:r>
      <w:r w:rsidRPr="00846CFC">
        <w:t xml:space="preserve"> </w:t>
      </w:r>
      <w:r>
        <w:t>year.</w:t>
      </w:r>
      <w:proofErr w:type="gramEnd"/>
      <w:r>
        <w:t xml:space="preserve"> I</w:t>
      </w:r>
      <w:r w:rsidRPr="00846CFC">
        <w:t>t</w:t>
      </w:r>
      <w:r>
        <w:t xml:space="preserve"> </w:t>
      </w:r>
      <w:r w:rsidRPr="00846CFC">
        <w:t>was 5</w:t>
      </w:r>
      <w:r>
        <w:t>.3 </w:t>
      </w:r>
      <w:r w:rsidRPr="00846CFC">
        <w:t xml:space="preserve">per cent below </w:t>
      </w:r>
      <w:r>
        <w:t>our approved</w:t>
      </w:r>
      <w:r w:rsidRPr="00846CFC">
        <w:t xml:space="preserve"> forecast</w:t>
      </w:r>
      <w:r>
        <w:t xml:space="preserve"> for the period.</w:t>
      </w:r>
    </w:p>
    <w:p w:rsidR="00AE2FC7" w:rsidRDefault="00AE2FC7" w:rsidP="00972E3F">
      <w:pPr>
        <w:pStyle w:val="Caption"/>
      </w:pPr>
      <w:r>
        <w:t>Figure </w:t>
      </w:r>
      <w:r w:rsidRPr="00846CFC">
        <w:t>4–1</w:t>
      </w:r>
      <w:r w:rsidRPr="00846CFC">
        <w:tab/>
        <w:t>Average annual energy delivered</w:t>
      </w:r>
      <w:r w:rsidR="00645FF5">
        <w:t xml:space="preserve"> by DNSP</w:t>
      </w:r>
      <w:r w:rsidRPr="00846CFC">
        <w:t>, 2011</w:t>
      </w:r>
      <w:r w:rsidR="007A3240">
        <w:t>–</w:t>
      </w:r>
      <w:r w:rsidRPr="00846CFC">
        <w:t>13</w:t>
      </w:r>
    </w:p>
    <w:p w:rsidR="00E9693C" w:rsidRPr="00E9693C" w:rsidRDefault="00E9693C" w:rsidP="00E9693C">
      <w:r w:rsidRPr="00E9693C">
        <w:rPr>
          <w:noProof/>
          <w:lang w:eastAsia="en-AU"/>
        </w:rPr>
        <w:drawing>
          <wp:inline distT="0" distB="0" distL="0" distR="0" wp14:anchorId="62A09FB3" wp14:editId="471B88E4">
            <wp:extent cx="4572000" cy="2743200"/>
            <wp:effectExtent l="0" t="0" r="0" b="0"/>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06AD" w:rsidRDefault="00D906AD" w:rsidP="00D906AD">
      <w:r>
        <w:t>Figure </w:t>
      </w:r>
      <w:r w:rsidRPr="00846CFC">
        <w:t xml:space="preserve">4–1 compares average annual energy delivered by the DNSPs with </w:t>
      </w:r>
      <w:r>
        <w:t>our</w:t>
      </w:r>
      <w:r w:rsidRPr="00846CFC">
        <w:t xml:space="preserve"> approved forecasts over 2011</w:t>
      </w:r>
      <w:r>
        <w:t>–</w:t>
      </w:r>
      <w:r w:rsidRPr="00846CFC">
        <w:t>13.</w:t>
      </w:r>
      <w:r>
        <w:t xml:space="preserve"> For the period, it shows:</w:t>
      </w:r>
    </w:p>
    <w:p w:rsidR="00D906AD" w:rsidRPr="00846CFC" w:rsidRDefault="00D906AD" w:rsidP="00D906AD">
      <w:pPr>
        <w:pStyle w:val="Bulletpoint"/>
      </w:pPr>
      <w:r w:rsidRPr="00846CFC">
        <w:t xml:space="preserve">two DNSPs (United Energy and JEN) delivered more energy than </w:t>
      </w:r>
      <w:r>
        <w:t>our approved</w:t>
      </w:r>
      <w:r w:rsidRPr="00846CFC">
        <w:t xml:space="preserve"> forecasts</w:t>
      </w:r>
    </w:p>
    <w:p w:rsidR="00D906AD" w:rsidRPr="00846CFC" w:rsidRDefault="00D906AD" w:rsidP="00D906AD">
      <w:pPr>
        <w:pStyle w:val="Bulletpoint"/>
      </w:pPr>
      <w:proofErr w:type="gramStart"/>
      <w:r w:rsidRPr="00846CFC">
        <w:t>four</w:t>
      </w:r>
      <w:proofErr w:type="gramEnd"/>
      <w:r w:rsidRPr="00846CFC">
        <w:t xml:space="preserve"> DNSP</w:t>
      </w:r>
      <w:r w:rsidR="00A51A6F">
        <w:t>’</w:t>
      </w:r>
      <w:r w:rsidRPr="00846CFC">
        <w:t>s e</w:t>
      </w:r>
      <w:r>
        <w:t>nergy delivery was less than 95 </w:t>
      </w:r>
      <w:r w:rsidRPr="00846CFC">
        <w:t xml:space="preserve">per cent of </w:t>
      </w:r>
      <w:r>
        <w:t>our approved</w:t>
      </w:r>
      <w:r w:rsidRPr="00846CFC">
        <w:t xml:space="preserve"> ene</w:t>
      </w:r>
      <w:r>
        <w:t xml:space="preserve">rgy forecasts: Ergon Energy (18 </w:t>
      </w:r>
      <w:r w:rsidRPr="00846CFC">
        <w:t xml:space="preserve">per cent </w:t>
      </w:r>
      <w:r>
        <w:t>less than forecast), Energex (8 </w:t>
      </w:r>
      <w:r w:rsidRPr="00846CFC">
        <w:t>per cent</w:t>
      </w:r>
      <w:r>
        <w:t xml:space="preserve"> less), Endeavour Energy (5 </w:t>
      </w:r>
      <w:r w:rsidRPr="00846CFC">
        <w:t>per cent</w:t>
      </w:r>
      <w:r>
        <w:t xml:space="preserve"> less) and </w:t>
      </w:r>
      <w:proofErr w:type="spellStart"/>
      <w:r>
        <w:t>AusNet</w:t>
      </w:r>
      <w:proofErr w:type="spellEnd"/>
      <w:r>
        <w:t xml:space="preserve"> Services (5 </w:t>
      </w:r>
      <w:r w:rsidRPr="00846CFC">
        <w:t>per cent</w:t>
      </w:r>
      <w:r>
        <w:t xml:space="preserve"> less</w:t>
      </w:r>
      <w:r w:rsidRPr="00846CFC">
        <w:t>).</w:t>
      </w:r>
    </w:p>
    <w:p w:rsidR="00645FF5" w:rsidRPr="00846CFC" w:rsidRDefault="00645FF5" w:rsidP="00645FF5">
      <w:r>
        <w:t>Figure </w:t>
      </w:r>
      <w:r w:rsidRPr="00846CFC">
        <w:t>4–2 shows the average annual energy delivered per customer</w:t>
      </w:r>
      <w:r w:rsidR="00FD12CC">
        <w:rPr>
          <w:rStyle w:val="FootnoteReference"/>
        </w:rPr>
        <w:footnoteReference w:id="5"/>
      </w:r>
      <w:r w:rsidRPr="00846CFC">
        <w:t xml:space="preserve"> for each DNSP in the NEM over 2011</w:t>
      </w:r>
      <w:r>
        <w:t>–</w:t>
      </w:r>
      <w:r w:rsidRPr="00846CFC">
        <w:t xml:space="preserve">13. Energy delivered per customer reflects the customer profile on each distribution network. </w:t>
      </w:r>
      <w:r>
        <w:t>T</w:t>
      </w:r>
      <w:r w:rsidRPr="00846CFC">
        <w:t>he average Ergon Energy customer</w:t>
      </w:r>
      <w:r>
        <w:t>, for example,</w:t>
      </w:r>
      <w:r w:rsidRPr="00846CFC">
        <w:t xml:space="preserve"> consumes a relatively high amount of energy </w:t>
      </w:r>
      <w:r>
        <w:t>because</w:t>
      </w:r>
      <w:r w:rsidRPr="00846CFC">
        <w:t xml:space="preserve"> its major customers includ</w:t>
      </w:r>
      <w:r>
        <w:t>e</w:t>
      </w:r>
      <w:r w:rsidRPr="00846CFC">
        <w:t xml:space="preserve"> coal mining operations, coal exporting terminals, Queensland Rail, the sugar industry, beef processing facilities and resorts. These high use customers contribute to Ergon Energy being the second largest supplier of energy despite serving only the seventh most network customers of all DNSPs in the NEM. Other networks may have higher numbers of light commercial or residential customers, with high air conditioning penetration, </w:t>
      </w:r>
      <w:r>
        <w:t>which increases their</w:t>
      </w:r>
      <w:r w:rsidRPr="00846CFC">
        <w:t xml:space="preserve"> average energy delivered compared </w:t>
      </w:r>
      <w:r>
        <w:t>with</w:t>
      </w:r>
      <w:r w:rsidRPr="00846CFC">
        <w:t xml:space="preserve"> networks with lower air conditioning penetration.</w:t>
      </w:r>
    </w:p>
    <w:p w:rsidR="00AE2FC7" w:rsidRDefault="00AE2FC7" w:rsidP="00972E3F">
      <w:pPr>
        <w:pStyle w:val="Caption"/>
      </w:pPr>
      <w:r>
        <w:t>Figure </w:t>
      </w:r>
      <w:r w:rsidRPr="00846CFC">
        <w:t>4–2</w:t>
      </w:r>
      <w:r w:rsidRPr="00846CFC">
        <w:tab/>
        <w:t>Average annual energy delivered per customer</w:t>
      </w:r>
      <w:r w:rsidR="00645FF5">
        <w:t xml:space="preserve"> by DNSP</w:t>
      </w:r>
      <w:r w:rsidRPr="00846CFC">
        <w:t>, 2011</w:t>
      </w:r>
      <w:r w:rsidR="007A3240">
        <w:t>–</w:t>
      </w:r>
      <w:r w:rsidRPr="00846CFC">
        <w:t>13</w:t>
      </w:r>
    </w:p>
    <w:p w:rsidR="00AE2FC7" w:rsidRDefault="003F5781" w:rsidP="00AE2FC7">
      <w:r>
        <w:rPr>
          <w:noProof/>
          <w:lang w:eastAsia="en-AU"/>
        </w:rPr>
        <w:drawing>
          <wp:inline distT="0" distB="0" distL="0" distR="0" wp14:anchorId="065F7E21" wp14:editId="18766FAA">
            <wp:extent cx="4572000" cy="27908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2FC7" w:rsidRPr="00846CFC" w:rsidRDefault="00AE2FC7" w:rsidP="00541AF5">
      <w:pPr>
        <w:pStyle w:val="Heading2"/>
      </w:pPr>
      <w:bookmarkStart w:id="80" w:name="_Toc409771598"/>
      <w:bookmarkStart w:id="81" w:name="_Toc423086453"/>
      <w:r w:rsidRPr="00846CFC">
        <w:t>Maximum demand</w:t>
      </w:r>
      <w:bookmarkEnd w:id="80"/>
      <w:bookmarkEnd w:id="81"/>
    </w:p>
    <w:p w:rsidR="00645FF5" w:rsidRPr="00846CFC" w:rsidRDefault="00645FF5" w:rsidP="00645FF5">
      <w:r w:rsidRPr="00846CFC">
        <w:t>Maximum demand for a network typically occurs on days of extreme weather</w:t>
      </w:r>
      <w:r>
        <w:t xml:space="preserve">, when </w:t>
      </w:r>
      <w:r w:rsidRPr="00846CFC">
        <w:t>many users us</w:t>
      </w:r>
      <w:r w:rsidR="003F5781">
        <w:t>e</w:t>
      </w:r>
      <w:r w:rsidRPr="00846CFC">
        <w:t xml:space="preserve"> a lot of electricity at the same time. </w:t>
      </w:r>
      <w:r w:rsidR="003F5781">
        <w:t>For example, o</w:t>
      </w:r>
      <w:r>
        <w:t xml:space="preserve">n a hot day, </w:t>
      </w:r>
      <w:r w:rsidRPr="00846CFC">
        <w:t>many households and businesses simultaneously use their air</w:t>
      </w:r>
      <w:r>
        <w:t xml:space="preserve"> </w:t>
      </w:r>
      <w:r w:rsidRPr="00846CFC">
        <w:t>conditioners</w:t>
      </w:r>
      <w:r>
        <w:t>,</w:t>
      </w:r>
      <w:r w:rsidRPr="00846CFC">
        <w:t xml:space="preserve"> causing an increase in electricity demand. Electricity networks are designed to meet the maximum forecast demand for energy. </w:t>
      </w:r>
      <w:r>
        <w:t>For this reason</w:t>
      </w:r>
      <w:r w:rsidRPr="00846CFC">
        <w:t xml:space="preserve">, demand forecasts are important </w:t>
      </w:r>
      <w:r>
        <w:t>for</w:t>
      </w:r>
      <w:r w:rsidRPr="00846CFC">
        <w:t xml:space="preserve"> understanding the need for future capital expenditure. While maximum demand capacity is </w:t>
      </w:r>
      <w:r>
        <w:t>used</w:t>
      </w:r>
      <w:r w:rsidRPr="00846CFC">
        <w:t xml:space="preserve"> for less than 90 hours a year, the costs </w:t>
      </w:r>
      <w:r>
        <w:t>of</w:t>
      </w:r>
      <w:r w:rsidRPr="00846CFC">
        <w:t xml:space="preserve"> having that capacity available are significant and paid by electricity customers.</w:t>
      </w:r>
    </w:p>
    <w:p w:rsidR="00645FF5" w:rsidRDefault="00645FF5" w:rsidP="00645FF5">
      <w:r w:rsidRPr="00846CFC">
        <w:t>Maximum demand was lower than forecast among the DNSPs over 2011</w:t>
      </w:r>
      <w:r>
        <w:t>–</w:t>
      </w:r>
      <w:r w:rsidRPr="00846CFC">
        <w:t>13 (</w:t>
      </w:r>
      <w:r>
        <w:t>Table </w:t>
      </w:r>
      <w:r w:rsidRPr="00846CFC">
        <w:t xml:space="preserve">4–1 and </w:t>
      </w:r>
      <w:r>
        <w:t>Table </w:t>
      </w:r>
      <w:r w:rsidRPr="00846CFC">
        <w:t xml:space="preserve">4–2). </w:t>
      </w:r>
      <w:r>
        <w:t>T</w:t>
      </w:r>
      <w:r w:rsidRPr="00846CFC">
        <w:t>he actual and forecast maximum demand figures for the non</w:t>
      </w:r>
      <w:r>
        <w:t>-</w:t>
      </w:r>
      <w:r w:rsidRPr="00846CFC">
        <w:t>Victorian DNSPs</w:t>
      </w:r>
      <w:r>
        <w:t xml:space="preserve"> </w:t>
      </w:r>
      <w:r w:rsidRPr="00846CFC">
        <w:t>(</w:t>
      </w:r>
      <w:r>
        <w:t>Table </w:t>
      </w:r>
      <w:r w:rsidRPr="00846CFC">
        <w:t xml:space="preserve">4–1) </w:t>
      </w:r>
      <w:r w:rsidR="004D05C2">
        <w:t xml:space="preserve">are sourced from annual reporting information, and based on financial years. </w:t>
      </w:r>
      <w:r w:rsidR="004D05C2" w:rsidRPr="00846CFC">
        <w:t xml:space="preserve">The </w:t>
      </w:r>
      <w:r>
        <w:t xml:space="preserve">figures for the </w:t>
      </w:r>
      <w:r w:rsidRPr="00846CFC">
        <w:t>Victorian DNSPs (</w:t>
      </w:r>
      <w:r>
        <w:t>Table </w:t>
      </w:r>
      <w:r w:rsidRPr="00846CFC">
        <w:t>4–2)</w:t>
      </w:r>
      <w:r w:rsidR="004D05C2">
        <w:t xml:space="preserve"> are sourced from Economic benchmarking RINs and based on calendar years</w:t>
      </w:r>
      <w:r w:rsidRPr="00846CFC">
        <w:t>.</w:t>
      </w:r>
      <w:r>
        <w:t xml:space="preserve"> </w:t>
      </w:r>
    </w:p>
    <w:p w:rsidR="00F72773" w:rsidRDefault="00F72773" w:rsidP="00F72773">
      <w:pPr>
        <w:pStyle w:val="Caption"/>
      </w:pPr>
      <w:r>
        <w:t>Table </w:t>
      </w:r>
      <w:r w:rsidRPr="00846CFC">
        <w:t>4–1</w:t>
      </w:r>
      <w:r w:rsidRPr="00846CFC">
        <w:tab/>
        <w:t xml:space="preserve">Maximum demand (megawatts) </w:t>
      </w:r>
      <w:r>
        <w:t>–</w:t>
      </w:r>
      <w:r w:rsidRPr="00846CFC">
        <w:t xml:space="preserve"> Non</w:t>
      </w:r>
      <w:r>
        <w:t>–</w:t>
      </w:r>
      <w:r w:rsidRPr="00846CFC">
        <w:t>Victorian DNSPs</w:t>
      </w:r>
    </w:p>
    <w:tbl>
      <w:tblPr>
        <w:tblStyle w:val="AERTable-Text"/>
        <w:tblW w:w="0" w:type="auto"/>
        <w:tblLayout w:type="fixed"/>
        <w:tblLook w:val="04A0" w:firstRow="1" w:lastRow="0" w:firstColumn="1" w:lastColumn="0" w:noHBand="0" w:noVBand="1"/>
      </w:tblPr>
      <w:tblGrid>
        <w:gridCol w:w="2093"/>
        <w:gridCol w:w="1134"/>
        <w:gridCol w:w="1134"/>
        <w:gridCol w:w="1134"/>
        <w:gridCol w:w="1134"/>
        <w:gridCol w:w="1134"/>
        <w:gridCol w:w="1134"/>
      </w:tblGrid>
      <w:tr w:rsidR="00F72773" w:rsidRPr="00AA7D24" w:rsidTr="00E81945">
        <w:trPr>
          <w:cnfStyle w:val="100000000000" w:firstRow="1" w:lastRow="0" w:firstColumn="0" w:lastColumn="0" w:oddVBand="0" w:evenVBand="0" w:oddHBand="0" w:evenHBand="0" w:firstRowFirstColumn="0" w:firstRowLastColumn="0" w:lastRowFirstColumn="0" w:lastRowLastColumn="0"/>
          <w:trHeight w:val="300"/>
        </w:trPr>
        <w:tc>
          <w:tcPr>
            <w:tcW w:w="2093" w:type="dxa"/>
            <w:noWrap/>
            <w:hideMark/>
          </w:tcPr>
          <w:p w:rsidR="00F72773" w:rsidRPr="00AA7D24" w:rsidRDefault="00F72773" w:rsidP="003F226B">
            <w:pPr>
              <w:pStyle w:val="Tabletext"/>
            </w:pPr>
          </w:p>
        </w:tc>
        <w:tc>
          <w:tcPr>
            <w:tcW w:w="2268" w:type="dxa"/>
            <w:gridSpan w:val="2"/>
            <w:noWrap/>
            <w:hideMark/>
          </w:tcPr>
          <w:p w:rsidR="00F72773" w:rsidRPr="00AA7D24" w:rsidRDefault="00F72773" w:rsidP="003F226B">
            <w:pPr>
              <w:pStyle w:val="Tabletext"/>
              <w:jc w:val="center"/>
            </w:pPr>
            <w:r w:rsidRPr="00AA7D24">
              <w:t>2010-11</w:t>
            </w:r>
          </w:p>
        </w:tc>
        <w:tc>
          <w:tcPr>
            <w:tcW w:w="2268" w:type="dxa"/>
            <w:gridSpan w:val="2"/>
            <w:noWrap/>
            <w:hideMark/>
          </w:tcPr>
          <w:p w:rsidR="00F72773" w:rsidRPr="00AA7D24" w:rsidRDefault="00F72773" w:rsidP="003F226B">
            <w:pPr>
              <w:pStyle w:val="Tabletext"/>
              <w:jc w:val="center"/>
            </w:pPr>
            <w:r w:rsidRPr="00AA7D24">
              <w:t>2011-12</w:t>
            </w:r>
          </w:p>
        </w:tc>
        <w:tc>
          <w:tcPr>
            <w:tcW w:w="2268" w:type="dxa"/>
            <w:gridSpan w:val="2"/>
            <w:noWrap/>
            <w:hideMark/>
          </w:tcPr>
          <w:p w:rsidR="00F72773" w:rsidRPr="00AA7D24" w:rsidRDefault="00F72773" w:rsidP="003F226B">
            <w:pPr>
              <w:pStyle w:val="Tabletext"/>
              <w:jc w:val="center"/>
            </w:pPr>
            <w:r w:rsidRPr="00AA7D24">
              <w:t>2012-13</w:t>
            </w:r>
          </w:p>
        </w:tc>
      </w:tr>
      <w:tr w:rsidR="00F72773" w:rsidRPr="00AA7D24" w:rsidTr="00E81945">
        <w:trPr>
          <w:trHeight w:val="300"/>
        </w:trPr>
        <w:tc>
          <w:tcPr>
            <w:tcW w:w="2093" w:type="dxa"/>
            <w:noWrap/>
            <w:hideMark/>
          </w:tcPr>
          <w:p w:rsidR="00F72773" w:rsidRPr="00AA7D24" w:rsidRDefault="00F72773" w:rsidP="003F226B">
            <w:pPr>
              <w:pStyle w:val="Tabletext"/>
            </w:pPr>
          </w:p>
        </w:tc>
        <w:tc>
          <w:tcPr>
            <w:tcW w:w="1134" w:type="dxa"/>
            <w:noWrap/>
            <w:hideMark/>
          </w:tcPr>
          <w:p w:rsidR="00F72773" w:rsidRPr="00AA7D24" w:rsidRDefault="00F72773" w:rsidP="003F226B">
            <w:pPr>
              <w:pStyle w:val="Tabletext"/>
              <w:jc w:val="right"/>
            </w:pPr>
            <w:r w:rsidRPr="00AA7D24">
              <w:t>Forecast</w:t>
            </w:r>
          </w:p>
        </w:tc>
        <w:tc>
          <w:tcPr>
            <w:tcW w:w="1134" w:type="dxa"/>
            <w:noWrap/>
            <w:hideMark/>
          </w:tcPr>
          <w:p w:rsidR="00F72773" w:rsidRPr="00AA7D24" w:rsidRDefault="00F72773" w:rsidP="003F226B">
            <w:pPr>
              <w:pStyle w:val="Tabletext"/>
              <w:jc w:val="right"/>
            </w:pPr>
            <w:r w:rsidRPr="00AA7D24">
              <w:t>Actual</w:t>
            </w:r>
          </w:p>
        </w:tc>
        <w:tc>
          <w:tcPr>
            <w:tcW w:w="1134" w:type="dxa"/>
            <w:noWrap/>
            <w:hideMark/>
          </w:tcPr>
          <w:p w:rsidR="00F72773" w:rsidRPr="00AA7D24" w:rsidRDefault="00F72773" w:rsidP="003F226B">
            <w:pPr>
              <w:pStyle w:val="Tabletext"/>
              <w:jc w:val="right"/>
            </w:pPr>
            <w:r w:rsidRPr="00AA7D24">
              <w:t>Forecast</w:t>
            </w:r>
          </w:p>
        </w:tc>
        <w:tc>
          <w:tcPr>
            <w:tcW w:w="1134" w:type="dxa"/>
            <w:noWrap/>
            <w:hideMark/>
          </w:tcPr>
          <w:p w:rsidR="00F72773" w:rsidRPr="00AA7D24" w:rsidRDefault="00F72773" w:rsidP="003F226B">
            <w:pPr>
              <w:pStyle w:val="Tabletext"/>
              <w:jc w:val="right"/>
            </w:pPr>
            <w:r w:rsidRPr="00AA7D24">
              <w:t>Actual</w:t>
            </w:r>
          </w:p>
        </w:tc>
        <w:tc>
          <w:tcPr>
            <w:tcW w:w="1134" w:type="dxa"/>
            <w:noWrap/>
            <w:hideMark/>
          </w:tcPr>
          <w:p w:rsidR="00F72773" w:rsidRPr="00AA7D24" w:rsidRDefault="00F72773" w:rsidP="003F226B">
            <w:pPr>
              <w:pStyle w:val="Tabletext"/>
              <w:jc w:val="right"/>
            </w:pPr>
            <w:r w:rsidRPr="00AA7D24">
              <w:t>Forecast</w:t>
            </w:r>
          </w:p>
        </w:tc>
        <w:tc>
          <w:tcPr>
            <w:tcW w:w="1134" w:type="dxa"/>
            <w:noWrap/>
            <w:hideMark/>
          </w:tcPr>
          <w:p w:rsidR="00F72773" w:rsidRPr="00AA7D24" w:rsidRDefault="00F72773" w:rsidP="003F226B">
            <w:pPr>
              <w:pStyle w:val="Tabletext"/>
              <w:jc w:val="right"/>
            </w:pPr>
            <w:r w:rsidRPr="00AA7D24">
              <w:t>Actual</w:t>
            </w:r>
          </w:p>
        </w:tc>
      </w:tr>
      <w:tr w:rsidR="00F72773" w:rsidRPr="00AA7D24" w:rsidTr="00E81945">
        <w:trPr>
          <w:cnfStyle w:val="000000010000" w:firstRow="0" w:lastRow="0" w:firstColumn="0" w:lastColumn="0" w:oddVBand="0" w:evenVBand="0" w:oddHBand="0" w:evenHBand="1" w:firstRowFirstColumn="0" w:firstRowLastColumn="0" w:lastRowFirstColumn="0" w:lastRowLastColumn="0"/>
          <w:trHeight w:val="300"/>
        </w:trPr>
        <w:tc>
          <w:tcPr>
            <w:tcW w:w="2093" w:type="dxa"/>
            <w:noWrap/>
            <w:hideMark/>
          </w:tcPr>
          <w:p w:rsidR="00F72773" w:rsidRPr="00AA7D24" w:rsidRDefault="00F72773" w:rsidP="003F226B">
            <w:pPr>
              <w:pStyle w:val="Tabletext"/>
            </w:pPr>
            <w:proofErr w:type="spellStart"/>
            <w:r w:rsidRPr="00AA7D24">
              <w:t>ActewAGL</w:t>
            </w:r>
            <w:proofErr w:type="spellEnd"/>
          </w:p>
        </w:tc>
        <w:tc>
          <w:tcPr>
            <w:tcW w:w="1134" w:type="dxa"/>
            <w:noWrap/>
            <w:hideMark/>
          </w:tcPr>
          <w:p w:rsidR="00F72773" w:rsidRPr="00AA7D24" w:rsidRDefault="00F72773" w:rsidP="003F226B">
            <w:pPr>
              <w:pStyle w:val="Tabletext"/>
              <w:jc w:val="right"/>
            </w:pPr>
            <w:r w:rsidRPr="00AA7D24">
              <w:t>672</w:t>
            </w:r>
          </w:p>
        </w:tc>
        <w:tc>
          <w:tcPr>
            <w:tcW w:w="1134" w:type="dxa"/>
            <w:noWrap/>
            <w:hideMark/>
          </w:tcPr>
          <w:p w:rsidR="00F72773" w:rsidRPr="00AA7D24" w:rsidRDefault="00F72773" w:rsidP="003F226B">
            <w:pPr>
              <w:pStyle w:val="Tabletext"/>
              <w:jc w:val="right"/>
            </w:pPr>
            <w:r w:rsidRPr="00AA7D24">
              <w:t>614</w:t>
            </w:r>
          </w:p>
        </w:tc>
        <w:tc>
          <w:tcPr>
            <w:tcW w:w="1134" w:type="dxa"/>
            <w:noWrap/>
            <w:hideMark/>
          </w:tcPr>
          <w:p w:rsidR="00F72773" w:rsidRPr="00AA7D24" w:rsidRDefault="00F72773" w:rsidP="003F226B">
            <w:pPr>
              <w:pStyle w:val="Tabletext"/>
              <w:jc w:val="right"/>
            </w:pPr>
            <w:r w:rsidRPr="00AA7D24">
              <w:t>684</w:t>
            </w:r>
          </w:p>
        </w:tc>
        <w:tc>
          <w:tcPr>
            <w:tcW w:w="1134" w:type="dxa"/>
            <w:noWrap/>
            <w:hideMark/>
          </w:tcPr>
          <w:p w:rsidR="00F72773" w:rsidRPr="00AA7D24" w:rsidRDefault="00F72773" w:rsidP="003F226B">
            <w:pPr>
              <w:pStyle w:val="Tabletext"/>
              <w:jc w:val="right"/>
            </w:pPr>
            <w:r w:rsidRPr="00AA7D24">
              <w:t>674</w:t>
            </w:r>
          </w:p>
        </w:tc>
        <w:tc>
          <w:tcPr>
            <w:tcW w:w="1134" w:type="dxa"/>
            <w:noWrap/>
            <w:hideMark/>
          </w:tcPr>
          <w:p w:rsidR="00F72773" w:rsidRPr="00AA7D24" w:rsidRDefault="00F72773" w:rsidP="003F226B">
            <w:pPr>
              <w:pStyle w:val="Tabletext"/>
              <w:jc w:val="right"/>
            </w:pPr>
            <w:r w:rsidRPr="00AA7D24">
              <w:t>697</w:t>
            </w:r>
          </w:p>
        </w:tc>
        <w:tc>
          <w:tcPr>
            <w:tcW w:w="1134" w:type="dxa"/>
            <w:noWrap/>
            <w:hideMark/>
          </w:tcPr>
          <w:p w:rsidR="00F72773" w:rsidRPr="00AA7D24" w:rsidRDefault="00F72773" w:rsidP="003F226B">
            <w:pPr>
              <w:pStyle w:val="Tabletext"/>
              <w:jc w:val="right"/>
            </w:pPr>
            <w:r w:rsidRPr="00AA7D24">
              <w:t>583</w:t>
            </w:r>
          </w:p>
        </w:tc>
      </w:tr>
      <w:tr w:rsidR="00F72773" w:rsidRPr="00AA7D24" w:rsidTr="00E81945">
        <w:trPr>
          <w:trHeight w:val="300"/>
        </w:trPr>
        <w:tc>
          <w:tcPr>
            <w:tcW w:w="2093" w:type="dxa"/>
            <w:noWrap/>
            <w:hideMark/>
          </w:tcPr>
          <w:p w:rsidR="00F72773" w:rsidRPr="00AA7D24" w:rsidRDefault="00F72773" w:rsidP="003F226B">
            <w:pPr>
              <w:pStyle w:val="Tabletext"/>
            </w:pPr>
            <w:proofErr w:type="spellStart"/>
            <w:r w:rsidRPr="00AA7D24">
              <w:t>Ausgrid</w:t>
            </w:r>
            <w:proofErr w:type="spellEnd"/>
          </w:p>
        </w:tc>
        <w:tc>
          <w:tcPr>
            <w:tcW w:w="1134" w:type="dxa"/>
            <w:noWrap/>
            <w:hideMark/>
          </w:tcPr>
          <w:p w:rsidR="00F72773" w:rsidRPr="00AA7D24" w:rsidRDefault="00F72773" w:rsidP="003F226B">
            <w:pPr>
              <w:pStyle w:val="Tabletext"/>
              <w:jc w:val="right"/>
            </w:pPr>
            <w:r w:rsidRPr="00AA7D24">
              <w:t>6046</w:t>
            </w:r>
          </w:p>
        </w:tc>
        <w:tc>
          <w:tcPr>
            <w:tcW w:w="1134" w:type="dxa"/>
            <w:noWrap/>
            <w:hideMark/>
          </w:tcPr>
          <w:p w:rsidR="00F72773" w:rsidRPr="00AA7D24" w:rsidRDefault="00F72773" w:rsidP="003F226B">
            <w:pPr>
              <w:pStyle w:val="Tabletext"/>
              <w:jc w:val="right"/>
            </w:pPr>
            <w:r w:rsidRPr="00AA7D24">
              <w:t>6100</w:t>
            </w:r>
          </w:p>
        </w:tc>
        <w:tc>
          <w:tcPr>
            <w:tcW w:w="1134" w:type="dxa"/>
            <w:noWrap/>
            <w:hideMark/>
          </w:tcPr>
          <w:p w:rsidR="00F72773" w:rsidRPr="00AA7D24" w:rsidRDefault="00F72773" w:rsidP="003F226B">
            <w:pPr>
              <w:pStyle w:val="Tabletext"/>
              <w:jc w:val="right"/>
            </w:pPr>
            <w:r w:rsidRPr="00AA7D24">
              <w:t>6254</w:t>
            </w:r>
          </w:p>
        </w:tc>
        <w:tc>
          <w:tcPr>
            <w:tcW w:w="1134" w:type="dxa"/>
            <w:noWrap/>
            <w:hideMark/>
          </w:tcPr>
          <w:p w:rsidR="00F72773" w:rsidRPr="00AA7D24" w:rsidRDefault="00F72773" w:rsidP="003F226B">
            <w:pPr>
              <w:pStyle w:val="Tabletext"/>
              <w:jc w:val="right"/>
            </w:pPr>
            <w:r w:rsidRPr="00AA7D24">
              <w:t>5150</w:t>
            </w:r>
          </w:p>
        </w:tc>
        <w:tc>
          <w:tcPr>
            <w:tcW w:w="1134" w:type="dxa"/>
            <w:noWrap/>
            <w:hideMark/>
          </w:tcPr>
          <w:p w:rsidR="00F72773" w:rsidRPr="00AA7D24" w:rsidRDefault="00F72773" w:rsidP="003F226B">
            <w:pPr>
              <w:pStyle w:val="Tabletext"/>
              <w:jc w:val="right"/>
            </w:pPr>
            <w:r w:rsidRPr="00AA7D24">
              <w:t>6467</w:t>
            </w:r>
          </w:p>
        </w:tc>
        <w:tc>
          <w:tcPr>
            <w:tcW w:w="1134" w:type="dxa"/>
            <w:noWrap/>
            <w:hideMark/>
          </w:tcPr>
          <w:p w:rsidR="00F72773" w:rsidRPr="00AA7D24" w:rsidRDefault="00F72773" w:rsidP="003F226B">
            <w:pPr>
              <w:pStyle w:val="Tabletext"/>
              <w:jc w:val="right"/>
            </w:pPr>
            <w:r w:rsidRPr="00AA7D24">
              <w:t>5659</w:t>
            </w:r>
          </w:p>
        </w:tc>
      </w:tr>
      <w:tr w:rsidR="00F72773" w:rsidRPr="00AA7D24" w:rsidTr="00E81945">
        <w:trPr>
          <w:cnfStyle w:val="000000010000" w:firstRow="0" w:lastRow="0" w:firstColumn="0" w:lastColumn="0" w:oddVBand="0" w:evenVBand="0" w:oddHBand="0" w:evenHBand="1" w:firstRowFirstColumn="0" w:firstRowLastColumn="0" w:lastRowFirstColumn="0" w:lastRowLastColumn="0"/>
          <w:trHeight w:val="300"/>
        </w:trPr>
        <w:tc>
          <w:tcPr>
            <w:tcW w:w="2093" w:type="dxa"/>
            <w:noWrap/>
            <w:hideMark/>
          </w:tcPr>
          <w:p w:rsidR="00F72773" w:rsidRPr="00AA7D24" w:rsidRDefault="00F72773" w:rsidP="003F226B">
            <w:pPr>
              <w:pStyle w:val="Tabletext"/>
            </w:pPr>
            <w:r w:rsidRPr="00AA7D24">
              <w:t>Endeavour Energy</w:t>
            </w:r>
          </w:p>
        </w:tc>
        <w:tc>
          <w:tcPr>
            <w:tcW w:w="1134" w:type="dxa"/>
            <w:noWrap/>
            <w:hideMark/>
          </w:tcPr>
          <w:p w:rsidR="00F72773" w:rsidRPr="00AA7D24" w:rsidRDefault="00F72773" w:rsidP="003F226B">
            <w:pPr>
              <w:pStyle w:val="Tabletext"/>
              <w:jc w:val="right"/>
            </w:pPr>
            <w:r w:rsidRPr="00AA7D24">
              <w:t>4342</w:t>
            </w:r>
          </w:p>
        </w:tc>
        <w:tc>
          <w:tcPr>
            <w:tcW w:w="1134" w:type="dxa"/>
            <w:noWrap/>
            <w:hideMark/>
          </w:tcPr>
          <w:p w:rsidR="00F72773" w:rsidRPr="00AA7D24" w:rsidRDefault="00F72773" w:rsidP="003F226B">
            <w:pPr>
              <w:pStyle w:val="Tabletext"/>
              <w:jc w:val="right"/>
            </w:pPr>
            <w:r w:rsidRPr="00AA7D24">
              <w:t>4002</w:t>
            </w:r>
          </w:p>
        </w:tc>
        <w:tc>
          <w:tcPr>
            <w:tcW w:w="1134" w:type="dxa"/>
            <w:noWrap/>
            <w:hideMark/>
          </w:tcPr>
          <w:p w:rsidR="00F72773" w:rsidRPr="00AA7D24" w:rsidRDefault="00F72773" w:rsidP="003F226B">
            <w:pPr>
              <w:pStyle w:val="Tabletext"/>
              <w:jc w:val="right"/>
            </w:pPr>
            <w:r w:rsidRPr="00AA7D24">
              <w:t>4509</w:t>
            </w:r>
          </w:p>
        </w:tc>
        <w:tc>
          <w:tcPr>
            <w:tcW w:w="1134" w:type="dxa"/>
            <w:noWrap/>
            <w:hideMark/>
          </w:tcPr>
          <w:p w:rsidR="00F72773" w:rsidRPr="00AA7D24" w:rsidRDefault="00F72773" w:rsidP="003F226B">
            <w:pPr>
              <w:pStyle w:val="Tabletext"/>
              <w:jc w:val="right"/>
            </w:pPr>
            <w:r w:rsidRPr="00AA7D24">
              <w:t>3236</w:t>
            </w:r>
          </w:p>
        </w:tc>
        <w:tc>
          <w:tcPr>
            <w:tcW w:w="1134" w:type="dxa"/>
            <w:noWrap/>
            <w:hideMark/>
          </w:tcPr>
          <w:p w:rsidR="00F72773" w:rsidRPr="00AA7D24" w:rsidRDefault="00F72773" w:rsidP="003F226B">
            <w:pPr>
              <w:pStyle w:val="Tabletext"/>
              <w:jc w:val="right"/>
            </w:pPr>
            <w:r w:rsidRPr="00AA7D24">
              <w:t>4663</w:t>
            </w:r>
          </w:p>
        </w:tc>
        <w:tc>
          <w:tcPr>
            <w:tcW w:w="1134" w:type="dxa"/>
            <w:noWrap/>
            <w:hideMark/>
          </w:tcPr>
          <w:p w:rsidR="00F72773" w:rsidRPr="00AA7D24" w:rsidRDefault="00F72773" w:rsidP="003F226B">
            <w:pPr>
              <w:pStyle w:val="Tabletext"/>
              <w:jc w:val="right"/>
            </w:pPr>
            <w:r w:rsidRPr="00AA7D24">
              <w:t>3708</w:t>
            </w:r>
          </w:p>
        </w:tc>
      </w:tr>
      <w:tr w:rsidR="00F72773" w:rsidRPr="00AA7D24" w:rsidTr="00E81945">
        <w:trPr>
          <w:trHeight w:val="300"/>
        </w:trPr>
        <w:tc>
          <w:tcPr>
            <w:tcW w:w="2093" w:type="dxa"/>
            <w:noWrap/>
            <w:hideMark/>
          </w:tcPr>
          <w:p w:rsidR="00F72773" w:rsidRPr="00AA7D24" w:rsidRDefault="00F72773" w:rsidP="003F226B">
            <w:pPr>
              <w:pStyle w:val="Tabletext"/>
            </w:pPr>
            <w:r w:rsidRPr="00AA7D24">
              <w:t>Essential Energy</w:t>
            </w:r>
          </w:p>
        </w:tc>
        <w:tc>
          <w:tcPr>
            <w:tcW w:w="1134" w:type="dxa"/>
            <w:noWrap/>
            <w:hideMark/>
          </w:tcPr>
          <w:p w:rsidR="00F72773" w:rsidRPr="00AA7D24" w:rsidRDefault="00F72773" w:rsidP="003F226B">
            <w:pPr>
              <w:pStyle w:val="Tabletext"/>
              <w:jc w:val="right"/>
            </w:pPr>
            <w:r w:rsidRPr="00AA7D24">
              <w:t>2406</w:t>
            </w:r>
          </w:p>
        </w:tc>
        <w:tc>
          <w:tcPr>
            <w:tcW w:w="1134" w:type="dxa"/>
            <w:noWrap/>
            <w:hideMark/>
          </w:tcPr>
          <w:p w:rsidR="00F72773" w:rsidRPr="00AA7D24" w:rsidRDefault="00F72773" w:rsidP="003F226B">
            <w:pPr>
              <w:pStyle w:val="Tabletext"/>
              <w:jc w:val="right"/>
            </w:pPr>
            <w:r w:rsidRPr="00AA7D24">
              <w:t>2292</w:t>
            </w:r>
          </w:p>
        </w:tc>
        <w:tc>
          <w:tcPr>
            <w:tcW w:w="1134" w:type="dxa"/>
            <w:noWrap/>
            <w:hideMark/>
          </w:tcPr>
          <w:p w:rsidR="00F72773" w:rsidRPr="00AA7D24" w:rsidRDefault="00F72773" w:rsidP="003F226B">
            <w:pPr>
              <w:pStyle w:val="Tabletext"/>
              <w:jc w:val="right"/>
            </w:pPr>
            <w:r w:rsidRPr="00AA7D24">
              <w:t>2515</w:t>
            </w:r>
          </w:p>
        </w:tc>
        <w:tc>
          <w:tcPr>
            <w:tcW w:w="1134" w:type="dxa"/>
            <w:noWrap/>
            <w:hideMark/>
          </w:tcPr>
          <w:p w:rsidR="00F72773" w:rsidRPr="00AA7D24" w:rsidRDefault="00F72773" w:rsidP="003F226B">
            <w:pPr>
              <w:pStyle w:val="Tabletext"/>
              <w:jc w:val="right"/>
            </w:pPr>
            <w:r w:rsidRPr="00AA7D24">
              <w:t>2185</w:t>
            </w:r>
          </w:p>
        </w:tc>
        <w:tc>
          <w:tcPr>
            <w:tcW w:w="1134" w:type="dxa"/>
            <w:noWrap/>
            <w:hideMark/>
          </w:tcPr>
          <w:p w:rsidR="00F72773" w:rsidRPr="00AA7D24" w:rsidRDefault="00F72773" w:rsidP="003F226B">
            <w:pPr>
              <w:pStyle w:val="Tabletext"/>
              <w:jc w:val="right"/>
            </w:pPr>
            <w:r w:rsidRPr="00AA7D24">
              <w:t>2602</w:t>
            </w:r>
          </w:p>
        </w:tc>
        <w:tc>
          <w:tcPr>
            <w:tcW w:w="1134" w:type="dxa"/>
            <w:noWrap/>
            <w:hideMark/>
          </w:tcPr>
          <w:p w:rsidR="00F72773" w:rsidRPr="00AA7D24" w:rsidRDefault="00F72773" w:rsidP="003F226B">
            <w:pPr>
              <w:pStyle w:val="Tabletext"/>
              <w:jc w:val="right"/>
            </w:pPr>
            <w:r w:rsidRPr="00AA7D24">
              <w:t>2287</w:t>
            </w:r>
          </w:p>
        </w:tc>
      </w:tr>
      <w:tr w:rsidR="00F72773" w:rsidRPr="00AA7D24" w:rsidTr="00E81945">
        <w:trPr>
          <w:cnfStyle w:val="000000010000" w:firstRow="0" w:lastRow="0" w:firstColumn="0" w:lastColumn="0" w:oddVBand="0" w:evenVBand="0" w:oddHBand="0" w:evenHBand="1" w:firstRowFirstColumn="0" w:firstRowLastColumn="0" w:lastRowFirstColumn="0" w:lastRowLastColumn="0"/>
          <w:trHeight w:val="300"/>
        </w:trPr>
        <w:tc>
          <w:tcPr>
            <w:tcW w:w="2093" w:type="dxa"/>
            <w:noWrap/>
            <w:hideMark/>
          </w:tcPr>
          <w:p w:rsidR="00F72773" w:rsidRPr="00AA7D24" w:rsidRDefault="00F72773" w:rsidP="003F226B">
            <w:pPr>
              <w:pStyle w:val="Tabletext"/>
            </w:pPr>
            <w:r w:rsidRPr="00AA7D24">
              <w:t>Energex</w:t>
            </w:r>
          </w:p>
        </w:tc>
        <w:tc>
          <w:tcPr>
            <w:tcW w:w="1134" w:type="dxa"/>
            <w:noWrap/>
            <w:hideMark/>
          </w:tcPr>
          <w:p w:rsidR="00F72773" w:rsidRPr="00AA7D24" w:rsidRDefault="00F72773" w:rsidP="003F226B">
            <w:pPr>
              <w:pStyle w:val="Tabletext"/>
              <w:jc w:val="right"/>
            </w:pPr>
            <w:r w:rsidRPr="00AA7D24">
              <w:t>4931</w:t>
            </w:r>
          </w:p>
        </w:tc>
        <w:tc>
          <w:tcPr>
            <w:tcW w:w="1134" w:type="dxa"/>
            <w:noWrap/>
            <w:hideMark/>
          </w:tcPr>
          <w:p w:rsidR="00F72773" w:rsidRPr="00AA7D24" w:rsidRDefault="00F72773" w:rsidP="003F226B">
            <w:pPr>
              <w:pStyle w:val="Tabletext"/>
              <w:jc w:val="right"/>
            </w:pPr>
            <w:r w:rsidRPr="00AA7D24">
              <w:t>4689</w:t>
            </w:r>
          </w:p>
        </w:tc>
        <w:tc>
          <w:tcPr>
            <w:tcW w:w="1134" w:type="dxa"/>
            <w:noWrap/>
            <w:hideMark/>
          </w:tcPr>
          <w:p w:rsidR="00F72773" w:rsidRPr="00AA7D24" w:rsidRDefault="00F72773" w:rsidP="003F226B">
            <w:pPr>
              <w:pStyle w:val="Tabletext"/>
              <w:jc w:val="right"/>
            </w:pPr>
            <w:r w:rsidRPr="00AA7D24">
              <w:t>5089</w:t>
            </w:r>
          </w:p>
        </w:tc>
        <w:tc>
          <w:tcPr>
            <w:tcW w:w="1134" w:type="dxa"/>
            <w:noWrap/>
            <w:hideMark/>
          </w:tcPr>
          <w:p w:rsidR="00F72773" w:rsidRPr="00AA7D24" w:rsidRDefault="00F72773" w:rsidP="003F226B">
            <w:pPr>
              <w:pStyle w:val="Tabletext"/>
              <w:jc w:val="right"/>
            </w:pPr>
            <w:r w:rsidRPr="00AA7D24">
              <w:t>4464</w:t>
            </w:r>
          </w:p>
        </w:tc>
        <w:tc>
          <w:tcPr>
            <w:tcW w:w="1134" w:type="dxa"/>
            <w:noWrap/>
            <w:hideMark/>
          </w:tcPr>
          <w:p w:rsidR="00F72773" w:rsidRPr="00AA7D24" w:rsidRDefault="00F72773" w:rsidP="003F226B">
            <w:pPr>
              <w:pStyle w:val="Tabletext"/>
              <w:jc w:val="right"/>
            </w:pPr>
            <w:r w:rsidRPr="00AA7D24">
              <w:t>5328</w:t>
            </w:r>
          </w:p>
        </w:tc>
        <w:tc>
          <w:tcPr>
            <w:tcW w:w="1134" w:type="dxa"/>
            <w:noWrap/>
            <w:hideMark/>
          </w:tcPr>
          <w:p w:rsidR="00F72773" w:rsidRPr="00AA7D24" w:rsidRDefault="00F72773" w:rsidP="003F226B">
            <w:pPr>
              <w:pStyle w:val="Tabletext"/>
              <w:jc w:val="right"/>
            </w:pPr>
            <w:r w:rsidRPr="00AA7D24">
              <w:t>4475</w:t>
            </w:r>
          </w:p>
        </w:tc>
      </w:tr>
      <w:tr w:rsidR="00F72773" w:rsidRPr="00AA7D24" w:rsidTr="00E81945">
        <w:trPr>
          <w:trHeight w:val="300"/>
        </w:trPr>
        <w:tc>
          <w:tcPr>
            <w:tcW w:w="2093" w:type="dxa"/>
            <w:noWrap/>
            <w:hideMark/>
          </w:tcPr>
          <w:p w:rsidR="00F72773" w:rsidRPr="00AA7D24" w:rsidRDefault="00F72773" w:rsidP="003F226B">
            <w:pPr>
              <w:pStyle w:val="Tabletext"/>
            </w:pPr>
            <w:r w:rsidRPr="00AA7D24">
              <w:t>Ergon Energy</w:t>
            </w:r>
          </w:p>
        </w:tc>
        <w:tc>
          <w:tcPr>
            <w:tcW w:w="1134" w:type="dxa"/>
            <w:noWrap/>
            <w:hideMark/>
          </w:tcPr>
          <w:p w:rsidR="00F72773" w:rsidRPr="00AA7D24" w:rsidRDefault="00F72773" w:rsidP="003F226B">
            <w:pPr>
              <w:pStyle w:val="Tabletext"/>
              <w:jc w:val="right"/>
            </w:pPr>
            <w:r w:rsidRPr="00AA7D24">
              <w:t>2778</w:t>
            </w:r>
          </w:p>
        </w:tc>
        <w:tc>
          <w:tcPr>
            <w:tcW w:w="1134" w:type="dxa"/>
            <w:noWrap/>
            <w:hideMark/>
          </w:tcPr>
          <w:p w:rsidR="00F72773" w:rsidRPr="00AA7D24" w:rsidRDefault="00F72773" w:rsidP="003F226B">
            <w:pPr>
              <w:pStyle w:val="Tabletext"/>
              <w:jc w:val="right"/>
            </w:pPr>
            <w:r w:rsidRPr="00AA7D24">
              <w:t>2319</w:t>
            </w:r>
          </w:p>
        </w:tc>
        <w:tc>
          <w:tcPr>
            <w:tcW w:w="1134" w:type="dxa"/>
            <w:noWrap/>
            <w:hideMark/>
          </w:tcPr>
          <w:p w:rsidR="00F72773" w:rsidRPr="00AA7D24" w:rsidRDefault="00F72773" w:rsidP="003F226B">
            <w:pPr>
              <w:pStyle w:val="Tabletext"/>
              <w:jc w:val="right"/>
            </w:pPr>
            <w:r w:rsidRPr="00AA7D24">
              <w:t>2907</w:t>
            </w:r>
          </w:p>
        </w:tc>
        <w:tc>
          <w:tcPr>
            <w:tcW w:w="1134" w:type="dxa"/>
            <w:noWrap/>
            <w:hideMark/>
          </w:tcPr>
          <w:p w:rsidR="00F72773" w:rsidRPr="00AA7D24" w:rsidRDefault="00F72773" w:rsidP="003F226B">
            <w:pPr>
              <w:pStyle w:val="Tabletext"/>
              <w:jc w:val="right"/>
            </w:pPr>
            <w:r w:rsidRPr="00AA7D24">
              <w:t>2417</w:t>
            </w:r>
          </w:p>
        </w:tc>
        <w:tc>
          <w:tcPr>
            <w:tcW w:w="1134" w:type="dxa"/>
            <w:noWrap/>
            <w:hideMark/>
          </w:tcPr>
          <w:p w:rsidR="00F72773" w:rsidRPr="00AA7D24" w:rsidRDefault="00F72773" w:rsidP="003F226B">
            <w:pPr>
              <w:pStyle w:val="Tabletext"/>
              <w:jc w:val="right"/>
            </w:pPr>
            <w:r w:rsidRPr="00AA7D24">
              <w:t>3017</w:t>
            </w:r>
          </w:p>
        </w:tc>
        <w:tc>
          <w:tcPr>
            <w:tcW w:w="1134" w:type="dxa"/>
            <w:noWrap/>
            <w:hideMark/>
          </w:tcPr>
          <w:p w:rsidR="00F72773" w:rsidRPr="00AA7D24" w:rsidRDefault="00F72773" w:rsidP="003F226B">
            <w:pPr>
              <w:pStyle w:val="Tabletext"/>
              <w:jc w:val="right"/>
            </w:pPr>
            <w:r w:rsidRPr="00AA7D24">
              <w:t>2380</w:t>
            </w:r>
          </w:p>
        </w:tc>
      </w:tr>
      <w:tr w:rsidR="00F72773" w:rsidRPr="00AA7D24" w:rsidTr="00E81945">
        <w:trPr>
          <w:cnfStyle w:val="000000010000" w:firstRow="0" w:lastRow="0" w:firstColumn="0" w:lastColumn="0" w:oddVBand="0" w:evenVBand="0" w:oddHBand="0" w:evenHBand="1" w:firstRowFirstColumn="0" w:firstRowLastColumn="0" w:lastRowFirstColumn="0" w:lastRowLastColumn="0"/>
          <w:trHeight w:val="300"/>
        </w:trPr>
        <w:tc>
          <w:tcPr>
            <w:tcW w:w="2093" w:type="dxa"/>
            <w:noWrap/>
            <w:hideMark/>
          </w:tcPr>
          <w:p w:rsidR="00F72773" w:rsidRPr="00AA7D24" w:rsidRDefault="00F72773" w:rsidP="003F226B">
            <w:pPr>
              <w:pStyle w:val="Tabletext"/>
            </w:pPr>
            <w:r w:rsidRPr="00AA7D24">
              <w:t>SA Power Networks</w:t>
            </w:r>
          </w:p>
        </w:tc>
        <w:tc>
          <w:tcPr>
            <w:tcW w:w="1134" w:type="dxa"/>
            <w:noWrap/>
            <w:hideMark/>
          </w:tcPr>
          <w:p w:rsidR="00F72773" w:rsidRPr="00AA7D24" w:rsidRDefault="00F72773" w:rsidP="003F226B">
            <w:pPr>
              <w:pStyle w:val="Tabletext"/>
              <w:jc w:val="right"/>
            </w:pPr>
            <w:r w:rsidRPr="00AA7D24">
              <w:t>3159</w:t>
            </w:r>
          </w:p>
        </w:tc>
        <w:tc>
          <w:tcPr>
            <w:tcW w:w="1134" w:type="dxa"/>
            <w:noWrap/>
            <w:hideMark/>
          </w:tcPr>
          <w:p w:rsidR="00F72773" w:rsidRPr="00AA7D24" w:rsidRDefault="00F72773" w:rsidP="003F226B">
            <w:pPr>
              <w:pStyle w:val="Tabletext"/>
              <w:jc w:val="right"/>
            </w:pPr>
            <w:r w:rsidRPr="00AA7D24">
              <w:t>3056</w:t>
            </w:r>
          </w:p>
        </w:tc>
        <w:tc>
          <w:tcPr>
            <w:tcW w:w="1134" w:type="dxa"/>
            <w:noWrap/>
            <w:hideMark/>
          </w:tcPr>
          <w:p w:rsidR="00F72773" w:rsidRPr="00AA7D24" w:rsidRDefault="00F72773" w:rsidP="003F226B">
            <w:pPr>
              <w:pStyle w:val="Tabletext"/>
              <w:jc w:val="right"/>
            </w:pPr>
            <w:r w:rsidRPr="00AA7D24">
              <w:t>3274</w:t>
            </w:r>
          </w:p>
        </w:tc>
        <w:tc>
          <w:tcPr>
            <w:tcW w:w="1134" w:type="dxa"/>
            <w:noWrap/>
            <w:hideMark/>
          </w:tcPr>
          <w:p w:rsidR="00F72773" w:rsidRPr="00AA7D24" w:rsidRDefault="00F72773" w:rsidP="003F226B">
            <w:pPr>
              <w:pStyle w:val="Tabletext"/>
              <w:jc w:val="right"/>
            </w:pPr>
            <w:r w:rsidRPr="00AA7D24">
              <w:t>2723</w:t>
            </w:r>
          </w:p>
        </w:tc>
        <w:tc>
          <w:tcPr>
            <w:tcW w:w="1134" w:type="dxa"/>
            <w:noWrap/>
            <w:hideMark/>
          </w:tcPr>
          <w:p w:rsidR="00F72773" w:rsidRPr="00AA7D24" w:rsidRDefault="00F72773" w:rsidP="003F226B">
            <w:pPr>
              <w:pStyle w:val="Tabletext"/>
              <w:jc w:val="right"/>
            </w:pPr>
            <w:r w:rsidRPr="00AA7D24">
              <w:t>3361</w:t>
            </w:r>
          </w:p>
        </w:tc>
        <w:tc>
          <w:tcPr>
            <w:tcW w:w="1134" w:type="dxa"/>
            <w:noWrap/>
            <w:hideMark/>
          </w:tcPr>
          <w:p w:rsidR="00F72773" w:rsidRPr="00AA7D24" w:rsidRDefault="00F72773" w:rsidP="003F226B">
            <w:pPr>
              <w:pStyle w:val="Tabletext"/>
              <w:jc w:val="right"/>
            </w:pPr>
            <w:r w:rsidRPr="00AA7D24">
              <w:t>2889</w:t>
            </w:r>
          </w:p>
        </w:tc>
      </w:tr>
      <w:tr w:rsidR="00F72773" w:rsidRPr="00AA7D24" w:rsidTr="00E81945">
        <w:trPr>
          <w:trHeight w:val="300"/>
        </w:trPr>
        <w:tc>
          <w:tcPr>
            <w:tcW w:w="2093" w:type="dxa"/>
            <w:noWrap/>
            <w:hideMark/>
          </w:tcPr>
          <w:p w:rsidR="00F72773" w:rsidRPr="00AA7D24" w:rsidRDefault="00F72773" w:rsidP="003F226B">
            <w:pPr>
              <w:pStyle w:val="Tabletext"/>
            </w:pPr>
            <w:proofErr w:type="spellStart"/>
            <w:r w:rsidRPr="00AA7D24">
              <w:t>TasNetworks</w:t>
            </w:r>
            <w:proofErr w:type="spellEnd"/>
          </w:p>
        </w:tc>
        <w:tc>
          <w:tcPr>
            <w:tcW w:w="1134" w:type="dxa"/>
            <w:noWrap/>
            <w:hideMark/>
          </w:tcPr>
          <w:p w:rsidR="00F72773" w:rsidRPr="00AA7D24" w:rsidRDefault="00F72773" w:rsidP="003F226B">
            <w:pPr>
              <w:pStyle w:val="Tabletext"/>
              <w:jc w:val="right"/>
            </w:pPr>
            <w:r w:rsidRPr="00AA7D24">
              <w:t>1047</w:t>
            </w:r>
          </w:p>
        </w:tc>
        <w:tc>
          <w:tcPr>
            <w:tcW w:w="1134" w:type="dxa"/>
            <w:noWrap/>
            <w:hideMark/>
          </w:tcPr>
          <w:p w:rsidR="00F72773" w:rsidRPr="00AA7D24" w:rsidRDefault="00F72773" w:rsidP="003F226B">
            <w:pPr>
              <w:pStyle w:val="Tabletext"/>
              <w:jc w:val="right"/>
            </w:pPr>
            <w:r w:rsidRPr="00AA7D24">
              <w:t>1082</w:t>
            </w:r>
          </w:p>
        </w:tc>
        <w:tc>
          <w:tcPr>
            <w:tcW w:w="1134" w:type="dxa"/>
            <w:noWrap/>
            <w:hideMark/>
          </w:tcPr>
          <w:p w:rsidR="00F72773" w:rsidRPr="00AA7D24" w:rsidRDefault="00F72773" w:rsidP="003F226B">
            <w:pPr>
              <w:pStyle w:val="Tabletext"/>
              <w:jc w:val="right"/>
            </w:pPr>
            <w:r w:rsidRPr="00AA7D24">
              <w:t>1082</w:t>
            </w:r>
          </w:p>
        </w:tc>
        <w:tc>
          <w:tcPr>
            <w:tcW w:w="1134" w:type="dxa"/>
            <w:noWrap/>
            <w:hideMark/>
          </w:tcPr>
          <w:p w:rsidR="00F72773" w:rsidRPr="00AA7D24" w:rsidRDefault="00F72773" w:rsidP="003F226B">
            <w:pPr>
              <w:pStyle w:val="Tabletext"/>
              <w:jc w:val="right"/>
            </w:pPr>
            <w:r w:rsidRPr="00AA7D24">
              <w:t>1042</w:t>
            </w:r>
          </w:p>
        </w:tc>
        <w:tc>
          <w:tcPr>
            <w:tcW w:w="1134" w:type="dxa"/>
            <w:noWrap/>
            <w:hideMark/>
          </w:tcPr>
          <w:p w:rsidR="00F72773" w:rsidRPr="00AA7D24" w:rsidRDefault="00F72773" w:rsidP="003F226B">
            <w:pPr>
              <w:pStyle w:val="Tabletext"/>
              <w:jc w:val="right"/>
            </w:pPr>
            <w:r w:rsidRPr="00AA7D24">
              <w:t>1101</w:t>
            </w:r>
          </w:p>
        </w:tc>
        <w:tc>
          <w:tcPr>
            <w:tcW w:w="1134" w:type="dxa"/>
            <w:noWrap/>
            <w:hideMark/>
          </w:tcPr>
          <w:p w:rsidR="00F72773" w:rsidRPr="00AA7D24" w:rsidRDefault="00F72773" w:rsidP="003F226B">
            <w:pPr>
              <w:pStyle w:val="Tabletext"/>
              <w:jc w:val="right"/>
            </w:pPr>
            <w:r w:rsidRPr="00AA7D24">
              <w:t>1022</w:t>
            </w:r>
          </w:p>
        </w:tc>
      </w:tr>
    </w:tbl>
    <w:p w:rsidR="00F72773" w:rsidRDefault="00F72773" w:rsidP="00F72773">
      <w:pPr>
        <w:pStyle w:val="Caption"/>
      </w:pPr>
      <w:r>
        <w:t>Table </w:t>
      </w:r>
      <w:r w:rsidRPr="00846CFC">
        <w:t>4–2</w:t>
      </w:r>
      <w:r w:rsidRPr="00846CFC">
        <w:tab/>
        <w:t xml:space="preserve">Maximum demand (megawatts) </w:t>
      </w:r>
      <w:r>
        <w:t>–</w:t>
      </w:r>
      <w:r w:rsidRPr="00846CFC">
        <w:t xml:space="preserve"> Victorian DNSPs</w:t>
      </w:r>
    </w:p>
    <w:tbl>
      <w:tblPr>
        <w:tblStyle w:val="AERTable-Text"/>
        <w:tblW w:w="0" w:type="auto"/>
        <w:tblLayout w:type="fixed"/>
        <w:tblLook w:val="04A0" w:firstRow="1" w:lastRow="0" w:firstColumn="1" w:lastColumn="0" w:noHBand="0" w:noVBand="1"/>
      </w:tblPr>
      <w:tblGrid>
        <w:gridCol w:w="2093"/>
        <w:gridCol w:w="1134"/>
        <w:gridCol w:w="1134"/>
        <w:gridCol w:w="1134"/>
        <w:gridCol w:w="1134"/>
        <w:gridCol w:w="1134"/>
        <w:gridCol w:w="1134"/>
      </w:tblGrid>
      <w:tr w:rsidR="00F72773" w:rsidRPr="00AA7D24" w:rsidTr="00E81945">
        <w:trPr>
          <w:cnfStyle w:val="100000000000" w:firstRow="1" w:lastRow="0" w:firstColumn="0" w:lastColumn="0" w:oddVBand="0" w:evenVBand="0" w:oddHBand="0" w:evenHBand="0" w:firstRowFirstColumn="0" w:firstRowLastColumn="0" w:lastRowFirstColumn="0" w:lastRowLastColumn="0"/>
          <w:trHeight w:val="315"/>
        </w:trPr>
        <w:tc>
          <w:tcPr>
            <w:tcW w:w="2093" w:type="dxa"/>
            <w:noWrap/>
            <w:hideMark/>
          </w:tcPr>
          <w:p w:rsidR="00F72773" w:rsidRPr="00AA7D24" w:rsidRDefault="00F72773" w:rsidP="003F226B">
            <w:pPr>
              <w:pStyle w:val="Tabletext"/>
            </w:pPr>
          </w:p>
        </w:tc>
        <w:tc>
          <w:tcPr>
            <w:tcW w:w="2268" w:type="dxa"/>
            <w:gridSpan w:val="2"/>
            <w:noWrap/>
            <w:hideMark/>
          </w:tcPr>
          <w:p w:rsidR="00F72773" w:rsidRPr="00AA7D24" w:rsidRDefault="00F72773" w:rsidP="003F226B">
            <w:pPr>
              <w:pStyle w:val="Tabletext"/>
              <w:jc w:val="center"/>
            </w:pPr>
            <w:r w:rsidRPr="00AA7D24">
              <w:t>2011</w:t>
            </w:r>
          </w:p>
        </w:tc>
        <w:tc>
          <w:tcPr>
            <w:tcW w:w="2268" w:type="dxa"/>
            <w:gridSpan w:val="2"/>
            <w:noWrap/>
            <w:hideMark/>
          </w:tcPr>
          <w:p w:rsidR="00F72773" w:rsidRPr="00AA7D24" w:rsidRDefault="00F72773" w:rsidP="003F226B">
            <w:pPr>
              <w:pStyle w:val="Tabletext"/>
              <w:jc w:val="center"/>
            </w:pPr>
            <w:r w:rsidRPr="00AA7D24">
              <w:t>2012</w:t>
            </w:r>
          </w:p>
        </w:tc>
        <w:tc>
          <w:tcPr>
            <w:tcW w:w="2268" w:type="dxa"/>
            <w:gridSpan w:val="2"/>
            <w:noWrap/>
            <w:hideMark/>
          </w:tcPr>
          <w:p w:rsidR="00F72773" w:rsidRPr="00AA7D24" w:rsidRDefault="00F72773" w:rsidP="003F226B">
            <w:pPr>
              <w:pStyle w:val="Tabletext"/>
              <w:jc w:val="center"/>
            </w:pPr>
            <w:r w:rsidRPr="00AA7D24">
              <w:t>2013</w:t>
            </w:r>
          </w:p>
        </w:tc>
      </w:tr>
      <w:tr w:rsidR="00F72773" w:rsidRPr="00AA7D24" w:rsidTr="00E81945">
        <w:trPr>
          <w:trHeight w:val="315"/>
        </w:trPr>
        <w:tc>
          <w:tcPr>
            <w:tcW w:w="2093" w:type="dxa"/>
            <w:noWrap/>
            <w:hideMark/>
          </w:tcPr>
          <w:p w:rsidR="00F72773" w:rsidRPr="00AA7D24" w:rsidRDefault="00F72773" w:rsidP="003F226B">
            <w:pPr>
              <w:pStyle w:val="Tabletext"/>
            </w:pPr>
          </w:p>
        </w:tc>
        <w:tc>
          <w:tcPr>
            <w:tcW w:w="1134" w:type="dxa"/>
            <w:noWrap/>
            <w:hideMark/>
          </w:tcPr>
          <w:p w:rsidR="00F72773" w:rsidRPr="00AA7D24" w:rsidRDefault="00F72773" w:rsidP="003F226B">
            <w:pPr>
              <w:pStyle w:val="Tabletext"/>
              <w:jc w:val="right"/>
            </w:pPr>
            <w:r w:rsidRPr="00AA7D24">
              <w:t>Forecast</w:t>
            </w:r>
          </w:p>
        </w:tc>
        <w:tc>
          <w:tcPr>
            <w:tcW w:w="1134" w:type="dxa"/>
            <w:noWrap/>
            <w:hideMark/>
          </w:tcPr>
          <w:p w:rsidR="00F72773" w:rsidRPr="00AA7D24" w:rsidRDefault="00F72773" w:rsidP="003F226B">
            <w:pPr>
              <w:pStyle w:val="Tabletext"/>
              <w:jc w:val="right"/>
            </w:pPr>
            <w:r w:rsidRPr="00AA7D24">
              <w:t>Actual</w:t>
            </w:r>
          </w:p>
        </w:tc>
        <w:tc>
          <w:tcPr>
            <w:tcW w:w="1134" w:type="dxa"/>
            <w:noWrap/>
            <w:hideMark/>
          </w:tcPr>
          <w:p w:rsidR="00F72773" w:rsidRPr="00AA7D24" w:rsidRDefault="00F72773" w:rsidP="003F226B">
            <w:pPr>
              <w:pStyle w:val="Tabletext"/>
              <w:jc w:val="right"/>
            </w:pPr>
            <w:r w:rsidRPr="00AA7D24">
              <w:t>Forecast</w:t>
            </w:r>
          </w:p>
        </w:tc>
        <w:tc>
          <w:tcPr>
            <w:tcW w:w="1134" w:type="dxa"/>
            <w:noWrap/>
            <w:hideMark/>
          </w:tcPr>
          <w:p w:rsidR="00F72773" w:rsidRPr="00AA7D24" w:rsidRDefault="00F72773" w:rsidP="003F226B">
            <w:pPr>
              <w:pStyle w:val="Tabletext"/>
              <w:jc w:val="right"/>
            </w:pPr>
            <w:r w:rsidRPr="00AA7D24">
              <w:t>Actual</w:t>
            </w:r>
          </w:p>
        </w:tc>
        <w:tc>
          <w:tcPr>
            <w:tcW w:w="1134" w:type="dxa"/>
            <w:noWrap/>
            <w:hideMark/>
          </w:tcPr>
          <w:p w:rsidR="00F72773" w:rsidRPr="00AA7D24" w:rsidRDefault="00F72773" w:rsidP="003F226B">
            <w:pPr>
              <w:pStyle w:val="Tabletext"/>
              <w:jc w:val="right"/>
            </w:pPr>
            <w:r w:rsidRPr="00AA7D24">
              <w:t>Forecast</w:t>
            </w:r>
          </w:p>
        </w:tc>
        <w:tc>
          <w:tcPr>
            <w:tcW w:w="1134" w:type="dxa"/>
            <w:noWrap/>
            <w:hideMark/>
          </w:tcPr>
          <w:p w:rsidR="00F72773" w:rsidRPr="00AA7D24" w:rsidRDefault="00F72773" w:rsidP="003F226B">
            <w:pPr>
              <w:pStyle w:val="Tabletext"/>
              <w:jc w:val="right"/>
            </w:pPr>
            <w:r w:rsidRPr="00AA7D24">
              <w:t>Actual</w:t>
            </w:r>
          </w:p>
        </w:tc>
      </w:tr>
      <w:tr w:rsidR="00F72773" w:rsidRPr="00AA7D24" w:rsidTr="00E81945">
        <w:trPr>
          <w:cnfStyle w:val="000000010000" w:firstRow="0" w:lastRow="0" w:firstColumn="0" w:lastColumn="0" w:oddVBand="0" w:evenVBand="0" w:oddHBand="0" w:evenHBand="1" w:firstRowFirstColumn="0" w:firstRowLastColumn="0" w:lastRowFirstColumn="0" w:lastRowLastColumn="0"/>
          <w:trHeight w:val="375"/>
        </w:trPr>
        <w:tc>
          <w:tcPr>
            <w:tcW w:w="2093" w:type="dxa"/>
            <w:noWrap/>
            <w:hideMark/>
          </w:tcPr>
          <w:p w:rsidR="00F72773" w:rsidRPr="00AA7D24" w:rsidRDefault="00F72773" w:rsidP="003F226B">
            <w:pPr>
              <w:pStyle w:val="Tabletext"/>
            </w:pPr>
            <w:proofErr w:type="spellStart"/>
            <w:r w:rsidRPr="00AA7D24">
              <w:t>AusNet</w:t>
            </w:r>
            <w:proofErr w:type="spellEnd"/>
            <w:r w:rsidRPr="00AA7D24">
              <w:t xml:space="preserve"> Services</w:t>
            </w:r>
          </w:p>
        </w:tc>
        <w:tc>
          <w:tcPr>
            <w:tcW w:w="1134" w:type="dxa"/>
            <w:noWrap/>
            <w:hideMark/>
          </w:tcPr>
          <w:p w:rsidR="00F72773" w:rsidRPr="00AA7D24" w:rsidRDefault="00F72773" w:rsidP="003F226B">
            <w:pPr>
              <w:pStyle w:val="Tabletext"/>
              <w:jc w:val="right"/>
            </w:pPr>
            <w:r w:rsidRPr="00AA7D24">
              <w:t>1874</w:t>
            </w:r>
          </w:p>
        </w:tc>
        <w:tc>
          <w:tcPr>
            <w:tcW w:w="1134" w:type="dxa"/>
            <w:noWrap/>
            <w:hideMark/>
          </w:tcPr>
          <w:p w:rsidR="00F72773" w:rsidRPr="00AA7D24" w:rsidRDefault="00F72773" w:rsidP="003F226B">
            <w:pPr>
              <w:pStyle w:val="Tabletext"/>
              <w:jc w:val="right"/>
            </w:pPr>
            <w:r w:rsidRPr="00AA7D24">
              <w:t>1728</w:t>
            </w:r>
          </w:p>
        </w:tc>
        <w:tc>
          <w:tcPr>
            <w:tcW w:w="1134" w:type="dxa"/>
            <w:noWrap/>
            <w:hideMark/>
          </w:tcPr>
          <w:p w:rsidR="00F72773" w:rsidRPr="00AA7D24" w:rsidRDefault="00F72773" w:rsidP="003F226B">
            <w:pPr>
              <w:pStyle w:val="Tabletext"/>
              <w:jc w:val="right"/>
            </w:pPr>
            <w:r w:rsidRPr="00AA7D24">
              <w:t>1959</w:t>
            </w:r>
          </w:p>
        </w:tc>
        <w:tc>
          <w:tcPr>
            <w:tcW w:w="1134" w:type="dxa"/>
            <w:noWrap/>
            <w:hideMark/>
          </w:tcPr>
          <w:p w:rsidR="00F72773" w:rsidRPr="00AA7D24" w:rsidRDefault="00F72773" w:rsidP="003F226B">
            <w:pPr>
              <w:pStyle w:val="Tabletext"/>
              <w:jc w:val="right"/>
            </w:pPr>
            <w:r w:rsidRPr="00AA7D24">
              <w:t>1786</w:t>
            </w:r>
          </w:p>
        </w:tc>
        <w:tc>
          <w:tcPr>
            <w:tcW w:w="1134" w:type="dxa"/>
            <w:noWrap/>
            <w:hideMark/>
          </w:tcPr>
          <w:p w:rsidR="00F72773" w:rsidRPr="00AA7D24" w:rsidRDefault="00F72773" w:rsidP="003F226B">
            <w:pPr>
              <w:pStyle w:val="Tabletext"/>
              <w:jc w:val="right"/>
            </w:pPr>
            <w:r w:rsidRPr="00AA7D24">
              <w:t>2046</w:t>
            </w:r>
          </w:p>
        </w:tc>
        <w:tc>
          <w:tcPr>
            <w:tcW w:w="1134" w:type="dxa"/>
            <w:noWrap/>
            <w:hideMark/>
          </w:tcPr>
          <w:p w:rsidR="00F72773" w:rsidRPr="00AA7D24" w:rsidRDefault="00F72773" w:rsidP="003F226B">
            <w:pPr>
              <w:pStyle w:val="Tabletext"/>
              <w:jc w:val="right"/>
            </w:pPr>
            <w:r w:rsidRPr="00AA7D24">
              <w:t>1908</w:t>
            </w:r>
          </w:p>
        </w:tc>
      </w:tr>
      <w:tr w:rsidR="00F72773" w:rsidRPr="00AA7D24" w:rsidTr="00E81945">
        <w:trPr>
          <w:trHeight w:val="375"/>
        </w:trPr>
        <w:tc>
          <w:tcPr>
            <w:tcW w:w="2093" w:type="dxa"/>
            <w:noWrap/>
            <w:hideMark/>
          </w:tcPr>
          <w:p w:rsidR="00F72773" w:rsidRPr="00AA7D24" w:rsidRDefault="00F72773" w:rsidP="003F226B">
            <w:pPr>
              <w:pStyle w:val="Tabletext"/>
            </w:pPr>
            <w:proofErr w:type="spellStart"/>
            <w:r w:rsidRPr="00AA7D24">
              <w:t>CitiPower</w:t>
            </w:r>
            <w:proofErr w:type="spellEnd"/>
          </w:p>
        </w:tc>
        <w:tc>
          <w:tcPr>
            <w:tcW w:w="1134" w:type="dxa"/>
            <w:noWrap/>
            <w:hideMark/>
          </w:tcPr>
          <w:p w:rsidR="00F72773" w:rsidRPr="00AA7D24" w:rsidRDefault="00F72773" w:rsidP="003F226B">
            <w:pPr>
              <w:pStyle w:val="Tabletext"/>
              <w:jc w:val="right"/>
            </w:pPr>
            <w:r w:rsidRPr="00AA7D24">
              <w:t>1510</w:t>
            </w:r>
          </w:p>
        </w:tc>
        <w:tc>
          <w:tcPr>
            <w:tcW w:w="1134" w:type="dxa"/>
            <w:noWrap/>
            <w:hideMark/>
          </w:tcPr>
          <w:p w:rsidR="00F72773" w:rsidRPr="00AA7D24" w:rsidRDefault="00F72773" w:rsidP="003F226B">
            <w:pPr>
              <w:pStyle w:val="Tabletext"/>
              <w:jc w:val="right"/>
            </w:pPr>
            <w:r w:rsidRPr="00AA7D24">
              <w:t>1421</w:t>
            </w:r>
          </w:p>
        </w:tc>
        <w:tc>
          <w:tcPr>
            <w:tcW w:w="1134" w:type="dxa"/>
            <w:noWrap/>
            <w:hideMark/>
          </w:tcPr>
          <w:p w:rsidR="00F72773" w:rsidRPr="00AA7D24" w:rsidRDefault="00F72773" w:rsidP="003F226B">
            <w:pPr>
              <w:pStyle w:val="Tabletext"/>
              <w:jc w:val="right"/>
            </w:pPr>
            <w:r w:rsidRPr="00AA7D24">
              <w:t>1552</w:t>
            </w:r>
          </w:p>
        </w:tc>
        <w:tc>
          <w:tcPr>
            <w:tcW w:w="1134" w:type="dxa"/>
            <w:noWrap/>
            <w:hideMark/>
          </w:tcPr>
          <w:p w:rsidR="00F72773" w:rsidRPr="00AA7D24" w:rsidRDefault="00F72773" w:rsidP="003F226B">
            <w:pPr>
              <w:pStyle w:val="Tabletext"/>
              <w:jc w:val="right"/>
            </w:pPr>
            <w:r w:rsidRPr="00AA7D24">
              <w:t>1397</w:t>
            </w:r>
          </w:p>
        </w:tc>
        <w:tc>
          <w:tcPr>
            <w:tcW w:w="1134" w:type="dxa"/>
            <w:noWrap/>
            <w:hideMark/>
          </w:tcPr>
          <w:p w:rsidR="00F72773" w:rsidRPr="00AA7D24" w:rsidRDefault="00F72773" w:rsidP="003F226B">
            <w:pPr>
              <w:pStyle w:val="Tabletext"/>
              <w:jc w:val="right"/>
            </w:pPr>
            <w:r w:rsidRPr="00AA7D24">
              <w:t>1593</w:t>
            </w:r>
          </w:p>
        </w:tc>
        <w:tc>
          <w:tcPr>
            <w:tcW w:w="1134" w:type="dxa"/>
            <w:noWrap/>
            <w:hideMark/>
          </w:tcPr>
          <w:p w:rsidR="00F72773" w:rsidRPr="00AA7D24" w:rsidRDefault="00F72773" w:rsidP="003F226B">
            <w:pPr>
              <w:pStyle w:val="Tabletext"/>
              <w:jc w:val="right"/>
            </w:pPr>
            <w:r w:rsidRPr="00AA7D24">
              <w:t>1495</w:t>
            </w:r>
          </w:p>
        </w:tc>
      </w:tr>
      <w:tr w:rsidR="00F72773" w:rsidRPr="00AA7D24" w:rsidTr="00E81945">
        <w:trPr>
          <w:cnfStyle w:val="000000010000" w:firstRow="0" w:lastRow="0" w:firstColumn="0" w:lastColumn="0" w:oddVBand="0" w:evenVBand="0" w:oddHBand="0" w:evenHBand="1" w:firstRowFirstColumn="0" w:firstRowLastColumn="0" w:lastRowFirstColumn="0" w:lastRowLastColumn="0"/>
          <w:trHeight w:val="300"/>
        </w:trPr>
        <w:tc>
          <w:tcPr>
            <w:tcW w:w="2093" w:type="dxa"/>
            <w:noWrap/>
            <w:hideMark/>
          </w:tcPr>
          <w:p w:rsidR="00F72773" w:rsidRPr="00AA7D24" w:rsidRDefault="00F72773" w:rsidP="003F226B">
            <w:pPr>
              <w:pStyle w:val="Tabletext"/>
            </w:pPr>
            <w:r w:rsidRPr="00AA7D24">
              <w:t>JEN</w:t>
            </w:r>
          </w:p>
        </w:tc>
        <w:tc>
          <w:tcPr>
            <w:tcW w:w="1134" w:type="dxa"/>
            <w:noWrap/>
            <w:hideMark/>
          </w:tcPr>
          <w:p w:rsidR="00F72773" w:rsidRPr="00AA7D24" w:rsidRDefault="00F72773" w:rsidP="003F226B">
            <w:pPr>
              <w:pStyle w:val="Tabletext"/>
              <w:jc w:val="right"/>
            </w:pPr>
            <w:r w:rsidRPr="00AA7D24">
              <w:t>1099</w:t>
            </w:r>
          </w:p>
        </w:tc>
        <w:tc>
          <w:tcPr>
            <w:tcW w:w="1134" w:type="dxa"/>
            <w:noWrap/>
            <w:hideMark/>
          </w:tcPr>
          <w:p w:rsidR="00F72773" w:rsidRPr="00AA7D24" w:rsidRDefault="00F72773" w:rsidP="003F226B">
            <w:pPr>
              <w:pStyle w:val="Tabletext"/>
              <w:jc w:val="right"/>
            </w:pPr>
            <w:r w:rsidRPr="00AA7D24">
              <w:t>1079</w:t>
            </w:r>
          </w:p>
        </w:tc>
        <w:tc>
          <w:tcPr>
            <w:tcW w:w="1134" w:type="dxa"/>
            <w:noWrap/>
            <w:hideMark/>
          </w:tcPr>
          <w:p w:rsidR="00F72773" w:rsidRPr="00AA7D24" w:rsidRDefault="00F72773" w:rsidP="003F226B">
            <w:pPr>
              <w:pStyle w:val="Tabletext"/>
              <w:jc w:val="right"/>
            </w:pPr>
            <w:r w:rsidRPr="00AA7D24">
              <w:t>1130</w:t>
            </w:r>
          </w:p>
        </w:tc>
        <w:tc>
          <w:tcPr>
            <w:tcW w:w="1134" w:type="dxa"/>
            <w:noWrap/>
            <w:hideMark/>
          </w:tcPr>
          <w:p w:rsidR="00F72773" w:rsidRPr="00AA7D24" w:rsidRDefault="00F72773" w:rsidP="003F226B">
            <w:pPr>
              <w:pStyle w:val="Tabletext"/>
              <w:jc w:val="right"/>
            </w:pPr>
            <w:r w:rsidRPr="00AA7D24">
              <w:t>996</w:t>
            </w:r>
          </w:p>
        </w:tc>
        <w:tc>
          <w:tcPr>
            <w:tcW w:w="1134" w:type="dxa"/>
            <w:noWrap/>
            <w:hideMark/>
          </w:tcPr>
          <w:p w:rsidR="00F72773" w:rsidRPr="00AA7D24" w:rsidRDefault="00F72773" w:rsidP="003F226B">
            <w:pPr>
              <w:pStyle w:val="Tabletext"/>
              <w:jc w:val="right"/>
            </w:pPr>
            <w:r w:rsidRPr="00AA7D24">
              <w:t>1162</w:t>
            </w:r>
          </w:p>
        </w:tc>
        <w:tc>
          <w:tcPr>
            <w:tcW w:w="1134" w:type="dxa"/>
            <w:noWrap/>
            <w:hideMark/>
          </w:tcPr>
          <w:p w:rsidR="00F72773" w:rsidRPr="00AA7D24" w:rsidRDefault="00F72773" w:rsidP="003F226B">
            <w:pPr>
              <w:pStyle w:val="Tabletext"/>
              <w:jc w:val="right"/>
            </w:pPr>
            <w:r w:rsidRPr="00AA7D24">
              <w:t>959</w:t>
            </w:r>
          </w:p>
        </w:tc>
      </w:tr>
      <w:tr w:rsidR="00F72773" w:rsidRPr="00AA7D24" w:rsidTr="00E81945">
        <w:trPr>
          <w:trHeight w:val="300"/>
        </w:trPr>
        <w:tc>
          <w:tcPr>
            <w:tcW w:w="2093" w:type="dxa"/>
            <w:noWrap/>
            <w:hideMark/>
          </w:tcPr>
          <w:p w:rsidR="00F72773" w:rsidRPr="00AA7D24" w:rsidRDefault="00F72773" w:rsidP="003F226B">
            <w:pPr>
              <w:pStyle w:val="Tabletext"/>
            </w:pPr>
            <w:proofErr w:type="spellStart"/>
            <w:r w:rsidRPr="00AA7D24">
              <w:t>Powercor</w:t>
            </w:r>
            <w:proofErr w:type="spellEnd"/>
          </w:p>
        </w:tc>
        <w:tc>
          <w:tcPr>
            <w:tcW w:w="1134" w:type="dxa"/>
            <w:noWrap/>
            <w:hideMark/>
          </w:tcPr>
          <w:p w:rsidR="00F72773" w:rsidRPr="00AA7D24" w:rsidRDefault="00F72773" w:rsidP="003F226B">
            <w:pPr>
              <w:pStyle w:val="Tabletext"/>
              <w:jc w:val="right"/>
            </w:pPr>
            <w:r w:rsidRPr="00AA7D24">
              <w:t>2481</w:t>
            </w:r>
          </w:p>
        </w:tc>
        <w:tc>
          <w:tcPr>
            <w:tcW w:w="1134" w:type="dxa"/>
            <w:noWrap/>
            <w:hideMark/>
          </w:tcPr>
          <w:p w:rsidR="00F72773" w:rsidRPr="00AA7D24" w:rsidRDefault="00F72773" w:rsidP="003F226B">
            <w:pPr>
              <w:pStyle w:val="Tabletext"/>
              <w:jc w:val="right"/>
            </w:pPr>
            <w:r w:rsidRPr="00AA7D24">
              <w:t>2263</w:t>
            </w:r>
          </w:p>
        </w:tc>
        <w:tc>
          <w:tcPr>
            <w:tcW w:w="1134" w:type="dxa"/>
            <w:noWrap/>
            <w:hideMark/>
          </w:tcPr>
          <w:p w:rsidR="00F72773" w:rsidRPr="00AA7D24" w:rsidRDefault="00F72773" w:rsidP="003F226B">
            <w:pPr>
              <w:pStyle w:val="Tabletext"/>
              <w:jc w:val="right"/>
            </w:pPr>
            <w:r w:rsidRPr="00AA7D24">
              <w:t>2557</w:t>
            </w:r>
          </w:p>
        </w:tc>
        <w:tc>
          <w:tcPr>
            <w:tcW w:w="1134" w:type="dxa"/>
            <w:noWrap/>
            <w:hideMark/>
          </w:tcPr>
          <w:p w:rsidR="00F72773" w:rsidRPr="00AA7D24" w:rsidRDefault="00F72773" w:rsidP="003F226B">
            <w:pPr>
              <w:pStyle w:val="Tabletext"/>
              <w:jc w:val="right"/>
            </w:pPr>
            <w:r w:rsidRPr="00AA7D24">
              <w:t>2161</w:t>
            </w:r>
          </w:p>
        </w:tc>
        <w:tc>
          <w:tcPr>
            <w:tcW w:w="1134" w:type="dxa"/>
            <w:noWrap/>
            <w:hideMark/>
          </w:tcPr>
          <w:p w:rsidR="00F72773" w:rsidRPr="00AA7D24" w:rsidRDefault="00F72773" w:rsidP="003F226B">
            <w:pPr>
              <w:pStyle w:val="Tabletext"/>
              <w:jc w:val="right"/>
            </w:pPr>
            <w:r w:rsidRPr="00AA7D24">
              <w:t>2652</w:t>
            </w:r>
          </w:p>
        </w:tc>
        <w:tc>
          <w:tcPr>
            <w:tcW w:w="1134" w:type="dxa"/>
            <w:noWrap/>
            <w:hideMark/>
          </w:tcPr>
          <w:p w:rsidR="00F72773" w:rsidRPr="00AA7D24" w:rsidRDefault="00F72773" w:rsidP="003F226B">
            <w:pPr>
              <w:pStyle w:val="Tabletext"/>
              <w:jc w:val="right"/>
            </w:pPr>
            <w:r w:rsidRPr="00AA7D24">
              <w:t>2321</w:t>
            </w:r>
          </w:p>
        </w:tc>
      </w:tr>
      <w:tr w:rsidR="00F72773" w:rsidRPr="00AA7D24" w:rsidTr="00E81945">
        <w:trPr>
          <w:cnfStyle w:val="000000010000" w:firstRow="0" w:lastRow="0" w:firstColumn="0" w:lastColumn="0" w:oddVBand="0" w:evenVBand="0" w:oddHBand="0" w:evenHBand="1" w:firstRowFirstColumn="0" w:firstRowLastColumn="0" w:lastRowFirstColumn="0" w:lastRowLastColumn="0"/>
          <w:trHeight w:val="300"/>
        </w:trPr>
        <w:tc>
          <w:tcPr>
            <w:tcW w:w="2093" w:type="dxa"/>
            <w:noWrap/>
            <w:hideMark/>
          </w:tcPr>
          <w:p w:rsidR="00F72773" w:rsidRPr="00AA7D24" w:rsidRDefault="00F72773" w:rsidP="003F226B">
            <w:pPr>
              <w:pStyle w:val="Tabletext"/>
            </w:pPr>
            <w:r w:rsidRPr="00AA7D24">
              <w:t>United Energy</w:t>
            </w:r>
          </w:p>
        </w:tc>
        <w:tc>
          <w:tcPr>
            <w:tcW w:w="1134" w:type="dxa"/>
            <w:noWrap/>
            <w:hideMark/>
          </w:tcPr>
          <w:p w:rsidR="00F72773" w:rsidRPr="00AA7D24" w:rsidRDefault="00F72773" w:rsidP="003F226B">
            <w:pPr>
              <w:pStyle w:val="Tabletext"/>
              <w:jc w:val="right"/>
            </w:pPr>
            <w:r w:rsidRPr="00AA7D24">
              <w:t>2359</w:t>
            </w:r>
          </w:p>
        </w:tc>
        <w:tc>
          <w:tcPr>
            <w:tcW w:w="1134" w:type="dxa"/>
            <w:noWrap/>
            <w:hideMark/>
          </w:tcPr>
          <w:p w:rsidR="00F72773" w:rsidRPr="00AA7D24" w:rsidRDefault="00F72773" w:rsidP="003F226B">
            <w:pPr>
              <w:pStyle w:val="Tabletext"/>
              <w:jc w:val="right"/>
            </w:pPr>
            <w:r w:rsidRPr="00AA7D24">
              <w:t>2052</w:t>
            </w:r>
          </w:p>
        </w:tc>
        <w:tc>
          <w:tcPr>
            <w:tcW w:w="1134" w:type="dxa"/>
            <w:noWrap/>
            <w:hideMark/>
          </w:tcPr>
          <w:p w:rsidR="00F72773" w:rsidRPr="00AA7D24" w:rsidRDefault="00F72773" w:rsidP="003F226B">
            <w:pPr>
              <w:pStyle w:val="Tabletext"/>
              <w:jc w:val="right"/>
            </w:pPr>
            <w:r w:rsidRPr="00AA7D24">
              <w:t>2424</w:t>
            </w:r>
          </w:p>
        </w:tc>
        <w:tc>
          <w:tcPr>
            <w:tcW w:w="1134" w:type="dxa"/>
            <w:noWrap/>
            <w:hideMark/>
          </w:tcPr>
          <w:p w:rsidR="00F72773" w:rsidRPr="00AA7D24" w:rsidRDefault="00F72773" w:rsidP="003F226B">
            <w:pPr>
              <w:pStyle w:val="Tabletext"/>
              <w:jc w:val="right"/>
            </w:pPr>
            <w:r w:rsidRPr="00AA7D24">
              <w:t>2142</w:t>
            </w:r>
          </w:p>
        </w:tc>
        <w:tc>
          <w:tcPr>
            <w:tcW w:w="1134" w:type="dxa"/>
            <w:noWrap/>
            <w:hideMark/>
          </w:tcPr>
          <w:p w:rsidR="00F72773" w:rsidRPr="00AA7D24" w:rsidRDefault="00F72773" w:rsidP="003F226B">
            <w:pPr>
              <w:pStyle w:val="Tabletext"/>
              <w:jc w:val="right"/>
            </w:pPr>
            <w:r w:rsidRPr="00AA7D24">
              <w:t>2495</w:t>
            </w:r>
          </w:p>
        </w:tc>
        <w:tc>
          <w:tcPr>
            <w:tcW w:w="1134" w:type="dxa"/>
            <w:noWrap/>
            <w:hideMark/>
          </w:tcPr>
          <w:p w:rsidR="00F72773" w:rsidRPr="00AA7D24" w:rsidRDefault="00F72773" w:rsidP="003F226B">
            <w:pPr>
              <w:pStyle w:val="Tabletext"/>
              <w:jc w:val="right"/>
            </w:pPr>
            <w:r w:rsidRPr="00AA7D24">
              <w:t>2205</w:t>
            </w:r>
          </w:p>
        </w:tc>
      </w:tr>
    </w:tbl>
    <w:p w:rsidR="00F72773" w:rsidRDefault="00F72773" w:rsidP="00E81945"/>
    <w:p w:rsidR="00B66690" w:rsidRDefault="00B66690" w:rsidP="00E81945">
      <w:r w:rsidRPr="00846CFC">
        <w:t xml:space="preserve">Chapter </w:t>
      </w:r>
      <w:r>
        <w:t>9</w:t>
      </w:r>
      <w:r w:rsidRPr="00846CFC">
        <w:t xml:space="preserve"> </w:t>
      </w:r>
      <w:r>
        <w:t>contains our</w:t>
      </w:r>
      <w:r w:rsidRPr="00846CFC">
        <w:t xml:space="preserve"> assessment of energy delivered and maximum demand for each DNSP in the NEM.</w:t>
      </w:r>
    </w:p>
    <w:p w:rsidR="00AE2FC7" w:rsidRPr="00846CFC" w:rsidRDefault="00AE2FC7" w:rsidP="00AE2FC7">
      <w:pPr>
        <w:pStyle w:val="Heading1"/>
      </w:pPr>
      <w:bookmarkStart w:id="82" w:name="_Toc409771599"/>
      <w:bookmarkStart w:id="83" w:name="_Toc423086454"/>
      <w:r w:rsidRPr="00846CFC">
        <w:t>Capital expenditure</w:t>
      </w:r>
      <w:bookmarkEnd w:id="82"/>
      <w:bookmarkEnd w:id="83"/>
    </w:p>
    <w:p w:rsidR="00B66690" w:rsidRPr="00846CFC" w:rsidRDefault="00B66690" w:rsidP="00B66690">
      <w:bookmarkStart w:id="84" w:name="_Toc409771600"/>
      <w:r w:rsidRPr="00846CFC">
        <w:t xml:space="preserve">This chapter </w:t>
      </w:r>
      <w:r>
        <w:t>describes</w:t>
      </w:r>
      <w:r w:rsidRPr="00846CFC">
        <w:t xml:space="preserve"> </w:t>
      </w:r>
      <w:r>
        <w:t>our approach</w:t>
      </w:r>
      <w:r w:rsidRPr="00846CFC">
        <w:t xml:space="preserve"> to assessing capital expenditure forecasts and the DNSPs</w:t>
      </w:r>
      <w:r w:rsidR="00E81945">
        <w:t>’</w:t>
      </w:r>
      <w:r w:rsidRPr="00846CFC">
        <w:t xml:space="preserve"> actual capital expenditure on standard control services over 2011</w:t>
      </w:r>
      <w:r>
        <w:t>–</w:t>
      </w:r>
      <w:r w:rsidRPr="00846CFC">
        <w:t>13.</w:t>
      </w:r>
    </w:p>
    <w:p w:rsidR="00AE2FC7" w:rsidRPr="00846CFC" w:rsidRDefault="00AE2FC7" w:rsidP="00E81945">
      <w:pPr>
        <w:pStyle w:val="Heading2"/>
      </w:pPr>
      <w:bookmarkStart w:id="85" w:name="_Toc423086455"/>
      <w:r w:rsidRPr="00846CFC">
        <w:t>Capital expenditure in electricity distribution</w:t>
      </w:r>
      <w:bookmarkEnd w:id="84"/>
      <w:bookmarkEnd w:id="85"/>
    </w:p>
    <w:p w:rsidR="00B66690" w:rsidRPr="00846CFC" w:rsidRDefault="00B66690" w:rsidP="00B66690">
      <w:bookmarkStart w:id="86" w:name="_Toc409771601"/>
      <w:bookmarkStart w:id="87" w:name="_Toc412790555"/>
      <w:r w:rsidRPr="00846CFC">
        <w:t xml:space="preserve">New investment in electricity networks includes augmentations (expansions) to meet demand and the replacement of aging assets. The regulatory process aims to create incentives for efficient investment. At the start of a regulatory control period, </w:t>
      </w:r>
      <w:r>
        <w:t xml:space="preserve">we </w:t>
      </w:r>
      <w:r w:rsidRPr="00846CFC">
        <w:t xml:space="preserve">approve an investment (capital expenditure) forecast for each DNSP. </w:t>
      </w:r>
      <w:r>
        <w:t>We</w:t>
      </w:r>
      <w:r w:rsidRPr="00846CFC">
        <w:t xml:space="preserve"> can approve contingent projects too</w:t>
      </w:r>
      <w:r w:rsidRPr="00B66690">
        <w:t>—</w:t>
      </w:r>
      <w:r>
        <w:t xml:space="preserve">that is, </w:t>
      </w:r>
      <w:r w:rsidRPr="00846CFC">
        <w:t>large projects that are planned at the time of a distribution determination, involv</w:t>
      </w:r>
      <w:r w:rsidR="00EB50AF">
        <w:t>ing</w:t>
      </w:r>
      <w:r w:rsidRPr="00846CFC">
        <w:t xml:space="preserve"> significant uncertainty.</w:t>
      </w:r>
    </w:p>
    <w:p w:rsidR="00B66690" w:rsidRPr="00846CFC" w:rsidRDefault="00B66690" w:rsidP="00B66690">
      <w:r>
        <w:t>The DNSPs</w:t>
      </w:r>
      <w:r w:rsidRPr="00846CFC">
        <w:t xml:space="preserve"> undertake capital expenditure by investing in infrastructure. </w:t>
      </w:r>
      <w:r>
        <w:t>They do so</w:t>
      </w:r>
      <w:r w:rsidRPr="00846CFC">
        <w:t xml:space="preserve"> for a number of reasons, including: </w:t>
      </w:r>
    </w:p>
    <w:p w:rsidR="00B66690" w:rsidRPr="00846CFC" w:rsidRDefault="00B66690" w:rsidP="00E81945">
      <w:pPr>
        <w:pStyle w:val="ListBullet"/>
      </w:pPr>
      <w:r w:rsidRPr="00846CFC">
        <w:t xml:space="preserve">augmenting (expanding) the network to meet rising demand </w:t>
      </w:r>
    </w:p>
    <w:p w:rsidR="00B66690" w:rsidRPr="00846CFC" w:rsidRDefault="00B66690" w:rsidP="00E81945">
      <w:pPr>
        <w:pStyle w:val="ListBullet"/>
      </w:pPr>
      <w:r w:rsidRPr="00846CFC">
        <w:t>replacing ageing or poorly performing assets</w:t>
      </w:r>
    </w:p>
    <w:p w:rsidR="00B66690" w:rsidRPr="00846CFC" w:rsidRDefault="00B66690" w:rsidP="00E81945">
      <w:pPr>
        <w:pStyle w:val="ListBullet"/>
      </w:pPr>
      <w:r w:rsidRPr="00846CFC">
        <w:t>maintaining or improving network performance</w:t>
      </w:r>
    </w:p>
    <w:p w:rsidR="00B66690" w:rsidRPr="00846CFC" w:rsidRDefault="00B66690" w:rsidP="00E81945">
      <w:pPr>
        <w:pStyle w:val="ListBullet"/>
      </w:pPr>
      <w:proofErr w:type="gramStart"/>
      <w:r w:rsidRPr="00846CFC">
        <w:t>meeting</w:t>
      </w:r>
      <w:proofErr w:type="gramEnd"/>
      <w:r w:rsidRPr="00846CFC">
        <w:t xml:space="preserve"> regulatory requirements, such as reliability standards. </w:t>
      </w:r>
    </w:p>
    <w:p w:rsidR="00B66690" w:rsidRPr="00846CFC" w:rsidRDefault="00B66690" w:rsidP="00B66690">
      <w:r w:rsidRPr="00846CFC">
        <w:t>As part of its regulatory proposal</w:t>
      </w:r>
      <w:r>
        <w:t>,</w:t>
      </w:r>
      <w:r w:rsidRPr="00846CFC">
        <w:t xml:space="preserve"> a DNSP </w:t>
      </w:r>
      <w:r>
        <w:t>must</w:t>
      </w:r>
      <w:r w:rsidRPr="00846CFC">
        <w:t xml:space="preserve"> propose a forecast that addresses the capital expenditure objectives set out in the </w:t>
      </w:r>
      <w:r>
        <w:t>National Electricity Rules</w:t>
      </w:r>
      <w:r w:rsidRPr="00846CFC">
        <w:t>. These capital objectives include:</w:t>
      </w:r>
    </w:p>
    <w:p w:rsidR="00B66690" w:rsidRPr="00846CFC" w:rsidRDefault="00B66690" w:rsidP="00E81945">
      <w:pPr>
        <w:pStyle w:val="ListBullet"/>
      </w:pPr>
      <w:r w:rsidRPr="00846CFC">
        <w:t>meeting the expected demand</w:t>
      </w:r>
    </w:p>
    <w:p w:rsidR="00B66690" w:rsidRPr="00846CFC" w:rsidRDefault="00B66690" w:rsidP="00E81945">
      <w:pPr>
        <w:pStyle w:val="ListBullet"/>
      </w:pPr>
      <w:r w:rsidRPr="00846CFC">
        <w:t>complying with applicable regulations</w:t>
      </w:r>
    </w:p>
    <w:p w:rsidR="00B66690" w:rsidRPr="00846CFC" w:rsidRDefault="00B66690" w:rsidP="00E81945">
      <w:pPr>
        <w:pStyle w:val="ListBullet"/>
      </w:pPr>
      <w:proofErr w:type="gramStart"/>
      <w:r w:rsidRPr="00846CFC">
        <w:t>maintaining</w:t>
      </w:r>
      <w:proofErr w:type="gramEnd"/>
      <w:r w:rsidRPr="00846CFC">
        <w:t xml:space="preserve"> the reliability, quality</w:t>
      </w:r>
      <w:r>
        <w:t xml:space="preserve"> and</w:t>
      </w:r>
      <w:r w:rsidRPr="00846CFC">
        <w:t xml:space="preserve"> security of supply</w:t>
      </w:r>
      <w:r>
        <w:t>,</w:t>
      </w:r>
      <w:r w:rsidRPr="00846CFC">
        <w:t xml:space="preserve"> and the safety of the distribution system. </w:t>
      </w:r>
    </w:p>
    <w:p w:rsidR="00B66690" w:rsidRPr="00846CFC" w:rsidRDefault="00B66690" w:rsidP="00B66690">
      <w:r w:rsidRPr="00846CFC">
        <w:t xml:space="preserve">Capital expenditure is added to the RAB, which is used to derive the depreciation and return on investment components of the building block model. </w:t>
      </w:r>
      <w:r>
        <w:t>We use a</w:t>
      </w:r>
      <w:r w:rsidRPr="00846CFC">
        <w:t xml:space="preserve"> building block model </w:t>
      </w:r>
      <w:r>
        <w:t xml:space="preserve">that </w:t>
      </w:r>
      <w:r w:rsidRPr="00846CFC">
        <w:t>includes the financing costs associated with capital expenditure</w:t>
      </w:r>
      <w:r>
        <w:t>,</w:t>
      </w:r>
      <w:r w:rsidRPr="00846CFC">
        <w:t xml:space="preserve"> rather than the project expenditure amounts. </w:t>
      </w:r>
      <w:r>
        <w:t>The DNSP, not the customer, bears the a</w:t>
      </w:r>
      <w:r w:rsidRPr="00846CFC">
        <w:t xml:space="preserve">dditional financing costs </w:t>
      </w:r>
      <w:r>
        <w:t>that</w:t>
      </w:r>
      <w:r w:rsidRPr="00846CFC">
        <w:t xml:space="preserve"> result </w:t>
      </w:r>
      <w:r>
        <w:t>from</w:t>
      </w:r>
      <w:r w:rsidRPr="00846CFC">
        <w:t xml:space="preserve"> overspending on capital projects</w:t>
      </w:r>
      <w:r>
        <w:t xml:space="preserve"> during</w:t>
      </w:r>
      <w:r w:rsidRPr="00846CFC">
        <w:t xml:space="preserve"> the regulatory control period. </w:t>
      </w:r>
    </w:p>
    <w:p w:rsidR="00B66690" w:rsidRPr="00846CFC" w:rsidRDefault="00B66690" w:rsidP="00B66690">
      <w:r>
        <w:t>At the beginning of the next regulatory control period, we assess a</w:t>
      </w:r>
      <w:r w:rsidRPr="00846CFC">
        <w:t xml:space="preserve">ny changes to the value of the DNSPs' </w:t>
      </w:r>
      <w:r>
        <w:t>RAB</w:t>
      </w:r>
      <w:r w:rsidRPr="00846CFC">
        <w:t xml:space="preserve"> </w:t>
      </w:r>
      <w:r>
        <w:t xml:space="preserve">that are </w:t>
      </w:r>
      <w:r w:rsidRPr="00846CFC">
        <w:t xml:space="preserve">associated with overspending on capital projects. </w:t>
      </w:r>
      <w:r>
        <w:t>If</w:t>
      </w:r>
      <w:r w:rsidRPr="00846CFC">
        <w:t xml:space="preserve"> </w:t>
      </w:r>
      <w:r>
        <w:t>we</w:t>
      </w:r>
      <w:r w:rsidRPr="00846CFC">
        <w:t xml:space="preserve"> consider this additional spending to be efficient, </w:t>
      </w:r>
      <w:r>
        <w:t xml:space="preserve">then we increase </w:t>
      </w:r>
      <w:r w:rsidRPr="00846CFC">
        <w:t>the opening asset base at the commencement of the next regulatory control period, and the DNSP will earn a return on this additional expenditure.</w:t>
      </w:r>
      <w:r>
        <w:t xml:space="preserve"> </w:t>
      </w:r>
    </w:p>
    <w:p w:rsidR="00B66690" w:rsidRPr="00846CFC" w:rsidRDefault="00B66690" w:rsidP="00B66690">
      <w:r w:rsidRPr="00846CFC">
        <w:t xml:space="preserve">Customers do not fund the additional capital expenditure in the current regulatory control period. However, </w:t>
      </w:r>
      <w:r>
        <w:t>through increased electricity prices, they</w:t>
      </w:r>
      <w:r w:rsidRPr="00846CFC">
        <w:t xml:space="preserve"> will fund this additional expenditure from the commencement of the next period.</w:t>
      </w:r>
      <w:r>
        <w:t xml:space="preserve"> </w:t>
      </w:r>
      <w:r w:rsidRPr="00846CFC">
        <w:t>Conversely</w:t>
      </w:r>
      <w:r>
        <w:t>,</w:t>
      </w:r>
      <w:r w:rsidRPr="00846CFC">
        <w:t xml:space="preserve"> </w:t>
      </w:r>
      <w:r>
        <w:t>when</w:t>
      </w:r>
      <w:r w:rsidRPr="00846CFC">
        <w:t xml:space="preserve"> a DNSP underspends on capital projects, customers do not benefit </w:t>
      </w:r>
      <w:r>
        <w:t>in</w:t>
      </w:r>
      <w:r w:rsidRPr="00846CFC">
        <w:t xml:space="preserve"> that regulatory </w:t>
      </w:r>
      <w:r>
        <w:t xml:space="preserve">control </w:t>
      </w:r>
      <w:r w:rsidRPr="00846CFC">
        <w:t>period</w:t>
      </w:r>
      <w:r w:rsidR="00D35600">
        <w:t>.</w:t>
      </w:r>
      <w:r w:rsidRPr="00846CFC">
        <w:t xml:space="preserve"> </w:t>
      </w:r>
      <w:r w:rsidR="00D35600" w:rsidRPr="00846CFC">
        <w:t xml:space="preserve">The </w:t>
      </w:r>
      <w:r w:rsidR="00D35600">
        <w:t>less than</w:t>
      </w:r>
      <w:r w:rsidRPr="00846CFC">
        <w:t xml:space="preserve"> forecast </w:t>
      </w:r>
      <w:r>
        <w:t>RAB</w:t>
      </w:r>
      <w:r w:rsidRPr="00846CFC">
        <w:t xml:space="preserve"> will drive </w:t>
      </w:r>
      <w:r>
        <w:t xml:space="preserve">down </w:t>
      </w:r>
      <w:r w:rsidRPr="00846CFC">
        <w:t>prices in the next period.</w:t>
      </w:r>
    </w:p>
    <w:p w:rsidR="00AE2FC7" w:rsidRPr="00846CFC" w:rsidRDefault="00AE2FC7" w:rsidP="00B66690">
      <w:pPr>
        <w:pStyle w:val="Heading3notnumbered"/>
      </w:pPr>
      <w:bookmarkStart w:id="88" w:name="_Toc413062035"/>
      <w:bookmarkStart w:id="89" w:name="_Toc413311036"/>
      <w:bookmarkStart w:id="90" w:name="_Toc423086456"/>
      <w:r w:rsidRPr="00846CFC">
        <w:t>Capital expenditure, 2011</w:t>
      </w:r>
      <w:r w:rsidR="007A3240">
        <w:t>–</w:t>
      </w:r>
      <w:r w:rsidRPr="00846CFC">
        <w:t>13</w:t>
      </w:r>
      <w:bookmarkEnd w:id="86"/>
      <w:bookmarkEnd w:id="87"/>
      <w:bookmarkEnd w:id="88"/>
      <w:bookmarkEnd w:id="89"/>
      <w:bookmarkEnd w:id="90"/>
    </w:p>
    <w:p w:rsidR="00AE2FC7" w:rsidRPr="00846CFC" w:rsidRDefault="00AE2FC7" w:rsidP="00AE2FC7">
      <w:r w:rsidRPr="00846CFC">
        <w:t xml:space="preserve">Total capital expenditure on standard control services </w:t>
      </w:r>
      <w:r w:rsidR="00B66690">
        <w:t xml:space="preserve">by DNSPs </w:t>
      </w:r>
      <w:r w:rsidRPr="00846CFC">
        <w:t>was approximately $5.</w:t>
      </w:r>
      <w:r w:rsidR="00855345">
        <w:t>2</w:t>
      </w:r>
      <w:r w:rsidR="00855345" w:rsidRPr="00846CFC">
        <w:t xml:space="preserve"> </w:t>
      </w:r>
      <w:r w:rsidRPr="00846CFC">
        <w:t>billion in 2013. Over 2011</w:t>
      </w:r>
      <w:r w:rsidR="007A3240">
        <w:t>–</w:t>
      </w:r>
      <w:r w:rsidRPr="00846CFC">
        <w:t xml:space="preserve">13, </w:t>
      </w:r>
      <w:r w:rsidR="00B66690">
        <w:t>it</w:t>
      </w:r>
      <w:r w:rsidRPr="00846CFC">
        <w:t xml:space="preserve"> was approximately </w:t>
      </w:r>
      <w:r w:rsidR="00855345" w:rsidRPr="00846CFC">
        <w:t>1</w:t>
      </w:r>
      <w:r w:rsidR="00855345">
        <w:t>6</w:t>
      </w:r>
      <w:r w:rsidR="00855345" w:rsidRPr="00846CFC">
        <w:t xml:space="preserve"> </w:t>
      </w:r>
      <w:r w:rsidRPr="00846CFC">
        <w:t xml:space="preserve">per cent less than </w:t>
      </w:r>
      <w:r w:rsidR="00DD4FC1">
        <w:t>our approved</w:t>
      </w:r>
      <w:r w:rsidRPr="00846CFC">
        <w:t xml:space="preserve"> forecast</w:t>
      </w:r>
      <w:r w:rsidR="00B66690">
        <w:t xml:space="preserve"> for the period (Figure 5-1)</w:t>
      </w:r>
      <w:r w:rsidRPr="00846CFC">
        <w:t xml:space="preserve">. </w:t>
      </w:r>
      <w:r w:rsidR="00B66690">
        <w:t>The u</w:t>
      </w:r>
      <w:r w:rsidRPr="00846CFC">
        <w:t xml:space="preserve">nderspending was largely driven by: </w:t>
      </w:r>
    </w:p>
    <w:p w:rsidR="00AE2FC7" w:rsidRPr="00846CFC" w:rsidRDefault="00AE2FC7" w:rsidP="00E81945">
      <w:pPr>
        <w:pStyle w:val="ListBullet"/>
      </w:pPr>
      <w:r w:rsidRPr="00846CFC">
        <w:t>lower than forecast peak demand</w:t>
      </w:r>
      <w:r w:rsidR="00B66690">
        <w:t>,</w:t>
      </w:r>
      <w:r w:rsidRPr="00846CFC">
        <w:t xml:space="preserve"> resulting in augmentation projects being deferred or avoided</w:t>
      </w:r>
    </w:p>
    <w:p w:rsidR="00AE2FC7" w:rsidRPr="00846CFC" w:rsidRDefault="00AE2FC7" w:rsidP="00E81945">
      <w:pPr>
        <w:pStyle w:val="ListBullet"/>
      </w:pPr>
      <w:r w:rsidRPr="00846CFC">
        <w:t xml:space="preserve">initiatives to actively reduce the need for capital expenditure </w:t>
      </w:r>
    </w:p>
    <w:p w:rsidR="00AE2FC7" w:rsidRPr="00846CFC" w:rsidRDefault="00B66690" w:rsidP="00E81945">
      <w:pPr>
        <w:pStyle w:val="ListBullet"/>
      </w:pPr>
      <w:r>
        <w:t xml:space="preserve">a </w:t>
      </w:r>
      <w:r w:rsidR="00AE2FC7" w:rsidRPr="00846CFC">
        <w:t>reduc</w:t>
      </w:r>
      <w:r>
        <w:t>ed</w:t>
      </w:r>
      <w:r w:rsidR="00AE2FC7" w:rsidRPr="00846CFC">
        <w:t xml:space="preserve"> volume of works </w:t>
      </w:r>
      <w:r>
        <w:t>reflecting</w:t>
      </w:r>
      <w:r w:rsidR="00AE2FC7" w:rsidRPr="00846CFC">
        <w:t xml:space="preserve"> enhanced risk management requirements</w:t>
      </w:r>
    </w:p>
    <w:p w:rsidR="00B66690" w:rsidRPr="00846CFC" w:rsidRDefault="00B66690" w:rsidP="00E81945">
      <w:pPr>
        <w:pStyle w:val="ListBullet"/>
      </w:pPr>
      <w:proofErr w:type="gramStart"/>
      <w:r>
        <w:t>the</w:t>
      </w:r>
      <w:proofErr w:type="gramEnd"/>
      <w:r>
        <w:t xml:space="preserve"> impact of the weakened national economy on </w:t>
      </w:r>
      <w:r w:rsidRPr="00846CFC">
        <w:t>customer initiated work.</w:t>
      </w:r>
    </w:p>
    <w:p w:rsidR="00AE2FC7" w:rsidRDefault="00AE2FC7" w:rsidP="00972E3F">
      <w:pPr>
        <w:pStyle w:val="Caption"/>
      </w:pPr>
      <w:r>
        <w:t>Figure </w:t>
      </w:r>
      <w:r w:rsidRPr="00846CFC">
        <w:t>5–1</w:t>
      </w:r>
      <w:r w:rsidRPr="00846CFC">
        <w:tab/>
        <w:t>Total capital expenditure</w:t>
      </w:r>
      <w:r w:rsidR="00B66690">
        <w:t xml:space="preserve"> by DNSP</w:t>
      </w:r>
      <w:r w:rsidRPr="00846CFC">
        <w:t>, 2011</w:t>
      </w:r>
      <w:r w:rsidR="007A3240">
        <w:t>–</w:t>
      </w:r>
      <w:r w:rsidRPr="00846CFC">
        <w:t>13</w:t>
      </w:r>
    </w:p>
    <w:p w:rsidR="00AE2FC7" w:rsidRDefault="00566DA6" w:rsidP="00AE2FC7">
      <w:r>
        <w:rPr>
          <w:noProof/>
          <w:lang w:eastAsia="en-AU"/>
        </w:rPr>
        <w:drawing>
          <wp:inline distT="0" distB="0" distL="0" distR="0" wp14:anchorId="12A67EAA" wp14:editId="1855F230">
            <wp:extent cx="4572000" cy="3124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6690" w:rsidRPr="00B66690" w:rsidRDefault="00B66690" w:rsidP="00B66690">
      <w:r w:rsidRPr="00B66690">
        <w:t xml:space="preserve">Over 2011–13 each of the following DNSPs' actual capital expenditure was less than our approved forecasts: </w:t>
      </w:r>
    </w:p>
    <w:p w:rsidR="00AE2FC7" w:rsidRPr="00570136" w:rsidRDefault="00AE2FC7" w:rsidP="00E81945">
      <w:pPr>
        <w:pStyle w:val="ListBullet"/>
      </w:pPr>
      <w:r w:rsidRPr="00570136">
        <w:t>Energex (</w:t>
      </w:r>
      <w:r w:rsidR="007A3240" w:rsidRPr="00570136">
        <w:t>–</w:t>
      </w:r>
      <w:r w:rsidRPr="00570136">
        <w:t>26 per cent)</w:t>
      </w:r>
    </w:p>
    <w:p w:rsidR="00AE2FC7" w:rsidRPr="00570136" w:rsidRDefault="00AE2FC7" w:rsidP="00E81945">
      <w:pPr>
        <w:pStyle w:val="ListBullet"/>
      </w:pPr>
      <w:proofErr w:type="spellStart"/>
      <w:r w:rsidRPr="00570136">
        <w:t>CitiPower</w:t>
      </w:r>
      <w:proofErr w:type="spellEnd"/>
      <w:r w:rsidRPr="00570136">
        <w:t xml:space="preserve"> (</w:t>
      </w:r>
      <w:r w:rsidR="007A3240" w:rsidRPr="00570136">
        <w:t>–</w:t>
      </w:r>
      <w:r w:rsidRPr="00570136">
        <w:t>23 per cent)</w:t>
      </w:r>
    </w:p>
    <w:p w:rsidR="00AE2FC7" w:rsidRPr="00C1436E" w:rsidRDefault="00AE2FC7" w:rsidP="00E81945">
      <w:pPr>
        <w:pStyle w:val="ListBullet"/>
      </w:pPr>
      <w:r w:rsidRPr="00C1436E">
        <w:t>Ergon Energy (</w:t>
      </w:r>
      <w:r w:rsidR="007A3240" w:rsidRPr="00C1436E">
        <w:t>–</w:t>
      </w:r>
      <w:r w:rsidR="00570136" w:rsidRPr="00C1436E">
        <w:t>17</w:t>
      </w:r>
      <w:r w:rsidRPr="00C1436E">
        <w:t xml:space="preserve"> per cent)</w:t>
      </w:r>
    </w:p>
    <w:p w:rsidR="00AE2FC7" w:rsidRPr="00846CFC" w:rsidRDefault="00AE2FC7" w:rsidP="00E81945">
      <w:pPr>
        <w:pStyle w:val="ListBullet"/>
      </w:pPr>
      <w:proofErr w:type="spellStart"/>
      <w:r w:rsidRPr="00846CFC">
        <w:t>Ausgrid</w:t>
      </w:r>
      <w:proofErr w:type="spellEnd"/>
      <w:r w:rsidRPr="00846CFC">
        <w:t xml:space="preserve"> (</w:t>
      </w:r>
      <w:r w:rsidR="007A3240">
        <w:t>–</w:t>
      </w:r>
      <w:r w:rsidR="00531D6C">
        <w:t>17</w:t>
      </w:r>
      <w:r w:rsidRPr="00846CFC">
        <w:t xml:space="preserve"> per cent)</w:t>
      </w:r>
    </w:p>
    <w:p w:rsidR="00AE2FC7" w:rsidRPr="00846CFC" w:rsidRDefault="00AE2FC7" w:rsidP="00E81945">
      <w:pPr>
        <w:pStyle w:val="ListBullet"/>
      </w:pPr>
      <w:r w:rsidRPr="00846CFC">
        <w:t>Essential Energy (</w:t>
      </w:r>
      <w:r w:rsidR="007A3240">
        <w:t>–</w:t>
      </w:r>
      <w:r w:rsidRPr="00846CFC">
        <w:t>15 per cent)</w:t>
      </w:r>
    </w:p>
    <w:p w:rsidR="00AE2FC7" w:rsidRPr="00846CFC" w:rsidRDefault="00AE2FC7" w:rsidP="00E81945">
      <w:pPr>
        <w:pStyle w:val="ListBullet"/>
      </w:pPr>
      <w:r w:rsidRPr="00846CFC">
        <w:t>SA Power Networks (</w:t>
      </w:r>
      <w:r w:rsidR="007A3240">
        <w:t>–</w:t>
      </w:r>
      <w:r w:rsidRPr="00846CFC">
        <w:t>11 per cent)</w:t>
      </w:r>
    </w:p>
    <w:p w:rsidR="00AE2FC7" w:rsidRPr="00846CFC" w:rsidRDefault="00AE2FC7" w:rsidP="00E81945">
      <w:pPr>
        <w:pStyle w:val="ListBullet"/>
      </w:pPr>
      <w:proofErr w:type="spellStart"/>
      <w:r w:rsidRPr="00846CFC">
        <w:t>Powercor</w:t>
      </w:r>
      <w:proofErr w:type="spellEnd"/>
      <w:r w:rsidRPr="00846CFC">
        <w:t xml:space="preserve"> (</w:t>
      </w:r>
      <w:r w:rsidR="007A3240">
        <w:t>–</w:t>
      </w:r>
      <w:r w:rsidRPr="00846CFC">
        <w:t>11 per cent)</w:t>
      </w:r>
    </w:p>
    <w:p w:rsidR="00AE2FC7" w:rsidRPr="00846CFC" w:rsidRDefault="00AE2FC7" w:rsidP="00E81945">
      <w:pPr>
        <w:pStyle w:val="ListBullet"/>
      </w:pPr>
      <w:proofErr w:type="spellStart"/>
      <w:r w:rsidRPr="00846CFC">
        <w:t>TasNetworks</w:t>
      </w:r>
      <w:proofErr w:type="spellEnd"/>
      <w:r w:rsidRPr="00846CFC">
        <w:t xml:space="preserve"> (</w:t>
      </w:r>
      <w:r w:rsidR="007A3240">
        <w:t>–</w:t>
      </w:r>
      <w:r w:rsidRPr="00846CFC">
        <w:t>10 per cent)</w:t>
      </w:r>
    </w:p>
    <w:p w:rsidR="00AE2FC7" w:rsidRPr="00846CFC" w:rsidRDefault="00AE2FC7" w:rsidP="00E81945">
      <w:pPr>
        <w:pStyle w:val="ListBullet"/>
      </w:pPr>
      <w:r w:rsidRPr="00846CFC">
        <w:t>Endeavour Energy (</w:t>
      </w:r>
      <w:r w:rsidR="007A3240">
        <w:t>–</w:t>
      </w:r>
      <w:r w:rsidRPr="00846CFC">
        <w:t>9 per cent)</w:t>
      </w:r>
    </w:p>
    <w:p w:rsidR="00AE2FC7" w:rsidRPr="00846CFC" w:rsidRDefault="00AE2FC7" w:rsidP="00E81945">
      <w:pPr>
        <w:pStyle w:val="ListBullet"/>
      </w:pPr>
      <w:proofErr w:type="spellStart"/>
      <w:r w:rsidRPr="00846CFC">
        <w:t>AusNet</w:t>
      </w:r>
      <w:proofErr w:type="spellEnd"/>
      <w:r w:rsidRPr="00846CFC">
        <w:t xml:space="preserve"> Services (</w:t>
      </w:r>
      <w:r w:rsidR="007A3240">
        <w:t>–</w:t>
      </w:r>
      <w:r w:rsidRPr="00846CFC">
        <w:t>2 per cent).</w:t>
      </w:r>
    </w:p>
    <w:p w:rsidR="00B66690" w:rsidRPr="00846CFC" w:rsidRDefault="00B66690" w:rsidP="00B66690">
      <w:r>
        <w:t>T</w:t>
      </w:r>
      <w:r w:rsidRPr="00846CFC">
        <w:t>he following DNSPs' actual capital expenditure</w:t>
      </w:r>
      <w:r>
        <w:t xml:space="preserve"> over the period</w:t>
      </w:r>
      <w:r w:rsidRPr="00846CFC">
        <w:t xml:space="preserve"> exceeded </w:t>
      </w:r>
      <w:r>
        <w:t>our approved</w:t>
      </w:r>
      <w:r w:rsidRPr="00846CFC">
        <w:t xml:space="preserve"> forecasts</w:t>
      </w:r>
      <w:r w:rsidR="00E81945">
        <w:t>:</w:t>
      </w:r>
      <w:r w:rsidR="00036A15">
        <w:rPr>
          <w:rStyle w:val="FootnoteReference"/>
        </w:rPr>
        <w:footnoteReference w:id="6"/>
      </w:r>
    </w:p>
    <w:p w:rsidR="00B66690" w:rsidRPr="00846CFC" w:rsidRDefault="00B66690" w:rsidP="00E81945">
      <w:pPr>
        <w:pStyle w:val="ListBullet"/>
      </w:pPr>
      <w:r w:rsidRPr="00846CFC">
        <w:t>JEN (+23 per cent)</w:t>
      </w:r>
    </w:p>
    <w:p w:rsidR="00B66690" w:rsidRPr="00846CFC" w:rsidRDefault="00B66690" w:rsidP="00E81945">
      <w:pPr>
        <w:pStyle w:val="ListBullet"/>
      </w:pPr>
      <w:proofErr w:type="spellStart"/>
      <w:r w:rsidRPr="00846CFC">
        <w:t>ActewAGL</w:t>
      </w:r>
      <w:proofErr w:type="spellEnd"/>
      <w:r w:rsidRPr="00846CFC">
        <w:t xml:space="preserve"> (+16 per cent)</w:t>
      </w:r>
    </w:p>
    <w:p w:rsidR="00B66690" w:rsidRPr="00846CFC" w:rsidRDefault="00B66690" w:rsidP="00E81945">
      <w:pPr>
        <w:pStyle w:val="ListBullet"/>
      </w:pPr>
      <w:r w:rsidRPr="00846CFC">
        <w:t>United Energy (+6 per cent).</w:t>
      </w:r>
    </w:p>
    <w:p w:rsidR="00AE2FC7" w:rsidRPr="00846CFC" w:rsidRDefault="00AE2FC7" w:rsidP="00B66690">
      <w:pPr>
        <w:pStyle w:val="Heading3notnumbered"/>
      </w:pPr>
      <w:bookmarkStart w:id="91" w:name="_Toc409771602"/>
      <w:bookmarkStart w:id="92" w:name="_Toc412790556"/>
      <w:bookmarkStart w:id="93" w:name="_Toc413062036"/>
      <w:bookmarkStart w:id="94" w:name="_Toc413311037"/>
      <w:bookmarkStart w:id="95" w:name="_Toc423086457"/>
      <w:r w:rsidRPr="00846CFC">
        <w:t>Regulatory Asset Base</w:t>
      </w:r>
      <w:bookmarkEnd w:id="91"/>
      <w:bookmarkEnd w:id="92"/>
      <w:bookmarkEnd w:id="93"/>
      <w:bookmarkEnd w:id="94"/>
      <w:bookmarkEnd w:id="95"/>
    </w:p>
    <w:p w:rsidR="00855345" w:rsidRPr="00846CFC" w:rsidRDefault="00855345" w:rsidP="00855345">
      <w:r w:rsidRPr="00846CFC">
        <w:t>The RAB reflects the opening capital base of a network when it was first regulated, plus subsequent new investment, less depreciation on existing assets.</w:t>
      </w:r>
    </w:p>
    <w:p w:rsidR="00B66690" w:rsidRDefault="00B66690" w:rsidP="00B66690">
      <w:r w:rsidRPr="00846CFC">
        <w:t>The combined RAB of DNSPs in the NEM was approximately $58.7</w:t>
      </w:r>
      <w:r>
        <w:t> </w:t>
      </w:r>
      <w:r w:rsidRPr="00846CFC">
        <w:t>billion at the end of 2013</w:t>
      </w:r>
      <w:r>
        <w:t xml:space="preserve"> (Figure 5</w:t>
      </w:r>
      <w:r w:rsidRPr="00B66690">
        <w:t>‒</w:t>
      </w:r>
      <w:r w:rsidR="00D35600">
        <w:t>2</w:t>
      </w:r>
      <w:r>
        <w:t>)</w:t>
      </w:r>
      <w:r w:rsidRPr="00846CFC">
        <w:t xml:space="preserve">. </w:t>
      </w:r>
      <w:r>
        <w:t>It</w:t>
      </w:r>
      <w:r w:rsidRPr="00846CFC">
        <w:t xml:space="preserve"> increased by approximately 21</w:t>
      </w:r>
      <w:r>
        <w:t> </w:t>
      </w:r>
      <w:r w:rsidRPr="00846CFC">
        <w:t>per cent over 2011</w:t>
      </w:r>
      <w:r>
        <w:t>–</w:t>
      </w:r>
      <w:r w:rsidRPr="00846CFC">
        <w:t>13</w:t>
      </w:r>
      <w:r>
        <w:t>, compared with the f</w:t>
      </w:r>
      <w:r w:rsidRPr="00846CFC">
        <w:t xml:space="preserve">orecast increase </w:t>
      </w:r>
      <w:r>
        <w:t>of</w:t>
      </w:r>
      <w:r w:rsidRPr="00846CFC">
        <w:t xml:space="preserve"> 31</w:t>
      </w:r>
      <w:r>
        <w:t> </w:t>
      </w:r>
      <w:r w:rsidRPr="00846CFC">
        <w:t>per cent</w:t>
      </w:r>
      <w:r>
        <w:t xml:space="preserve"> for the period</w:t>
      </w:r>
      <w:r w:rsidRPr="00846CFC">
        <w:t>.</w:t>
      </w:r>
      <w:r w:rsidR="00DA46D7">
        <w:rPr>
          <w:rStyle w:val="FootnoteReference"/>
        </w:rPr>
        <w:footnoteReference w:id="7"/>
      </w:r>
      <w:r>
        <w:t xml:space="preserve"> </w:t>
      </w:r>
    </w:p>
    <w:p w:rsidR="00AE2FC7" w:rsidRDefault="00AE2FC7" w:rsidP="00972E3F">
      <w:pPr>
        <w:pStyle w:val="Caption"/>
      </w:pPr>
      <w:r>
        <w:t>Figure </w:t>
      </w:r>
      <w:r w:rsidRPr="00846CFC">
        <w:t>5–</w:t>
      </w:r>
      <w:r w:rsidR="00D35600">
        <w:t>2</w:t>
      </w:r>
      <w:r w:rsidRPr="00846CFC">
        <w:tab/>
      </w:r>
      <w:proofErr w:type="gramStart"/>
      <w:r w:rsidRPr="00846CFC">
        <w:t>Closing</w:t>
      </w:r>
      <w:proofErr w:type="gramEnd"/>
      <w:r w:rsidRPr="00846CFC">
        <w:t xml:space="preserve"> regulatory asset base</w:t>
      </w:r>
      <w:r w:rsidR="00B66690">
        <w:t xml:space="preserve"> by DNSP</w:t>
      </w:r>
      <w:r w:rsidRPr="00846CFC">
        <w:t>, 2013</w:t>
      </w:r>
    </w:p>
    <w:p w:rsidR="00AE2FC7" w:rsidRDefault="00531D6C" w:rsidP="00AE2FC7">
      <w:r>
        <w:rPr>
          <w:noProof/>
          <w:lang w:eastAsia="en-AU"/>
        </w:rPr>
        <w:drawing>
          <wp:inline distT="0" distB="0" distL="0" distR="0" wp14:anchorId="3438D848" wp14:editId="03CE0885">
            <wp:extent cx="4572000" cy="3124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E2FC7" w:rsidRDefault="004D05C2" w:rsidP="00AE2FC7">
      <w:r>
        <w:t>For</w:t>
      </w:r>
      <w:r w:rsidRPr="00846CFC">
        <w:t xml:space="preserve"> </w:t>
      </w:r>
      <w:r w:rsidR="00AE2FC7" w:rsidRPr="00846CFC">
        <w:t>2013:</w:t>
      </w:r>
    </w:p>
    <w:p w:rsidR="004D05C2" w:rsidRPr="00846CFC" w:rsidRDefault="004D05C2" w:rsidP="0021301A">
      <w:pPr>
        <w:pStyle w:val="ListBullet"/>
      </w:pPr>
      <w:r w:rsidRPr="00846CFC">
        <w:t>JEN (+7 per cent)</w:t>
      </w:r>
      <w:r>
        <w:t>, United Energy (+2 per cent)</w:t>
      </w:r>
      <w:r w:rsidRPr="00846CFC">
        <w:t xml:space="preserve"> and </w:t>
      </w:r>
      <w:proofErr w:type="spellStart"/>
      <w:r w:rsidRPr="00846CFC">
        <w:t>ActewAGL</w:t>
      </w:r>
      <w:proofErr w:type="spellEnd"/>
      <w:r w:rsidRPr="00846CFC">
        <w:t xml:space="preserve"> (+2 per cent) reported the highest positive variation in actual RAB compared </w:t>
      </w:r>
      <w:r>
        <w:t>with our</w:t>
      </w:r>
      <w:r w:rsidRPr="00846CFC">
        <w:t xml:space="preserve"> </w:t>
      </w:r>
      <w:r>
        <w:t>approved forecasts</w:t>
      </w:r>
    </w:p>
    <w:p w:rsidR="004D05C2" w:rsidRPr="00846CFC" w:rsidRDefault="004D05C2" w:rsidP="0021301A">
      <w:pPr>
        <w:pStyle w:val="ListBullet"/>
      </w:pPr>
      <w:r w:rsidRPr="00846CFC">
        <w:t>Ergon Energy (</w:t>
      </w:r>
      <w:r>
        <w:t>–</w:t>
      </w:r>
      <w:r w:rsidRPr="00846CFC">
        <w:t>11 per cent) and Energex (</w:t>
      </w:r>
      <w:r>
        <w:t>–</w:t>
      </w:r>
      <w:r w:rsidRPr="00846CFC">
        <w:t>1</w:t>
      </w:r>
      <w:r>
        <w:t>0</w:t>
      </w:r>
      <w:r w:rsidRPr="00846CFC">
        <w:t xml:space="preserve"> per cent) reported the highest negative variation in actual RAB compared </w:t>
      </w:r>
      <w:r>
        <w:t>with</w:t>
      </w:r>
      <w:r w:rsidRPr="00846CFC">
        <w:t xml:space="preserve"> </w:t>
      </w:r>
      <w:r>
        <w:t>our approved</w:t>
      </w:r>
      <w:r w:rsidRPr="00846CFC">
        <w:t xml:space="preserve"> forecasts.</w:t>
      </w:r>
    </w:p>
    <w:p w:rsidR="00C32EB3" w:rsidRDefault="00C32EB3" w:rsidP="00C32EB3">
      <w:pPr>
        <w:pStyle w:val="Bulletpoint"/>
        <w:numPr>
          <w:ilvl w:val="0"/>
          <w:numId w:val="0"/>
        </w:numPr>
        <w:rPr>
          <w:rFonts w:ascii="Times New Roman" w:hAnsi="Times New Roman"/>
          <w:sz w:val="24"/>
          <w:szCs w:val="24"/>
          <w:lang w:eastAsia="en-AU"/>
        </w:rPr>
      </w:pPr>
      <w:r>
        <w:t>These differences are caused by differences between the forecast and actual capital expenditure during the period.</w:t>
      </w:r>
      <w:r>
        <w:rPr>
          <w:rStyle w:val="FootnoteReference"/>
        </w:rPr>
        <w:footnoteReference w:id="8"/>
      </w:r>
      <w:r>
        <w:rPr>
          <w:rFonts w:ascii="Times New Roman" w:hAnsi="Times New Roman"/>
          <w:sz w:val="24"/>
          <w:szCs w:val="24"/>
          <w:lang w:eastAsia="en-AU"/>
        </w:rPr>
        <w:t xml:space="preserve"> </w:t>
      </w:r>
    </w:p>
    <w:p w:rsidR="00AE2FC7" w:rsidRDefault="00AE2FC7" w:rsidP="00AE2FC7">
      <w:r w:rsidRPr="00846CFC">
        <w:t xml:space="preserve">Chapter </w:t>
      </w:r>
      <w:r w:rsidR="00855345">
        <w:t>9</w:t>
      </w:r>
      <w:r w:rsidR="00855345" w:rsidRPr="00846CFC">
        <w:t xml:space="preserve"> </w:t>
      </w:r>
      <w:r w:rsidR="00B66690">
        <w:t>contains</w:t>
      </w:r>
      <w:r w:rsidRPr="00846CFC">
        <w:t xml:space="preserve"> </w:t>
      </w:r>
      <w:r w:rsidR="00B66690">
        <w:t>our assessment of</w:t>
      </w:r>
      <w:r w:rsidRPr="00846CFC">
        <w:t xml:space="preserve"> capital expenditure for each DNSP in the NEM.</w:t>
      </w:r>
    </w:p>
    <w:p w:rsidR="00AE2FC7" w:rsidRPr="004A6B29" w:rsidRDefault="00AE2FC7" w:rsidP="00AE2FC7">
      <w:pPr>
        <w:pStyle w:val="Heading1"/>
      </w:pPr>
      <w:bookmarkStart w:id="96" w:name="_Toc409771603"/>
      <w:bookmarkStart w:id="97" w:name="_Toc423086458"/>
      <w:r w:rsidRPr="004A6B29">
        <w:t>Operating expenditure</w:t>
      </w:r>
      <w:bookmarkEnd w:id="96"/>
      <w:bookmarkEnd w:id="97"/>
    </w:p>
    <w:p w:rsidR="00B66690" w:rsidRPr="004A6B29" w:rsidRDefault="00B66690" w:rsidP="00B66690">
      <w:bookmarkStart w:id="98" w:name="_Toc409771604"/>
      <w:r w:rsidRPr="004A6B29">
        <w:t xml:space="preserve">This chapter </w:t>
      </w:r>
      <w:r>
        <w:t>describes</w:t>
      </w:r>
      <w:r w:rsidRPr="004A6B29">
        <w:t xml:space="preserve"> </w:t>
      </w:r>
      <w:r>
        <w:t>our approach</w:t>
      </w:r>
      <w:r w:rsidRPr="004A6B29">
        <w:t xml:space="preserve"> to assessing DNSPs</w:t>
      </w:r>
      <w:r w:rsidR="0021301A">
        <w:t>’</w:t>
      </w:r>
      <w:r w:rsidRPr="004A6B29">
        <w:t xml:space="preserve"> </w:t>
      </w:r>
      <w:r>
        <w:t>forecast</w:t>
      </w:r>
      <w:r w:rsidRPr="004A6B29">
        <w:t xml:space="preserve"> </w:t>
      </w:r>
      <w:r>
        <w:t xml:space="preserve">and actual </w:t>
      </w:r>
      <w:r w:rsidRPr="004A6B29">
        <w:t>operating expenditure over 2011</w:t>
      </w:r>
      <w:r>
        <w:t>–</w:t>
      </w:r>
      <w:r w:rsidRPr="004A6B29">
        <w:t xml:space="preserve">13. </w:t>
      </w:r>
    </w:p>
    <w:p w:rsidR="00AE2FC7" w:rsidRPr="004A6B29" w:rsidRDefault="00AE2FC7" w:rsidP="0021301A">
      <w:pPr>
        <w:pStyle w:val="Heading2"/>
      </w:pPr>
      <w:bookmarkStart w:id="99" w:name="_Toc423086459"/>
      <w:r w:rsidRPr="004A6B29">
        <w:t>Operating expenditure in electricity distribution</w:t>
      </w:r>
      <w:bookmarkEnd w:id="98"/>
      <w:bookmarkEnd w:id="99"/>
    </w:p>
    <w:p w:rsidR="00976912" w:rsidRPr="004A6B29" w:rsidRDefault="00AE2FC7" w:rsidP="00976912">
      <w:r w:rsidRPr="004A6B29">
        <w:t xml:space="preserve">Operating expenditure is a key component in </w:t>
      </w:r>
      <w:r w:rsidR="00DD4FC1">
        <w:t>our</w:t>
      </w:r>
      <w:r w:rsidRPr="004A6B29">
        <w:t xml:space="preserve"> building block model. </w:t>
      </w:r>
      <w:bookmarkStart w:id="100" w:name="_Toc409771605"/>
      <w:bookmarkStart w:id="101" w:name="_Toc412790559"/>
      <w:r w:rsidR="00976912" w:rsidRPr="004A6B29">
        <w:t xml:space="preserve">As part of its regulatory proposal, a DNSP proposes an operating expenditure forecast. This forecast is the DNSP's estimate of </w:t>
      </w:r>
      <w:r w:rsidR="00976912">
        <w:t>its necessary</w:t>
      </w:r>
      <w:r w:rsidR="00976912" w:rsidRPr="004A6B29">
        <w:t xml:space="preserve"> </w:t>
      </w:r>
      <w:r w:rsidR="00976912">
        <w:t xml:space="preserve">expenditure </w:t>
      </w:r>
      <w:r w:rsidR="00976912" w:rsidRPr="004A6B29">
        <w:t xml:space="preserve">to achieve the operating expenditure objectives set out in the </w:t>
      </w:r>
      <w:r w:rsidR="00976912">
        <w:t xml:space="preserve">National Electricity Rules. These objectives </w:t>
      </w:r>
      <w:r w:rsidR="00976912" w:rsidRPr="004A6B29">
        <w:t>includ</w:t>
      </w:r>
      <w:r w:rsidR="00976912">
        <w:t>e</w:t>
      </w:r>
      <w:r w:rsidR="00976912" w:rsidRPr="004A6B29">
        <w:t xml:space="preserve">: </w:t>
      </w:r>
    </w:p>
    <w:p w:rsidR="00976912" w:rsidRPr="004A6B29" w:rsidRDefault="00976912" w:rsidP="0021301A">
      <w:pPr>
        <w:pStyle w:val="ListBullet"/>
      </w:pPr>
      <w:r w:rsidRPr="004A6B29">
        <w:t>meeting the expected demand</w:t>
      </w:r>
    </w:p>
    <w:p w:rsidR="00976912" w:rsidRPr="004A6B29" w:rsidRDefault="00976912" w:rsidP="0021301A">
      <w:pPr>
        <w:pStyle w:val="ListBullet"/>
      </w:pPr>
      <w:r w:rsidRPr="004A6B29">
        <w:t>complying with applicable regulations</w:t>
      </w:r>
    </w:p>
    <w:p w:rsidR="00976912" w:rsidRPr="004A6B29" w:rsidRDefault="00976912" w:rsidP="0021301A">
      <w:pPr>
        <w:pStyle w:val="ListBullet"/>
      </w:pPr>
      <w:proofErr w:type="gramStart"/>
      <w:r w:rsidRPr="004A6B29">
        <w:t>maintaining</w:t>
      </w:r>
      <w:proofErr w:type="gramEnd"/>
      <w:r w:rsidRPr="004A6B29">
        <w:t xml:space="preserve"> the reliability, quality</w:t>
      </w:r>
      <w:r>
        <w:t xml:space="preserve"> and</w:t>
      </w:r>
      <w:r w:rsidRPr="004A6B29">
        <w:t xml:space="preserve"> security of supply</w:t>
      </w:r>
      <w:r>
        <w:t>,</w:t>
      </w:r>
      <w:r w:rsidRPr="004A6B29">
        <w:t xml:space="preserve"> and safety of the distribution system. </w:t>
      </w:r>
    </w:p>
    <w:p w:rsidR="00036A15" w:rsidRPr="004A6B29" w:rsidRDefault="00036A15" w:rsidP="00036A15">
      <w:bookmarkStart w:id="102" w:name="_Toc413062039"/>
      <w:bookmarkStart w:id="103" w:name="_Toc413311040"/>
      <w:r>
        <w:t xml:space="preserve">We </w:t>
      </w:r>
      <w:r w:rsidRPr="004A6B29">
        <w:t>determine allowances for each DNSP to cover efficient operating and maintenance expenditure</w:t>
      </w:r>
      <w:r>
        <w:t xml:space="preserve"> based on an assessment of the ope</w:t>
      </w:r>
      <w:r w:rsidR="0021301A">
        <w:t>rating expenditure</w:t>
      </w:r>
      <w:r>
        <w:t xml:space="preserve"> forecast by the DNSP</w:t>
      </w:r>
      <w:r w:rsidRPr="004A6B29">
        <w:t>. These allowances are based on individual network requirements for the relevant regulatory control period. Each DNSP</w:t>
      </w:r>
      <w:r>
        <w:t>'</w:t>
      </w:r>
      <w:r w:rsidRPr="004A6B29">
        <w:t>s requirements depend on:</w:t>
      </w:r>
    </w:p>
    <w:p w:rsidR="00036A15" w:rsidRPr="004A6B29" w:rsidRDefault="00036A15" w:rsidP="0021301A">
      <w:pPr>
        <w:pStyle w:val="ListBullet"/>
      </w:pPr>
      <w:r w:rsidRPr="004A6B29">
        <w:t>load densities</w:t>
      </w:r>
    </w:p>
    <w:p w:rsidR="00036A15" w:rsidRPr="004A6B29" w:rsidRDefault="00036A15" w:rsidP="0021301A">
      <w:pPr>
        <w:pStyle w:val="ListBullet"/>
      </w:pPr>
      <w:r w:rsidRPr="004A6B29">
        <w:t>the scale and condition of the network</w:t>
      </w:r>
    </w:p>
    <w:p w:rsidR="00036A15" w:rsidRPr="004A6B29" w:rsidRDefault="00036A15" w:rsidP="0021301A">
      <w:pPr>
        <w:pStyle w:val="ListBullet"/>
      </w:pPr>
      <w:r w:rsidRPr="004A6B29">
        <w:t xml:space="preserve">geographic factors </w:t>
      </w:r>
    </w:p>
    <w:p w:rsidR="00036A15" w:rsidRPr="004A6B29" w:rsidRDefault="00036A15" w:rsidP="0021301A">
      <w:pPr>
        <w:pStyle w:val="ListBullet"/>
      </w:pPr>
      <w:proofErr w:type="gramStart"/>
      <w:r w:rsidRPr="004A6B29">
        <w:t>reliability</w:t>
      </w:r>
      <w:proofErr w:type="gramEnd"/>
      <w:r w:rsidRPr="004A6B29">
        <w:t xml:space="preserve"> requirements.</w:t>
      </w:r>
    </w:p>
    <w:p w:rsidR="00976912" w:rsidRPr="004A6B29" w:rsidRDefault="00976912" w:rsidP="0021301A">
      <w:pPr>
        <w:pStyle w:val="Heading3"/>
      </w:pPr>
      <w:bookmarkStart w:id="104" w:name="_Toc423086460"/>
      <w:r w:rsidRPr="004A6B29">
        <w:t xml:space="preserve">Efficiency </w:t>
      </w:r>
      <w:r>
        <w:t>b</w:t>
      </w:r>
      <w:r w:rsidRPr="004A6B29">
        <w:t xml:space="preserve">enefit </w:t>
      </w:r>
      <w:r>
        <w:t>s</w:t>
      </w:r>
      <w:r w:rsidRPr="004A6B29">
        <w:t xml:space="preserve">haring </w:t>
      </w:r>
      <w:r>
        <w:t>s</w:t>
      </w:r>
      <w:r w:rsidRPr="004A6B29">
        <w:t>cheme</w:t>
      </w:r>
      <w:bookmarkEnd w:id="102"/>
      <w:bookmarkEnd w:id="103"/>
      <w:bookmarkEnd w:id="104"/>
    </w:p>
    <w:p w:rsidR="00976912" w:rsidRPr="004A6B29" w:rsidRDefault="00976912" w:rsidP="00976912">
      <w:r>
        <w:t xml:space="preserve">We </w:t>
      </w:r>
      <w:r w:rsidRPr="004A6B29">
        <w:t xml:space="preserve">operate </w:t>
      </w:r>
      <w:r>
        <w:t>the e</w:t>
      </w:r>
      <w:r w:rsidRPr="004A6B29">
        <w:t>ffici</w:t>
      </w:r>
      <w:r>
        <w:t>ency benefit sharing s</w:t>
      </w:r>
      <w:r w:rsidRPr="004A6B29">
        <w:t>cheme (EBSS)</w:t>
      </w:r>
      <w:r>
        <w:t xml:space="preserve"> as </w:t>
      </w:r>
      <w:r w:rsidRPr="004A6B29">
        <w:t xml:space="preserve">an incentive for DNSPs to improve the efficiency of </w:t>
      </w:r>
      <w:r>
        <w:t xml:space="preserve">their </w:t>
      </w:r>
      <w:r w:rsidRPr="004A6B29">
        <w:t>operating and maintenance expenditure in running their networks. As part of the Better Regulation program</w:t>
      </w:r>
      <w:r>
        <w:t>,</w:t>
      </w:r>
      <w:r w:rsidRPr="004A6B29">
        <w:t xml:space="preserve"> </w:t>
      </w:r>
      <w:r>
        <w:t xml:space="preserve">we </w:t>
      </w:r>
      <w:r w:rsidRPr="004A6B29">
        <w:t xml:space="preserve">expanded </w:t>
      </w:r>
      <w:r>
        <w:t xml:space="preserve">the EBSS </w:t>
      </w:r>
      <w:r w:rsidRPr="004A6B29">
        <w:t xml:space="preserve">to cover capital expenditure. </w:t>
      </w:r>
      <w:r>
        <w:t>The c</w:t>
      </w:r>
      <w:r w:rsidRPr="004A6B29">
        <w:t xml:space="preserve">apital and operating expenditure incentives align with </w:t>
      </w:r>
      <w:r>
        <w:t>incentives</w:t>
      </w:r>
      <w:r w:rsidRPr="004A6B29">
        <w:t xml:space="preserve"> provided through </w:t>
      </w:r>
      <w:r>
        <w:t>our</w:t>
      </w:r>
      <w:r w:rsidRPr="004A6B29">
        <w:t xml:space="preserve"> service target performance incentive scheme, to encourage business decisions that balance cost and service quality. </w:t>
      </w:r>
    </w:p>
    <w:p w:rsidR="00976912" w:rsidRPr="004A6B29" w:rsidRDefault="00976912" w:rsidP="00976912">
      <w:r w:rsidRPr="004A6B29">
        <w:t>The EBSS, which applies to all DNSPs, allows a DNSP to retain efficiency gains (and to bear the cost of efficiency losses)</w:t>
      </w:r>
      <w:r w:rsidR="00585864">
        <w:rPr>
          <w:rStyle w:val="FootnoteReference"/>
        </w:rPr>
        <w:footnoteReference w:id="9"/>
      </w:r>
      <w:r w:rsidRPr="004A6B29">
        <w:t xml:space="preserve"> for five years after the gain (loss) is made. In the longer term, the DNSP share</w:t>
      </w:r>
      <w:r>
        <w:t>s its</w:t>
      </w:r>
      <w:r w:rsidRPr="004A6B29">
        <w:t xml:space="preserve"> efficiency gains or losses with customers through price adjustments, passing on 70</w:t>
      </w:r>
      <w:r>
        <w:t> </w:t>
      </w:r>
      <w:r w:rsidRPr="004A6B29">
        <w:t>per cent of the gain or loss.</w:t>
      </w:r>
      <w:r>
        <w:t xml:space="preserve"> </w:t>
      </w:r>
    </w:p>
    <w:p w:rsidR="00AE2FC7" w:rsidRPr="004A6B29" w:rsidRDefault="00AE2FC7" w:rsidP="0021301A">
      <w:pPr>
        <w:pStyle w:val="Heading3"/>
      </w:pPr>
      <w:bookmarkStart w:id="105" w:name="_Toc413062040"/>
      <w:bookmarkStart w:id="106" w:name="_Toc413311041"/>
      <w:bookmarkStart w:id="107" w:name="_Toc423086461"/>
      <w:r w:rsidRPr="004A6B29">
        <w:t>Operating expenditure, 2011</w:t>
      </w:r>
      <w:r w:rsidR="007A3240">
        <w:t>–</w:t>
      </w:r>
      <w:r w:rsidRPr="004A6B29">
        <w:t>13</w:t>
      </w:r>
      <w:bookmarkEnd w:id="100"/>
      <w:bookmarkEnd w:id="101"/>
      <w:bookmarkEnd w:id="105"/>
      <w:bookmarkEnd w:id="106"/>
      <w:bookmarkEnd w:id="107"/>
    </w:p>
    <w:p w:rsidR="00976912" w:rsidRDefault="00976912" w:rsidP="00976912">
      <w:r w:rsidRPr="004A6B29">
        <w:t xml:space="preserve">Total operating expenditure on standard control services </w:t>
      </w:r>
      <w:r>
        <w:t>by</w:t>
      </w:r>
      <w:r w:rsidRPr="004A6B29">
        <w:t xml:space="preserve"> DNSPs was approximately $3.2</w:t>
      </w:r>
      <w:r>
        <w:t> </w:t>
      </w:r>
      <w:r w:rsidRPr="004A6B29">
        <w:t xml:space="preserve">billion in 2013. </w:t>
      </w:r>
      <w:proofErr w:type="gramStart"/>
      <w:r w:rsidRPr="004A6B29">
        <w:t>Over 2011</w:t>
      </w:r>
      <w:r>
        <w:t>–</w:t>
      </w:r>
      <w:r w:rsidRPr="004A6B29">
        <w:t xml:space="preserve">13 </w:t>
      </w:r>
      <w:r>
        <w:t>it</w:t>
      </w:r>
      <w:r w:rsidRPr="004A6B29">
        <w:t xml:space="preserve"> was within 1</w:t>
      </w:r>
      <w:r>
        <w:t> </w:t>
      </w:r>
      <w:r w:rsidRPr="004A6B29">
        <w:t xml:space="preserve">per cent of </w:t>
      </w:r>
      <w:r>
        <w:t>our approved</w:t>
      </w:r>
      <w:r w:rsidRPr="004A6B29">
        <w:t xml:space="preserve"> forecast</w:t>
      </w:r>
      <w:r>
        <w:t xml:space="preserve"> for the period</w:t>
      </w:r>
      <w:r w:rsidRPr="004A6B29">
        <w:t>.</w:t>
      </w:r>
      <w:proofErr w:type="gramEnd"/>
      <w:r>
        <w:t xml:space="preserve"> Figure </w:t>
      </w:r>
      <w:r w:rsidRPr="004A6B29">
        <w:t>6–1 compares each DNSP</w:t>
      </w:r>
      <w:r>
        <w:t>'</w:t>
      </w:r>
      <w:r w:rsidRPr="004A6B29">
        <w:t xml:space="preserve">s </w:t>
      </w:r>
      <w:r>
        <w:t xml:space="preserve">forecast and </w:t>
      </w:r>
      <w:r w:rsidRPr="004A6B29">
        <w:t>actual operating expenditure over 2011</w:t>
      </w:r>
      <w:r>
        <w:t>–</w:t>
      </w:r>
      <w:r w:rsidRPr="004A6B29">
        <w:t>13.</w:t>
      </w:r>
    </w:p>
    <w:p w:rsidR="00AE2FC7" w:rsidRDefault="00AE2FC7" w:rsidP="00972E3F">
      <w:pPr>
        <w:pStyle w:val="Caption"/>
      </w:pPr>
      <w:r>
        <w:t>Figure </w:t>
      </w:r>
      <w:r w:rsidRPr="004A6B29">
        <w:t>6–1</w:t>
      </w:r>
      <w:r w:rsidRPr="004A6B29">
        <w:tab/>
        <w:t>Total operating expenditure</w:t>
      </w:r>
      <w:r w:rsidR="00976912">
        <w:t xml:space="preserve"> by DNSP</w:t>
      </w:r>
      <w:r w:rsidRPr="004A6B29">
        <w:t>, 2011</w:t>
      </w:r>
      <w:r w:rsidR="007A3240">
        <w:t>–</w:t>
      </w:r>
      <w:r w:rsidRPr="004A6B29">
        <w:t>13</w:t>
      </w:r>
    </w:p>
    <w:p w:rsidR="007006D1" w:rsidRDefault="00531D6C" w:rsidP="00976912">
      <w:r>
        <w:rPr>
          <w:noProof/>
          <w:lang w:eastAsia="en-AU"/>
        </w:rPr>
        <w:drawing>
          <wp:inline distT="0" distB="0" distL="0" distR="0" wp14:anchorId="122978F0" wp14:editId="5C113F84">
            <wp:extent cx="4508390" cy="2957886"/>
            <wp:effectExtent l="0" t="0" r="26035"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6912" w:rsidRPr="00976912" w:rsidRDefault="00976912" w:rsidP="007006D1">
      <w:pPr>
        <w:spacing w:before="0"/>
      </w:pPr>
      <w:r w:rsidRPr="00976912">
        <w:t>Over 2011–13 the following DNSPs' actual operating expenditure was less than our approved forecast:</w:t>
      </w:r>
    </w:p>
    <w:p w:rsidR="00AE2FC7" w:rsidRPr="004A6B29" w:rsidRDefault="00AE2FC7" w:rsidP="0021301A">
      <w:pPr>
        <w:pStyle w:val="ListBullet"/>
      </w:pPr>
      <w:r w:rsidRPr="004A6B29">
        <w:t>Endeavour Energy (</w:t>
      </w:r>
      <w:r w:rsidR="007A3240">
        <w:t>–</w:t>
      </w:r>
      <w:r w:rsidRPr="004A6B29">
        <w:t>16 per cent)</w:t>
      </w:r>
    </w:p>
    <w:p w:rsidR="00AE2FC7" w:rsidRPr="004A6B29" w:rsidRDefault="00AE2FC7" w:rsidP="0021301A">
      <w:pPr>
        <w:pStyle w:val="ListBullet"/>
      </w:pPr>
      <w:proofErr w:type="spellStart"/>
      <w:r w:rsidRPr="004A6B29">
        <w:t>Powercor</w:t>
      </w:r>
      <w:proofErr w:type="spellEnd"/>
      <w:r w:rsidRPr="004A6B29">
        <w:t xml:space="preserve"> (</w:t>
      </w:r>
      <w:r w:rsidR="007A3240">
        <w:t>–</w:t>
      </w:r>
      <w:r w:rsidRPr="004A6B29">
        <w:t>6 per cent)</w:t>
      </w:r>
    </w:p>
    <w:p w:rsidR="00AE2FC7" w:rsidRPr="004A6B29" w:rsidRDefault="00AE2FC7" w:rsidP="0021301A">
      <w:pPr>
        <w:pStyle w:val="ListBullet"/>
      </w:pPr>
      <w:proofErr w:type="spellStart"/>
      <w:r w:rsidRPr="004A6B29">
        <w:t>AusNet</w:t>
      </w:r>
      <w:proofErr w:type="spellEnd"/>
      <w:r w:rsidRPr="004A6B29">
        <w:t xml:space="preserve"> Services (</w:t>
      </w:r>
      <w:r w:rsidR="007A3240">
        <w:t>–</w:t>
      </w:r>
      <w:r w:rsidRPr="004A6B29">
        <w:t>4 per cent)</w:t>
      </w:r>
    </w:p>
    <w:p w:rsidR="00AE2FC7" w:rsidRPr="004A6B29" w:rsidRDefault="00AE2FC7" w:rsidP="0021301A">
      <w:pPr>
        <w:pStyle w:val="ListBullet"/>
      </w:pPr>
      <w:proofErr w:type="spellStart"/>
      <w:r w:rsidRPr="004A6B29">
        <w:t>Ausgrid</w:t>
      </w:r>
      <w:proofErr w:type="spellEnd"/>
      <w:r w:rsidRPr="004A6B29">
        <w:t xml:space="preserve"> (</w:t>
      </w:r>
      <w:r w:rsidR="007A3240">
        <w:t>–</w:t>
      </w:r>
      <w:r w:rsidRPr="004A6B29">
        <w:t>3 per cent)</w:t>
      </w:r>
    </w:p>
    <w:p w:rsidR="00AE2FC7" w:rsidRPr="004A6B29" w:rsidRDefault="00AE2FC7" w:rsidP="0021301A">
      <w:pPr>
        <w:pStyle w:val="ListBullet"/>
      </w:pPr>
      <w:proofErr w:type="spellStart"/>
      <w:r w:rsidRPr="004A6B29">
        <w:t>CitiPower</w:t>
      </w:r>
      <w:proofErr w:type="spellEnd"/>
      <w:r w:rsidRPr="004A6B29">
        <w:t xml:space="preserve"> (</w:t>
      </w:r>
      <w:r w:rsidR="007A3240">
        <w:t>–</w:t>
      </w:r>
      <w:r w:rsidRPr="004A6B29">
        <w:t>1 per cent).</w:t>
      </w:r>
    </w:p>
    <w:p w:rsidR="00AE2FC7" w:rsidRPr="004A6B29" w:rsidRDefault="009E3ACF" w:rsidP="00AE2FC7">
      <w:r w:rsidRPr="004A6B29">
        <w:t xml:space="preserve">The </w:t>
      </w:r>
      <w:r w:rsidR="00AE2FC7" w:rsidRPr="004A6B29">
        <w:t xml:space="preserve">following DNSPs' actual operating expenditure exceeded </w:t>
      </w:r>
      <w:r w:rsidR="00DD4FC1">
        <w:t>our approved</w:t>
      </w:r>
      <w:r w:rsidR="00AE2FC7" w:rsidRPr="004A6B29">
        <w:t xml:space="preserve"> forecasts:</w:t>
      </w:r>
    </w:p>
    <w:p w:rsidR="00AE2FC7" w:rsidRPr="0021301A" w:rsidRDefault="00AE2FC7" w:rsidP="0021301A">
      <w:pPr>
        <w:pStyle w:val="ListBullet"/>
      </w:pPr>
      <w:r w:rsidRPr="0021301A">
        <w:t>JEN (+16 per cent)</w:t>
      </w:r>
    </w:p>
    <w:p w:rsidR="00AE2FC7" w:rsidRPr="0021301A" w:rsidRDefault="00AE2FC7" w:rsidP="0021301A">
      <w:pPr>
        <w:pStyle w:val="ListBullet"/>
      </w:pPr>
      <w:r w:rsidRPr="0021301A">
        <w:t>Energex (+10 per cent)</w:t>
      </w:r>
    </w:p>
    <w:p w:rsidR="00AE2FC7" w:rsidRPr="0021301A" w:rsidRDefault="00AE2FC7" w:rsidP="0021301A">
      <w:pPr>
        <w:pStyle w:val="ListBullet"/>
      </w:pPr>
      <w:r w:rsidRPr="0021301A">
        <w:t>United Energy (+8 per cent)</w:t>
      </w:r>
    </w:p>
    <w:p w:rsidR="00AE2FC7" w:rsidRPr="0021301A" w:rsidRDefault="00AE2FC7" w:rsidP="0021301A">
      <w:pPr>
        <w:pStyle w:val="ListBullet"/>
      </w:pPr>
      <w:proofErr w:type="spellStart"/>
      <w:r w:rsidRPr="0021301A">
        <w:t>ActewAGL</w:t>
      </w:r>
      <w:proofErr w:type="spellEnd"/>
      <w:r w:rsidRPr="0021301A">
        <w:t xml:space="preserve"> (+8 per cent)</w:t>
      </w:r>
    </w:p>
    <w:p w:rsidR="00AE2FC7" w:rsidRPr="0021301A" w:rsidRDefault="00AE2FC7" w:rsidP="0021301A">
      <w:pPr>
        <w:pStyle w:val="ListBullet"/>
      </w:pPr>
      <w:r w:rsidRPr="0021301A">
        <w:t>SA Power Networks (+4 per cent)</w:t>
      </w:r>
    </w:p>
    <w:p w:rsidR="00AE2FC7" w:rsidRPr="0021301A" w:rsidRDefault="00AE2FC7" w:rsidP="0021301A">
      <w:pPr>
        <w:pStyle w:val="ListBullet"/>
      </w:pPr>
      <w:proofErr w:type="spellStart"/>
      <w:r w:rsidRPr="0021301A">
        <w:t>TasNetworks</w:t>
      </w:r>
      <w:proofErr w:type="spellEnd"/>
      <w:r w:rsidRPr="0021301A">
        <w:t xml:space="preserve"> (+3 per cent)</w:t>
      </w:r>
    </w:p>
    <w:p w:rsidR="00AE2FC7" w:rsidRPr="0021301A" w:rsidRDefault="00AE2FC7" w:rsidP="0021301A">
      <w:pPr>
        <w:pStyle w:val="ListBullet"/>
      </w:pPr>
      <w:r w:rsidRPr="0021301A">
        <w:t>Essential Energy (+2 per cent)</w:t>
      </w:r>
    </w:p>
    <w:p w:rsidR="00AE2FC7" w:rsidRPr="0021301A" w:rsidRDefault="00AE2FC7" w:rsidP="0021301A">
      <w:pPr>
        <w:pStyle w:val="ListBullet"/>
      </w:pPr>
      <w:r w:rsidRPr="0021301A">
        <w:t>Ergon Energy (+1 per cent).</w:t>
      </w:r>
    </w:p>
    <w:p w:rsidR="00AE2FC7" w:rsidRDefault="005A5431" w:rsidP="00AE2FC7">
      <w:r w:rsidRPr="004A6B29">
        <w:t xml:space="preserve">Chapter </w:t>
      </w:r>
      <w:r>
        <w:t>9</w:t>
      </w:r>
      <w:r w:rsidRPr="004A6B29">
        <w:t xml:space="preserve"> </w:t>
      </w:r>
      <w:r>
        <w:t>contains our assessment of</w:t>
      </w:r>
      <w:r w:rsidRPr="004A6B29">
        <w:t xml:space="preserve"> operating expenditure for each DNSP in the NEM.</w:t>
      </w:r>
    </w:p>
    <w:p w:rsidR="00AE2FC7" w:rsidRPr="00F11222" w:rsidRDefault="00AE2FC7" w:rsidP="00AE2FC7">
      <w:pPr>
        <w:pStyle w:val="Heading1"/>
      </w:pPr>
      <w:bookmarkStart w:id="108" w:name="_Toc409771606"/>
      <w:bookmarkStart w:id="109" w:name="_Toc423086462"/>
      <w:r w:rsidRPr="00F11222">
        <w:t>Revenue</w:t>
      </w:r>
      <w:bookmarkEnd w:id="108"/>
      <w:bookmarkEnd w:id="109"/>
    </w:p>
    <w:p w:rsidR="007E3216" w:rsidRPr="00F11222" w:rsidRDefault="007E3216" w:rsidP="007E3216">
      <w:bookmarkStart w:id="110" w:name="_Toc409771607"/>
      <w:r w:rsidRPr="00F11222">
        <w:t xml:space="preserve">This chapter </w:t>
      </w:r>
      <w:r>
        <w:t>discusses</w:t>
      </w:r>
      <w:r w:rsidRPr="00F11222">
        <w:t xml:space="preserve"> the role of revenue in regulating DNSPs, the main revenue control mechanisms used for standard control services</w:t>
      </w:r>
      <w:r>
        <w:t>,</w:t>
      </w:r>
      <w:r w:rsidRPr="00F11222">
        <w:t xml:space="preserve"> and the revenue recovered from customers for standard control services over 2011</w:t>
      </w:r>
      <w:r>
        <w:t>–</w:t>
      </w:r>
      <w:r w:rsidRPr="00F11222">
        <w:t>13.</w:t>
      </w:r>
    </w:p>
    <w:p w:rsidR="00AE2FC7" w:rsidRPr="00F11222" w:rsidRDefault="00AE2FC7" w:rsidP="00633936">
      <w:pPr>
        <w:pStyle w:val="Heading2"/>
      </w:pPr>
      <w:bookmarkStart w:id="111" w:name="_Toc423086463"/>
      <w:r w:rsidRPr="00F11222">
        <w:t>Revenue in electricity distribution</w:t>
      </w:r>
      <w:bookmarkEnd w:id="110"/>
      <w:bookmarkEnd w:id="111"/>
    </w:p>
    <w:p w:rsidR="007E3216" w:rsidRPr="00F11222" w:rsidRDefault="007E3216" w:rsidP="007E3216">
      <w:r w:rsidRPr="00F11222">
        <w:t>The National Electricity Law lays the foundation for the regulatory framework governing electricity networks. In particular, it sets out the N</w:t>
      </w:r>
      <w:r w:rsidR="00CB0503">
        <w:t>EO</w:t>
      </w:r>
      <w:r w:rsidRPr="00F11222">
        <w:t xml:space="preserve">: to promote efficient investment in, and operation of, electricity services for the long term interest of consumers. </w:t>
      </w:r>
      <w:r>
        <w:t>It</w:t>
      </w:r>
      <w:r w:rsidRPr="00F11222">
        <w:t xml:space="preserve"> also sets out revenue and pricing principles. </w:t>
      </w:r>
    </w:p>
    <w:p w:rsidR="007E3216" w:rsidRPr="00F11222" w:rsidRDefault="007E3216" w:rsidP="007E3216">
      <w:r w:rsidRPr="00F11222">
        <w:t xml:space="preserve">Regulated DNSPs must periodically apply to </w:t>
      </w:r>
      <w:r>
        <w:t xml:space="preserve">us </w:t>
      </w:r>
      <w:r w:rsidRPr="00F11222">
        <w:t xml:space="preserve">to assess their forecast expenditure and revenue requirements (typically, every five years). Chapters 6 and 6A of the National Electricity Rules set out the framework </w:t>
      </w:r>
      <w:r>
        <w:t xml:space="preserve">that we </w:t>
      </w:r>
      <w:r w:rsidRPr="00F11222">
        <w:t>must apply in undertaking this role for distribution and transmission businesses respectively.</w:t>
      </w:r>
    </w:p>
    <w:p w:rsidR="007E3216" w:rsidRPr="00F11222" w:rsidRDefault="007E3216" w:rsidP="007E3216">
      <w:r>
        <w:t>We</w:t>
      </w:r>
      <w:r w:rsidRPr="00F11222">
        <w:t xml:space="preserve"> assess a DNSP's forecasts of the revenue that </w:t>
      </w:r>
      <w:r>
        <w:t>it</w:t>
      </w:r>
      <w:r w:rsidRPr="00F11222">
        <w:t xml:space="preserve"> requires to cover its efficient costs and </w:t>
      </w:r>
      <w:r>
        <w:t xml:space="preserve">provide </w:t>
      </w:r>
      <w:r w:rsidRPr="00F11222">
        <w:t>an appropriate return.</w:t>
      </w:r>
      <w:r>
        <w:t xml:space="preserve"> For this assessment, we use</w:t>
      </w:r>
      <w:r w:rsidRPr="00F11222">
        <w:t xml:space="preserve"> a building block model that accounts for a </w:t>
      </w:r>
      <w:r>
        <w:t>DNSP's</w:t>
      </w:r>
      <w:r w:rsidRPr="00F11222">
        <w:t>:</w:t>
      </w:r>
    </w:p>
    <w:p w:rsidR="007E3216" w:rsidRDefault="007E3216" w:rsidP="00CB0503">
      <w:pPr>
        <w:pStyle w:val="ListBullet"/>
      </w:pPr>
      <w:r w:rsidRPr="00F11222">
        <w:t>operating and maintenance expenditure</w:t>
      </w:r>
    </w:p>
    <w:p w:rsidR="00C32EB3" w:rsidRPr="00F11222" w:rsidRDefault="00C32EB3" w:rsidP="00CB0503">
      <w:pPr>
        <w:pStyle w:val="ListBullet"/>
      </w:pPr>
      <w:r>
        <w:t>RAB</w:t>
      </w:r>
    </w:p>
    <w:p w:rsidR="007E3216" w:rsidRPr="00F11222" w:rsidRDefault="007E3216" w:rsidP="00CB0503">
      <w:pPr>
        <w:pStyle w:val="ListBullet"/>
      </w:pPr>
      <w:r w:rsidRPr="00F11222">
        <w:t>capital expenditure</w:t>
      </w:r>
    </w:p>
    <w:p w:rsidR="007E3216" w:rsidRPr="00F11222" w:rsidRDefault="007E3216" w:rsidP="00CB0503">
      <w:pPr>
        <w:pStyle w:val="ListBullet"/>
      </w:pPr>
      <w:r w:rsidRPr="00F11222">
        <w:t>asset depreciation costs</w:t>
      </w:r>
    </w:p>
    <w:p w:rsidR="007E3216" w:rsidRPr="00F11222" w:rsidRDefault="007E3216" w:rsidP="00CB0503">
      <w:pPr>
        <w:pStyle w:val="ListBullet"/>
      </w:pPr>
      <w:r w:rsidRPr="00F11222">
        <w:t>taxation liabilities</w:t>
      </w:r>
    </w:p>
    <w:p w:rsidR="007E3216" w:rsidRPr="00F11222" w:rsidRDefault="00C32EB3" w:rsidP="00CB0503">
      <w:pPr>
        <w:pStyle w:val="ListBullet"/>
      </w:pPr>
      <w:proofErr w:type="gramStart"/>
      <w:r>
        <w:t>rate</w:t>
      </w:r>
      <w:proofErr w:type="gramEnd"/>
      <w:r>
        <w:t xml:space="preserve"> of </w:t>
      </w:r>
      <w:r w:rsidR="007E3216" w:rsidRPr="00F11222">
        <w:t xml:space="preserve">return on capital. </w:t>
      </w:r>
    </w:p>
    <w:p w:rsidR="006831E6" w:rsidRDefault="007E3216" w:rsidP="007E3216">
      <w:r w:rsidRPr="00F11222">
        <w:t>The largest component is the return on capital, which may account for up to two</w:t>
      </w:r>
      <w:r>
        <w:t xml:space="preserve"> </w:t>
      </w:r>
      <w:r w:rsidRPr="00F11222">
        <w:t xml:space="preserve">thirds of revenue. The size of a network’s RAB (and projected </w:t>
      </w:r>
      <w:r w:rsidR="00C32EB3">
        <w:t>capital expenditure</w:t>
      </w:r>
      <w:r w:rsidRPr="00F11222">
        <w:t>) and its weighted average cost of capital (the rate of return necessary to cover a commercial return on equity and efficient debt costs) affect the return on capital. An allowance for operating expenditure typically accounts for a further 30</w:t>
      </w:r>
      <w:r>
        <w:t> </w:t>
      </w:r>
      <w:r w:rsidRPr="00F11222">
        <w:t>per cent of revenue requirements.</w:t>
      </w:r>
      <w:r w:rsidR="00C32EB3" w:rsidRPr="00C32EB3">
        <w:t xml:space="preserve"> </w:t>
      </w:r>
      <w:r w:rsidR="00C32EB3">
        <w:t xml:space="preserve">Depreciation is the next biggest revenue component. Other revenue components include; </w:t>
      </w:r>
    </w:p>
    <w:p w:rsidR="006831E6" w:rsidRDefault="006831E6" w:rsidP="00CB0503">
      <w:pPr>
        <w:pStyle w:val="ListBullet"/>
      </w:pPr>
      <w:r>
        <w:t>tax allowance</w:t>
      </w:r>
    </w:p>
    <w:p w:rsidR="006831E6" w:rsidRDefault="00C32EB3" w:rsidP="00CB0503">
      <w:pPr>
        <w:pStyle w:val="ListBullet"/>
      </w:pPr>
      <w:r>
        <w:t>rewards/penalties for the various service quality and performance schem</w:t>
      </w:r>
      <w:r w:rsidR="006831E6">
        <w:t>es the AER applies to the DNSP</w:t>
      </w:r>
    </w:p>
    <w:p w:rsidR="007E3216" w:rsidRPr="00F11222" w:rsidRDefault="00C32EB3" w:rsidP="00CB0503">
      <w:pPr>
        <w:pStyle w:val="ListBullet"/>
      </w:pPr>
      <w:proofErr w:type="gramStart"/>
      <w:r>
        <w:t>pass</w:t>
      </w:r>
      <w:proofErr w:type="gramEnd"/>
      <w:r>
        <w:t xml:space="preserve"> through of unexpected and uncontrollable costs during the regulatory control period </w:t>
      </w:r>
      <w:r w:rsidR="006831E6">
        <w:t>(if</w:t>
      </w:r>
      <w:r>
        <w:t xml:space="preserve"> they occur</w:t>
      </w:r>
      <w:r w:rsidR="006831E6">
        <w:t>)</w:t>
      </w:r>
      <w:r>
        <w:t>.</w:t>
      </w:r>
    </w:p>
    <w:p w:rsidR="007E3216" w:rsidRPr="00F11222" w:rsidRDefault="007E3216" w:rsidP="007E3216">
      <w:r w:rsidRPr="00F11222">
        <w:t>In assessing a DNSP's proposal</w:t>
      </w:r>
      <w:r>
        <w:t>,</w:t>
      </w:r>
      <w:r w:rsidRPr="00F11222">
        <w:t xml:space="preserve"> </w:t>
      </w:r>
      <w:r>
        <w:t xml:space="preserve">we </w:t>
      </w:r>
      <w:r w:rsidRPr="00F11222">
        <w:t xml:space="preserve">consider a number of factors, including: </w:t>
      </w:r>
    </w:p>
    <w:p w:rsidR="007E3216" w:rsidRPr="00F11222" w:rsidRDefault="007E3216" w:rsidP="00CB0503">
      <w:pPr>
        <w:pStyle w:val="ListBullet"/>
      </w:pPr>
      <w:r w:rsidRPr="00F11222">
        <w:t>demand projections</w:t>
      </w:r>
    </w:p>
    <w:p w:rsidR="007E3216" w:rsidRPr="00F11222" w:rsidRDefault="007E3216" w:rsidP="00CB0503">
      <w:pPr>
        <w:pStyle w:val="ListBullet"/>
      </w:pPr>
      <w:r w:rsidRPr="00F11222">
        <w:t>price stability</w:t>
      </w:r>
    </w:p>
    <w:p w:rsidR="007E3216" w:rsidRPr="00F11222" w:rsidRDefault="007E3216" w:rsidP="00CB0503">
      <w:pPr>
        <w:pStyle w:val="ListBullet"/>
      </w:pPr>
      <w:r w:rsidRPr="00F11222">
        <w:t>the potential for efficiency gains in operating and capital expenditure</w:t>
      </w:r>
    </w:p>
    <w:p w:rsidR="007E3216" w:rsidRPr="00F11222" w:rsidRDefault="007E3216" w:rsidP="00CB0503">
      <w:pPr>
        <w:pStyle w:val="ListBullet"/>
      </w:pPr>
      <w:proofErr w:type="gramStart"/>
      <w:r w:rsidRPr="00F11222">
        <w:t>service</w:t>
      </w:r>
      <w:proofErr w:type="gramEnd"/>
      <w:r w:rsidRPr="00F11222">
        <w:t xml:space="preserve"> standards. </w:t>
      </w:r>
    </w:p>
    <w:p w:rsidR="007E3216" w:rsidRPr="00F11222" w:rsidRDefault="007E3216" w:rsidP="00CB0503">
      <w:r w:rsidRPr="00F11222">
        <w:t xml:space="preserve">Based on the forecast revenues, </w:t>
      </w:r>
      <w:r>
        <w:t xml:space="preserve">we determine </w:t>
      </w:r>
      <w:r w:rsidRPr="00F11222">
        <w:t>annual X</w:t>
      </w:r>
      <w:r>
        <w:t xml:space="preserve"> </w:t>
      </w:r>
      <w:r w:rsidRPr="00F11222">
        <w:t>factors (real revenue or price changes).</w:t>
      </w:r>
      <w:r w:rsidR="006831E6">
        <w:rPr>
          <w:rStyle w:val="FootnoteReference"/>
        </w:rPr>
        <w:footnoteReference w:id="10"/>
      </w:r>
      <w:r w:rsidR="006831E6">
        <w:rPr>
          <w:rFonts w:ascii="Times New Roman" w:hAnsi="Times New Roman" w:cs="Times New Roman"/>
          <w:sz w:val="24"/>
          <w:szCs w:val="24"/>
          <w:lang w:eastAsia="en-AU"/>
        </w:rPr>
        <w:t xml:space="preserve"> </w:t>
      </w:r>
      <w:r>
        <w:t>We</w:t>
      </w:r>
      <w:r w:rsidRPr="00F11222">
        <w:t xml:space="preserve"> combine</w:t>
      </w:r>
      <w:r>
        <w:t xml:space="preserve"> them</w:t>
      </w:r>
      <w:r w:rsidRPr="00F11222">
        <w:t xml:space="preserve"> with the CPI to update revenue or prices </w:t>
      </w:r>
      <w:r>
        <w:t>each year</w:t>
      </w:r>
      <w:r w:rsidRPr="00F11222">
        <w:t xml:space="preserve">. </w:t>
      </w:r>
    </w:p>
    <w:p w:rsidR="007E3216" w:rsidRPr="00F11222" w:rsidRDefault="007E3216" w:rsidP="007E3216">
      <w:bookmarkStart w:id="112" w:name="_Toc409771608"/>
      <w:bookmarkStart w:id="113" w:name="_Toc412790562"/>
      <w:r>
        <w:t xml:space="preserve">We </w:t>
      </w:r>
      <w:r w:rsidRPr="00F11222">
        <w:t xml:space="preserve">may set a ceiling on the revenue or prices that a DNSP can earn or charge during a </w:t>
      </w:r>
      <w:r>
        <w:t xml:space="preserve">regulatory control </w:t>
      </w:r>
      <w:r w:rsidRPr="00F11222">
        <w:t xml:space="preserve">period. The available </w:t>
      </w:r>
      <w:r>
        <w:t xml:space="preserve">capping </w:t>
      </w:r>
      <w:r w:rsidRPr="00F11222">
        <w:t xml:space="preserve">mechanisms for </w:t>
      </w:r>
      <w:r>
        <w:t xml:space="preserve">electricity </w:t>
      </w:r>
      <w:r w:rsidRPr="00F11222">
        <w:t>distribution include:</w:t>
      </w:r>
    </w:p>
    <w:p w:rsidR="007E3216" w:rsidRPr="00F11222" w:rsidRDefault="007E3216" w:rsidP="00CB0503">
      <w:pPr>
        <w:pStyle w:val="ListBullet"/>
      </w:pPr>
      <w:proofErr w:type="gramStart"/>
      <w:r w:rsidRPr="00F11222">
        <w:t>weighted</w:t>
      </w:r>
      <w:proofErr w:type="gramEnd"/>
      <w:r w:rsidRPr="00F11222">
        <w:t xml:space="preserve"> average price caps, </w:t>
      </w:r>
      <w:r>
        <w:t>which allow</w:t>
      </w:r>
      <w:r w:rsidRPr="00F11222">
        <w:t xml:space="preserve"> flexibility </w:t>
      </w:r>
      <w:r w:rsidR="00D35600">
        <w:t>for</w:t>
      </w:r>
      <w:r w:rsidRPr="00F11222">
        <w:t xml:space="preserve"> individual tariffs within an overall ceiling</w:t>
      </w:r>
      <w:r>
        <w:t xml:space="preserve">. These are </w:t>
      </w:r>
      <w:r w:rsidRPr="00F11222">
        <w:t>used for the New South Wales, Victorian and South Australian DNSPs</w:t>
      </w:r>
      <w:r>
        <w:t>.</w:t>
      </w:r>
    </w:p>
    <w:p w:rsidR="007E3216" w:rsidRDefault="007E3216" w:rsidP="00CB0503">
      <w:pPr>
        <w:pStyle w:val="ListBullet"/>
      </w:pPr>
      <w:proofErr w:type="gramStart"/>
      <w:r w:rsidRPr="00F11222">
        <w:t>maximum</w:t>
      </w:r>
      <w:proofErr w:type="gramEnd"/>
      <w:r w:rsidRPr="00F11222">
        <w:t xml:space="preserve"> revenue caps, </w:t>
      </w:r>
      <w:r>
        <w:t>which set</w:t>
      </w:r>
      <w:r w:rsidRPr="00F11222">
        <w:t xml:space="preserve"> a ceiling on revenue that may be recovered during a regulatory control period</w:t>
      </w:r>
      <w:r>
        <w:t>. These are</w:t>
      </w:r>
      <w:r w:rsidRPr="00F11222">
        <w:t xml:space="preserve"> used for the Queensland and Tasmanian DNSPs.</w:t>
      </w:r>
    </w:p>
    <w:p w:rsidR="004A454E" w:rsidRPr="00CB0503" w:rsidRDefault="004A454E" w:rsidP="00CB0503">
      <w:pPr>
        <w:pStyle w:val="ListBullet"/>
      </w:pPr>
      <w:proofErr w:type="gramStart"/>
      <w:r w:rsidRPr="00CB0503">
        <w:t>average</w:t>
      </w:r>
      <w:proofErr w:type="gramEnd"/>
      <w:r w:rsidRPr="00CB0503">
        <w:t xml:space="preserve"> revenue caps (revenue yield), </w:t>
      </w:r>
      <w:r w:rsidR="0050453E" w:rsidRPr="00CB0503">
        <w:t xml:space="preserve">which set a ceiling on </w:t>
      </w:r>
      <w:r w:rsidR="00C65C75" w:rsidRPr="00CB0503">
        <w:t xml:space="preserve">average </w:t>
      </w:r>
      <w:r w:rsidR="0050453E" w:rsidRPr="00CB0503">
        <w:t xml:space="preserve">revenue </w:t>
      </w:r>
      <w:r w:rsidR="00C65C75" w:rsidRPr="00CB0503">
        <w:t xml:space="preserve">per unit </w:t>
      </w:r>
      <w:r w:rsidR="0050453E" w:rsidRPr="00CB0503">
        <w:t xml:space="preserve">that may be recovered during a regulatory control period. These are used for </w:t>
      </w:r>
      <w:proofErr w:type="spellStart"/>
      <w:r w:rsidR="0050453E" w:rsidRPr="00CB0503">
        <w:t>A</w:t>
      </w:r>
      <w:r w:rsidR="00CE75B7" w:rsidRPr="00CB0503">
        <w:t>ctewAGL</w:t>
      </w:r>
      <w:proofErr w:type="spellEnd"/>
      <w:r w:rsidR="00CE75B7" w:rsidRPr="00CB0503">
        <w:t xml:space="preserve"> in the ACT.</w:t>
      </w:r>
    </w:p>
    <w:p w:rsidR="007E3216" w:rsidRPr="00F11222" w:rsidRDefault="007E3216" w:rsidP="00CB0503">
      <w:pPr>
        <w:pStyle w:val="Heading3"/>
      </w:pPr>
      <w:bookmarkStart w:id="114" w:name="_Toc413311044"/>
      <w:bookmarkStart w:id="115" w:name="_Toc423086464"/>
      <w:r w:rsidRPr="00F11222">
        <w:t>Weighted average price cap</w:t>
      </w:r>
      <w:bookmarkEnd w:id="114"/>
      <w:bookmarkEnd w:id="115"/>
    </w:p>
    <w:p w:rsidR="006831E6" w:rsidRDefault="007E3216" w:rsidP="00CB0503">
      <w:pPr>
        <w:rPr>
          <w:rFonts w:ascii="Times New Roman" w:hAnsi="Times New Roman" w:cs="Times New Roman"/>
          <w:sz w:val="24"/>
          <w:szCs w:val="24"/>
          <w:lang w:eastAsia="en-AU"/>
        </w:rPr>
      </w:pPr>
      <w:r w:rsidRPr="00F11222">
        <w:t xml:space="preserve">A weighted average price cap (WAPC) regulates the tariffs of a basket of services </w:t>
      </w:r>
      <w:r>
        <w:t>when</w:t>
      </w:r>
      <w:r w:rsidRPr="00F11222">
        <w:t xml:space="preserve"> the individual tariff for each service is not directly controlled</w:t>
      </w:r>
      <w:r w:rsidR="00D35600">
        <w:t>,</w:t>
      </w:r>
      <w:r w:rsidRPr="00F11222">
        <w:t xml:space="preserve"> but the weighted average of all the tariffs </w:t>
      </w:r>
      <w:r>
        <w:t>in</w:t>
      </w:r>
      <w:r w:rsidRPr="00F11222">
        <w:t xml:space="preserve"> the basket</w:t>
      </w:r>
      <w:r>
        <w:t xml:space="preserve"> are constrained</w:t>
      </w:r>
      <w:r w:rsidRPr="00F11222">
        <w:t>. The tariffs that make up the basket in the next regulatory year of the regulatory control period are constrained by the previous regulatory year’s tariffs</w:t>
      </w:r>
      <w:r>
        <w:t>,</w:t>
      </w:r>
      <w:r w:rsidRPr="00F11222">
        <w:t xml:space="preserve"> adjusted for the annual percentage change in CPI and the X factor. Under the WAPC</w:t>
      </w:r>
      <w:r>
        <w:t>,</w:t>
      </w:r>
      <w:r w:rsidRPr="00F11222">
        <w:t xml:space="preserve"> a DNSP will earn less revenue if the weighted tariffs remain unchanged and the demand for energy falls. However, a DNSP may restructure its tariffs to maximise revenue within the constraints of the WAPC.</w:t>
      </w:r>
      <w:r w:rsidR="006831E6">
        <w:rPr>
          <w:rStyle w:val="FootnoteReference"/>
        </w:rPr>
        <w:footnoteReference w:id="11"/>
      </w:r>
      <w:r w:rsidR="006831E6">
        <w:rPr>
          <w:rFonts w:ascii="Times New Roman" w:hAnsi="Times New Roman" w:cs="Times New Roman"/>
          <w:sz w:val="24"/>
          <w:szCs w:val="24"/>
          <w:lang w:eastAsia="en-AU"/>
        </w:rPr>
        <w:t xml:space="preserve"> </w:t>
      </w:r>
    </w:p>
    <w:p w:rsidR="003A4E9B" w:rsidRPr="00F11222" w:rsidRDefault="00CE75B7" w:rsidP="00CB0503">
      <w:r>
        <w:t>Restructuring</w:t>
      </w:r>
      <w:r w:rsidR="003A4E9B">
        <w:t xml:space="preserve"> tariffs </w:t>
      </w:r>
      <w:r w:rsidR="003A4E9B" w:rsidRPr="003A4E9B">
        <w:t xml:space="preserve">under the WAPC </w:t>
      </w:r>
      <w:r w:rsidR="003A4E9B">
        <w:t xml:space="preserve">is called </w:t>
      </w:r>
      <w:r w:rsidR="003A4E9B" w:rsidRPr="003A4E9B">
        <w:t>tariff rebalancing</w:t>
      </w:r>
      <w:r w:rsidR="003A4E9B">
        <w:t xml:space="preserve">. </w:t>
      </w:r>
      <w:r w:rsidR="003A4E9B" w:rsidRPr="003A4E9B">
        <w:t xml:space="preserve">DNSPs </w:t>
      </w:r>
      <w:r>
        <w:t>can</w:t>
      </w:r>
      <w:r w:rsidR="003A4E9B" w:rsidRPr="003A4E9B">
        <w:t xml:space="preserve"> increase prices on services subject to the greatest demand growth and reduce prices on services subject to the weakest demand growth</w:t>
      </w:r>
      <w:r>
        <w:t xml:space="preserve"> to</w:t>
      </w:r>
      <w:r w:rsidR="00361BA6">
        <w:t xml:space="preserve"> </w:t>
      </w:r>
      <w:r w:rsidR="003A4E9B">
        <w:t>maximise revenue</w:t>
      </w:r>
      <w:r w:rsidR="00361BA6">
        <w:t xml:space="preserve"> based on changes in demand</w:t>
      </w:r>
      <w:r w:rsidR="003A4E9B" w:rsidRPr="003A4E9B">
        <w:t>.</w:t>
      </w:r>
    </w:p>
    <w:p w:rsidR="006831E6" w:rsidRDefault="006831E6" w:rsidP="00CB0503">
      <w:bookmarkStart w:id="116" w:name="_Toc413311045"/>
      <w:r>
        <w:t xml:space="preserve">The Victorian, NSW, and South Australian DNSPs were subject to this form of control for 2011-13 </w:t>
      </w:r>
    </w:p>
    <w:p w:rsidR="007E3216" w:rsidRPr="00F11222" w:rsidRDefault="007E3216" w:rsidP="00CB0503">
      <w:pPr>
        <w:pStyle w:val="Heading3"/>
      </w:pPr>
      <w:bookmarkStart w:id="117" w:name="_Toc423086465"/>
      <w:r w:rsidRPr="00F11222">
        <w:t>Revenue cap</w:t>
      </w:r>
      <w:bookmarkEnd w:id="116"/>
      <w:bookmarkEnd w:id="117"/>
    </w:p>
    <w:p w:rsidR="007E3216" w:rsidRDefault="007E3216" w:rsidP="007E3216">
      <w:r w:rsidRPr="00F11222">
        <w:t xml:space="preserve">Under a revenue cap, </w:t>
      </w:r>
      <w:r>
        <w:t xml:space="preserve">we establish </w:t>
      </w:r>
      <w:r w:rsidRPr="00F11222">
        <w:t>the maximum allowable revenue</w:t>
      </w:r>
      <w:r>
        <w:t xml:space="preserve"> (MAR)</w:t>
      </w:r>
      <w:r w:rsidRPr="00F11222">
        <w:t xml:space="preserve"> that a DNSP can recover from energy customer</w:t>
      </w:r>
      <w:r w:rsidR="006831E6">
        <w:t>s</w:t>
      </w:r>
      <w:r>
        <w:t>. We do so</w:t>
      </w:r>
      <w:r w:rsidRPr="00F11222">
        <w:t xml:space="preserve"> </w:t>
      </w:r>
      <w:r w:rsidR="00437D01">
        <w:t>a</w:t>
      </w:r>
      <w:r w:rsidR="00437D01" w:rsidRPr="00F11222">
        <w:t xml:space="preserve">t </w:t>
      </w:r>
      <w:r w:rsidRPr="00F11222">
        <w:t>the time of the distribution determination</w:t>
      </w:r>
      <w:r w:rsidR="00437D01">
        <w:t>.</w:t>
      </w:r>
      <w:r w:rsidRPr="00F11222">
        <w:t xml:space="preserve"> </w:t>
      </w:r>
      <w:r w:rsidR="00437D01">
        <w:t xml:space="preserve">We </w:t>
      </w:r>
      <w:r>
        <w:t>determine t</w:t>
      </w:r>
      <w:r w:rsidRPr="00F11222">
        <w:t xml:space="preserve">he MAR for each year of the regulatory control period by adjusting the previous regulatory year's </w:t>
      </w:r>
      <w:r>
        <w:t>MAR</w:t>
      </w:r>
      <w:r w:rsidRPr="00F11222">
        <w:t xml:space="preserve"> for the annual percentage change in CPI</w:t>
      </w:r>
      <w:r w:rsidR="00437D01">
        <w:t>,</w:t>
      </w:r>
      <w:r w:rsidRPr="00F11222">
        <w:t xml:space="preserve"> </w:t>
      </w:r>
      <w:r w:rsidR="00437D01">
        <w:t>the X factor and any other annual adjustments (for example, a reward for service quality performance).</w:t>
      </w:r>
      <w:r w:rsidRPr="00F11222">
        <w:t xml:space="preserve">. </w:t>
      </w:r>
    </w:p>
    <w:p w:rsidR="001B2B9A" w:rsidRPr="00F11222" w:rsidRDefault="001B2B9A" w:rsidP="001B2B9A">
      <w:r>
        <w:t xml:space="preserve">Revenue is fixed under a revenue cap regardless of the volume of sales or demand for the services. The incentive under this mechanism is for DNSPs </w:t>
      </w:r>
      <w:r w:rsidRPr="001B2B9A">
        <w:t xml:space="preserve">to </w:t>
      </w:r>
      <w:r w:rsidR="00CE75B7">
        <w:t xml:space="preserve">reduce the costs they face for a given level of revenue. They can try to do this by </w:t>
      </w:r>
      <w:r w:rsidR="00437D01">
        <w:t>discouraging</w:t>
      </w:r>
      <w:r w:rsidR="00CE75B7">
        <w:t xml:space="preserve"> demand for high cost services (by </w:t>
      </w:r>
      <w:r w:rsidRPr="001B2B9A">
        <w:t>increas</w:t>
      </w:r>
      <w:r w:rsidR="00CE75B7">
        <w:t>ing</w:t>
      </w:r>
      <w:r w:rsidRPr="001B2B9A">
        <w:t xml:space="preserve"> prices</w:t>
      </w:r>
      <w:r w:rsidR="00CE75B7">
        <w:t xml:space="preserve">) and </w:t>
      </w:r>
      <w:r w:rsidR="00437D01">
        <w:t>encouraging</w:t>
      </w:r>
      <w:r w:rsidR="00CE75B7">
        <w:t xml:space="preserve"> the demand for </w:t>
      </w:r>
      <w:r w:rsidRPr="001B2B9A">
        <w:t>relatively low cost</w:t>
      </w:r>
      <w:r w:rsidR="00CE75B7">
        <w:t xml:space="preserve"> services</w:t>
      </w:r>
      <w:r w:rsidRPr="001B2B9A">
        <w:t>,</w:t>
      </w:r>
      <w:r w:rsidR="00CE75B7">
        <w:t xml:space="preserve"> (by reducing prices).</w:t>
      </w:r>
      <w:r w:rsidRPr="001B2B9A">
        <w:t xml:space="preserve"> </w:t>
      </w:r>
    </w:p>
    <w:p w:rsidR="00437D01" w:rsidRDefault="00437D01" w:rsidP="00437D01">
      <w:bookmarkStart w:id="118" w:name="_Toc413311046"/>
      <w:r>
        <w:t>The Queensland and Tasmanian DNSPs were the only DNSPs subject to this form of control for 2011-13.</w:t>
      </w:r>
    </w:p>
    <w:p w:rsidR="007E3216" w:rsidRPr="00F11222" w:rsidRDefault="007E3216" w:rsidP="00CB0503">
      <w:pPr>
        <w:pStyle w:val="Heading3"/>
      </w:pPr>
      <w:bookmarkStart w:id="119" w:name="_Toc423086466"/>
      <w:r w:rsidRPr="00F11222">
        <w:t>Average revenue cap</w:t>
      </w:r>
      <w:bookmarkEnd w:id="118"/>
      <w:bookmarkEnd w:id="119"/>
    </w:p>
    <w:p w:rsidR="00C13D7F" w:rsidRDefault="007E3216" w:rsidP="00C13D7F">
      <w:r w:rsidRPr="00F11222">
        <w:t>Under an average revenue cap</w:t>
      </w:r>
      <w:r>
        <w:t>,</w:t>
      </w:r>
      <w:r w:rsidRPr="00F11222">
        <w:t xml:space="preserve"> the maximum allowable average revenue or revenue yield </w:t>
      </w:r>
      <w:r>
        <w:t>constrains</w:t>
      </w:r>
      <w:r w:rsidRPr="00F11222">
        <w:t xml:space="preserve"> the revenue </w:t>
      </w:r>
      <w:r>
        <w:t>that a DNSP can recover</w:t>
      </w:r>
      <w:r w:rsidRPr="00F11222">
        <w:t xml:space="preserve"> from the sale of a unit of energy (typically expressed as dollars per megawatt hour). The average revenue cap equals the maximum allowable average revenue multiplied by the quantity of energy delivered. </w:t>
      </w:r>
      <w:r>
        <w:t>We determine t</w:t>
      </w:r>
      <w:r w:rsidRPr="00F11222">
        <w:t>he maximum allowable average revenue for the next regulatory year of the regulatory control period by adjusting the previous regulatory year’s maximum allowable average revenue for the annual percentage change in CPI</w:t>
      </w:r>
      <w:r w:rsidR="00437D01">
        <w:t xml:space="preserve">, the X factor and revised quantity for energy delivered. </w:t>
      </w:r>
    </w:p>
    <w:p w:rsidR="00C13D7F" w:rsidRPr="00F11222" w:rsidRDefault="00C13D7F" w:rsidP="00C13D7F">
      <w:r>
        <w:t xml:space="preserve">Under this mechanism, increased revenues can be achieved by under forecasting demand growth. This is because a revenue cap is applied per unit sold which makes revenue receptive to changes in demand. </w:t>
      </w:r>
    </w:p>
    <w:p w:rsidR="007E3216" w:rsidRDefault="00437D01" w:rsidP="007E3216">
      <w:proofErr w:type="spellStart"/>
      <w:r>
        <w:t>ActewAGL</w:t>
      </w:r>
      <w:proofErr w:type="spellEnd"/>
      <w:r>
        <w:t xml:space="preserve"> is the only DNSP subject to this form of control for 2011-13</w:t>
      </w:r>
      <w:r w:rsidR="007E3216" w:rsidRPr="00F11222">
        <w:t>.</w:t>
      </w:r>
    </w:p>
    <w:p w:rsidR="00AE2FC7" w:rsidRPr="00F11222" w:rsidRDefault="00AE2FC7" w:rsidP="00633936">
      <w:pPr>
        <w:pStyle w:val="Heading2"/>
      </w:pPr>
      <w:bookmarkStart w:id="120" w:name="_Toc423086467"/>
      <w:r w:rsidRPr="00F11222">
        <w:t>Revenue, 2011</w:t>
      </w:r>
      <w:r w:rsidR="007A3240">
        <w:t>–</w:t>
      </w:r>
      <w:r w:rsidRPr="00F11222">
        <w:t>13</w:t>
      </w:r>
      <w:bookmarkEnd w:id="112"/>
      <w:bookmarkEnd w:id="113"/>
      <w:bookmarkEnd w:id="120"/>
    </w:p>
    <w:p w:rsidR="007E3216" w:rsidRPr="00F11222" w:rsidRDefault="007E3216" w:rsidP="007E3216">
      <w:r w:rsidRPr="00F11222">
        <w:t xml:space="preserve">Total distribution revenue </w:t>
      </w:r>
      <w:r>
        <w:t xml:space="preserve">that DNSPs </w:t>
      </w:r>
      <w:r w:rsidRPr="00F11222">
        <w:t>recovered from customers for standard control services was approximately $10.4</w:t>
      </w:r>
      <w:r>
        <w:t> </w:t>
      </w:r>
      <w:r w:rsidRPr="00F11222">
        <w:t xml:space="preserve">billion in 2013. </w:t>
      </w:r>
      <w:proofErr w:type="gramStart"/>
      <w:r w:rsidRPr="00F11222">
        <w:t>Over 2011</w:t>
      </w:r>
      <w:r>
        <w:t>–</w:t>
      </w:r>
      <w:r w:rsidRPr="00F11222">
        <w:t xml:space="preserve">13 </w:t>
      </w:r>
      <w:r>
        <w:t>it</w:t>
      </w:r>
      <w:r w:rsidRPr="00F11222">
        <w:t xml:space="preserve"> was comparable with </w:t>
      </w:r>
      <w:r>
        <w:t>our approved</w:t>
      </w:r>
      <w:r w:rsidRPr="00F11222">
        <w:t xml:space="preserve"> forecast.</w:t>
      </w:r>
      <w:proofErr w:type="gramEnd"/>
      <w:r>
        <w:t xml:space="preserve"> Figure </w:t>
      </w:r>
      <w:r w:rsidRPr="00F11222">
        <w:t>7–1 compares each DNSP</w:t>
      </w:r>
      <w:r>
        <w:t>'</w:t>
      </w:r>
      <w:r w:rsidRPr="00F11222">
        <w:t xml:space="preserve">s </w:t>
      </w:r>
      <w:r>
        <w:t xml:space="preserve">forecast and </w:t>
      </w:r>
      <w:r w:rsidRPr="00F11222">
        <w:t>actual distribution revenue for standard control services over 2011</w:t>
      </w:r>
      <w:r>
        <w:t>–</w:t>
      </w:r>
      <w:r w:rsidRPr="00F11222">
        <w:t>13.</w:t>
      </w:r>
    </w:p>
    <w:p w:rsidR="00AE2FC7" w:rsidRDefault="00AE2FC7" w:rsidP="00972E3F">
      <w:pPr>
        <w:pStyle w:val="Caption"/>
      </w:pPr>
      <w:r>
        <w:t>Figure </w:t>
      </w:r>
      <w:r w:rsidRPr="00F11222">
        <w:t>7–1</w:t>
      </w:r>
      <w:r w:rsidRPr="00F11222">
        <w:tab/>
      </w:r>
      <w:r w:rsidR="007E3216" w:rsidRPr="00F11222">
        <w:t xml:space="preserve">Revenue </w:t>
      </w:r>
      <w:r w:rsidRPr="00F11222">
        <w:t>for standard control services</w:t>
      </w:r>
      <w:r w:rsidR="007E3216">
        <w:t xml:space="preserve"> by DNSP</w:t>
      </w:r>
      <w:r w:rsidRPr="00F11222">
        <w:t>, 2011</w:t>
      </w:r>
      <w:r w:rsidR="007A3240">
        <w:t>–</w:t>
      </w:r>
      <w:r w:rsidRPr="00F11222">
        <w:t>13</w:t>
      </w:r>
    </w:p>
    <w:p w:rsidR="007E3216" w:rsidRDefault="00531D6C" w:rsidP="00AE2FC7">
      <w:r>
        <w:rPr>
          <w:noProof/>
          <w:lang w:eastAsia="en-AU"/>
        </w:rPr>
        <w:drawing>
          <wp:inline distT="0" distB="0" distL="0" distR="0" wp14:anchorId="1CBE8ADD" wp14:editId="54E206F1">
            <wp:extent cx="4572000" cy="3124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3216" w:rsidRPr="00F11222" w:rsidRDefault="007E3216" w:rsidP="007E3216">
      <w:r w:rsidRPr="00F11222">
        <w:t>Over 2011</w:t>
      </w:r>
      <w:r>
        <w:t>–</w:t>
      </w:r>
      <w:r w:rsidRPr="00F11222">
        <w:t xml:space="preserve">13 the following DNSPs' actual distribution revenue recovered for </w:t>
      </w:r>
      <w:proofErr w:type="gramStart"/>
      <w:r w:rsidRPr="00F11222">
        <w:t>standard control services was</w:t>
      </w:r>
      <w:proofErr w:type="gramEnd"/>
      <w:r w:rsidRPr="00F11222">
        <w:t xml:space="preserve"> less than </w:t>
      </w:r>
      <w:r>
        <w:t>our approved</w:t>
      </w:r>
      <w:r w:rsidRPr="00F11222">
        <w:t xml:space="preserve"> forecasts: </w:t>
      </w:r>
    </w:p>
    <w:p w:rsidR="007E3216" w:rsidRPr="00F11222" w:rsidRDefault="007E3216" w:rsidP="00CB0503">
      <w:pPr>
        <w:pStyle w:val="ListBullet"/>
      </w:pPr>
      <w:r w:rsidRPr="00F11222">
        <w:t>Energex (</w:t>
      </w:r>
      <w:r>
        <w:t>–</w:t>
      </w:r>
      <w:r w:rsidRPr="00F11222">
        <w:t>8 per cent)</w:t>
      </w:r>
    </w:p>
    <w:p w:rsidR="007E3216" w:rsidRPr="00F11222" w:rsidRDefault="007E3216" w:rsidP="00CB0503">
      <w:pPr>
        <w:pStyle w:val="ListBullet"/>
      </w:pPr>
      <w:r w:rsidRPr="00F11222">
        <w:t>Ergon Energy (</w:t>
      </w:r>
      <w:r>
        <w:t>–</w:t>
      </w:r>
      <w:r w:rsidRPr="00F11222">
        <w:t>5 per cent)</w:t>
      </w:r>
    </w:p>
    <w:p w:rsidR="007E3216" w:rsidRPr="00F11222" w:rsidRDefault="007E3216" w:rsidP="00CB0503">
      <w:pPr>
        <w:pStyle w:val="ListBullet"/>
      </w:pPr>
      <w:proofErr w:type="spellStart"/>
      <w:r w:rsidRPr="00F11222">
        <w:t>TasNetworks</w:t>
      </w:r>
      <w:proofErr w:type="spellEnd"/>
      <w:r w:rsidRPr="00F11222">
        <w:t xml:space="preserve"> (</w:t>
      </w:r>
      <w:r>
        <w:t>–</w:t>
      </w:r>
      <w:r w:rsidRPr="00F11222">
        <w:t>5 per cent)</w:t>
      </w:r>
    </w:p>
    <w:p w:rsidR="007E3216" w:rsidRPr="00F11222" w:rsidRDefault="007E3216" w:rsidP="00CB0503">
      <w:pPr>
        <w:pStyle w:val="ListBullet"/>
      </w:pPr>
      <w:proofErr w:type="spellStart"/>
      <w:r w:rsidRPr="00F11222">
        <w:t>ActewAGL</w:t>
      </w:r>
      <w:proofErr w:type="spellEnd"/>
      <w:r w:rsidRPr="00F11222">
        <w:t xml:space="preserve"> (</w:t>
      </w:r>
      <w:r>
        <w:t>–</w:t>
      </w:r>
      <w:r w:rsidRPr="00F11222">
        <w:t>5 per cent)</w:t>
      </w:r>
    </w:p>
    <w:p w:rsidR="007E3216" w:rsidRPr="00F11222" w:rsidRDefault="007E3216" w:rsidP="00CB0503">
      <w:pPr>
        <w:pStyle w:val="ListBullet"/>
      </w:pPr>
      <w:r w:rsidRPr="00F11222">
        <w:t>Endeavour Energy (</w:t>
      </w:r>
      <w:r>
        <w:t>–</w:t>
      </w:r>
      <w:r w:rsidRPr="00F11222">
        <w:t>2 per cent).</w:t>
      </w:r>
    </w:p>
    <w:p w:rsidR="00AE2FC7" w:rsidRPr="00F11222" w:rsidRDefault="00AE2FC7" w:rsidP="00AE2FC7">
      <w:proofErr w:type="gramStart"/>
      <w:r w:rsidRPr="00F11222">
        <w:t>Over 2011</w:t>
      </w:r>
      <w:r w:rsidR="007A3240">
        <w:t>–</w:t>
      </w:r>
      <w:r w:rsidRPr="00F11222">
        <w:t xml:space="preserve">13 the following DNSPs' actual distribution revenue recovered for standard control services exceeded </w:t>
      </w:r>
      <w:r w:rsidR="00DD4FC1">
        <w:t>our approved</w:t>
      </w:r>
      <w:r w:rsidRPr="00F11222">
        <w:t xml:space="preserve"> forecasts</w:t>
      </w:r>
      <w:r w:rsidR="00C13D7F">
        <w:t>.</w:t>
      </w:r>
      <w:proofErr w:type="gramEnd"/>
      <w:r w:rsidR="00CF205E">
        <w:rPr>
          <w:rStyle w:val="FootnoteReference"/>
        </w:rPr>
        <w:footnoteReference w:id="12"/>
      </w:r>
      <w:r w:rsidRPr="00F11222">
        <w:t xml:space="preserve"> </w:t>
      </w:r>
    </w:p>
    <w:p w:rsidR="00AE2FC7" w:rsidRPr="00F11222" w:rsidRDefault="00AE2FC7" w:rsidP="00CB0503">
      <w:pPr>
        <w:pStyle w:val="ListBullet"/>
      </w:pPr>
      <w:r w:rsidRPr="00F11222">
        <w:t xml:space="preserve">JEN (+7 per cent) </w:t>
      </w:r>
    </w:p>
    <w:p w:rsidR="00AE2FC7" w:rsidRPr="00F11222" w:rsidRDefault="00AE2FC7" w:rsidP="00CB0503">
      <w:pPr>
        <w:pStyle w:val="ListBullet"/>
      </w:pPr>
      <w:proofErr w:type="spellStart"/>
      <w:r w:rsidRPr="00F11222">
        <w:t>Ausgrid</w:t>
      </w:r>
      <w:proofErr w:type="spellEnd"/>
      <w:r w:rsidRPr="00F11222">
        <w:t xml:space="preserve"> (+6 per cent) </w:t>
      </w:r>
    </w:p>
    <w:p w:rsidR="00AE2FC7" w:rsidRPr="00F11222" w:rsidRDefault="00AE2FC7" w:rsidP="00CB0503">
      <w:pPr>
        <w:pStyle w:val="ListBullet"/>
      </w:pPr>
      <w:r w:rsidRPr="00F11222">
        <w:t>SA Power Networks (+6 per cent).</w:t>
      </w:r>
    </w:p>
    <w:p w:rsidR="00AE2FC7" w:rsidRPr="00F11222" w:rsidRDefault="00AE2FC7" w:rsidP="00AE2FC7">
      <w:r w:rsidRPr="00F11222">
        <w:t>Over 2011</w:t>
      </w:r>
      <w:r w:rsidR="007A3240">
        <w:t>–</w:t>
      </w:r>
      <w:r w:rsidRPr="00F11222">
        <w:t xml:space="preserve">13 the following DNSPs' actual distribution revenue recovered for standard control services was within 2 per cent of </w:t>
      </w:r>
      <w:r w:rsidR="00DD4FC1">
        <w:t>our approved</w:t>
      </w:r>
      <w:r w:rsidRPr="00F11222">
        <w:t xml:space="preserve"> forecasts:</w:t>
      </w:r>
    </w:p>
    <w:p w:rsidR="00AE2FC7" w:rsidRPr="00F11222" w:rsidRDefault="00AE2FC7" w:rsidP="00CB0503">
      <w:pPr>
        <w:pStyle w:val="ListBullet"/>
      </w:pPr>
      <w:r w:rsidRPr="00F11222">
        <w:t>Essential Energy</w:t>
      </w:r>
    </w:p>
    <w:p w:rsidR="00AE2FC7" w:rsidRPr="00F11222" w:rsidRDefault="00AE2FC7" w:rsidP="00CB0503">
      <w:pPr>
        <w:pStyle w:val="ListBullet"/>
      </w:pPr>
      <w:proofErr w:type="spellStart"/>
      <w:r w:rsidRPr="00F11222">
        <w:t>AusNet</w:t>
      </w:r>
      <w:proofErr w:type="spellEnd"/>
      <w:r w:rsidRPr="00F11222">
        <w:t xml:space="preserve"> Services</w:t>
      </w:r>
    </w:p>
    <w:p w:rsidR="00AE2FC7" w:rsidRPr="00F11222" w:rsidRDefault="00AE2FC7" w:rsidP="00CB0503">
      <w:pPr>
        <w:pStyle w:val="ListBullet"/>
      </w:pPr>
      <w:proofErr w:type="spellStart"/>
      <w:r w:rsidRPr="00F11222">
        <w:t>CitiPower</w:t>
      </w:r>
      <w:proofErr w:type="spellEnd"/>
    </w:p>
    <w:p w:rsidR="00AE2FC7" w:rsidRPr="00F11222" w:rsidRDefault="00AE2FC7" w:rsidP="00CB0503">
      <w:pPr>
        <w:pStyle w:val="ListBullet"/>
      </w:pPr>
      <w:proofErr w:type="spellStart"/>
      <w:r w:rsidRPr="00F11222">
        <w:t>Powercor</w:t>
      </w:r>
      <w:proofErr w:type="spellEnd"/>
    </w:p>
    <w:p w:rsidR="00AE2FC7" w:rsidRPr="00F11222" w:rsidRDefault="00AE2FC7" w:rsidP="00CB0503">
      <w:pPr>
        <w:pStyle w:val="ListBullet"/>
      </w:pPr>
      <w:r w:rsidRPr="00F11222">
        <w:t xml:space="preserve">United Energy. </w:t>
      </w:r>
    </w:p>
    <w:p w:rsidR="00AE2FC7" w:rsidRPr="00F11222" w:rsidRDefault="00AE2FC7" w:rsidP="00AE2FC7">
      <w:r>
        <w:t>Figure </w:t>
      </w:r>
      <w:r w:rsidRPr="00F11222">
        <w:t>7–2 shows the average annual distribution revenue recovered for standard control services per customer for each DNSP in the NEM over the 2011</w:t>
      </w:r>
      <w:r w:rsidR="007A3240">
        <w:t>–</w:t>
      </w:r>
      <w:r w:rsidRPr="00F11222">
        <w:t xml:space="preserve">13 </w:t>
      </w:r>
      <w:proofErr w:type="gramStart"/>
      <w:r w:rsidRPr="00F11222">
        <w:t>period</w:t>
      </w:r>
      <w:proofErr w:type="gramEnd"/>
      <w:r w:rsidRPr="00F11222">
        <w:t>.</w:t>
      </w:r>
    </w:p>
    <w:p w:rsidR="00AE2FC7" w:rsidRDefault="00AE2FC7" w:rsidP="00972E3F">
      <w:pPr>
        <w:pStyle w:val="Caption"/>
      </w:pPr>
      <w:r>
        <w:t>Figure </w:t>
      </w:r>
      <w:r w:rsidRPr="00F11222">
        <w:t>7–2</w:t>
      </w:r>
      <w:r w:rsidRPr="00F11222">
        <w:tab/>
        <w:t>Average revenue for standard control services per customer</w:t>
      </w:r>
      <w:r w:rsidR="007E3216">
        <w:t xml:space="preserve"> by DNSP</w:t>
      </w:r>
      <w:r w:rsidRPr="00F11222">
        <w:t>, 2011</w:t>
      </w:r>
      <w:r w:rsidR="007A3240">
        <w:t>–</w:t>
      </w:r>
      <w:r>
        <w:t>13</w:t>
      </w:r>
    </w:p>
    <w:p w:rsidR="00AE2FC7" w:rsidRDefault="001B08A2" w:rsidP="00AE2FC7">
      <w:r w:rsidRPr="001B08A2">
        <w:rPr>
          <w:noProof/>
          <w:lang w:eastAsia="en-AU"/>
        </w:rPr>
        <w:drawing>
          <wp:inline distT="0" distB="0" distL="0" distR="0" wp14:anchorId="7E313067" wp14:editId="401ACBFD">
            <wp:extent cx="4572000" cy="2743200"/>
            <wp:effectExtent l="0" t="0" r="0" b="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E2FC7" w:rsidRPr="00F11222" w:rsidRDefault="00AE2FC7" w:rsidP="00AE2FC7">
      <w:r w:rsidRPr="00F11222">
        <w:t>Over 2011</w:t>
      </w:r>
      <w:r w:rsidR="007A3240">
        <w:t>–</w:t>
      </w:r>
      <w:r w:rsidRPr="00F11222">
        <w:t>13:</w:t>
      </w:r>
    </w:p>
    <w:p w:rsidR="00AE2FC7" w:rsidRPr="00F11222" w:rsidRDefault="00AE2FC7" w:rsidP="00CB0503">
      <w:pPr>
        <w:pStyle w:val="ListBullet"/>
      </w:pPr>
      <w:r w:rsidRPr="00F11222">
        <w:t>Ergon Energy ($1,732), Essential Energy ($1,</w:t>
      </w:r>
      <w:r w:rsidR="006969EE" w:rsidRPr="00F11222">
        <w:t>5</w:t>
      </w:r>
      <w:r w:rsidR="006969EE">
        <w:t>29</w:t>
      </w:r>
      <w:r w:rsidRPr="00F11222">
        <w:t xml:space="preserve">) and </w:t>
      </w:r>
      <w:proofErr w:type="spellStart"/>
      <w:r w:rsidRPr="00F11222">
        <w:t>Ausgrid</w:t>
      </w:r>
      <w:proofErr w:type="spellEnd"/>
      <w:r w:rsidRPr="00F11222">
        <w:t xml:space="preserve"> ($1,165) recovered the most distribution revenue for standard control services per customer.</w:t>
      </w:r>
    </w:p>
    <w:p w:rsidR="00AE2FC7" w:rsidRPr="00F11222" w:rsidRDefault="00AE2FC7" w:rsidP="00CB0503">
      <w:pPr>
        <w:pStyle w:val="ListBullet"/>
      </w:pPr>
      <w:r w:rsidRPr="00F11222">
        <w:t xml:space="preserve">United Energy ($489), </w:t>
      </w:r>
      <w:proofErr w:type="spellStart"/>
      <w:r w:rsidRPr="00F11222">
        <w:t>Jemena</w:t>
      </w:r>
      <w:proofErr w:type="spellEnd"/>
      <w:r w:rsidRPr="00F11222">
        <w:t xml:space="preserve"> ($654) and </w:t>
      </w:r>
      <w:proofErr w:type="spellStart"/>
      <w:r w:rsidRPr="00F11222">
        <w:t>Powercor</w:t>
      </w:r>
      <w:proofErr w:type="spellEnd"/>
      <w:r w:rsidRPr="00F11222">
        <w:t xml:space="preserve"> ($656) recovered the least distribution revenue for standard control services per customer.</w:t>
      </w:r>
    </w:p>
    <w:p w:rsidR="007E3216" w:rsidRPr="007E3216" w:rsidRDefault="007E3216" w:rsidP="007E3216">
      <w:r w:rsidRPr="007E3216">
        <w:t xml:space="preserve">Chapter </w:t>
      </w:r>
      <w:r>
        <w:t>9</w:t>
      </w:r>
      <w:r w:rsidRPr="007E3216">
        <w:t xml:space="preserve"> contains our detailed assessment of revenue recovered by each DNSP in the NEM.</w:t>
      </w:r>
    </w:p>
    <w:p w:rsidR="00AE2FC7" w:rsidRDefault="00AE2FC7" w:rsidP="00AE2FC7"/>
    <w:p w:rsidR="00AE2FC7" w:rsidRPr="00824A83" w:rsidRDefault="00AE2FC7" w:rsidP="00AE2FC7">
      <w:pPr>
        <w:pStyle w:val="Heading1"/>
      </w:pPr>
      <w:bookmarkStart w:id="121" w:name="_Toc409771613"/>
      <w:bookmarkStart w:id="122" w:name="_Toc423086468"/>
      <w:r w:rsidRPr="00824A83">
        <w:t>Service performance</w:t>
      </w:r>
      <w:bookmarkEnd w:id="121"/>
      <w:bookmarkEnd w:id="122"/>
    </w:p>
    <w:p w:rsidR="007E3216" w:rsidRPr="00824A83" w:rsidRDefault="007E3216" w:rsidP="007E3216">
      <w:r w:rsidRPr="00824A83">
        <w:t xml:space="preserve">This chapter discusses the service performance of the </w:t>
      </w:r>
      <w:r w:rsidR="00CB0503">
        <w:t xml:space="preserve">DNSPs </w:t>
      </w:r>
      <w:r w:rsidRPr="00824A83">
        <w:t>in the NEM. For this report</w:t>
      </w:r>
      <w:r>
        <w:t>,</w:t>
      </w:r>
      <w:r w:rsidRPr="00824A83">
        <w:t xml:space="preserve"> the measures of service performance are: </w:t>
      </w:r>
    </w:p>
    <w:p w:rsidR="007E3216" w:rsidRPr="00824A83" w:rsidRDefault="007E3216" w:rsidP="00CB0503">
      <w:pPr>
        <w:pStyle w:val="ListBullet"/>
      </w:pPr>
      <w:r w:rsidRPr="00824A83">
        <w:t>reliability of supply</w:t>
      </w:r>
    </w:p>
    <w:p w:rsidR="007E3216" w:rsidRPr="00824A83" w:rsidRDefault="007E3216" w:rsidP="00CB0503">
      <w:pPr>
        <w:pStyle w:val="ListBullet"/>
      </w:pPr>
      <w:proofErr w:type="gramStart"/>
      <w:r w:rsidRPr="00824A83">
        <w:t>customer</w:t>
      </w:r>
      <w:proofErr w:type="gramEnd"/>
      <w:r w:rsidRPr="00824A83">
        <w:t xml:space="preserve"> service.</w:t>
      </w:r>
    </w:p>
    <w:p w:rsidR="007E3216" w:rsidRPr="00824A83" w:rsidRDefault="007E3216" w:rsidP="00633936">
      <w:pPr>
        <w:pStyle w:val="Heading2"/>
      </w:pPr>
      <w:bookmarkStart w:id="123" w:name="_Toc409771614"/>
      <w:bookmarkStart w:id="124" w:name="_Toc423086469"/>
      <w:r w:rsidRPr="00824A83">
        <w:t>Reliability of supply</w:t>
      </w:r>
      <w:bookmarkEnd w:id="123"/>
      <w:bookmarkEnd w:id="124"/>
      <w:r w:rsidRPr="00824A83">
        <w:t xml:space="preserve"> </w:t>
      </w:r>
    </w:p>
    <w:p w:rsidR="007E3216" w:rsidRPr="00824A83" w:rsidRDefault="007E3216" w:rsidP="007E3216">
      <w:r w:rsidRPr="00824A83">
        <w:t>Reliability of the supply of electricity is a key service performance measure for a DNSP. Distribution outages account for over 95</w:t>
      </w:r>
      <w:r>
        <w:t> </w:t>
      </w:r>
      <w:r w:rsidRPr="00824A83">
        <w:t xml:space="preserve">per cent of </w:t>
      </w:r>
      <w:r>
        <w:t xml:space="preserve">supply </w:t>
      </w:r>
      <w:r w:rsidRPr="00824A83">
        <w:t>interruptions in the NEM. Interrupt</w:t>
      </w:r>
      <w:r>
        <w:t>ed</w:t>
      </w:r>
      <w:r w:rsidRPr="00824A83">
        <w:t xml:space="preserve"> supply of electricity to a DNSP's customers may be: </w:t>
      </w:r>
    </w:p>
    <w:p w:rsidR="007E3216" w:rsidRPr="00824A83" w:rsidRDefault="007E3216" w:rsidP="006B385B">
      <w:pPr>
        <w:pStyle w:val="ListBullet"/>
      </w:pPr>
      <w:r w:rsidRPr="00824A83">
        <w:t xml:space="preserve">planned </w:t>
      </w:r>
    </w:p>
    <w:p w:rsidR="007E3216" w:rsidRPr="00824A83" w:rsidRDefault="007E3216" w:rsidP="006B385B">
      <w:pPr>
        <w:pStyle w:val="ListBullet"/>
      </w:pPr>
      <w:r w:rsidRPr="00824A83">
        <w:t>unplanned</w:t>
      </w:r>
    </w:p>
    <w:p w:rsidR="007E3216" w:rsidRPr="00824A83" w:rsidRDefault="007E3216" w:rsidP="006B385B">
      <w:pPr>
        <w:pStyle w:val="ListBullet"/>
      </w:pPr>
      <w:r w:rsidRPr="00824A83">
        <w:t xml:space="preserve">momentary (one minute or less) </w:t>
      </w:r>
    </w:p>
    <w:p w:rsidR="007E3216" w:rsidRPr="00824A83" w:rsidRDefault="007E3216" w:rsidP="006B385B">
      <w:pPr>
        <w:pStyle w:val="ListBullet"/>
      </w:pPr>
      <w:proofErr w:type="gramStart"/>
      <w:r w:rsidRPr="00824A83">
        <w:t>sustained</w:t>
      </w:r>
      <w:proofErr w:type="gramEnd"/>
      <w:r w:rsidRPr="00824A83">
        <w:t xml:space="preserve"> (more than one minute).</w:t>
      </w:r>
    </w:p>
    <w:p w:rsidR="007E3216" w:rsidRPr="00824A83" w:rsidRDefault="007E3216" w:rsidP="007E3216">
      <w:r w:rsidRPr="00824A83">
        <w:t>Planned interruptions occur when a DNSP needs to disconnect supply to undertake maintenance or construction works. Such interruptions can be scheduled for minimal impact</w:t>
      </w:r>
      <w:r>
        <w:t xml:space="preserve">, and the DNSP notifies the customer of </w:t>
      </w:r>
      <w:r w:rsidR="00431903">
        <w:t>it</w:t>
      </w:r>
      <w:r w:rsidRPr="00824A83">
        <w:t>s intention to interrupt supply.</w:t>
      </w:r>
    </w:p>
    <w:p w:rsidR="007E3216" w:rsidRPr="00824A83" w:rsidRDefault="007E3216" w:rsidP="007E3216">
      <w:r w:rsidRPr="00824A83">
        <w:t xml:space="preserve">Unplanned outages occur when equipment failure causes the electricity supply to be unexpectedly disconnected. They may result from operational error, asset overload or deterioration, or external causes such as damage caused by extreme weather, trees, animals, vehicle impacts or vandalism. Unplanned interruptions typically have a greater effect on customers than planned interruptions because they do not provide customers with sufficient warning to </w:t>
      </w:r>
      <w:r>
        <w:t>act</w:t>
      </w:r>
      <w:r w:rsidRPr="00824A83">
        <w:t xml:space="preserve"> to manage the impact of the interruption.</w:t>
      </w:r>
    </w:p>
    <w:p w:rsidR="007E3216" w:rsidRPr="00824A83" w:rsidRDefault="007E3216" w:rsidP="007E3216">
      <w:r>
        <w:t>Table 8</w:t>
      </w:r>
      <w:r w:rsidRPr="00824A83">
        <w:t>–1</w:t>
      </w:r>
      <w:r>
        <w:t xml:space="preserve"> shows the</w:t>
      </w:r>
      <w:r w:rsidRPr="00824A83" w:rsidDel="001625C6">
        <w:t xml:space="preserve"> </w:t>
      </w:r>
      <w:r w:rsidRPr="00824A83">
        <w:t xml:space="preserve">most common measures of distribution reliability used </w:t>
      </w:r>
      <w:r>
        <w:t xml:space="preserve">in Australia. </w:t>
      </w:r>
    </w:p>
    <w:p w:rsidR="00AE2FC7" w:rsidRDefault="00AE2FC7" w:rsidP="00972E3F">
      <w:pPr>
        <w:pStyle w:val="Caption"/>
      </w:pPr>
      <w:r>
        <w:t>Table 8</w:t>
      </w:r>
      <w:r w:rsidRPr="00824A83">
        <w:t>–1</w:t>
      </w:r>
      <w:r w:rsidRPr="00824A83">
        <w:tab/>
        <w:t>Measures of network reliability</w:t>
      </w:r>
    </w:p>
    <w:tbl>
      <w:tblPr>
        <w:tblStyle w:val="AERTable-Text"/>
        <w:tblW w:w="0" w:type="auto"/>
        <w:tblLook w:val="04A0" w:firstRow="1" w:lastRow="0" w:firstColumn="1" w:lastColumn="0" w:noHBand="0" w:noVBand="1"/>
      </w:tblPr>
      <w:tblGrid>
        <w:gridCol w:w="3227"/>
        <w:gridCol w:w="6015"/>
      </w:tblGrid>
      <w:tr w:rsidR="004F4956" w:rsidTr="004F4956">
        <w:trPr>
          <w:cnfStyle w:val="100000000000" w:firstRow="1" w:lastRow="0" w:firstColumn="0" w:lastColumn="0" w:oddVBand="0" w:evenVBand="0" w:oddHBand="0" w:evenHBand="0" w:firstRowFirstColumn="0" w:firstRowLastColumn="0" w:lastRowFirstColumn="0" w:lastRowLastColumn="0"/>
        </w:trPr>
        <w:tc>
          <w:tcPr>
            <w:tcW w:w="3227" w:type="dxa"/>
          </w:tcPr>
          <w:p w:rsidR="004F4956" w:rsidRPr="004F4956" w:rsidRDefault="004F4956" w:rsidP="005A6FD9">
            <w:pPr>
              <w:pStyle w:val="Tabletext"/>
            </w:pPr>
            <w:r w:rsidRPr="00162E92">
              <w:t>Parameter</w:t>
            </w:r>
          </w:p>
        </w:tc>
        <w:tc>
          <w:tcPr>
            <w:tcW w:w="6015" w:type="dxa"/>
          </w:tcPr>
          <w:p w:rsidR="004F4956" w:rsidRPr="004F4956" w:rsidRDefault="004F4956" w:rsidP="005A6FD9">
            <w:pPr>
              <w:pStyle w:val="Tabletext"/>
            </w:pPr>
            <w:r w:rsidRPr="00162E92">
              <w:t>Definition</w:t>
            </w:r>
          </w:p>
        </w:tc>
      </w:tr>
      <w:tr w:rsidR="004F4956" w:rsidTr="004F4956">
        <w:tc>
          <w:tcPr>
            <w:tcW w:w="3227" w:type="dxa"/>
          </w:tcPr>
          <w:p w:rsidR="004F4956" w:rsidRPr="004F4956" w:rsidRDefault="004F4956" w:rsidP="005A6FD9">
            <w:pPr>
              <w:pStyle w:val="Tabletext"/>
            </w:pPr>
            <w:r w:rsidRPr="00162E92">
              <w:t>SAIDI (System</w:t>
            </w:r>
            <w:r w:rsidRPr="004F4956">
              <w:t xml:space="preserve"> Average Interruption Duration Index)</w:t>
            </w:r>
          </w:p>
        </w:tc>
        <w:tc>
          <w:tcPr>
            <w:tcW w:w="6015" w:type="dxa"/>
          </w:tcPr>
          <w:p w:rsidR="004F4956" w:rsidRPr="004F4956" w:rsidRDefault="004F4956" w:rsidP="005A6FD9">
            <w:pPr>
              <w:pStyle w:val="Tabletext"/>
            </w:pPr>
            <w:r w:rsidRPr="00162E92">
              <w:t xml:space="preserve">The sum of the duration of each sustained </w:t>
            </w:r>
            <w:r w:rsidRPr="004F4956">
              <w:t>customer interruption (in minutes) divided by the total number of distribution customers. SAIDI excludes momentary interruptions (one minute or less).</w:t>
            </w:r>
          </w:p>
        </w:tc>
      </w:tr>
      <w:tr w:rsidR="004F4956" w:rsidTr="004F4956">
        <w:trPr>
          <w:cnfStyle w:val="000000010000" w:firstRow="0" w:lastRow="0" w:firstColumn="0" w:lastColumn="0" w:oddVBand="0" w:evenVBand="0" w:oddHBand="0" w:evenHBand="1" w:firstRowFirstColumn="0" w:firstRowLastColumn="0" w:lastRowFirstColumn="0" w:lastRowLastColumn="0"/>
        </w:trPr>
        <w:tc>
          <w:tcPr>
            <w:tcW w:w="3227" w:type="dxa"/>
          </w:tcPr>
          <w:p w:rsidR="004F4956" w:rsidRPr="004F4956" w:rsidRDefault="004F4956" w:rsidP="005A6FD9">
            <w:pPr>
              <w:pStyle w:val="Tabletext"/>
            </w:pPr>
            <w:r w:rsidRPr="00162E92">
              <w:t>SAIFI (System</w:t>
            </w:r>
            <w:r w:rsidRPr="004F4956">
              <w:t xml:space="preserve"> Average Interruption Frequency Index)</w:t>
            </w:r>
          </w:p>
        </w:tc>
        <w:tc>
          <w:tcPr>
            <w:tcW w:w="6015" w:type="dxa"/>
          </w:tcPr>
          <w:p w:rsidR="004F4956" w:rsidRPr="004F4956" w:rsidRDefault="004F4956" w:rsidP="005A6FD9">
            <w:pPr>
              <w:pStyle w:val="Tabletext"/>
            </w:pPr>
            <w:r w:rsidRPr="00162E92">
              <w:t>The total number of sustained customer interruptions</w:t>
            </w:r>
            <w:r w:rsidRPr="004F4956">
              <w:t xml:space="preserve"> divided by the total number of distribution customers. SAIFI excludes momentary interruptions (one minute or less). SAIFI is expressed per 0.01 interruptions.</w:t>
            </w:r>
          </w:p>
        </w:tc>
      </w:tr>
      <w:tr w:rsidR="004F4956" w:rsidTr="004F4956">
        <w:tc>
          <w:tcPr>
            <w:tcW w:w="3227" w:type="dxa"/>
          </w:tcPr>
          <w:p w:rsidR="004F4956" w:rsidRPr="004F4956" w:rsidRDefault="004F4956" w:rsidP="005A6FD9">
            <w:pPr>
              <w:pStyle w:val="Tabletext"/>
            </w:pPr>
            <w:r w:rsidRPr="00162E92">
              <w:t>MAIFI (Momentary Average</w:t>
            </w:r>
            <w:r w:rsidRPr="004F4956">
              <w:t xml:space="preserve"> Interruption Frequency Index)</w:t>
            </w:r>
          </w:p>
        </w:tc>
        <w:tc>
          <w:tcPr>
            <w:tcW w:w="6015" w:type="dxa"/>
          </w:tcPr>
          <w:p w:rsidR="004F4956" w:rsidRPr="004F4956" w:rsidRDefault="004F4956" w:rsidP="005A6FD9">
            <w:pPr>
              <w:pStyle w:val="Tabletext"/>
            </w:pPr>
            <w:r w:rsidRPr="00162E92">
              <w:t>The total number of customer interruptions of one minute or less,</w:t>
            </w:r>
            <w:r w:rsidRPr="004F4956">
              <w:t xml:space="preserve"> divided by the total number of distribution customers.</w:t>
            </w:r>
          </w:p>
        </w:tc>
      </w:tr>
    </w:tbl>
    <w:p w:rsidR="007E3216" w:rsidRPr="00824A83" w:rsidRDefault="007E3216" w:rsidP="00EC56EF">
      <w:pPr>
        <w:pStyle w:val="Heading3"/>
      </w:pPr>
      <w:bookmarkStart w:id="125" w:name="_Toc409771615"/>
      <w:bookmarkStart w:id="126" w:name="_Toc413062046"/>
      <w:bookmarkStart w:id="127" w:name="_Toc413311050"/>
      <w:bookmarkStart w:id="128" w:name="_Toc423086470"/>
      <w:r w:rsidRPr="00824A83">
        <w:t>Network reliability</w:t>
      </w:r>
      <w:r w:rsidRPr="007E3216">
        <w:t>—</w:t>
      </w:r>
      <w:r>
        <w:t>t</w:t>
      </w:r>
      <w:r w:rsidRPr="00824A83">
        <w:t>otal interruptions to supply</w:t>
      </w:r>
      <w:bookmarkEnd w:id="125"/>
      <w:bookmarkEnd w:id="126"/>
      <w:bookmarkEnd w:id="127"/>
      <w:bookmarkEnd w:id="128"/>
    </w:p>
    <w:p w:rsidR="007E3216" w:rsidRPr="00824A83" w:rsidRDefault="007E3216" w:rsidP="007E3216">
      <w:r w:rsidRPr="00824A83">
        <w:t xml:space="preserve">Total interruptions to supply reflect the total impact of both planned and unplanned interruptions. </w:t>
      </w:r>
      <w:r>
        <w:t>Figure 8</w:t>
      </w:r>
      <w:r w:rsidRPr="00824A83">
        <w:t xml:space="preserve">–1 and </w:t>
      </w:r>
      <w:r>
        <w:t>Figure 8</w:t>
      </w:r>
      <w:r w:rsidRPr="00824A83">
        <w:t>–2 show the average annual duration and average annual frequency of interruptions to supply per customer over 2011</w:t>
      </w:r>
      <w:r w:rsidRPr="007E3216">
        <w:t>‒</w:t>
      </w:r>
      <w:r w:rsidRPr="00824A83">
        <w:t>13</w:t>
      </w:r>
      <w:r>
        <w:t>, using the system average interruption duration index (SAIDI) and system average interruption frequency index (SAIFI) respectively</w:t>
      </w:r>
      <w:r w:rsidRPr="00824A83">
        <w:t xml:space="preserve">. </w:t>
      </w:r>
    </w:p>
    <w:p w:rsidR="00AE2FC7" w:rsidRDefault="00AE2FC7" w:rsidP="00972E3F">
      <w:pPr>
        <w:pStyle w:val="Caption"/>
      </w:pPr>
      <w:r>
        <w:t>Figure 8</w:t>
      </w:r>
      <w:r w:rsidRPr="00824A83">
        <w:t>–1</w:t>
      </w:r>
      <w:r w:rsidRPr="00824A83">
        <w:tab/>
        <w:t xml:space="preserve">Annual average minutes off supply (SAIDI) </w:t>
      </w:r>
      <w:r w:rsidR="007A3240">
        <w:t>–</w:t>
      </w:r>
      <w:r w:rsidRPr="00824A83">
        <w:t xml:space="preserve"> 2011</w:t>
      </w:r>
      <w:r w:rsidR="007A3240">
        <w:t>–</w:t>
      </w:r>
      <w:r w:rsidRPr="00824A83">
        <w:t>13</w:t>
      </w:r>
    </w:p>
    <w:p w:rsidR="00AE2FC7" w:rsidRDefault="00236740" w:rsidP="00AE2FC7">
      <w:r w:rsidRPr="00236740">
        <w:rPr>
          <w:noProof/>
          <w:lang w:eastAsia="en-AU"/>
        </w:rPr>
        <w:drawing>
          <wp:inline distT="0" distB="0" distL="0" distR="0" wp14:anchorId="5F108A64" wp14:editId="189A043C">
            <wp:extent cx="4628029" cy="2738718"/>
            <wp:effectExtent l="0" t="0" r="1270" b="508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2FC7" w:rsidRDefault="00AE2FC7" w:rsidP="00972E3F">
      <w:pPr>
        <w:pStyle w:val="Caption"/>
      </w:pPr>
      <w:r>
        <w:t>Figure 8</w:t>
      </w:r>
      <w:r w:rsidRPr="00824A83">
        <w:t>–2</w:t>
      </w:r>
      <w:r w:rsidRPr="00824A83">
        <w:tab/>
        <w:t xml:space="preserve">Annual average interruptions to supply (SAIFI) </w:t>
      </w:r>
      <w:r w:rsidR="007A3240">
        <w:t>–</w:t>
      </w:r>
      <w:r w:rsidRPr="00824A83">
        <w:t xml:space="preserve"> 2011</w:t>
      </w:r>
      <w:r w:rsidR="007A3240">
        <w:t>–</w:t>
      </w:r>
      <w:r w:rsidRPr="00824A83">
        <w:t>13</w:t>
      </w:r>
    </w:p>
    <w:p w:rsidR="00AE2FC7" w:rsidRDefault="00236740" w:rsidP="00AE2FC7">
      <w:r w:rsidRPr="00236740">
        <w:rPr>
          <w:noProof/>
          <w:lang w:eastAsia="en-AU"/>
        </w:rPr>
        <w:drawing>
          <wp:inline distT="0" distB="0" distL="0" distR="0" wp14:anchorId="67A12678" wp14:editId="2C4DBE09">
            <wp:extent cx="4599454" cy="2738718"/>
            <wp:effectExtent l="0" t="0" r="0" b="508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2FC7" w:rsidRPr="00824A83" w:rsidRDefault="00AE2FC7" w:rsidP="00633936">
      <w:pPr>
        <w:pStyle w:val="Heading2"/>
      </w:pPr>
      <w:bookmarkStart w:id="129" w:name="_Toc409771616"/>
      <w:bookmarkStart w:id="130" w:name="_Toc423086471"/>
      <w:r w:rsidRPr="00824A83">
        <w:t xml:space="preserve">Service </w:t>
      </w:r>
      <w:r w:rsidR="007E3216" w:rsidRPr="00824A83">
        <w:t>target performance incentive scheme</w:t>
      </w:r>
      <w:bookmarkEnd w:id="129"/>
      <w:bookmarkEnd w:id="130"/>
    </w:p>
    <w:p w:rsidR="007E3216" w:rsidRPr="00824A83" w:rsidRDefault="007E3216" w:rsidP="007E3216">
      <w:r>
        <w:t xml:space="preserve">We </w:t>
      </w:r>
      <w:r w:rsidRPr="00824A83">
        <w:t>appl</w:t>
      </w:r>
      <w:r>
        <w:t>y</w:t>
      </w:r>
      <w:r w:rsidRPr="00824A83">
        <w:t xml:space="preserve"> </w:t>
      </w:r>
      <w:r>
        <w:t>our</w:t>
      </w:r>
      <w:r w:rsidRPr="00824A83">
        <w:t xml:space="preserve"> service target performance incentive scheme (STPIS) as part of </w:t>
      </w:r>
      <w:r>
        <w:t>our</w:t>
      </w:r>
      <w:r w:rsidRPr="00824A83">
        <w:t xml:space="preserve"> distribution determinations. </w:t>
      </w:r>
      <w:r>
        <w:t>With the flexibility to deal with each network's different operating environment, t</w:t>
      </w:r>
      <w:r w:rsidRPr="00824A83">
        <w:t>he STPIS applies</w:t>
      </w:r>
      <w:r>
        <w:t xml:space="preserve"> to DNSPs</w:t>
      </w:r>
      <w:r w:rsidRPr="00824A83">
        <w:t xml:space="preserve"> in Queensland, South Australia, Tasmania and Victoria.</w:t>
      </w:r>
      <w:r>
        <w:t xml:space="preserve"> It </w:t>
      </w:r>
      <w:r w:rsidRPr="00824A83">
        <w:t xml:space="preserve">encourages </w:t>
      </w:r>
      <w:r>
        <w:t>the</w:t>
      </w:r>
      <w:r w:rsidRPr="00824A83">
        <w:t xml:space="preserve"> DNSP</w:t>
      </w:r>
      <w:r>
        <w:t>s</w:t>
      </w:r>
      <w:r w:rsidRPr="00824A83">
        <w:t xml:space="preserve"> to maintain or improve </w:t>
      </w:r>
      <w:r>
        <w:t>their</w:t>
      </w:r>
      <w:r w:rsidRPr="00824A83">
        <w:t xml:space="preserve"> service performance </w:t>
      </w:r>
      <w:r>
        <w:t>when</w:t>
      </w:r>
      <w:r w:rsidRPr="00824A83">
        <w:t xml:space="preserve"> customers are willing to pay for these improvements. </w:t>
      </w:r>
    </w:p>
    <w:p w:rsidR="007E3216" w:rsidRPr="00824A83" w:rsidRDefault="007E3216" w:rsidP="007E3216">
      <w:r w:rsidRPr="00824A83">
        <w:t>The capital intensive nature of distribution networks makes it prohibitively expensive to build sufficient capacity to avoid all interruptions. In addition, the impact of a distribution outage tends to be localised to part of the network, compared with the potentially widespread impact of a generation or transmission outage. For these reasons, distribution outages should be kept to efficient levels</w:t>
      </w:r>
      <w:r w:rsidRPr="007E3216">
        <w:t>—</w:t>
      </w:r>
      <w:r w:rsidRPr="00824A83">
        <w:t>based on the value of reliability to the community</w:t>
      </w:r>
      <w:r>
        <w:t>,</w:t>
      </w:r>
      <w:r w:rsidRPr="00824A83">
        <w:t xml:space="preserve"> and the willingness of customers to pay</w:t>
      </w:r>
      <w:r w:rsidRPr="007E3216">
        <w:t>—</w:t>
      </w:r>
      <w:r w:rsidRPr="00824A83">
        <w:t>rather than</w:t>
      </w:r>
      <w:r>
        <w:t xml:space="preserve"> a DNSP</w:t>
      </w:r>
      <w:r w:rsidRPr="00824A83">
        <w:t xml:space="preserve"> try to eliminate every possible interruption. In some instances</w:t>
      </w:r>
      <w:r>
        <w:t>,</w:t>
      </w:r>
      <w:r w:rsidRPr="00824A83">
        <w:t xml:space="preserve"> compensat</w:t>
      </w:r>
      <w:r>
        <w:t>ing</w:t>
      </w:r>
      <w:r w:rsidRPr="00824A83">
        <w:t xml:space="preserve"> customers after an interruption </w:t>
      </w:r>
      <w:r>
        <w:t>is more efficient</w:t>
      </w:r>
      <w:r w:rsidRPr="00824A83">
        <w:t xml:space="preserve"> than build</w:t>
      </w:r>
      <w:r>
        <w:t>ing</w:t>
      </w:r>
      <w:r w:rsidRPr="00824A83">
        <w:t xml:space="preserve"> sufficient network capacity to avoid all interruptions.</w:t>
      </w:r>
    </w:p>
    <w:p w:rsidR="007E3216" w:rsidRPr="00824A83" w:rsidRDefault="007E3216" w:rsidP="007E3216">
      <w:r w:rsidRPr="00824A83">
        <w:t xml:space="preserve">While the regulatory regime encourages a DNSP to improve its operating and capital efficiency, the STPIS provides a mechanism to determine whether reductions in expenditure represent real efficiency gains, or </w:t>
      </w:r>
      <w:r>
        <w:t>are</w:t>
      </w:r>
      <w:r w:rsidRPr="00824A83">
        <w:t xml:space="preserve"> achieved at the expense of service performance for customers.</w:t>
      </w:r>
      <w:r>
        <w:t xml:space="preserve"> It</w:t>
      </w:r>
      <w:r w:rsidRPr="00824A83">
        <w:t xml:space="preserve"> </w:t>
      </w:r>
      <w:r>
        <w:t>covers</w:t>
      </w:r>
      <w:r w:rsidRPr="00824A83">
        <w:t xml:space="preserve"> four service components:</w:t>
      </w:r>
    </w:p>
    <w:p w:rsidR="007E3216" w:rsidRPr="00824A83" w:rsidRDefault="007E3216" w:rsidP="006B385B">
      <w:pPr>
        <w:pStyle w:val="ListBullet"/>
      </w:pPr>
      <w:r w:rsidRPr="00824A83">
        <w:t>reliability of supply</w:t>
      </w:r>
    </w:p>
    <w:p w:rsidR="007E3216" w:rsidRPr="00824A83" w:rsidRDefault="007E3216" w:rsidP="006B385B">
      <w:pPr>
        <w:pStyle w:val="ListBullet"/>
      </w:pPr>
      <w:r w:rsidRPr="00824A83">
        <w:t>customer service</w:t>
      </w:r>
    </w:p>
    <w:p w:rsidR="007E3216" w:rsidRPr="00824A83" w:rsidRDefault="007E3216" w:rsidP="006B385B">
      <w:pPr>
        <w:pStyle w:val="ListBullet"/>
      </w:pPr>
      <w:r w:rsidRPr="00824A83">
        <w:t>quality of supply</w:t>
      </w:r>
    </w:p>
    <w:p w:rsidR="007E3216" w:rsidRPr="00824A83" w:rsidRDefault="007E3216" w:rsidP="006B385B">
      <w:pPr>
        <w:pStyle w:val="ListBullet"/>
      </w:pPr>
      <w:proofErr w:type="gramStart"/>
      <w:r w:rsidRPr="00824A83">
        <w:t>guaranteed</w:t>
      </w:r>
      <w:proofErr w:type="gramEnd"/>
      <w:r w:rsidRPr="00824A83">
        <w:t xml:space="preserve"> service level (GSL).</w:t>
      </w:r>
    </w:p>
    <w:p w:rsidR="007E3216" w:rsidRPr="00824A83" w:rsidRDefault="007E3216" w:rsidP="007E3216">
      <w:r w:rsidRPr="00824A83">
        <w:t>To date</w:t>
      </w:r>
      <w:r>
        <w:t>,</w:t>
      </w:r>
      <w:r w:rsidRPr="00824A83">
        <w:t xml:space="preserve"> </w:t>
      </w:r>
      <w:r>
        <w:t>we have</w:t>
      </w:r>
      <w:r w:rsidRPr="00824A83">
        <w:t xml:space="preserve"> applied</w:t>
      </w:r>
      <w:r>
        <w:t xml:space="preserve"> only</w:t>
      </w:r>
      <w:r w:rsidRPr="00824A83">
        <w:t xml:space="preserve"> the reliability of supply and customer service components of the STPIS in </w:t>
      </w:r>
      <w:r>
        <w:t>our</w:t>
      </w:r>
      <w:r w:rsidRPr="00824A83">
        <w:t xml:space="preserve"> distribution determinations. </w:t>
      </w:r>
      <w:r>
        <w:t>We have</w:t>
      </w:r>
      <w:r w:rsidRPr="00824A83">
        <w:t xml:space="preserve"> not applied the quality of service component </w:t>
      </w:r>
      <w:r>
        <w:t>because</w:t>
      </w:r>
      <w:r w:rsidRPr="00824A83">
        <w:t xml:space="preserve"> many networks do not have the equipment to measure the required performance parameters. </w:t>
      </w:r>
      <w:r>
        <w:t>We have</w:t>
      </w:r>
      <w:r w:rsidRPr="00824A83">
        <w:t xml:space="preserve"> also not applied the GSL component </w:t>
      </w:r>
      <w:r>
        <w:t>because</w:t>
      </w:r>
      <w:r w:rsidRPr="00824A83">
        <w:t xml:space="preserve"> all jurisdictions continue to maintain their own GSL schemes. </w:t>
      </w:r>
      <w:r>
        <w:t>Our</w:t>
      </w:r>
      <w:r w:rsidRPr="00824A83">
        <w:t xml:space="preserve"> scheme will apply to a jurisdiction </w:t>
      </w:r>
      <w:r>
        <w:t xml:space="preserve">only </w:t>
      </w:r>
      <w:r w:rsidRPr="00824A83">
        <w:t>when a jurisdictional scheme is revoked.</w:t>
      </w:r>
      <w:r>
        <w:t xml:space="preserve"> </w:t>
      </w:r>
    </w:p>
    <w:p w:rsidR="007E3216" w:rsidRPr="00824A83" w:rsidRDefault="007E3216" w:rsidP="007E3216">
      <w:r w:rsidRPr="00824A83">
        <w:t>Under the reliability of supply and customer service components, a DNSP's revenue is increased (or decreased) based on changes in service performance (</w:t>
      </w:r>
      <w:r w:rsidR="00A51A6F">
        <w:t>s–factor</w:t>
      </w:r>
      <w:r w:rsidRPr="00824A83">
        <w:t xml:space="preserve">), </w:t>
      </w:r>
      <w:r>
        <w:t>which we</w:t>
      </w:r>
      <w:r w:rsidRPr="00824A83">
        <w:t xml:space="preserve"> assess</w:t>
      </w:r>
      <w:r>
        <w:t xml:space="preserve"> each year</w:t>
      </w:r>
      <w:r w:rsidRPr="00824A83">
        <w:t xml:space="preserve"> in accordance with the STPIS. Positive </w:t>
      </w:r>
      <w:r w:rsidR="00A51A6F">
        <w:t>s–factor</w:t>
      </w:r>
      <w:r w:rsidRPr="00824A83">
        <w:t>s represent an increase in allowable revenue (rewards) while negative s</w:t>
      </w:r>
      <w:r>
        <w:t>–</w:t>
      </w:r>
      <w:r w:rsidRPr="00824A83">
        <w:t>factors represent a reduction in allowable revenue (penalties). The STPIS provides financial bonuses and penalties of up to ±7</w:t>
      </w:r>
      <w:r>
        <w:t> </w:t>
      </w:r>
      <w:r w:rsidRPr="00824A83">
        <w:t xml:space="preserve">per cent of revenue to DNSPs that exceed (or fail to meet) performance targets, depending on the revenue at risk </w:t>
      </w:r>
      <w:r>
        <w:t>that we approve</w:t>
      </w:r>
      <w:r w:rsidRPr="00824A83">
        <w:t xml:space="preserve"> </w:t>
      </w:r>
      <w:r>
        <w:t>in our distribution deter</w:t>
      </w:r>
      <w:r w:rsidRPr="00824A83">
        <w:t xml:space="preserve">mination. </w:t>
      </w:r>
    </w:p>
    <w:p w:rsidR="007E3216" w:rsidRDefault="007E3216" w:rsidP="007E3216">
      <w:r>
        <w:t>T</w:t>
      </w:r>
      <w:r w:rsidRPr="00824A83">
        <w:t>he STPIS</w:t>
      </w:r>
      <w:r>
        <w:t xml:space="preserve"> uses</w:t>
      </w:r>
      <w:r w:rsidRPr="00824A83">
        <w:t xml:space="preserve"> reliability of supply targets </w:t>
      </w:r>
      <w:r>
        <w:t xml:space="preserve">that are based on the SAIDI and SAIFI, plus the momentary average interruption frequency index (MAIFI). The targets are applied at the network level and categorised </w:t>
      </w:r>
      <w:r w:rsidRPr="00824A83">
        <w:t>according to feeder type (</w:t>
      </w:r>
      <w:r>
        <w:t>Table 8</w:t>
      </w:r>
      <w:r w:rsidRPr="00824A83">
        <w:t xml:space="preserve">–2 and </w:t>
      </w:r>
      <w:r>
        <w:t>Table 8</w:t>
      </w:r>
      <w:r w:rsidRPr="00824A83">
        <w:t>–3)</w:t>
      </w:r>
      <w:r>
        <w:t>, to</w:t>
      </w:r>
      <w:r w:rsidRPr="00824A83">
        <w:t xml:space="preserve"> accommodate network</w:t>
      </w:r>
      <w:r>
        <w:t>-</w:t>
      </w:r>
      <w:r w:rsidRPr="00824A83">
        <w:t xml:space="preserve">specific circumstances. </w:t>
      </w:r>
      <w:proofErr w:type="spellStart"/>
      <w:r w:rsidRPr="00824A83">
        <w:t>TasNetworks</w:t>
      </w:r>
      <w:proofErr w:type="spellEnd"/>
      <w:r w:rsidRPr="00824A83">
        <w:t xml:space="preserve"> is unique in the NEM </w:t>
      </w:r>
      <w:r>
        <w:t>because</w:t>
      </w:r>
      <w:r w:rsidRPr="00824A83">
        <w:t xml:space="preserve"> its network is divided into five community categories instead of the four feeder types in </w:t>
      </w:r>
      <w:r>
        <w:t>Table 8</w:t>
      </w:r>
      <w:r w:rsidRPr="00824A83">
        <w:t xml:space="preserve">–2. These community categories </w:t>
      </w:r>
      <w:r>
        <w:t>align</w:t>
      </w:r>
      <w:r w:rsidRPr="00824A83">
        <w:t xml:space="preserve"> with the supply reliability categories in the Tasmanian Electricity Code (</w:t>
      </w:r>
      <w:r>
        <w:t>Table 8</w:t>
      </w:r>
      <w:r w:rsidRPr="00824A83">
        <w:t>–3).</w:t>
      </w:r>
    </w:p>
    <w:p w:rsidR="006B385B" w:rsidRDefault="006B385B" w:rsidP="007E3216"/>
    <w:p w:rsidR="006B385B" w:rsidRDefault="006B385B" w:rsidP="007E3216"/>
    <w:p w:rsidR="00AE2FC7" w:rsidRDefault="00AE2FC7" w:rsidP="00972E3F">
      <w:pPr>
        <w:pStyle w:val="Caption"/>
      </w:pPr>
      <w:r>
        <w:t>Table 8</w:t>
      </w:r>
      <w:r w:rsidRPr="00824A83">
        <w:t>–2</w:t>
      </w:r>
      <w:r w:rsidRPr="00824A83">
        <w:tab/>
        <w:t>Network feeder categories</w:t>
      </w:r>
    </w:p>
    <w:tbl>
      <w:tblPr>
        <w:tblStyle w:val="AERTable-Text"/>
        <w:tblW w:w="0" w:type="auto"/>
        <w:tblLook w:val="04A0" w:firstRow="1" w:lastRow="0" w:firstColumn="1" w:lastColumn="0" w:noHBand="0" w:noVBand="1"/>
      </w:tblPr>
      <w:tblGrid>
        <w:gridCol w:w="2802"/>
        <w:gridCol w:w="6440"/>
      </w:tblGrid>
      <w:tr w:rsidR="005A6FD9" w:rsidTr="00EC56EF">
        <w:trPr>
          <w:cnfStyle w:val="100000000000" w:firstRow="1" w:lastRow="0" w:firstColumn="0" w:lastColumn="0" w:oddVBand="0" w:evenVBand="0" w:oddHBand="0" w:evenHBand="0" w:firstRowFirstColumn="0" w:firstRowLastColumn="0" w:lastRowFirstColumn="0" w:lastRowLastColumn="0"/>
        </w:trPr>
        <w:tc>
          <w:tcPr>
            <w:tcW w:w="2802" w:type="dxa"/>
          </w:tcPr>
          <w:p w:rsidR="005A6FD9" w:rsidRPr="005A6FD9" w:rsidRDefault="005A6FD9" w:rsidP="00972E3F">
            <w:pPr>
              <w:pStyle w:val="Tabletext"/>
              <w:keepLines/>
            </w:pPr>
            <w:r>
              <w:t>Feeder type</w:t>
            </w:r>
          </w:p>
        </w:tc>
        <w:tc>
          <w:tcPr>
            <w:tcW w:w="6440" w:type="dxa"/>
          </w:tcPr>
          <w:p w:rsidR="005A6FD9" w:rsidRPr="005A6FD9" w:rsidRDefault="005A6FD9" w:rsidP="00972E3F">
            <w:pPr>
              <w:pStyle w:val="Tabletext"/>
              <w:keepLines/>
            </w:pPr>
            <w:r w:rsidRPr="00AD28B5">
              <w:t>Definition</w:t>
            </w:r>
          </w:p>
        </w:tc>
      </w:tr>
      <w:tr w:rsidR="005A6FD9" w:rsidTr="00EC56EF">
        <w:tc>
          <w:tcPr>
            <w:tcW w:w="2802" w:type="dxa"/>
          </w:tcPr>
          <w:p w:rsidR="005A6FD9" w:rsidRPr="005A6FD9" w:rsidRDefault="005A6FD9" w:rsidP="00972E3F">
            <w:pPr>
              <w:pStyle w:val="Tabletext"/>
              <w:keepLines/>
            </w:pPr>
            <w:r>
              <w:t>CBD</w:t>
            </w:r>
          </w:p>
        </w:tc>
        <w:tc>
          <w:tcPr>
            <w:tcW w:w="6440" w:type="dxa"/>
          </w:tcPr>
          <w:p w:rsidR="005A6FD9" w:rsidRPr="005A6FD9" w:rsidRDefault="005A6FD9" w:rsidP="00972E3F">
            <w:pPr>
              <w:pStyle w:val="Tabletext"/>
              <w:keepLines/>
            </w:pPr>
            <w:r w:rsidRPr="00397C37">
              <w:t>a feeder supplying predominantly commercial, high-rise buildings,</w:t>
            </w:r>
            <w:r w:rsidRPr="005A6FD9">
              <w:t xml:space="preserve"> supplied by a predominantly underground distribution network containing significant interconnection and redundancy when compared to urban areas.</w:t>
            </w:r>
          </w:p>
        </w:tc>
      </w:tr>
      <w:tr w:rsidR="005A6FD9" w:rsidTr="00EC56EF">
        <w:trPr>
          <w:cnfStyle w:val="000000010000" w:firstRow="0" w:lastRow="0" w:firstColumn="0" w:lastColumn="0" w:oddVBand="0" w:evenVBand="0" w:oddHBand="0" w:evenHBand="1" w:firstRowFirstColumn="0" w:firstRowLastColumn="0" w:lastRowFirstColumn="0" w:lastRowLastColumn="0"/>
        </w:trPr>
        <w:tc>
          <w:tcPr>
            <w:tcW w:w="2802" w:type="dxa"/>
          </w:tcPr>
          <w:p w:rsidR="005A6FD9" w:rsidRPr="005A6FD9" w:rsidRDefault="005A6FD9" w:rsidP="00972E3F">
            <w:pPr>
              <w:pStyle w:val="Tabletext"/>
              <w:keepLines/>
            </w:pPr>
            <w:r>
              <w:t>Urban</w:t>
            </w:r>
          </w:p>
        </w:tc>
        <w:tc>
          <w:tcPr>
            <w:tcW w:w="6440" w:type="dxa"/>
          </w:tcPr>
          <w:p w:rsidR="005A6FD9" w:rsidRPr="005A6FD9" w:rsidRDefault="005A6FD9" w:rsidP="00972E3F">
            <w:pPr>
              <w:pStyle w:val="Tabletext"/>
              <w:keepLines/>
            </w:pPr>
            <w:r w:rsidRPr="00397C37">
              <w:t>a feeder, which is not a CBD feeder, with actual maximum demand</w:t>
            </w:r>
            <w:r w:rsidRPr="005A6FD9">
              <w:t xml:space="preserve"> over the reporting period per total feeder route length greater than 0.3 MVA/km.</w:t>
            </w:r>
          </w:p>
        </w:tc>
      </w:tr>
      <w:tr w:rsidR="005A6FD9" w:rsidTr="00EC56EF">
        <w:tc>
          <w:tcPr>
            <w:tcW w:w="2802" w:type="dxa"/>
          </w:tcPr>
          <w:p w:rsidR="005A6FD9" w:rsidRPr="005A6FD9" w:rsidRDefault="005A6FD9" w:rsidP="00972E3F">
            <w:pPr>
              <w:pStyle w:val="Tabletext"/>
              <w:keepLines/>
            </w:pPr>
            <w:r>
              <w:t>Short rural</w:t>
            </w:r>
          </w:p>
        </w:tc>
        <w:tc>
          <w:tcPr>
            <w:tcW w:w="6440" w:type="dxa"/>
          </w:tcPr>
          <w:p w:rsidR="005A6FD9" w:rsidRPr="005A6FD9" w:rsidRDefault="005A6FD9" w:rsidP="00972E3F">
            <w:pPr>
              <w:pStyle w:val="Tabletext"/>
              <w:keepLines/>
            </w:pPr>
            <w:r w:rsidRPr="00397C37">
              <w:t>a feeder which is not a CBD or urban feeder with a total feeder</w:t>
            </w:r>
            <w:r w:rsidRPr="005A6FD9">
              <w:t xml:space="preserve"> route length less than 200 km.</w:t>
            </w:r>
          </w:p>
        </w:tc>
      </w:tr>
      <w:tr w:rsidR="005A6FD9" w:rsidTr="00EC56EF">
        <w:trPr>
          <w:cnfStyle w:val="000000010000" w:firstRow="0" w:lastRow="0" w:firstColumn="0" w:lastColumn="0" w:oddVBand="0" w:evenVBand="0" w:oddHBand="0" w:evenHBand="1" w:firstRowFirstColumn="0" w:firstRowLastColumn="0" w:lastRowFirstColumn="0" w:lastRowLastColumn="0"/>
        </w:trPr>
        <w:tc>
          <w:tcPr>
            <w:tcW w:w="2802" w:type="dxa"/>
          </w:tcPr>
          <w:p w:rsidR="005A6FD9" w:rsidRPr="005A6FD9" w:rsidRDefault="005A6FD9" w:rsidP="00972E3F">
            <w:pPr>
              <w:pStyle w:val="Tabletext"/>
              <w:keepLines/>
            </w:pPr>
            <w:r>
              <w:t>Long rural</w:t>
            </w:r>
          </w:p>
        </w:tc>
        <w:tc>
          <w:tcPr>
            <w:tcW w:w="6440" w:type="dxa"/>
          </w:tcPr>
          <w:p w:rsidR="005A6FD9" w:rsidRPr="005A6FD9" w:rsidRDefault="005A6FD9" w:rsidP="00972E3F">
            <w:pPr>
              <w:pStyle w:val="Tabletext"/>
              <w:keepLines/>
            </w:pPr>
            <w:r w:rsidRPr="00145656">
              <w:t>a feeder which is not a CBD or urban feeder with a total feeder</w:t>
            </w:r>
            <w:r w:rsidRPr="005A6FD9">
              <w:t xml:space="preserve"> route length greater than 200 km.</w:t>
            </w:r>
          </w:p>
        </w:tc>
      </w:tr>
    </w:tbl>
    <w:p w:rsidR="00AE2FC7" w:rsidRDefault="00AE2FC7" w:rsidP="00972E3F">
      <w:pPr>
        <w:pStyle w:val="Caption"/>
      </w:pPr>
      <w:r>
        <w:t>Table 8</w:t>
      </w:r>
      <w:r w:rsidRPr="00C9440F">
        <w:t>–3</w:t>
      </w:r>
      <w:r w:rsidRPr="00C9440F">
        <w:tab/>
        <w:t xml:space="preserve">Network feeder categories </w:t>
      </w:r>
      <w:r w:rsidR="007A3240">
        <w:t>–</w:t>
      </w:r>
      <w:r w:rsidRPr="00C9440F">
        <w:t xml:space="preserve"> </w:t>
      </w:r>
      <w:proofErr w:type="spellStart"/>
      <w:r w:rsidRPr="00C9440F">
        <w:t>TasNetworks</w:t>
      </w:r>
      <w:proofErr w:type="spellEnd"/>
    </w:p>
    <w:tbl>
      <w:tblPr>
        <w:tblStyle w:val="AERTable-Text"/>
        <w:tblW w:w="0" w:type="auto"/>
        <w:tblLook w:val="04A0" w:firstRow="1" w:lastRow="0" w:firstColumn="1" w:lastColumn="0" w:noHBand="0" w:noVBand="1"/>
      </w:tblPr>
      <w:tblGrid>
        <w:gridCol w:w="2802"/>
        <w:gridCol w:w="6440"/>
      </w:tblGrid>
      <w:tr w:rsidR="005A6FD9" w:rsidTr="004F7680">
        <w:trPr>
          <w:cnfStyle w:val="100000000000" w:firstRow="1" w:lastRow="0" w:firstColumn="0" w:lastColumn="0" w:oddVBand="0" w:evenVBand="0" w:oddHBand="0" w:evenHBand="0" w:firstRowFirstColumn="0" w:firstRowLastColumn="0" w:lastRowFirstColumn="0" w:lastRowLastColumn="0"/>
        </w:trPr>
        <w:tc>
          <w:tcPr>
            <w:tcW w:w="2802" w:type="dxa"/>
          </w:tcPr>
          <w:p w:rsidR="005A6FD9" w:rsidRPr="005A6FD9" w:rsidRDefault="005A6FD9" w:rsidP="005A6FD9">
            <w:pPr>
              <w:pStyle w:val="Tabletext"/>
            </w:pPr>
            <w:r>
              <w:t>Community category</w:t>
            </w:r>
          </w:p>
        </w:tc>
        <w:tc>
          <w:tcPr>
            <w:tcW w:w="6440" w:type="dxa"/>
          </w:tcPr>
          <w:p w:rsidR="005A6FD9" w:rsidRPr="005A6FD9" w:rsidRDefault="005A6FD9" w:rsidP="005A6FD9">
            <w:pPr>
              <w:pStyle w:val="Tabletext"/>
            </w:pPr>
            <w:r w:rsidRPr="00AD28B5">
              <w:t>Definition</w:t>
            </w:r>
          </w:p>
        </w:tc>
      </w:tr>
      <w:tr w:rsidR="005A6FD9" w:rsidTr="004F7680">
        <w:tc>
          <w:tcPr>
            <w:tcW w:w="2802" w:type="dxa"/>
          </w:tcPr>
          <w:p w:rsidR="005A6FD9" w:rsidRPr="005A6FD9" w:rsidRDefault="005A6FD9" w:rsidP="005A6FD9">
            <w:pPr>
              <w:pStyle w:val="Tabletext"/>
            </w:pPr>
            <w:r>
              <w:t>Critical infrastructure</w:t>
            </w:r>
          </w:p>
        </w:tc>
        <w:tc>
          <w:tcPr>
            <w:tcW w:w="6440" w:type="dxa"/>
          </w:tcPr>
          <w:p w:rsidR="005A6FD9" w:rsidRPr="005A6FD9" w:rsidRDefault="006B385B" w:rsidP="006B385B">
            <w:pPr>
              <w:pStyle w:val="Tabletext"/>
            </w:pPr>
            <w:r>
              <w:t>c</w:t>
            </w:r>
            <w:r w:rsidR="005A6FD9" w:rsidRPr="005A6FD9">
              <w:t>overs a small part of the Hobart CBD encompassing most State centres for emergency services and disaster recovery</w:t>
            </w:r>
          </w:p>
        </w:tc>
      </w:tr>
      <w:tr w:rsidR="005A6FD9" w:rsidTr="004F7680">
        <w:trPr>
          <w:cnfStyle w:val="000000010000" w:firstRow="0" w:lastRow="0" w:firstColumn="0" w:lastColumn="0" w:oddVBand="0" w:evenVBand="0" w:oddHBand="0" w:evenHBand="1" w:firstRowFirstColumn="0" w:firstRowLastColumn="0" w:lastRowFirstColumn="0" w:lastRowLastColumn="0"/>
        </w:trPr>
        <w:tc>
          <w:tcPr>
            <w:tcW w:w="2802" w:type="dxa"/>
          </w:tcPr>
          <w:p w:rsidR="005A6FD9" w:rsidRPr="005A6FD9" w:rsidRDefault="005A6FD9" w:rsidP="005A6FD9">
            <w:pPr>
              <w:pStyle w:val="Tabletext"/>
            </w:pPr>
            <w:r>
              <w:t xml:space="preserve">High density </w:t>
            </w:r>
            <w:r w:rsidRPr="005A6FD9">
              <w:t>commercial</w:t>
            </w:r>
          </w:p>
        </w:tc>
        <w:tc>
          <w:tcPr>
            <w:tcW w:w="6440" w:type="dxa"/>
          </w:tcPr>
          <w:p w:rsidR="005A6FD9" w:rsidRPr="005A6FD9" w:rsidRDefault="006B385B" w:rsidP="006B385B">
            <w:pPr>
              <w:pStyle w:val="Tabletext"/>
            </w:pPr>
            <w:r>
              <w:t>a</w:t>
            </w:r>
            <w:r w:rsidR="005A6FD9" w:rsidRPr="005A6FD9">
              <w:t>reas of high annual consumption commensurate with the CBDs of the State’s cities</w:t>
            </w:r>
          </w:p>
        </w:tc>
      </w:tr>
      <w:tr w:rsidR="005A6FD9" w:rsidTr="004F7680">
        <w:tc>
          <w:tcPr>
            <w:tcW w:w="2802" w:type="dxa"/>
          </w:tcPr>
          <w:p w:rsidR="005A6FD9" w:rsidRPr="005A6FD9" w:rsidRDefault="005A6FD9" w:rsidP="005A6FD9">
            <w:pPr>
              <w:pStyle w:val="Tabletext"/>
            </w:pPr>
            <w:r>
              <w:t>Urban</w:t>
            </w:r>
          </w:p>
        </w:tc>
        <w:tc>
          <w:tcPr>
            <w:tcW w:w="6440" w:type="dxa"/>
          </w:tcPr>
          <w:p w:rsidR="005A6FD9" w:rsidRPr="005A6FD9" w:rsidRDefault="006B385B" w:rsidP="006B385B">
            <w:pPr>
              <w:pStyle w:val="Tabletext"/>
            </w:pPr>
            <w:r>
              <w:t>a</w:t>
            </w:r>
            <w:r w:rsidR="005A6FD9" w:rsidRPr="005A6FD9">
              <w:t xml:space="preserve"> city, town or other urban centre with annual electricity consumption at or higher than the electricity consumption density within the existing urban areas under the jurisdictional GSL scheme</w:t>
            </w:r>
          </w:p>
        </w:tc>
      </w:tr>
      <w:tr w:rsidR="005A6FD9" w:rsidTr="004F7680">
        <w:trPr>
          <w:cnfStyle w:val="000000010000" w:firstRow="0" w:lastRow="0" w:firstColumn="0" w:lastColumn="0" w:oddVBand="0" w:evenVBand="0" w:oddHBand="0" w:evenHBand="1" w:firstRowFirstColumn="0" w:firstRowLastColumn="0" w:lastRowFirstColumn="0" w:lastRowLastColumn="0"/>
        </w:trPr>
        <w:tc>
          <w:tcPr>
            <w:tcW w:w="2802" w:type="dxa"/>
          </w:tcPr>
          <w:p w:rsidR="005A6FD9" w:rsidRPr="005A6FD9" w:rsidRDefault="005A6FD9" w:rsidP="005A6FD9">
            <w:pPr>
              <w:pStyle w:val="Tabletext"/>
            </w:pPr>
            <w:r>
              <w:t>High density rural</w:t>
            </w:r>
          </w:p>
        </w:tc>
        <w:tc>
          <w:tcPr>
            <w:tcW w:w="6440" w:type="dxa"/>
          </w:tcPr>
          <w:p w:rsidR="005A6FD9" w:rsidRPr="005A6FD9" w:rsidRDefault="006B385B" w:rsidP="006B385B">
            <w:pPr>
              <w:pStyle w:val="Tabletext"/>
            </w:pPr>
            <w:r>
              <w:t>hi</w:t>
            </w:r>
            <w:r w:rsidR="005A6FD9" w:rsidRPr="005A6FD9">
              <w:t>gher consumption rural areas and low-density peri-urban areas</w:t>
            </w:r>
          </w:p>
        </w:tc>
      </w:tr>
      <w:tr w:rsidR="005A6FD9" w:rsidTr="004F7680">
        <w:tc>
          <w:tcPr>
            <w:tcW w:w="2802" w:type="dxa"/>
          </w:tcPr>
          <w:p w:rsidR="005A6FD9" w:rsidRPr="005A6FD9" w:rsidRDefault="005A6FD9" w:rsidP="005A6FD9">
            <w:pPr>
              <w:pStyle w:val="Tabletext"/>
            </w:pPr>
            <w:r>
              <w:t>Low density rural</w:t>
            </w:r>
          </w:p>
        </w:tc>
        <w:tc>
          <w:tcPr>
            <w:tcW w:w="6440" w:type="dxa"/>
          </w:tcPr>
          <w:p w:rsidR="005A6FD9" w:rsidRPr="005A6FD9" w:rsidRDefault="006B385B" w:rsidP="006B385B">
            <w:pPr>
              <w:pStyle w:val="Tabletext"/>
            </w:pPr>
            <w:r>
              <w:t>t</w:t>
            </w:r>
            <w:r w:rsidR="005A6FD9" w:rsidRPr="005A6FD9">
              <w:t>he remaining regions of the State</w:t>
            </w:r>
          </w:p>
        </w:tc>
      </w:tr>
    </w:tbl>
    <w:p w:rsidR="00AE2FC7" w:rsidRPr="00C9440F" w:rsidRDefault="00AE2FC7" w:rsidP="00EC56EF">
      <w:pPr>
        <w:pStyle w:val="Heading3"/>
      </w:pPr>
      <w:bookmarkStart w:id="131" w:name="_Toc409771617"/>
      <w:bookmarkStart w:id="132" w:name="_Toc412790567"/>
      <w:bookmarkStart w:id="133" w:name="_Toc413062048"/>
      <w:bookmarkStart w:id="134" w:name="_Toc413311052"/>
      <w:bookmarkStart w:id="135" w:name="_Toc423086472"/>
      <w:r w:rsidRPr="00C9440F">
        <w:t>Excluded events</w:t>
      </w:r>
      <w:bookmarkEnd w:id="131"/>
      <w:bookmarkEnd w:id="132"/>
      <w:bookmarkEnd w:id="133"/>
      <w:bookmarkEnd w:id="134"/>
      <w:bookmarkEnd w:id="135"/>
    </w:p>
    <w:p w:rsidR="00226AA7" w:rsidRPr="00C9440F" w:rsidRDefault="00226AA7" w:rsidP="00226AA7">
      <w:bookmarkStart w:id="136" w:name="_Toc409771618"/>
      <w:bookmarkStart w:id="137" w:name="_Toc413062049"/>
      <w:bookmarkStart w:id="138" w:name="_Toc413311053"/>
      <w:r w:rsidRPr="00C9440F">
        <w:t>The STPIS allows for</w:t>
      </w:r>
      <w:r w:rsidRPr="00853D68">
        <w:t xml:space="preserve"> </w:t>
      </w:r>
      <w:r w:rsidRPr="00C9440F">
        <w:t xml:space="preserve">the calculation of </w:t>
      </w:r>
      <w:r w:rsidR="00A51A6F">
        <w:t>s–factor</w:t>
      </w:r>
      <w:r w:rsidRPr="00C9440F">
        <w:t xml:space="preserve"> rewards (or penalties) </w:t>
      </w:r>
      <w:r>
        <w:t xml:space="preserve">to exclude the impact </w:t>
      </w:r>
      <w:r w:rsidR="00D35600">
        <w:t xml:space="preserve">of </w:t>
      </w:r>
      <w:r w:rsidRPr="00C9440F">
        <w:t>certain events</w:t>
      </w:r>
      <w:r>
        <w:t xml:space="preserve"> that are</w:t>
      </w:r>
      <w:r w:rsidRPr="00C9440F">
        <w:t xml:space="preserve"> beyond the DNSP's control</w:t>
      </w:r>
      <w:r>
        <w:t xml:space="preserve"> (excluded events)</w:t>
      </w:r>
      <w:r w:rsidRPr="00C9440F">
        <w:t>.</w:t>
      </w:r>
      <w:r>
        <w:t xml:space="preserve"> Excluded events</w:t>
      </w:r>
      <w:r w:rsidRPr="00C9440F">
        <w:t xml:space="preserve"> includ</w:t>
      </w:r>
      <w:r>
        <w:t>e</w:t>
      </w:r>
      <w:r w:rsidRPr="00C9440F">
        <w:t xml:space="preserve">: </w:t>
      </w:r>
    </w:p>
    <w:p w:rsidR="00226AA7" w:rsidRPr="00C9440F" w:rsidRDefault="00226AA7" w:rsidP="00EC56EF">
      <w:pPr>
        <w:pStyle w:val="ListBullet"/>
      </w:pPr>
      <w:r w:rsidRPr="00C9440F">
        <w:t>load shedding due to a generation shortfall</w:t>
      </w:r>
    </w:p>
    <w:p w:rsidR="00226AA7" w:rsidRPr="00C9440F" w:rsidRDefault="00226AA7" w:rsidP="00EC56EF">
      <w:pPr>
        <w:pStyle w:val="ListBullet"/>
      </w:pPr>
      <w:r w:rsidRPr="00C9440F">
        <w:t>load interruptions caused by a failure of the shared transmission network or transmission connection assets</w:t>
      </w:r>
    </w:p>
    <w:p w:rsidR="00226AA7" w:rsidRPr="00C9440F" w:rsidRDefault="00226AA7" w:rsidP="00EC56EF">
      <w:pPr>
        <w:pStyle w:val="ListBullet"/>
      </w:pPr>
      <w:proofErr w:type="gramStart"/>
      <w:r w:rsidRPr="00C9440F">
        <w:t>days</w:t>
      </w:r>
      <w:proofErr w:type="gramEnd"/>
      <w:r w:rsidRPr="00C9440F">
        <w:t xml:space="preserve"> </w:t>
      </w:r>
      <w:r>
        <w:t>when the</w:t>
      </w:r>
      <w:r w:rsidRPr="00C9440F">
        <w:t xml:space="preserve"> </w:t>
      </w:r>
      <w:r>
        <w:t>duration of interruptions is outside the normal range of outage duration experienced by customers on that network</w:t>
      </w:r>
      <w:r w:rsidRPr="00C9440F">
        <w:t>. This</w:t>
      </w:r>
      <w:r>
        <w:t xml:space="preserve"> will</w:t>
      </w:r>
      <w:r w:rsidRPr="00C9440F">
        <w:t xml:space="preserve"> often occur </w:t>
      </w:r>
      <w:r>
        <w:t>when</w:t>
      </w:r>
      <w:r w:rsidRPr="00C9440F">
        <w:t xml:space="preserve"> extreme weather events or natural disasters impact the network.</w:t>
      </w:r>
    </w:p>
    <w:p w:rsidR="00226AA7" w:rsidRDefault="00226AA7" w:rsidP="00226AA7">
      <w:r>
        <w:t xml:space="preserve">The s–factors are calculated after removing </w:t>
      </w:r>
      <w:r w:rsidRPr="00C9440F">
        <w:t>the impact of excluded events</w:t>
      </w:r>
      <w:r>
        <w:t xml:space="preserve"> from</w:t>
      </w:r>
      <w:r w:rsidRPr="00C9440F">
        <w:t xml:space="preserve"> SAIDI, SAIFI and MAIFI</w:t>
      </w:r>
      <w:r>
        <w:t xml:space="preserve"> to</w:t>
      </w:r>
      <w:r w:rsidRPr="00C9440F">
        <w:t xml:space="preserve"> determin</w:t>
      </w:r>
      <w:r>
        <w:t>e a ‘normalised’</w:t>
      </w:r>
      <w:r w:rsidRPr="00C9440F">
        <w:t xml:space="preserve"> level of DNSP reliability. </w:t>
      </w:r>
    </w:p>
    <w:p w:rsidR="00226AA7" w:rsidRDefault="00226AA7" w:rsidP="00226AA7">
      <w:r>
        <w:t>However, t</w:t>
      </w:r>
      <w:r w:rsidRPr="009E6E22">
        <w:t xml:space="preserve">he normalised SAIDI </w:t>
      </w:r>
      <w:r>
        <w:t xml:space="preserve">and </w:t>
      </w:r>
      <w:r w:rsidRPr="009E6E22">
        <w:t>SAIFI</w:t>
      </w:r>
      <w:r>
        <w:t xml:space="preserve"> </w:t>
      </w:r>
      <w:r w:rsidRPr="009E6E22">
        <w:t xml:space="preserve">data </w:t>
      </w:r>
      <w:r w:rsidR="006567A6">
        <w:t xml:space="preserve">for </w:t>
      </w:r>
      <w:proofErr w:type="spellStart"/>
      <w:r w:rsidR="006567A6">
        <w:t>AusNet</w:t>
      </w:r>
      <w:proofErr w:type="spellEnd"/>
      <w:r w:rsidR="006567A6">
        <w:t xml:space="preserve"> Services and </w:t>
      </w:r>
      <w:proofErr w:type="spellStart"/>
      <w:r w:rsidR="006567A6">
        <w:t>Powercor</w:t>
      </w:r>
      <w:proofErr w:type="spellEnd"/>
      <w:r w:rsidR="006567A6">
        <w:t xml:space="preserve"> shown in this </w:t>
      </w:r>
      <w:proofErr w:type="gramStart"/>
      <w:r w:rsidR="006567A6">
        <w:t>report</w:t>
      </w:r>
      <w:r w:rsidRPr="009E6E22">
        <w:t>,</w:t>
      </w:r>
      <w:proofErr w:type="gramEnd"/>
      <w:r w:rsidRPr="009E6E22">
        <w:t xml:space="preserve"> </w:t>
      </w:r>
      <w:r>
        <w:t>is</w:t>
      </w:r>
      <w:r w:rsidRPr="009E6E22">
        <w:t xml:space="preserve"> calculated on </w:t>
      </w:r>
      <w:r>
        <w:t>a slightly different</w:t>
      </w:r>
      <w:r w:rsidRPr="009E6E22">
        <w:t xml:space="preserve"> basis </w:t>
      </w:r>
      <w:r>
        <w:t>to</w:t>
      </w:r>
      <w:r w:rsidRPr="009E6E22">
        <w:t xml:space="preserve"> other DNSPs.</w:t>
      </w:r>
      <w:r>
        <w:t xml:space="preserve"> </w:t>
      </w:r>
      <w:r w:rsidRPr="009E6E22">
        <w:t>The</w:t>
      </w:r>
      <w:r>
        <w:t xml:space="preserve">ir normalised </w:t>
      </w:r>
      <w:r w:rsidRPr="009E6E22">
        <w:t xml:space="preserve">results include events that would have been </w:t>
      </w:r>
      <w:r w:rsidR="006567A6">
        <w:t xml:space="preserve">defined as </w:t>
      </w:r>
      <w:r w:rsidRPr="009E6E22">
        <w:t>excluded</w:t>
      </w:r>
      <w:r w:rsidR="006567A6">
        <w:t xml:space="preserve"> events</w:t>
      </w:r>
      <w:r w:rsidRPr="009E6E22">
        <w:t xml:space="preserve"> for other DNSPs. </w:t>
      </w:r>
      <w:r>
        <w:t xml:space="preserve">Including the additional events means the normalised SAIDI and SAIFI data is higher for </w:t>
      </w:r>
      <w:proofErr w:type="spellStart"/>
      <w:r>
        <w:t>AusNet</w:t>
      </w:r>
      <w:proofErr w:type="spellEnd"/>
      <w:r>
        <w:t xml:space="preserve"> Services and </w:t>
      </w:r>
      <w:proofErr w:type="spellStart"/>
      <w:r>
        <w:t>Powercor</w:t>
      </w:r>
      <w:proofErr w:type="spellEnd"/>
      <w:r>
        <w:t>, than it would be if calculated on the same basis for other DNSPs.</w:t>
      </w:r>
    </w:p>
    <w:p w:rsidR="00226AA7" w:rsidRPr="009E6E22" w:rsidRDefault="00226AA7" w:rsidP="00226AA7">
      <w:r w:rsidRPr="009E6E22">
        <w:t>The method of identifying excluded events is discussed in detail in our STPIS</w:t>
      </w:r>
      <w:r>
        <w:t>.</w:t>
      </w:r>
      <w:r w:rsidRPr="009E6E22">
        <w:rPr>
          <w:rStyle w:val="FootnoteReference"/>
        </w:rPr>
        <w:footnoteReference w:id="13"/>
      </w:r>
      <w:r w:rsidRPr="009E6E22">
        <w:t xml:space="preserve"> </w:t>
      </w:r>
    </w:p>
    <w:p w:rsidR="007E3216" w:rsidRPr="00C9440F" w:rsidRDefault="007E3216" w:rsidP="00EC56EF">
      <w:pPr>
        <w:pStyle w:val="Heading3"/>
      </w:pPr>
      <w:bookmarkStart w:id="139" w:name="_Toc423086473"/>
      <w:r w:rsidRPr="00C9440F">
        <w:t>Network reliability</w:t>
      </w:r>
      <w:r w:rsidRPr="007E3216">
        <w:t>—</w:t>
      </w:r>
      <w:r>
        <w:t>u</w:t>
      </w:r>
      <w:r w:rsidRPr="00C9440F">
        <w:t>nplanned interruptions to supply (normalised)</w:t>
      </w:r>
      <w:bookmarkEnd w:id="136"/>
      <w:bookmarkEnd w:id="137"/>
      <w:bookmarkEnd w:id="138"/>
      <w:bookmarkEnd w:id="139"/>
    </w:p>
    <w:p w:rsidR="007E3216" w:rsidRPr="00C9440F" w:rsidRDefault="007E3216" w:rsidP="007E3216">
      <w:r>
        <w:t>Figure 8</w:t>
      </w:r>
      <w:r w:rsidRPr="00C9440F">
        <w:t>–3 shows the average (normalised) minutes off supply per customer for each DNSP over 2011</w:t>
      </w:r>
      <w:r>
        <w:t>–</w:t>
      </w:r>
      <w:r w:rsidRPr="00C9440F">
        <w:t xml:space="preserve">13. </w:t>
      </w:r>
      <w:r>
        <w:t>If</w:t>
      </w:r>
      <w:r w:rsidRPr="00C9440F">
        <w:t xml:space="preserve"> applicable</w:t>
      </w:r>
      <w:r>
        <w:t>, it shows</w:t>
      </w:r>
      <w:r w:rsidRPr="00C9440F">
        <w:t xml:space="preserve"> an average weighted target for each DNSP</w:t>
      </w:r>
      <w:r>
        <w:t xml:space="preserve">, to </w:t>
      </w:r>
      <w:r w:rsidRPr="00C9440F">
        <w:t xml:space="preserve">indicate how </w:t>
      </w:r>
      <w:r>
        <w:t xml:space="preserve">the DNSP </w:t>
      </w:r>
      <w:r w:rsidRPr="00C9440F">
        <w:t xml:space="preserve">performed against </w:t>
      </w:r>
      <w:r>
        <w:t>our STPIS targets</w:t>
      </w:r>
      <w:r w:rsidRPr="00C9440F">
        <w:t xml:space="preserve">. </w:t>
      </w:r>
      <w:r>
        <w:t>Because</w:t>
      </w:r>
      <w:r w:rsidRPr="00C9440F">
        <w:t xml:space="preserve"> the ACT and New South Wales DNSPs </w:t>
      </w:r>
      <w:r w:rsidR="00CE75B7">
        <w:t>we</w:t>
      </w:r>
      <w:r w:rsidR="00B20599">
        <w:t>re not subject to</w:t>
      </w:r>
      <w:r w:rsidRPr="00C9440F">
        <w:t xml:space="preserve"> the STPIS, </w:t>
      </w:r>
      <w:r>
        <w:t xml:space="preserve">we </w:t>
      </w:r>
      <w:r w:rsidR="00CE75B7">
        <w:t>did not set</w:t>
      </w:r>
      <w:r w:rsidRPr="00C9440F">
        <w:t xml:space="preserve"> targets </w:t>
      </w:r>
      <w:r>
        <w:t>for</w:t>
      </w:r>
      <w:r w:rsidRPr="00C9440F">
        <w:t xml:space="preserve"> their 2009</w:t>
      </w:r>
      <w:r>
        <w:t>–</w:t>
      </w:r>
      <w:r w:rsidRPr="00C9440F">
        <w:t xml:space="preserve">14 regulatory control </w:t>
      </w:r>
      <w:proofErr w:type="gramStart"/>
      <w:r w:rsidRPr="00C9440F">
        <w:t>period</w:t>
      </w:r>
      <w:proofErr w:type="gramEnd"/>
      <w:r w:rsidRPr="00C9440F">
        <w:t xml:space="preserve">. However, </w:t>
      </w:r>
      <w:r>
        <w:t>those jurisdictions</w:t>
      </w:r>
      <w:r w:rsidRPr="00C9440F">
        <w:t xml:space="preserve"> </w:t>
      </w:r>
      <w:r w:rsidR="00CE75B7">
        <w:t>we</w:t>
      </w:r>
      <w:r w:rsidR="00CE75B7" w:rsidRPr="00C9440F">
        <w:t xml:space="preserve">re </w:t>
      </w:r>
      <w:r w:rsidRPr="00C9440F">
        <w:t>required to collect data consistent with the scheme</w:t>
      </w:r>
      <w:r>
        <w:t>,</w:t>
      </w:r>
      <w:r w:rsidRPr="00C9440F">
        <w:t xml:space="preserve"> </w:t>
      </w:r>
      <w:r>
        <w:t>so we can apply the STPIS</w:t>
      </w:r>
      <w:r w:rsidRPr="00C9440F">
        <w:t xml:space="preserve"> to them in the </w:t>
      </w:r>
      <w:r w:rsidR="00CE75B7">
        <w:t>2015-19</w:t>
      </w:r>
      <w:r w:rsidR="00CE75B7" w:rsidRPr="00C9440F">
        <w:t xml:space="preserve"> </w:t>
      </w:r>
      <w:r w:rsidRPr="00C9440F">
        <w:t xml:space="preserve">regulatory control </w:t>
      </w:r>
      <w:proofErr w:type="gramStart"/>
      <w:r w:rsidRPr="00C9440F">
        <w:t>period</w:t>
      </w:r>
      <w:proofErr w:type="gramEnd"/>
      <w:r w:rsidRPr="00C9440F">
        <w:t xml:space="preserve">. </w:t>
      </w:r>
    </w:p>
    <w:p w:rsidR="007E3216" w:rsidRPr="00C9440F" w:rsidRDefault="007E3216" w:rsidP="007E3216">
      <w:r w:rsidRPr="00C9440F">
        <w:t>Note</w:t>
      </w:r>
      <w:r>
        <w:t xml:space="preserve"> that the</w:t>
      </w:r>
      <w:r w:rsidRPr="00C9440F">
        <w:t xml:space="preserve"> SAIDI and SAIFI targets shown in </w:t>
      </w:r>
      <w:r w:rsidR="009E3ACF">
        <w:t>Figures 8-3 and 8-4</w:t>
      </w:r>
      <w:r w:rsidRPr="00C9440F">
        <w:t xml:space="preserve"> </w:t>
      </w:r>
      <w:proofErr w:type="gramStart"/>
      <w:r w:rsidRPr="00C9440F">
        <w:t>indicat</w:t>
      </w:r>
      <w:r>
        <w:t>e</w:t>
      </w:r>
      <w:proofErr w:type="gramEnd"/>
      <w:r w:rsidRPr="00C9440F">
        <w:t xml:space="preserve"> the STPIS's maximum target</w:t>
      </w:r>
      <w:r>
        <w:t xml:space="preserve"> for</w:t>
      </w:r>
      <w:r w:rsidRPr="00C9440F">
        <w:t xml:space="preserve"> minutes off</w:t>
      </w:r>
      <w:r>
        <w:t xml:space="preserve"> </w:t>
      </w:r>
      <w:r w:rsidRPr="00C9440F">
        <w:t>/</w:t>
      </w:r>
      <w:r>
        <w:t xml:space="preserve"> </w:t>
      </w:r>
      <w:r w:rsidRPr="00C9440F">
        <w:t>interruptions to supply. Any DNSP achieving a reliability outcome below the</w:t>
      </w:r>
      <w:r>
        <w:t xml:space="preserve"> indicated</w:t>
      </w:r>
      <w:r w:rsidRPr="00C9440F">
        <w:t xml:space="preserve"> target performed well against the relative STPIS target.</w:t>
      </w:r>
      <w:r>
        <w:t xml:space="preserve">   </w:t>
      </w:r>
    </w:p>
    <w:p w:rsidR="00AE2FC7" w:rsidRDefault="00AE2FC7" w:rsidP="00972E3F">
      <w:pPr>
        <w:pStyle w:val="Caption"/>
      </w:pPr>
      <w:r>
        <w:t>Figure 8</w:t>
      </w:r>
      <w:r w:rsidRPr="00C9440F">
        <w:t>–3</w:t>
      </w:r>
      <w:r w:rsidRPr="00C9440F">
        <w:tab/>
        <w:t>Average unplanned network SAIDI (normalised)</w:t>
      </w:r>
      <w:r w:rsidR="004C4652">
        <w:t xml:space="preserve"> by DNSP</w:t>
      </w:r>
      <w:r w:rsidRPr="00C9440F">
        <w:t>, 2011</w:t>
      </w:r>
      <w:r w:rsidR="007A3240">
        <w:t>–</w:t>
      </w:r>
      <w:r w:rsidRPr="00C9440F">
        <w:t>13</w:t>
      </w:r>
    </w:p>
    <w:p w:rsidR="00AE2FC7" w:rsidRDefault="00236740" w:rsidP="00AE2FC7">
      <w:r w:rsidRPr="00236740">
        <w:rPr>
          <w:noProof/>
          <w:lang w:eastAsia="en-AU"/>
        </w:rPr>
        <w:drawing>
          <wp:inline distT="0" distB="0" distL="0" distR="0" wp14:anchorId="3D801D16" wp14:editId="76E8A935">
            <wp:extent cx="4572001" cy="274320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E2FC7" w:rsidRPr="00C9440F" w:rsidRDefault="00AE2FC7" w:rsidP="00AE2FC7">
      <w:r w:rsidRPr="00C9440F">
        <w:t>On average, over 2011</w:t>
      </w:r>
      <w:r w:rsidR="007A3240">
        <w:t>–</w:t>
      </w:r>
      <w:r w:rsidRPr="00C9440F">
        <w:t>13:</w:t>
      </w:r>
    </w:p>
    <w:p w:rsidR="00AE2FC7" w:rsidRPr="00C9440F" w:rsidRDefault="00AE2FC7" w:rsidP="00EC56EF">
      <w:pPr>
        <w:pStyle w:val="ListBullet"/>
      </w:pPr>
      <w:r w:rsidRPr="00C9440F">
        <w:t xml:space="preserve">Energex, SA Power Networks, JEN, </w:t>
      </w:r>
      <w:proofErr w:type="spellStart"/>
      <w:r w:rsidRPr="00C9440F">
        <w:t>Powercor</w:t>
      </w:r>
      <w:proofErr w:type="spellEnd"/>
      <w:r w:rsidRPr="00C9440F">
        <w:t xml:space="preserve"> and </w:t>
      </w:r>
      <w:proofErr w:type="spellStart"/>
      <w:r w:rsidRPr="00C9440F">
        <w:t>AusNet</w:t>
      </w:r>
      <w:proofErr w:type="spellEnd"/>
      <w:r w:rsidRPr="00C9440F">
        <w:t xml:space="preserve"> Services outperformed their (weighted) network SAIDI target.</w:t>
      </w:r>
    </w:p>
    <w:p w:rsidR="00AE2FC7" w:rsidRPr="00C9440F" w:rsidRDefault="00AE2FC7" w:rsidP="00EC56EF">
      <w:pPr>
        <w:pStyle w:val="ListBullet"/>
      </w:pPr>
      <w:proofErr w:type="spellStart"/>
      <w:r w:rsidRPr="00C9440F">
        <w:t>TasNetworks</w:t>
      </w:r>
      <w:proofErr w:type="spellEnd"/>
      <w:r w:rsidRPr="00C9440F">
        <w:t>' 2011</w:t>
      </w:r>
      <w:r w:rsidR="007A3240">
        <w:t>–</w:t>
      </w:r>
      <w:r w:rsidRPr="00C9440F">
        <w:t xml:space="preserve">13 average network SAIDI </w:t>
      </w:r>
      <w:r w:rsidR="004C4652">
        <w:t xml:space="preserve">result </w:t>
      </w:r>
      <w:r w:rsidRPr="00C9440F">
        <w:t>was better than its STPIS target</w:t>
      </w:r>
      <w:r w:rsidR="004C4652">
        <w:t>.</w:t>
      </w:r>
      <w:r w:rsidRPr="00C9440F">
        <w:t xml:space="preserve"> </w:t>
      </w:r>
      <w:r w:rsidR="00D35600" w:rsidRPr="00C9440F">
        <w:t xml:space="preserve">The </w:t>
      </w:r>
      <w:r w:rsidRPr="00C9440F">
        <w:t>target only appli</w:t>
      </w:r>
      <w:r w:rsidR="004C4652">
        <w:t>ed</w:t>
      </w:r>
      <w:r w:rsidRPr="00C9440F">
        <w:t xml:space="preserve"> in the 2013 regulatory year (that is, the first year of </w:t>
      </w:r>
      <w:proofErr w:type="spellStart"/>
      <w:r w:rsidR="004C4652">
        <w:t>TasNetworks</w:t>
      </w:r>
      <w:proofErr w:type="spellEnd"/>
      <w:r w:rsidR="004C4652">
        <w:t>'</w:t>
      </w:r>
      <w:r w:rsidRPr="00C9440F">
        <w:t xml:space="preserve"> current regulatory control period). </w:t>
      </w:r>
    </w:p>
    <w:p w:rsidR="00AE2FC7" w:rsidRDefault="00AE2FC7" w:rsidP="00EC56EF">
      <w:pPr>
        <w:pStyle w:val="ListBullet"/>
      </w:pPr>
      <w:r w:rsidRPr="00C9440F">
        <w:t xml:space="preserve">Ergon Energy, </w:t>
      </w:r>
      <w:proofErr w:type="spellStart"/>
      <w:r w:rsidRPr="00C9440F">
        <w:t>CitiPower</w:t>
      </w:r>
      <w:proofErr w:type="spellEnd"/>
      <w:r w:rsidRPr="00C9440F">
        <w:t xml:space="preserve"> and United Energy did not meet their (weighted) network SAIDI target.</w:t>
      </w:r>
    </w:p>
    <w:p w:rsidR="00B24279" w:rsidRPr="00C9440F" w:rsidRDefault="008A37E6" w:rsidP="00D96BB0">
      <w:pPr>
        <w:pStyle w:val="Bulletpoint"/>
      </w:pPr>
      <w:proofErr w:type="spellStart"/>
      <w:r>
        <w:t>ActewAGL</w:t>
      </w:r>
      <w:proofErr w:type="spellEnd"/>
      <w:r>
        <w:t>,</w:t>
      </w:r>
      <w:r w:rsidR="00D96BB0">
        <w:t xml:space="preserve"> </w:t>
      </w:r>
      <w:proofErr w:type="spellStart"/>
      <w:r w:rsidR="00D96BB0">
        <w:t>Ausgrid</w:t>
      </w:r>
      <w:proofErr w:type="spellEnd"/>
      <w:r w:rsidR="00D96BB0">
        <w:t xml:space="preserve"> </w:t>
      </w:r>
      <w:r w:rsidR="00B24279">
        <w:t>and Essential Energy</w:t>
      </w:r>
      <w:r w:rsidR="00D96BB0">
        <w:t xml:space="preserve">’s 2012-13 </w:t>
      </w:r>
      <w:r w:rsidR="00D96BB0" w:rsidRPr="00D96BB0">
        <w:t xml:space="preserve">unplanned minutes off supply </w:t>
      </w:r>
      <w:r w:rsidR="00D96BB0">
        <w:t xml:space="preserve">outperformed or </w:t>
      </w:r>
      <w:r>
        <w:t>remained</w:t>
      </w:r>
      <w:r w:rsidR="00D96BB0">
        <w:t xml:space="preserve"> very close to their average previous five years results. </w:t>
      </w:r>
      <w:r>
        <w:t xml:space="preserve">However, </w:t>
      </w:r>
      <w:r w:rsidR="00D96BB0">
        <w:t>Endeavour Energy</w:t>
      </w:r>
      <w:r>
        <w:t xml:space="preserve"> underperformed against its average previous five years results in 2012-13. </w:t>
      </w:r>
    </w:p>
    <w:p w:rsidR="00AE2FC7" w:rsidRDefault="00AE2FC7" w:rsidP="00972E3F">
      <w:pPr>
        <w:pStyle w:val="Caption"/>
      </w:pPr>
      <w:r>
        <w:t>Figure 8</w:t>
      </w:r>
      <w:r w:rsidRPr="00C9440F">
        <w:t xml:space="preserve">–4 </w:t>
      </w:r>
      <w:r w:rsidRPr="00C9440F">
        <w:tab/>
        <w:t>Average unplanned network SAIFI (normalised), 2011</w:t>
      </w:r>
      <w:r w:rsidR="007A3240">
        <w:t>–</w:t>
      </w:r>
      <w:r w:rsidRPr="00C9440F">
        <w:t>13</w:t>
      </w:r>
    </w:p>
    <w:p w:rsidR="00AE2FC7" w:rsidRDefault="00236740" w:rsidP="00AE2FC7">
      <w:r w:rsidRPr="00236740">
        <w:rPr>
          <w:noProof/>
          <w:lang w:eastAsia="en-AU"/>
        </w:rPr>
        <w:drawing>
          <wp:inline distT="0" distB="0" distL="0" distR="0" wp14:anchorId="56B05CC0" wp14:editId="46E30D63">
            <wp:extent cx="4572001" cy="2743200"/>
            <wp:effectExtent l="0" t="0" r="0" b="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C4652" w:rsidRPr="00C9440F" w:rsidRDefault="004C4652" w:rsidP="004C4652">
      <w:bookmarkStart w:id="140" w:name="_Toc409771619"/>
      <w:bookmarkStart w:id="141" w:name="_Toc412790569"/>
      <w:r w:rsidRPr="00C9440F">
        <w:t>On average, over 2011</w:t>
      </w:r>
      <w:r>
        <w:t>–</w:t>
      </w:r>
      <w:r w:rsidRPr="00C9440F">
        <w:t>13:</w:t>
      </w:r>
    </w:p>
    <w:p w:rsidR="004C4652" w:rsidRPr="00C9440F" w:rsidRDefault="004C4652" w:rsidP="00EC56EF">
      <w:pPr>
        <w:pStyle w:val="ListBullet"/>
      </w:pPr>
      <w:r w:rsidRPr="00C9440F">
        <w:t xml:space="preserve">Energex, Ergon Energy, SA Power Networks, JEN, </w:t>
      </w:r>
      <w:proofErr w:type="spellStart"/>
      <w:r w:rsidRPr="00C9440F">
        <w:t>Powercor</w:t>
      </w:r>
      <w:proofErr w:type="spellEnd"/>
      <w:r w:rsidRPr="00C9440F">
        <w:t xml:space="preserve"> and </w:t>
      </w:r>
      <w:proofErr w:type="spellStart"/>
      <w:r w:rsidRPr="00C9440F">
        <w:t>AusNet</w:t>
      </w:r>
      <w:proofErr w:type="spellEnd"/>
      <w:r w:rsidRPr="00C9440F">
        <w:t xml:space="preserve"> Services outperformed their (weighted) network SAIFI target.</w:t>
      </w:r>
    </w:p>
    <w:p w:rsidR="004C4652" w:rsidRPr="00C9440F" w:rsidRDefault="004C4652" w:rsidP="00EC56EF">
      <w:pPr>
        <w:pStyle w:val="ListBullet"/>
      </w:pPr>
      <w:proofErr w:type="spellStart"/>
      <w:r w:rsidRPr="00C9440F">
        <w:t>TasNetworks</w:t>
      </w:r>
      <w:proofErr w:type="spellEnd"/>
      <w:r w:rsidRPr="00C9440F">
        <w:t>' 2011</w:t>
      </w:r>
      <w:r>
        <w:t>–</w:t>
      </w:r>
      <w:r w:rsidRPr="00C9440F">
        <w:t xml:space="preserve">13 average </w:t>
      </w:r>
      <w:proofErr w:type="gramStart"/>
      <w:r w:rsidRPr="00C9440F">
        <w:t>network</w:t>
      </w:r>
      <w:proofErr w:type="gramEnd"/>
      <w:r w:rsidRPr="00C9440F">
        <w:t xml:space="preserve"> SAIFI was better than its STPIS target</w:t>
      </w:r>
      <w:r>
        <w:t xml:space="preserve">, but </w:t>
      </w:r>
      <w:r w:rsidRPr="00C9440F">
        <w:t xml:space="preserve">the target </w:t>
      </w:r>
      <w:r>
        <w:t>applied only</w:t>
      </w:r>
      <w:r w:rsidRPr="00C9440F">
        <w:t xml:space="preserve"> in the 2013 regulatory year. </w:t>
      </w:r>
    </w:p>
    <w:p w:rsidR="004C4652" w:rsidRDefault="004C4652" w:rsidP="00EC56EF">
      <w:pPr>
        <w:pStyle w:val="ListBullet"/>
      </w:pPr>
      <w:proofErr w:type="spellStart"/>
      <w:r w:rsidRPr="00C9440F">
        <w:t>CitiPower</w:t>
      </w:r>
      <w:proofErr w:type="spellEnd"/>
      <w:r w:rsidRPr="00C9440F">
        <w:t xml:space="preserve"> and United Energy did not meet their (weighted) network SAIFI target.</w:t>
      </w:r>
    </w:p>
    <w:p w:rsidR="008A37E6" w:rsidRPr="00C9440F" w:rsidRDefault="008A37E6" w:rsidP="00EC56EF">
      <w:pPr>
        <w:pStyle w:val="ListBullet"/>
      </w:pPr>
      <w:proofErr w:type="spellStart"/>
      <w:r>
        <w:t>ActewAGL</w:t>
      </w:r>
      <w:proofErr w:type="spellEnd"/>
      <w:r>
        <w:t xml:space="preserve">, </w:t>
      </w:r>
      <w:proofErr w:type="spellStart"/>
      <w:r>
        <w:t>Ausgrid</w:t>
      </w:r>
      <w:proofErr w:type="spellEnd"/>
      <w:r>
        <w:t xml:space="preserve"> and Essential Energy’s 2012-13 </w:t>
      </w:r>
      <w:r w:rsidRPr="00D96BB0">
        <w:t>unplanned interruptions to supply</w:t>
      </w:r>
      <w:r>
        <w:t xml:space="preserve"> outperformed their average previous five years results. However, Endeavour Energy underperformed against its average previous five years results in 2012-13. </w:t>
      </w:r>
    </w:p>
    <w:p w:rsidR="004C4652" w:rsidRPr="00C9440F" w:rsidRDefault="004C4652" w:rsidP="004C4652">
      <w:r w:rsidRPr="00C9440F">
        <w:t>Aggregated network reliability for a single DNSP may mask significant variations in the experience of customers in different parts of the network. For this reason</w:t>
      </w:r>
      <w:r>
        <w:t>,</w:t>
      </w:r>
      <w:r w:rsidRPr="00C9440F">
        <w:t xml:space="preserve"> it is useful to consider reliability by feeder type. Note that </w:t>
      </w:r>
      <w:proofErr w:type="spellStart"/>
      <w:r w:rsidRPr="00C9440F">
        <w:t>TasNetworks</w:t>
      </w:r>
      <w:proofErr w:type="spellEnd"/>
      <w:r w:rsidRPr="00C9440F">
        <w:t>' network is divided into five community categories</w:t>
      </w:r>
      <w:r>
        <w:t xml:space="preserve"> </w:t>
      </w:r>
      <w:r w:rsidRPr="00C9440F">
        <w:t>(</w:t>
      </w:r>
      <w:r>
        <w:t>Table 8</w:t>
      </w:r>
      <w:r w:rsidRPr="00C9440F">
        <w:t xml:space="preserve">–3) instead of the four feeder types applied to the other </w:t>
      </w:r>
      <w:r>
        <w:t>DNSPs</w:t>
      </w:r>
      <w:r w:rsidRPr="00C9440F">
        <w:t>.</w:t>
      </w:r>
      <w:r>
        <w:t xml:space="preserve"> </w:t>
      </w:r>
    </w:p>
    <w:p w:rsidR="00AE2FC7" w:rsidRPr="00C9440F" w:rsidRDefault="00AE2FC7" w:rsidP="00EC56EF">
      <w:pPr>
        <w:pStyle w:val="Heading4"/>
      </w:pPr>
      <w:bookmarkStart w:id="142" w:name="_Toc413062050"/>
      <w:bookmarkStart w:id="143" w:name="_Toc413311054"/>
      <w:r w:rsidRPr="00C9440F">
        <w:t xml:space="preserve">CBD feeder reliability </w:t>
      </w:r>
      <w:r w:rsidR="007A3240">
        <w:t>–</w:t>
      </w:r>
      <w:r w:rsidRPr="00C9440F">
        <w:t xml:space="preserve"> Unplanned interruptions to supply (normalised)</w:t>
      </w:r>
      <w:bookmarkEnd w:id="140"/>
      <w:bookmarkEnd w:id="141"/>
      <w:bookmarkEnd w:id="142"/>
      <w:bookmarkEnd w:id="143"/>
    </w:p>
    <w:p w:rsidR="005639BC" w:rsidRPr="00C9440F" w:rsidRDefault="008057D3" w:rsidP="005639BC">
      <w:r w:rsidRPr="00C9440F">
        <w:t xml:space="preserve">The STPIS defines a </w:t>
      </w:r>
      <w:r>
        <w:t>central business district (</w:t>
      </w:r>
      <w:r w:rsidRPr="00C9440F">
        <w:t>CBD</w:t>
      </w:r>
      <w:r>
        <w:t>)</w:t>
      </w:r>
      <w:r w:rsidRPr="00C9440F">
        <w:t xml:space="preserve"> feeder as a feeder supplying predominantly commercial, high</w:t>
      </w:r>
      <w:r>
        <w:t xml:space="preserve"> </w:t>
      </w:r>
      <w:r w:rsidRPr="00C9440F">
        <w:t xml:space="preserve">rise buildings, </w:t>
      </w:r>
      <w:r>
        <w:t xml:space="preserve">and </w:t>
      </w:r>
      <w:r w:rsidRPr="00C9440F">
        <w:t xml:space="preserve">supplied by a predominantly underground distribution network containing significant interconnection and redundancy compared </w:t>
      </w:r>
      <w:r>
        <w:t>with</w:t>
      </w:r>
      <w:r w:rsidRPr="00C9440F">
        <w:t xml:space="preserve"> urban areas. Customers on CBD feeders account for approximately 1</w:t>
      </w:r>
      <w:r>
        <w:t> </w:t>
      </w:r>
      <w:r w:rsidRPr="00C9440F">
        <w:t xml:space="preserve">per cent of total network customers in the NEM. Only those DNSPs whose networks supply capital cities have CBD feeders, as shown in </w:t>
      </w:r>
      <w:r>
        <w:t>F</w:t>
      </w:r>
      <w:r w:rsidRPr="00C9440F">
        <w:t xml:space="preserve">igures </w:t>
      </w:r>
      <w:r>
        <w:t>8</w:t>
      </w:r>
      <w:r w:rsidRPr="008057D3">
        <w:t>‒</w:t>
      </w:r>
      <w:r>
        <w:t>5</w:t>
      </w:r>
      <w:r w:rsidRPr="00C9440F">
        <w:t xml:space="preserve"> and </w:t>
      </w:r>
      <w:r>
        <w:t>8</w:t>
      </w:r>
      <w:r w:rsidRPr="008057D3">
        <w:t>‒</w:t>
      </w:r>
      <w:r w:rsidRPr="00C9440F">
        <w:t>6.</w:t>
      </w:r>
      <w:r w:rsidR="005639BC" w:rsidRPr="005639BC">
        <w:t xml:space="preserve"> </w:t>
      </w:r>
      <w:r w:rsidR="005639BC" w:rsidRPr="00C9440F">
        <w:t xml:space="preserve">On average, over </w:t>
      </w:r>
      <w:r w:rsidR="009E3ACF">
        <w:br/>
      </w:r>
      <w:r w:rsidR="005639BC" w:rsidRPr="00C9440F">
        <w:t>2011</w:t>
      </w:r>
      <w:r w:rsidR="005639BC">
        <w:t>–</w:t>
      </w:r>
      <w:r w:rsidR="005639BC" w:rsidRPr="00C9440F">
        <w:t xml:space="preserve">13 Energex, SA Power Networks and </w:t>
      </w:r>
      <w:proofErr w:type="spellStart"/>
      <w:r w:rsidR="005639BC" w:rsidRPr="00C9440F">
        <w:t>CitiPower</w:t>
      </w:r>
      <w:proofErr w:type="spellEnd"/>
      <w:r w:rsidR="005639BC" w:rsidRPr="00C9440F">
        <w:t xml:space="preserve"> outperformed their CBD feeder STPIS targets.</w:t>
      </w:r>
    </w:p>
    <w:p w:rsidR="00AE2FC7" w:rsidRDefault="00AE2FC7" w:rsidP="00972E3F">
      <w:pPr>
        <w:pStyle w:val="Caption"/>
      </w:pPr>
      <w:r>
        <w:t>Figure 8</w:t>
      </w:r>
      <w:r w:rsidRPr="00C9440F">
        <w:t>–5</w:t>
      </w:r>
      <w:r w:rsidRPr="00C9440F">
        <w:tab/>
        <w:t>Average unplanned CBD feeder minutes off supply (normalised), 2011</w:t>
      </w:r>
      <w:r w:rsidR="007A3240">
        <w:t>–</w:t>
      </w:r>
      <w:r w:rsidRPr="00C9440F">
        <w:t>13</w:t>
      </w:r>
    </w:p>
    <w:p w:rsidR="00AE2FC7" w:rsidRDefault="00236740" w:rsidP="00AE2FC7">
      <w:r w:rsidRPr="00236740">
        <w:rPr>
          <w:noProof/>
          <w:lang w:eastAsia="en-AU"/>
        </w:rPr>
        <w:drawing>
          <wp:inline distT="0" distB="0" distL="0" distR="0" wp14:anchorId="0F856E6D" wp14:editId="0CEA0ED0">
            <wp:extent cx="4572000" cy="2743200"/>
            <wp:effectExtent l="0" t="0" r="0" b="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2FC7" w:rsidRDefault="00AE2FC7" w:rsidP="00972E3F">
      <w:pPr>
        <w:pStyle w:val="Caption"/>
      </w:pPr>
      <w:r>
        <w:t>Figure 8</w:t>
      </w:r>
      <w:r w:rsidRPr="00C9440F">
        <w:t>–6</w:t>
      </w:r>
      <w:r w:rsidRPr="00C9440F">
        <w:tab/>
        <w:t>Average unplanned CBD feeder interruptions to supply (normalised), 2011</w:t>
      </w:r>
      <w:r w:rsidR="007A3240">
        <w:t>–</w:t>
      </w:r>
      <w:r w:rsidRPr="00C9440F">
        <w:t>13</w:t>
      </w:r>
    </w:p>
    <w:p w:rsidR="00AE2FC7" w:rsidRDefault="00236740" w:rsidP="00AE2FC7">
      <w:r w:rsidRPr="00236740">
        <w:rPr>
          <w:noProof/>
          <w:lang w:eastAsia="en-AU"/>
        </w:rPr>
        <w:drawing>
          <wp:inline distT="0" distB="0" distL="0" distR="0" wp14:anchorId="0A46F26B" wp14:editId="5ECEB6D4">
            <wp:extent cx="4572000" cy="2743200"/>
            <wp:effectExtent l="0" t="0" r="0" b="0"/>
            <wp:docPr id="447" name="Chart 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2FC7" w:rsidRPr="00C9440F" w:rsidRDefault="00AE2FC7" w:rsidP="00EC56EF">
      <w:pPr>
        <w:pStyle w:val="Heading4"/>
      </w:pPr>
      <w:bookmarkStart w:id="144" w:name="_Toc409771620"/>
      <w:bookmarkStart w:id="145" w:name="_Toc412790570"/>
      <w:bookmarkStart w:id="146" w:name="_Toc413062051"/>
      <w:bookmarkStart w:id="147" w:name="_Toc413311055"/>
      <w:r w:rsidRPr="00C9440F">
        <w:t>Urban feeder</w:t>
      </w:r>
      <w:r w:rsidR="005639BC">
        <w:t xml:space="preserve"> reliability</w:t>
      </w:r>
      <w:r w:rsidRPr="00C9440F">
        <w:t xml:space="preserve"> </w:t>
      </w:r>
      <w:r w:rsidR="007A3240">
        <w:t>–</w:t>
      </w:r>
      <w:r w:rsidRPr="00C9440F">
        <w:t xml:space="preserve"> Unplanned interruptions to supply (normalised)</w:t>
      </w:r>
      <w:bookmarkEnd w:id="144"/>
      <w:bookmarkEnd w:id="145"/>
      <w:bookmarkEnd w:id="146"/>
      <w:bookmarkEnd w:id="147"/>
      <w:r w:rsidRPr="00C9440F">
        <w:t xml:space="preserve"> </w:t>
      </w:r>
    </w:p>
    <w:p w:rsidR="005639BC" w:rsidRDefault="00AE2FC7" w:rsidP="005639BC">
      <w:r w:rsidRPr="00C9440F">
        <w:t>The STPIS defines an urban feeder as a feeder, which is not a CBD feeder, with actual maximum demand over the reporting period per total feede</w:t>
      </w:r>
      <w:r w:rsidR="005639BC">
        <w:t>r route length greater than 0.3 </w:t>
      </w:r>
      <w:r w:rsidRPr="00C9440F">
        <w:t>MVA/km. Customers on urban feeders account for approximately 67 per cent of total network customers in the NEM. All DNSPs have urban feeders.</w:t>
      </w:r>
      <w:r w:rsidR="005639BC">
        <w:t xml:space="preserve"> </w:t>
      </w:r>
    </w:p>
    <w:p w:rsidR="005639BC" w:rsidRPr="00C9440F" w:rsidRDefault="005639BC" w:rsidP="005639BC">
      <w:r w:rsidRPr="00C9440F">
        <w:t>On average, over 2011</w:t>
      </w:r>
      <w:r>
        <w:t>–</w:t>
      </w:r>
      <w:r w:rsidRPr="00C9440F">
        <w:t>13</w:t>
      </w:r>
      <w:r>
        <w:t xml:space="preserve"> (Figures 8-7 and 8-8)</w:t>
      </w:r>
      <w:r w:rsidRPr="00C9440F">
        <w:t>:</w:t>
      </w:r>
    </w:p>
    <w:p w:rsidR="005639BC" w:rsidRPr="00C9440F" w:rsidRDefault="005639BC" w:rsidP="003D2729">
      <w:pPr>
        <w:pStyle w:val="ListBullet"/>
      </w:pPr>
      <w:r w:rsidRPr="00C9440F">
        <w:t xml:space="preserve">Energex, Ergon Energy, JEN, </w:t>
      </w:r>
      <w:proofErr w:type="spellStart"/>
      <w:r w:rsidRPr="00C9440F">
        <w:t>Powercor</w:t>
      </w:r>
      <w:proofErr w:type="spellEnd"/>
      <w:r w:rsidRPr="00C9440F">
        <w:t xml:space="preserve"> and </w:t>
      </w:r>
      <w:proofErr w:type="spellStart"/>
      <w:r w:rsidRPr="00C9440F">
        <w:t>AusNet</w:t>
      </w:r>
      <w:proofErr w:type="spellEnd"/>
      <w:r w:rsidRPr="00C9440F">
        <w:t xml:space="preserve"> Services outperformed their urban feeder </w:t>
      </w:r>
      <w:r>
        <w:t xml:space="preserve">STPIS </w:t>
      </w:r>
      <w:r w:rsidRPr="00C9440F">
        <w:t>targets.</w:t>
      </w:r>
    </w:p>
    <w:p w:rsidR="005639BC" w:rsidRPr="00C9440F" w:rsidRDefault="005639BC" w:rsidP="003D2729">
      <w:pPr>
        <w:pStyle w:val="ListBullet"/>
      </w:pPr>
      <w:proofErr w:type="spellStart"/>
      <w:r w:rsidRPr="00C9440F">
        <w:t>TasNetworks</w:t>
      </w:r>
      <w:proofErr w:type="spellEnd"/>
      <w:r w:rsidRPr="00C9440F">
        <w:t>' 2011</w:t>
      </w:r>
      <w:r>
        <w:t>–</w:t>
      </w:r>
      <w:r w:rsidRPr="00C9440F">
        <w:t>13 average urban community category performance was better than its STPIS target</w:t>
      </w:r>
      <w:r>
        <w:t>. But</w:t>
      </w:r>
      <w:r w:rsidRPr="00C9440F">
        <w:t xml:space="preserve"> the targets </w:t>
      </w:r>
      <w:r>
        <w:t>applied only</w:t>
      </w:r>
      <w:r w:rsidRPr="00C9440F">
        <w:t xml:space="preserve"> in the 2013 regulatory year.</w:t>
      </w:r>
    </w:p>
    <w:p w:rsidR="005639BC" w:rsidRPr="00C9440F" w:rsidRDefault="005639BC" w:rsidP="003D2729">
      <w:pPr>
        <w:pStyle w:val="ListBullet"/>
      </w:pPr>
      <w:r w:rsidRPr="00C9440F">
        <w:t>SA Power Networks and United Energy outperformed their urban feeder SAIFI target but did not meet their urban feeder SAIDI target.</w:t>
      </w:r>
    </w:p>
    <w:p w:rsidR="005639BC" w:rsidRPr="00C9440F" w:rsidRDefault="005639BC" w:rsidP="003D2729">
      <w:pPr>
        <w:pStyle w:val="ListBullet"/>
      </w:pPr>
      <w:proofErr w:type="spellStart"/>
      <w:r w:rsidRPr="00C9440F">
        <w:t>CitiPower</w:t>
      </w:r>
      <w:proofErr w:type="spellEnd"/>
      <w:r w:rsidRPr="00C9440F">
        <w:t xml:space="preserve"> did not meet either</w:t>
      </w:r>
      <w:r>
        <w:t xml:space="preserve"> of</w:t>
      </w:r>
      <w:r w:rsidRPr="00C9440F">
        <w:t xml:space="preserve"> its urban feeder SAIDI </w:t>
      </w:r>
      <w:r>
        <w:t>and</w:t>
      </w:r>
      <w:r w:rsidRPr="00C9440F">
        <w:t xml:space="preserve"> SAIFI targets.</w:t>
      </w:r>
    </w:p>
    <w:p w:rsidR="00AE2FC7" w:rsidRDefault="00AE2FC7" w:rsidP="00972E3F">
      <w:pPr>
        <w:pStyle w:val="Caption"/>
      </w:pPr>
      <w:r>
        <w:t>Figure 8</w:t>
      </w:r>
      <w:r w:rsidRPr="00C9440F">
        <w:t>–7</w:t>
      </w:r>
      <w:r w:rsidRPr="00C9440F">
        <w:tab/>
        <w:t>Average unplanned urban feeder minutes off supply (normalised), 2011</w:t>
      </w:r>
      <w:r w:rsidR="007A3240">
        <w:t>–</w:t>
      </w:r>
      <w:r w:rsidRPr="00C9440F">
        <w:t>13</w:t>
      </w:r>
    </w:p>
    <w:p w:rsidR="00AE2FC7" w:rsidRDefault="00236740" w:rsidP="00AE2FC7">
      <w:r w:rsidRPr="00236740">
        <w:rPr>
          <w:noProof/>
          <w:lang w:eastAsia="en-AU"/>
        </w:rPr>
        <w:drawing>
          <wp:inline distT="0" distB="0" distL="0" distR="0" wp14:anchorId="3B48D98E" wp14:editId="74CEDDB2">
            <wp:extent cx="4571999" cy="2743200"/>
            <wp:effectExtent l="0" t="0" r="635" b="0"/>
            <wp:docPr id="446" name="Chart 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E2FC7" w:rsidRDefault="00AE2FC7" w:rsidP="00972E3F">
      <w:pPr>
        <w:pStyle w:val="Caption"/>
      </w:pPr>
      <w:r>
        <w:t>Figure 8</w:t>
      </w:r>
      <w:r w:rsidRPr="00C9440F">
        <w:t>–8</w:t>
      </w:r>
      <w:r w:rsidRPr="00C9440F">
        <w:tab/>
        <w:t>Average unplanned urban feeder interruptions to supply (normalised), 2011</w:t>
      </w:r>
      <w:r w:rsidR="007A3240">
        <w:t>–</w:t>
      </w:r>
      <w:r w:rsidRPr="00C9440F">
        <w:t>13</w:t>
      </w:r>
    </w:p>
    <w:p w:rsidR="00AE2FC7" w:rsidRDefault="00386662" w:rsidP="00AE2FC7">
      <w:r>
        <w:rPr>
          <w:noProof/>
          <w:lang w:eastAsia="en-AU"/>
        </w:rPr>
        <w:drawing>
          <wp:inline distT="0" distB="0" distL="0" distR="0" wp14:anchorId="3F1BEFF3" wp14:editId="2DD1018A">
            <wp:extent cx="4571999" cy="2743200"/>
            <wp:effectExtent l="0" t="0" r="63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E2FC7" w:rsidRPr="00C9440F" w:rsidRDefault="00AE2FC7" w:rsidP="00EC56EF">
      <w:pPr>
        <w:pStyle w:val="Heading4"/>
      </w:pPr>
      <w:bookmarkStart w:id="148" w:name="_Toc409771621"/>
      <w:bookmarkStart w:id="149" w:name="_Toc412790571"/>
      <w:bookmarkStart w:id="150" w:name="_Toc413062052"/>
      <w:bookmarkStart w:id="151" w:name="_Toc413311056"/>
      <w:r w:rsidRPr="00C9440F">
        <w:t xml:space="preserve">Short rural feeder </w:t>
      </w:r>
      <w:r w:rsidR="005639BC">
        <w:t xml:space="preserve">reliability </w:t>
      </w:r>
      <w:r w:rsidR="007A3240">
        <w:t>–</w:t>
      </w:r>
      <w:r w:rsidRPr="00C9440F">
        <w:t xml:space="preserve"> </w:t>
      </w:r>
      <w:r w:rsidR="005639BC">
        <w:t>u</w:t>
      </w:r>
      <w:r w:rsidRPr="00C9440F">
        <w:t>nplanned interruptions to supply (normalised)</w:t>
      </w:r>
      <w:bookmarkEnd w:id="148"/>
      <w:bookmarkEnd w:id="149"/>
      <w:bookmarkEnd w:id="150"/>
      <w:bookmarkEnd w:id="151"/>
    </w:p>
    <w:p w:rsidR="005639BC" w:rsidRPr="00C9440F" w:rsidRDefault="005639BC" w:rsidP="005639BC">
      <w:r w:rsidRPr="00C9440F">
        <w:t xml:space="preserve">The STPIS defines a short rural feeder as a feeder </w:t>
      </w:r>
      <w:r>
        <w:t>that</w:t>
      </w:r>
      <w:r w:rsidRPr="00C9440F">
        <w:t xml:space="preserve"> is not a CBD or urban feeder </w:t>
      </w:r>
      <w:r>
        <w:t>and that has</w:t>
      </w:r>
      <w:r w:rsidRPr="00C9440F">
        <w:t xml:space="preserve"> a total feeder length </w:t>
      </w:r>
      <w:r>
        <w:t xml:space="preserve">of </w:t>
      </w:r>
      <w:r w:rsidRPr="00C9440F">
        <w:t xml:space="preserve">less than 200 </w:t>
      </w:r>
      <w:r>
        <w:t>kilometres</w:t>
      </w:r>
      <w:r w:rsidRPr="00C9440F">
        <w:t>. Customers on short rural feeders account for approximately 24</w:t>
      </w:r>
      <w:r>
        <w:t> </w:t>
      </w:r>
      <w:r w:rsidRPr="00C9440F">
        <w:t>per cent of total network customers in the NEM. Not all DNSPs have short rural feeders.</w:t>
      </w:r>
      <w:r w:rsidRPr="005639BC">
        <w:t xml:space="preserve"> </w:t>
      </w:r>
      <w:r w:rsidRPr="00C9440F">
        <w:t>On average, over 2011</w:t>
      </w:r>
      <w:r>
        <w:t>–</w:t>
      </w:r>
      <w:r w:rsidRPr="00C9440F">
        <w:t>13</w:t>
      </w:r>
      <w:r>
        <w:t xml:space="preserve"> (Figures 8-9 and 8-10)</w:t>
      </w:r>
      <w:r w:rsidRPr="00C9440F">
        <w:t>:</w:t>
      </w:r>
    </w:p>
    <w:p w:rsidR="005639BC" w:rsidRPr="00C9440F" w:rsidRDefault="005639BC" w:rsidP="003D2729">
      <w:pPr>
        <w:pStyle w:val="ListBullet"/>
      </w:pPr>
      <w:r w:rsidRPr="00C9440F">
        <w:t xml:space="preserve">Energex, JEN and </w:t>
      </w:r>
      <w:proofErr w:type="spellStart"/>
      <w:r w:rsidRPr="00C9440F">
        <w:t>AusNet</w:t>
      </w:r>
      <w:proofErr w:type="spellEnd"/>
      <w:r w:rsidRPr="00C9440F">
        <w:t xml:space="preserve"> Services outperformed their short rural feeder </w:t>
      </w:r>
      <w:r>
        <w:t xml:space="preserve">STPIS </w:t>
      </w:r>
      <w:r w:rsidRPr="00C9440F">
        <w:t>target</w:t>
      </w:r>
      <w:r>
        <w:t>s</w:t>
      </w:r>
      <w:r w:rsidRPr="00C9440F">
        <w:t>.</w:t>
      </w:r>
    </w:p>
    <w:p w:rsidR="005639BC" w:rsidRPr="00C9440F" w:rsidRDefault="005639BC" w:rsidP="003D2729">
      <w:pPr>
        <w:pStyle w:val="ListBullet"/>
      </w:pPr>
      <w:r w:rsidRPr="00C9440F">
        <w:t xml:space="preserve">Ergon Energy and </w:t>
      </w:r>
      <w:proofErr w:type="spellStart"/>
      <w:r w:rsidRPr="00C9440F">
        <w:t>Powercor</w:t>
      </w:r>
      <w:proofErr w:type="spellEnd"/>
      <w:r w:rsidRPr="00C9440F">
        <w:t xml:space="preserve"> outperformed their short rural feeder SAIFI target but failed to meet their short rural feeder SAIDI target.</w:t>
      </w:r>
    </w:p>
    <w:p w:rsidR="005639BC" w:rsidRPr="00C9440F" w:rsidRDefault="005639BC" w:rsidP="003D2729">
      <w:pPr>
        <w:pStyle w:val="ListBullet"/>
      </w:pPr>
      <w:r w:rsidRPr="00C9440F">
        <w:t xml:space="preserve">SA Power Networks and United Energy did not meet </w:t>
      </w:r>
      <w:r>
        <w:t xml:space="preserve">either of </w:t>
      </w:r>
      <w:r w:rsidRPr="00C9440F">
        <w:t>their short rural feeder SAIDI and SAIFI targets.</w:t>
      </w:r>
    </w:p>
    <w:p w:rsidR="00AE2FC7" w:rsidRDefault="00AE2FC7" w:rsidP="00972E3F">
      <w:pPr>
        <w:pStyle w:val="Caption"/>
      </w:pPr>
      <w:r>
        <w:t>Figure 8</w:t>
      </w:r>
      <w:r w:rsidRPr="00C9440F">
        <w:t>–9</w:t>
      </w:r>
      <w:r w:rsidRPr="00C9440F">
        <w:tab/>
        <w:t>Average unplanned short rural feeder minutes off supply (normalised), 2011</w:t>
      </w:r>
      <w:r w:rsidR="007A3240">
        <w:t>–</w:t>
      </w:r>
      <w:r w:rsidRPr="00C9440F">
        <w:t>13</w:t>
      </w:r>
    </w:p>
    <w:p w:rsidR="00AE2FC7" w:rsidRDefault="00236740" w:rsidP="00AE2FC7">
      <w:r w:rsidRPr="00236740">
        <w:rPr>
          <w:noProof/>
          <w:lang w:eastAsia="en-AU"/>
        </w:rPr>
        <w:drawing>
          <wp:inline distT="0" distB="0" distL="0" distR="0" wp14:anchorId="4634D0D1" wp14:editId="733BB8EA">
            <wp:extent cx="4572000" cy="2743200"/>
            <wp:effectExtent l="0" t="0" r="0" b="0"/>
            <wp:docPr id="444" name="Chart 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E2FC7" w:rsidRDefault="00AE2FC7" w:rsidP="00972E3F">
      <w:pPr>
        <w:pStyle w:val="Caption"/>
      </w:pPr>
      <w:r>
        <w:t>Figure 8</w:t>
      </w:r>
      <w:r w:rsidRPr="00C9440F">
        <w:t>–10</w:t>
      </w:r>
      <w:r w:rsidRPr="00C9440F">
        <w:tab/>
        <w:t>Average unplanned short rural feeder interruptions to supply (normalised), 2011</w:t>
      </w:r>
      <w:r w:rsidR="007A3240">
        <w:t>–</w:t>
      </w:r>
      <w:r w:rsidRPr="00C9440F">
        <w:t>13</w:t>
      </w:r>
    </w:p>
    <w:p w:rsidR="00AE2FC7" w:rsidRDefault="00236740" w:rsidP="00AE2FC7">
      <w:r w:rsidRPr="00236740">
        <w:rPr>
          <w:noProof/>
          <w:lang w:eastAsia="en-AU"/>
        </w:rPr>
        <w:drawing>
          <wp:inline distT="0" distB="0" distL="0" distR="0" wp14:anchorId="5531E4CA" wp14:editId="7622F5EB">
            <wp:extent cx="4571999" cy="2743200"/>
            <wp:effectExtent l="0" t="0" r="635" b="0"/>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2FC7" w:rsidRPr="00C9440F" w:rsidRDefault="00AE2FC7" w:rsidP="00EC56EF">
      <w:pPr>
        <w:pStyle w:val="Heading4"/>
      </w:pPr>
      <w:bookmarkStart w:id="152" w:name="_Toc409771622"/>
      <w:bookmarkStart w:id="153" w:name="_Toc412790572"/>
      <w:bookmarkStart w:id="154" w:name="_Toc413062053"/>
      <w:bookmarkStart w:id="155" w:name="_Toc413311057"/>
      <w:r w:rsidRPr="00C9440F">
        <w:t xml:space="preserve">Long rural feeder </w:t>
      </w:r>
      <w:r w:rsidR="005639BC">
        <w:t xml:space="preserve">reliability </w:t>
      </w:r>
      <w:r w:rsidR="007A3240">
        <w:t>–</w:t>
      </w:r>
      <w:r w:rsidRPr="00C9440F">
        <w:t xml:space="preserve"> </w:t>
      </w:r>
      <w:r w:rsidR="005639BC">
        <w:t>u</w:t>
      </w:r>
      <w:r w:rsidRPr="00C9440F">
        <w:t>nplanned interruptions to supply (normalised)</w:t>
      </w:r>
      <w:bookmarkEnd w:id="152"/>
      <w:bookmarkEnd w:id="153"/>
      <w:bookmarkEnd w:id="154"/>
      <w:bookmarkEnd w:id="155"/>
    </w:p>
    <w:p w:rsidR="005639BC" w:rsidRPr="00C9440F" w:rsidRDefault="005639BC" w:rsidP="005639BC">
      <w:r w:rsidRPr="00C9440F">
        <w:t xml:space="preserve">The STPIS defines a long rural feeder as a feeder </w:t>
      </w:r>
      <w:r>
        <w:t>that</w:t>
      </w:r>
      <w:r w:rsidRPr="00C9440F">
        <w:t xml:space="preserve"> is not a CBD or urban feeder </w:t>
      </w:r>
      <w:r>
        <w:t>and that has</w:t>
      </w:r>
      <w:r w:rsidRPr="00C9440F">
        <w:t xml:space="preserve"> a total feeder length greater than 200 k</w:t>
      </w:r>
      <w:r>
        <w:t>ilometres</w:t>
      </w:r>
      <w:r w:rsidRPr="00C9440F">
        <w:t>. Customers on long rural feeders account for approximately 7</w:t>
      </w:r>
      <w:r>
        <w:t> </w:t>
      </w:r>
      <w:r w:rsidRPr="00C9440F">
        <w:t>per cent of total network customers in the NEM. Not all DNSPs have long rural feeders.</w:t>
      </w:r>
      <w:r w:rsidRPr="005639BC">
        <w:t xml:space="preserve"> </w:t>
      </w:r>
      <w:r w:rsidRPr="00C9440F">
        <w:t>On average, over 2011</w:t>
      </w:r>
      <w:r>
        <w:t>–</w:t>
      </w:r>
      <w:r w:rsidRPr="00C9440F">
        <w:t>13</w:t>
      </w:r>
      <w:r>
        <w:t xml:space="preserve"> (Figures 8-11 and 8-12)</w:t>
      </w:r>
      <w:r w:rsidRPr="00C9440F">
        <w:t>:</w:t>
      </w:r>
    </w:p>
    <w:p w:rsidR="005639BC" w:rsidRPr="00C9440F" w:rsidRDefault="005639BC" w:rsidP="003D2729">
      <w:pPr>
        <w:pStyle w:val="ListBullet"/>
      </w:pPr>
      <w:r w:rsidRPr="00C9440F">
        <w:t xml:space="preserve">SA Power Networks and </w:t>
      </w:r>
      <w:proofErr w:type="spellStart"/>
      <w:r w:rsidRPr="00C9440F">
        <w:t>AusNet</w:t>
      </w:r>
      <w:proofErr w:type="spellEnd"/>
      <w:r w:rsidRPr="00C9440F">
        <w:t xml:space="preserve"> Services outperformed their long rural feeder </w:t>
      </w:r>
      <w:r>
        <w:t xml:space="preserve">STPIS </w:t>
      </w:r>
      <w:r w:rsidRPr="00C9440F">
        <w:t>targets.</w:t>
      </w:r>
    </w:p>
    <w:p w:rsidR="005639BC" w:rsidRPr="00C9440F" w:rsidRDefault="005639BC" w:rsidP="003D2729">
      <w:pPr>
        <w:pStyle w:val="ListBullet"/>
      </w:pPr>
      <w:r w:rsidRPr="00C9440F">
        <w:t xml:space="preserve">Ergon Energy and </w:t>
      </w:r>
      <w:proofErr w:type="spellStart"/>
      <w:r w:rsidRPr="00C9440F">
        <w:t>Powercor</w:t>
      </w:r>
      <w:proofErr w:type="spellEnd"/>
      <w:r w:rsidRPr="00C9440F">
        <w:t xml:space="preserve"> outperformed their long rural feeder SAIFI target but failed to meet their long rural feeder SAIDI target.</w:t>
      </w:r>
    </w:p>
    <w:p w:rsidR="00AE2FC7" w:rsidRDefault="00AE2FC7" w:rsidP="00972E3F">
      <w:pPr>
        <w:pStyle w:val="Caption"/>
      </w:pPr>
      <w:r>
        <w:t>Figure 8</w:t>
      </w:r>
      <w:r w:rsidRPr="00C9440F">
        <w:t>–11</w:t>
      </w:r>
      <w:r w:rsidRPr="00C9440F">
        <w:tab/>
        <w:t>Average unplanned long rural feeder minutes off supply (normalised), 2011</w:t>
      </w:r>
      <w:r w:rsidR="007A3240">
        <w:t>–</w:t>
      </w:r>
      <w:r w:rsidRPr="00C9440F">
        <w:t>13</w:t>
      </w:r>
    </w:p>
    <w:p w:rsidR="00AE2FC7" w:rsidRDefault="00236740" w:rsidP="00AE2FC7">
      <w:r w:rsidRPr="00236740">
        <w:rPr>
          <w:noProof/>
          <w:lang w:eastAsia="en-AU"/>
        </w:rPr>
        <w:drawing>
          <wp:inline distT="0" distB="0" distL="0" distR="0" wp14:anchorId="36411EB9" wp14:editId="7B447DB0">
            <wp:extent cx="4572000" cy="2642346"/>
            <wp:effectExtent l="0" t="0" r="0" b="5715"/>
            <wp:docPr id="429" name="Chart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2FC7" w:rsidRDefault="00AE2FC7" w:rsidP="00972E3F">
      <w:pPr>
        <w:pStyle w:val="Caption"/>
      </w:pPr>
      <w:r>
        <w:t>Figure 8</w:t>
      </w:r>
      <w:r w:rsidRPr="00C9440F">
        <w:t>–12</w:t>
      </w:r>
      <w:r w:rsidRPr="00C9440F">
        <w:tab/>
        <w:t>Average unplanned long rural feeder interruptions to supply (normalised), 2011</w:t>
      </w:r>
      <w:r w:rsidR="007A3240">
        <w:t>–</w:t>
      </w:r>
      <w:r w:rsidRPr="00C9440F">
        <w:t>13</w:t>
      </w:r>
    </w:p>
    <w:p w:rsidR="00AE2FC7" w:rsidRDefault="00236740" w:rsidP="00AE2FC7">
      <w:r w:rsidRPr="00236740">
        <w:rPr>
          <w:noProof/>
          <w:lang w:eastAsia="en-AU"/>
        </w:rPr>
        <w:drawing>
          <wp:inline distT="0" distB="0" distL="0" distR="0" wp14:anchorId="0D96CB04" wp14:editId="6CF71884">
            <wp:extent cx="4572001" cy="2619936"/>
            <wp:effectExtent l="0" t="0" r="0" b="0"/>
            <wp:docPr id="434" name="Chart 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E2FC7" w:rsidRPr="00C9440F" w:rsidRDefault="00AE2FC7" w:rsidP="00EC56EF">
      <w:pPr>
        <w:pStyle w:val="Heading3"/>
      </w:pPr>
      <w:bookmarkStart w:id="156" w:name="_Toc409771623"/>
      <w:bookmarkStart w:id="157" w:name="_Toc412790573"/>
      <w:bookmarkStart w:id="158" w:name="_Toc413062054"/>
      <w:bookmarkStart w:id="159" w:name="_Toc413311058"/>
      <w:bookmarkStart w:id="160" w:name="_Toc423086474"/>
      <w:r w:rsidRPr="00C9440F">
        <w:t>Customer service</w:t>
      </w:r>
      <w:bookmarkEnd w:id="156"/>
      <w:bookmarkEnd w:id="157"/>
      <w:bookmarkEnd w:id="158"/>
      <w:bookmarkEnd w:id="159"/>
      <w:bookmarkEnd w:id="160"/>
    </w:p>
    <w:p w:rsidR="005639BC" w:rsidRPr="00C9440F" w:rsidRDefault="005639BC" w:rsidP="005639BC">
      <w:r>
        <w:t xml:space="preserve">We </w:t>
      </w:r>
      <w:r w:rsidRPr="00C9440F">
        <w:t xml:space="preserve">applied one customer service parameter from </w:t>
      </w:r>
      <w:r>
        <w:t>the</w:t>
      </w:r>
      <w:r w:rsidRPr="00C9440F">
        <w:t xml:space="preserve"> STPIS </w:t>
      </w:r>
      <w:r>
        <w:t>in our distribution deter</w:t>
      </w:r>
      <w:r w:rsidRPr="00C9440F">
        <w:t>mination</w:t>
      </w:r>
      <w:r w:rsidR="00D35600">
        <w:t>s</w:t>
      </w:r>
      <w:r w:rsidRPr="00C9440F">
        <w:t>. The customer service parameter measures the percentage of calls to the DNSP's fault line answered in 30</w:t>
      </w:r>
      <w:r>
        <w:t> </w:t>
      </w:r>
      <w:r w:rsidRPr="00C9440F">
        <w:t>seconds.</w:t>
      </w:r>
      <w:r>
        <w:t xml:space="preserve"> </w:t>
      </w:r>
      <w:r w:rsidRPr="00C9440F">
        <w:t xml:space="preserve">The time to answer a call is measured from when the call enters the telephone system of the call centre (including that time when it may ring unanswered) </w:t>
      </w:r>
      <w:r>
        <w:t>to when</w:t>
      </w:r>
      <w:r w:rsidRPr="00C9440F">
        <w:t xml:space="preserve"> the caller speaks with a human operator</w:t>
      </w:r>
      <w:r>
        <w:t>. It excludes</w:t>
      </w:r>
      <w:r w:rsidRPr="00C9440F">
        <w:t xml:space="preserve"> the time that the caller is connected to an automated interactive service that provides substantive information. </w:t>
      </w:r>
    </w:p>
    <w:p w:rsidR="005639BC" w:rsidRPr="00C9440F" w:rsidRDefault="005639BC" w:rsidP="005639BC">
      <w:r w:rsidRPr="00C9440F">
        <w:t>On average, all the DNSPs except United Energy met their STPIS telephone answering targets over 2011</w:t>
      </w:r>
      <w:r w:rsidRPr="005639BC">
        <w:t>‒</w:t>
      </w:r>
      <w:r w:rsidRPr="00C9440F">
        <w:t>13 (</w:t>
      </w:r>
      <w:r>
        <w:t>Figure 8</w:t>
      </w:r>
      <w:r w:rsidRPr="00C9440F">
        <w:t xml:space="preserve">–13). The ACT and New South Wales DNSPs do not yet apply the STPIS, </w:t>
      </w:r>
      <w:r>
        <w:t>so we established</w:t>
      </w:r>
      <w:r w:rsidRPr="00C9440F">
        <w:t xml:space="preserve"> no telephone answering targets for their 2009</w:t>
      </w:r>
      <w:r>
        <w:t>–</w:t>
      </w:r>
      <w:r w:rsidRPr="00C9440F">
        <w:t xml:space="preserve">14 regulatory control </w:t>
      </w:r>
      <w:proofErr w:type="gramStart"/>
      <w:r w:rsidRPr="00C9440F">
        <w:t>period</w:t>
      </w:r>
      <w:proofErr w:type="gramEnd"/>
      <w:r w:rsidRPr="00C9440F">
        <w:t>.</w:t>
      </w:r>
      <w:r>
        <w:t xml:space="preserve"> We</w:t>
      </w:r>
      <w:r w:rsidRPr="00C9440F">
        <w:t xml:space="preserve"> also did not apply the telephone answering parameter to Energex for the 2010</w:t>
      </w:r>
      <w:r>
        <w:t>–</w:t>
      </w:r>
      <w:r w:rsidRPr="00C9440F">
        <w:t>15 regulatory control period</w:t>
      </w:r>
      <w:r>
        <w:t>, because</w:t>
      </w:r>
      <w:r w:rsidRPr="00C9440F">
        <w:t xml:space="preserve"> insufficient data</w:t>
      </w:r>
      <w:r>
        <w:t xml:space="preserve"> w</w:t>
      </w:r>
      <w:r w:rsidR="003D2729">
        <w:t>as</w:t>
      </w:r>
      <w:r w:rsidRPr="00C9440F">
        <w:t xml:space="preserve"> available to calculate targets.</w:t>
      </w:r>
    </w:p>
    <w:p w:rsidR="00AE2FC7" w:rsidRDefault="00AE2FC7" w:rsidP="00972E3F">
      <w:pPr>
        <w:pStyle w:val="Caption"/>
      </w:pPr>
      <w:r>
        <w:t>Figure 8</w:t>
      </w:r>
      <w:r w:rsidRPr="00C9440F">
        <w:t>–13</w:t>
      </w:r>
      <w:r w:rsidRPr="00C9440F">
        <w:tab/>
        <w:t>Average telephone answering, 2011</w:t>
      </w:r>
      <w:r w:rsidR="007A3240">
        <w:t>–</w:t>
      </w:r>
      <w:r w:rsidRPr="00C9440F">
        <w:t>13</w:t>
      </w:r>
    </w:p>
    <w:p w:rsidR="00AE2FC7" w:rsidRDefault="006969EE" w:rsidP="00AE2FC7">
      <w:r w:rsidRPr="006969EE">
        <w:rPr>
          <w:noProof/>
          <w:lang w:eastAsia="en-AU"/>
        </w:rPr>
        <w:drawing>
          <wp:inline distT="0" distB="0" distL="0" distR="0" wp14:anchorId="5E746568" wp14:editId="32631E60">
            <wp:extent cx="4572000" cy="2743200"/>
            <wp:effectExtent l="0" t="0" r="0" b="0"/>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2FC7" w:rsidRPr="00C9440F" w:rsidRDefault="00AE2FC7" w:rsidP="00EC56EF">
      <w:pPr>
        <w:pStyle w:val="Heading3"/>
      </w:pPr>
      <w:bookmarkStart w:id="161" w:name="_Toc409771624"/>
      <w:bookmarkStart w:id="162" w:name="_Toc412790574"/>
      <w:bookmarkStart w:id="163" w:name="_Toc413062055"/>
      <w:bookmarkStart w:id="164" w:name="_Toc413311059"/>
      <w:bookmarkStart w:id="165" w:name="_Toc423086475"/>
      <w:r w:rsidRPr="00C9440F">
        <w:t>STPIS outcomes (s</w:t>
      </w:r>
      <w:r w:rsidR="007A3240">
        <w:t>–</w:t>
      </w:r>
      <w:r w:rsidRPr="00C9440F">
        <w:t>factor)</w:t>
      </w:r>
      <w:bookmarkEnd w:id="161"/>
      <w:bookmarkEnd w:id="162"/>
      <w:bookmarkEnd w:id="163"/>
      <w:bookmarkEnd w:id="164"/>
      <w:bookmarkEnd w:id="165"/>
    </w:p>
    <w:p w:rsidR="005639BC" w:rsidRPr="00C9440F" w:rsidRDefault="005639BC" w:rsidP="005639BC">
      <w:r w:rsidRPr="00C9440F">
        <w:t xml:space="preserve">The </w:t>
      </w:r>
      <w:r w:rsidR="00A51A6F">
        <w:t>s–factor</w:t>
      </w:r>
      <w:r w:rsidRPr="00C9440F">
        <w:t xml:space="preserve"> is the percentage revenue increase or decrease that applies in each regulatory year based on </w:t>
      </w:r>
      <w:r>
        <w:t>a</w:t>
      </w:r>
      <w:r w:rsidRPr="00C9440F">
        <w:t xml:space="preserve"> DNSP</w:t>
      </w:r>
      <w:r>
        <w:t>'</w:t>
      </w:r>
      <w:r w:rsidRPr="00C9440F">
        <w:t xml:space="preserve">s performance in the regulatory year two years </w:t>
      </w:r>
      <w:r>
        <w:t>earlier</w:t>
      </w:r>
      <w:r w:rsidRPr="00C9440F">
        <w:t xml:space="preserve">. </w:t>
      </w:r>
      <w:r>
        <w:t>We calculate t</w:t>
      </w:r>
      <w:r w:rsidRPr="00C9440F">
        <w:t xml:space="preserve">he </w:t>
      </w:r>
      <w:r w:rsidR="00A51A6F">
        <w:t>s–factor</w:t>
      </w:r>
      <w:r w:rsidRPr="00C9440F">
        <w:t xml:space="preserve"> </w:t>
      </w:r>
      <w:r>
        <w:t>each year</w:t>
      </w:r>
      <w:r w:rsidRPr="00C9440F">
        <w:t xml:space="preserve"> in accordance with the STPIS, based on </w:t>
      </w:r>
      <w:r>
        <w:t xml:space="preserve">the DNSPs' </w:t>
      </w:r>
      <w:r w:rsidRPr="00C9440F">
        <w:t xml:space="preserve">performance against </w:t>
      </w:r>
      <w:r w:rsidR="00D35600">
        <w:t>its</w:t>
      </w:r>
      <w:r w:rsidRPr="00C9440F">
        <w:t xml:space="preserve"> reliability and customer service targets.</w:t>
      </w:r>
      <w:r>
        <w:t xml:space="preserve"> </w:t>
      </w:r>
      <w:r w:rsidRPr="00C9440F">
        <w:t xml:space="preserve">Positive </w:t>
      </w:r>
      <w:r w:rsidR="00A51A6F">
        <w:t>s–factor</w:t>
      </w:r>
      <w:r w:rsidRPr="00C9440F">
        <w:t>s represent an increase in allowable revenue (rewards)</w:t>
      </w:r>
      <w:r>
        <w:t>,</w:t>
      </w:r>
      <w:r w:rsidRPr="00C9440F">
        <w:t xml:space="preserve"> while negative </w:t>
      </w:r>
      <w:r w:rsidR="00A51A6F">
        <w:t>s–factor</w:t>
      </w:r>
      <w:r w:rsidRPr="00C9440F">
        <w:t>s represent a reduction in allowable revenue (penalty).</w:t>
      </w:r>
      <w:r>
        <w:t xml:space="preserve"> </w:t>
      </w:r>
      <w:r w:rsidRPr="00C9440F">
        <w:t xml:space="preserve">The </w:t>
      </w:r>
      <w:r w:rsidR="00A51A6F">
        <w:t>s–factor</w:t>
      </w:r>
      <w:r w:rsidRPr="00C9440F">
        <w:t xml:space="preserve"> is not to exceed or fall below the upper</w:t>
      </w:r>
      <w:r>
        <w:t>/</w:t>
      </w:r>
      <w:r w:rsidRPr="00C9440F">
        <w:t xml:space="preserve">lower limit of the revenue at risk </w:t>
      </w:r>
      <w:r>
        <w:t>that we approve</w:t>
      </w:r>
      <w:r w:rsidRPr="00C9440F">
        <w:t xml:space="preserve"> </w:t>
      </w:r>
      <w:r>
        <w:t>in our distribution deter</w:t>
      </w:r>
      <w:r w:rsidRPr="00C9440F">
        <w:t xml:space="preserve">mination for each </w:t>
      </w:r>
      <w:r>
        <w:t>DNSP</w:t>
      </w:r>
      <w:r w:rsidRPr="00C9440F">
        <w:t xml:space="preserve">. </w:t>
      </w:r>
    </w:p>
    <w:p w:rsidR="00216225" w:rsidRPr="00C9440F" w:rsidRDefault="00216225" w:rsidP="00216225">
      <w:r w:rsidRPr="00C9440F">
        <w:t>The application of the s</w:t>
      </w:r>
      <w:r>
        <w:t>–</w:t>
      </w:r>
      <w:r w:rsidRPr="00C9440F">
        <w:t xml:space="preserve">factor may cause volatility in prices when service performance varies from year to year. To offset this situation, the STPIS allows a DNSP to delay the action of a revenue increment or decrement </w:t>
      </w:r>
      <w:r>
        <w:t>(</w:t>
      </w:r>
      <w:r w:rsidRPr="00C9440F">
        <w:t xml:space="preserve">or a portion of </w:t>
      </w:r>
      <w:r>
        <w:t>it)</w:t>
      </w:r>
      <w:r w:rsidRPr="00C9440F">
        <w:t xml:space="preserve"> for one regulatory year using the s</w:t>
      </w:r>
      <w:r w:rsidR="00D35600">
        <w:t>–</w:t>
      </w:r>
      <w:r w:rsidRPr="00C9440F">
        <w:t>bank mechanism. The s</w:t>
      </w:r>
      <w:r w:rsidR="00D35600">
        <w:t>–</w:t>
      </w:r>
      <w:r w:rsidRPr="00C9440F">
        <w:t xml:space="preserve">bank mechanism means the </w:t>
      </w:r>
      <w:r w:rsidR="00A51A6F">
        <w:t>s–factor</w:t>
      </w:r>
      <w:r w:rsidRPr="00C9440F">
        <w:t xml:space="preserve"> </w:t>
      </w:r>
      <w:r>
        <w:t>that</w:t>
      </w:r>
      <w:r w:rsidRPr="00C9440F">
        <w:t xml:space="preserve"> applie</w:t>
      </w:r>
      <w:r>
        <w:t>s</w:t>
      </w:r>
      <w:r w:rsidRPr="00C9440F">
        <w:t xml:space="preserve"> to prices/revenue for a particular year may differ </w:t>
      </w:r>
      <w:r>
        <w:t>from</w:t>
      </w:r>
      <w:r w:rsidRPr="00C9440F">
        <w:t xml:space="preserve"> the </w:t>
      </w:r>
      <w:r w:rsidR="00A51A6F">
        <w:t>s–factor</w:t>
      </w:r>
      <w:r w:rsidRPr="00C9440F">
        <w:t xml:space="preserve"> calculated for that year.</w:t>
      </w:r>
    </w:p>
    <w:p w:rsidR="00216225" w:rsidRPr="00C9440F" w:rsidRDefault="00216225" w:rsidP="00216225">
      <w:r w:rsidRPr="00C9440F">
        <w:t xml:space="preserve">Each year </w:t>
      </w:r>
      <w:r>
        <w:t>we</w:t>
      </w:r>
      <w:r w:rsidRPr="00C9440F">
        <w:t xml:space="preserve"> review the </w:t>
      </w:r>
      <w:r w:rsidR="00A51A6F">
        <w:t>s–factor</w:t>
      </w:r>
      <w:r w:rsidRPr="00C9440F">
        <w:t xml:space="preserve">s proposed by the </w:t>
      </w:r>
      <w:r>
        <w:t>DNSPs,</w:t>
      </w:r>
      <w:r w:rsidRPr="00C9440F">
        <w:t xml:space="preserve"> to </w:t>
      </w:r>
      <w:r>
        <w:t>check</w:t>
      </w:r>
      <w:r w:rsidRPr="00C9440F">
        <w:t xml:space="preserve"> they compl</w:t>
      </w:r>
      <w:r>
        <w:t xml:space="preserve">y </w:t>
      </w:r>
      <w:r w:rsidRPr="00C9440F">
        <w:t xml:space="preserve">with the STPIS. The </w:t>
      </w:r>
      <w:r w:rsidR="00A51A6F">
        <w:t>s–factor</w:t>
      </w:r>
      <w:r w:rsidRPr="00C9440F">
        <w:t>s</w:t>
      </w:r>
      <w:r>
        <w:t xml:space="preserve"> </w:t>
      </w:r>
      <w:r w:rsidRPr="00C9440F">
        <w:t xml:space="preserve">in </w:t>
      </w:r>
      <w:r>
        <w:t>Table 8</w:t>
      </w:r>
      <w:r w:rsidRPr="00C9440F">
        <w:t xml:space="preserve">–4 are those </w:t>
      </w:r>
      <w:r>
        <w:t xml:space="preserve">that we approved </w:t>
      </w:r>
      <w:r w:rsidRPr="00C9440F">
        <w:t>over 2011</w:t>
      </w:r>
      <w:r>
        <w:t>–</w:t>
      </w:r>
      <w:r w:rsidRPr="00C9440F">
        <w:t xml:space="preserve">13. They account </w:t>
      </w:r>
      <w:r>
        <w:t xml:space="preserve">for </w:t>
      </w:r>
      <w:r w:rsidRPr="00C9440F">
        <w:t>each DNSP's revenue at risk</w:t>
      </w:r>
      <w:r>
        <w:t>,</w:t>
      </w:r>
      <w:r w:rsidRPr="00C9440F">
        <w:t xml:space="preserve"> and </w:t>
      </w:r>
      <w:r>
        <w:t xml:space="preserve">for </w:t>
      </w:r>
      <w:r w:rsidRPr="00C9440F">
        <w:t>any application of the s</w:t>
      </w:r>
      <w:r>
        <w:t xml:space="preserve"> </w:t>
      </w:r>
      <w:r w:rsidRPr="00C9440F">
        <w:t xml:space="preserve">bank mechanism. </w:t>
      </w:r>
    </w:p>
    <w:p w:rsidR="00216225" w:rsidRDefault="00216225" w:rsidP="00216225">
      <w:r w:rsidRPr="00C9440F">
        <w:t xml:space="preserve">Chapter </w:t>
      </w:r>
      <w:r>
        <w:t>9</w:t>
      </w:r>
      <w:r w:rsidRPr="00C9440F">
        <w:t xml:space="preserve"> </w:t>
      </w:r>
      <w:r>
        <w:t>contains our</w:t>
      </w:r>
      <w:r w:rsidRPr="00C9440F">
        <w:t xml:space="preserve"> assessment of service performance and </w:t>
      </w:r>
      <w:r w:rsidR="00A51A6F">
        <w:t>s–factor</w:t>
      </w:r>
      <w:r w:rsidRPr="00C9440F">
        <w:t xml:space="preserve"> outcomes for each DNSP in the NEM.</w:t>
      </w:r>
    </w:p>
    <w:p w:rsidR="00AE2FC7" w:rsidRDefault="00AE2FC7" w:rsidP="00972E3F">
      <w:pPr>
        <w:pStyle w:val="Caption"/>
      </w:pPr>
      <w:r>
        <w:t>Table 8</w:t>
      </w:r>
      <w:r w:rsidRPr="00C9440F">
        <w:t>–4</w:t>
      </w:r>
      <w:r w:rsidRPr="00C9440F">
        <w:tab/>
        <w:t>S</w:t>
      </w:r>
      <w:r w:rsidR="007A3240">
        <w:t>–</w:t>
      </w:r>
      <w:r w:rsidRPr="00C9440F">
        <w:t>factor outcomes</w:t>
      </w:r>
    </w:p>
    <w:tbl>
      <w:tblPr>
        <w:tblStyle w:val="AERTable-Text"/>
        <w:tblW w:w="0" w:type="auto"/>
        <w:tblLook w:val="04A0" w:firstRow="1" w:lastRow="0" w:firstColumn="1" w:lastColumn="0" w:noHBand="0" w:noVBand="1"/>
      </w:tblPr>
      <w:tblGrid>
        <w:gridCol w:w="2376"/>
        <w:gridCol w:w="2367"/>
        <w:gridCol w:w="1482"/>
        <w:gridCol w:w="1508"/>
        <w:gridCol w:w="1509"/>
      </w:tblGrid>
      <w:tr w:rsidR="006969EE" w:rsidTr="006969EE">
        <w:trPr>
          <w:cnfStyle w:val="100000000000" w:firstRow="1" w:lastRow="0" w:firstColumn="0" w:lastColumn="0" w:oddVBand="0" w:evenVBand="0" w:oddHBand="0" w:evenHBand="0" w:firstRowFirstColumn="0" w:firstRowLastColumn="0" w:lastRowFirstColumn="0" w:lastRowLastColumn="0"/>
        </w:trPr>
        <w:tc>
          <w:tcPr>
            <w:tcW w:w="2376" w:type="dxa"/>
          </w:tcPr>
          <w:p w:rsidR="006969EE" w:rsidRPr="006969EE" w:rsidRDefault="006969EE" w:rsidP="00A51A6F">
            <w:pPr>
              <w:pStyle w:val="Tabletext"/>
              <w:keepNext/>
              <w:keepLines/>
            </w:pPr>
            <w:r>
              <w:t>Distributor</w:t>
            </w:r>
          </w:p>
        </w:tc>
        <w:tc>
          <w:tcPr>
            <w:tcW w:w="2367" w:type="dxa"/>
          </w:tcPr>
          <w:p w:rsidR="006969EE" w:rsidRPr="006969EE" w:rsidRDefault="006969EE" w:rsidP="00A51A6F">
            <w:pPr>
              <w:pStyle w:val="Tabletext"/>
              <w:keepNext/>
              <w:keepLines/>
              <w:jc w:val="center"/>
            </w:pPr>
            <w:r>
              <w:t>Revenue at risk</w:t>
            </w:r>
          </w:p>
        </w:tc>
        <w:tc>
          <w:tcPr>
            <w:tcW w:w="1482" w:type="dxa"/>
          </w:tcPr>
          <w:p w:rsidR="006969EE" w:rsidRPr="006969EE" w:rsidRDefault="006969EE" w:rsidP="00A51A6F">
            <w:pPr>
              <w:pStyle w:val="Tabletext"/>
              <w:keepNext/>
              <w:keepLines/>
              <w:jc w:val="right"/>
            </w:pPr>
            <w:r>
              <w:t>2011</w:t>
            </w:r>
          </w:p>
        </w:tc>
        <w:tc>
          <w:tcPr>
            <w:tcW w:w="1508" w:type="dxa"/>
          </w:tcPr>
          <w:p w:rsidR="006969EE" w:rsidRPr="006969EE" w:rsidRDefault="006969EE" w:rsidP="00A51A6F">
            <w:pPr>
              <w:pStyle w:val="Tabletext"/>
              <w:keepNext/>
              <w:keepLines/>
              <w:jc w:val="right"/>
            </w:pPr>
            <w:r>
              <w:t>2012</w:t>
            </w:r>
          </w:p>
        </w:tc>
        <w:tc>
          <w:tcPr>
            <w:tcW w:w="1509" w:type="dxa"/>
          </w:tcPr>
          <w:p w:rsidR="006969EE" w:rsidRPr="006969EE" w:rsidRDefault="006969EE" w:rsidP="00A51A6F">
            <w:pPr>
              <w:pStyle w:val="Tabletext"/>
              <w:keepNext/>
              <w:keepLines/>
              <w:jc w:val="right"/>
            </w:pPr>
            <w:r>
              <w:t>2013</w:t>
            </w:r>
          </w:p>
        </w:tc>
      </w:tr>
      <w:tr w:rsidR="006969EE" w:rsidTr="006969EE">
        <w:tc>
          <w:tcPr>
            <w:tcW w:w="2376" w:type="dxa"/>
          </w:tcPr>
          <w:p w:rsidR="006969EE" w:rsidRPr="006969EE" w:rsidRDefault="006969EE" w:rsidP="00A51A6F">
            <w:pPr>
              <w:pStyle w:val="Tabletext"/>
              <w:keepNext/>
              <w:keepLines/>
            </w:pPr>
            <w:r>
              <w:t>Energex</w:t>
            </w:r>
          </w:p>
        </w:tc>
        <w:tc>
          <w:tcPr>
            <w:tcW w:w="2367" w:type="dxa"/>
          </w:tcPr>
          <w:p w:rsidR="006969EE" w:rsidRPr="006969EE" w:rsidRDefault="006969EE" w:rsidP="00A51A6F">
            <w:pPr>
              <w:pStyle w:val="Tabletext"/>
              <w:keepNext/>
              <w:keepLines/>
              <w:jc w:val="center"/>
            </w:pPr>
            <w:r>
              <w:t>±</w:t>
            </w:r>
            <w:r w:rsidRPr="006969EE">
              <w:t xml:space="preserve"> 2%</w:t>
            </w:r>
          </w:p>
        </w:tc>
        <w:tc>
          <w:tcPr>
            <w:tcW w:w="1482" w:type="dxa"/>
          </w:tcPr>
          <w:p w:rsidR="006969EE" w:rsidRPr="006969EE" w:rsidRDefault="006969EE" w:rsidP="00A51A6F">
            <w:pPr>
              <w:pStyle w:val="Tabletext"/>
              <w:keepNext/>
              <w:keepLines/>
              <w:jc w:val="right"/>
            </w:pPr>
            <w:r>
              <w:t>0%</w:t>
            </w:r>
          </w:p>
        </w:tc>
        <w:tc>
          <w:tcPr>
            <w:tcW w:w="1508" w:type="dxa"/>
          </w:tcPr>
          <w:p w:rsidR="006969EE" w:rsidRPr="006969EE" w:rsidRDefault="006969EE" w:rsidP="00A51A6F">
            <w:pPr>
              <w:pStyle w:val="Tabletext"/>
              <w:keepNext/>
              <w:keepLines/>
              <w:jc w:val="right"/>
            </w:pPr>
            <w:r>
              <w:t>0.02%</w:t>
            </w:r>
          </w:p>
        </w:tc>
        <w:tc>
          <w:tcPr>
            <w:tcW w:w="1509" w:type="dxa"/>
          </w:tcPr>
          <w:p w:rsidR="006969EE" w:rsidRPr="006969EE" w:rsidRDefault="006969EE" w:rsidP="00A51A6F">
            <w:pPr>
              <w:pStyle w:val="Tabletext"/>
              <w:keepNext/>
              <w:keepLines/>
              <w:jc w:val="right"/>
            </w:pPr>
            <w:r>
              <w:t>3.98%</w:t>
            </w:r>
          </w:p>
        </w:tc>
      </w:tr>
      <w:tr w:rsidR="006969EE" w:rsidTr="006969EE">
        <w:trPr>
          <w:cnfStyle w:val="000000010000" w:firstRow="0" w:lastRow="0" w:firstColumn="0" w:lastColumn="0" w:oddVBand="0" w:evenVBand="0" w:oddHBand="0" w:evenHBand="1" w:firstRowFirstColumn="0" w:firstRowLastColumn="0" w:lastRowFirstColumn="0" w:lastRowLastColumn="0"/>
        </w:trPr>
        <w:tc>
          <w:tcPr>
            <w:tcW w:w="2376" w:type="dxa"/>
          </w:tcPr>
          <w:p w:rsidR="006969EE" w:rsidRPr="006969EE" w:rsidRDefault="006969EE" w:rsidP="00A51A6F">
            <w:pPr>
              <w:pStyle w:val="Tabletext"/>
              <w:keepNext/>
              <w:keepLines/>
            </w:pPr>
            <w:r>
              <w:t>Ergon Energy</w:t>
            </w:r>
          </w:p>
        </w:tc>
        <w:tc>
          <w:tcPr>
            <w:tcW w:w="2367" w:type="dxa"/>
          </w:tcPr>
          <w:p w:rsidR="006969EE" w:rsidRPr="006969EE" w:rsidRDefault="006969EE" w:rsidP="00A51A6F">
            <w:pPr>
              <w:pStyle w:val="Tabletext"/>
              <w:keepNext/>
              <w:keepLines/>
              <w:jc w:val="center"/>
            </w:pPr>
            <w:r>
              <w:t>±</w:t>
            </w:r>
            <w:r w:rsidRPr="006969EE">
              <w:t xml:space="preserve"> 2%</w:t>
            </w:r>
          </w:p>
        </w:tc>
        <w:tc>
          <w:tcPr>
            <w:tcW w:w="1482" w:type="dxa"/>
          </w:tcPr>
          <w:p w:rsidR="006969EE" w:rsidRPr="006969EE" w:rsidRDefault="006969EE" w:rsidP="00A51A6F">
            <w:pPr>
              <w:pStyle w:val="Tabletext"/>
              <w:keepNext/>
              <w:keepLines/>
              <w:jc w:val="right"/>
            </w:pPr>
            <w:r>
              <w:t>-0.99%</w:t>
            </w:r>
          </w:p>
        </w:tc>
        <w:tc>
          <w:tcPr>
            <w:tcW w:w="1508" w:type="dxa"/>
          </w:tcPr>
          <w:p w:rsidR="006969EE" w:rsidRPr="006969EE" w:rsidRDefault="006969EE" w:rsidP="00A51A6F">
            <w:pPr>
              <w:pStyle w:val="Tabletext"/>
              <w:keepNext/>
              <w:keepLines/>
              <w:jc w:val="right"/>
            </w:pPr>
            <w:r>
              <w:t>0.12%</w:t>
            </w:r>
          </w:p>
        </w:tc>
        <w:tc>
          <w:tcPr>
            <w:tcW w:w="1509" w:type="dxa"/>
          </w:tcPr>
          <w:p w:rsidR="006969EE" w:rsidRPr="006969EE" w:rsidRDefault="006969EE" w:rsidP="00A51A6F">
            <w:pPr>
              <w:pStyle w:val="Tabletext"/>
              <w:keepNext/>
              <w:keepLines/>
              <w:jc w:val="right"/>
            </w:pPr>
            <w:r>
              <w:t>2.00%</w:t>
            </w:r>
          </w:p>
        </w:tc>
      </w:tr>
      <w:tr w:rsidR="006969EE" w:rsidTr="006969EE">
        <w:tc>
          <w:tcPr>
            <w:tcW w:w="2376" w:type="dxa"/>
          </w:tcPr>
          <w:p w:rsidR="006969EE" w:rsidRPr="006969EE" w:rsidRDefault="006969EE" w:rsidP="00A51A6F">
            <w:pPr>
              <w:pStyle w:val="Tabletext"/>
              <w:keepNext/>
              <w:keepLines/>
            </w:pPr>
            <w:r>
              <w:t>SA Power Networks</w:t>
            </w:r>
          </w:p>
        </w:tc>
        <w:tc>
          <w:tcPr>
            <w:tcW w:w="2367" w:type="dxa"/>
          </w:tcPr>
          <w:p w:rsidR="006969EE" w:rsidRPr="006969EE" w:rsidRDefault="006969EE" w:rsidP="00A51A6F">
            <w:pPr>
              <w:pStyle w:val="Tabletext"/>
              <w:keepNext/>
              <w:keepLines/>
              <w:jc w:val="center"/>
            </w:pPr>
            <w:r>
              <w:t>±</w:t>
            </w:r>
            <w:r w:rsidRPr="006969EE">
              <w:t xml:space="preserve"> 3%</w:t>
            </w:r>
          </w:p>
        </w:tc>
        <w:tc>
          <w:tcPr>
            <w:tcW w:w="1482" w:type="dxa"/>
          </w:tcPr>
          <w:p w:rsidR="006969EE" w:rsidRPr="006969EE" w:rsidRDefault="006969EE" w:rsidP="00A51A6F">
            <w:pPr>
              <w:pStyle w:val="Tabletext"/>
              <w:keepNext/>
              <w:keepLines/>
              <w:jc w:val="right"/>
            </w:pPr>
            <w:r>
              <w:t>0%</w:t>
            </w:r>
          </w:p>
        </w:tc>
        <w:tc>
          <w:tcPr>
            <w:tcW w:w="1508" w:type="dxa"/>
          </w:tcPr>
          <w:p w:rsidR="006969EE" w:rsidRPr="006969EE" w:rsidRDefault="006969EE" w:rsidP="00A51A6F">
            <w:pPr>
              <w:pStyle w:val="Tabletext"/>
              <w:keepNext/>
              <w:keepLines/>
              <w:jc w:val="right"/>
            </w:pPr>
            <w:r>
              <w:t>2.29%</w:t>
            </w:r>
          </w:p>
        </w:tc>
        <w:tc>
          <w:tcPr>
            <w:tcW w:w="1509" w:type="dxa"/>
          </w:tcPr>
          <w:p w:rsidR="006969EE" w:rsidRPr="006969EE" w:rsidRDefault="006969EE" w:rsidP="00A51A6F">
            <w:pPr>
              <w:pStyle w:val="Tabletext"/>
              <w:keepNext/>
              <w:keepLines/>
              <w:jc w:val="right"/>
            </w:pPr>
            <w:r>
              <w:t>-0.74%</w:t>
            </w:r>
          </w:p>
        </w:tc>
      </w:tr>
      <w:tr w:rsidR="006969EE" w:rsidTr="006969EE">
        <w:trPr>
          <w:cnfStyle w:val="000000010000" w:firstRow="0" w:lastRow="0" w:firstColumn="0" w:lastColumn="0" w:oddVBand="0" w:evenVBand="0" w:oddHBand="0" w:evenHBand="1" w:firstRowFirstColumn="0" w:firstRowLastColumn="0" w:lastRowFirstColumn="0" w:lastRowLastColumn="0"/>
        </w:trPr>
        <w:tc>
          <w:tcPr>
            <w:tcW w:w="2376" w:type="dxa"/>
          </w:tcPr>
          <w:p w:rsidR="006969EE" w:rsidRPr="006969EE" w:rsidRDefault="006969EE" w:rsidP="00A51A6F">
            <w:pPr>
              <w:pStyle w:val="Tabletext"/>
              <w:keepNext/>
              <w:keepLines/>
            </w:pPr>
            <w:proofErr w:type="spellStart"/>
            <w:r>
              <w:t>TasNetworks</w:t>
            </w:r>
            <w:proofErr w:type="spellEnd"/>
          </w:p>
        </w:tc>
        <w:tc>
          <w:tcPr>
            <w:tcW w:w="2367" w:type="dxa"/>
          </w:tcPr>
          <w:p w:rsidR="006969EE" w:rsidRPr="006969EE" w:rsidRDefault="006969EE" w:rsidP="00A51A6F">
            <w:pPr>
              <w:pStyle w:val="Tabletext"/>
              <w:keepNext/>
              <w:keepLines/>
              <w:jc w:val="center"/>
            </w:pPr>
            <w:r>
              <w:t>±</w:t>
            </w:r>
            <w:r w:rsidRPr="006969EE">
              <w:t xml:space="preserve"> 5%</w:t>
            </w:r>
          </w:p>
        </w:tc>
        <w:tc>
          <w:tcPr>
            <w:tcW w:w="1482" w:type="dxa"/>
          </w:tcPr>
          <w:p w:rsidR="006969EE" w:rsidRPr="006969EE" w:rsidRDefault="006969EE" w:rsidP="00A51A6F">
            <w:pPr>
              <w:pStyle w:val="Tabletext"/>
              <w:keepNext/>
              <w:keepLines/>
              <w:jc w:val="right"/>
            </w:pPr>
            <w:r>
              <w:t>n/a</w:t>
            </w:r>
          </w:p>
        </w:tc>
        <w:tc>
          <w:tcPr>
            <w:tcW w:w="1508" w:type="dxa"/>
          </w:tcPr>
          <w:p w:rsidR="006969EE" w:rsidRPr="006969EE" w:rsidRDefault="006969EE" w:rsidP="00A51A6F">
            <w:pPr>
              <w:pStyle w:val="Tabletext"/>
              <w:keepNext/>
              <w:keepLines/>
              <w:jc w:val="right"/>
            </w:pPr>
            <w:r>
              <w:t>n/a</w:t>
            </w:r>
          </w:p>
        </w:tc>
        <w:tc>
          <w:tcPr>
            <w:tcW w:w="1509" w:type="dxa"/>
          </w:tcPr>
          <w:p w:rsidR="006969EE" w:rsidRPr="006969EE" w:rsidRDefault="006969EE" w:rsidP="00A51A6F">
            <w:pPr>
              <w:pStyle w:val="Tabletext"/>
              <w:keepNext/>
              <w:keepLines/>
              <w:jc w:val="right"/>
            </w:pPr>
            <w:r>
              <w:t>0%</w:t>
            </w:r>
          </w:p>
        </w:tc>
      </w:tr>
      <w:tr w:rsidR="006969EE" w:rsidTr="006969EE">
        <w:tc>
          <w:tcPr>
            <w:tcW w:w="2376" w:type="dxa"/>
          </w:tcPr>
          <w:p w:rsidR="006969EE" w:rsidRPr="006969EE" w:rsidRDefault="006969EE" w:rsidP="00A51A6F">
            <w:pPr>
              <w:pStyle w:val="Tabletext"/>
              <w:keepNext/>
              <w:keepLines/>
            </w:pPr>
            <w:proofErr w:type="spellStart"/>
            <w:r>
              <w:t>CitiPower</w:t>
            </w:r>
            <w:proofErr w:type="spellEnd"/>
          </w:p>
        </w:tc>
        <w:tc>
          <w:tcPr>
            <w:tcW w:w="2367" w:type="dxa"/>
          </w:tcPr>
          <w:p w:rsidR="006969EE" w:rsidRPr="006969EE" w:rsidRDefault="006969EE" w:rsidP="00A51A6F">
            <w:pPr>
              <w:pStyle w:val="Tabletext"/>
              <w:keepNext/>
              <w:keepLines/>
              <w:jc w:val="center"/>
            </w:pPr>
            <w:r>
              <w:t>±</w:t>
            </w:r>
            <w:r w:rsidRPr="006969EE">
              <w:t xml:space="preserve"> 5%</w:t>
            </w:r>
          </w:p>
        </w:tc>
        <w:tc>
          <w:tcPr>
            <w:tcW w:w="1482" w:type="dxa"/>
          </w:tcPr>
          <w:p w:rsidR="006969EE" w:rsidRPr="006969EE" w:rsidRDefault="006969EE" w:rsidP="00A51A6F">
            <w:pPr>
              <w:pStyle w:val="Tabletext"/>
              <w:keepNext/>
              <w:keepLines/>
              <w:jc w:val="right"/>
            </w:pPr>
            <w:r>
              <w:t>0.98%</w:t>
            </w:r>
          </w:p>
        </w:tc>
        <w:tc>
          <w:tcPr>
            <w:tcW w:w="1508" w:type="dxa"/>
          </w:tcPr>
          <w:p w:rsidR="006969EE" w:rsidRPr="006969EE" w:rsidRDefault="006969EE" w:rsidP="00A51A6F">
            <w:pPr>
              <w:pStyle w:val="Tabletext"/>
              <w:keepNext/>
              <w:keepLines/>
              <w:jc w:val="right"/>
            </w:pPr>
            <w:r>
              <w:t>-1.24%</w:t>
            </w:r>
          </w:p>
        </w:tc>
        <w:tc>
          <w:tcPr>
            <w:tcW w:w="1509" w:type="dxa"/>
          </w:tcPr>
          <w:p w:rsidR="006969EE" w:rsidRPr="006969EE" w:rsidRDefault="006969EE" w:rsidP="00A51A6F">
            <w:pPr>
              <w:pStyle w:val="Tabletext"/>
              <w:keepNext/>
              <w:keepLines/>
              <w:jc w:val="right"/>
            </w:pPr>
            <w:r>
              <w:t>0.41</w:t>
            </w:r>
          </w:p>
        </w:tc>
      </w:tr>
      <w:tr w:rsidR="006969EE" w:rsidTr="006969EE">
        <w:trPr>
          <w:cnfStyle w:val="000000010000" w:firstRow="0" w:lastRow="0" w:firstColumn="0" w:lastColumn="0" w:oddVBand="0" w:evenVBand="0" w:oddHBand="0" w:evenHBand="1" w:firstRowFirstColumn="0" w:firstRowLastColumn="0" w:lastRowFirstColumn="0" w:lastRowLastColumn="0"/>
        </w:trPr>
        <w:tc>
          <w:tcPr>
            <w:tcW w:w="2376" w:type="dxa"/>
          </w:tcPr>
          <w:p w:rsidR="006969EE" w:rsidRPr="006969EE" w:rsidRDefault="006969EE" w:rsidP="00A51A6F">
            <w:pPr>
              <w:pStyle w:val="Tabletext"/>
              <w:keepNext/>
              <w:keepLines/>
            </w:pPr>
            <w:r>
              <w:t>JEN</w:t>
            </w:r>
          </w:p>
        </w:tc>
        <w:tc>
          <w:tcPr>
            <w:tcW w:w="2367" w:type="dxa"/>
          </w:tcPr>
          <w:p w:rsidR="006969EE" w:rsidRPr="006969EE" w:rsidRDefault="006969EE" w:rsidP="00A51A6F">
            <w:pPr>
              <w:pStyle w:val="Tabletext"/>
              <w:keepNext/>
              <w:keepLines/>
              <w:jc w:val="center"/>
            </w:pPr>
            <w:r>
              <w:t>±</w:t>
            </w:r>
            <w:r w:rsidRPr="006969EE">
              <w:t xml:space="preserve"> 5%</w:t>
            </w:r>
          </w:p>
        </w:tc>
        <w:tc>
          <w:tcPr>
            <w:tcW w:w="1482" w:type="dxa"/>
          </w:tcPr>
          <w:p w:rsidR="006969EE" w:rsidRPr="006969EE" w:rsidRDefault="006969EE" w:rsidP="00A51A6F">
            <w:pPr>
              <w:pStyle w:val="Tabletext"/>
              <w:keepNext/>
              <w:keepLines/>
              <w:jc w:val="right"/>
            </w:pPr>
            <w:r w:rsidRPr="000551FD">
              <w:t>3.91%</w:t>
            </w:r>
          </w:p>
        </w:tc>
        <w:tc>
          <w:tcPr>
            <w:tcW w:w="1508" w:type="dxa"/>
          </w:tcPr>
          <w:p w:rsidR="006969EE" w:rsidRPr="006969EE" w:rsidRDefault="006969EE" w:rsidP="00A51A6F">
            <w:pPr>
              <w:pStyle w:val="Tabletext"/>
              <w:keepNext/>
              <w:keepLines/>
              <w:jc w:val="right"/>
            </w:pPr>
            <w:r>
              <w:t>0.52%</w:t>
            </w:r>
          </w:p>
        </w:tc>
        <w:tc>
          <w:tcPr>
            <w:tcW w:w="1509" w:type="dxa"/>
          </w:tcPr>
          <w:p w:rsidR="006969EE" w:rsidRPr="006969EE" w:rsidRDefault="006969EE" w:rsidP="00A51A6F">
            <w:pPr>
              <w:pStyle w:val="Tabletext"/>
              <w:keepNext/>
              <w:keepLines/>
              <w:jc w:val="right"/>
            </w:pPr>
            <w:r w:rsidRPr="000551FD">
              <w:t>-2.39</w:t>
            </w:r>
            <w:r w:rsidRPr="006969EE">
              <w:t>%</w:t>
            </w:r>
          </w:p>
        </w:tc>
      </w:tr>
      <w:tr w:rsidR="006969EE" w:rsidTr="006969EE">
        <w:tc>
          <w:tcPr>
            <w:tcW w:w="2376" w:type="dxa"/>
          </w:tcPr>
          <w:p w:rsidR="006969EE" w:rsidRPr="006969EE" w:rsidRDefault="006969EE" w:rsidP="00A51A6F">
            <w:pPr>
              <w:pStyle w:val="Tabletext"/>
              <w:keepNext/>
              <w:keepLines/>
            </w:pPr>
            <w:proofErr w:type="spellStart"/>
            <w:r>
              <w:t>Powercor</w:t>
            </w:r>
            <w:proofErr w:type="spellEnd"/>
          </w:p>
        </w:tc>
        <w:tc>
          <w:tcPr>
            <w:tcW w:w="2367" w:type="dxa"/>
          </w:tcPr>
          <w:p w:rsidR="006969EE" w:rsidRPr="006969EE" w:rsidRDefault="006969EE" w:rsidP="00A51A6F">
            <w:pPr>
              <w:pStyle w:val="Tabletext"/>
              <w:keepNext/>
              <w:keepLines/>
              <w:jc w:val="center"/>
            </w:pPr>
            <w:r>
              <w:t>±</w:t>
            </w:r>
            <w:r w:rsidRPr="006969EE">
              <w:t xml:space="preserve"> 5%</w:t>
            </w:r>
          </w:p>
        </w:tc>
        <w:tc>
          <w:tcPr>
            <w:tcW w:w="1482" w:type="dxa"/>
          </w:tcPr>
          <w:p w:rsidR="006969EE" w:rsidRPr="006969EE" w:rsidRDefault="006969EE" w:rsidP="00A51A6F">
            <w:pPr>
              <w:pStyle w:val="Tabletext"/>
              <w:keepNext/>
              <w:keepLines/>
              <w:jc w:val="right"/>
            </w:pPr>
            <w:r>
              <w:t>2.49%</w:t>
            </w:r>
          </w:p>
        </w:tc>
        <w:tc>
          <w:tcPr>
            <w:tcW w:w="1508" w:type="dxa"/>
          </w:tcPr>
          <w:p w:rsidR="006969EE" w:rsidRPr="006969EE" w:rsidRDefault="006969EE" w:rsidP="00A51A6F">
            <w:pPr>
              <w:pStyle w:val="Tabletext"/>
              <w:keepNext/>
              <w:keepLines/>
              <w:jc w:val="right"/>
            </w:pPr>
            <w:r>
              <w:t>1.16%</w:t>
            </w:r>
          </w:p>
        </w:tc>
        <w:tc>
          <w:tcPr>
            <w:tcW w:w="1509" w:type="dxa"/>
          </w:tcPr>
          <w:p w:rsidR="006969EE" w:rsidRPr="006969EE" w:rsidRDefault="006969EE" w:rsidP="00A51A6F">
            <w:pPr>
              <w:pStyle w:val="Tabletext"/>
              <w:keepNext/>
              <w:keepLines/>
              <w:jc w:val="right"/>
            </w:pPr>
            <w:r>
              <w:t>-1.41%</w:t>
            </w:r>
          </w:p>
        </w:tc>
      </w:tr>
      <w:tr w:rsidR="006969EE" w:rsidTr="006969EE">
        <w:trPr>
          <w:cnfStyle w:val="000000010000" w:firstRow="0" w:lastRow="0" w:firstColumn="0" w:lastColumn="0" w:oddVBand="0" w:evenVBand="0" w:oddHBand="0" w:evenHBand="1" w:firstRowFirstColumn="0" w:firstRowLastColumn="0" w:lastRowFirstColumn="0" w:lastRowLastColumn="0"/>
        </w:trPr>
        <w:tc>
          <w:tcPr>
            <w:tcW w:w="2376" w:type="dxa"/>
          </w:tcPr>
          <w:p w:rsidR="006969EE" w:rsidRPr="006969EE" w:rsidRDefault="006969EE" w:rsidP="00A51A6F">
            <w:pPr>
              <w:pStyle w:val="Tabletext"/>
              <w:keepNext/>
              <w:keepLines/>
            </w:pPr>
            <w:proofErr w:type="spellStart"/>
            <w:r>
              <w:t>AusNet</w:t>
            </w:r>
            <w:proofErr w:type="spellEnd"/>
            <w:r>
              <w:t xml:space="preserve"> Services</w:t>
            </w:r>
          </w:p>
        </w:tc>
        <w:tc>
          <w:tcPr>
            <w:tcW w:w="2367" w:type="dxa"/>
          </w:tcPr>
          <w:p w:rsidR="006969EE" w:rsidRPr="006969EE" w:rsidRDefault="006969EE" w:rsidP="00A51A6F">
            <w:pPr>
              <w:pStyle w:val="Tabletext"/>
              <w:keepNext/>
              <w:keepLines/>
              <w:jc w:val="center"/>
            </w:pPr>
            <w:r>
              <w:t>±</w:t>
            </w:r>
            <w:r w:rsidRPr="006969EE">
              <w:t xml:space="preserve"> 7%</w:t>
            </w:r>
          </w:p>
        </w:tc>
        <w:tc>
          <w:tcPr>
            <w:tcW w:w="1482" w:type="dxa"/>
          </w:tcPr>
          <w:p w:rsidR="006969EE" w:rsidRPr="006969EE" w:rsidRDefault="006969EE" w:rsidP="00A51A6F">
            <w:pPr>
              <w:pStyle w:val="Tabletext"/>
              <w:keepNext/>
              <w:keepLines/>
              <w:jc w:val="right"/>
            </w:pPr>
            <w:r>
              <w:t>3.16%</w:t>
            </w:r>
          </w:p>
        </w:tc>
        <w:tc>
          <w:tcPr>
            <w:tcW w:w="1508" w:type="dxa"/>
          </w:tcPr>
          <w:p w:rsidR="006969EE" w:rsidRPr="006969EE" w:rsidRDefault="006969EE" w:rsidP="00A51A6F">
            <w:pPr>
              <w:pStyle w:val="Tabletext"/>
              <w:keepNext/>
              <w:keepLines/>
              <w:jc w:val="right"/>
            </w:pPr>
            <w:r>
              <w:t>3.66%</w:t>
            </w:r>
          </w:p>
        </w:tc>
        <w:tc>
          <w:tcPr>
            <w:tcW w:w="1509" w:type="dxa"/>
          </w:tcPr>
          <w:p w:rsidR="006969EE" w:rsidRPr="006969EE" w:rsidRDefault="006969EE" w:rsidP="00A51A6F">
            <w:pPr>
              <w:pStyle w:val="Tabletext"/>
              <w:keepNext/>
              <w:keepLines/>
              <w:jc w:val="right"/>
            </w:pPr>
            <w:r>
              <w:t>-2.13</w:t>
            </w:r>
            <w:r w:rsidRPr="006969EE">
              <w:t>%</w:t>
            </w:r>
          </w:p>
        </w:tc>
      </w:tr>
      <w:tr w:rsidR="006969EE" w:rsidTr="006969EE">
        <w:tc>
          <w:tcPr>
            <w:tcW w:w="2376" w:type="dxa"/>
          </w:tcPr>
          <w:p w:rsidR="006969EE" w:rsidRPr="006969EE" w:rsidRDefault="006969EE" w:rsidP="00A51A6F">
            <w:pPr>
              <w:pStyle w:val="Tabletext"/>
              <w:keepNext/>
              <w:keepLines/>
            </w:pPr>
            <w:r>
              <w:t>United Energy</w:t>
            </w:r>
          </w:p>
        </w:tc>
        <w:tc>
          <w:tcPr>
            <w:tcW w:w="2367" w:type="dxa"/>
          </w:tcPr>
          <w:p w:rsidR="006969EE" w:rsidRPr="006969EE" w:rsidRDefault="006969EE" w:rsidP="00A51A6F">
            <w:pPr>
              <w:pStyle w:val="Tabletext"/>
              <w:keepNext/>
              <w:keepLines/>
              <w:jc w:val="center"/>
            </w:pPr>
            <w:r>
              <w:t>±</w:t>
            </w:r>
            <w:r w:rsidRPr="006969EE">
              <w:t xml:space="preserve"> 5%</w:t>
            </w:r>
          </w:p>
        </w:tc>
        <w:tc>
          <w:tcPr>
            <w:tcW w:w="1482" w:type="dxa"/>
          </w:tcPr>
          <w:p w:rsidR="006969EE" w:rsidRPr="006969EE" w:rsidRDefault="006969EE" w:rsidP="00A51A6F">
            <w:pPr>
              <w:pStyle w:val="Tabletext"/>
              <w:keepNext/>
              <w:keepLines/>
              <w:jc w:val="right"/>
            </w:pPr>
            <w:r>
              <w:t>1.46%</w:t>
            </w:r>
          </w:p>
        </w:tc>
        <w:tc>
          <w:tcPr>
            <w:tcW w:w="1508" w:type="dxa"/>
          </w:tcPr>
          <w:p w:rsidR="006969EE" w:rsidRPr="006969EE" w:rsidRDefault="006969EE" w:rsidP="00A51A6F">
            <w:pPr>
              <w:pStyle w:val="Tabletext"/>
              <w:keepNext/>
              <w:keepLines/>
              <w:jc w:val="right"/>
            </w:pPr>
            <w:r>
              <w:t>-5.01%</w:t>
            </w:r>
          </w:p>
        </w:tc>
        <w:tc>
          <w:tcPr>
            <w:tcW w:w="1509" w:type="dxa"/>
          </w:tcPr>
          <w:p w:rsidR="006969EE" w:rsidRPr="006969EE" w:rsidRDefault="006969EE" w:rsidP="00A51A6F">
            <w:pPr>
              <w:pStyle w:val="Tabletext"/>
              <w:keepNext/>
              <w:keepLines/>
              <w:jc w:val="right"/>
            </w:pPr>
            <w:r>
              <w:t>1.05</w:t>
            </w:r>
            <w:r w:rsidRPr="006969EE">
              <w:t>%</w:t>
            </w:r>
          </w:p>
        </w:tc>
      </w:tr>
    </w:tbl>
    <w:p w:rsidR="00AE2FC7" w:rsidRDefault="00AE2FC7" w:rsidP="00AE2FC7"/>
    <w:p w:rsidR="00D503C8" w:rsidRPr="00D9604E" w:rsidRDefault="00AE2FC7" w:rsidP="00D9604E">
      <w:pPr>
        <w:pStyle w:val="Heading1"/>
        <w:spacing w:line="240" w:lineRule="auto"/>
        <w:rPr>
          <w:color w:val="70635A" w:themeColor="text2"/>
          <w:sz w:val="32"/>
          <w:szCs w:val="26"/>
        </w:rPr>
      </w:pPr>
      <w:bookmarkStart w:id="166" w:name="_Toc409771625"/>
      <w:bookmarkStart w:id="167" w:name="_Toc423086476"/>
      <w:r w:rsidRPr="00C54E02">
        <w:t>Distribution networks</w:t>
      </w:r>
      <w:bookmarkEnd w:id="166"/>
      <w:bookmarkEnd w:id="167"/>
    </w:p>
    <w:bookmarkStart w:id="168" w:name="_Toc409771626"/>
    <w:bookmarkStart w:id="169" w:name="_Toc423086478"/>
    <w:p w:rsidR="00AE2FC7" w:rsidRDefault="00D503C8" w:rsidP="00CA4BC2">
      <w:pPr>
        <w:pStyle w:val="Heading2"/>
      </w:pPr>
      <w:r w:rsidRPr="00E96856">
        <w:rPr>
          <w:noProof/>
          <w:lang w:eastAsia="en-AU"/>
        </w:rPr>
        <mc:AlternateContent>
          <mc:Choice Requires="wps">
            <w:drawing>
              <wp:anchor distT="0" distB="0" distL="114300" distR="114300" simplePos="0" relativeHeight="251661312" behindDoc="0" locked="0" layoutInCell="1" allowOverlap="1" wp14:anchorId="1F910951" wp14:editId="1A1F23FF">
                <wp:simplePos x="0" y="0"/>
                <wp:positionH relativeFrom="column">
                  <wp:posOffset>-265430</wp:posOffset>
                </wp:positionH>
                <wp:positionV relativeFrom="paragraph">
                  <wp:posOffset>310515</wp:posOffset>
                </wp:positionV>
                <wp:extent cx="6259195" cy="8485505"/>
                <wp:effectExtent l="19050" t="19050" r="27305" b="1079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485505"/>
                        </a:xfrm>
                        <a:prstGeom prst="rect">
                          <a:avLst/>
                        </a:prstGeom>
                        <a:noFill/>
                        <a:ln w="44450">
                          <a:solidFill>
                            <a:schemeClr val="accent4">
                              <a:lumMod val="20000"/>
                              <a:lumOff val="80000"/>
                            </a:schemeClr>
                          </a:solidFill>
                          <a:miter lim="800000"/>
                          <a:headEnd/>
                          <a:tailEnd/>
                        </a:ln>
                      </wps:spPr>
                      <wps:txbx>
                        <w:txbxContent>
                          <w:p w:rsidR="00AD3D0C" w:rsidRDefault="00AD3D0C" w:rsidP="00E96856">
                            <w:pPr>
                              <w:pStyle w:val="Heading3notnumbered"/>
                            </w:pPr>
                            <w:bookmarkStart w:id="170" w:name="_Toc409771627"/>
                            <w:bookmarkStart w:id="171" w:name="_Toc412790577"/>
                            <w:bookmarkStart w:id="172" w:name="_Toc413062058"/>
                            <w:bookmarkStart w:id="173" w:name="_Toc413311062"/>
                            <w:bookmarkStart w:id="174" w:name="_Toc423086477"/>
                            <w:r>
                              <w:t>Network characteristics</w:t>
                            </w:r>
                            <w:bookmarkEnd w:id="170"/>
                            <w:bookmarkEnd w:id="171"/>
                            <w:bookmarkEnd w:id="172"/>
                            <w:bookmarkEnd w:id="173"/>
                            <w:bookmarkEnd w:id="174"/>
                          </w:p>
                          <w:p w:rsidR="00AD3D0C" w:rsidRPr="00C312BC" w:rsidRDefault="00AD3D0C" w:rsidP="00E96856">
                            <w:r w:rsidRPr="00E96856">
                              <w:rPr>
                                <w:rStyle w:val="Strong"/>
                              </w:rPr>
                              <w:t>Ownership:</w:t>
                            </w:r>
                            <w:r>
                              <w:t xml:space="preserve">  </w:t>
                            </w:r>
                            <w:r w:rsidRPr="00B254DC">
                              <w:t>Equally owned by t</w:t>
                            </w:r>
                            <w:r>
                              <w:t xml:space="preserve">he Australian Capital Territory </w:t>
                            </w:r>
                            <w:r w:rsidRPr="00B254DC">
                              <w:t>Government and SPI (Australia) Assets Pty Ltd</w:t>
                            </w:r>
                            <w:r w:rsidRPr="00C312BC">
                              <w:t xml:space="preserve"> </w:t>
                            </w:r>
                          </w:p>
                          <w:p w:rsidR="00AD3D0C" w:rsidRPr="00C312BC" w:rsidRDefault="00AD3D0C" w:rsidP="00E96856">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E96856">
                            <w:pPr>
                              <w:rPr>
                                <w:rStyle w:val="Strong"/>
                              </w:rPr>
                            </w:pPr>
                            <w:r w:rsidRPr="00E96856">
                              <w:rPr>
                                <w:rStyle w:val="Strong"/>
                              </w:rPr>
                              <w:t>Network profile</w:t>
                            </w:r>
                          </w:p>
                          <w:p w:rsidR="00AD3D0C" w:rsidRDefault="00AD3D0C" w:rsidP="001A1D04">
                            <w:pPr>
                              <w:pStyle w:val="TableofFigures"/>
                            </w:pPr>
                            <w:r>
                              <w:t xml:space="preserve">  Total distribution customers:</w:t>
                            </w:r>
                            <w:r w:rsidRPr="00C312BC">
                              <w:t xml:space="preserve"> </w:t>
                            </w:r>
                            <w:r w:rsidRPr="00C312BC">
                              <w:tab/>
                            </w:r>
                            <w:r>
                              <w:tab/>
                            </w:r>
                            <w:r>
                              <w:tab/>
                              <w:t xml:space="preserve">175,221      </w:t>
                            </w:r>
                          </w:p>
                          <w:p w:rsidR="00AD3D0C" w:rsidRPr="00C312BC" w:rsidRDefault="00AD3D0C" w:rsidP="001A1D04">
                            <w:pPr>
                              <w:pStyle w:val="TableofFigures"/>
                            </w:pPr>
                            <w:r w:rsidRPr="00E96856">
                              <w:rPr>
                                <w:noProof/>
                                <w:lang w:eastAsia="en-AU"/>
                              </w:rPr>
                              <w:drawing>
                                <wp:inline distT="0" distB="0" distL="0" distR="0" wp14:anchorId="2F2FF05C" wp14:editId="5D24C65F">
                                  <wp:extent cx="4467600" cy="93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7600" cy="936000"/>
                                          </a:xfrm>
                                          <a:prstGeom prst="rect">
                                            <a:avLst/>
                                          </a:prstGeom>
                                          <a:noFill/>
                                          <a:ln w="28575">
                                            <a:noFill/>
                                          </a:ln>
                                        </pic:spPr>
                                      </pic:pic>
                                    </a:graphicData>
                                  </a:graphic>
                                </wp:inline>
                              </w:drawing>
                            </w:r>
                            <w:r w:rsidRPr="00E96856">
                              <w:t xml:space="preserve"> </w:t>
                            </w:r>
                          </w:p>
                          <w:p w:rsidR="00AD3D0C" w:rsidRDefault="00AD3D0C" w:rsidP="001A1D04">
                            <w:pPr>
                              <w:pStyle w:val="TableofFigures"/>
                            </w:pPr>
                            <w:r>
                              <w:t xml:space="preserve">  </w:t>
                            </w:r>
                            <w:r w:rsidRPr="0075338F">
                              <w:t xml:space="preserve">Total line </w:t>
                            </w:r>
                            <w:r>
                              <w:t xml:space="preserve">(circuit) </w:t>
                            </w:r>
                            <w:r w:rsidRPr="0075338F">
                              <w:t>length:</w:t>
                            </w:r>
                            <w:r>
                              <w:t xml:space="preserve"> </w:t>
                            </w:r>
                            <w:r>
                              <w:tab/>
                            </w:r>
                            <w:r>
                              <w:tab/>
                            </w:r>
                            <w:r>
                              <w:tab/>
                            </w:r>
                            <w:r>
                              <w:tab/>
                              <w:t>5,088 km</w:t>
                            </w:r>
                            <w:r w:rsidRPr="00EE35A5">
                              <w:rPr>
                                <w:noProof/>
                                <w:lang w:eastAsia="en-AU"/>
                              </w:rPr>
                              <w:drawing>
                                <wp:inline distT="0" distB="0" distL="0" distR="0" wp14:anchorId="66DB1941" wp14:editId="7E64BE48">
                                  <wp:extent cx="4468969" cy="93632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68179" cy="936161"/>
                                          </a:xfrm>
                                          <a:prstGeom prst="rect">
                                            <a:avLst/>
                                          </a:prstGeom>
                                          <a:noFill/>
                                          <a:ln w="19050">
                                            <a:noFill/>
                                          </a:ln>
                                        </pic:spPr>
                                      </pic:pic>
                                    </a:graphicData>
                                  </a:graphic>
                                </wp:inline>
                              </w:drawing>
                            </w:r>
                          </w:p>
                          <w:p w:rsidR="00AD3D0C" w:rsidRPr="00C312BC" w:rsidRDefault="00AD3D0C" w:rsidP="00E96856">
                            <w:r>
                              <w:t xml:space="preserve">    </w:t>
                            </w:r>
                            <w:r w:rsidRPr="000D7CD6">
                              <w:t xml:space="preserve">Customer density: </w:t>
                            </w:r>
                            <w:r w:rsidRPr="00C312BC">
                              <w:tab/>
                            </w:r>
                            <w:r w:rsidRPr="00C312BC">
                              <w:tab/>
                            </w:r>
                            <w:r>
                              <w:tab/>
                            </w:r>
                            <w:r>
                              <w:tab/>
                            </w:r>
                            <w:r>
                              <w:tab/>
                            </w:r>
                            <w:r>
                              <w:tab/>
                              <w:t>34.4</w:t>
                            </w:r>
                            <w:r w:rsidRPr="00C312BC">
                              <w:t xml:space="preserve"> customers/</w:t>
                            </w:r>
                            <w:r>
                              <w:t>km line (circuit)</w:t>
                            </w:r>
                          </w:p>
                          <w:p w:rsidR="00AD3D0C" w:rsidRPr="00E96856" w:rsidRDefault="00AD3D0C" w:rsidP="00E96856">
                            <w:pPr>
                              <w:rPr>
                                <w:rStyle w:val="Strong"/>
                              </w:rPr>
                            </w:pPr>
                            <w:bookmarkStart w:id="175" w:name="_Toc409771628"/>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bookmarkEnd w:id="175"/>
                          </w:p>
                          <w:p w:rsidR="00AD3D0C" w:rsidRPr="00C312BC" w:rsidRDefault="00AD3D0C" w:rsidP="00E96856">
                            <w:r>
                              <w:t xml:space="preserve">  </w:t>
                            </w:r>
                            <w:r w:rsidRPr="0075338F">
                              <w:t xml:space="preserve">Energy </w:t>
                            </w:r>
                            <w:r w:rsidRPr="00C312BC">
                              <w:t>delivered:</w:t>
                            </w:r>
                            <w:r w:rsidRPr="00C312BC">
                              <w:tab/>
                            </w:r>
                            <w:r w:rsidRPr="00C312BC">
                              <w:tab/>
                            </w:r>
                            <w:r w:rsidRPr="00C312BC">
                              <w:tab/>
                            </w:r>
                            <w:r>
                              <w:tab/>
                            </w:r>
                            <w:r>
                              <w:tab/>
                            </w:r>
                            <w:r>
                              <w:tab/>
                              <w:t xml:space="preserve">11,598 </w:t>
                            </w:r>
                            <w:proofErr w:type="spellStart"/>
                            <w:r>
                              <w:t>GWh</w:t>
                            </w:r>
                            <w:proofErr w:type="spellEnd"/>
                            <w:r>
                              <w:t xml:space="preserve">, </w:t>
                            </w:r>
                            <w:r w:rsidRPr="00CB73C1">
                              <w:t>within 1 per cent of forecast</w:t>
                            </w:r>
                          </w:p>
                          <w:p w:rsidR="00AD3D0C" w:rsidRPr="00CB73C1" w:rsidRDefault="00AD3D0C" w:rsidP="00E96856">
                            <w:r>
                              <w:t xml:space="preserve">  </w:t>
                            </w:r>
                            <w:r w:rsidRPr="00CB73C1">
                              <w:t xml:space="preserve">Capital expenditure: </w:t>
                            </w:r>
                            <w:r w:rsidRPr="00CB73C1">
                              <w:tab/>
                            </w:r>
                            <w:r w:rsidRPr="00CB73C1">
                              <w:tab/>
                            </w:r>
                            <w:r>
                              <w:tab/>
                            </w:r>
                            <w:r>
                              <w:tab/>
                            </w:r>
                            <w:r>
                              <w:tab/>
                              <w:t xml:space="preserve">$279 m, </w:t>
                            </w:r>
                            <w:r w:rsidRPr="00CB73C1">
                              <w:t xml:space="preserve">13 per cent </w:t>
                            </w:r>
                            <w:r w:rsidRPr="00AE2FC7">
                              <w:t>▲</w:t>
                            </w:r>
                            <w:r w:rsidRPr="00CB73C1">
                              <w:t xml:space="preserve"> than forecast </w:t>
                            </w:r>
                          </w:p>
                          <w:p w:rsidR="00AD3D0C" w:rsidRPr="00CB73C1" w:rsidRDefault="00AD3D0C" w:rsidP="00E96856">
                            <w:r>
                              <w:t xml:space="preserve">  </w:t>
                            </w:r>
                            <w:r w:rsidRPr="00CB73C1">
                              <w:t xml:space="preserve">Regulatory </w:t>
                            </w:r>
                            <w:r>
                              <w:t>a</w:t>
                            </w:r>
                            <w:r w:rsidRPr="00CB73C1">
                              <w:t xml:space="preserve">sset </w:t>
                            </w:r>
                            <w:r>
                              <w:t>b</w:t>
                            </w:r>
                            <w:r w:rsidRPr="00CB73C1">
                              <w:t xml:space="preserve">ase: </w:t>
                            </w:r>
                            <w:r w:rsidRPr="00CB73C1">
                              <w:tab/>
                            </w:r>
                            <w:r w:rsidRPr="00CB73C1">
                              <w:tab/>
                            </w:r>
                            <w:r>
                              <w:tab/>
                            </w:r>
                            <w:r>
                              <w:tab/>
                            </w:r>
                            <w:r w:rsidRPr="00CB73C1">
                              <w:t>1</w:t>
                            </w:r>
                            <w:r>
                              <w:t>6</w:t>
                            </w:r>
                            <w:r w:rsidRPr="00CB73C1">
                              <w:t xml:space="preserve"> per cent </w:t>
                            </w:r>
                            <w:r w:rsidRPr="00AE2FC7">
                              <w:t>▲</w:t>
                            </w:r>
                            <w:r w:rsidRPr="00CB73C1">
                              <w:t xml:space="preserve"> (from $</w:t>
                            </w:r>
                            <w:r>
                              <w:t xml:space="preserve">687 </w:t>
                            </w:r>
                            <w:r w:rsidRPr="00CB73C1">
                              <w:t>m to $797</w:t>
                            </w:r>
                            <w:r>
                              <w:t xml:space="preserve"> </w:t>
                            </w:r>
                            <w:r w:rsidRPr="00CB73C1">
                              <w:t>m)</w:t>
                            </w:r>
                          </w:p>
                          <w:p w:rsidR="00AD3D0C" w:rsidRPr="00CB73C1" w:rsidRDefault="00AD3D0C" w:rsidP="00E96856">
                            <w:r>
                              <w:t xml:space="preserve">  </w:t>
                            </w:r>
                            <w:r w:rsidRPr="00CB73C1">
                              <w:t xml:space="preserve">Operating expenditure: </w:t>
                            </w:r>
                            <w:r w:rsidRPr="00CB73C1">
                              <w:tab/>
                            </w:r>
                            <w:r>
                              <w:tab/>
                            </w:r>
                            <w:r>
                              <w:tab/>
                            </w:r>
                            <w:r>
                              <w:tab/>
                              <w:t xml:space="preserve">$327 m, </w:t>
                            </w:r>
                            <w:r w:rsidRPr="00CB73C1">
                              <w:t xml:space="preserve">6 per cent </w:t>
                            </w:r>
                            <w:r w:rsidRPr="00AE2FC7">
                              <w:t>▲</w:t>
                            </w:r>
                            <w:r w:rsidRPr="00CB73C1">
                              <w:t xml:space="preserve"> than forecast </w:t>
                            </w:r>
                          </w:p>
                          <w:p w:rsidR="00AD3D0C" w:rsidRPr="00CB73C1" w:rsidRDefault="00AD3D0C" w:rsidP="00E96856">
                            <w:r>
                              <w:t xml:space="preserve">  </w:t>
                            </w:r>
                            <w:r w:rsidRPr="00CB73C1">
                              <w:t xml:space="preserve">Revenue (average revenue cap): </w:t>
                            </w:r>
                            <w:r w:rsidRPr="00CB73C1">
                              <w:tab/>
                            </w:r>
                            <w:r>
                              <w:tab/>
                              <w:t xml:space="preserve">$649 m, </w:t>
                            </w:r>
                            <w:r w:rsidRPr="00CB73C1">
                              <w:t xml:space="preserve">4 per cent </w:t>
                            </w:r>
                            <w:r>
                              <w:rPr>
                                <w:rFonts w:cs="Arial"/>
                              </w:rPr>
                              <w:t>▼</w:t>
                            </w:r>
                            <w:r w:rsidRPr="00CB73C1">
                              <w:t xml:space="preserve"> than forecast </w:t>
                            </w:r>
                          </w:p>
                          <w:p w:rsidR="00AD3D0C" w:rsidRDefault="00AD3D0C" w:rsidP="00E96856">
                            <w:pPr>
                              <w:rPr>
                                <w:rStyle w:val="Strong"/>
                              </w:rPr>
                            </w:pPr>
                            <w:r w:rsidRPr="00D503C8">
                              <w:rPr>
                                <w:rStyle w:val="Strong"/>
                              </w:rPr>
                              <w:t xml:space="preserve">Network reliability (normalised): </w:t>
                            </w:r>
                          </w:p>
                          <w:p w:rsidR="00AD3D0C" w:rsidRDefault="00AD3D0C" w:rsidP="00E96856">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r>
                            <w:r w:rsidRPr="00E96856">
                              <w:t>2</w:t>
                            </w:r>
                            <w:r>
                              <w:t>8.7</w:t>
                            </w:r>
                            <w:r w:rsidRPr="00E96856">
                              <w:t xml:space="preserve"> minutes</w:t>
                            </w:r>
                          </w:p>
                          <w:p w:rsidR="00AD3D0C" w:rsidRDefault="00AD3D0C" w:rsidP="00E96856">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t>31.</w:t>
                            </w:r>
                            <w:r>
                              <w:t>8</w:t>
                            </w:r>
                            <w:r w:rsidRPr="00E96856">
                              <w:t xml:space="preserve"> minutes</w:t>
                            </w:r>
                          </w:p>
                          <w:p w:rsidR="00AD3D0C" w:rsidRDefault="00AD3D0C" w:rsidP="00E96856">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r>
                            <w:r w:rsidRPr="00E96856">
                              <w:t>0.61 interruptions</w:t>
                            </w:r>
                            <w:r>
                              <w:tab/>
                            </w:r>
                          </w:p>
                          <w:p w:rsidR="00AD3D0C" w:rsidRPr="00D503C8" w:rsidRDefault="00AD3D0C" w:rsidP="00E96856">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t>0.6</w:t>
                            </w:r>
                            <w:r>
                              <w:t>3</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9pt;margin-top:24.45pt;width:492.85pt;height:66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" filled="f" strokecolor="#ffbfbf [663]" strokeweight="3.5pt">
                <v:textbox>
                  <w:txbxContent>
                    <w:p w:rsidR="00AD3D0C" w:rsidRDefault="00AD3D0C" w:rsidP="00E96856">
                      <w:pPr>
                        <w:pStyle w:val="Heading3notnumbered"/>
                      </w:pPr>
                      <w:bookmarkStart w:id="176" w:name="_Toc409771627"/>
                      <w:bookmarkStart w:id="177" w:name="_Toc412790577"/>
                      <w:bookmarkStart w:id="178" w:name="_Toc413062058"/>
                      <w:bookmarkStart w:id="179" w:name="_Toc413311062"/>
                      <w:bookmarkStart w:id="180" w:name="_Toc423086477"/>
                      <w:r>
                        <w:t>Network characteristics</w:t>
                      </w:r>
                      <w:bookmarkEnd w:id="176"/>
                      <w:bookmarkEnd w:id="177"/>
                      <w:bookmarkEnd w:id="178"/>
                      <w:bookmarkEnd w:id="179"/>
                      <w:bookmarkEnd w:id="180"/>
                    </w:p>
                    <w:p w:rsidR="00AD3D0C" w:rsidRPr="00C312BC" w:rsidRDefault="00AD3D0C" w:rsidP="00E96856">
                      <w:r w:rsidRPr="00E96856">
                        <w:rPr>
                          <w:rStyle w:val="Strong"/>
                        </w:rPr>
                        <w:t>Ownership:</w:t>
                      </w:r>
                      <w:r>
                        <w:t xml:space="preserve">  </w:t>
                      </w:r>
                      <w:r w:rsidRPr="00B254DC">
                        <w:t>Equally owned by t</w:t>
                      </w:r>
                      <w:r>
                        <w:t xml:space="preserve">he Australian Capital Territory </w:t>
                      </w:r>
                      <w:r w:rsidRPr="00B254DC">
                        <w:t>Government and SPI (Australia) Assets Pty Ltd</w:t>
                      </w:r>
                      <w:r w:rsidRPr="00C312BC">
                        <w:t xml:space="preserve"> </w:t>
                      </w:r>
                    </w:p>
                    <w:p w:rsidR="00AD3D0C" w:rsidRPr="00C312BC" w:rsidRDefault="00AD3D0C" w:rsidP="00E96856">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E96856">
                      <w:pPr>
                        <w:rPr>
                          <w:rStyle w:val="Strong"/>
                        </w:rPr>
                      </w:pPr>
                      <w:r w:rsidRPr="00E96856">
                        <w:rPr>
                          <w:rStyle w:val="Strong"/>
                        </w:rPr>
                        <w:t>Network profile</w:t>
                      </w:r>
                    </w:p>
                    <w:p w:rsidR="00AD3D0C" w:rsidRDefault="00AD3D0C" w:rsidP="001A1D04">
                      <w:pPr>
                        <w:pStyle w:val="TableofFigures"/>
                      </w:pPr>
                      <w:r>
                        <w:t xml:space="preserve">  Total distribution customers:</w:t>
                      </w:r>
                      <w:r w:rsidRPr="00C312BC">
                        <w:t xml:space="preserve"> </w:t>
                      </w:r>
                      <w:r w:rsidRPr="00C312BC">
                        <w:tab/>
                      </w:r>
                      <w:r>
                        <w:tab/>
                      </w:r>
                      <w:r>
                        <w:tab/>
                        <w:t xml:space="preserve">175,221      </w:t>
                      </w:r>
                    </w:p>
                    <w:p w:rsidR="00AD3D0C" w:rsidRPr="00C312BC" w:rsidRDefault="00AD3D0C" w:rsidP="001A1D04">
                      <w:pPr>
                        <w:pStyle w:val="TableofFigures"/>
                      </w:pPr>
                      <w:r w:rsidRPr="00E96856">
                        <w:rPr>
                          <w:noProof/>
                          <w:lang w:eastAsia="en-AU"/>
                        </w:rPr>
                        <w:drawing>
                          <wp:inline distT="0" distB="0" distL="0" distR="0" wp14:anchorId="2F2FF05C" wp14:editId="5D24C65F">
                            <wp:extent cx="4467600" cy="93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7600" cy="936000"/>
                                    </a:xfrm>
                                    <a:prstGeom prst="rect">
                                      <a:avLst/>
                                    </a:prstGeom>
                                    <a:noFill/>
                                    <a:ln w="28575">
                                      <a:noFill/>
                                    </a:ln>
                                  </pic:spPr>
                                </pic:pic>
                              </a:graphicData>
                            </a:graphic>
                          </wp:inline>
                        </w:drawing>
                      </w:r>
                      <w:r w:rsidRPr="00E96856">
                        <w:t xml:space="preserve"> </w:t>
                      </w:r>
                    </w:p>
                    <w:p w:rsidR="00AD3D0C" w:rsidRDefault="00AD3D0C" w:rsidP="001A1D04">
                      <w:pPr>
                        <w:pStyle w:val="TableofFigures"/>
                      </w:pPr>
                      <w:r>
                        <w:t xml:space="preserve">  </w:t>
                      </w:r>
                      <w:r w:rsidRPr="0075338F">
                        <w:t xml:space="preserve">Total line </w:t>
                      </w:r>
                      <w:r>
                        <w:t xml:space="preserve">(circuit) </w:t>
                      </w:r>
                      <w:r w:rsidRPr="0075338F">
                        <w:t>length:</w:t>
                      </w:r>
                      <w:r>
                        <w:t xml:space="preserve"> </w:t>
                      </w:r>
                      <w:r>
                        <w:tab/>
                      </w:r>
                      <w:r>
                        <w:tab/>
                      </w:r>
                      <w:r>
                        <w:tab/>
                      </w:r>
                      <w:r>
                        <w:tab/>
                        <w:t>5,088 km</w:t>
                      </w:r>
                      <w:r w:rsidRPr="00EE35A5">
                        <w:rPr>
                          <w:noProof/>
                          <w:lang w:eastAsia="en-AU"/>
                        </w:rPr>
                        <w:drawing>
                          <wp:inline distT="0" distB="0" distL="0" distR="0" wp14:anchorId="66DB1941" wp14:editId="7E64BE48">
                            <wp:extent cx="4468969" cy="93632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68179" cy="936161"/>
                                    </a:xfrm>
                                    <a:prstGeom prst="rect">
                                      <a:avLst/>
                                    </a:prstGeom>
                                    <a:noFill/>
                                    <a:ln w="19050">
                                      <a:noFill/>
                                    </a:ln>
                                  </pic:spPr>
                                </pic:pic>
                              </a:graphicData>
                            </a:graphic>
                          </wp:inline>
                        </w:drawing>
                      </w:r>
                    </w:p>
                    <w:p w:rsidR="00AD3D0C" w:rsidRPr="00C312BC" w:rsidRDefault="00AD3D0C" w:rsidP="00E96856">
                      <w:r>
                        <w:t xml:space="preserve">    </w:t>
                      </w:r>
                      <w:r w:rsidRPr="000D7CD6">
                        <w:t xml:space="preserve">Customer density: </w:t>
                      </w:r>
                      <w:r w:rsidRPr="00C312BC">
                        <w:tab/>
                      </w:r>
                      <w:r w:rsidRPr="00C312BC">
                        <w:tab/>
                      </w:r>
                      <w:r>
                        <w:tab/>
                      </w:r>
                      <w:r>
                        <w:tab/>
                      </w:r>
                      <w:r>
                        <w:tab/>
                      </w:r>
                      <w:r>
                        <w:tab/>
                        <w:t>34.4</w:t>
                      </w:r>
                      <w:r w:rsidRPr="00C312BC">
                        <w:t xml:space="preserve"> customers/</w:t>
                      </w:r>
                      <w:r>
                        <w:t>km line (circuit)</w:t>
                      </w:r>
                    </w:p>
                    <w:p w:rsidR="00AD3D0C" w:rsidRPr="00E96856" w:rsidRDefault="00AD3D0C" w:rsidP="00E96856">
                      <w:pPr>
                        <w:rPr>
                          <w:rStyle w:val="Strong"/>
                        </w:rPr>
                      </w:pPr>
                      <w:bookmarkStart w:id="181" w:name="_Toc409771628"/>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bookmarkEnd w:id="181"/>
                    </w:p>
                    <w:p w:rsidR="00AD3D0C" w:rsidRPr="00C312BC" w:rsidRDefault="00AD3D0C" w:rsidP="00E96856">
                      <w:r>
                        <w:t xml:space="preserve">  </w:t>
                      </w:r>
                      <w:r w:rsidRPr="0075338F">
                        <w:t xml:space="preserve">Energy </w:t>
                      </w:r>
                      <w:r w:rsidRPr="00C312BC">
                        <w:t>delivered:</w:t>
                      </w:r>
                      <w:r w:rsidRPr="00C312BC">
                        <w:tab/>
                      </w:r>
                      <w:r w:rsidRPr="00C312BC">
                        <w:tab/>
                      </w:r>
                      <w:r w:rsidRPr="00C312BC">
                        <w:tab/>
                      </w:r>
                      <w:r>
                        <w:tab/>
                      </w:r>
                      <w:r>
                        <w:tab/>
                      </w:r>
                      <w:r>
                        <w:tab/>
                        <w:t xml:space="preserve">11,598 </w:t>
                      </w:r>
                      <w:proofErr w:type="spellStart"/>
                      <w:r>
                        <w:t>GWh</w:t>
                      </w:r>
                      <w:proofErr w:type="spellEnd"/>
                      <w:r>
                        <w:t xml:space="preserve">, </w:t>
                      </w:r>
                      <w:r w:rsidRPr="00CB73C1">
                        <w:t>within 1 per cent of forecast</w:t>
                      </w:r>
                    </w:p>
                    <w:p w:rsidR="00AD3D0C" w:rsidRPr="00CB73C1" w:rsidRDefault="00AD3D0C" w:rsidP="00E96856">
                      <w:r>
                        <w:t xml:space="preserve">  </w:t>
                      </w:r>
                      <w:r w:rsidRPr="00CB73C1">
                        <w:t xml:space="preserve">Capital expenditure: </w:t>
                      </w:r>
                      <w:r w:rsidRPr="00CB73C1">
                        <w:tab/>
                      </w:r>
                      <w:r w:rsidRPr="00CB73C1">
                        <w:tab/>
                      </w:r>
                      <w:r>
                        <w:tab/>
                      </w:r>
                      <w:r>
                        <w:tab/>
                      </w:r>
                      <w:r>
                        <w:tab/>
                        <w:t xml:space="preserve">$279 m, </w:t>
                      </w:r>
                      <w:r w:rsidRPr="00CB73C1">
                        <w:t xml:space="preserve">13 per cent </w:t>
                      </w:r>
                      <w:r w:rsidRPr="00AE2FC7">
                        <w:t>▲</w:t>
                      </w:r>
                      <w:r w:rsidRPr="00CB73C1">
                        <w:t xml:space="preserve"> than forecast </w:t>
                      </w:r>
                    </w:p>
                    <w:p w:rsidR="00AD3D0C" w:rsidRPr="00CB73C1" w:rsidRDefault="00AD3D0C" w:rsidP="00E96856">
                      <w:r>
                        <w:t xml:space="preserve">  </w:t>
                      </w:r>
                      <w:r w:rsidRPr="00CB73C1">
                        <w:t xml:space="preserve">Regulatory </w:t>
                      </w:r>
                      <w:r>
                        <w:t>a</w:t>
                      </w:r>
                      <w:r w:rsidRPr="00CB73C1">
                        <w:t xml:space="preserve">sset </w:t>
                      </w:r>
                      <w:r>
                        <w:t>b</w:t>
                      </w:r>
                      <w:r w:rsidRPr="00CB73C1">
                        <w:t xml:space="preserve">ase: </w:t>
                      </w:r>
                      <w:r w:rsidRPr="00CB73C1">
                        <w:tab/>
                      </w:r>
                      <w:r w:rsidRPr="00CB73C1">
                        <w:tab/>
                      </w:r>
                      <w:r>
                        <w:tab/>
                      </w:r>
                      <w:r>
                        <w:tab/>
                      </w:r>
                      <w:r w:rsidRPr="00CB73C1">
                        <w:t>1</w:t>
                      </w:r>
                      <w:r>
                        <w:t>6</w:t>
                      </w:r>
                      <w:r w:rsidRPr="00CB73C1">
                        <w:t xml:space="preserve"> per cent </w:t>
                      </w:r>
                      <w:r w:rsidRPr="00AE2FC7">
                        <w:t>▲</w:t>
                      </w:r>
                      <w:r w:rsidRPr="00CB73C1">
                        <w:t xml:space="preserve"> (from $</w:t>
                      </w:r>
                      <w:r>
                        <w:t xml:space="preserve">687 </w:t>
                      </w:r>
                      <w:r w:rsidRPr="00CB73C1">
                        <w:t>m to $797</w:t>
                      </w:r>
                      <w:r>
                        <w:t xml:space="preserve"> </w:t>
                      </w:r>
                      <w:r w:rsidRPr="00CB73C1">
                        <w:t>m)</w:t>
                      </w:r>
                    </w:p>
                    <w:p w:rsidR="00AD3D0C" w:rsidRPr="00CB73C1" w:rsidRDefault="00AD3D0C" w:rsidP="00E96856">
                      <w:r>
                        <w:t xml:space="preserve">  </w:t>
                      </w:r>
                      <w:r w:rsidRPr="00CB73C1">
                        <w:t xml:space="preserve">Operating expenditure: </w:t>
                      </w:r>
                      <w:r w:rsidRPr="00CB73C1">
                        <w:tab/>
                      </w:r>
                      <w:r>
                        <w:tab/>
                      </w:r>
                      <w:r>
                        <w:tab/>
                      </w:r>
                      <w:r>
                        <w:tab/>
                        <w:t xml:space="preserve">$327 m, </w:t>
                      </w:r>
                      <w:r w:rsidRPr="00CB73C1">
                        <w:t xml:space="preserve">6 per cent </w:t>
                      </w:r>
                      <w:r w:rsidRPr="00AE2FC7">
                        <w:t>▲</w:t>
                      </w:r>
                      <w:r w:rsidRPr="00CB73C1">
                        <w:t xml:space="preserve"> than forecast </w:t>
                      </w:r>
                    </w:p>
                    <w:p w:rsidR="00AD3D0C" w:rsidRPr="00CB73C1" w:rsidRDefault="00AD3D0C" w:rsidP="00E96856">
                      <w:r>
                        <w:t xml:space="preserve">  </w:t>
                      </w:r>
                      <w:r w:rsidRPr="00CB73C1">
                        <w:t xml:space="preserve">Revenue (average revenue cap): </w:t>
                      </w:r>
                      <w:r w:rsidRPr="00CB73C1">
                        <w:tab/>
                      </w:r>
                      <w:r>
                        <w:tab/>
                        <w:t xml:space="preserve">$649 m, </w:t>
                      </w:r>
                      <w:r w:rsidRPr="00CB73C1">
                        <w:t xml:space="preserve">4 per cent </w:t>
                      </w:r>
                      <w:r>
                        <w:rPr>
                          <w:rFonts w:cs="Arial"/>
                        </w:rPr>
                        <w:t>▼</w:t>
                      </w:r>
                      <w:r w:rsidRPr="00CB73C1">
                        <w:t xml:space="preserve"> than forecast </w:t>
                      </w:r>
                    </w:p>
                    <w:p w:rsidR="00AD3D0C" w:rsidRDefault="00AD3D0C" w:rsidP="00E96856">
                      <w:pPr>
                        <w:rPr>
                          <w:rStyle w:val="Strong"/>
                        </w:rPr>
                      </w:pPr>
                      <w:r w:rsidRPr="00D503C8">
                        <w:rPr>
                          <w:rStyle w:val="Strong"/>
                        </w:rPr>
                        <w:t xml:space="preserve">Network reliability (normalised): </w:t>
                      </w:r>
                    </w:p>
                    <w:p w:rsidR="00AD3D0C" w:rsidRDefault="00AD3D0C" w:rsidP="00E96856">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r>
                      <w:r w:rsidRPr="00E96856">
                        <w:t>2</w:t>
                      </w:r>
                      <w:r>
                        <w:t>8.7</w:t>
                      </w:r>
                      <w:r w:rsidRPr="00E96856">
                        <w:t xml:space="preserve"> minutes</w:t>
                      </w:r>
                    </w:p>
                    <w:p w:rsidR="00AD3D0C" w:rsidRDefault="00AD3D0C" w:rsidP="00E96856">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t>31.</w:t>
                      </w:r>
                      <w:r>
                        <w:t>8</w:t>
                      </w:r>
                      <w:r w:rsidRPr="00E96856">
                        <w:t xml:space="preserve"> minutes</w:t>
                      </w:r>
                    </w:p>
                    <w:p w:rsidR="00AD3D0C" w:rsidRDefault="00AD3D0C" w:rsidP="00E96856">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r>
                      <w:r w:rsidRPr="00E96856">
                        <w:t>0.61 interruptions</w:t>
                      </w:r>
                      <w:r>
                        <w:tab/>
                      </w:r>
                    </w:p>
                    <w:p w:rsidR="00AD3D0C" w:rsidRPr="00D503C8" w:rsidRDefault="00AD3D0C" w:rsidP="00E96856">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t>0.6</w:t>
                      </w:r>
                      <w:r>
                        <w:t>3</w:t>
                      </w:r>
                      <w:r w:rsidRPr="00E96856">
                        <w:t xml:space="preserve"> interruptions</w:t>
                      </w:r>
                    </w:p>
                  </w:txbxContent>
                </v:textbox>
                <w10:wrap type="topAndBottom"/>
              </v:shape>
            </w:pict>
          </mc:Fallback>
        </mc:AlternateContent>
      </w:r>
      <w:proofErr w:type="spellStart"/>
      <w:r w:rsidR="00AE2FC7">
        <w:t>ActewAGL</w:t>
      </w:r>
      <w:bookmarkEnd w:id="168"/>
      <w:bookmarkEnd w:id="169"/>
      <w:proofErr w:type="spellEnd"/>
    </w:p>
    <w:p w:rsidR="00AE2FC7" w:rsidRDefault="00AE2FC7" w:rsidP="00CA4BC2">
      <w:pPr>
        <w:pStyle w:val="Heading3"/>
      </w:pPr>
      <w:bookmarkStart w:id="176" w:name="_Toc409771629"/>
      <w:bookmarkStart w:id="177" w:name="_Toc412790578"/>
      <w:bookmarkStart w:id="178" w:name="_Toc413062059"/>
      <w:bookmarkStart w:id="179" w:name="_Toc413311063"/>
      <w:bookmarkStart w:id="180" w:name="_Toc423086479"/>
      <w:r>
        <w:t>Regulation</w:t>
      </w:r>
      <w:bookmarkEnd w:id="176"/>
      <w:bookmarkEnd w:id="177"/>
      <w:bookmarkEnd w:id="178"/>
      <w:bookmarkEnd w:id="179"/>
      <w:bookmarkEnd w:id="180"/>
    </w:p>
    <w:p w:rsidR="00AE2FC7" w:rsidRPr="00CB73C1" w:rsidRDefault="00011E64" w:rsidP="00AE2FC7">
      <w:r>
        <w:t>From</w:t>
      </w:r>
      <w:r w:rsidR="00AE2FC7" w:rsidRPr="00CB73C1">
        <w:t xml:space="preserve"> 1 July 2009 </w:t>
      </w:r>
      <w:r>
        <w:t>we have</w:t>
      </w:r>
      <w:r w:rsidR="00AE2FC7" w:rsidRPr="00CB73C1">
        <w:t xml:space="preserve"> been responsible for the economic regulation of electricity distribution services provided by </w:t>
      </w:r>
      <w:proofErr w:type="spellStart"/>
      <w:r w:rsidR="00AE2FC7" w:rsidRPr="00CB73C1">
        <w:t>ActewAGL</w:t>
      </w:r>
      <w:proofErr w:type="spellEnd"/>
      <w:r w:rsidR="00AE2FC7" w:rsidRPr="00CB73C1">
        <w:t>. Previously</w:t>
      </w:r>
      <w:r>
        <w:t>,</w:t>
      </w:r>
      <w:r w:rsidR="00AE2FC7" w:rsidRPr="00CB73C1">
        <w:t xml:space="preserve"> the ACT's Independent Competition and Regulatory Commission </w:t>
      </w:r>
      <w:r w:rsidR="00012BED" w:rsidRPr="00CB73C1">
        <w:t>was</w:t>
      </w:r>
      <w:r w:rsidR="00AE2FC7" w:rsidRPr="00CB73C1">
        <w:t xml:space="preserve"> the responsible regulator.</w:t>
      </w:r>
    </w:p>
    <w:p w:rsidR="00AE2FC7" w:rsidRDefault="00AE2FC7" w:rsidP="00CA4BC2">
      <w:pPr>
        <w:pStyle w:val="Heading3"/>
      </w:pPr>
      <w:bookmarkStart w:id="181" w:name="_Toc409771630"/>
      <w:bookmarkStart w:id="182" w:name="_Toc412790579"/>
      <w:bookmarkStart w:id="183" w:name="_Toc413062060"/>
      <w:bookmarkStart w:id="184" w:name="_Toc413311064"/>
      <w:bookmarkStart w:id="185" w:name="_Toc423086480"/>
      <w:r>
        <w:t>Energy delivered</w:t>
      </w:r>
      <w:bookmarkEnd w:id="181"/>
      <w:bookmarkEnd w:id="182"/>
      <w:bookmarkEnd w:id="183"/>
      <w:bookmarkEnd w:id="184"/>
      <w:bookmarkEnd w:id="185"/>
    </w:p>
    <w:p w:rsidR="004A74C7" w:rsidRPr="00CB73C1" w:rsidRDefault="00AE2FC7" w:rsidP="004A74C7">
      <w:r w:rsidRPr="00CB73C1">
        <w:t xml:space="preserve">Total energy delivered by </w:t>
      </w:r>
      <w:proofErr w:type="spellStart"/>
      <w:r w:rsidRPr="00CB73C1">
        <w:t>ActewAGL</w:t>
      </w:r>
      <w:proofErr w:type="spellEnd"/>
      <w:r w:rsidRPr="00CB73C1">
        <w:t xml:space="preserve"> over the first four years of the 2009</w:t>
      </w:r>
      <w:r w:rsidR="002423AC">
        <w:t>–</w:t>
      </w:r>
      <w:r w:rsidRPr="00CB73C1">
        <w:t xml:space="preserve">14 regulatory control </w:t>
      </w:r>
      <w:proofErr w:type="gramStart"/>
      <w:r w:rsidRPr="00CB73C1">
        <w:t>period</w:t>
      </w:r>
      <w:proofErr w:type="gramEnd"/>
      <w:r w:rsidRPr="00CB73C1">
        <w:t xml:space="preserve"> was comparable to </w:t>
      </w:r>
      <w:r w:rsidR="00011E64">
        <w:t>our</w:t>
      </w:r>
      <w:r w:rsidRPr="00CB73C1">
        <w:t xml:space="preserve"> approved forecast (</w:t>
      </w:r>
      <w:r>
        <w:t>Figure 9</w:t>
      </w:r>
      <w:r w:rsidRPr="00CB73C1">
        <w:t>–1). The forecasts for the 2009</w:t>
      </w:r>
      <w:r w:rsidR="002423AC">
        <w:t>–</w:t>
      </w:r>
      <w:r w:rsidRPr="00CB73C1">
        <w:t xml:space="preserve">14 regulatory control period were those submitted by </w:t>
      </w:r>
      <w:proofErr w:type="spellStart"/>
      <w:r w:rsidRPr="00CB73C1">
        <w:t>ActewAGL</w:t>
      </w:r>
      <w:proofErr w:type="spellEnd"/>
      <w:r w:rsidRPr="00CB73C1">
        <w:t xml:space="preserve"> and accepted by </w:t>
      </w:r>
      <w:r w:rsidR="00011E64">
        <w:t>us in our</w:t>
      </w:r>
      <w:r w:rsidRPr="00CB73C1">
        <w:t xml:space="preserve"> final 2009 distribution determination.</w:t>
      </w:r>
      <w:r w:rsidR="004A74C7" w:rsidRPr="004A74C7">
        <w:t xml:space="preserve"> </w:t>
      </w:r>
      <w:proofErr w:type="spellStart"/>
      <w:r w:rsidR="004A74C7" w:rsidRPr="00CB73C1">
        <w:t>ActewAGL</w:t>
      </w:r>
      <w:proofErr w:type="spellEnd"/>
      <w:r w:rsidR="004A74C7" w:rsidRPr="00CB73C1">
        <w:t xml:space="preserve"> identified the following reasons for the decrease in energy delivered:</w:t>
      </w:r>
    </w:p>
    <w:p w:rsidR="004A74C7" w:rsidRPr="00CB73C1" w:rsidRDefault="004A74C7" w:rsidP="00004B71">
      <w:pPr>
        <w:pStyle w:val="ListBullet"/>
      </w:pPr>
      <w:proofErr w:type="gramStart"/>
      <w:r>
        <w:t>a</w:t>
      </w:r>
      <w:proofErr w:type="gramEnd"/>
      <w:r>
        <w:t xml:space="preserve"> c</w:t>
      </w:r>
      <w:r w:rsidRPr="00CB73C1">
        <w:t>ombination of seasonal influences.</w:t>
      </w:r>
    </w:p>
    <w:p w:rsidR="004A74C7" w:rsidRPr="00CB73C1" w:rsidRDefault="004A74C7" w:rsidP="00004B71">
      <w:pPr>
        <w:pStyle w:val="ListBullet"/>
      </w:pPr>
      <w:proofErr w:type="gramStart"/>
      <w:r>
        <w:t>i</w:t>
      </w:r>
      <w:r w:rsidRPr="00CB73C1">
        <w:t>ncreased</w:t>
      </w:r>
      <w:proofErr w:type="gramEnd"/>
      <w:r w:rsidRPr="00CB73C1">
        <w:t xml:space="preserve"> PV array penetration. </w:t>
      </w:r>
    </w:p>
    <w:p w:rsidR="004A74C7" w:rsidRPr="00CB73C1" w:rsidRDefault="004A74C7" w:rsidP="00004B71">
      <w:pPr>
        <w:pStyle w:val="ListBullet"/>
      </w:pPr>
      <w:proofErr w:type="gramStart"/>
      <w:r>
        <w:t>c</w:t>
      </w:r>
      <w:r w:rsidRPr="00CB73C1">
        <w:t>onsumer</w:t>
      </w:r>
      <w:proofErr w:type="gramEnd"/>
      <w:r w:rsidRPr="00CB73C1">
        <w:t xml:space="preserve"> sensitivity to network price increases.</w:t>
      </w:r>
    </w:p>
    <w:p w:rsidR="00AE2FC7" w:rsidRDefault="00AE2FC7" w:rsidP="00972E3F">
      <w:pPr>
        <w:pStyle w:val="Caption"/>
      </w:pPr>
      <w:r>
        <w:t>Figure 9</w:t>
      </w:r>
      <w:r w:rsidRPr="00CB73C1">
        <w:t>–1</w:t>
      </w:r>
      <w:r w:rsidRPr="00CB73C1">
        <w:tab/>
        <w:t xml:space="preserve">Energy delivered </w:t>
      </w:r>
      <w:r w:rsidR="007A3240">
        <w:t>–</w:t>
      </w:r>
      <w:r w:rsidRPr="00CB73C1">
        <w:t xml:space="preserve"> </w:t>
      </w:r>
      <w:proofErr w:type="spellStart"/>
      <w:r w:rsidRPr="00CB73C1">
        <w:t>ActewAGL</w:t>
      </w:r>
      <w:proofErr w:type="spellEnd"/>
    </w:p>
    <w:p w:rsidR="008D3854" w:rsidRPr="008D3854" w:rsidRDefault="008D3854" w:rsidP="008D3854">
      <w:r w:rsidRPr="008D3854">
        <w:rPr>
          <w:noProof/>
          <w:lang w:eastAsia="en-AU"/>
        </w:rPr>
        <w:drawing>
          <wp:inline distT="0" distB="0" distL="0" distR="0" wp14:anchorId="37B4B0A0" wp14:editId="29E8AC70">
            <wp:extent cx="4582510" cy="2743200"/>
            <wp:effectExtent l="0" t="0" r="889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E2FC7" w:rsidRPr="00CB73C1" w:rsidRDefault="00AE2FC7" w:rsidP="00AE2FC7">
      <w:r w:rsidRPr="00CB73C1">
        <w:t xml:space="preserve">Chapter 4 </w:t>
      </w:r>
      <w:r w:rsidR="004A74C7">
        <w:t>contains our</w:t>
      </w:r>
      <w:r w:rsidRPr="00CB73C1">
        <w:t xml:space="preserve"> comparative assessment of energy delivered </w:t>
      </w:r>
      <w:r w:rsidR="004A74C7">
        <w:t>by</w:t>
      </w:r>
      <w:r w:rsidRPr="00CB73C1">
        <w:t xml:space="preserve"> all DNSPs in the NEM. </w:t>
      </w:r>
    </w:p>
    <w:p w:rsidR="00AE2FC7" w:rsidRDefault="00AE2FC7" w:rsidP="00CA4BC2">
      <w:pPr>
        <w:pStyle w:val="Heading3"/>
      </w:pPr>
      <w:bookmarkStart w:id="186" w:name="_Toc409771631"/>
      <w:bookmarkStart w:id="187" w:name="_Toc412790580"/>
      <w:bookmarkStart w:id="188" w:name="_Toc413062061"/>
      <w:bookmarkStart w:id="189" w:name="_Toc413311065"/>
      <w:bookmarkStart w:id="190" w:name="_Toc423086481"/>
      <w:r>
        <w:t>Demand</w:t>
      </w:r>
      <w:bookmarkEnd w:id="186"/>
      <w:bookmarkEnd w:id="187"/>
      <w:bookmarkEnd w:id="188"/>
      <w:bookmarkEnd w:id="189"/>
      <w:bookmarkEnd w:id="190"/>
    </w:p>
    <w:p w:rsidR="004A74C7" w:rsidRPr="00CB73C1" w:rsidRDefault="004A74C7" w:rsidP="004A74C7">
      <w:proofErr w:type="spellStart"/>
      <w:r w:rsidRPr="00CB73C1">
        <w:t>ActewAGL's</w:t>
      </w:r>
      <w:proofErr w:type="spellEnd"/>
      <w:r w:rsidRPr="00CB73C1">
        <w:t xml:space="preserve"> actual maximum demand in 2012</w:t>
      </w:r>
      <w:r>
        <w:t>–</w:t>
      </w:r>
      <w:r w:rsidRPr="00CB73C1">
        <w:t>13 was the lowest since 2004</w:t>
      </w:r>
      <w:r>
        <w:t>–</w:t>
      </w:r>
      <w:r w:rsidRPr="00CB73C1">
        <w:t>05. This</w:t>
      </w:r>
      <w:r>
        <w:t xml:space="preserve"> low occurred</w:t>
      </w:r>
      <w:r w:rsidRPr="00CB73C1">
        <w:t xml:space="preserve"> despite an expectation at the time of the 2009 distribution determination</w:t>
      </w:r>
      <w:r w:rsidRPr="00D3571E">
        <w:t xml:space="preserve"> </w:t>
      </w:r>
      <w:r w:rsidRPr="00CB73C1">
        <w:t>of increasing system maximum demand</w:t>
      </w:r>
      <w:r>
        <w:t xml:space="preserve"> </w:t>
      </w:r>
      <w:r w:rsidRPr="00CB73C1">
        <w:t>(</w:t>
      </w:r>
      <w:r>
        <w:t>Figure 9</w:t>
      </w:r>
      <w:r w:rsidRPr="00CB73C1">
        <w:t>–2).</w:t>
      </w:r>
      <w:r>
        <w:t xml:space="preserve"> </w:t>
      </w:r>
      <w:r w:rsidRPr="00CB73C1">
        <w:t xml:space="preserve">Weather is a major driver of </w:t>
      </w:r>
      <w:proofErr w:type="spellStart"/>
      <w:r w:rsidRPr="00CB73C1">
        <w:t>ActewAGL's</w:t>
      </w:r>
      <w:proofErr w:type="spellEnd"/>
      <w:r w:rsidRPr="00CB73C1">
        <w:t xml:space="preserve"> maximum demand and energy delivered. The ACT usually experiences warm to hot summers and cool to cold winters.</w:t>
      </w:r>
      <w:r w:rsidR="00F61EF6">
        <w:t xml:space="preserve"> </w:t>
      </w:r>
      <w:r>
        <w:t xml:space="preserve"> </w:t>
      </w:r>
      <w:r w:rsidRPr="00CB73C1">
        <w:t xml:space="preserve"> </w:t>
      </w:r>
    </w:p>
    <w:p w:rsidR="00AE2FC7" w:rsidRPr="00CB73C1" w:rsidRDefault="00AE2FC7" w:rsidP="00AE2FC7"/>
    <w:p w:rsidR="00AE2FC7" w:rsidRDefault="00AE2FC7" w:rsidP="00972E3F">
      <w:pPr>
        <w:pStyle w:val="Caption"/>
      </w:pPr>
      <w:r>
        <w:t>Figure 9</w:t>
      </w:r>
      <w:r w:rsidRPr="00CB73C1">
        <w:t>–2</w:t>
      </w:r>
      <w:r w:rsidRPr="00CB73C1">
        <w:tab/>
        <w:t xml:space="preserve">Maximum demand </w:t>
      </w:r>
      <w:r w:rsidR="007A3240">
        <w:t>–</w:t>
      </w:r>
      <w:r w:rsidRPr="00CB73C1">
        <w:t xml:space="preserve"> </w:t>
      </w:r>
      <w:proofErr w:type="spellStart"/>
      <w:r w:rsidRPr="00CB73C1">
        <w:t>ActewAGL</w:t>
      </w:r>
      <w:proofErr w:type="spellEnd"/>
    </w:p>
    <w:p w:rsidR="008D3854" w:rsidRPr="008D3854" w:rsidRDefault="008D3854" w:rsidP="008D3854">
      <w:r w:rsidRPr="008D3854">
        <w:rPr>
          <w:noProof/>
          <w:lang w:eastAsia="en-AU"/>
        </w:rPr>
        <w:drawing>
          <wp:inline distT="0" distB="0" distL="0" distR="0" wp14:anchorId="5E2C1502" wp14:editId="5C2EE323">
            <wp:extent cx="4581196"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E2FC7" w:rsidRPr="00CB73C1" w:rsidRDefault="00AE2FC7" w:rsidP="00AE2FC7">
      <w:r w:rsidRPr="00CB73C1">
        <w:t xml:space="preserve">Chapter 4 </w:t>
      </w:r>
      <w:r w:rsidR="009E3ACF">
        <w:t xml:space="preserve">contains our </w:t>
      </w:r>
      <w:r w:rsidRPr="00CB73C1">
        <w:t xml:space="preserve">assessment of maximum demand for all DNSPs in the NEM. </w:t>
      </w:r>
    </w:p>
    <w:p w:rsidR="00AE2FC7" w:rsidRDefault="00AE2FC7" w:rsidP="00CA4BC2">
      <w:pPr>
        <w:pStyle w:val="Heading3"/>
      </w:pPr>
      <w:bookmarkStart w:id="191" w:name="_Toc409771632"/>
      <w:bookmarkStart w:id="192" w:name="_Toc412790581"/>
      <w:bookmarkStart w:id="193" w:name="_Toc413062062"/>
      <w:bookmarkStart w:id="194" w:name="_Toc413311066"/>
      <w:bookmarkStart w:id="195" w:name="_Toc423086482"/>
      <w:r>
        <w:t>Expenditure and revenue</w:t>
      </w:r>
      <w:bookmarkEnd w:id="191"/>
      <w:bookmarkEnd w:id="192"/>
      <w:bookmarkEnd w:id="193"/>
      <w:bookmarkEnd w:id="194"/>
      <w:bookmarkEnd w:id="195"/>
    </w:p>
    <w:p w:rsidR="00F61EF6" w:rsidRPr="00CB73C1" w:rsidRDefault="00F61EF6" w:rsidP="00F61EF6">
      <w:r>
        <w:t>T</w:t>
      </w:r>
      <w:r w:rsidRPr="00CB73C1">
        <w:t xml:space="preserve">he following analysis of </w:t>
      </w:r>
      <w:proofErr w:type="spellStart"/>
      <w:r w:rsidRPr="00CB73C1">
        <w:t>ActewAGL's</w:t>
      </w:r>
      <w:proofErr w:type="spellEnd"/>
      <w:r w:rsidRPr="00CB73C1">
        <w:t xml:space="preserve"> expenditure and revenue </w:t>
      </w:r>
      <w:r>
        <w:t>includes a</w:t>
      </w:r>
      <w:r w:rsidRPr="00CB73C1">
        <w:t xml:space="preserve">mendments </w:t>
      </w:r>
      <w:r>
        <w:t>to our</w:t>
      </w:r>
      <w:r w:rsidRPr="00CB73C1">
        <w:t xml:space="preserve"> approved forecasts as the result approved pass throughs. </w:t>
      </w:r>
    </w:p>
    <w:p w:rsidR="00AE2FC7" w:rsidRPr="00CB73C1" w:rsidRDefault="00AE2FC7" w:rsidP="00CA4BC2">
      <w:pPr>
        <w:pStyle w:val="Heading4notnumbered"/>
      </w:pPr>
      <w:r w:rsidRPr="00CB73C1">
        <w:t>Capital expenditure</w:t>
      </w:r>
    </w:p>
    <w:p w:rsidR="00AE2FC7" w:rsidRDefault="00AE2FC7" w:rsidP="00D35600">
      <w:pPr>
        <w:ind w:right="-57"/>
      </w:pPr>
      <w:proofErr w:type="spellStart"/>
      <w:r w:rsidRPr="00CB73C1">
        <w:t>ActewAGL's</w:t>
      </w:r>
      <w:proofErr w:type="spellEnd"/>
      <w:r w:rsidRPr="00CB73C1">
        <w:t xml:space="preserve"> total capital expenditure over the first four years of the 2009</w:t>
      </w:r>
      <w:r w:rsidR="002423AC">
        <w:t>–</w:t>
      </w:r>
      <w:r w:rsidRPr="00CB73C1">
        <w:t xml:space="preserve">14 regulatory control </w:t>
      </w:r>
      <w:proofErr w:type="gramStart"/>
      <w:r w:rsidRPr="00CB73C1">
        <w:t>period</w:t>
      </w:r>
      <w:proofErr w:type="gramEnd"/>
      <w:r w:rsidRPr="00CB73C1">
        <w:t xml:space="preserve"> was approximately 13 per cent higher than </w:t>
      </w:r>
      <w:r w:rsidR="00011E64">
        <w:t>our</w:t>
      </w:r>
      <w:r w:rsidRPr="00CB73C1">
        <w:t xml:space="preserve"> approved forecast (</w:t>
      </w:r>
      <w:r>
        <w:t>Figure 9</w:t>
      </w:r>
      <w:r w:rsidRPr="00CB73C1">
        <w:t>–3).</w:t>
      </w:r>
    </w:p>
    <w:p w:rsidR="00F61EF6" w:rsidRPr="00CB73C1" w:rsidRDefault="00F61EF6" w:rsidP="00F61EF6">
      <w:proofErr w:type="spellStart"/>
      <w:r w:rsidRPr="00CB73C1">
        <w:t>ActewAGL</w:t>
      </w:r>
      <w:proofErr w:type="spellEnd"/>
      <w:r w:rsidRPr="00CB73C1">
        <w:t xml:space="preserve"> indicated in its 2013 Transitional Regulatory Proposal that overspending on capital was due to the following:</w:t>
      </w:r>
    </w:p>
    <w:p w:rsidR="009A1928" w:rsidRPr="00CB73C1" w:rsidRDefault="009A1928" w:rsidP="00004B71">
      <w:pPr>
        <w:pStyle w:val="ListBullet"/>
      </w:pPr>
      <w:r>
        <w:t>h</w:t>
      </w:r>
      <w:r w:rsidRPr="00CB73C1">
        <w:t>igher than forecast customer initiated capital works</w:t>
      </w:r>
      <w:r>
        <w:t>,</w:t>
      </w:r>
      <w:r w:rsidRPr="00CB73C1">
        <w:t xml:space="preserve"> due to strong growth in commercial and industrial developments and new urban development</w:t>
      </w:r>
    </w:p>
    <w:p w:rsidR="009A1928" w:rsidRPr="00CB73C1" w:rsidRDefault="009A1928" w:rsidP="00004B71">
      <w:pPr>
        <w:pStyle w:val="ListBullet"/>
      </w:pPr>
      <w:proofErr w:type="gramStart"/>
      <w:r>
        <w:t>t</w:t>
      </w:r>
      <w:r w:rsidRPr="00CB73C1">
        <w:t>he</w:t>
      </w:r>
      <w:proofErr w:type="gramEnd"/>
      <w:r w:rsidRPr="00CB73C1">
        <w:t xml:space="preserve"> decision to acquire land and construct a warehouse office space at Greenway as an alternative to re</w:t>
      </w:r>
      <w:r>
        <w:t>-</w:t>
      </w:r>
      <w:r w:rsidRPr="00CB73C1">
        <w:t xml:space="preserve">leasing the Fyshwick logistics site. </w:t>
      </w:r>
      <w:proofErr w:type="spellStart"/>
      <w:r w:rsidRPr="00CB73C1">
        <w:t>ActewAGL’s</w:t>
      </w:r>
      <w:proofErr w:type="spellEnd"/>
      <w:r w:rsidRPr="00CB73C1">
        <w:t xml:space="preserve"> 2008 </w:t>
      </w:r>
      <w:r w:rsidR="00004B71">
        <w:t>R</w:t>
      </w:r>
      <w:r w:rsidRPr="00CB73C1">
        <w:t xml:space="preserve">egulatory </w:t>
      </w:r>
      <w:r w:rsidR="00004B71">
        <w:t>P</w:t>
      </w:r>
      <w:r w:rsidRPr="00CB73C1">
        <w:t>roposal</w:t>
      </w:r>
      <w:r>
        <w:t xml:space="preserve"> did not include this expenditure</w:t>
      </w:r>
      <w:r w:rsidRPr="00CB73C1">
        <w:t>.</w:t>
      </w:r>
    </w:p>
    <w:p w:rsidR="009A1928" w:rsidRPr="00CB73C1" w:rsidRDefault="009A1928" w:rsidP="00004B71">
      <w:pPr>
        <w:pStyle w:val="ListBullet"/>
      </w:pPr>
      <w:r>
        <w:t>h</w:t>
      </w:r>
      <w:r w:rsidRPr="00CB73C1">
        <w:t>igher than anticipated asset augmentation costs relating to</w:t>
      </w:r>
      <w:r>
        <w:t xml:space="preserve"> the</w:t>
      </w:r>
      <w:r w:rsidRPr="00CB73C1">
        <w:t xml:space="preserve"> construction of the new Eastlake zone substation, augmentation of the Civic zone substations, and construction of </w:t>
      </w:r>
      <w:r>
        <w:t>s</w:t>
      </w:r>
      <w:r w:rsidRPr="00CB73C1">
        <w:t xml:space="preserve">tage 1 of the Southern Supply to ACT </w:t>
      </w:r>
      <w:r>
        <w:t>P</w:t>
      </w:r>
      <w:r w:rsidRPr="00CB73C1">
        <w:t xml:space="preserve">roject 3 as required by the </w:t>
      </w:r>
      <w:r w:rsidRPr="00004B71">
        <w:rPr>
          <w:rStyle w:val="Emphasis"/>
        </w:rPr>
        <w:t>Utilities (Electricity Transmission) Regulation 2006</w:t>
      </w:r>
    </w:p>
    <w:p w:rsidR="009A1928" w:rsidRPr="00CB73C1" w:rsidRDefault="009A1928" w:rsidP="00004B71">
      <w:pPr>
        <w:pStyle w:val="ListBullet"/>
      </w:pPr>
      <w:proofErr w:type="gramStart"/>
      <w:r>
        <w:t>i</w:t>
      </w:r>
      <w:r w:rsidRPr="00CB73C1">
        <w:t>mplementation</w:t>
      </w:r>
      <w:proofErr w:type="gramEnd"/>
      <w:r w:rsidRPr="00CB73C1">
        <w:t xml:space="preserve"> of a major Systems Replacement Program. </w:t>
      </w:r>
    </w:p>
    <w:p w:rsidR="00AE2FC7" w:rsidRDefault="00AE2FC7" w:rsidP="00972E3F">
      <w:pPr>
        <w:pStyle w:val="Caption"/>
      </w:pPr>
      <w:r>
        <w:t>Figure 9</w:t>
      </w:r>
      <w:r w:rsidRPr="00CB73C1">
        <w:t>–3</w:t>
      </w:r>
      <w:r w:rsidRPr="00CB73C1">
        <w:tab/>
        <w:t xml:space="preserve">Capital expenditure (excluding customer contributions) </w:t>
      </w:r>
      <w:r w:rsidR="007A3240">
        <w:t>–</w:t>
      </w:r>
      <w:r w:rsidRPr="00CB73C1">
        <w:t xml:space="preserve"> </w:t>
      </w:r>
      <w:proofErr w:type="spellStart"/>
      <w:r w:rsidRPr="00CB73C1">
        <w:t>ActewAGL</w:t>
      </w:r>
      <w:proofErr w:type="spellEnd"/>
    </w:p>
    <w:p w:rsidR="008D3854" w:rsidRPr="008D3854" w:rsidRDefault="008D3854" w:rsidP="008D3854">
      <w:r w:rsidRPr="008D3854">
        <w:rPr>
          <w:noProof/>
          <w:lang w:eastAsia="en-AU"/>
        </w:rPr>
        <w:drawing>
          <wp:inline distT="0" distB="0" distL="0" distR="0" wp14:anchorId="0DCCA7C2" wp14:editId="7F4C827B">
            <wp:extent cx="4582510" cy="2743200"/>
            <wp:effectExtent l="0" t="0" r="889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A1928" w:rsidRPr="00CB73C1" w:rsidRDefault="009A1928" w:rsidP="009A1928">
      <w:r w:rsidRPr="00CB73C1">
        <w:t xml:space="preserve">Demand related augmentation projects were the main capital expense for </w:t>
      </w:r>
      <w:proofErr w:type="spellStart"/>
      <w:r w:rsidRPr="00CB73C1">
        <w:t>ActewAGL</w:t>
      </w:r>
      <w:proofErr w:type="spellEnd"/>
      <w:r w:rsidRPr="00CB73C1">
        <w:t xml:space="preserve"> in the first four years of the 2009</w:t>
      </w:r>
      <w:r>
        <w:t>–</w:t>
      </w:r>
      <w:r w:rsidRPr="00CB73C1">
        <w:t>14 regulatory control period (</w:t>
      </w:r>
      <w:r>
        <w:t>Figure 9</w:t>
      </w:r>
      <w:r w:rsidRPr="00CB73C1">
        <w:t>–4). Augmentation expenditure was 22 per cent higher than forecast over 2010</w:t>
      </w:r>
      <w:r>
        <w:t>–</w:t>
      </w:r>
      <w:r w:rsidRPr="00CB73C1">
        <w:t>11 to 2012</w:t>
      </w:r>
      <w:r>
        <w:t>–</w:t>
      </w:r>
      <w:r w:rsidRPr="00CB73C1">
        <w:t>13.</w:t>
      </w:r>
      <w:r>
        <w:t xml:space="preserve"> </w:t>
      </w:r>
      <w:r w:rsidRPr="00CB73C1">
        <w:t>Expenditure on non</w:t>
      </w:r>
      <w:r>
        <w:t>–</w:t>
      </w:r>
      <w:r w:rsidRPr="00CB73C1">
        <w:t xml:space="preserve">system assets was </w:t>
      </w:r>
      <w:r>
        <w:t>over</w:t>
      </w:r>
      <w:r w:rsidRPr="00CB73C1">
        <w:t xml:space="preserve"> four times higher than forecast over the period 2010</w:t>
      </w:r>
      <w:r>
        <w:t>–</w:t>
      </w:r>
      <w:r w:rsidRPr="00CB73C1">
        <w:t>11 to 2012</w:t>
      </w:r>
      <w:r>
        <w:t>–</w:t>
      </w:r>
      <w:r w:rsidRPr="00CB73C1">
        <w:t>13.</w:t>
      </w:r>
    </w:p>
    <w:p w:rsidR="009A1928" w:rsidRPr="00CB73C1" w:rsidRDefault="009A1928" w:rsidP="009A1928">
      <w:r w:rsidRPr="00CB73C1">
        <w:t xml:space="preserve">Chapter 5 </w:t>
      </w:r>
      <w:r>
        <w:t>describes</w:t>
      </w:r>
      <w:r w:rsidRPr="00CB73C1">
        <w:t xml:space="preserve"> how DNSPs fund their expenditure on investment projects (capital expenditure) and </w:t>
      </w:r>
      <w:r>
        <w:t xml:space="preserve">contains our </w:t>
      </w:r>
      <w:r w:rsidRPr="00CB73C1">
        <w:t xml:space="preserve">comparative assessment of capital expenditure for all DNSPs in the NEM. </w:t>
      </w:r>
    </w:p>
    <w:p w:rsidR="00AE2FC7" w:rsidRDefault="00AE2FC7" w:rsidP="00972E3F">
      <w:pPr>
        <w:pStyle w:val="Caption"/>
      </w:pPr>
      <w:r>
        <w:t>Figure 9</w:t>
      </w:r>
      <w:r w:rsidRPr="00CB73C1">
        <w:t>–4</w:t>
      </w:r>
      <w:r w:rsidRPr="00CB73C1">
        <w:tab/>
        <w:t xml:space="preserve">Capital expenditure by purpose (including customer contributions) </w:t>
      </w:r>
      <w:r w:rsidR="007A3240">
        <w:t>–</w:t>
      </w:r>
      <w:r w:rsidRPr="00CB73C1">
        <w:t xml:space="preserve"> </w:t>
      </w:r>
      <w:proofErr w:type="spellStart"/>
      <w:r w:rsidRPr="00CB73C1">
        <w:t>ActewAGL</w:t>
      </w:r>
      <w:proofErr w:type="spellEnd"/>
    </w:p>
    <w:p w:rsidR="008D3854" w:rsidRPr="008D3854" w:rsidRDefault="008D3854" w:rsidP="008D3854">
      <w:r w:rsidRPr="008D3854">
        <w:rPr>
          <w:noProof/>
          <w:lang w:eastAsia="en-AU"/>
        </w:rPr>
        <w:drawing>
          <wp:inline distT="0" distB="0" distL="0" distR="0" wp14:anchorId="3536B40D" wp14:editId="0EA62ADF">
            <wp:extent cx="4595191"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E2FC7" w:rsidRPr="00CB73C1" w:rsidRDefault="00AE2FC7" w:rsidP="00CA4BC2">
      <w:pPr>
        <w:pStyle w:val="Heading4notnumbered"/>
      </w:pPr>
      <w:r w:rsidRPr="00CB73C1">
        <w:t>Regulatory asset base</w:t>
      </w:r>
    </w:p>
    <w:p w:rsidR="009A1928" w:rsidRPr="00CB73C1" w:rsidRDefault="009A1928" w:rsidP="009A1928">
      <w:proofErr w:type="spellStart"/>
      <w:r w:rsidRPr="00CB73C1">
        <w:t>ActewAGL's</w:t>
      </w:r>
      <w:proofErr w:type="spellEnd"/>
      <w:r w:rsidRPr="00CB73C1">
        <w:t xml:space="preserve"> RAB increased by approximately 1</w:t>
      </w:r>
      <w:r>
        <w:t>6 </w:t>
      </w:r>
      <w:r w:rsidRPr="00CB73C1">
        <w:t>per cent over the first four years of the 2009</w:t>
      </w:r>
      <w:r>
        <w:t>–</w:t>
      </w:r>
      <w:r w:rsidRPr="00CB73C1">
        <w:t>14 regulatory control period</w:t>
      </w:r>
      <w:r>
        <w:t>, compared with a</w:t>
      </w:r>
      <w:r w:rsidRPr="00CB73C1">
        <w:t xml:space="preserve"> forecast increase </w:t>
      </w:r>
      <w:r>
        <w:t>of</w:t>
      </w:r>
      <w:r w:rsidRPr="00CB73C1">
        <w:t xml:space="preserve"> 21</w:t>
      </w:r>
      <w:r>
        <w:t> </w:t>
      </w:r>
      <w:r w:rsidRPr="00CB73C1">
        <w:t>per cent.</w:t>
      </w:r>
      <w:r>
        <w:t xml:space="preserve"> It grew</w:t>
      </w:r>
      <w:r w:rsidRPr="00CB73C1">
        <w:t xml:space="preserve"> from approximately $</w:t>
      </w:r>
      <w:r>
        <w:t xml:space="preserve">687 </w:t>
      </w:r>
      <w:r w:rsidRPr="00CB73C1">
        <w:t>million at the end of 2008</w:t>
      </w:r>
      <w:r>
        <w:t>–</w:t>
      </w:r>
      <w:r w:rsidRPr="00CB73C1">
        <w:t>09 to approximately $797 million at the end of 2012</w:t>
      </w:r>
      <w:r>
        <w:t>–</w:t>
      </w:r>
      <w:r w:rsidRPr="00CB73C1">
        <w:t>13 (</w:t>
      </w:r>
      <w:r>
        <w:t>Figure 9</w:t>
      </w:r>
      <w:r w:rsidRPr="00CB73C1">
        <w:t>–5). The increasing difference between the forecast and actual value</w:t>
      </w:r>
      <w:r>
        <w:t>s</w:t>
      </w:r>
      <w:r w:rsidRPr="00CB73C1">
        <w:t xml:space="preserve"> of </w:t>
      </w:r>
      <w:proofErr w:type="spellStart"/>
      <w:r w:rsidRPr="00CB73C1">
        <w:t>ActewAGL's</w:t>
      </w:r>
      <w:proofErr w:type="spellEnd"/>
      <w:r w:rsidRPr="00CB73C1">
        <w:t xml:space="preserve"> RAB is consistent with </w:t>
      </w:r>
      <w:r>
        <w:t>the DNSP's</w:t>
      </w:r>
      <w:r w:rsidRPr="00CB73C1">
        <w:t xml:space="preserve"> overspending on capital </w:t>
      </w:r>
      <w:r>
        <w:t>during</w:t>
      </w:r>
      <w:r w:rsidRPr="00CB73C1">
        <w:t xml:space="preserve"> the regulatory control period.</w:t>
      </w:r>
    </w:p>
    <w:p w:rsidR="00AE2FC7" w:rsidRDefault="00AE2FC7" w:rsidP="00972E3F">
      <w:pPr>
        <w:pStyle w:val="Caption"/>
      </w:pPr>
      <w:r>
        <w:t>Figure 9</w:t>
      </w:r>
      <w:r w:rsidRPr="00CB73C1">
        <w:t>–5</w:t>
      </w:r>
      <w:r w:rsidRPr="00CB73C1">
        <w:tab/>
        <w:t xml:space="preserve">Regulatory asset base </w:t>
      </w:r>
      <w:r w:rsidR="007A3240">
        <w:t>–</w:t>
      </w:r>
      <w:r w:rsidRPr="00CB73C1">
        <w:t xml:space="preserve"> </w:t>
      </w:r>
      <w:proofErr w:type="spellStart"/>
      <w:r w:rsidRPr="00CB73C1">
        <w:t>ActewAGL</w:t>
      </w:r>
      <w:proofErr w:type="spellEnd"/>
    </w:p>
    <w:p w:rsidR="00440805" w:rsidRPr="00440805" w:rsidRDefault="00440805" w:rsidP="00440805">
      <w:r w:rsidRPr="00440805">
        <w:rPr>
          <w:noProof/>
          <w:lang w:eastAsia="en-AU"/>
        </w:rPr>
        <w:drawing>
          <wp:inline distT="0" distB="0" distL="0" distR="0" wp14:anchorId="17C75FD1" wp14:editId="56B38E3F">
            <wp:extent cx="4536141"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E2FC7" w:rsidRPr="00CB73C1" w:rsidRDefault="00AE2FC7" w:rsidP="00CA4BC2">
      <w:pPr>
        <w:pStyle w:val="Heading4notnumbered"/>
      </w:pPr>
      <w:r w:rsidRPr="00CB73C1">
        <w:t>Operating expenditure</w:t>
      </w:r>
    </w:p>
    <w:p w:rsidR="009A1928" w:rsidRPr="00CB73C1" w:rsidRDefault="009A1928" w:rsidP="009A1928">
      <w:proofErr w:type="spellStart"/>
      <w:r w:rsidRPr="00CB73C1">
        <w:t>ActewAGL's</w:t>
      </w:r>
      <w:proofErr w:type="spellEnd"/>
      <w:r w:rsidRPr="00CB73C1">
        <w:t xml:space="preserve"> total operating expenditure over the first four years of the 2009</w:t>
      </w:r>
      <w:r>
        <w:t>–</w:t>
      </w:r>
      <w:r w:rsidRPr="00CB73C1">
        <w:t xml:space="preserve">14 regulatory control </w:t>
      </w:r>
      <w:proofErr w:type="gramStart"/>
      <w:r w:rsidRPr="00CB73C1">
        <w:t>period</w:t>
      </w:r>
      <w:proofErr w:type="gramEnd"/>
      <w:r w:rsidRPr="00CB73C1">
        <w:t xml:space="preserve"> was approximately 6</w:t>
      </w:r>
      <w:r>
        <w:t xml:space="preserve"> </w:t>
      </w:r>
      <w:r w:rsidRPr="00CB73C1">
        <w:t xml:space="preserve">per cent higher than </w:t>
      </w:r>
      <w:r>
        <w:t>our</w:t>
      </w:r>
      <w:r w:rsidRPr="00CB73C1">
        <w:t xml:space="preserve"> approved forecast (</w:t>
      </w:r>
      <w:r>
        <w:t>Figure 9</w:t>
      </w:r>
      <w:r w:rsidRPr="00CB73C1">
        <w:t>–6).</w:t>
      </w:r>
      <w:r w:rsidR="00EB50AF">
        <w:rPr>
          <w:rStyle w:val="FootnoteReference"/>
        </w:rPr>
        <w:footnoteReference w:id="14"/>
      </w:r>
      <w:r w:rsidRPr="00CB73C1">
        <w:t xml:space="preserve"> </w:t>
      </w:r>
      <w:r>
        <w:t>The DNSP</w:t>
      </w:r>
      <w:r w:rsidRPr="00CB73C1">
        <w:t xml:space="preserve"> indicated that overspending on operati</w:t>
      </w:r>
      <w:r>
        <w:t>o</w:t>
      </w:r>
      <w:r w:rsidRPr="00CB73C1">
        <w:t>n</w:t>
      </w:r>
      <w:r>
        <w:t>s</w:t>
      </w:r>
      <w:r w:rsidRPr="00CB73C1">
        <w:t xml:space="preserve"> and maintenance was due to:</w:t>
      </w:r>
    </w:p>
    <w:p w:rsidR="009A1928" w:rsidRPr="00CB73C1" w:rsidRDefault="009A1928" w:rsidP="00004B71">
      <w:pPr>
        <w:pStyle w:val="ListBullet"/>
      </w:pPr>
      <w:proofErr w:type="gramStart"/>
      <w:r>
        <w:t>a</w:t>
      </w:r>
      <w:proofErr w:type="gramEnd"/>
      <w:r w:rsidRPr="00CB73C1">
        <w:t xml:space="preserve"> restructure of the Energy Networks Division in 2011</w:t>
      </w:r>
      <w:r>
        <w:t>,</w:t>
      </w:r>
      <w:r w:rsidRPr="00CB73C1">
        <w:t xml:space="preserve"> in response to performance and safety concerns. The restructure</w:t>
      </w:r>
      <w:r>
        <w:t xml:space="preserve"> </w:t>
      </w:r>
      <w:r w:rsidRPr="00CB73C1">
        <w:t>divided the energy networks functions into two divisions (Asset Management and Network Services)</w:t>
      </w:r>
      <w:r>
        <w:t>. It</w:t>
      </w:r>
      <w:r w:rsidRPr="00CB73C1">
        <w:t xml:space="preserve"> focus</w:t>
      </w:r>
      <w:r>
        <w:t>ed</w:t>
      </w:r>
      <w:r w:rsidRPr="00CB73C1">
        <w:t xml:space="preserve"> on strategic asset management and performance of work, which </w:t>
      </w:r>
      <w:r>
        <w:t>are</w:t>
      </w:r>
      <w:r w:rsidRPr="00CB73C1">
        <w:t xml:space="preserve"> essential to an improved safety environment and network reliability over the longer term.</w:t>
      </w:r>
    </w:p>
    <w:p w:rsidR="009A1928" w:rsidRPr="00CB73C1" w:rsidRDefault="009A1928" w:rsidP="00004B71">
      <w:pPr>
        <w:pStyle w:val="ListBullet"/>
      </w:pPr>
      <w:proofErr w:type="gramStart"/>
      <w:r>
        <w:t>a</w:t>
      </w:r>
      <w:proofErr w:type="gramEnd"/>
      <w:r w:rsidRPr="00CB73C1">
        <w:t xml:space="preserve"> focus on environment, health and safety issues over the 2009</w:t>
      </w:r>
      <w:r>
        <w:t>–</w:t>
      </w:r>
      <w:r w:rsidRPr="00CB73C1">
        <w:t>14 regulatory control period</w:t>
      </w:r>
      <w:r>
        <w:t>,</w:t>
      </w:r>
      <w:r w:rsidRPr="00CB73C1">
        <w:t xml:space="preserve"> including the establishment of a dedicated Environment, Health, Safety and Quality Division</w:t>
      </w:r>
      <w:r w:rsidR="00004B71">
        <w:t>.</w:t>
      </w:r>
    </w:p>
    <w:p w:rsidR="009A1928" w:rsidRPr="00CB73C1" w:rsidRDefault="009A1928" w:rsidP="00004B71">
      <w:pPr>
        <w:pStyle w:val="ListBullet"/>
      </w:pPr>
      <w:proofErr w:type="gramStart"/>
      <w:r>
        <w:t>a</w:t>
      </w:r>
      <w:proofErr w:type="gramEnd"/>
      <w:r w:rsidRPr="00CB73C1">
        <w:t xml:space="preserve"> change in the corporate services structure following the sale of two </w:t>
      </w:r>
      <w:proofErr w:type="spellStart"/>
      <w:r w:rsidRPr="00CB73C1">
        <w:t>ActewAGL</w:t>
      </w:r>
      <w:proofErr w:type="spellEnd"/>
      <w:r w:rsidRPr="00CB73C1">
        <w:t xml:space="preserve"> associate companies</w:t>
      </w:r>
      <w:r>
        <w:t>,</w:t>
      </w:r>
      <w:r w:rsidRPr="00CB73C1">
        <w:t xml:space="preserve"> and changes to </w:t>
      </w:r>
      <w:proofErr w:type="spellStart"/>
      <w:r w:rsidRPr="00CB73C1">
        <w:t>ActewAGL's</w:t>
      </w:r>
      <w:proofErr w:type="spellEnd"/>
      <w:r w:rsidRPr="00CB73C1">
        <w:t xml:space="preserve"> contracts management and business development functions</w:t>
      </w:r>
      <w:r>
        <w:t>. As a result,</w:t>
      </w:r>
      <w:r w:rsidRPr="00CB73C1">
        <w:t xml:space="preserve"> </w:t>
      </w:r>
      <w:proofErr w:type="gramStart"/>
      <w:r>
        <w:t xml:space="preserve">a </w:t>
      </w:r>
      <w:r w:rsidRPr="00CB73C1">
        <w:t xml:space="preserve">greater share of corporate costs </w:t>
      </w:r>
      <w:r>
        <w:t>were</w:t>
      </w:r>
      <w:proofErr w:type="gramEnd"/>
      <w:r w:rsidRPr="00CB73C1">
        <w:t xml:space="preserve"> allocated to the remaining </w:t>
      </w:r>
      <w:proofErr w:type="spellStart"/>
      <w:r w:rsidRPr="00CB73C1">
        <w:t>ActewAGL</w:t>
      </w:r>
      <w:proofErr w:type="spellEnd"/>
      <w:r w:rsidRPr="00CB73C1">
        <w:t xml:space="preserve"> divisions, including electricity distribution.</w:t>
      </w:r>
    </w:p>
    <w:p w:rsidR="009A1928" w:rsidRPr="00CB73C1" w:rsidRDefault="009A1928" w:rsidP="00004B71">
      <w:pPr>
        <w:pStyle w:val="ListBullet"/>
      </w:pPr>
      <w:proofErr w:type="gramStart"/>
      <w:r>
        <w:t>h</w:t>
      </w:r>
      <w:r w:rsidRPr="00CB73C1">
        <w:t>igher</w:t>
      </w:r>
      <w:proofErr w:type="gramEnd"/>
      <w:r w:rsidRPr="00CB73C1">
        <w:t xml:space="preserve"> than forecast expenditure on vegetation management from 2010</w:t>
      </w:r>
      <w:r>
        <w:t>–</w:t>
      </w:r>
      <w:r w:rsidRPr="00CB73C1">
        <w:t>11</w:t>
      </w:r>
      <w:r>
        <w:t>. N</w:t>
      </w:r>
      <w:r w:rsidRPr="00CB73C1">
        <w:t xml:space="preserve">ecessitated by the breaking of prolonged drought, </w:t>
      </w:r>
      <w:r>
        <w:t>the spending</w:t>
      </w:r>
      <w:r w:rsidRPr="00CB73C1">
        <w:t xml:space="preserve"> included the introduction of helicopter surveillance of vegetation and its proximity to network assets.</w:t>
      </w:r>
    </w:p>
    <w:p w:rsidR="009A1928" w:rsidRPr="00CB73C1" w:rsidRDefault="009A1928" w:rsidP="00004B71">
      <w:pPr>
        <w:pStyle w:val="ListBullet"/>
      </w:pPr>
      <w:proofErr w:type="gramStart"/>
      <w:r>
        <w:t>c</w:t>
      </w:r>
      <w:r w:rsidRPr="00CB73C1">
        <w:t>ost</w:t>
      </w:r>
      <w:proofErr w:type="gramEnd"/>
      <w:r w:rsidRPr="00CB73C1">
        <w:t xml:space="preserve"> escalators (labour and materials) </w:t>
      </w:r>
      <w:r>
        <w:t>that we used</w:t>
      </w:r>
      <w:r w:rsidRPr="00CB73C1">
        <w:t xml:space="preserve"> in the 2009 distribution determination </w:t>
      </w:r>
      <w:r>
        <w:t>being</w:t>
      </w:r>
      <w:r w:rsidRPr="00CB73C1">
        <w:t xml:space="preserve"> lower than those proposed by </w:t>
      </w:r>
      <w:proofErr w:type="spellStart"/>
      <w:r w:rsidRPr="00CB73C1">
        <w:t>ActewAGL</w:t>
      </w:r>
      <w:proofErr w:type="spellEnd"/>
      <w:r w:rsidRPr="00CB73C1">
        <w:t>.</w:t>
      </w:r>
    </w:p>
    <w:p w:rsidR="00AE2FC7" w:rsidRDefault="00AE2FC7" w:rsidP="00972E3F">
      <w:pPr>
        <w:pStyle w:val="Caption"/>
      </w:pPr>
      <w:r>
        <w:t>Figure 9</w:t>
      </w:r>
      <w:r w:rsidRPr="00CB73C1">
        <w:t>–6</w:t>
      </w:r>
      <w:r w:rsidRPr="00CB73C1">
        <w:tab/>
        <w:t xml:space="preserve">Operating expenditure </w:t>
      </w:r>
      <w:r w:rsidR="007A3240">
        <w:t>–</w:t>
      </w:r>
      <w:r w:rsidRPr="00CB73C1">
        <w:t xml:space="preserve"> </w:t>
      </w:r>
      <w:proofErr w:type="spellStart"/>
      <w:r w:rsidRPr="00CB73C1">
        <w:t>ActewAGL</w:t>
      </w:r>
      <w:proofErr w:type="spellEnd"/>
    </w:p>
    <w:p w:rsidR="00440805" w:rsidRPr="00440805" w:rsidRDefault="00440805" w:rsidP="00440805">
      <w:r w:rsidRPr="00440805">
        <w:rPr>
          <w:noProof/>
          <w:lang w:eastAsia="en-AU"/>
        </w:rPr>
        <w:drawing>
          <wp:inline distT="0" distB="0" distL="0" distR="0" wp14:anchorId="4164DF01" wp14:editId="55CBF437">
            <wp:extent cx="4536141"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E2FC7" w:rsidRPr="00CB73C1" w:rsidRDefault="00AE2FC7" w:rsidP="00AE2FC7">
      <w:r w:rsidRPr="00CB73C1">
        <w:t xml:space="preserve">Chapter 6 </w:t>
      </w:r>
      <w:r w:rsidR="009A1928">
        <w:t>contains our</w:t>
      </w:r>
      <w:r w:rsidRPr="00CB73C1">
        <w:t xml:space="preserve"> comparative assessment of operating expenditure for all DNSPs in the NEM. </w:t>
      </w:r>
    </w:p>
    <w:p w:rsidR="00AE2FC7" w:rsidRPr="00CB73C1" w:rsidRDefault="00AE2FC7" w:rsidP="00CA4BC2">
      <w:pPr>
        <w:pStyle w:val="Heading4notnumbered"/>
      </w:pPr>
      <w:r w:rsidRPr="00CB73C1">
        <w:t>Revenue</w:t>
      </w:r>
    </w:p>
    <w:p w:rsidR="00AE2FC7" w:rsidRPr="00CB73C1" w:rsidRDefault="00D375D6" w:rsidP="00AE2FC7">
      <w:r>
        <w:t>Our</w:t>
      </w:r>
      <w:r w:rsidR="00AE2FC7" w:rsidRPr="00CB73C1">
        <w:t xml:space="preserve"> 2009 distribution determination applied an average revenue cap form of control to </w:t>
      </w:r>
      <w:proofErr w:type="spellStart"/>
      <w:r w:rsidR="00AE2FC7" w:rsidRPr="00CB73C1">
        <w:t>ActewAGL’s</w:t>
      </w:r>
      <w:proofErr w:type="spellEnd"/>
      <w:r w:rsidR="00AE2FC7" w:rsidRPr="00CB73C1">
        <w:t xml:space="preserve"> standard control services over the 2009</w:t>
      </w:r>
      <w:r w:rsidR="007A3240">
        <w:t>–</w:t>
      </w:r>
      <w:r w:rsidR="00AE2FC7" w:rsidRPr="00CB73C1">
        <w:t xml:space="preserve">14 regulatory control </w:t>
      </w:r>
      <w:proofErr w:type="gramStart"/>
      <w:r w:rsidR="00AE2FC7" w:rsidRPr="00CB73C1">
        <w:t>period</w:t>
      </w:r>
      <w:proofErr w:type="gramEnd"/>
      <w:r w:rsidR="00AE2FC7" w:rsidRPr="00CB73C1">
        <w:t xml:space="preserve">. An average revenue cap imposes controls over the revenues a distributor may recover </w:t>
      </w:r>
      <w:r w:rsidR="00A571CE">
        <w:t>for</w:t>
      </w:r>
      <w:r w:rsidR="00A571CE" w:rsidRPr="00CB73C1">
        <w:t xml:space="preserve"> </w:t>
      </w:r>
      <w:r w:rsidR="00AE2FC7" w:rsidRPr="00CB73C1">
        <w:t>providing electricity distribution services.</w:t>
      </w:r>
    </w:p>
    <w:p w:rsidR="009A1928" w:rsidRPr="00CB73C1" w:rsidRDefault="00AE2FC7" w:rsidP="009A1928">
      <w:proofErr w:type="spellStart"/>
      <w:r w:rsidRPr="00CB73C1">
        <w:t>ActewAGL's</w:t>
      </w:r>
      <w:proofErr w:type="spellEnd"/>
      <w:r w:rsidRPr="00CB73C1">
        <w:t xml:space="preserve"> total revenue earned for standard control services over the first four years of the regulatory control period was approximately 4 per cent lower than </w:t>
      </w:r>
      <w:r w:rsidR="007A3240">
        <w:t>our</w:t>
      </w:r>
      <w:r w:rsidRPr="00CB73C1">
        <w:t xml:space="preserve"> approved forecast (</w:t>
      </w:r>
      <w:r>
        <w:t>Figure 9</w:t>
      </w:r>
      <w:r w:rsidRPr="00CB73C1">
        <w:t>–7).</w:t>
      </w:r>
      <w:r w:rsidR="009A1928">
        <w:t xml:space="preserve"> </w:t>
      </w:r>
      <w:proofErr w:type="spellStart"/>
      <w:r w:rsidR="009A1928" w:rsidRPr="00CB73C1">
        <w:t>ActewAGL</w:t>
      </w:r>
      <w:proofErr w:type="spellEnd"/>
      <w:r w:rsidR="009A1928" w:rsidRPr="00CB73C1">
        <w:t xml:space="preserve"> indicated </w:t>
      </w:r>
      <w:r w:rsidR="009A1928">
        <w:t>it recovered</w:t>
      </w:r>
      <w:r w:rsidR="009A1928" w:rsidRPr="00CB73C1">
        <w:t xml:space="preserve"> less revenue than forecast</w:t>
      </w:r>
      <w:r w:rsidR="009A1928">
        <w:t xml:space="preserve"> mainly because energy sales were lower than forecast</w:t>
      </w:r>
      <w:r w:rsidR="009A1928" w:rsidRPr="00CB73C1">
        <w:t>.</w:t>
      </w:r>
    </w:p>
    <w:p w:rsidR="009A1928" w:rsidRPr="00CB73C1" w:rsidRDefault="009A1928" w:rsidP="009A1928">
      <w:r w:rsidRPr="00CB73C1">
        <w:t xml:space="preserve">Chapter 7 </w:t>
      </w:r>
      <w:r>
        <w:t>contains</w:t>
      </w:r>
      <w:r w:rsidRPr="00CB73C1">
        <w:t xml:space="preserve"> information on the average revenue cap control mechanism</w:t>
      </w:r>
      <w:r>
        <w:t>,</w:t>
      </w:r>
      <w:r w:rsidRPr="00CB73C1">
        <w:t xml:space="preserve"> as well </w:t>
      </w:r>
      <w:r w:rsidR="00AB11E6">
        <w:t>as our</w:t>
      </w:r>
      <w:r w:rsidRPr="00CB73C1">
        <w:t xml:space="preserve"> comparative assessment of revenue for all DNSPs in the NEM. </w:t>
      </w:r>
    </w:p>
    <w:p w:rsidR="00AE2FC7" w:rsidRDefault="00AE2FC7" w:rsidP="00972E3F">
      <w:pPr>
        <w:pStyle w:val="Caption"/>
      </w:pPr>
      <w:r>
        <w:t>Figure 9</w:t>
      </w:r>
      <w:r w:rsidRPr="00CB73C1">
        <w:t>–7</w:t>
      </w:r>
      <w:r w:rsidRPr="00CB73C1">
        <w:tab/>
        <w:t xml:space="preserve">Revenue </w:t>
      </w:r>
      <w:r w:rsidR="007A3240">
        <w:t>–</w:t>
      </w:r>
      <w:r w:rsidRPr="00CB73C1">
        <w:t xml:space="preserve"> </w:t>
      </w:r>
      <w:proofErr w:type="spellStart"/>
      <w:r w:rsidRPr="00CB73C1">
        <w:t>ActewAGL</w:t>
      </w:r>
      <w:proofErr w:type="spellEnd"/>
    </w:p>
    <w:p w:rsidR="00440805" w:rsidRPr="00440805" w:rsidRDefault="00440805" w:rsidP="00440805">
      <w:r w:rsidRPr="00440805">
        <w:rPr>
          <w:noProof/>
          <w:lang w:eastAsia="en-AU"/>
        </w:rPr>
        <w:drawing>
          <wp:inline distT="0" distB="0" distL="0" distR="0" wp14:anchorId="0C64CD6E" wp14:editId="1229BA93">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E2FC7" w:rsidRDefault="00AE2FC7" w:rsidP="00CA4BC2">
      <w:pPr>
        <w:pStyle w:val="Heading3"/>
      </w:pPr>
      <w:bookmarkStart w:id="196" w:name="_Toc409771633"/>
      <w:bookmarkStart w:id="197" w:name="_Toc412790582"/>
      <w:bookmarkStart w:id="198" w:name="_Toc413062063"/>
      <w:bookmarkStart w:id="199" w:name="_Toc413311067"/>
      <w:bookmarkStart w:id="200" w:name="_Toc423086483"/>
      <w:r>
        <w:t>Financial performance</w:t>
      </w:r>
      <w:bookmarkEnd w:id="196"/>
      <w:bookmarkEnd w:id="197"/>
      <w:bookmarkEnd w:id="198"/>
      <w:bookmarkEnd w:id="199"/>
      <w:bookmarkEnd w:id="200"/>
    </w:p>
    <w:p w:rsidR="009A1928" w:rsidRPr="00CB73C1" w:rsidRDefault="009A1928" w:rsidP="009A1928">
      <w:proofErr w:type="spellStart"/>
      <w:r w:rsidRPr="00CB73C1">
        <w:t>ActewAGL's</w:t>
      </w:r>
      <w:proofErr w:type="spellEnd"/>
      <w:r w:rsidRPr="00CB73C1">
        <w:t xml:space="preserve"> average </w:t>
      </w:r>
      <w:r w:rsidR="009E3ACF">
        <w:t>e</w:t>
      </w:r>
      <w:r>
        <w:t>arnings before interest and tax (</w:t>
      </w:r>
      <w:r w:rsidRPr="00CB73C1">
        <w:t>EBIT</w:t>
      </w:r>
      <w:r>
        <w:t>)</w:t>
      </w:r>
      <w:r w:rsidRPr="00CB73C1">
        <w:t xml:space="preserve"> for standard control services was approximately 29</w:t>
      </w:r>
      <w:r>
        <w:t> </w:t>
      </w:r>
      <w:r w:rsidRPr="00CB73C1">
        <w:t xml:space="preserve">per cent of its total revenue earned for standard control services over </w:t>
      </w:r>
      <w:r>
        <w:t>2010</w:t>
      </w:r>
      <w:r w:rsidRPr="009A1928">
        <w:t>‒</w:t>
      </w:r>
      <w:r>
        <w:t>13</w:t>
      </w:r>
      <w:r w:rsidRPr="00CB73C1">
        <w:t>.</w:t>
      </w:r>
      <w:r>
        <w:t xml:space="preserve"> </w:t>
      </w:r>
      <w:r w:rsidRPr="00CB73C1">
        <w:t xml:space="preserve">The EBIT in </w:t>
      </w:r>
      <w:r>
        <w:t>Figure 9</w:t>
      </w:r>
      <w:r w:rsidRPr="00CB73C1">
        <w:t>–</w:t>
      </w:r>
      <w:r>
        <w:t>8</w:t>
      </w:r>
      <w:r w:rsidRPr="00CB73C1">
        <w:t xml:space="preserve"> includes depreciation and amortisation</w:t>
      </w:r>
      <w:r w:rsidR="00525C94">
        <w:t xml:space="preserve"> and should not be used as a definitive measure of core profitability</w:t>
      </w:r>
      <w:r w:rsidRPr="00CB73C1">
        <w:t>.</w:t>
      </w:r>
    </w:p>
    <w:p w:rsidR="009A1928" w:rsidRDefault="009A1928" w:rsidP="00972E3F">
      <w:pPr>
        <w:pStyle w:val="Caption"/>
      </w:pPr>
      <w:r>
        <w:t>Figure 9</w:t>
      </w:r>
      <w:r w:rsidRPr="00CB73C1">
        <w:t>–</w:t>
      </w:r>
      <w:r>
        <w:t>8</w:t>
      </w:r>
      <w:r w:rsidRPr="00CB73C1">
        <w:tab/>
        <w:t>E</w:t>
      </w:r>
      <w:r>
        <w:t>arnings before interest and tax</w:t>
      </w:r>
      <w:r w:rsidRPr="009A1928">
        <w:t>—</w:t>
      </w:r>
      <w:proofErr w:type="spellStart"/>
      <w:r w:rsidRPr="00CB73C1">
        <w:t>ActewAGL</w:t>
      </w:r>
      <w:proofErr w:type="spellEnd"/>
    </w:p>
    <w:p w:rsidR="00440805" w:rsidRPr="00440805" w:rsidRDefault="00440805" w:rsidP="00440805">
      <w:r w:rsidRPr="00440805">
        <w:rPr>
          <w:noProof/>
          <w:lang w:eastAsia="en-AU"/>
        </w:rPr>
        <w:drawing>
          <wp:inline distT="0" distB="0" distL="0" distR="0" wp14:anchorId="65E7430F" wp14:editId="74049659">
            <wp:extent cx="4572000" cy="274320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E2FC7" w:rsidRDefault="00AE2FC7" w:rsidP="00CA4BC2">
      <w:pPr>
        <w:pStyle w:val="Heading3"/>
      </w:pPr>
      <w:bookmarkStart w:id="201" w:name="_Toc409771634"/>
      <w:bookmarkStart w:id="202" w:name="_Toc412790583"/>
      <w:bookmarkStart w:id="203" w:name="_Toc413062064"/>
      <w:bookmarkStart w:id="204" w:name="_Toc413311068"/>
      <w:bookmarkStart w:id="205" w:name="_Toc423086484"/>
      <w:r>
        <w:t>Service performance</w:t>
      </w:r>
      <w:bookmarkEnd w:id="201"/>
      <w:bookmarkEnd w:id="202"/>
      <w:bookmarkEnd w:id="203"/>
      <w:bookmarkEnd w:id="204"/>
      <w:bookmarkEnd w:id="205"/>
    </w:p>
    <w:p w:rsidR="00AE2FC7" w:rsidRPr="00CA4BC2" w:rsidRDefault="00AE2FC7" w:rsidP="00CA4BC2">
      <w:pPr>
        <w:pStyle w:val="Heading4notnumbered"/>
      </w:pPr>
      <w:r w:rsidRPr="00CA4BC2">
        <w:t>Total interruptions to supply</w:t>
      </w:r>
    </w:p>
    <w:p w:rsidR="009A1928" w:rsidRPr="00CB73C1" w:rsidRDefault="009A1928" w:rsidP="009A1928">
      <w:r w:rsidRPr="00CB73C1">
        <w:t>Total interruptions to supply reflect the total impact of both planned and unplanned interruptions (</w:t>
      </w:r>
      <w:r>
        <w:t>Figure 9</w:t>
      </w:r>
      <w:r w:rsidRPr="00CB73C1">
        <w:t>–</w:t>
      </w:r>
      <w:r>
        <w:t>9</w:t>
      </w:r>
      <w:r w:rsidRPr="00CB73C1">
        <w:t xml:space="preserve">). This measure reflects what the average </w:t>
      </w:r>
      <w:proofErr w:type="spellStart"/>
      <w:r w:rsidRPr="00CB73C1">
        <w:t>ActewAGL</w:t>
      </w:r>
      <w:proofErr w:type="spellEnd"/>
      <w:r w:rsidRPr="00CB73C1">
        <w:t xml:space="preserve"> customer experienced. </w:t>
      </w:r>
      <w:r>
        <w:t>It</w:t>
      </w:r>
      <w:r w:rsidRPr="00CB73C1">
        <w:t xml:space="preserve"> include</w:t>
      </w:r>
      <w:r>
        <w:t>s</w:t>
      </w:r>
      <w:r w:rsidRPr="00CB73C1">
        <w:t xml:space="preserve"> the </w:t>
      </w:r>
      <w:r w:rsidR="00D35600">
        <w:t>impact</w:t>
      </w:r>
      <w:r w:rsidRPr="00CB73C1">
        <w:t xml:space="preserve"> of any interruptions considered to be </w:t>
      </w:r>
      <w:r>
        <w:t>excluded events under our STPIS</w:t>
      </w:r>
      <w:r w:rsidRPr="00CB73C1">
        <w:t xml:space="preserve">. </w:t>
      </w:r>
    </w:p>
    <w:p w:rsidR="00AE2FC7" w:rsidRDefault="00AE2FC7" w:rsidP="00972E3F">
      <w:pPr>
        <w:pStyle w:val="Caption"/>
      </w:pPr>
      <w:r>
        <w:t>Figure 9</w:t>
      </w:r>
      <w:r w:rsidRPr="00CB73C1">
        <w:t>–</w:t>
      </w:r>
      <w:r w:rsidR="003E095A">
        <w:t>9</w:t>
      </w:r>
      <w:r w:rsidRPr="00CB73C1">
        <w:tab/>
        <w:t xml:space="preserve">Total interruptions to supply </w:t>
      </w:r>
      <w:r w:rsidR="007A3240">
        <w:t>–</w:t>
      </w:r>
      <w:r w:rsidRPr="00CB73C1">
        <w:t xml:space="preserve"> </w:t>
      </w:r>
      <w:proofErr w:type="spellStart"/>
      <w:r w:rsidRPr="00CB73C1">
        <w:t>ActewAGL</w:t>
      </w:r>
      <w:proofErr w:type="spellEnd"/>
    </w:p>
    <w:p w:rsidR="00EB7E14" w:rsidRPr="00A77DC0" w:rsidRDefault="00EB7E14" w:rsidP="0017303B">
      <w:r w:rsidRPr="00BB1D79">
        <w:rPr>
          <w:noProof/>
          <w:lang w:eastAsia="en-AU"/>
        </w:rPr>
        <w:drawing>
          <wp:inline distT="0" distB="0" distL="0" distR="0" wp14:anchorId="6F08D6DB" wp14:editId="4127796F">
            <wp:extent cx="2743200" cy="16452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1645200"/>
                    </a:xfrm>
                    <a:prstGeom prst="rect">
                      <a:avLst/>
                    </a:prstGeom>
                    <a:noFill/>
                  </pic:spPr>
                </pic:pic>
              </a:graphicData>
            </a:graphic>
          </wp:inline>
        </w:drawing>
      </w:r>
      <w:r w:rsidRPr="00236740">
        <w:rPr>
          <w:noProof/>
          <w:lang w:eastAsia="en-AU"/>
        </w:rPr>
        <w:drawing>
          <wp:inline distT="0" distB="0" distL="0" distR="0" wp14:anchorId="226A6421" wp14:editId="6690006E">
            <wp:extent cx="2736000" cy="1641600"/>
            <wp:effectExtent l="0" t="0" r="762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6000" cy="1641600"/>
                    </a:xfrm>
                    <a:prstGeom prst="rect">
                      <a:avLst/>
                    </a:prstGeom>
                    <a:noFill/>
                  </pic:spPr>
                </pic:pic>
              </a:graphicData>
            </a:graphic>
          </wp:inline>
        </w:drawing>
      </w:r>
    </w:p>
    <w:p w:rsidR="00034B9C" w:rsidRDefault="00034B9C" w:rsidP="0017303B">
      <w:r w:rsidRPr="00034B9C">
        <w:rPr>
          <w:noProof/>
          <w:lang w:eastAsia="en-AU"/>
        </w:rPr>
        <w:drawing>
          <wp:inline distT="0" distB="0" distL="0" distR="0" wp14:anchorId="3D6D6FE0" wp14:editId="2A69BE24">
            <wp:extent cx="5731510" cy="1072821"/>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072821"/>
                    </a:xfrm>
                    <a:prstGeom prst="rect">
                      <a:avLst/>
                    </a:prstGeom>
                    <a:noFill/>
                    <a:ln>
                      <a:noFill/>
                    </a:ln>
                  </pic:spPr>
                </pic:pic>
              </a:graphicData>
            </a:graphic>
          </wp:inline>
        </w:drawing>
      </w:r>
    </w:p>
    <w:p w:rsidR="00AE2FC7" w:rsidRPr="00CB73C1" w:rsidRDefault="00AE2FC7" w:rsidP="00AE2FC7">
      <w:pPr>
        <w:pStyle w:val="Heading4notnumbered"/>
      </w:pPr>
      <w:r w:rsidRPr="00CB73C1">
        <w:t>Service Target Performance Incentive Scheme</w:t>
      </w:r>
    </w:p>
    <w:p w:rsidR="00AE2FC7" w:rsidRPr="00CB73C1" w:rsidRDefault="009A1928" w:rsidP="00AE2FC7">
      <w:r>
        <w:t xml:space="preserve">We </w:t>
      </w:r>
      <w:r w:rsidR="00004B71">
        <w:t xml:space="preserve">decided </w:t>
      </w:r>
      <w:r>
        <w:t xml:space="preserve">to </w:t>
      </w:r>
      <w:proofErr w:type="gramStart"/>
      <w:r w:rsidR="00357044">
        <w:t>applied</w:t>
      </w:r>
      <w:proofErr w:type="gramEnd"/>
      <w:r w:rsidR="00357044">
        <w:t xml:space="preserve"> </w:t>
      </w:r>
      <w:r>
        <w:t>the</w:t>
      </w:r>
      <w:r w:rsidRPr="00CB73C1">
        <w:t xml:space="preserve"> STPIS to </w:t>
      </w:r>
      <w:proofErr w:type="spellStart"/>
      <w:r w:rsidRPr="00CB73C1">
        <w:t>ActewAGL</w:t>
      </w:r>
      <w:proofErr w:type="spellEnd"/>
      <w:r w:rsidRPr="00CB73C1">
        <w:t xml:space="preserve"> from 1</w:t>
      </w:r>
      <w:r>
        <w:t xml:space="preserve"> </w:t>
      </w:r>
      <w:r w:rsidRPr="00CB73C1">
        <w:t>July 2015 as part of the 2015 distribution determination.</w:t>
      </w:r>
      <w:r>
        <w:t xml:space="preserve"> </w:t>
      </w:r>
      <w:r w:rsidR="00AE2FC7" w:rsidRPr="00CB73C1">
        <w:t xml:space="preserve">The following section shows the effect of (normalised) unplanned interruptions to supply on customers on </w:t>
      </w:r>
      <w:proofErr w:type="spellStart"/>
      <w:r w:rsidR="00AE2FC7" w:rsidRPr="00CB73C1">
        <w:t>ActewAGL's</w:t>
      </w:r>
      <w:proofErr w:type="spellEnd"/>
      <w:r w:rsidR="00AE2FC7" w:rsidRPr="00CB73C1">
        <w:t xml:space="preserve"> network. </w:t>
      </w:r>
    </w:p>
    <w:p w:rsidR="00AE2FC7" w:rsidRPr="00CB73C1" w:rsidRDefault="00AE2FC7" w:rsidP="00AE2FC7">
      <w:pPr>
        <w:pStyle w:val="Heading4notnumbered"/>
      </w:pPr>
      <w:r w:rsidRPr="00CB73C1">
        <w:t>Network reliability (normalised)</w:t>
      </w:r>
    </w:p>
    <w:p w:rsidR="00AE2FC7" w:rsidRPr="00CB73C1" w:rsidRDefault="00AE2FC7" w:rsidP="00AE2FC7">
      <w:r w:rsidRPr="00CB73C1">
        <w:t>In 2012</w:t>
      </w:r>
      <w:r w:rsidR="007A3240">
        <w:t>–</w:t>
      </w:r>
      <w:r w:rsidRPr="00CB73C1">
        <w:t xml:space="preserve">13 the average </w:t>
      </w:r>
      <w:proofErr w:type="spellStart"/>
      <w:r w:rsidRPr="00CB73C1">
        <w:t>ActewAGL</w:t>
      </w:r>
      <w:proofErr w:type="spellEnd"/>
      <w:r w:rsidRPr="00CB73C1">
        <w:t xml:space="preserve"> customer experienced:</w:t>
      </w:r>
    </w:p>
    <w:p w:rsidR="00AE2FC7" w:rsidRPr="00CB73C1" w:rsidRDefault="0045535D" w:rsidP="00004B71">
      <w:pPr>
        <w:pStyle w:val="ListBullet"/>
      </w:pPr>
      <w:r>
        <w:t>10</w:t>
      </w:r>
      <w:r w:rsidR="00AE2FC7" w:rsidRPr="00CB73C1">
        <w:t xml:space="preserve"> per cent fewer unplanned (normalised) minutes off supply than over the previous five years</w:t>
      </w:r>
    </w:p>
    <w:p w:rsidR="00AE2FC7" w:rsidRPr="00CB73C1" w:rsidRDefault="00AE2FC7" w:rsidP="00004B71">
      <w:pPr>
        <w:pStyle w:val="ListBullet"/>
      </w:pPr>
      <w:proofErr w:type="gramStart"/>
      <w:r w:rsidRPr="00CB73C1">
        <w:t>comparable</w:t>
      </w:r>
      <w:proofErr w:type="gramEnd"/>
      <w:r w:rsidRPr="00CB73C1">
        <w:t xml:space="preserve"> unplanned (normalised) interruptions to supply to the previous five years (</w:t>
      </w:r>
      <w:r>
        <w:t>Figure 9</w:t>
      </w:r>
      <w:r w:rsidRPr="00CB73C1">
        <w:t>–11).</w:t>
      </w:r>
    </w:p>
    <w:p w:rsidR="009A1928" w:rsidRPr="009A1928" w:rsidRDefault="009A1928" w:rsidP="009A1928">
      <w:r w:rsidRPr="009A1928">
        <w:t xml:space="preserve">The reliability information in Figure 9–10 combines information from the previous jurisdictional scheme and our STPIS. The two schemes differ in detail, so the information is not directly comparable. However, we present the reliability outcomes to provide broad trend information on </w:t>
      </w:r>
      <w:proofErr w:type="spellStart"/>
      <w:r w:rsidRPr="009A1928">
        <w:t>ActewAGL's</w:t>
      </w:r>
      <w:proofErr w:type="spellEnd"/>
      <w:r w:rsidRPr="009A1928">
        <w:t xml:space="preserve"> service performance.</w:t>
      </w:r>
    </w:p>
    <w:p w:rsidR="00AE2FC7" w:rsidRDefault="00AE2FC7" w:rsidP="00972E3F">
      <w:pPr>
        <w:pStyle w:val="Caption"/>
      </w:pPr>
      <w:r>
        <w:t>Figure 9</w:t>
      </w:r>
      <w:r w:rsidRPr="00CB73C1">
        <w:t>–1</w:t>
      </w:r>
      <w:r w:rsidR="003E095A">
        <w:t>0</w:t>
      </w:r>
      <w:r w:rsidR="009213AA">
        <w:tab/>
      </w:r>
      <w:proofErr w:type="gramStart"/>
      <w:r w:rsidRPr="00CB73C1">
        <w:t>Unplanned</w:t>
      </w:r>
      <w:proofErr w:type="gramEnd"/>
      <w:r w:rsidRPr="00CB73C1">
        <w:t xml:space="preserve"> interruptions to supply (normalised) </w:t>
      </w:r>
      <w:r w:rsidR="007A3240">
        <w:t>–</w:t>
      </w:r>
      <w:r w:rsidRPr="00CB73C1">
        <w:t xml:space="preserve"> </w:t>
      </w:r>
      <w:proofErr w:type="spellStart"/>
      <w:r w:rsidRPr="00CB73C1">
        <w:t>ActewAGL</w:t>
      </w:r>
      <w:proofErr w:type="spellEnd"/>
    </w:p>
    <w:p w:rsidR="00985444" w:rsidRPr="00A77DC0" w:rsidRDefault="00985444" w:rsidP="00460775">
      <w:r w:rsidRPr="0039199D">
        <w:rPr>
          <w:noProof/>
          <w:lang w:eastAsia="en-AU"/>
        </w:rPr>
        <w:drawing>
          <wp:inline distT="0" distB="0" distL="0" distR="0" wp14:anchorId="35B035C8" wp14:editId="440C172B">
            <wp:extent cx="2833200" cy="1699200"/>
            <wp:effectExtent l="0" t="0" r="571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sidRPr="00380E4F">
        <w:rPr>
          <w:noProof/>
          <w:lang w:eastAsia="en-AU"/>
        </w:rPr>
        <w:drawing>
          <wp:inline distT="0" distB="0" distL="0" distR="0" wp14:anchorId="1EE19A79" wp14:editId="4FEFE33B">
            <wp:extent cx="2829600" cy="16992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9600" cy="1699200"/>
                    </a:xfrm>
                    <a:prstGeom prst="rect">
                      <a:avLst/>
                    </a:prstGeom>
                    <a:noFill/>
                  </pic:spPr>
                </pic:pic>
              </a:graphicData>
            </a:graphic>
          </wp:inline>
        </w:drawing>
      </w:r>
    </w:p>
    <w:p w:rsidR="00034B9C" w:rsidRDefault="00034B9C" w:rsidP="00AE2FC7">
      <w:r w:rsidRPr="00034B9C">
        <w:rPr>
          <w:noProof/>
          <w:lang w:eastAsia="en-AU"/>
        </w:rPr>
        <w:drawing>
          <wp:inline distT="0" distB="0" distL="0" distR="0" wp14:anchorId="40ED2F04" wp14:editId="66318B76">
            <wp:extent cx="5731510" cy="766184"/>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766184"/>
                    </a:xfrm>
                    <a:prstGeom prst="rect">
                      <a:avLst/>
                    </a:prstGeom>
                    <a:noFill/>
                    <a:ln>
                      <a:noFill/>
                    </a:ln>
                  </pic:spPr>
                </pic:pic>
              </a:graphicData>
            </a:graphic>
          </wp:inline>
        </w:drawing>
      </w:r>
    </w:p>
    <w:p w:rsidR="009A1928" w:rsidRPr="00CB73C1" w:rsidRDefault="009A1928" w:rsidP="009A1928">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r>
        <w:br w:type="page"/>
      </w:r>
    </w:p>
    <w:bookmarkStart w:id="206" w:name="_Toc409771636"/>
    <w:bookmarkStart w:id="207" w:name="_Toc412790585"/>
    <w:bookmarkStart w:id="208" w:name="_Toc413062066"/>
    <w:bookmarkStart w:id="209" w:name="_Toc409771635"/>
    <w:bookmarkStart w:id="210" w:name="_Toc423086485"/>
    <w:p w:rsidR="00AE2FC7" w:rsidRDefault="00327E8D" w:rsidP="00CA4BC2">
      <w:pPr>
        <w:pStyle w:val="Heading2"/>
      </w:pPr>
      <w:r w:rsidRPr="00474352">
        <w:rPr>
          <w:noProof/>
          <w:lang w:eastAsia="en-AU"/>
        </w:rPr>
        <mc:AlternateContent>
          <mc:Choice Requires="wps">
            <w:drawing>
              <wp:anchor distT="0" distB="0" distL="114300" distR="114300" simplePos="0" relativeHeight="251667456" behindDoc="1" locked="0" layoutInCell="1" allowOverlap="1" wp14:anchorId="15C013FF" wp14:editId="04CBE738">
                <wp:simplePos x="0" y="0"/>
                <wp:positionH relativeFrom="column">
                  <wp:posOffset>-183515</wp:posOffset>
                </wp:positionH>
                <wp:positionV relativeFrom="paragraph">
                  <wp:posOffset>309245</wp:posOffset>
                </wp:positionV>
                <wp:extent cx="6259195" cy="8395335"/>
                <wp:effectExtent l="19050" t="19050" r="27305" b="24765"/>
                <wp:wrapTight wrapText="bothSides">
                  <wp:wrapPolygon edited="0">
                    <wp:start x="-66" y="-49"/>
                    <wp:lineTo x="-66" y="21615"/>
                    <wp:lineTo x="21628" y="21615"/>
                    <wp:lineTo x="21628" y="-49"/>
                    <wp:lineTo x="-66" y="-49"/>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395335"/>
                        </a:xfrm>
                        <a:prstGeom prst="rect">
                          <a:avLst/>
                        </a:prstGeom>
                        <a:noFill/>
                        <a:ln w="44450">
                          <a:solidFill>
                            <a:srgbClr val="9ECAE1"/>
                          </a:solidFill>
                          <a:miter lim="800000"/>
                          <a:headEnd/>
                          <a:tailEnd/>
                        </a:ln>
                      </wps:spPr>
                      <wps:txbx>
                        <w:txbxContent>
                          <w:p w:rsidR="00AD3D0C" w:rsidRDefault="00AD3D0C" w:rsidP="00474352">
                            <w:pPr>
                              <w:pStyle w:val="Heading3notnumbered"/>
                            </w:pPr>
                            <w:bookmarkStart w:id="211" w:name="_Toc413311070"/>
                            <w:bookmarkStart w:id="212" w:name="_Toc423086486"/>
                            <w:r>
                              <w:t>Network characteristics</w:t>
                            </w:r>
                            <w:bookmarkEnd w:id="211"/>
                            <w:bookmarkEnd w:id="212"/>
                          </w:p>
                          <w:p w:rsidR="00AD3D0C" w:rsidRPr="00C312BC" w:rsidRDefault="00AD3D0C" w:rsidP="00474352">
                            <w:r w:rsidRPr="00E96856">
                              <w:rPr>
                                <w:rStyle w:val="Strong"/>
                              </w:rPr>
                              <w:t>Ownership:</w:t>
                            </w:r>
                            <w:r>
                              <w:t xml:space="preserve">  </w:t>
                            </w:r>
                            <w:r w:rsidRPr="007A2995">
                              <w:t>New South Wales (NSW) Governmen</w:t>
                            </w:r>
                            <w:r>
                              <w:t>t</w:t>
                            </w:r>
                            <w:r w:rsidRPr="00C312BC">
                              <w:t xml:space="preserve"> </w:t>
                            </w:r>
                          </w:p>
                          <w:p w:rsidR="00AD3D0C" w:rsidRPr="00C312BC" w:rsidRDefault="00AD3D0C" w:rsidP="00474352">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474352">
                            <w:pPr>
                              <w:rPr>
                                <w:rStyle w:val="Strong"/>
                              </w:rPr>
                            </w:pPr>
                            <w:r w:rsidRPr="00E96856">
                              <w:rPr>
                                <w:rStyle w:val="Strong"/>
                              </w:rPr>
                              <w:t>Network profile</w:t>
                            </w:r>
                          </w:p>
                          <w:p w:rsidR="00AD3D0C" w:rsidRDefault="00AD3D0C" w:rsidP="00474352">
                            <w:pPr>
                              <w:pStyle w:val="TableofFigures"/>
                            </w:pPr>
                            <w:r>
                              <w:t xml:space="preserve">  Total distribution customers:</w:t>
                            </w:r>
                            <w:r w:rsidRPr="00C312BC">
                              <w:t xml:space="preserve"> </w:t>
                            </w:r>
                            <w:r w:rsidRPr="00C312BC">
                              <w:tab/>
                            </w:r>
                            <w:r>
                              <w:tab/>
                            </w:r>
                            <w:r>
                              <w:tab/>
                              <w:t>1,635,151</w:t>
                            </w:r>
                          </w:p>
                          <w:p w:rsidR="00AD3D0C" w:rsidRPr="00C312BC" w:rsidRDefault="00AD3D0C" w:rsidP="00474352">
                            <w:pPr>
                              <w:pStyle w:val="TableofFigures"/>
                            </w:pPr>
                            <w:r w:rsidRPr="00474352">
                              <w:rPr>
                                <w:noProof/>
                                <w:lang w:eastAsia="en-AU"/>
                              </w:rPr>
                              <w:drawing>
                                <wp:inline distT="0" distB="0" distL="0" distR="0" wp14:anchorId="666F2B5B" wp14:editId="51DF251D">
                                  <wp:extent cx="4507200" cy="943200"/>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7200" cy="943200"/>
                                          </a:xfrm>
                                          <a:prstGeom prst="rect">
                                            <a:avLst/>
                                          </a:prstGeom>
                                          <a:noFill/>
                                        </pic:spPr>
                                      </pic:pic>
                                    </a:graphicData>
                                  </a:graphic>
                                </wp:inline>
                              </w:drawing>
                            </w:r>
                            <w:r w:rsidRPr="00E96856">
                              <w:t xml:space="preserve"> </w:t>
                            </w:r>
                          </w:p>
                          <w:p w:rsidR="00AD3D0C" w:rsidRDefault="00AD3D0C" w:rsidP="00474352">
                            <w:pPr>
                              <w:pStyle w:val="TableofFigures"/>
                            </w:pPr>
                            <w:r>
                              <w:t xml:space="preserve">  </w:t>
                            </w:r>
                            <w:r w:rsidRPr="0075338F">
                              <w:t xml:space="preserve">Total line </w:t>
                            </w:r>
                            <w:r>
                              <w:t xml:space="preserve">(circuit) </w:t>
                            </w:r>
                            <w:r w:rsidRPr="0075338F">
                              <w:t>length:</w:t>
                            </w:r>
                            <w:r>
                              <w:t xml:space="preserve"> </w:t>
                            </w:r>
                            <w:r>
                              <w:tab/>
                            </w:r>
                            <w:r>
                              <w:tab/>
                            </w:r>
                            <w:r>
                              <w:tab/>
                            </w:r>
                            <w:r>
                              <w:tab/>
                              <w:t>40,964 km</w:t>
                            </w:r>
                          </w:p>
                          <w:p w:rsidR="00AD3D0C" w:rsidRDefault="00AD3D0C" w:rsidP="00474352">
                            <w:r w:rsidRPr="00474352">
                              <w:rPr>
                                <w:noProof/>
                                <w:lang w:eastAsia="en-AU"/>
                              </w:rPr>
                              <w:drawing>
                                <wp:inline distT="0" distB="0" distL="0" distR="0" wp14:anchorId="789FA851" wp14:editId="20092303">
                                  <wp:extent cx="4464000" cy="9288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64000" cy="928800"/>
                                          </a:xfrm>
                                          <a:prstGeom prst="rect">
                                            <a:avLst/>
                                          </a:prstGeom>
                                          <a:noFill/>
                                        </pic:spPr>
                                      </pic:pic>
                                    </a:graphicData>
                                  </a:graphic>
                                </wp:inline>
                              </w:drawing>
                            </w:r>
                          </w:p>
                          <w:p w:rsidR="00AD3D0C" w:rsidRPr="00C312BC" w:rsidRDefault="00AD3D0C" w:rsidP="00474352">
                            <w:r>
                              <w:t xml:space="preserve">    </w:t>
                            </w:r>
                            <w:r w:rsidRPr="000D7CD6">
                              <w:t xml:space="preserve">Customer density: </w:t>
                            </w:r>
                            <w:r w:rsidRPr="00C312BC">
                              <w:tab/>
                            </w:r>
                            <w:r w:rsidRPr="00C312BC">
                              <w:tab/>
                            </w:r>
                            <w:r>
                              <w:tab/>
                            </w:r>
                            <w:r>
                              <w:tab/>
                            </w:r>
                            <w:r>
                              <w:tab/>
                            </w:r>
                            <w:r>
                              <w:tab/>
                              <w:t>39.9</w:t>
                            </w:r>
                            <w:r w:rsidRPr="00C312BC">
                              <w:t xml:space="preserve"> customers/</w:t>
                            </w:r>
                            <w:r>
                              <w:t>km line (circuit)</w:t>
                            </w:r>
                          </w:p>
                          <w:p w:rsidR="00AD3D0C" w:rsidRPr="00E96856" w:rsidRDefault="00AD3D0C" w:rsidP="00474352">
                            <w:pPr>
                              <w:rPr>
                                <w:rStyle w:val="Strong"/>
                              </w:rPr>
                            </w:pPr>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p>
                          <w:p w:rsidR="00AD3D0C" w:rsidRPr="00474352" w:rsidRDefault="00AD3D0C" w:rsidP="00474352">
                            <w:r w:rsidRPr="00474352">
                              <w:t xml:space="preserve">  Energy delivered:</w:t>
                            </w:r>
                            <w:r w:rsidRPr="00474352">
                              <w:tab/>
                            </w:r>
                            <w:r w:rsidRPr="00474352">
                              <w:tab/>
                            </w:r>
                            <w:r w:rsidRPr="00474352">
                              <w:tab/>
                            </w:r>
                            <w:r w:rsidRPr="00474352">
                              <w:tab/>
                            </w:r>
                            <w:r>
                              <w:tab/>
                            </w:r>
                            <w:r>
                              <w:tab/>
                              <w:t xml:space="preserve">107,634 </w:t>
                            </w:r>
                            <w:proofErr w:type="spellStart"/>
                            <w:r>
                              <w:t>GWh</w:t>
                            </w:r>
                            <w:proofErr w:type="spellEnd"/>
                            <w:r>
                              <w:t xml:space="preserve">, </w:t>
                            </w:r>
                            <w:r w:rsidRPr="00474352">
                              <w:t>4 per cent ▼ than forecast</w:t>
                            </w:r>
                          </w:p>
                          <w:p w:rsidR="00AD3D0C" w:rsidRPr="00474352" w:rsidRDefault="00AD3D0C" w:rsidP="00474352">
                            <w:r w:rsidRPr="00474352">
                              <w:t xml:space="preserve">  Capital expenditure: </w:t>
                            </w:r>
                            <w:r w:rsidRPr="00474352">
                              <w:tab/>
                            </w:r>
                            <w:r w:rsidRPr="00474352">
                              <w:tab/>
                            </w:r>
                            <w:r w:rsidRPr="00474352">
                              <w:tab/>
                            </w:r>
                            <w:r>
                              <w:tab/>
                            </w:r>
                            <w:r w:rsidRPr="00474352">
                              <w:tab/>
                            </w:r>
                            <w:r>
                              <w:t xml:space="preserve">$4 </w:t>
                            </w:r>
                            <w:proofErr w:type="spellStart"/>
                            <w:r>
                              <w:t>bn</w:t>
                            </w:r>
                            <w:proofErr w:type="spellEnd"/>
                            <w:r>
                              <w:t>, 15</w:t>
                            </w:r>
                            <w:r w:rsidRPr="00474352">
                              <w:t xml:space="preserve"> per cent ▼ than forecast</w:t>
                            </w:r>
                          </w:p>
                          <w:p w:rsidR="00AD3D0C" w:rsidRPr="00474352" w:rsidRDefault="00AD3D0C" w:rsidP="00474352">
                            <w:r w:rsidRPr="00474352">
                              <w:t xml:space="preserve">  Regulatory Asset Base: </w:t>
                            </w:r>
                            <w:r w:rsidRPr="00474352">
                              <w:tab/>
                            </w:r>
                            <w:r w:rsidRPr="00474352">
                              <w:tab/>
                            </w:r>
                            <w:r>
                              <w:tab/>
                            </w:r>
                            <w:r w:rsidRPr="00474352">
                              <w:tab/>
                              <w:t>41 per cent ▲ (from $8.3bn to $11.8bn)</w:t>
                            </w:r>
                          </w:p>
                          <w:p w:rsidR="00AD3D0C" w:rsidRPr="00474352" w:rsidRDefault="00AD3D0C" w:rsidP="00474352">
                            <w:r w:rsidRPr="00474352">
                              <w:t xml:space="preserve">  Operating expenditure: </w:t>
                            </w:r>
                            <w:r w:rsidRPr="00474352">
                              <w:tab/>
                            </w:r>
                            <w:r w:rsidRPr="00474352">
                              <w:tab/>
                            </w:r>
                            <w:r w:rsidRPr="00474352">
                              <w:tab/>
                            </w:r>
                            <w:r>
                              <w:tab/>
                              <w:t xml:space="preserve">$2 </w:t>
                            </w:r>
                            <w:proofErr w:type="spellStart"/>
                            <w:r>
                              <w:t>bn</w:t>
                            </w:r>
                            <w:proofErr w:type="spellEnd"/>
                            <w:r w:rsidRPr="006310E6">
                              <w:t xml:space="preserve">, </w:t>
                            </w:r>
                            <w:r>
                              <w:t>0</w:t>
                            </w:r>
                            <w:r w:rsidRPr="00344E95">
                              <w:t>.3 per cent ▼ than forecast</w:t>
                            </w:r>
                          </w:p>
                          <w:p w:rsidR="00AD3D0C" w:rsidRPr="00474352" w:rsidRDefault="00AD3D0C" w:rsidP="00474352">
                            <w:r w:rsidRPr="00474352">
                              <w:t xml:space="preserve">  Revenue (WAPC): </w:t>
                            </w:r>
                            <w:r w:rsidRPr="00474352">
                              <w:tab/>
                            </w:r>
                            <w:r w:rsidRPr="00474352">
                              <w:tab/>
                            </w:r>
                            <w:r w:rsidRPr="00474352">
                              <w:tab/>
                            </w:r>
                            <w:r w:rsidRPr="00474352">
                              <w:tab/>
                            </w:r>
                            <w:r>
                              <w:tab/>
                            </w:r>
                            <w:r>
                              <w:tab/>
                              <w:t xml:space="preserve">$7 </w:t>
                            </w:r>
                            <w:proofErr w:type="spellStart"/>
                            <w:r>
                              <w:t>bn</w:t>
                            </w:r>
                            <w:proofErr w:type="spellEnd"/>
                            <w:r>
                              <w:t xml:space="preserve">, </w:t>
                            </w:r>
                            <w:r w:rsidRPr="00474352">
                              <w:t xml:space="preserve">6 per cent ▲ than forecast </w:t>
                            </w:r>
                          </w:p>
                          <w:p w:rsidR="00AD3D0C" w:rsidRDefault="00AD3D0C" w:rsidP="00474352">
                            <w:pPr>
                              <w:rPr>
                                <w:rStyle w:val="Strong"/>
                              </w:rPr>
                            </w:pPr>
                            <w:r w:rsidRPr="00D503C8">
                              <w:rPr>
                                <w:rStyle w:val="Strong"/>
                              </w:rPr>
                              <w:t xml:space="preserve">Network reliability (normalised): </w:t>
                            </w:r>
                          </w:p>
                          <w:p w:rsidR="00AD3D0C" w:rsidRDefault="00AD3D0C" w:rsidP="00474352">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67.6</w:t>
                            </w:r>
                            <w:r w:rsidRPr="00E96856">
                              <w:t xml:space="preserve"> minutes</w:t>
                            </w:r>
                          </w:p>
                          <w:p w:rsidR="00AD3D0C" w:rsidRDefault="00AD3D0C" w:rsidP="00474352">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95.9</w:t>
                            </w:r>
                            <w:r w:rsidRPr="00E96856">
                              <w:t xml:space="preserve"> minutes</w:t>
                            </w:r>
                          </w:p>
                          <w:p w:rsidR="00AD3D0C" w:rsidRDefault="00AD3D0C" w:rsidP="00474352">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r>
                            <w:r w:rsidRPr="00E96856">
                              <w:t>0.</w:t>
                            </w:r>
                            <w:r>
                              <w:t>73</w:t>
                            </w:r>
                            <w:r w:rsidRPr="00E96856">
                              <w:t xml:space="preserve"> interruptions</w:t>
                            </w:r>
                            <w:r>
                              <w:tab/>
                            </w:r>
                          </w:p>
                          <w:p w:rsidR="00AD3D0C" w:rsidRPr="00D503C8" w:rsidRDefault="00AD3D0C" w:rsidP="00474352">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1.13</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45pt;margin-top:24.35pt;width:492.85pt;height:66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" filled="f" strokecolor="#9ecae1" strokeweight="3.5pt">
                <v:textbox>
                  <w:txbxContent>
                    <w:p w:rsidR="00AD3D0C" w:rsidRDefault="00AD3D0C" w:rsidP="00474352">
                      <w:pPr>
                        <w:pStyle w:val="Heading3notnumbered"/>
                      </w:pPr>
                      <w:bookmarkStart w:id="219" w:name="_Toc413311070"/>
                      <w:bookmarkStart w:id="220" w:name="_Toc423086486"/>
                      <w:r>
                        <w:t>Network characteristics</w:t>
                      </w:r>
                      <w:bookmarkEnd w:id="219"/>
                      <w:bookmarkEnd w:id="220"/>
                    </w:p>
                    <w:p w:rsidR="00AD3D0C" w:rsidRPr="00C312BC" w:rsidRDefault="00AD3D0C" w:rsidP="00474352">
                      <w:r w:rsidRPr="00E96856">
                        <w:rPr>
                          <w:rStyle w:val="Strong"/>
                        </w:rPr>
                        <w:t>Ownership:</w:t>
                      </w:r>
                      <w:r>
                        <w:t xml:space="preserve">  </w:t>
                      </w:r>
                      <w:r w:rsidRPr="007A2995">
                        <w:t>New South Wales (NSW) Governmen</w:t>
                      </w:r>
                      <w:r>
                        <w:t>t</w:t>
                      </w:r>
                      <w:r w:rsidRPr="00C312BC">
                        <w:t xml:space="preserve"> </w:t>
                      </w:r>
                    </w:p>
                    <w:p w:rsidR="00AD3D0C" w:rsidRPr="00C312BC" w:rsidRDefault="00AD3D0C" w:rsidP="00474352">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474352">
                      <w:pPr>
                        <w:rPr>
                          <w:rStyle w:val="Strong"/>
                        </w:rPr>
                      </w:pPr>
                      <w:r w:rsidRPr="00E96856">
                        <w:rPr>
                          <w:rStyle w:val="Strong"/>
                        </w:rPr>
                        <w:t>Network profile</w:t>
                      </w:r>
                    </w:p>
                    <w:p w:rsidR="00AD3D0C" w:rsidRDefault="00AD3D0C" w:rsidP="00474352">
                      <w:pPr>
                        <w:pStyle w:val="TableofFigures"/>
                      </w:pPr>
                      <w:r>
                        <w:t xml:space="preserve">  Total distribution customers:</w:t>
                      </w:r>
                      <w:r w:rsidRPr="00C312BC">
                        <w:t xml:space="preserve"> </w:t>
                      </w:r>
                      <w:r w:rsidRPr="00C312BC">
                        <w:tab/>
                      </w:r>
                      <w:r>
                        <w:tab/>
                      </w:r>
                      <w:r>
                        <w:tab/>
                        <w:t>1,635,151</w:t>
                      </w:r>
                    </w:p>
                    <w:p w:rsidR="00AD3D0C" w:rsidRPr="00C312BC" w:rsidRDefault="00AD3D0C" w:rsidP="00474352">
                      <w:pPr>
                        <w:pStyle w:val="TableofFigures"/>
                      </w:pPr>
                      <w:r w:rsidRPr="00474352">
                        <w:rPr>
                          <w:noProof/>
                          <w:lang w:eastAsia="en-AU"/>
                        </w:rPr>
                        <w:drawing>
                          <wp:inline distT="0" distB="0" distL="0" distR="0" wp14:anchorId="666F2B5B" wp14:editId="51DF251D">
                            <wp:extent cx="4507200" cy="943200"/>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7200" cy="943200"/>
                                    </a:xfrm>
                                    <a:prstGeom prst="rect">
                                      <a:avLst/>
                                    </a:prstGeom>
                                    <a:noFill/>
                                  </pic:spPr>
                                </pic:pic>
                              </a:graphicData>
                            </a:graphic>
                          </wp:inline>
                        </w:drawing>
                      </w:r>
                      <w:r w:rsidRPr="00E96856">
                        <w:t xml:space="preserve"> </w:t>
                      </w:r>
                    </w:p>
                    <w:p w:rsidR="00AD3D0C" w:rsidRDefault="00AD3D0C" w:rsidP="00474352">
                      <w:pPr>
                        <w:pStyle w:val="TableofFigures"/>
                      </w:pPr>
                      <w:r>
                        <w:t xml:space="preserve">  </w:t>
                      </w:r>
                      <w:r w:rsidRPr="0075338F">
                        <w:t xml:space="preserve">Total line </w:t>
                      </w:r>
                      <w:r>
                        <w:t xml:space="preserve">(circuit) </w:t>
                      </w:r>
                      <w:r w:rsidRPr="0075338F">
                        <w:t>length:</w:t>
                      </w:r>
                      <w:r>
                        <w:t xml:space="preserve"> </w:t>
                      </w:r>
                      <w:r>
                        <w:tab/>
                      </w:r>
                      <w:r>
                        <w:tab/>
                      </w:r>
                      <w:r>
                        <w:tab/>
                      </w:r>
                      <w:r>
                        <w:tab/>
                        <w:t>40,964 km</w:t>
                      </w:r>
                    </w:p>
                    <w:p w:rsidR="00AD3D0C" w:rsidRDefault="00AD3D0C" w:rsidP="00474352">
                      <w:r w:rsidRPr="00474352">
                        <w:rPr>
                          <w:noProof/>
                          <w:lang w:eastAsia="en-AU"/>
                        </w:rPr>
                        <w:drawing>
                          <wp:inline distT="0" distB="0" distL="0" distR="0" wp14:anchorId="789FA851" wp14:editId="20092303">
                            <wp:extent cx="4464000" cy="9288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4000" cy="928800"/>
                                    </a:xfrm>
                                    <a:prstGeom prst="rect">
                                      <a:avLst/>
                                    </a:prstGeom>
                                    <a:noFill/>
                                  </pic:spPr>
                                </pic:pic>
                              </a:graphicData>
                            </a:graphic>
                          </wp:inline>
                        </w:drawing>
                      </w:r>
                    </w:p>
                    <w:p w:rsidR="00AD3D0C" w:rsidRPr="00C312BC" w:rsidRDefault="00AD3D0C" w:rsidP="00474352">
                      <w:r>
                        <w:t xml:space="preserve">    </w:t>
                      </w:r>
                      <w:r w:rsidRPr="000D7CD6">
                        <w:t xml:space="preserve">Customer density: </w:t>
                      </w:r>
                      <w:r w:rsidRPr="00C312BC">
                        <w:tab/>
                      </w:r>
                      <w:r w:rsidRPr="00C312BC">
                        <w:tab/>
                      </w:r>
                      <w:r>
                        <w:tab/>
                      </w:r>
                      <w:r>
                        <w:tab/>
                      </w:r>
                      <w:r>
                        <w:tab/>
                      </w:r>
                      <w:r>
                        <w:tab/>
                        <w:t>39.9</w:t>
                      </w:r>
                      <w:r w:rsidRPr="00C312BC">
                        <w:t xml:space="preserve"> customers/</w:t>
                      </w:r>
                      <w:r>
                        <w:t>km line (circuit)</w:t>
                      </w:r>
                    </w:p>
                    <w:p w:rsidR="00AD3D0C" w:rsidRPr="00E96856" w:rsidRDefault="00AD3D0C" w:rsidP="00474352">
                      <w:pPr>
                        <w:rPr>
                          <w:rStyle w:val="Strong"/>
                        </w:rPr>
                      </w:pPr>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p>
                    <w:p w:rsidR="00AD3D0C" w:rsidRPr="00474352" w:rsidRDefault="00AD3D0C" w:rsidP="00474352">
                      <w:r w:rsidRPr="00474352">
                        <w:t xml:space="preserve">  Energy delivered:</w:t>
                      </w:r>
                      <w:r w:rsidRPr="00474352">
                        <w:tab/>
                      </w:r>
                      <w:r w:rsidRPr="00474352">
                        <w:tab/>
                      </w:r>
                      <w:r w:rsidRPr="00474352">
                        <w:tab/>
                      </w:r>
                      <w:r w:rsidRPr="00474352">
                        <w:tab/>
                      </w:r>
                      <w:r>
                        <w:tab/>
                      </w:r>
                      <w:r>
                        <w:tab/>
                        <w:t xml:space="preserve">107,634 </w:t>
                      </w:r>
                      <w:proofErr w:type="spellStart"/>
                      <w:r>
                        <w:t>GWh</w:t>
                      </w:r>
                      <w:proofErr w:type="spellEnd"/>
                      <w:r>
                        <w:t xml:space="preserve">, </w:t>
                      </w:r>
                      <w:r w:rsidRPr="00474352">
                        <w:t>4 per cent ▼ than forecast</w:t>
                      </w:r>
                    </w:p>
                    <w:p w:rsidR="00AD3D0C" w:rsidRPr="00474352" w:rsidRDefault="00AD3D0C" w:rsidP="00474352">
                      <w:r w:rsidRPr="00474352">
                        <w:t xml:space="preserve">  Capital expenditure: </w:t>
                      </w:r>
                      <w:r w:rsidRPr="00474352">
                        <w:tab/>
                      </w:r>
                      <w:r w:rsidRPr="00474352">
                        <w:tab/>
                      </w:r>
                      <w:r w:rsidRPr="00474352">
                        <w:tab/>
                      </w:r>
                      <w:r>
                        <w:tab/>
                      </w:r>
                      <w:r w:rsidRPr="00474352">
                        <w:tab/>
                      </w:r>
                      <w:r>
                        <w:t xml:space="preserve">$4 </w:t>
                      </w:r>
                      <w:proofErr w:type="spellStart"/>
                      <w:r>
                        <w:t>bn</w:t>
                      </w:r>
                      <w:proofErr w:type="spellEnd"/>
                      <w:r>
                        <w:t>, 15</w:t>
                      </w:r>
                      <w:r w:rsidRPr="00474352">
                        <w:t xml:space="preserve"> per cent ▼ than forecast</w:t>
                      </w:r>
                    </w:p>
                    <w:p w:rsidR="00AD3D0C" w:rsidRPr="00474352" w:rsidRDefault="00AD3D0C" w:rsidP="00474352">
                      <w:r w:rsidRPr="00474352">
                        <w:t xml:space="preserve">  Regulatory Asset Base: </w:t>
                      </w:r>
                      <w:r w:rsidRPr="00474352">
                        <w:tab/>
                      </w:r>
                      <w:r w:rsidRPr="00474352">
                        <w:tab/>
                      </w:r>
                      <w:r>
                        <w:tab/>
                      </w:r>
                      <w:r w:rsidRPr="00474352">
                        <w:tab/>
                        <w:t>41 per cent ▲ (from $8.3bn to $11.8bn)</w:t>
                      </w:r>
                    </w:p>
                    <w:p w:rsidR="00AD3D0C" w:rsidRPr="00474352" w:rsidRDefault="00AD3D0C" w:rsidP="00474352">
                      <w:r w:rsidRPr="00474352">
                        <w:t xml:space="preserve">  Operating expenditure: </w:t>
                      </w:r>
                      <w:r w:rsidRPr="00474352">
                        <w:tab/>
                      </w:r>
                      <w:r w:rsidRPr="00474352">
                        <w:tab/>
                      </w:r>
                      <w:r w:rsidRPr="00474352">
                        <w:tab/>
                      </w:r>
                      <w:r>
                        <w:tab/>
                        <w:t xml:space="preserve">$2 </w:t>
                      </w:r>
                      <w:proofErr w:type="spellStart"/>
                      <w:r>
                        <w:t>bn</w:t>
                      </w:r>
                      <w:proofErr w:type="spellEnd"/>
                      <w:r w:rsidRPr="006310E6">
                        <w:t xml:space="preserve">, </w:t>
                      </w:r>
                      <w:r>
                        <w:t>0</w:t>
                      </w:r>
                      <w:r w:rsidRPr="00344E95">
                        <w:t>.3 per cent ▼ than forecast</w:t>
                      </w:r>
                    </w:p>
                    <w:p w:rsidR="00AD3D0C" w:rsidRPr="00474352" w:rsidRDefault="00AD3D0C" w:rsidP="00474352">
                      <w:r w:rsidRPr="00474352">
                        <w:t xml:space="preserve">  Revenue (WAPC): </w:t>
                      </w:r>
                      <w:r w:rsidRPr="00474352">
                        <w:tab/>
                      </w:r>
                      <w:r w:rsidRPr="00474352">
                        <w:tab/>
                      </w:r>
                      <w:r w:rsidRPr="00474352">
                        <w:tab/>
                      </w:r>
                      <w:r w:rsidRPr="00474352">
                        <w:tab/>
                      </w:r>
                      <w:r>
                        <w:tab/>
                      </w:r>
                      <w:r>
                        <w:tab/>
                        <w:t xml:space="preserve">$7 </w:t>
                      </w:r>
                      <w:proofErr w:type="spellStart"/>
                      <w:r>
                        <w:t>bn</w:t>
                      </w:r>
                      <w:proofErr w:type="spellEnd"/>
                      <w:r>
                        <w:t xml:space="preserve">, </w:t>
                      </w:r>
                      <w:r w:rsidRPr="00474352">
                        <w:t xml:space="preserve">6 per cent ▲ than forecast </w:t>
                      </w:r>
                    </w:p>
                    <w:p w:rsidR="00AD3D0C" w:rsidRDefault="00AD3D0C" w:rsidP="00474352">
                      <w:pPr>
                        <w:rPr>
                          <w:rStyle w:val="Strong"/>
                        </w:rPr>
                      </w:pPr>
                      <w:r w:rsidRPr="00D503C8">
                        <w:rPr>
                          <w:rStyle w:val="Strong"/>
                        </w:rPr>
                        <w:t xml:space="preserve">Network reliability (normalised): </w:t>
                      </w:r>
                    </w:p>
                    <w:p w:rsidR="00AD3D0C" w:rsidRDefault="00AD3D0C" w:rsidP="00474352">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67.6</w:t>
                      </w:r>
                      <w:r w:rsidRPr="00E96856">
                        <w:t xml:space="preserve"> minutes</w:t>
                      </w:r>
                    </w:p>
                    <w:p w:rsidR="00AD3D0C" w:rsidRDefault="00AD3D0C" w:rsidP="00474352">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95.9</w:t>
                      </w:r>
                      <w:r w:rsidRPr="00E96856">
                        <w:t xml:space="preserve"> minutes</w:t>
                      </w:r>
                    </w:p>
                    <w:p w:rsidR="00AD3D0C" w:rsidRDefault="00AD3D0C" w:rsidP="00474352">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r>
                      <w:r w:rsidRPr="00E96856">
                        <w:t>0.</w:t>
                      </w:r>
                      <w:r>
                        <w:t>73</w:t>
                      </w:r>
                      <w:r w:rsidRPr="00E96856">
                        <w:t xml:space="preserve"> interruptions</w:t>
                      </w:r>
                      <w:r>
                        <w:tab/>
                      </w:r>
                    </w:p>
                    <w:p w:rsidR="00AD3D0C" w:rsidRPr="00D503C8" w:rsidRDefault="00AD3D0C" w:rsidP="00474352">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1.13</w:t>
                      </w:r>
                      <w:r w:rsidRPr="00E96856">
                        <w:t xml:space="preserve"> interruptions</w:t>
                      </w:r>
                    </w:p>
                  </w:txbxContent>
                </v:textbox>
                <w10:wrap type="tight"/>
              </v:shape>
            </w:pict>
          </mc:Fallback>
        </mc:AlternateContent>
      </w:r>
      <w:bookmarkEnd w:id="206"/>
      <w:bookmarkEnd w:id="207"/>
      <w:bookmarkEnd w:id="208"/>
      <w:proofErr w:type="spellStart"/>
      <w:r w:rsidR="00AE2FC7">
        <w:t>Ausgrid</w:t>
      </w:r>
      <w:bookmarkEnd w:id="209"/>
      <w:bookmarkEnd w:id="210"/>
      <w:proofErr w:type="spellEnd"/>
    </w:p>
    <w:p w:rsidR="00AE2FC7" w:rsidRDefault="00AE2FC7" w:rsidP="00CA4BC2">
      <w:pPr>
        <w:pStyle w:val="Heading3"/>
      </w:pPr>
      <w:bookmarkStart w:id="213" w:name="_Toc409771638"/>
      <w:bookmarkStart w:id="214" w:name="_Toc412790587"/>
      <w:bookmarkStart w:id="215" w:name="_Toc413062068"/>
      <w:bookmarkStart w:id="216" w:name="_Toc413311071"/>
      <w:bookmarkStart w:id="217" w:name="_Toc423086487"/>
      <w:r>
        <w:t>Regulation</w:t>
      </w:r>
      <w:bookmarkEnd w:id="213"/>
      <w:bookmarkEnd w:id="214"/>
      <w:bookmarkEnd w:id="215"/>
      <w:bookmarkEnd w:id="216"/>
      <w:bookmarkEnd w:id="217"/>
    </w:p>
    <w:p w:rsidR="00AE2FC7" w:rsidRPr="007A2995" w:rsidRDefault="00D13195" w:rsidP="00AE2FC7">
      <w:r>
        <w:t>From</w:t>
      </w:r>
      <w:r w:rsidR="00AE2FC7" w:rsidRPr="007A2995">
        <w:t xml:space="preserve"> 1 July 2009 </w:t>
      </w:r>
      <w:r w:rsidR="007F11D8">
        <w:t>we have</w:t>
      </w:r>
      <w:r w:rsidR="00AE2FC7" w:rsidRPr="007A2995">
        <w:t xml:space="preserve"> been responsible for the economic regulation of electricity distribution services provided by </w:t>
      </w:r>
      <w:proofErr w:type="spellStart"/>
      <w:r w:rsidR="00AE2FC7" w:rsidRPr="007A2995">
        <w:t>Ausgrid</w:t>
      </w:r>
      <w:proofErr w:type="spellEnd"/>
      <w:r w:rsidR="00AE2FC7" w:rsidRPr="007A2995">
        <w:t>. Previously the Independent Pricing and Regulatory Tribunal of New South Wales (IPART) was the responsible regulator.</w:t>
      </w:r>
    </w:p>
    <w:p w:rsidR="00AE2FC7" w:rsidRDefault="00AE2FC7" w:rsidP="00CA4BC2">
      <w:pPr>
        <w:pStyle w:val="Heading3"/>
      </w:pPr>
      <w:bookmarkStart w:id="218" w:name="_Toc409771639"/>
      <w:bookmarkStart w:id="219" w:name="_Toc412790588"/>
      <w:bookmarkStart w:id="220" w:name="_Toc413062069"/>
      <w:bookmarkStart w:id="221" w:name="_Toc413311072"/>
      <w:bookmarkStart w:id="222" w:name="_Toc423086488"/>
      <w:r>
        <w:t>Energy delivered</w:t>
      </w:r>
      <w:bookmarkEnd w:id="218"/>
      <w:bookmarkEnd w:id="219"/>
      <w:bookmarkEnd w:id="220"/>
      <w:bookmarkEnd w:id="221"/>
      <w:bookmarkEnd w:id="222"/>
    </w:p>
    <w:p w:rsidR="00AE2FC7" w:rsidRPr="007A2995" w:rsidRDefault="00AE2FC7" w:rsidP="00AE2FC7">
      <w:r w:rsidRPr="007A2995">
        <w:t xml:space="preserve">Total energy delivered by </w:t>
      </w:r>
      <w:proofErr w:type="spellStart"/>
      <w:r w:rsidRPr="007A2995">
        <w:t>Ausgrid</w:t>
      </w:r>
      <w:proofErr w:type="spellEnd"/>
      <w:r w:rsidRPr="007A2995">
        <w:t xml:space="preserve"> over the first four years of the 2009</w:t>
      </w:r>
      <w:r w:rsidR="007A3240">
        <w:t>–</w:t>
      </w:r>
      <w:r w:rsidRPr="007A2995">
        <w:t xml:space="preserve">14 regulatory control </w:t>
      </w:r>
      <w:proofErr w:type="gramStart"/>
      <w:r w:rsidRPr="007A2995">
        <w:t>period</w:t>
      </w:r>
      <w:proofErr w:type="gramEnd"/>
      <w:r w:rsidRPr="007A2995">
        <w:t xml:space="preserve"> was approximately 4 per cent less than </w:t>
      </w:r>
      <w:r w:rsidR="00DD4FC1">
        <w:t>our approved</w:t>
      </w:r>
      <w:r w:rsidRPr="007A2995">
        <w:t xml:space="preserve"> forecast (</w:t>
      </w:r>
      <w:r>
        <w:t>Figure 9</w:t>
      </w:r>
      <w:r w:rsidRPr="007A2995">
        <w:t>–1</w:t>
      </w:r>
      <w:r w:rsidR="003E095A">
        <w:t>1</w:t>
      </w:r>
      <w:r w:rsidRPr="007A2995">
        <w:t>). The forecasts for the 2009</w:t>
      </w:r>
      <w:r w:rsidR="007A3240">
        <w:t>–</w:t>
      </w:r>
      <w:r w:rsidRPr="007A2995">
        <w:t xml:space="preserve">14 regulatory control </w:t>
      </w:r>
      <w:proofErr w:type="gramStart"/>
      <w:r w:rsidRPr="007A2995">
        <w:t>period</w:t>
      </w:r>
      <w:proofErr w:type="gramEnd"/>
      <w:r w:rsidRPr="007A2995">
        <w:t xml:space="preserve"> are those submitted by </w:t>
      </w:r>
      <w:proofErr w:type="spellStart"/>
      <w:r w:rsidRPr="007A2995">
        <w:t>Ausgrid</w:t>
      </w:r>
      <w:proofErr w:type="spellEnd"/>
      <w:r w:rsidRPr="007A2995">
        <w:t xml:space="preserve"> in its revised proposal and accepted by </w:t>
      </w:r>
      <w:r w:rsidR="007F11D8">
        <w:t>us in our</w:t>
      </w:r>
      <w:r w:rsidRPr="007A2995">
        <w:t xml:space="preserve"> 2009 distribution determination. </w:t>
      </w:r>
    </w:p>
    <w:p w:rsidR="00CC731B" w:rsidRPr="007A2995" w:rsidRDefault="00CC731B" w:rsidP="00CC731B">
      <w:proofErr w:type="spellStart"/>
      <w:r w:rsidRPr="007A2995">
        <w:t>Ausgrid</w:t>
      </w:r>
      <w:proofErr w:type="spellEnd"/>
      <w:r w:rsidRPr="007A2995">
        <w:t xml:space="preserve"> indicated the following reasons for actual energy delivered being less than forecast during the 2009</w:t>
      </w:r>
      <w:r>
        <w:t>–</w:t>
      </w:r>
      <w:r w:rsidRPr="007A2995">
        <w:t xml:space="preserve">14 regulatory control </w:t>
      </w:r>
      <w:proofErr w:type="gramStart"/>
      <w:r w:rsidRPr="007A2995">
        <w:t>period</w:t>
      </w:r>
      <w:proofErr w:type="gramEnd"/>
      <w:r w:rsidRPr="007A2995">
        <w:t>:</w:t>
      </w:r>
    </w:p>
    <w:p w:rsidR="00CC731B" w:rsidRPr="007A2995" w:rsidRDefault="00CC731B" w:rsidP="00741D88">
      <w:pPr>
        <w:pStyle w:val="ListBullet"/>
      </w:pPr>
      <w:r>
        <w:t>a</w:t>
      </w:r>
      <w:r w:rsidRPr="007A2995">
        <w:t>ctual residential customer numbers have grow</w:t>
      </w:r>
      <w:r>
        <w:t>n at a lower than forecast rate</w:t>
      </w:r>
    </w:p>
    <w:p w:rsidR="00CC731B" w:rsidRPr="007A2995" w:rsidRDefault="00CC731B" w:rsidP="00741D88">
      <w:pPr>
        <w:pStyle w:val="ListBullet"/>
      </w:pPr>
      <w:proofErr w:type="gramStart"/>
      <w:r>
        <w:t>e</w:t>
      </w:r>
      <w:r w:rsidRPr="007A2995">
        <w:t>nergy</w:t>
      </w:r>
      <w:proofErr w:type="gramEnd"/>
      <w:r w:rsidRPr="007A2995">
        <w:t xml:space="preserve"> efficiency initiatives have reduced average annual consumption per customer. </w:t>
      </w:r>
    </w:p>
    <w:p w:rsidR="00CC731B" w:rsidRPr="00CC731B" w:rsidRDefault="00CC731B" w:rsidP="00CC731B">
      <w:r w:rsidRPr="00CC731B">
        <w:t>Actual energy delivered shown in Figure 9–1</w:t>
      </w:r>
      <w:r>
        <w:t>1</w:t>
      </w:r>
      <w:r w:rsidRPr="00CC731B">
        <w:t xml:space="preserve"> excludes loads associated with Hydro Aluminium, </w:t>
      </w:r>
      <w:proofErr w:type="spellStart"/>
      <w:r w:rsidRPr="00CC731B">
        <w:t>OneSteel</w:t>
      </w:r>
      <w:proofErr w:type="spellEnd"/>
      <w:r w:rsidRPr="00CC731B">
        <w:t xml:space="preserve"> Newcastle and Essential Energy transfers. </w:t>
      </w:r>
      <w:proofErr w:type="spellStart"/>
      <w:r w:rsidRPr="00CC731B">
        <w:t>Ausgrid</w:t>
      </w:r>
      <w:proofErr w:type="spellEnd"/>
      <w:r w:rsidRPr="00CC731B">
        <w:t xml:space="preserve"> noted this approach is consistent with the energy forecasts contained in its 2009 distribution determination.</w:t>
      </w:r>
    </w:p>
    <w:p w:rsidR="00AE2FC7" w:rsidRDefault="00AE2FC7" w:rsidP="00972E3F">
      <w:pPr>
        <w:pStyle w:val="Caption"/>
      </w:pPr>
      <w:r>
        <w:t>Figure 9</w:t>
      </w:r>
      <w:r w:rsidRPr="007A2995">
        <w:t>–1</w:t>
      </w:r>
      <w:r w:rsidR="003E095A">
        <w:t>1</w:t>
      </w:r>
      <w:r w:rsidR="009213AA">
        <w:tab/>
      </w:r>
      <w:r w:rsidRPr="007A2995">
        <w:t xml:space="preserve">Energy delivered </w:t>
      </w:r>
      <w:r w:rsidR="007A3240">
        <w:t>–</w:t>
      </w:r>
      <w:r w:rsidRPr="007A2995">
        <w:t xml:space="preserve"> </w:t>
      </w:r>
      <w:proofErr w:type="spellStart"/>
      <w:r w:rsidRPr="007A2995">
        <w:t>Ausgrid</w:t>
      </w:r>
      <w:proofErr w:type="spellEnd"/>
    </w:p>
    <w:p w:rsidR="00094541" w:rsidRPr="00A77DC0" w:rsidRDefault="00094541" w:rsidP="0017303B">
      <w:r w:rsidRPr="00BB1D79">
        <w:rPr>
          <w:noProof/>
          <w:lang w:eastAsia="en-AU"/>
        </w:rPr>
        <w:drawing>
          <wp:inline distT="0" distB="0" distL="0" distR="0" wp14:anchorId="1D72110F" wp14:editId="3C052B64">
            <wp:extent cx="4536141"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E2FC7" w:rsidRPr="007A2995" w:rsidRDefault="00AE2FC7" w:rsidP="00AE2FC7">
      <w:r w:rsidRPr="007A2995">
        <w:t xml:space="preserve">Chapter 4 </w:t>
      </w:r>
      <w:r w:rsidR="009E3ACF">
        <w:t xml:space="preserve">contains our </w:t>
      </w:r>
      <w:r w:rsidRPr="007A2995">
        <w:t>assessment of energy delivered for all DNSPs in the NEM.</w:t>
      </w:r>
    </w:p>
    <w:p w:rsidR="00AE2FC7" w:rsidRDefault="00AE2FC7" w:rsidP="00CA4BC2">
      <w:pPr>
        <w:pStyle w:val="Heading3"/>
      </w:pPr>
      <w:bookmarkStart w:id="223" w:name="_Toc409771640"/>
      <w:bookmarkStart w:id="224" w:name="_Toc412790589"/>
      <w:bookmarkStart w:id="225" w:name="_Toc413062070"/>
      <w:bookmarkStart w:id="226" w:name="_Toc413311073"/>
      <w:bookmarkStart w:id="227" w:name="_Toc423086489"/>
      <w:r>
        <w:t>Demand</w:t>
      </w:r>
      <w:bookmarkEnd w:id="223"/>
      <w:bookmarkEnd w:id="224"/>
      <w:bookmarkEnd w:id="225"/>
      <w:bookmarkEnd w:id="226"/>
      <w:bookmarkEnd w:id="227"/>
    </w:p>
    <w:p w:rsidR="00AE2FC7" w:rsidRPr="007A2995" w:rsidRDefault="00AE2FC7" w:rsidP="00AE2FC7">
      <w:proofErr w:type="spellStart"/>
      <w:r w:rsidRPr="007A2995">
        <w:t>Ausgrid's</w:t>
      </w:r>
      <w:proofErr w:type="spellEnd"/>
      <w:r w:rsidRPr="007A2995">
        <w:t xml:space="preserve"> actual maximum demand in 2012</w:t>
      </w:r>
      <w:r w:rsidR="007A3240">
        <w:t>–</w:t>
      </w:r>
      <w:r w:rsidRPr="007A2995">
        <w:t xml:space="preserve">13 was below the forecast maximum demand approved </w:t>
      </w:r>
      <w:r w:rsidR="007F11D8">
        <w:t>us in our</w:t>
      </w:r>
      <w:r w:rsidRPr="007A2995">
        <w:t xml:space="preserve"> 2009 distribution determination. This was despite an expectation of increasing system maximum demand at the time of the 2009 distribution determination (</w:t>
      </w:r>
      <w:r>
        <w:t>Figure 9</w:t>
      </w:r>
      <w:r w:rsidRPr="007A2995">
        <w:t>–1</w:t>
      </w:r>
      <w:r w:rsidR="003E095A">
        <w:t>2</w:t>
      </w:r>
      <w:r w:rsidRPr="007A2995">
        <w:t>).</w:t>
      </w:r>
    </w:p>
    <w:p w:rsidR="00CC731B" w:rsidRPr="007A2995" w:rsidRDefault="00CC731B" w:rsidP="00CC731B">
      <w:proofErr w:type="spellStart"/>
      <w:r w:rsidRPr="007A2995">
        <w:t>Ausgrid</w:t>
      </w:r>
      <w:proofErr w:type="spellEnd"/>
      <w:r w:rsidRPr="007A2995">
        <w:t xml:space="preserve"> indicated the forecasts in the 2009 distribution determination were based on 2005</w:t>
      </w:r>
      <w:r w:rsidR="00741D88">
        <w:t>–</w:t>
      </w:r>
      <w:r w:rsidRPr="007A2995">
        <w:t>06 summer actual demand. Although the 2006</w:t>
      </w:r>
      <w:r>
        <w:t>–</w:t>
      </w:r>
      <w:r w:rsidRPr="007A2995">
        <w:t>07 and 2007</w:t>
      </w:r>
      <w:r>
        <w:t>–</w:t>
      </w:r>
      <w:r w:rsidRPr="007A2995">
        <w:t xml:space="preserve">08 summer maximum demand figures were known at the time of the distribution determination, they were considered anomalously low in comparison to the steady growth trend observed in the preceding years. </w:t>
      </w:r>
    </w:p>
    <w:p w:rsidR="00CC731B" w:rsidRPr="007A2995" w:rsidRDefault="00CC731B" w:rsidP="00CC731B">
      <w:proofErr w:type="spellStart"/>
      <w:r w:rsidRPr="007A2995">
        <w:t>Ausgrid</w:t>
      </w:r>
      <w:proofErr w:type="spellEnd"/>
      <w:r w:rsidRPr="007A2995">
        <w:t xml:space="preserve"> considers the following factors, some of which are inter</w:t>
      </w:r>
      <w:r>
        <w:t>–</w:t>
      </w:r>
      <w:r w:rsidRPr="007A2995">
        <w:t>related, have influenced lower demand growth in recent years:</w:t>
      </w:r>
    </w:p>
    <w:p w:rsidR="00CC731B" w:rsidRPr="00741D88" w:rsidRDefault="00CC731B" w:rsidP="00741D88">
      <w:pPr>
        <w:pStyle w:val="ListBullet"/>
      </w:pPr>
      <w:r w:rsidRPr="00741D88">
        <w:t>o</w:t>
      </w:r>
      <w:r w:rsidR="00741D88">
        <w:t>nset of the gl</w:t>
      </w:r>
      <w:r w:rsidRPr="00741D88">
        <w:t xml:space="preserve">obal </w:t>
      </w:r>
      <w:r w:rsidR="00741D88">
        <w:t>f</w:t>
      </w:r>
      <w:r w:rsidRPr="00741D88">
        <w:t xml:space="preserve">inancial </w:t>
      </w:r>
      <w:r w:rsidR="00741D88">
        <w:t>c</w:t>
      </w:r>
      <w:r w:rsidRPr="00741D88">
        <w:t>risis and impacts on the manufacturing sector resulting from the high Australian dollar</w:t>
      </w:r>
    </w:p>
    <w:p w:rsidR="00CC731B" w:rsidRPr="00741D88" w:rsidRDefault="00CC731B" w:rsidP="00741D88">
      <w:pPr>
        <w:pStyle w:val="ListBullet"/>
      </w:pPr>
      <w:r w:rsidRPr="00741D88">
        <w:t>responses of consumers to electricity price increases</w:t>
      </w:r>
    </w:p>
    <w:p w:rsidR="00CC731B" w:rsidRPr="00741D88" w:rsidRDefault="00CC731B" w:rsidP="00741D88">
      <w:pPr>
        <w:pStyle w:val="ListBullet"/>
      </w:pPr>
      <w:r w:rsidRPr="00741D88">
        <w:t>cumulative impact of energy efficiency programs</w:t>
      </w:r>
    </w:p>
    <w:p w:rsidR="00CC731B" w:rsidRPr="00741D88" w:rsidRDefault="00CC731B" w:rsidP="00741D88">
      <w:pPr>
        <w:pStyle w:val="ListBullet"/>
      </w:pPr>
      <w:r w:rsidRPr="00741D88">
        <w:t>high uptake of rooftop solar PV systems</w:t>
      </w:r>
    </w:p>
    <w:p w:rsidR="00CC731B" w:rsidRPr="00741D88" w:rsidRDefault="00CC731B" w:rsidP="00741D88">
      <w:pPr>
        <w:pStyle w:val="ListBullet"/>
      </w:pPr>
      <w:proofErr w:type="gramStart"/>
      <w:r w:rsidRPr="00741D88">
        <w:t>summer</w:t>
      </w:r>
      <w:proofErr w:type="gramEnd"/>
      <w:r w:rsidRPr="00741D88">
        <w:t xml:space="preserve"> 2011–12 was the fourth coolest on record.</w:t>
      </w:r>
    </w:p>
    <w:p w:rsidR="00CC731B" w:rsidRPr="007A2995" w:rsidRDefault="00CC731B" w:rsidP="00CC731B">
      <w:r w:rsidRPr="007A2995">
        <w:t xml:space="preserve">Chapter 4 </w:t>
      </w:r>
      <w:r>
        <w:t xml:space="preserve">contains our </w:t>
      </w:r>
      <w:r w:rsidRPr="007A2995">
        <w:t xml:space="preserve">assessment of maximum demand for all DNSPs in the NEM. </w:t>
      </w:r>
    </w:p>
    <w:p w:rsidR="00AE2FC7" w:rsidRDefault="00AE2FC7" w:rsidP="00972E3F">
      <w:pPr>
        <w:pStyle w:val="Caption"/>
      </w:pPr>
      <w:r>
        <w:t>Figure 9</w:t>
      </w:r>
      <w:r w:rsidRPr="007A2995">
        <w:t>–1</w:t>
      </w:r>
      <w:r w:rsidR="003E095A">
        <w:t>2</w:t>
      </w:r>
      <w:r w:rsidRPr="007A2995">
        <w:tab/>
        <w:t xml:space="preserve">Maximum demand </w:t>
      </w:r>
      <w:r w:rsidR="007A3240">
        <w:t>–</w:t>
      </w:r>
      <w:r w:rsidRPr="007A2995">
        <w:t xml:space="preserve"> </w:t>
      </w:r>
      <w:proofErr w:type="spellStart"/>
      <w:r w:rsidRPr="007A2995">
        <w:t>Ausgrid</w:t>
      </w:r>
      <w:proofErr w:type="spellEnd"/>
    </w:p>
    <w:p w:rsidR="00094541" w:rsidRDefault="00094541" w:rsidP="00AE2FC7">
      <w:r w:rsidRPr="00BB1D79">
        <w:rPr>
          <w:noProof/>
          <w:lang w:eastAsia="en-AU"/>
        </w:rPr>
        <w:drawing>
          <wp:inline distT="0" distB="0" distL="0" distR="0" wp14:anchorId="2D5E64FC" wp14:editId="1954E03B">
            <wp:extent cx="4540624"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E2FC7" w:rsidRDefault="00AE2FC7" w:rsidP="00CA4BC2">
      <w:pPr>
        <w:pStyle w:val="Heading3"/>
      </w:pPr>
      <w:bookmarkStart w:id="228" w:name="_Toc409771641"/>
      <w:bookmarkStart w:id="229" w:name="_Toc412790590"/>
      <w:bookmarkStart w:id="230" w:name="_Toc413062071"/>
      <w:bookmarkStart w:id="231" w:name="_Toc413311074"/>
      <w:bookmarkStart w:id="232" w:name="_Toc423086490"/>
      <w:r>
        <w:t>Expenditure and revenue</w:t>
      </w:r>
      <w:bookmarkEnd w:id="228"/>
      <w:bookmarkEnd w:id="229"/>
      <w:bookmarkEnd w:id="230"/>
      <w:bookmarkEnd w:id="231"/>
      <w:bookmarkEnd w:id="232"/>
    </w:p>
    <w:p w:rsidR="00AE2FC7" w:rsidRPr="007A2995" w:rsidRDefault="00AE2FC7" w:rsidP="00AE2FC7">
      <w:r w:rsidRPr="007A2995">
        <w:t xml:space="preserve">Amendments made to </w:t>
      </w:r>
      <w:r w:rsidR="007F11D8">
        <w:t>our</w:t>
      </w:r>
      <w:r w:rsidRPr="007A2995">
        <w:t xml:space="preserve"> approved forecasts as the result of Tribunal orders or as a result of approved pass throughs </w:t>
      </w:r>
      <w:r w:rsidR="007F11D8">
        <w:t>are</w:t>
      </w:r>
      <w:r w:rsidRPr="007A2995">
        <w:t xml:space="preserve"> included in the following analysis of </w:t>
      </w:r>
      <w:proofErr w:type="spellStart"/>
      <w:r w:rsidRPr="007A2995">
        <w:t>Ausgrid's</w:t>
      </w:r>
      <w:proofErr w:type="spellEnd"/>
      <w:r w:rsidRPr="007A2995">
        <w:t xml:space="preserve"> financial performance.</w:t>
      </w:r>
      <w:r w:rsidR="00674453">
        <w:rPr>
          <w:rStyle w:val="FootnoteReference"/>
        </w:rPr>
        <w:footnoteReference w:id="15"/>
      </w:r>
    </w:p>
    <w:p w:rsidR="00AE2FC7" w:rsidRPr="007A2995" w:rsidRDefault="00AE2FC7" w:rsidP="00CA4BC2">
      <w:pPr>
        <w:pStyle w:val="Heading4notnumbered"/>
      </w:pPr>
      <w:r w:rsidRPr="007A2995">
        <w:t>Capital expenditure</w:t>
      </w:r>
    </w:p>
    <w:p w:rsidR="00AE2FC7" w:rsidRPr="007A2995" w:rsidRDefault="00AE2FC7" w:rsidP="00AE2FC7">
      <w:proofErr w:type="spellStart"/>
      <w:r w:rsidRPr="007A2995">
        <w:t>Ausgrid's</w:t>
      </w:r>
      <w:proofErr w:type="spellEnd"/>
      <w:r w:rsidRPr="007A2995">
        <w:t xml:space="preserve"> total capital expenditure over the first four years of the 2009</w:t>
      </w:r>
      <w:r w:rsidR="007A3240">
        <w:t>–</w:t>
      </w:r>
      <w:r w:rsidRPr="007A2995">
        <w:t xml:space="preserve">14 regulatory control </w:t>
      </w:r>
      <w:proofErr w:type="gramStart"/>
      <w:r w:rsidRPr="007A2995">
        <w:t>period</w:t>
      </w:r>
      <w:proofErr w:type="gramEnd"/>
      <w:r w:rsidRPr="007A2995">
        <w:t xml:space="preserve"> was approximately </w:t>
      </w:r>
      <w:r w:rsidR="0045535D">
        <w:t>15</w:t>
      </w:r>
      <w:r w:rsidRPr="007A2995">
        <w:t xml:space="preserve"> per cent lower than </w:t>
      </w:r>
      <w:r w:rsidR="007F11D8">
        <w:t>our</w:t>
      </w:r>
      <w:r w:rsidRPr="007A2995">
        <w:t xml:space="preserve"> approved forecast (</w:t>
      </w:r>
      <w:r>
        <w:t>Figure 9</w:t>
      </w:r>
      <w:r w:rsidRPr="007A2995">
        <w:t>–1</w:t>
      </w:r>
      <w:r w:rsidR="003E095A">
        <w:t>3</w:t>
      </w:r>
      <w:r w:rsidRPr="007A2995">
        <w:t>).</w:t>
      </w:r>
    </w:p>
    <w:p w:rsidR="00CC731B" w:rsidRPr="007A2995" w:rsidRDefault="00CC731B" w:rsidP="00CC731B">
      <w:proofErr w:type="spellStart"/>
      <w:r w:rsidRPr="007A2995">
        <w:t>Ausgrid</w:t>
      </w:r>
      <w:proofErr w:type="spellEnd"/>
      <w:r w:rsidRPr="007A2995">
        <w:t xml:space="preserve"> indicated the forecast capital expenditure approved by </w:t>
      </w:r>
      <w:r>
        <w:t>us in our</w:t>
      </w:r>
      <w:r w:rsidRPr="007A2995">
        <w:t xml:space="preserve"> 2009 distribution determination was the best forecast at the time. </w:t>
      </w:r>
      <w:proofErr w:type="spellStart"/>
      <w:r w:rsidRPr="007A2995">
        <w:t>Ausgrid</w:t>
      </w:r>
      <w:proofErr w:type="spellEnd"/>
      <w:r w:rsidRPr="007A2995">
        <w:t xml:space="preserve"> also </w:t>
      </w:r>
      <w:r>
        <w:t>stated</w:t>
      </w:r>
      <w:r w:rsidRPr="007A2995">
        <w:t xml:space="preserve"> it only spends the capital needed to deliver services to the level required.</w:t>
      </w:r>
    </w:p>
    <w:p w:rsidR="00CC731B" w:rsidRPr="007A2995" w:rsidRDefault="00CC731B" w:rsidP="00CC731B">
      <w:proofErr w:type="spellStart"/>
      <w:r w:rsidRPr="007A2995">
        <w:t>Ausgrid</w:t>
      </w:r>
      <w:proofErr w:type="spellEnd"/>
      <w:r w:rsidRPr="007A2995">
        <w:t xml:space="preserve"> indicated the following key drivers changed since the 2009 distribution determination:</w:t>
      </w:r>
    </w:p>
    <w:p w:rsidR="00CC731B" w:rsidRPr="007A2995" w:rsidRDefault="001A249A" w:rsidP="00741D88">
      <w:pPr>
        <w:pStyle w:val="ListBullet"/>
      </w:pPr>
      <w:r>
        <w:t>f</w:t>
      </w:r>
      <w:r w:rsidR="00CC731B" w:rsidRPr="007A2995">
        <w:t>orecasts of peak demand were lower due to actual reductions in underlying demand growth and improvements to its forecasting methodologies, meaning augmentation projects co</w:t>
      </w:r>
      <w:r>
        <w:t>uld be deferred or even avoided</w:t>
      </w:r>
    </w:p>
    <w:p w:rsidR="00CC731B" w:rsidRPr="007A2995" w:rsidRDefault="001A249A" w:rsidP="00741D88">
      <w:pPr>
        <w:pStyle w:val="ListBullet"/>
      </w:pPr>
      <w:r>
        <w:t>a</w:t>
      </w:r>
      <w:r w:rsidR="00CC731B" w:rsidRPr="007A2995">
        <w:t>s greater data was acquired about both the condition issues associated with various classes of aged assets, and the costs and difficulty of brownfield replacement projects, it actively re</w:t>
      </w:r>
      <w:r w:rsidR="00741D88">
        <w:t>-</w:t>
      </w:r>
      <w:r w:rsidR="00CC731B" w:rsidRPr="007A2995">
        <w:t>prioritised its replacement program for major assets, enabling a deferral of</w:t>
      </w:r>
      <w:r>
        <w:t xml:space="preserve"> several high value investments</w:t>
      </w:r>
    </w:p>
    <w:p w:rsidR="00CC731B" w:rsidRPr="007A2995" w:rsidRDefault="001A249A" w:rsidP="00741D88">
      <w:pPr>
        <w:pStyle w:val="ListBullet"/>
      </w:pPr>
      <w:proofErr w:type="gramStart"/>
      <w:r>
        <w:t>d</w:t>
      </w:r>
      <w:r w:rsidR="00CC731B" w:rsidRPr="007A2995">
        <w:t>isruption</w:t>
      </w:r>
      <w:proofErr w:type="gramEnd"/>
      <w:r w:rsidR="00CC731B" w:rsidRPr="007A2995">
        <w:t xml:space="preserve"> to business activities arising from a major restructuring delayed investment approval, development and delivery processes from 2013, which created a short term dip in expenditure.</w:t>
      </w:r>
    </w:p>
    <w:p w:rsidR="00AE2FC7" w:rsidRDefault="00AE2FC7" w:rsidP="00972E3F">
      <w:pPr>
        <w:pStyle w:val="Caption"/>
      </w:pPr>
      <w:r>
        <w:t>Figure 9</w:t>
      </w:r>
      <w:r w:rsidRPr="007A2995">
        <w:t>–1</w:t>
      </w:r>
      <w:r w:rsidR="003E095A">
        <w:t>3</w:t>
      </w:r>
      <w:r w:rsidR="009213AA">
        <w:tab/>
      </w:r>
      <w:r w:rsidRPr="007A2995">
        <w:t xml:space="preserve">Capital expenditure (excluding customer contributions) </w:t>
      </w:r>
      <w:r w:rsidR="007A3240">
        <w:t>–</w:t>
      </w:r>
      <w:r w:rsidRPr="007A2995">
        <w:t xml:space="preserve"> </w:t>
      </w:r>
      <w:proofErr w:type="spellStart"/>
      <w:r w:rsidRPr="007A2995">
        <w:t>Ausgrid</w:t>
      </w:r>
      <w:proofErr w:type="spellEnd"/>
    </w:p>
    <w:p w:rsidR="003A27FD" w:rsidRDefault="00566DA6" w:rsidP="0017303B">
      <w:r>
        <w:rPr>
          <w:noProof/>
          <w:lang w:eastAsia="en-AU"/>
        </w:rPr>
        <w:drawing>
          <wp:inline distT="0" distB="0" distL="0" distR="0" wp14:anchorId="682AF240" wp14:editId="529C71A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C731B" w:rsidRPr="00A77DC0" w:rsidRDefault="00CC731B" w:rsidP="0017303B">
      <w:r>
        <w:t>Capital expenditure to replace existing assets</w:t>
      </w:r>
      <w:r w:rsidR="001A249A">
        <w:t xml:space="preserve">, and demand related capital expenditure (augmentation) formed the bulk of </w:t>
      </w:r>
      <w:proofErr w:type="spellStart"/>
      <w:r w:rsidR="001A249A">
        <w:t>Ausgrid's</w:t>
      </w:r>
      <w:proofErr w:type="spellEnd"/>
      <w:r w:rsidR="001A249A">
        <w:t xml:space="preserve"> capital program from 2010–11 to 2012–13. </w:t>
      </w:r>
      <w:proofErr w:type="spellStart"/>
      <w:r w:rsidR="001A249A">
        <w:t>Ausgrid</w:t>
      </w:r>
      <w:proofErr w:type="spellEnd"/>
      <w:r w:rsidR="001A249A">
        <w:t xml:space="preserve"> spent less than forecast in these categories, but exceeded forecast expenditure on </w:t>
      </w:r>
      <w:r w:rsidR="00566DA6">
        <w:t>o</w:t>
      </w:r>
      <w:r w:rsidR="001A249A">
        <w:t>ther system assets and non-system assets (</w:t>
      </w:r>
      <w:r w:rsidR="003B75E0">
        <w:t>Figure 9–</w:t>
      </w:r>
      <w:r w:rsidR="001A249A">
        <w:t>14).</w:t>
      </w:r>
    </w:p>
    <w:p w:rsidR="00D906AD" w:rsidRPr="007A2995" w:rsidRDefault="00D906AD" w:rsidP="00D906AD">
      <w:r w:rsidRPr="007A2995">
        <w:t xml:space="preserve">Chapter 5 provides a description of how DNSPs fund their expenditure on investment projects (capital expenditure) and a comparative assessment of capital expenditure for all DNSPs in the NEM. </w:t>
      </w:r>
    </w:p>
    <w:p w:rsidR="00AE2FC7" w:rsidRDefault="00AE2FC7" w:rsidP="00972E3F">
      <w:pPr>
        <w:pStyle w:val="Caption"/>
      </w:pPr>
      <w:r>
        <w:t>Figure 9</w:t>
      </w:r>
      <w:r w:rsidRPr="007A2995">
        <w:t>–1</w:t>
      </w:r>
      <w:r w:rsidR="003E095A">
        <w:t>4</w:t>
      </w:r>
      <w:r w:rsidRPr="007A2995">
        <w:tab/>
        <w:t>Capital expenditure by purpose (</w:t>
      </w:r>
      <w:r w:rsidR="00435894">
        <w:t>ex</w:t>
      </w:r>
      <w:r w:rsidRPr="007A2995">
        <w:t xml:space="preserve">cluding customer contributions) </w:t>
      </w:r>
      <w:r w:rsidR="007A3240">
        <w:t>–</w:t>
      </w:r>
      <w:r w:rsidRPr="007A2995">
        <w:t xml:space="preserve"> </w:t>
      </w:r>
      <w:proofErr w:type="spellStart"/>
      <w:r w:rsidRPr="007A2995">
        <w:t>Ausgrid</w:t>
      </w:r>
      <w:proofErr w:type="spellEnd"/>
    </w:p>
    <w:p w:rsidR="003A27FD" w:rsidRDefault="00566DA6" w:rsidP="00AE2FC7">
      <w:r>
        <w:rPr>
          <w:noProof/>
          <w:lang w:eastAsia="en-AU"/>
        </w:rPr>
        <w:drawing>
          <wp:inline distT="0" distB="0" distL="0" distR="0" wp14:anchorId="56C08C19" wp14:editId="33CB8E06">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E2FC7" w:rsidRPr="007A2995" w:rsidRDefault="00AE2FC7" w:rsidP="00AE2FC7">
      <w:pPr>
        <w:pStyle w:val="Heading4notnumbered"/>
      </w:pPr>
      <w:r w:rsidRPr="007A2995">
        <w:t>Regulatory asset base</w:t>
      </w:r>
    </w:p>
    <w:p w:rsidR="00AE2FC7" w:rsidRPr="007A2995" w:rsidRDefault="00AE2FC7" w:rsidP="00AE2FC7">
      <w:proofErr w:type="spellStart"/>
      <w:r w:rsidRPr="007A2995">
        <w:t>Ausgrid's</w:t>
      </w:r>
      <w:proofErr w:type="spellEnd"/>
      <w:r w:rsidRPr="007A2995">
        <w:t xml:space="preserve"> RAB increased by approximately 41 per cent over the first four years of the 2009</w:t>
      </w:r>
      <w:r w:rsidR="007A3240">
        <w:t>–</w:t>
      </w:r>
      <w:r w:rsidRPr="007A2995">
        <w:t xml:space="preserve">14 regulatory control </w:t>
      </w:r>
      <w:proofErr w:type="gramStart"/>
      <w:r w:rsidRPr="007A2995">
        <w:t>period</w:t>
      </w:r>
      <w:proofErr w:type="gramEnd"/>
      <w:r w:rsidRPr="007A2995">
        <w:t xml:space="preserve">. </w:t>
      </w:r>
      <w:proofErr w:type="spellStart"/>
      <w:r w:rsidRPr="007A2995">
        <w:t>Ausgrid's</w:t>
      </w:r>
      <w:proofErr w:type="spellEnd"/>
      <w:r w:rsidRPr="007A2995">
        <w:t xml:space="preserve"> RAB was forecast to increase by 75 per cent over this period.</w:t>
      </w:r>
    </w:p>
    <w:p w:rsidR="00AE2FC7" w:rsidRPr="007A2995" w:rsidRDefault="00AE2FC7" w:rsidP="00AE2FC7">
      <w:proofErr w:type="spellStart"/>
      <w:r w:rsidRPr="007A2995">
        <w:t>Ausgrid's</w:t>
      </w:r>
      <w:proofErr w:type="spellEnd"/>
      <w:r w:rsidRPr="007A2995">
        <w:t xml:space="preserve"> RAB grew from approximately $8.3 billion at the end of 2008</w:t>
      </w:r>
      <w:r w:rsidR="007A3240">
        <w:t>–</w:t>
      </w:r>
      <w:r w:rsidRPr="007A2995">
        <w:t>09 to approximately $11.8 billion at the end of 2012</w:t>
      </w:r>
      <w:r w:rsidR="007F11D8">
        <w:t>–</w:t>
      </w:r>
      <w:r w:rsidRPr="007A2995">
        <w:t>13 (</w:t>
      </w:r>
      <w:r>
        <w:t>Figure 9</w:t>
      </w:r>
      <w:r w:rsidRPr="007A2995">
        <w:t>–1</w:t>
      </w:r>
      <w:r w:rsidR="003E095A">
        <w:t>5</w:t>
      </w:r>
      <w:r w:rsidRPr="007A2995">
        <w:t xml:space="preserve">). </w:t>
      </w:r>
      <w:r w:rsidR="001A249A" w:rsidRPr="007A2995">
        <w:t xml:space="preserve">The increasing difference between the forecast RAB and the actual value of </w:t>
      </w:r>
      <w:proofErr w:type="spellStart"/>
      <w:r w:rsidR="001A249A" w:rsidRPr="007A2995">
        <w:t>Ausgrid's</w:t>
      </w:r>
      <w:proofErr w:type="spellEnd"/>
      <w:r w:rsidR="001A249A" w:rsidRPr="007A2995">
        <w:t xml:space="preserve"> RAB is consistent with its underspending on capital over the 2009</w:t>
      </w:r>
      <w:r w:rsidR="001A249A">
        <w:t>–</w:t>
      </w:r>
      <w:r w:rsidR="001A249A" w:rsidRPr="007A2995">
        <w:t xml:space="preserve">14 regulatory control </w:t>
      </w:r>
      <w:proofErr w:type="gramStart"/>
      <w:r w:rsidR="001A249A" w:rsidRPr="007A2995">
        <w:t>period</w:t>
      </w:r>
      <w:proofErr w:type="gramEnd"/>
    </w:p>
    <w:p w:rsidR="00AE2FC7" w:rsidRDefault="00AE2FC7" w:rsidP="00972E3F">
      <w:pPr>
        <w:pStyle w:val="Caption"/>
      </w:pPr>
      <w:r>
        <w:t>Figure 9</w:t>
      </w:r>
      <w:r w:rsidRPr="007A2995">
        <w:t>–1</w:t>
      </w:r>
      <w:r w:rsidR="003E095A">
        <w:t>5</w:t>
      </w:r>
      <w:r w:rsidRPr="007A2995">
        <w:tab/>
      </w:r>
      <w:r w:rsidR="009213AA">
        <w:t>R</w:t>
      </w:r>
      <w:r w:rsidR="009213AA" w:rsidRPr="007A2995">
        <w:t xml:space="preserve">egulatory </w:t>
      </w:r>
      <w:r w:rsidRPr="007A2995">
        <w:t xml:space="preserve">asset base </w:t>
      </w:r>
      <w:r w:rsidR="007A3240">
        <w:t>–</w:t>
      </w:r>
      <w:r w:rsidRPr="007A2995">
        <w:t xml:space="preserve"> </w:t>
      </w:r>
      <w:proofErr w:type="spellStart"/>
      <w:r w:rsidRPr="007A2995">
        <w:t>Ausgrid</w:t>
      </w:r>
      <w:proofErr w:type="spellEnd"/>
    </w:p>
    <w:p w:rsidR="003A27FD" w:rsidRDefault="003A27FD" w:rsidP="00AE2FC7">
      <w:r w:rsidRPr="003A27FD">
        <w:rPr>
          <w:noProof/>
          <w:lang w:eastAsia="en-AU"/>
        </w:rPr>
        <w:drawing>
          <wp:inline distT="0" distB="0" distL="0" distR="0" wp14:anchorId="23144816" wp14:editId="5C1E278B">
            <wp:extent cx="4698066" cy="2743200"/>
            <wp:effectExtent l="0" t="0" r="762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2FC7" w:rsidRPr="007A2995" w:rsidRDefault="00AE2FC7" w:rsidP="00AE2FC7">
      <w:pPr>
        <w:pStyle w:val="Heading4notnumbered"/>
      </w:pPr>
      <w:r w:rsidRPr="007A2995">
        <w:t>Operating expenditure</w:t>
      </w:r>
    </w:p>
    <w:p w:rsidR="00AE2FC7" w:rsidRPr="007A2995" w:rsidRDefault="00AE2FC7" w:rsidP="00AE2FC7">
      <w:proofErr w:type="spellStart"/>
      <w:r w:rsidRPr="007A2995">
        <w:t>Ausgrid's</w:t>
      </w:r>
      <w:proofErr w:type="spellEnd"/>
      <w:r w:rsidRPr="007A2995">
        <w:t xml:space="preserve"> total operating expenditure over the first four years of the 2009</w:t>
      </w:r>
      <w:r w:rsidR="007A3240">
        <w:t>–</w:t>
      </w:r>
      <w:r w:rsidRPr="007A2995">
        <w:t xml:space="preserve">14 regulatory </w:t>
      </w:r>
      <w:r w:rsidRPr="00344E95">
        <w:t xml:space="preserve">control </w:t>
      </w:r>
      <w:proofErr w:type="gramStart"/>
      <w:r w:rsidRPr="00344E95">
        <w:t>period</w:t>
      </w:r>
      <w:proofErr w:type="gramEnd"/>
      <w:r w:rsidRPr="00344E95">
        <w:t xml:space="preserve"> was </w:t>
      </w:r>
      <w:r w:rsidR="00344E95" w:rsidRPr="00344E95">
        <w:t>0.</w:t>
      </w:r>
      <w:r w:rsidR="006310E6" w:rsidRPr="00344E95">
        <w:t xml:space="preserve">3 per cent less than </w:t>
      </w:r>
      <w:r w:rsidR="007F11D8" w:rsidRPr="00344E95">
        <w:t>our</w:t>
      </w:r>
      <w:r w:rsidRPr="00344E95">
        <w:t xml:space="preserve"> approved forecast (Figure 9–</w:t>
      </w:r>
      <w:r w:rsidRPr="007A2995">
        <w:t>1</w:t>
      </w:r>
      <w:r w:rsidR="003E095A">
        <w:t>6</w:t>
      </w:r>
      <w:r w:rsidRPr="007A2995">
        <w:t xml:space="preserve">). However, this was the result of </w:t>
      </w:r>
      <w:proofErr w:type="spellStart"/>
      <w:r w:rsidRPr="007A2995">
        <w:t>Ausgrid's</w:t>
      </w:r>
      <w:proofErr w:type="spellEnd"/>
      <w:r w:rsidRPr="007A2995">
        <w:t xml:space="preserve"> underspending in 2012</w:t>
      </w:r>
      <w:r w:rsidR="007A3240">
        <w:t>–</w:t>
      </w:r>
      <w:r w:rsidRPr="007A2995">
        <w:t>13 offsetting overspending in 2009</w:t>
      </w:r>
      <w:r w:rsidR="007A3240">
        <w:t>–</w:t>
      </w:r>
      <w:r w:rsidRPr="007A2995">
        <w:t>10 and 2011</w:t>
      </w:r>
      <w:r w:rsidR="007A3240">
        <w:t>–</w:t>
      </w:r>
      <w:r w:rsidRPr="007A2995">
        <w:t>12.</w:t>
      </w:r>
    </w:p>
    <w:p w:rsidR="001A249A" w:rsidRPr="007A2995" w:rsidRDefault="001A249A" w:rsidP="001A249A">
      <w:proofErr w:type="spellStart"/>
      <w:r w:rsidRPr="007A2995">
        <w:t>Ausgrid</w:t>
      </w:r>
      <w:proofErr w:type="spellEnd"/>
      <w:r w:rsidRPr="007A2995">
        <w:t xml:space="preserve"> indicated it has responded to the operating expenditure incentives within the regulatory framework. </w:t>
      </w:r>
      <w:proofErr w:type="spellStart"/>
      <w:r w:rsidRPr="007A2995">
        <w:t>Ausgrid</w:t>
      </w:r>
      <w:proofErr w:type="spellEnd"/>
      <w:r w:rsidRPr="007A2995">
        <w:t xml:space="preserve"> indicated it has actively reviewed its strategies, policies, business processes and procedures so as to contain its total operating expenditure for the 2009</w:t>
      </w:r>
      <w:r>
        <w:t>–</w:t>
      </w:r>
      <w:r w:rsidRPr="007A2995">
        <w:t xml:space="preserve">14 regulatory control </w:t>
      </w:r>
      <w:proofErr w:type="gramStart"/>
      <w:r w:rsidRPr="007A2995">
        <w:t>period</w:t>
      </w:r>
      <w:proofErr w:type="gramEnd"/>
      <w:r w:rsidRPr="007A2995">
        <w:t xml:space="preserve"> within or below the benchmark allowance set by </w:t>
      </w:r>
      <w:r>
        <w:t>us</w:t>
      </w:r>
      <w:r w:rsidRPr="007A2995">
        <w:t xml:space="preserve">. </w:t>
      </w:r>
      <w:proofErr w:type="spellStart"/>
      <w:r w:rsidRPr="007A2995">
        <w:t>Ausgrid</w:t>
      </w:r>
      <w:proofErr w:type="spellEnd"/>
      <w:r w:rsidRPr="007A2995">
        <w:t xml:space="preserve"> also advised it undertook a number of cost saving initiatives to contain its outturn operating expenditure over the 2009</w:t>
      </w:r>
      <w:r>
        <w:t>–</w:t>
      </w:r>
      <w:r w:rsidRPr="007A2995">
        <w:t>14 regulatory control period. The main features of the cost reduction initiatives were:</w:t>
      </w:r>
    </w:p>
    <w:p w:rsidR="001A249A" w:rsidRPr="00741D88" w:rsidRDefault="001A249A" w:rsidP="00741D88">
      <w:pPr>
        <w:pStyle w:val="ListBullet"/>
      </w:pPr>
      <w:r w:rsidRPr="00741D88">
        <w:t>review of work practices to ensure less overtime is needed to perform core network functions</w:t>
      </w:r>
    </w:p>
    <w:p w:rsidR="001A249A" w:rsidRPr="00741D88" w:rsidRDefault="001A249A" w:rsidP="00741D88">
      <w:pPr>
        <w:pStyle w:val="ListBullet"/>
      </w:pPr>
      <w:r w:rsidRPr="00741D88">
        <w:t>rationalisation and centralisation of finance, human resources, procurement and business services functions</w:t>
      </w:r>
    </w:p>
    <w:p w:rsidR="001A249A" w:rsidRPr="00741D88" w:rsidRDefault="001A249A" w:rsidP="00741D88">
      <w:pPr>
        <w:pStyle w:val="ListBullet"/>
      </w:pPr>
      <w:r w:rsidRPr="00741D88">
        <w:t>review of fleet and procurement policies, processes and procedures to ensure value for money, including joint procurement initiatives with Networks NSW</w:t>
      </w:r>
    </w:p>
    <w:p w:rsidR="001A249A" w:rsidRPr="00741D88" w:rsidRDefault="001A249A" w:rsidP="00741D88">
      <w:pPr>
        <w:pStyle w:val="ListBullet"/>
      </w:pPr>
      <w:proofErr w:type="gramStart"/>
      <w:r w:rsidRPr="00741D88">
        <w:t>review</w:t>
      </w:r>
      <w:proofErr w:type="gramEnd"/>
      <w:r w:rsidRPr="00741D88">
        <w:t xml:space="preserve"> of policies and procedures to eliminate any discretionary expenditure (that is, spending not essential to the running of the business).</w:t>
      </w:r>
    </w:p>
    <w:p w:rsidR="00AE2FC7" w:rsidRDefault="00AE2FC7" w:rsidP="00972E3F">
      <w:pPr>
        <w:pStyle w:val="Caption"/>
      </w:pPr>
      <w:r>
        <w:t>Figure 9</w:t>
      </w:r>
      <w:r w:rsidRPr="007A2995">
        <w:t>–1</w:t>
      </w:r>
      <w:r w:rsidR="003E095A">
        <w:t>6</w:t>
      </w:r>
      <w:r w:rsidRPr="007A2995">
        <w:tab/>
        <w:t xml:space="preserve">Operating expenditure </w:t>
      </w:r>
      <w:r w:rsidR="007A3240">
        <w:t>–</w:t>
      </w:r>
      <w:r w:rsidRPr="007A2995">
        <w:t xml:space="preserve"> </w:t>
      </w:r>
      <w:proofErr w:type="spellStart"/>
      <w:r w:rsidRPr="007A2995">
        <w:t>Ausgrid</w:t>
      </w:r>
      <w:proofErr w:type="spellEnd"/>
    </w:p>
    <w:p w:rsidR="003A27FD" w:rsidRDefault="00566DA6" w:rsidP="00AE2FC7">
      <w:r>
        <w:rPr>
          <w:noProof/>
          <w:lang w:eastAsia="en-AU"/>
        </w:rPr>
        <w:drawing>
          <wp:inline distT="0" distB="0" distL="0" distR="0" wp14:anchorId="0BDFD824" wp14:editId="25738BFC">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E2FC7" w:rsidRPr="007A2995" w:rsidRDefault="00AE2FC7" w:rsidP="00AE2FC7">
      <w:r w:rsidRPr="007A2995">
        <w:t xml:space="preserve">Chapter 6 </w:t>
      </w:r>
      <w:r w:rsidR="009E3ACF">
        <w:t>contains our</w:t>
      </w:r>
      <w:r w:rsidR="00F77B3E">
        <w:t xml:space="preserve"> </w:t>
      </w:r>
      <w:r w:rsidRPr="007A2995">
        <w:t xml:space="preserve">assessment of operating expenditure for all DNSPs in the NEM. </w:t>
      </w:r>
    </w:p>
    <w:p w:rsidR="00AE2FC7" w:rsidRPr="007A2995" w:rsidRDefault="00AE2FC7" w:rsidP="00AE2FC7">
      <w:pPr>
        <w:pStyle w:val="Heading4notnumbered"/>
      </w:pPr>
      <w:r w:rsidRPr="007A2995">
        <w:t>Revenue</w:t>
      </w:r>
    </w:p>
    <w:p w:rsidR="00AE2FC7" w:rsidRPr="007A2995" w:rsidRDefault="00433B4D" w:rsidP="00AE2FC7">
      <w:r>
        <w:t>Our</w:t>
      </w:r>
      <w:r w:rsidR="00AE2FC7" w:rsidRPr="007A2995">
        <w:t xml:space="preserve"> 2009 distribution determination applied a weighted average price cap (WAPC) form of control to </w:t>
      </w:r>
      <w:proofErr w:type="spellStart"/>
      <w:r w:rsidR="00AE2FC7" w:rsidRPr="007A2995">
        <w:t>Ausgrid’s</w:t>
      </w:r>
      <w:proofErr w:type="spellEnd"/>
      <w:r w:rsidR="00AE2FC7" w:rsidRPr="007A2995">
        <w:t xml:space="preserve"> standard control services over the 2009</w:t>
      </w:r>
      <w:r w:rsidR="007A3240">
        <w:t>–</w:t>
      </w:r>
      <w:r w:rsidR="00AE2FC7" w:rsidRPr="007A2995">
        <w:t xml:space="preserve">14 regulatory control </w:t>
      </w:r>
      <w:proofErr w:type="gramStart"/>
      <w:r w:rsidR="00AE2FC7" w:rsidRPr="007A2995">
        <w:t>period</w:t>
      </w:r>
      <w:proofErr w:type="gramEnd"/>
      <w:r w:rsidR="00AE2FC7" w:rsidRPr="007A2995">
        <w:t>. A WAPC imposes controls over the prices a DNSP may charge for its services.</w:t>
      </w:r>
    </w:p>
    <w:p w:rsidR="00AE2FC7" w:rsidRPr="007A2995" w:rsidRDefault="00AE2FC7" w:rsidP="00AE2FC7">
      <w:proofErr w:type="spellStart"/>
      <w:r w:rsidRPr="007A2995">
        <w:t>Ausgrid's</w:t>
      </w:r>
      <w:proofErr w:type="spellEnd"/>
      <w:r w:rsidRPr="007A2995">
        <w:t xml:space="preserve"> total revenue earned for standard control services over the first four years of the 2009</w:t>
      </w:r>
      <w:r w:rsidR="007A3240">
        <w:t>–</w:t>
      </w:r>
      <w:r w:rsidRPr="007A2995">
        <w:t xml:space="preserve">14 regulatory control period was approximately 6 per cent higher than </w:t>
      </w:r>
      <w:r w:rsidR="00433B4D">
        <w:t>our</w:t>
      </w:r>
      <w:r w:rsidRPr="007A2995">
        <w:t xml:space="preserve"> approved forecast (</w:t>
      </w:r>
      <w:r>
        <w:t>Figure 9</w:t>
      </w:r>
      <w:r w:rsidRPr="007A2995">
        <w:t>–1</w:t>
      </w:r>
      <w:r w:rsidR="003E095A">
        <w:t>7</w:t>
      </w:r>
      <w:r w:rsidRPr="007A2995">
        <w:t>).</w:t>
      </w:r>
    </w:p>
    <w:p w:rsidR="001A249A" w:rsidRPr="007A2995" w:rsidRDefault="001A249A" w:rsidP="001A249A">
      <w:proofErr w:type="spellStart"/>
      <w:r w:rsidRPr="007A2995">
        <w:t>Ausgrid</w:t>
      </w:r>
      <w:proofErr w:type="spellEnd"/>
      <w:r w:rsidRPr="007A2995">
        <w:t xml:space="preserve"> indicated its tariffs are set in accordance with the National Electricity Rules and </w:t>
      </w:r>
      <w:r>
        <w:t>our distribution</w:t>
      </w:r>
      <w:r w:rsidRPr="007A2995">
        <w:t xml:space="preserve"> determination. As a result, its distribution prices will, depending on volume considerations, generate revenues that cover the efficient cost of owning, maintaining, operating and augmenting the network.</w:t>
      </w:r>
    </w:p>
    <w:p w:rsidR="00AE2FC7" w:rsidRDefault="00AE2FC7" w:rsidP="00972E3F">
      <w:pPr>
        <w:pStyle w:val="Caption"/>
      </w:pPr>
      <w:r>
        <w:t>Figure 9</w:t>
      </w:r>
      <w:r w:rsidRPr="007A2995">
        <w:t>–1</w:t>
      </w:r>
      <w:r w:rsidR="003E095A">
        <w:t>7</w:t>
      </w:r>
      <w:r w:rsidR="009213AA">
        <w:tab/>
      </w:r>
      <w:r w:rsidRPr="007A2995">
        <w:t xml:space="preserve">Revenue </w:t>
      </w:r>
      <w:r w:rsidR="007A3240">
        <w:t>–</w:t>
      </w:r>
      <w:r w:rsidRPr="007A2995">
        <w:t xml:space="preserve"> </w:t>
      </w:r>
      <w:proofErr w:type="spellStart"/>
      <w:r w:rsidRPr="007A2995">
        <w:t>Ausgrid</w:t>
      </w:r>
      <w:proofErr w:type="spellEnd"/>
    </w:p>
    <w:p w:rsidR="003A27FD" w:rsidRDefault="00566DA6" w:rsidP="00AE2FC7">
      <w:r>
        <w:rPr>
          <w:noProof/>
          <w:lang w:eastAsia="en-AU"/>
        </w:rPr>
        <w:drawing>
          <wp:inline distT="0" distB="0" distL="0" distR="0" wp14:anchorId="5CCE1125" wp14:editId="6874A709">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E2FC7" w:rsidRPr="007A2995" w:rsidRDefault="00AE2FC7" w:rsidP="00AE2FC7">
      <w:r w:rsidRPr="007A2995">
        <w:t xml:space="preserve">Chapter 7 provides further information on the WAPC control mechanism </w:t>
      </w:r>
      <w:r w:rsidR="00AB11E6">
        <w:t xml:space="preserve">as well as our comparative </w:t>
      </w:r>
      <w:r w:rsidRPr="007A2995">
        <w:t xml:space="preserve">assessment of revenue for all DNSPs in the NEM. </w:t>
      </w:r>
    </w:p>
    <w:p w:rsidR="00AE2FC7" w:rsidRDefault="00AE2FC7" w:rsidP="00CA4BC2">
      <w:pPr>
        <w:pStyle w:val="Heading3"/>
      </w:pPr>
      <w:bookmarkStart w:id="233" w:name="_Toc409771642"/>
      <w:bookmarkStart w:id="234" w:name="_Toc412790591"/>
      <w:bookmarkStart w:id="235" w:name="_Toc413062072"/>
      <w:bookmarkStart w:id="236" w:name="_Toc413311075"/>
      <w:bookmarkStart w:id="237" w:name="_Toc423086491"/>
      <w:r>
        <w:t>Financial performance</w:t>
      </w:r>
      <w:bookmarkEnd w:id="233"/>
      <w:bookmarkEnd w:id="234"/>
      <w:bookmarkEnd w:id="235"/>
      <w:bookmarkEnd w:id="236"/>
      <w:bookmarkEnd w:id="237"/>
    </w:p>
    <w:p w:rsidR="00AE2FC7" w:rsidRPr="007A2995" w:rsidRDefault="00AE2FC7" w:rsidP="00AE2FC7">
      <w:proofErr w:type="spellStart"/>
      <w:r w:rsidRPr="007A2995">
        <w:t>Ausgrid's</w:t>
      </w:r>
      <w:proofErr w:type="spellEnd"/>
      <w:r w:rsidRPr="007A2995">
        <w:t xml:space="preserve"> average EBIT for standard control services was approximately 41 per cent of its total revenue earned for standard control services over 2010</w:t>
      </w:r>
      <w:r w:rsidR="007A3240">
        <w:t>–</w:t>
      </w:r>
      <w:r w:rsidRPr="007A2995">
        <w:t>13.</w:t>
      </w:r>
      <w:r w:rsidR="00525C94" w:rsidRPr="00525C94">
        <w:t xml:space="preserve"> </w:t>
      </w:r>
      <w:r w:rsidR="00525C94" w:rsidRPr="00CB73C1">
        <w:t xml:space="preserve">The EBIT in </w:t>
      </w:r>
      <w:r w:rsidR="00525C94">
        <w:t>Figure 9</w:t>
      </w:r>
      <w:r w:rsidR="00525C94" w:rsidRPr="00CB73C1">
        <w:t>–</w:t>
      </w:r>
      <w:r w:rsidR="00525C94">
        <w:t>18</w:t>
      </w:r>
      <w:r w:rsidR="00525C94" w:rsidRPr="00CB73C1">
        <w:t xml:space="preserve"> includes depreciation and amortisation</w:t>
      </w:r>
      <w:r w:rsidR="00525C94">
        <w:t xml:space="preserve"> and should not be used as a definitive measure of core profitability</w:t>
      </w:r>
      <w:r w:rsidR="00525C94" w:rsidRPr="00CB73C1">
        <w:t>.</w:t>
      </w:r>
    </w:p>
    <w:p w:rsidR="003E095A" w:rsidRDefault="00AE2FC7" w:rsidP="00972E3F">
      <w:pPr>
        <w:pStyle w:val="Caption"/>
      </w:pPr>
      <w:r>
        <w:t>Figure 9</w:t>
      </w:r>
      <w:r w:rsidRPr="007A2995">
        <w:t>–</w:t>
      </w:r>
      <w:r w:rsidR="003E095A">
        <w:t>18</w:t>
      </w:r>
      <w:r w:rsidRPr="007A2995">
        <w:tab/>
      </w:r>
      <w:r w:rsidR="00E96C0F" w:rsidRPr="00CB73C1">
        <w:t>E</w:t>
      </w:r>
      <w:r w:rsidR="00E96C0F">
        <w:t>arnings before interest and tax</w:t>
      </w:r>
      <w:r w:rsidR="007A3240">
        <w:t>–</w:t>
      </w:r>
      <w:r w:rsidRPr="007A2995">
        <w:t xml:space="preserve"> </w:t>
      </w:r>
      <w:proofErr w:type="spellStart"/>
      <w:r w:rsidRPr="007A2995">
        <w:t>Ausgrid</w:t>
      </w:r>
      <w:proofErr w:type="spellEnd"/>
    </w:p>
    <w:p w:rsidR="00AE2FC7" w:rsidRPr="007A2995" w:rsidRDefault="003A27FD" w:rsidP="00972E3F">
      <w:pPr>
        <w:pStyle w:val="Caption"/>
      </w:pPr>
      <w:r w:rsidRPr="003A27FD">
        <w:rPr>
          <w:noProof/>
          <w:lang w:eastAsia="en-AU"/>
        </w:rPr>
        <w:drawing>
          <wp:inline distT="0" distB="0" distL="0" distR="0" wp14:anchorId="5E38E201" wp14:editId="4743231E">
            <wp:extent cx="4591050" cy="2743200"/>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E2FC7" w:rsidRDefault="00AE2FC7" w:rsidP="00CA4BC2">
      <w:pPr>
        <w:pStyle w:val="Heading3"/>
      </w:pPr>
      <w:bookmarkStart w:id="238" w:name="_Toc409771643"/>
      <w:bookmarkStart w:id="239" w:name="_Toc412790592"/>
      <w:bookmarkStart w:id="240" w:name="_Toc413062073"/>
      <w:bookmarkStart w:id="241" w:name="_Toc413311076"/>
      <w:bookmarkStart w:id="242" w:name="_Toc423086492"/>
      <w:r>
        <w:t>Service performance</w:t>
      </w:r>
      <w:bookmarkEnd w:id="238"/>
      <w:bookmarkEnd w:id="239"/>
      <w:bookmarkEnd w:id="240"/>
      <w:bookmarkEnd w:id="241"/>
      <w:bookmarkEnd w:id="242"/>
    </w:p>
    <w:p w:rsidR="00AE2FC7" w:rsidRPr="00C05EDA" w:rsidRDefault="00AE2FC7" w:rsidP="00AE2FC7">
      <w:pPr>
        <w:pStyle w:val="Heading4notnumbered"/>
      </w:pPr>
      <w:r w:rsidRPr="00C05EDA">
        <w:t>Total interruptions to supply</w:t>
      </w:r>
    </w:p>
    <w:p w:rsidR="00AE2FC7" w:rsidRPr="00C05EDA" w:rsidRDefault="00AE2FC7" w:rsidP="00AE2FC7">
      <w:r w:rsidRPr="00C05EDA">
        <w:t>Total interruptions to supply reflect the total impact of both planned and unplanned interruptions (</w:t>
      </w:r>
      <w:r>
        <w:t>Figure 9</w:t>
      </w:r>
      <w:r w:rsidRPr="00C05EDA">
        <w:t>–</w:t>
      </w:r>
      <w:r w:rsidR="003E095A">
        <w:t>19</w:t>
      </w:r>
      <w:r w:rsidRPr="00C05EDA">
        <w:t xml:space="preserve">). This measure reflects </w:t>
      </w:r>
      <w:r w:rsidR="001368B1">
        <w:t>the actual experience of</w:t>
      </w:r>
      <w:r w:rsidR="001368B1" w:rsidRPr="00CB73C1">
        <w:t xml:space="preserve"> the average </w:t>
      </w:r>
      <w:proofErr w:type="spellStart"/>
      <w:r w:rsidRPr="00C05EDA">
        <w:t>Ausgrid</w:t>
      </w:r>
      <w:proofErr w:type="spellEnd"/>
      <w:r w:rsidRPr="00C05EDA">
        <w:t xml:space="preserve"> customer. Total interruptions to supply include the effect of any interruptions considered to be </w:t>
      </w:r>
      <w:r w:rsidR="002767AE">
        <w:t>excluded events under our STPIS</w:t>
      </w:r>
      <w:r w:rsidRPr="00C05EDA">
        <w:t>.</w:t>
      </w:r>
    </w:p>
    <w:p w:rsidR="00AE2FC7" w:rsidRDefault="00AE2FC7" w:rsidP="00972E3F">
      <w:pPr>
        <w:pStyle w:val="Caption"/>
      </w:pPr>
      <w:r>
        <w:t>Figure 9</w:t>
      </w:r>
      <w:r w:rsidRPr="00C05EDA">
        <w:t>–</w:t>
      </w:r>
      <w:r w:rsidR="003E095A">
        <w:t>19</w:t>
      </w:r>
      <w:r w:rsidR="009213AA">
        <w:tab/>
      </w:r>
      <w:r w:rsidRPr="00C05EDA">
        <w:t xml:space="preserve">Total interruptions to supply </w:t>
      </w:r>
      <w:r w:rsidR="007A3240">
        <w:t>–</w:t>
      </w:r>
      <w:r w:rsidRPr="00C05EDA">
        <w:t xml:space="preserve"> </w:t>
      </w:r>
      <w:proofErr w:type="spellStart"/>
      <w:r w:rsidRPr="00C05EDA">
        <w:t>Ausgrid</w:t>
      </w:r>
      <w:proofErr w:type="spellEnd"/>
    </w:p>
    <w:p w:rsidR="003E095A" w:rsidRDefault="003E095A" w:rsidP="0017303B">
      <w:r>
        <w:rPr>
          <w:noProof/>
          <w:lang w:eastAsia="en-AU"/>
        </w:rPr>
        <w:drawing>
          <wp:inline distT="0" distB="0" distL="0" distR="0" wp14:anchorId="75A71F2B" wp14:editId="2763BCB1">
            <wp:extent cx="2530800" cy="1519200"/>
            <wp:effectExtent l="0" t="0" r="317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0800" cy="1519200"/>
                    </a:xfrm>
                    <a:prstGeom prst="rect">
                      <a:avLst/>
                    </a:prstGeom>
                    <a:noFill/>
                  </pic:spPr>
                </pic:pic>
              </a:graphicData>
            </a:graphic>
          </wp:inline>
        </w:drawing>
      </w:r>
      <w:r>
        <w:rPr>
          <w:noProof/>
          <w:lang w:eastAsia="en-AU"/>
        </w:rPr>
        <w:drawing>
          <wp:inline distT="0" distB="0" distL="0" distR="0" wp14:anchorId="384AA6BF" wp14:editId="22EBBC10">
            <wp:extent cx="2530800" cy="1519200"/>
            <wp:effectExtent l="0" t="0" r="317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30800" cy="1519200"/>
                    </a:xfrm>
                    <a:prstGeom prst="rect">
                      <a:avLst/>
                    </a:prstGeom>
                    <a:noFill/>
                  </pic:spPr>
                </pic:pic>
              </a:graphicData>
            </a:graphic>
          </wp:inline>
        </w:drawing>
      </w:r>
    </w:p>
    <w:p w:rsidR="001A249A" w:rsidRDefault="009A0325" w:rsidP="00CA4BC2">
      <w:pPr>
        <w:pStyle w:val="Heading4notnumbered"/>
        <w:keepNext w:val="0"/>
      </w:pPr>
      <w:r w:rsidRPr="009A0325">
        <w:rPr>
          <w:noProof/>
          <w:lang w:eastAsia="en-AU"/>
        </w:rPr>
        <w:drawing>
          <wp:inline distT="0" distB="0" distL="0" distR="0" wp14:anchorId="489A8103" wp14:editId="6A5429B4">
            <wp:extent cx="5731510" cy="11068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1106863"/>
                    </a:xfrm>
                    <a:prstGeom prst="rect">
                      <a:avLst/>
                    </a:prstGeom>
                    <a:noFill/>
                    <a:ln>
                      <a:noFill/>
                    </a:ln>
                  </pic:spPr>
                </pic:pic>
              </a:graphicData>
            </a:graphic>
          </wp:inline>
        </w:drawing>
      </w:r>
    </w:p>
    <w:p w:rsidR="00AE2FC7" w:rsidRPr="00C05EDA" w:rsidRDefault="00AE2FC7" w:rsidP="00AE2FC7">
      <w:pPr>
        <w:pStyle w:val="Heading4notnumbered"/>
      </w:pPr>
      <w:r w:rsidRPr="00C05EDA">
        <w:t>Service Target Performance Incentive Scheme</w:t>
      </w:r>
    </w:p>
    <w:p w:rsidR="00AE2FC7" w:rsidRPr="00C05EDA" w:rsidRDefault="0071648E" w:rsidP="00AE2FC7">
      <w:r>
        <w:t>We appl</w:t>
      </w:r>
      <w:r w:rsidR="00357044">
        <w:t>ied</w:t>
      </w:r>
      <w:r>
        <w:t xml:space="preserve"> </w:t>
      </w:r>
      <w:r w:rsidR="00AE2FC7" w:rsidRPr="00C05EDA">
        <w:t xml:space="preserve">the national distribution STPIS to </w:t>
      </w:r>
      <w:proofErr w:type="spellStart"/>
      <w:r w:rsidR="00AE2FC7" w:rsidRPr="00C05EDA">
        <w:t>Ausgrid</w:t>
      </w:r>
      <w:proofErr w:type="spellEnd"/>
      <w:r w:rsidR="00AE2FC7" w:rsidRPr="00C05EDA">
        <w:t xml:space="preserve"> from 1 July 2015 as part of the 2015 distribution </w:t>
      </w:r>
      <w:proofErr w:type="spellStart"/>
      <w:r w:rsidR="00AE2FC7" w:rsidRPr="00C05EDA">
        <w:t>determination.The</w:t>
      </w:r>
      <w:proofErr w:type="spellEnd"/>
      <w:r w:rsidR="00AE2FC7" w:rsidRPr="00C05EDA">
        <w:t xml:space="preserve"> following section shows the effect of (normalised) unplanned interruptions to supply on customers on </w:t>
      </w:r>
      <w:proofErr w:type="spellStart"/>
      <w:r w:rsidR="00AE2FC7" w:rsidRPr="00C05EDA">
        <w:t>Ausgrid's</w:t>
      </w:r>
      <w:proofErr w:type="spellEnd"/>
      <w:r w:rsidR="00AE2FC7" w:rsidRPr="00C05EDA">
        <w:t xml:space="preserve"> network. </w:t>
      </w:r>
    </w:p>
    <w:p w:rsidR="00AE2FC7" w:rsidRPr="00C05EDA" w:rsidRDefault="00AE2FC7" w:rsidP="00AE2FC7">
      <w:pPr>
        <w:pStyle w:val="Heading4notnumbered"/>
      </w:pPr>
      <w:r w:rsidRPr="00C05EDA">
        <w:t>Network reliability (normalised)</w:t>
      </w:r>
    </w:p>
    <w:p w:rsidR="00AE2FC7" w:rsidRPr="00C05EDA" w:rsidRDefault="00AE2FC7" w:rsidP="00AE2FC7">
      <w:r w:rsidRPr="00C05EDA">
        <w:t>In 2012</w:t>
      </w:r>
      <w:r w:rsidR="007A3240">
        <w:t>–</w:t>
      </w:r>
      <w:r w:rsidRPr="00C05EDA">
        <w:t xml:space="preserve">13 the average </w:t>
      </w:r>
      <w:proofErr w:type="spellStart"/>
      <w:r w:rsidRPr="00C05EDA">
        <w:t>Ausgrid</w:t>
      </w:r>
      <w:proofErr w:type="spellEnd"/>
      <w:r w:rsidRPr="00C05EDA">
        <w:t xml:space="preserve"> customer experienced:</w:t>
      </w:r>
    </w:p>
    <w:p w:rsidR="00AE2FC7" w:rsidRPr="0071648E" w:rsidRDefault="00AE2FC7" w:rsidP="0071648E">
      <w:pPr>
        <w:pStyle w:val="ListBullet"/>
      </w:pPr>
      <w:r w:rsidRPr="0071648E">
        <w:t>2</w:t>
      </w:r>
      <w:r w:rsidR="0045535D">
        <w:t>9</w:t>
      </w:r>
      <w:r w:rsidRPr="0071648E">
        <w:t xml:space="preserve"> per cent fewer unplanned (normalised) minutes off supply than over the previous five years </w:t>
      </w:r>
    </w:p>
    <w:p w:rsidR="00AE2FC7" w:rsidRPr="0071648E" w:rsidRDefault="0045535D" w:rsidP="0071648E">
      <w:pPr>
        <w:pStyle w:val="ListBullet"/>
      </w:pPr>
      <w:r>
        <w:t>35</w:t>
      </w:r>
      <w:r w:rsidR="00AE2FC7" w:rsidRPr="0071648E">
        <w:t xml:space="preserve"> per cent fewer unplanned (normalised) interruptions to supply than over the previous five years (Figure 9–2</w:t>
      </w:r>
      <w:r w:rsidR="003E095A" w:rsidRPr="0071648E">
        <w:t>0</w:t>
      </w:r>
      <w:r w:rsidR="00AE2FC7" w:rsidRPr="0071648E">
        <w:t>).</w:t>
      </w:r>
    </w:p>
    <w:p w:rsidR="00AE2FC7" w:rsidRPr="00C05EDA" w:rsidRDefault="00AE2FC7" w:rsidP="00AE2FC7">
      <w:r w:rsidRPr="00C05EDA">
        <w:t xml:space="preserve">It should be noted the reliability information presented in </w:t>
      </w:r>
      <w:r>
        <w:t>Figure 9</w:t>
      </w:r>
      <w:r w:rsidRPr="00C05EDA">
        <w:t>–2</w:t>
      </w:r>
      <w:r w:rsidR="003E095A">
        <w:t>0</w:t>
      </w:r>
      <w:r w:rsidRPr="00C05EDA">
        <w:t xml:space="preserve"> combines information from the previous jurisdictional scheme and the AER's STPIS. These schemes differ in detail and therefore the information is not directly comparable. However, the reliability outcomes are presented to provide broad trend information regarding </w:t>
      </w:r>
      <w:proofErr w:type="spellStart"/>
      <w:r w:rsidRPr="00C05EDA">
        <w:t>Ausgrid's</w:t>
      </w:r>
      <w:proofErr w:type="spellEnd"/>
      <w:r w:rsidRPr="00C05EDA">
        <w:t xml:space="preserve"> service performance.</w:t>
      </w:r>
    </w:p>
    <w:p w:rsidR="00AE2FC7" w:rsidRDefault="00AE2FC7" w:rsidP="00972E3F">
      <w:pPr>
        <w:pStyle w:val="Caption"/>
      </w:pPr>
      <w:r>
        <w:t>Figure 9</w:t>
      </w:r>
      <w:r w:rsidRPr="00C05EDA">
        <w:t>–2</w:t>
      </w:r>
      <w:r w:rsidR="009A0325">
        <w:t>0</w:t>
      </w:r>
      <w:r w:rsidR="00944D13">
        <w:t xml:space="preserve"> </w:t>
      </w:r>
      <w:r w:rsidRPr="00C05EDA">
        <w:tab/>
      </w:r>
      <w:proofErr w:type="gramStart"/>
      <w:r w:rsidRPr="00C05EDA">
        <w:t>Unplanned</w:t>
      </w:r>
      <w:proofErr w:type="gramEnd"/>
      <w:r w:rsidRPr="00C05EDA">
        <w:t xml:space="preserve"> interruptions to supply (normalised) </w:t>
      </w:r>
      <w:r w:rsidR="007A3240">
        <w:t>–</w:t>
      </w:r>
      <w:r w:rsidRPr="00C05EDA">
        <w:t xml:space="preserve"> </w:t>
      </w:r>
      <w:proofErr w:type="spellStart"/>
      <w:r w:rsidRPr="00C05EDA">
        <w:t>Ausgrid</w:t>
      </w:r>
      <w:proofErr w:type="spellEnd"/>
    </w:p>
    <w:p w:rsidR="009A0325" w:rsidRDefault="00985444" w:rsidP="00AE2FC7">
      <w:r w:rsidRPr="0039199D">
        <w:rPr>
          <w:noProof/>
          <w:lang w:eastAsia="en-AU"/>
        </w:rPr>
        <w:drawing>
          <wp:inline distT="0" distB="0" distL="0" distR="0" wp14:anchorId="39D0C185" wp14:editId="189CF112">
            <wp:extent cx="2833200" cy="1695600"/>
            <wp:effectExtent l="0" t="0" r="571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3200" cy="1695600"/>
                    </a:xfrm>
                    <a:prstGeom prst="rect">
                      <a:avLst/>
                    </a:prstGeom>
                    <a:noFill/>
                  </pic:spPr>
                </pic:pic>
              </a:graphicData>
            </a:graphic>
          </wp:inline>
        </w:drawing>
      </w:r>
      <w:r w:rsidRPr="00380E4F">
        <w:rPr>
          <w:noProof/>
          <w:lang w:eastAsia="en-AU"/>
        </w:rPr>
        <w:drawing>
          <wp:inline distT="0" distB="0" distL="0" distR="0" wp14:anchorId="57D90CA4" wp14:editId="3CC6C5E5">
            <wp:extent cx="2833200" cy="1699200"/>
            <wp:effectExtent l="0" t="0" r="571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sidR="009A0325">
        <w:t xml:space="preserve"> </w:t>
      </w:r>
    </w:p>
    <w:p w:rsidR="009A0325" w:rsidRDefault="009A0325" w:rsidP="009A0325">
      <w:r w:rsidRPr="009A0325">
        <w:rPr>
          <w:noProof/>
          <w:lang w:eastAsia="en-AU"/>
        </w:rPr>
        <w:drawing>
          <wp:inline distT="0" distB="0" distL="0" distR="0" wp14:anchorId="30A2C59F" wp14:editId="6F844006">
            <wp:extent cx="5731510" cy="76738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767384"/>
                    </a:xfrm>
                    <a:prstGeom prst="rect">
                      <a:avLst/>
                    </a:prstGeom>
                    <a:noFill/>
                    <a:ln>
                      <a:noFill/>
                    </a:ln>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r>
        <w:br w:type="page"/>
      </w:r>
    </w:p>
    <w:bookmarkStart w:id="243" w:name="_Toc409771645"/>
    <w:bookmarkStart w:id="244" w:name="_Toc412790594"/>
    <w:bookmarkStart w:id="245" w:name="_Toc413062075"/>
    <w:bookmarkStart w:id="246" w:name="_Toc409771644"/>
    <w:bookmarkStart w:id="247" w:name="_Toc423086493"/>
    <w:p w:rsidR="00AE2FC7" w:rsidRDefault="006C7491" w:rsidP="00CA4BC2">
      <w:pPr>
        <w:pStyle w:val="Heading2"/>
      </w:pPr>
      <w:r w:rsidRPr="00474352">
        <w:rPr>
          <w:noProof/>
          <w:lang w:eastAsia="en-AU"/>
        </w:rPr>
        <mc:AlternateContent>
          <mc:Choice Requires="wps">
            <w:drawing>
              <wp:anchor distT="0" distB="0" distL="114300" distR="114300" simplePos="0" relativeHeight="251669504" behindDoc="1" locked="0" layoutInCell="1" allowOverlap="1" wp14:anchorId="3F990929" wp14:editId="6D0141C8">
                <wp:simplePos x="0" y="0"/>
                <wp:positionH relativeFrom="column">
                  <wp:posOffset>-220345</wp:posOffset>
                </wp:positionH>
                <wp:positionV relativeFrom="paragraph">
                  <wp:posOffset>328930</wp:posOffset>
                </wp:positionV>
                <wp:extent cx="6259195" cy="8395335"/>
                <wp:effectExtent l="19050" t="19050" r="27305" b="24765"/>
                <wp:wrapTight wrapText="bothSides">
                  <wp:wrapPolygon edited="0">
                    <wp:start x="-66" y="-49"/>
                    <wp:lineTo x="-66" y="21615"/>
                    <wp:lineTo x="21628" y="21615"/>
                    <wp:lineTo x="21628" y="-49"/>
                    <wp:lineTo x="-66" y="-49"/>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395335"/>
                        </a:xfrm>
                        <a:prstGeom prst="rect">
                          <a:avLst/>
                        </a:prstGeom>
                        <a:noFill/>
                        <a:ln w="44450">
                          <a:solidFill>
                            <a:srgbClr val="DEEBF7"/>
                          </a:solidFill>
                          <a:miter lim="800000"/>
                          <a:headEnd/>
                          <a:tailEnd/>
                        </a:ln>
                      </wps:spPr>
                      <wps:txbx>
                        <w:txbxContent>
                          <w:p w:rsidR="00AD3D0C" w:rsidRDefault="00AD3D0C" w:rsidP="00AD7DF3">
                            <w:pPr>
                              <w:pStyle w:val="Heading3notnumbered"/>
                            </w:pPr>
                            <w:bookmarkStart w:id="248" w:name="_Toc413311077"/>
                            <w:bookmarkStart w:id="249" w:name="_Toc423086494"/>
                            <w:r>
                              <w:t>Network characteristics</w:t>
                            </w:r>
                            <w:bookmarkEnd w:id="248"/>
                            <w:bookmarkEnd w:id="249"/>
                          </w:p>
                          <w:p w:rsidR="00AD3D0C" w:rsidRPr="00C312BC" w:rsidRDefault="00AD3D0C" w:rsidP="00AD7DF3">
                            <w:r w:rsidRPr="00E96856">
                              <w:rPr>
                                <w:rStyle w:val="Strong"/>
                              </w:rPr>
                              <w:t>Ownership:</w:t>
                            </w:r>
                            <w:r>
                              <w:t xml:space="preserve">  </w:t>
                            </w:r>
                            <w:r w:rsidRPr="007A2995">
                              <w:t>New South Wales (NSW) Governmen</w:t>
                            </w:r>
                            <w:r>
                              <w:t>t</w:t>
                            </w:r>
                            <w:r w:rsidRPr="00C312BC">
                              <w:t xml:space="preserve"> </w:t>
                            </w:r>
                          </w:p>
                          <w:p w:rsidR="00AD3D0C" w:rsidRPr="00C312BC" w:rsidRDefault="00AD3D0C" w:rsidP="00AD7DF3">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AD7DF3">
                            <w:pPr>
                              <w:rPr>
                                <w:rStyle w:val="Strong"/>
                              </w:rPr>
                            </w:pPr>
                            <w:r w:rsidRPr="00E96856">
                              <w:rPr>
                                <w:rStyle w:val="Strong"/>
                              </w:rPr>
                              <w:t>Network profile</w:t>
                            </w:r>
                          </w:p>
                          <w:p w:rsidR="00AD3D0C" w:rsidRDefault="00AD3D0C" w:rsidP="00AD7DF3">
                            <w:pPr>
                              <w:pStyle w:val="TableofFigures"/>
                            </w:pPr>
                            <w:r>
                              <w:t xml:space="preserve">  Total distribution customers:</w:t>
                            </w:r>
                            <w:r w:rsidRPr="00C312BC">
                              <w:t xml:space="preserve"> </w:t>
                            </w:r>
                            <w:r w:rsidRPr="00C312BC">
                              <w:tab/>
                            </w:r>
                            <w:r>
                              <w:tab/>
                            </w:r>
                            <w:r>
                              <w:tab/>
                              <w:t>919,385</w:t>
                            </w:r>
                          </w:p>
                          <w:p w:rsidR="00AD3D0C" w:rsidRPr="00C312BC" w:rsidRDefault="00AD3D0C" w:rsidP="00AD7DF3">
                            <w:pPr>
                              <w:pStyle w:val="TableofFigures"/>
                            </w:pPr>
                            <w:r w:rsidRPr="00E96856">
                              <w:t xml:space="preserve"> </w:t>
                            </w:r>
                            <w:r w:rsidRPr="00AD7DF3">
                              <w:rPr>
                                <w:noProof/>
                                <w:lang w:eastAsia="en-AU"/>
                              </w:rPr>
                              <w:drawing>
                                <wp:inline distT="0" distB="0" distL="0" distR="0" wp14:anchorId="79343364" wp14:editId="62A48E51">
                                  <wp:extent cx="4572000" cy="9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957600"/>
                                          </a:xfrm>
                                          <a:prstGeom prst="rect">
                                            <a:avLst/>
                                          </a:prstGeom>
                                          <a:noFill/>
                                        </pic:spPr>
                                      </pic:pic>
                                    </a:graphicData>
                                  </a:graphic>
                                </wp:inline>
                              </w:drawing>
                            </w:r>
                          </w:p>
                          <w:p w:rsidR="00AD3D0C" w:rsidRDefault="00AD3D0C" w:rsidP="00AD7DF3">
                            <w:pPr>
                              <w:pStyle w:val="TableofFigures"/>
                            </w:pPr>
                            <w:r>
                              <w:t xml:space="preserve">  </w:t>
                            </w:r>
                            <w:r w:rsidRPr="0075338F">
                              <w:t xml:space="preserve">Total line </w:t>
                            </w:r>
                            <w:r>
                              <w:t xml:space="preserve">(circuit) </w:t>
                            </w:r>
                            <w:r w:rsidRPr="0075338F">
                              <w:t>length:</w:t>
                            </w:r>
                            <w:r>
                              <w:t xml:space="preserve"> </w:t>
                            </w:r>
                            <w:r>
                              <w:tab/>
                            </w:r>
                            <w:r>
                              <w:tab/>
                            </w:r>
                            <w:r>
                              <w:tab/>
                            </w:r>
                            <w:r>
                              <w:tab/>
                              <w:t>35,029 km</w:t>
                            </w:r>
                          </w:p>
                          <w:p w:rsidR="00AD3D0C" w:rsidRDefault="00AD3D0C" w:rsidP="00AD7DF3">
                            <w:r w:rsidRPr="00AD7DF3">
                              <w:rPr>
                                <w:noProof/>
                                <w:lang w:eastAsia="en-AU"/>
                              </w:rPr>
                              <w:drawing>
                                <wp:inline distT="0" distB="0" distL="0" distR="0" wp14:anchorId="5DF4B787" wp14:editId="1031AAC9">
                                  <wp:extent cx="4550400" cy="946800"/>
                                  <wp:effectExtent l="0" t="0" r="3175" b="571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50400" cy="946800"/>
                                          </a:xfrm>
                                          <a:prstGeom prst="rect">
                                            <a:avLst/>
                                          </a:prstGeom>
                                          <a:noFill/>
                                        </pic:spPr>
                                      </pic:pic>
                                    </a:graphicData>
                                  </a:graphic>
                                </wp:inline>
                              </w:drawing>
                            </w:r>
                          </w:p>
                          <w:p w:rsidR="00AD3D0C" w:rsidRPr="00C312BC" w:rsidRDefault="00AD3D0C" w:rsidP="00AD7DF3">
                            <w:r>
                              <w:t xml:space="preserve">  </w:t>
                            </w:r>
                            <w:r w:rsidRPr="000D7CD6">
                              <w:t xml:space="preserve">Customer density: </w:t>
                            </w:r>
                            <w:r w:rsidRPr="00C312BC">
                              <w:tab/>
                            </w:r>
                            <w:r w:rsidRPr="00C312BC">
                              <w:tab/>
                            </w:r>
                            <w:r>
                              <w:tab/>
                            </w:r>
                            <w:r>
                              <w:tab/>
                            </w:r>
                            <w:r>
                              <w:tab/>
                            </w:r>
                            <w:r>
                              <w:tab/>
                              <w:t>26.2</w:t>
                            </w:r>
                            <w:r w:rsidRPr="00C312BC">
                              <w:t xml:space="preserve"> customers/</w:t>
                            </w:r>
                            <w:r>
                              <w:t>km line (circuit)</w:t>
                            </w:r>
                          </w:p>
                          <w:p w:rsidR="00AD3D0C" w:rsidRPr="00E96856" w:rsidRDefault="00AD3D0C" w:rsidP="00AD7DF3">
                            <w:pPr>
                              <w:rPr>
                                <w:rStyle w:val="Strong"/>
                              </w:rPr>
                            </w:pPr>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p>
                          <w:p w:rsidR="00AD3D0C" w:rsidRPr="00474352" w:rsidRDefault="00AD3D0C" w:rsidP="00AD7DF3">
                            <w:r w:rsidRPr="00474352">
                              <w:t xml:space="preserve">  Energy delivered:</w:t>
                            </w:r>
                            <w:r w:rsidRPr="00474352">
                              <w:tab/>
                            </w:r>
                            <w:r w:rsidRPr="00474352">
                              <w:tab/>
                            </w:r>
                            <w:r w:rsidRPr="00474352">
                              <w:tab/>
                            </w:r>
                            <w:r w:rsidRPr="00474352">
                              <w:tab/>
                            </w:r>
                            <w:r>
                              <w:tab/>
                            </w:r>
                            <w:r>
                              <w:tab/>
                              <w:t xml:space="preserve">67,419 </w:t>
                            </w:r>
                            <w:proofErr w:type="spellStart"/>
                            <w:r>
                              <w:t>GWh</w:t>
                            </w:r>
                            <w:proofErr w:type="spellEnd"/>
                            <w:r>
                              <w:t xml:space="preserve">, </w:t>
                            </w:r>
                            <w:r w:rsidRPr="00474352">
                              <w:t>4 per cent ▼ than forecast</w:t>
                            </w:r>
                          </w:p>
                          <w:p w:rsidR="00AD3D0C" w:rsidRPr="00474352" w:rsidRDefault="00AD3D0C" w:rsidP="00AD7DF3">
                            <w:r w:rsidRPr="00474352">
                              <w:t xml:space="preserve">  Capital expenditure: </w:t>
                            </w:r>
                            <w:r w:rsidRPr="00474352">
                              <w:tab/>
                            </w:r>
                            <w:r w:rsidRPr="00474352">
                              <w:tab/>
                            </w:r>
                            <w:r w:rsidRPr="00474352">
                              <w:tab/>
                            </w:r>
                            <w:r>
                              <w:tab/>
                            </w:r>
                            <w:r w:rsidRPr="00474352">
                              <w:tab/>
                            </w:r>
                            <w:r>
                              <w:t xml:space="preserve">$2 </w:t>
                            </w:r>
                            <w:proofErr w:type="spellStart"/>
                            <w:r>
                              <w:t>bn</w:t>
                            </w:r>
                            <w:proofErr w:type="spellEnd"/>
                            <w:r>
                              <w:t>, 15</w:t>
                            </w:r>
                            <w:r w:rsidRPr="00344E95">
                              <w:t xml:space="preserve"> per cent ▼ than forecast</w:t>
                            </w:r>
                          </w:p>
                          <w:p w:rsidR="00AD3D0C" w:rsidRPr="00474352" w:rsidRDefault="00AD3D0C" w:rsidP="00AD7DF3">
                            <w:r w:rsidRPr="00474352">
                              <w:t xml:space="preserve">  Regulatory Asset Base: </w:t>
                            </w:r>
                            <w:r w:rsidRPr="00474352">
                              <w:tab/>
                            </w:r>
                            <w:r w:rsidRPr="00474352">
                              <w:tab/>
                            </w:r>
                            <w:r>
                              <w:tab/>
                            </w:r>
                            <w:r w:rsidRPr="00474352">
                              <w:tab/>
                            </w:r>
                            <w:r>
                              <w:t>28</w:t>
                            </w:r>
                            <w:r w:rsidRPr="00474352">
                              <w:t xml:space="preserve"> per cent ▲ (from $</w:t>
                            </w:r>
                            <w:r>
                              <w:t>4.2</w:t>
                            </w:r>
                            <w:r w:rsidRPr="00474352">
                              <w:t>bn to $</w:t>
                            </w:r>
                            <w:r>
                              <w:t>5.4</w:t>
                            </w:r>
                            <w:r w:rsidRPr="00474352">
                              <w:t>bn)</w:t>
                            </w:r>
                          </w:p>
                          <w:p w:rsidR="00AD3D0C" w:rsidRPr="00474352" w:rsidRDefault="00AD3D0C" w:rsidP="00AD7DF3">
                            <w:r w:rsidRPr="00474352">
                              <w:t xml:space="preserve">  Operating expenditure: </w:t>
                            </w:r>
                            <w:r w:rsidRPr="00474352">
                              <w:tab/>
                            </w:r>
                            <w:r w:rsidRPr="00474352">
                              <w:tab/>
                            </w:r>
                            <w:r w:rsidRPr="00474352">
                              <w:tab/>
                            </w:r>
                            <w:r>
                              <w:tab/>
                              <w:t xml:space="preserve">$1.1 </w:t>
                            </w:r>
                            <w:proofErr w:type="spellStart"/>
                            <w:r>
                              <w:t>bn</w:t>
                            </w:r>
                            <w:proofErr w:type="spellEnd"/>
                            <w:r>
                              <w:t>, 16</w:t>
                            </w:r>
                            <w:r w:rsidRPr="00474352">
                              <w:t xml:space="preserve"> per cent ▼ than forecast</w:t>
                            </w:r>
                          </w:p>
                          <w:p w:rsidR="00AD3D0C" w:rsidRPr="00474352" w:rsidRDefault="00AD3D0C" w:rsidP="00AD7DF3">
                            <w:r w:rsidRPr="00474352">
                              <w:t xml:space="preserve">  Revenue (WAPC): </w:t>
                            </w:r>
                            <w:r w:rsidRPr="00474352">
                              <w:tab/>
                            </w:r>
                            <w:r w:rsidRPr="00474352">
                              <w:tab/>
                            </w:r>
                            <w:r w:rsidRPr="00474352">
                              <w:tab/>
                            </w:r>
                            <w:r w:rsidRPr="00474352">
                              <w:tab/>
                            </w:r>
                            <w:r>
                              <w:tab/>
                            </w:r>
                            <w:r>
                              <w:tab/>
                              <w:t xml:space="preserve">$3.8 </w:t>
                            </w:r>
                            <w:proofErr w:type="spellStart"/>
                            <w:r>
                              <w:t>bn</w:t>
                            </w:r>
                            <w:proofErr w:type="spellEnd"/>
                            <w:r>
                              <w:t>, 1</w:t>
                            </w:r>
                            <w:r w:rsidRPr="00474352">
                              <w:t xml:space="preserve"> per cent ▼ than forecast </w:t>
                            </w:r>
                          </w:p>
                          <w:p w:rsidR="00AD3D0C" w:rsidRDefault="00AD3D0C" w:rsidP="00AD7DF3">
                            <w:pPr>
                              <w:rPr>
                                <w:rStyle w:val="Strong"/>
                              </w:rPr>
                            </w:pPr>
                            <w:r w:rsidRPr="00D503C8">
                              <w:rPr>
                                <w:rStyle w:val="Strong"/>
                              </w:rPr>
                              <w:t xml:space="preserve">Network reliability (normalised): </w:t>
                            </w:r>
                          </w:p>
                          <w:p w:rsidR="00AD3D0C" w:rsidRDefault="00AD3D0C" w:rsidP="00AD7DF3">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104.6</w:t>
                            </w:r>
                            <w:r w:rsidRPr="00E96856">
                              <w:t xml:space="preserve"> minutes</w:t>
                            </w:r>
                          </w:p>
                          <w:p w:rsidR="00AD3D0C" w:rsidRDefault="00AD3D0C" w:rsidP="00AD7DF3">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87.2</w:t>
                            </w:r>
                            <w:r w:rsidRPr="00E96856">
                              <w:t xml:space="preserve"> minutes</w:t>
                            </w:r>
                          </w:p>
                          <w:p w:rsidR="00AD3D0C" w:rsidRDefault="00AD3D0C" w:rsidP="00AD7DF3">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1.22</w:t>
                            </w:r>
                            <w:r w:rsidRPr="00E96856">
                              <w:t xml:space="preserve"> interruptions</w:t>
                            </w:r>
                          </w:p>
                          <w:p w:rsidR="00AD3D0C" w:rsidRPr="00D503C8" w:rsidRDefault="00AD3D0C" w:rsidP="00AD7DF3">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1.04</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35pt;margin-top:25.9pt;width:492.85pt;height:66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" filled="f" strokecolor="#deebf7" strokeweight="3.5pt">
                <v:textbox>
                  <w:txbxContent>
                    <w:p w:rsidR="00AD3D0C" w:rsidRDefault="00AD3D0C" w:rsidP="00AD7DF3">
                      <w:pPr>
                        <w:pStyle w:val="Heading3notnumbered"/>
                      </w:pPr>
                      <w:bookmarkStart w:id="258" w:name="_Toc413311077"/>
                      <w:bookmarkStart w:id="259" w:name="_Toc423086494"/>
                      <w:r>
                        <w:t>Network characteristics</w:t>
                      </w:r>
                      <w:bookmarkEnd w:id="258"/>
                      <w:bookmarkEnd w:id="259"/>
                    </w:p>
                    <w:p w:rsidR="00AD3D0C" w:rsidRPr="00C312BC" w:rsidRDefault="00AD3D0C" w:rsidP="00AD7DF3">
                      <w:r w:rsidRPr="00E96856">
                        <w:rPr>
                          <w:rStyle w:val="Strong"/>
                        </w:rPr>
                        <w:t>Ownership:</w:t>
                      </w:r>
                      <w:r>
                        <w:t xml:space="preserve">  </w:t>
                      </w:r>
                      <w:r w:rsidRPr="007A2995">
                        <w:t>New South Wales (NSW) Governmen</w:t>
                      </w:r>
                      <w:r>
                        <w:t>t</w:t>
                      </w:r>
                      <w:r w:rsidRPr="00C312BC">
                        <w:t xml:space="preserve"> </w:t>
                      </w:r>
                    </w:p>
                    <w:p w:rsidR="00AD3D0C" w:rsidRPr="00C312BC" w:rsidRDefault="00AD3D0C" w:rsidP="00AD7DF3">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AD7DF3">
                      <w:pPr>
                        <w:rPr>
                          <w:rStyle w:val="Strong"/>
                        </w:rPr>
                      </w:pPr>
                      <w:r w:rsidRPr="00E96856">
                        <w:rPr>
                          <w:rStyle w:val="Strong"/>
                        </w:rPr>
                        <w:t>Network profile</w:t>
                      </w:r>
                    </w:p>
                    <w:p w:rsidR="00AD3D0C" w:rsidRDefault="00AD3D0C" w:rsidP="00AD7DF3">
                      <w:pPr>
                        <w:pStyle w:val="TableofFigures"/>
                      </w:pPr>
                      <w:r>
                        <w:t xml:space="preserve">  Total distribution customers:</w:t>
                      </w:r>
                      <w:r w:rsidRPr="00C312BC">
                        <w:t xml:space="preserve"> </w:t>
                      </w:r>
                      <w:r w:rsidRPr="00C312BC">
                        <w:tab/>
                      </w:r>
                      <w:r>
                        <w:tab/>
                      </w:r>
                      <w:r>
                        <w:tab/>
                        <w:t>919,385</w:t>
                      </w:r>
                    </w:p>
                    <w:p w:rsidR="00AD3D0C" w:rsidRPr="00C312BC" w:rsidRDefault="00AD3D0C" w:rsidP="00AD7DF3">
                      <w:pPr>
                        <w:pStyle w:val="TableofFigures"/>
                      </w:pPr>
                      <w:r w:rsidRPr="00E96856">
                        <w:t xml:space="preserve"> </w:t>
                      </w:r>
                      <w:r w:rsidRPr="00AD7DF3">
                        <w:rPr>
                          <w:noProof/>
                          <w:lang w:eastAsia="en-AU"/>
                        </w:rPr>
                        <w:drawing>
                          <wp:inline distT="0" distB="0" distL="0" distR="0" wp14:anchorId="79343364" wp14:editId="62A48E51">
                            <wp:extent cx="4572000" cy="9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957600"/>
                                    </a:xfrm>
                                    <a:prstGeom prst="rect">
                                      <a:avLst/>
                                    </a:prstGeom>
                                    <a:noFill/>
                                  </pic:spPr>
                                </pic:pic>
                              </a:graphicData>
                            </a:graphic>
                          </wp:inline>
                        </w:drawing>
                      </w:r>
                    </w:p>
                    <w:p w:rsidR="00AD3D0C" w:rsidRDefault="00AD3D0C" w:rsidP="00AD7DF3">
                      <w:pPr>
                        <w:pStyle w:val="TableofFigures"/>
                      </w:pPr>
                      <w:r>
                        <w:t xml:space="preserve">  </w:t>
                      </w:r>
                      <w:r w:rsidRPr="0075338F">
                        <w:t xml:space="preserve">Total line </w:t>
                      </w:r>
                      <w:r>
                        <w:t xml:space="preserve">(circuit) </w:t>
                      </w:r>
                      <w:r w:rsidRPr="0075338F">
                        <w:t>length:</w:t>
                      </w:r>
                      <w:r>
                        <w:t xml:space="preserve"> </w:t>
                      </w:r>
                      <w:r>
                        <w:tab/>
                      </w:r>
                      <w:r>
                        <w:tab/>
                      </w:r>
                      <w:r>
                        <w:tab/>
                      </w:r>
                      <w:r>
                        <w:tab/>
                        <w:t>35,029 km</w:t>
                      </w:r>
                    </w:p>
                    <w:p w:rsidR="00AD3D0C" w:rsidRDefault="00AD3D0C" w:rsidP="00AD7DF3">
                      <w:r w:rsidRPr="00AD7DF3">
                        <w:rPr>
                          <w:noProof/>
                          <w:lang w:eastAsia="en-AU"/>
                        </w:rPr>
                        <w:drawing>
                          <wp:inline distT="0" distB="0" distL="0" distR="0" wp14:anchorId="5DF4B787" wp14:editId="1031AAC9">
                            <wp:extent cx="4550400" cy="946800"/>
                            <wp:effectExtent l="0" t="0" r="3175" b="571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50400" cy="946800"/>
                                    </a:xfrm>
                                    <a:prstGeom prst="rect">
                                      <a:avLst/>
                                    </a:prstGeom>
                                    <a:noFill/>
                                  </pic:spPr>
                                </pic:pic>
                              </a:graphicData>
                            </a:graphic>
                          </wp:inline>
                        </w:drawing>
                      </w:r>
                    </w:p>
                    <w:p w:rsidR="00AD3D0C" w:rsidRPr="00C312BC" w:rsidRDefault="00AD3D0C" w:rsidP="00AD7DF3">
                      <w:r>
                        <w:t xml:space="preserve">  </w:t>
                      </w:r>
                      <w:r w:rsidRPr="000D7CD6">
                        <w:t xml:space="preserve">Customer density: </w:t>
                      </w:r>
                      <w:r w:rsidRPr="00C312BC">
                        <w:tab/>
                      </w:r>
                      <w:r w:rsidRPr="00C312BC">
                        <w:tab/>
                      </w:r>
                      <w:r>
                        <w:tab/>
                      </w:r>
                      <w:r>
                        <w:tab/>
                      </w:r>
                      <w:r>
                        <w:tab/>
                      </w:r>
                      <w:r>
                        <w:tab/>
                        <w:t>26.2</w:t>
                      </w:r>
                      <w:r w:rsidRPr="00C312BC">
                        <w:t xml:space="preserve"> customers/</w:t>
                      </w:r>
                      <w:r>
                        <w:t>km line (circuit)</w:t>
                      </w:r>
                    </w:p>
                    <w:p w:rsidR="00AD3D0C" w:rsidRPr="00E96856" w:rsidRDefault="00AD3D0C" w:rsidP="00AD7DF3">
                      <w:pPr>
                        <w:rPr>
                          <w:rStyle w:val="Strong"/>
                        </w:rPr>
                      </w:pPr>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p>
                    <w:p w:rsidR="00AD3D0C" w:rsidRPr="00474352" w:rsidRDefault="00AD3D0C" w:rsidP="00AD7DF3">
                      <w:r w:rsidRPr="00474352">
                        <w:t xml:space="preserve">  Energy delivered:</w:t>
                      </w:r>
                      <w:r w:rsidRPr="00474352">
                        <w:tab/>
                      </w:r>
                      <w:r w:rsidRPr="00474352">
                        <w:tab/>
                      </w:r>
                      <w:r w:rsidRPr="00474352">
                        <w:tab/>
                      </w:r>
                      <w:r w:rsidRPr="00474352">
                        <w:tab/>
                      </w:r>
                      <w:r>
                        <w:tab/>
                      </w:r>
                      <w:r>
                        <w:tab/>
                        <w:t xml:space="preserve">67,419 </w:t>
                      </w:r>
                      <w:proofErr w:type="spellStart"/>
                      <w:r>
                        <w:t>GWh</w:t>
                      </w:r>
                      <w:proofErr w:type="spellEnd"/>
                      <w:r>
                        <w:t xml:space="preserve">, </w:t>
                      </w:r>
                      <w:r w:rsidRPr="00474352">
                        <w:t>4 per cent ▼ than forecast</w:t>
                      </w:r>
                    </w:p>
                    <w:p w:rsidR="00AD3D0C" w:rsidRPr="00474352" w:rsidRDefault="00AD3D0C" w:rsidP="00AD7DF3">
                      <w:r w:rsidRPr="00474352">
                        <w:t xml:space="preserve">  Capital expenditure: </w:t>
                      </w:r>
                      <w:r w:rsidRPr="00474352">
                        <w:tab/>
                      </w:r>
                      <w:r w:rsidRPr="00474352">
                        <w:tab/>
                      </w:r>
                      <w:r w:rsidRPr="00474352">
                        <w:tab/>
                      </w:r>
                      <w:r>
                        <w:tab/>
                      </w:r>
                      <w:r w:rsidRPr="00474352">
                        <w:tab/>
                      </w:r>
                      <w:r>
                        <w:t xml:space="preserve">$2 </w:t>
                      </w:r>
                      <w:proofErr w:type="spellStart"/>
                      <w:r>
                        <w:t>bn</w:t>
                      </w:r>
                      <w:proofErr w:type="spellEnd"/>
                      <w:r>
                        <w:t>, 15</w:t>
                      </w:r>
                      <w:r w:rsidRPr="00344E95">
                        <w:t xml:space="preserve"> per cent ▼ than forecast</w:t>
                      </w:r>
                    </w:p>
                    <w:p w:rsidR="00AD3D0C" w:rsidRPr="00474352" w:rsidRDefault="00AD3D0C" w:rsidP="00AD7DF3">
                      <w:r w:rsidRPr="00474352">
                        <w:t xml:space="preserve">  Regulatory Asset Base: </w:t>
                      </w:r>
                      <w:r w:rsidRPr="00474352">
                        <w:tab/>
                      </w:r>
                      <w:r w:rsidRPr="00474352">
                        <w:tab/>
                      </w:r>
                      <w:r>
                        <w:tab/>
                      </w:r>
                      <w:r w:rsidRPr="00474352">
                        <w:tab/>
                      </w:r>
                      <w:r>
                        <w:t>28</w:t>
                      </w:r>
                      <w:r w:rsidRPr="00474352">
                        <w:t xml:space="preserve"> per cent ▲ (from $</w:t>
                      </w:r>
                      <w:r>
                        <w:t>4.2</w:t>
                      </w:r>
                      <w:r w:rsidRPr="00474352">
                        <w:t>bn to $</w:t>
                      </w:r>
                      <w:r>
                        <w:t>5.4</w:t>
                      </w:r>
                      <w:r w:rsidRPr="00474352">
                        <w:t>bn)</w:t>
                      </w:r>
                    </w:p>
                    <w:p w:rsidR="00AD3D0C" w:rsidRPr="00474352" w:rsidRDefault="00AD3D0C" w:rsidP="00AD7DF3">
                      <w:r w:rsidRPr="00474352">
                        <w:t xml:space="preserve">  Operating expenditure: </w:t>
                      </w:r>
                      <w:r w:rsidRPr="00474352">
                        <w:tab/>
                      </w:r>
                      <w:r w:rsidRPr="00474352">
                        <w:tab/>
                      </w:r>
                      <w:r w:rsidRPr="00474352">
                        <w:tab/>
                      </w:r>
                      <w:r>
                        <w:tab/>
                        <w:t xml:space="preserve">$1.1 </w:t>
                      </w:r>
                      <w:proofErr w:type="spellStart"/>
                      <w:r>
                        <w:t>bn</w:t>
                      </w:r>
                      <w:proofErr w:type="spellEnd"/>
                      <w:r>
                        <w:t>, 16</w:t>
                      </w:r>
                      <w:r w:rsidRPr="00474352">
                        <w:t xml:space="preserve"> per cent ▼ than forecast</w:t>
                      </w:r>
                    </w:p>
                    <w:p w:rsidR="00AD3D0C" w:rsidRPr="00474352" w:rsidRDefault="00AD3D0C" w:rsidP="00AD7DF3">
                      <w:r w:rsidRPr="00474352">
                        <w:t xml:space="preserve">  Revenue (WAPC): </w:t>
                      </w:r>
                      <w:r w:rsidRPr="00474352">
                        <w:tab/>
                      </w:r>
                      <w:r w:rsidRPr="00474352">
                        <w:tab/>
                      </w:r>
                      <w:r w:rsidRPr="00474352">
                        <w:tab/>
                      </w:r>
                      <w:r w:rsidRPr="00474352">
                        <w:tab/>
                      </w:r>
                      <w:r>
                        <w:tab/>
                      </w:r>
                      <w:r>
                        <w:tab/>
                        <w:t xml:space="preserve">$3.8 </w:t>
                      </w:r>
                      <w:proofErr w:type="spellStart"/>
                      <w:r>
                        <w:t>bn</w:t>
                      </w:r>
                      <w:proofErr w:type="spellEnd"/>
                      <w:r>
                        <w:t>, 1</w:t>
                      </w:r>
                      <w:r w:rsidRPr="00474352">
                        <w:t xml:space="preserve"> per cent ▼ than forecast </w:t>
                      </w:r>
                    </w:p>
                    <w:p w:rsidR="00AD3D0C" w:rsidRDefault="00AD3D0C" w:rsidP="00AD7DF3">
                      <w:pPr>
                        <w:rPr>
                          <w:rStyle w:val="Strong"/>
                        </w:rPr>
                      </w:pPr>
                      <w:r w:rsidRPr="00D503C8">
                        <w:rPr>
                          <w:rStyle w:val="Strong"/>
                        </w:rPr>
                        <w:t xml:space="preserve">Network reliability (normalised): </w:t>
                      </w:r>
                    </w:p>
                    <w:p w:rsidR="00AD3D0C" w:rsidRDefault="00AD3D0C" w:rsidP="00AD7DF3">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104.6</w:t>
                      </w:r>
                      <w:r w:rsidRPr="00E96856">
                        <w:t xml:space="preserve"> minutes</w:t>
                      </w:r>
                    </w:p>
                    <w:p w:rsidR="00AD3D0C" w:rsidRDefault="00AD3D0C" w:rsidP="00AD7DF3">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87.2</w:t>
                      </w:r>
                      <w:r w:rsidRPr="00E96856">
                        <w:t xml:space="preserve"> minutes</w:t>
                      </w:r>
                    </w:p>
                    <w:p w:rsidR="00AD3D0C" w:rsidRDefault="00AD3D0C" w:rsidP="00AD7DF3">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1.22</w:t>
                      </w:r>
                      <w:r w:rsidRPr="00E96856">
                        <w:t xml:space="preserve"> interruptions</w:t>
                      </w:r>
                    </w:p>
                    <w:p w:rsidR="00AD3D0C" w:rsidRPr="00D503C8" w:rsidRDefault="00AD3D0C" w:rsidP="00AD7DF3">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1.04</w:t>
                      </w:r>
                      <w:r w:rsidRPr="00E96856">
                        <w:t xml:space="preserve"> interruptions</w:t>
                      </w:r>
                    </w:p>
                  </w:txbxContent>
                </v:textbox>
                <w10:wrap type="tight"/>
              </v:shape>
            </w:pict>
          </mc:Fallback>
        </mc:AlternateContent>
      </w:r>
      <w:bookmarkEnd w:id="243"/>
      <w:bookmarkEnd w:id="244"/>
      <w:bookmarkEnd w:id="245"/>
      <w:r w:rsidR="00AE2FC7">
        <w:t>Endeavour Energy</w:t>
      </w:r>
      <w:bookmarkEnd w:id="246"/>
      <w:bookmarkEnd w:id="247"/>
    </w:p>
    <w:p w:rsidR="00AE2FC7" w:rsidRDefault="00AE2FC7" w:rsidP="00CA4BC2">
      <w:pPr>
        <w:pStyle w:val="Heading3"/>
      </w:pPr>
      <w:bookmarkStart w:id="250" w:name="_Toc409771647"/>
      <w:bookmarkStart w:id="251" w:name="_Toc412790596"/>
      <w:bookmarkStart w:id="252" w:name="_Toc413062077"/>
      <w:bookmarkStart w:id="253" w:name="_Toc413311079"/>
      <w:bookmarkStart w:id="254" w:name="_Toc423086495"/>
      <w:r>
        <w:t>Regulation</w:t>
      </w:r>
      <w:bookmarkEnd w:id="250"/>
      <w:bookmarkEnd w:id="251"/>
      <w:bookmarkEnd w:id="252"/>
      <w:bookmarkEnd w:id="253"/>
      <w:bookmarkEnd w:id="254"/>
    </w:p>
    <w:p w:rsidR="00AE2FC7" w:rsidRPr="00C05EDA" w:rsidRDefault="00A07C78" w:rsidP="00AE2FC7">
      <w:r>
        <w:t>From</w:t>
      </w:r>
      <w:r w:rsidR="00AE2FC7" w:rsidRPr="00C05EDA">
        <w:t xml:space="preserve"> 1 July 2009 </w:t>
      </w:r>
      <w:r>
        <w:t>we have</w:t>
      </w:r>
      <w:r w:rsidR="00AE2FC7" w:rsidRPr="00C05EDA">
        <w:t xml:space="preserve"> been responsible for the economic regulation of electricity distribution services provided by Endeavour Energy. Previously IPART was the responsible regulator.</w:t>
      </w:r>
    </w:p>
    <w:p w:rsidR="00AE2FC7" w:rsidRDefault="00AE2FC7" w:rsidP="00CA4BC2">
      <w:pPr>
        <w:pStyle w:val="Heading3"/>
      </w:pPr>
      <w:bookmarkStart w:id="255" w:name="_Toc409771648"/>
      <w:bookmarkStart w:id="256" w:name="_Toc412790597"/>
      <w:bookmarkStart w:id="257" w:name="_Toc413062078"/>
      <w:bookmarkStart w:id="258" w:name="_Toc413311080"/>
      <w:bookmarkStart w:id="259" w:name="_Toc423086496"/>
      <w:r>
        <w:t>Energy delivered</w:t>
      </w:r>
      <w:bookmarkEnd w:id="255"/>
      <w:bookmarkEnd w:id="256"/>
      <w:bookmarkEnd w:id="257"/>
      <w:bookmarkEnd w:id="258"/>
      <w:bookmarkEnd w:id="259"/>
    </w:p>
    <w:p w:rsidR="00AE2FC7" w:rsidRPr="00C05EDA" w:rsidRDefault="00AE2FC7" w:rsidP="00AE2FC7">
      <w:r w:rsidRPr="00C05EDA">
        <w:t>Total energy delivered by Endeavour Energy over the first four years of the 2009</w:t>
      </w:r>
      <w:r w:rsidR="007A3240">
        <w:t>–</w:t>
      </w:r>
      <w:r w:rsidRPr="00C05EDA">
        <w:t xml:space="preserve">14 regulatory control </w:t>
      </w:r>
      <w:proofErr w:type="gramStart"/>
      <w:r w:rsidRPr="00C05EDA">
        <w:t>period</w:t>
      </w:r>
      <w:proofErr w:type="gramEnd"/>
      <w:r w:rsidRPr="00C05EDA">
        <w:t xml:space="preserve"> was approximately 4 per cent less than </w:t>
      </w:r>
      <w:r w:rsidR="00C434CB">
        <w:t>our</w:t>
      </w:r>
      <w:r w:rsidRPr="00C05EDA">
        <w:t xml:space="preserve"> approved forecast (</w:t>
      </w:r>
      <w:r>
        <w:t>Figure 9</w:t>
      </w:r>
      <w:r w:rsidRPr="00C05EDA">
        <w:t>–2</w:t>
      </w:r>
      <w:r w:rsidR="00944D13">
        <w:t>1</w:t>
      </w:r>
      <w:r w:rsidRPr="00C05EDA">
        <w:t>). The forecasts for the 2009</w:t>
      </w:r>
      <w:r w:rsidR="007A3240">
        <w:t>–</w:t>
      </w:r>
      <w:r w:rsidRPr="00C05EDA">
        <w:t xml:space="preserve">14 regulatory control </w:t>
      </w:r>
      <w:proofErr w:type="gramStart"/>
      <w:r w:rsidRPr="00C05EDA">
        <w:t>period</w:t>
      </w:r>
      <w:proofErr w:type="gramEnd"/>
      <w:r w:rsidRPr="00C05EDA">
        <w:t xml:space="preserve"> were those submitted by Endeavour Energy in its revised regulatory proposal and accepted by </w:t>
      </w:r>
      <w:r w:rsidR="00C434CB">
        <w:t>us</w:t>
      </w:r>
      <w:r w:rsidRPr="00C05EDA">
        <w:t xml:space="preserve"> in</w:t>
      </w:r>
      <w:r w:rsidR="00C434CB">
        <w:t xml:space="preserve"> our</w:t>
      </w:r>
      <w:r w:rsidRPr="00C05EDA">
        <w:t xml:space="preserve"> 2009 distribution determination. </w:t>
      </w:r>
    </w:p>
    <w:p w:rsidR="001A249A" w:rsidRPr="00C05EDA" w:rsidRDefault="001A249A" w:rsidP="001A249A">
      <w:r w:rsidRPr="00C05EDA">
        <w:t>Endeavour Energy indicated it anticipates:</w:t>
      </w:r>
    </w:p>
    <w:p w:rsidR="001A249A" w:rsidRPr="00C05EDA" w:rsidRDefault="001A249A" w:rsidP="00D8790B">
      <w:pPr>
        <w:pStyle w:val="ListBullet"/>
      </w:pPr>
      <w:r w:rsidRPr="00C05EDA">
        <w:t>energy consumption to fall by 11 per cent over the 2009</w:t>
      </w:r>
      <w:r>
        <w:t>–</w:t>
      </w:r>
      <w:r w:rsidRPr="00C05EDA">
        <w:t>14 regulatory control period</w:t>
      </w:r>
    </w:p>
    <w:p w:rsidR="001A249A" w:rsidRPr="00C05EDA" w:rsidRDefault="001A249A" w:rsidP="00D8790B">
      <w:pPr>
        <w:pStyle w:val="ListBullet"/>
      </w:pPr>
      <w:r w:rsidRPr="00C05EDA">
        <w:t>a final</w:t>
      </w:r>
      <w:r w:rsidR="00D8790B">
        <w:t xml:space="preserve"> </w:t>
      </w:r>
      <w:r w:rsidRPr="00C05EDA">
        <w:t xml:space="preserve">year difference between </w:t>
      </w:r>
      <w:r>
        <w:t>our</w:t>
      </w:r>
      <w:r w:rsidRPr="00C05EDA">
        <w:t xml:space="preserve"> approved forecast and Endeavour Energy's updated energy consumption projection of 14 per cent</w:t>
      </w:r>
    </w:p>
    <w:p w:rsidR="001A249A" w:rsidRDefault="001A249A" w:rsidP="00D8790B">
      <w:pPr>
        <w:pStyle w:val="ListBullet"/>
      </w:pPr>
      <w:proofErr w:type="gramStart"/>
      <w:r w:rsidRPr="00C05EDA">
        <w:t>variances</w:t>
      </w:r>
      <w:proofErr w:type="gramEnd"/>
      <w:r w:rsidRPr="00C05EDA">
        <w:t xml:space="preserve"> in total energy delivered and </w:t>
      </w:r>
      <w:r>
        <w:t>our</w:t>
      </w:r>
      <w:r w:rsidRPr="00C05EDA">
        <w:t xml:space="preserve"> allowances to result in an estimated revenue shortfall of $193 million.</w:t>
      </w:r>
    </w:p>
    <w:p w:rsidR="00AE2FC7" w:rsidRDefault="00AE2FC7" w:rsidP="00972E3F">
      <w:pPr>
        <w:pStyle w:val="Caption"/>
      </w:pPr>
      <w:r>
        <w:t>Figure 9</w:t>
      </w:r>
      <w:r w:rsidRPr="00C05EDA">
        <w:t>–2</w:t>
      </w:r>
      <w:r w:rsidR="00944D13">
        <w:t>1</w:t>
      </w:r>
      <w:r w:rsidR="006E537B">
        <w:tab/>
      </w:r>
      <w:r w:rsidRPr="00C05EDA">
        <w:t xml:space="preserve">Energy delivered </w:t>
      </w:r>
      <w:r w:rsidR="007A3240">
        <w:t>–</w:t>
      </w:r>
      <w:r w:rsidRPr="00C05EDA">
        <w:t xml:space="preserve"> Endeavour Energy</w:t>
      </w:r>
    </w:p>
    <w:p w:rsidR="006E537B" w:rsidRPr="00A77DC0" w:rsidRDefault="006E537B" w:rsidP="0017303B">
      <w:r w:rsidRPr="00BB1D79">
        <w:rPr>
          <w:noProof/>
          <w:lang w:eastAsia="en-AU"/>
        </w:rPr>
        <w:drawing>
          <wp:inline distT="0" distB="0" distL="0" distR="0" wp14:anchorId="64459854" wp14:editId="5CF1C653">
            <wp:extent cx="4572000" cy="2743200"/>
            <wp:effectExtent l="0" t="0" r="0" b="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E2FC7" w:rsidRPr="00C05EDA" w:rsidRDefault="00AE2FC7" w:rsidP="00AE2FC7">
      <w:r w:rsidRPr="00C05EDA">
        <w:t xml:space="preserve">Chapter 4 </w:t>
      </w:r>
      <w:r w:rsidR="009E3ACF">
        <w:t>contains our</w:t>
      </w:r>
      <w:r w:rsidR="001A249A">
        <w:t xml:space="preserve"> </w:t>
      </w:r>
      <w:r w:rsidRPr="00C05EDA">
        <w:t>assessment of energy delivered for all DNSPs in the NEM.</w:t>
      </w:r>
    </w:p>
    <w:p w:rsidR="00AE2FC7" w:rsidRDefault="00AE2FC7" w:rsidP="00CA4BC2">
      <w:pPr>
        <w:pStyle w:val="Heading3"/>
      </w:pPr>
      <w:bookmarkStart w:id="260" w:name="_Toc409771649"/>
      <w:bookmarkStart w:id="261" w:name="_Toc412790598"/>
      <w:bookmarkStart w:id="262" w:name="_Toc413062079"/>
      <w:bookmarkStart w:id="263" w:name="_Toc413311081"/>
      <w:bookmarkStart w:id="264" w:name="_Toc423086497"/>
      <w:r>
        <w:t>Demand</w:t>
      </w:r>
      <w:bookmarkEnd w:id="260"/>
      <w:bookmarkEnd w:id="261"/>
      <w:bookmarkEnd w:id="262"/>
      <w:bookmarkEnd w:id="263"/>
      <w:bookmarkEnd w:id="264"/>
    </w:p>
    <w:p w:rsidR="00AE2FC7" w:rsidRPr="00C05EDA" w:rsidRDefault="00AE2FC7" w:rsidP="00AE2FC7">
      <w:r w:rsidRPr="00C05EDA">
        <w:t>Endeavour Energy's actual maximum demand in each year of the 2009</w:t>
      </w:r>
      <w:r w:rsidR="007A3240">
        <w:t>–</w:t>
      </w:r>
      <w:r w:rsidRPr="00C05EDA">
        <w:t xml:space="preserve">14 regulatory control </w:t>
      </w:r>
      <w:proofErr w:type="gramStart"/>
      <w:r w:rsidRPr="00C05EDA">
        <w:t>period</w:t>
      </w:r>
      <w:proofErr w:type="gramEnd"/>
      <w:r w:rsidRPr="00C05EDA">
        <w:t xml:space="preserve"> was below the forecast maximum demand accepted by </w:t>
      </w:r>
      <w:r w:rsidR="00C434CB">
        <w:t>us</w:t>
      </w:r>
      <w:r w:rsidRPr="00C05EDA">
        <w:t xml:space="preserve"> in </w:t>
      </w:r>
      <w:r w:rsidR="00C434CB">
        <w:t>our</w:t>
      </w:r>
      <w:r w:rsidRPr="00C05EDA">
        <w:t xml:space="preserve"> 2009 distribution determination. This was despite an expectation of increasing system maximum demand at the time of the 2009 distribution determination (</w:t>
      </w:r>
      <w:r>
        <w:t>Figure 9</w:t>
      </w:r>
      <w:r w:rsidRPr="00C05EDA">
        <w:t>–</w:t>
      </w:r>
      <w:r w:rsidR="00632AB4">
        <w:t>22</w:t>
      </w:r>
      <w:r w:rsidRPr="00C05EDA">
        <w:t>).</w:t>
      </w:r>
    </w:p>
    <w:p w:rsidR="001A249A" w:rsidRPr="00C05EDA" w:rsidRDefault="001A249A" w:rsidP="001A249A">
      <w:r w:rsidRPr="00C05EDA">
        <w:t>Endeavour Energy indicated maximum demand over the 2009</w:t>
      </w:r>
      <w:r>
        <w:t>–</w:t>
      </w:r>
      <w:r w:rsidRPr="00C05EDA">
        <w:t xml:space="preserve">14 regulatory control </w:t>
      </w:r>
      <w:proofErr w:type="gramStart"/>
      <w:r w:rsidRPr="00C05EDA">
        <w:t>period</w:t>
      </w:r>
      <w:proofErr w:type="gramEnd"/>
      <w:r w:rsidRPr="00C05EDA">
        <w:t xml:space="preserve"> was below forecast along the eastern seaboard due to:</w:t>
      </w:r>
    </w:p>
    <w:p w:rsidR="001A249A" w:rsidRPr="00C05EDA" w:rsidRDefault="001A249A" w:rsidP="00D8790B">
      <w:pPr>
        <w:pStyle w:val="ListBullet"/>
      </w:pPr>
      <w:r w:rsidRPr="00C05EDA">
        <w:t xml:space="preserve">the closure of large manufacturing companies </w:t>
      </w:r>
    </w:p>
    <w:p w:rsidR="001A249A" w:rsidRPr="00C05EDA" w:rsidRDefault="001A249A" w:rsidP="00D8790B">
      <w:pPr>
        <w:pStyle w:val="ListBullet"/>
      </w:pPr>
      <w:r w:rsidRPr="00C05EDA">
        <w:t>the penetration of more energy</w:t>
      </w:r>
      <w:r>
        <w:t>–</w:t>
      </w:r>
      <w:r w:rsidRPr="00C05EDA">
        <w:t>efficient appliances</w:t>
      </w:r>
    </w:p>
    <w:p w:rsidR="001A249A" w:rsidRPr="00C05EDA" w:rsidRDefault="001A249A" w:rsidP="00D8790B">
      <w:pPr>
        <w:pStyle w:val="ListBullet"/>
      </w:pPr>
      <w:proofErr w:type="gramStart"/>
      <w:r w:rsidRPr="00C05EDA">
        <w:t>changing</w:t>
      </w:r>
      <w:proofErr w:type="gramEnd"/>
      <w:r w:rsidRPr="00C05EDA">
        <w:t xml:space="preserve"> consumer behaviour in response to increasing prices.</w:t>
      </w:r>
    </w:p>
    <w:p w:rsidR="001A249A" w:rsidRPr="00C05EDA" w:rsidRDefault="001A249A" w:rsidP="001A249A">
      <w:r w:rsidRPr="00C05EDA">
        <w:t>Endeavour Energy also attributed the lower forecast maximum demand to:</w:t>
      </w:r>
    </w:p>
    <w:p w:rsidR="001A249A" w:rsidRPr="00C05EDA" w:rsidRDefault="001A249A" w:rsidP="00D8790B">
      <w:pPr>
        <w:pStyle w:val="ListBullet"/>
      </w:pPr>
      <w:r w:rsidRPr="00C05EDA">
        <w:t>consumer confidence remaining low for prolonged periods throughout the 2009</w:t>
      </w:r>
      <w:r>
        <w:t>–</w:t>
      </w:r>
      <w:r w:rsidRPr="00C05EDA">
        <w:t xml:space="preserve">14 regulatory control period, with consumers being more frugal amid concerns about the health of the global and Australian economies and fragile domestic job market </w:t>
      </w:r>
    </w:p>
    <w:p w:rsidR="001A249A" w:rsidRPr="00C05EDA" w:rsidRDefault="001A249A" w:rsidP="00D8790B">
      <w:pPr>
        <w:pStyle w:val="ListBullet"/>
      </w:pPr>
      <w:r w:rsidRPr="00C05EDA">
        <w:t xml:space="preserve">weaker than expected economic conditions leading to business closures and production cut backs </w:t>
      </w:r>
    </w:p>
    <w:p w:rsidR="001A249A" w:rsidRPr="00C05EDA" w:rsidRDefault="001A249A" w:rsidP="00D8790B">
      <w:pPr>
        <w:pStyle w:val="ListBullet"/>
      </w:pPr>
      <w:r w:rsidRPr="00C05EDA">
        <w:t>slower growth in new customer connections stemming from a slow housing market (with exception of the northwest and southwest Sydney growth sectors)</w:t>
      </w:r>
    </w:p>
    <w:p w:rsidR="001A249A" w:rsidRPr="00C05EDA" w:rsidRDefault="001A249A" w:rsidP="00D8790B">
      <w:pPr>
        <w:pStyle w:val="ListBullet"/>
      </w:pPr>
      <w:r w:rsidRPr="00C05EDA">
        <w:t>movements in exchange rates and the strong Australian dollar resulting in a number of large companies curtailing activities or moving offshore</w:t>
      </w:r>
    </w:p>
    <w:p w:rsidR="001A249A" w:rsidRPr="00C05EDA" w:rsidRDefault="001A249A" w:rsidP="00D8790B">
      <w:pPr>
        <w:pStyle w:val="ListBullet"/>
      </w:pPr>
      <w:proofErr w:type="gramStart"/>
      <w:r w:rsidRPr="00C05EDA">
        <w:t>relatively</w:t>
      </w:r>
      <w:proofErr w:type="gramEnd"/>
      <w:r w:rsidRPr="00C05EDA">
        <w:t xml:space="preserve"> mild winter and summer seasons.</w:t>
      </w:r>
    </w:p>
    <w:p w:rsidR="001A249A" w:rsidRPr="00C05EDA" w:rsidRDefault="001A249A" w:rsidP="001A249A">
      <w:r w:rsidRPr="00C05EDA">
        <w:t xml:space="preserve">Chapter 4 </w:t>
      </w:r>
      <w:r>
        <w:t xml:space="preserve">contains our </w:t>
      </w:r>
      <w:r w:rsidRPr="00C05EDA">
        <w:t>assessment of maximum demand for all DNSPs in the NEM.</w:t>
      </w:r>
    </w:p>
    <w:p w:rsidR="00AE2FC7" w:rsidRDefault="00AE2FC7" w:rsidP="00972E3F">
      <w:pPr>
        <w:pStyle w:val="Caption"/>
      </w:pPr>
      <w:r>
        <w:t>Figure 9</w:t>
      </w:r>
      <w:r w:rsidRPr="00C05EDA">
        <w:t>–2</w:t>
      </w:r>
      <w:r w:rsidR="00944D13">
        <w:t>2</w:t>
      </w:r>
      <w:r w:rsidRPr="00C05EDA">
        <w:tab/>
        <w:t xml:space="preserve">Maximum demand </w:t>
      </w:r>
      <w:r w:rsidR="007A3240">
        <w:t>–</w:t>
      </w:r>
      <w:r w:rsidRPr="00C05EDA">
        <w:t xml:space="preserve"> Endeavour Energy</w:t>
      </w:r>
    </w:p>
    <w:p w:rsidR="004F5241" w:rsidRPr="00A77DC0" w:rsidRDefault="004F5241" w:rsidP="0017303B">
      <w:r w:rsidRPr="00BB1D79">
        <w:rPr>
          <w:noProof/>
          <w:lang w:eastAsia="en-AU"/>
        </w:rPr>
        <w:drawing>
          <wp:inline distT="0" distB="0" distL="0" distR="0" wp14:anchorId="42524900" wp14:editId="69C75F96">
            <wp:extent cx="4572000" cy="2743200"/>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E2FC7" w:rsidRDefault="00AE2FC7" w:rsidP="00CA4BC2">
      <w:pPr>
        <w:pStyle w:val="Heading3"/>
      </w:pPr>
      <w:bookmarkStart w:id="265" w:name="_Toc409771650"/>
      <w:bookmarkStart w:id="266" w:name="_Toc412790599"/>
      <w:bookmarkStart w:id="267" w:name="_Toc413062080"/>
      <w:bookmarkStart w:id="268" w:name="_Toc413311082"/>
      <w:bookmarkStart w:id="269" w:name="_Toc423086498"/>
      <w:r>
        <w:t>Expenditure and revenue</w:t>
      </w:r>
      <w:bookmarkEnd w:id="265"/>
      <w:bookmarkEnd w:id="266"/>
      <w:bookmarkEnd w:id="267"/>
      <w:bookmarkEnd w:id="268"/>
      <w:bookmarkEnd w:id="269"/>
    </w:p>
    <w:p w:rsidR="00AE2FC7" w:rsidRPr="00C05EDA" w:rsidRDefault="00AE2FC7" w:rsidP="00AE2FC7">
      <w:r w:rsidRPr="00C05EDA">
        <w:t xml:space="preserve">Amendments made to </w:t>
      </w:r>
      <w:r w:rsidR="00C434CB">
        <w:t>our</w:t>
      </w:r>
      <w:r w:rsidRPr="00C05EDA">
        <w:t xml:space="preserve"> approved forecasts as the result of Tribunal orders or as a result of approved pass throughs </w:t>
      </w:r>
      <w:r w:rsidR="00C434CB">
        <w:t>are</w:t>
      </w:r>
      <w:r w:rsidRPr="00C05EDA">
        <w:t xml:space="preserve"> included in the following analysis of Endeavour Energy's financial performance.</w:t>
      </w:r>
      <w:r w:rsidR="00674453">
        <w:rPr>
          <w:rStyle w:val="FootnoteReference"/>
        </w:rPr>
        <w:footnoteReference w:id="16"/>
      </w:r>
      <w:r w:rsidRPr="00C05EDA">
        <w:t xml:space="preserve"> </w:t>
      </w:r>
    </w:p>
    <w:p w:rsidR="00AE2FC7" w:rsidRPr="00C05EDA" w:rsidRDefault="00AE2FC7" w:rsidP="00AE2FC7">
      <w:pPr>
        <w:pStyle w:val="Heading4notnumbered"/>
      </w:pPr>
      <w:r w:rsidRPr="00C05EDA">
        <w:t>Capital expenditure</w:t>
      </w:r>
    </w:p>
    <w:p w:rsidR="00AE2FC7" w:rsidRDefault="00AE2FC7" w:rsidP="00AE2FC7">
      <w:r w:rsidRPr="00C05EDA">
        <w:t>Endeavour Energy's total capital expenditure over the first four years of the 2009</w:t>
      </w:r>
      <w:r w:rsidR="007A3240">
        <w:t>–</w:t>
      </w:r>
      <w:r w:rsidRPr="00C05EDA">
        <w:t xml:space="preserve">14 regulatory control </w:t>
      </w:r>
      <w:proofErr w:type="gramStart"/>
      <w:r w:rsidRPr="00C05EDA">
        <w:t>period</w:t>
      </w:r>
      <w:proofErr w:type="gramEnd"/>
      <w:r w:rsidRPr="00C05EDA">
        <w:t xml:space="preserve"> was approximately </w:t>
      </w:r>
      <w:r w:rsidRPr="00344E95">
        <w:t>15 per cent lower</w:t>
      </w:r>
      <w:r w:rsidRPr="00C05EDA">
        <w:t xml:space="preserve"> than </w:t>
      </w:r>
      <w:r w:rsidR="00C434CB">
        <w:t>our</w:t>
      </w:r>
      <w:r w:rsidRPr="00C05EDA">
        <w:t xml:space="preserve"> approved forecast (</w:t>
      </w:r>
      <w:r>
        <w:t>Figure 9</w:t>
      </w:r>
      <w:r w:rsidRPr="00C05EDA">
        <w:t>–2</w:t>
      </w:r>
      <w:r w:rsidR="00632AB4">
        <w:t>3</w:t>
      </w:r>
      <w:r w:rsidRPr="00C05EDA">
        <w:t>). The majority of Endeavour Energy's underspending occurred in the 2009</w:t>
      </w:r>
      <w:r w:rsidR="007A3240">
        <w:t>–</w:t>
      </w:r>
      <w:r w:rsidRPr="00C05EDA">
        <w:t>10 and 2010</w:t>
      </w:r>
      <w:r w:rsidR="007A3240">
        <w:t>–</w:t>
      </w:r>
      <w:r w:rsidRPr="00C05EDA">
        <w:t>11 regulatory years.</w:t>
      </w:r>
    </w:p>
    <w:p w:rsidR="001A249A" w:rsidRPr="00C05EDA" w:rsidRDefault="001A249A" w:rsidP="001A249A">
      <w:r w:rsidRPr="00C05EDA">
        <w:t>Endeavour Energy indicated that although reductions in demand growth explain some of the underspending on capital projects</w:t>
      </w:r>
      <w:r>
        <w:t xml:space="preserve"> (Figure 9</w:t>
      </w:r>
      <w:r w:rsidR="003B75E0">
        <w:t>–</w:t>
      </w:r>
      <w:r>
        <w:t>24)</w:t>
      </w:r>
      <w:r w:rsidRPr="00C05EDA">
        <w:t xml:space="preserve">, there were also a number of other relevant factors to consider. </w:t>
      </w:r>
    </w:p>
    <w:p w:rsidR="001A249A" w:rsidRPr="00C05EDA" w:rsidRDefault="001A249A" w:rsidP="001A249A">
      <w:r w:rsidRPr="00C05EDA">
        <w:t xml:space="preserve">Endeavour Energy noted its peak resourcing strategy and industry reform drove reductions to its capital program. Delivery issues also contributed to lower than forecast capital expenditure due to the significant increase in resourcing required </w:t>
      </w:r>
      <w:proofErr w:type="gramStart"/>
      <w:r w:rsidRPr="00C05EDA">
        <w:t>to deliver</w:t>
      </w:r>
      <w:proofErr w:type="gramEnd"/>
      <w:r w:rsidRPr="00C05EDA">
        <w:t xml:space="preserve"> the program. </w:t>
      </w:r>
    </w:p>
    <w:p w:rsidR="001A249A" w:rsidRPr="00C05EDA" w:rsidRDefault="001A249A" w:rsidP="001A249A">
      <w:r w:rsidRPr="00C05EDA">
        <w:t>Endeavour Energy indicated that at the beginning of the 2009</w:t>
      </w:r>
      <w:r>
        <w:t>–</w:t>
      </w:r>
      <w:r w:rsidRPr="00C05EDA">
        <w:t xml:space="preserve">14 regulatory control </w:t>
      </w:r>
      <w:proofErr w:type="gramStart"/>
      <w:r w:rsidRPr="00C05EDA">
        <w:t>period</w:t>
      </w:r>
      <w:proofErr w:type="gramEnd"/>
      <w:r w:rsidRPr="00C05EDA">
        <w:t xml:space="preserve"> it faced the challenge of delivering a significant network capital investment program for customers that was 50 per cent larger than any program previously delivered. It stated the significant investment program placed delivery pressures on it in the early years of the 2009</w:t>
      </w:r>
      <w:r>
        <w:t>–</w:t>
      </w:r>
      <w:r w:rsidRPr="00C05EDA">
        <w:t xml:space="preserve">14 regulatory control </w:t>
      </w:r>
      <w:proofErr w:type="gramStart"/>
      <w:r w:rsidRPr="00C05EDA">
        <w:t>period</w:t>
      </w:r>
      <w:proofErr w:type="gramEnd"/>
      <w:r w:rsidRPr="00C05EDA">
        <w:t xml:space="preserve"> and in some cases its ability to deliver the program fell behind schedule. </w:t>
      </w:r>
      <w:r w:rsidR="003B75E0">
        <w:t>However,</w:t>
      </w:r>
      <w:r w:rsidRPr="00C05EDA">
        <w:t xml:space="preserve"> it enhanced the efficiency and sustainability of </w:t>
      </w:r>
      <w:r w:rsidR="003B75E0">
        <w:t xml:space="preserve">its </w:t>
      </w:r>
      <w:r w:rsidRPr="00C05EDA">
        <w:t>capital program delivery by improving project management and increasing the use of skilled external resources through a peak Resourcing Strategy. Endeavour En</w:t>
      </w:r>
      <w:r w:rsidR="003B75E0">
        <w:t>ergy considered</w:t>
      </w:r>
      <w:r w:rsidRPr="00C05EDA">
        <w:t xml:space="preserve"> this strategy delivered peak workloads at a lower than expected cost, without increasing employee numbers to unsustainable levels in the longer term. </w:t>
      </w:r>
    </w:p>
    <w:p w:rsidR="00AE2FC7" w:rsidRDefault="00AE2FC7" w:rsidP="00972E3F">
      <w:pPr>
        <w:pStyle w:val="Caption"/>
      </w:pPr>
      <w:r>
        <w:t>Figure 9</w:t>
      </w:r>
      <w:r w:rsidRPr="00C05EDA">
        <w:t>–2</w:t>
      </w:r>
      <w:r w:rsidR="00632AB4">
        <w:t>3</w:t>
      </w:r>
      <w:r w:rsidRPr="00C05EDA">
        <w:tab/>
        <w:t xml:space="preserve">Capital expenditure (excluding customer contributions) </w:t>
      </w:r>
      <w:r w:rsidR="007A3240">
        <w:t>–</w:t>
      </w:r>
      <w:r w:rsidRPr="00C05EDA">
        <w:t xml:space="preserve"> Endeavour Energy</w:t>
      </w:r>
    </w:p>
    <w:p w:rsidR="004F5241" w:rsidRPr="00A77DC0" w:rsidRDefault="004F5241" w:rsidP="0017303B">
      <w:r w:rsidRPr="00BB1D79">
        <w:rPr>
          <w:noProof/>
          <w:lang w:eastAsia="en-AU"/>
        </w:rPr>
        <w:drawing>
          <wp:inline distT="0" distB="0" distL="0" distR="0" wp14:anchorId="20AAEE7C" wp14:editId="588BE196">
            <wp:extent cx="4572000" cy="2743200"/>
            <wp:effectExtent l="0" t="0" r="0" b="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B75E0" w:rsidRPr="00C05EDA" w:rsidRDefault="003B75E0" w:rsidP="003B75E0">
      <w:r w:rsidRPr="00C05EDA">
        <w:t>Endeavour Energy noted maximum demand was below forecast over the 2009</w:t>
      </w:r>
      <w:r>
        <w:t>–</w:t>
      </w:r>
      <w:r w:rsidRPr="00C05EDA">
        <w:t xml:space="preserve">14 regulatory control </w:t>
      </w:r>
      <w:proofErr w:type="gramStart"/>
      <w:r w:rsidRPr="00C05EDA">
        <w:t>period</w:t>
      </w:r>
      <w:proofErr w:type="gramEnd"/>
      <w:r w:rsidRPr="00C05EDA">
        <w:t xml:space="preserve"> right along the eastern seaboard. It stated that through its annual network planning process, it was able to reset its planning schedule and defer a number of demand</w:t>
      </w:r>
      <w:r>
        <w:t>–</w:t>
      </w:r>
      <w:r w:rsidRPr="00C05EDA">
        <w:t>driven projects</w:t>
      </w:r>
      <w:r>
        <w:t xml:space="preserve"> (augmentation capex, Figure 9–24)</w:t>
      </w:r>
      <w:r w:rsidRPr="00C05EDA">
        <w:t>. It indicated the deferral of these projects helped to reduce capital expenditure over the 2009</w:t>
      </w:r>
      <w:r>
        <w:t>–</w:t>
      </w:r>
      <w:r w:rsidRPr="00C05EDA">
        <w:t xml:space="preserve">14 regulatory control period by $225 million. </w:t>
      </w:r>
    </w:p>
    <w:p w:rsidR="004F5241" w:rsidRDefault="00AE2FC7" w:rsidP="00972E3F">
      <w:pPr>
        <w:pStyle w:val="Caption"/>
      </w:pPr>
      <w:r>
        <w:t>Figure 9</w:t>
      </w:r>
      <w:r w:rsidRPr="00C05EDA">
        <w:t>–2</w:t>
      </w:r>
      <w:r w:rsidR="00632AB4">
        <w:t>4</w:t>
      </w:r>
      <w:r w:rsidR="004F5241">
        <w:tab/>
      </w:r>
      <w:r w:rsidRPr="00C05EDA">
        <w:t xml:space="preserve">Capital expenditure by purpose (excluding customer contributions) </w:t>
      </w:r>
      <w:r w:rsidR="007A3240">
        <w:t>–</w:t>
      </w:r>
      <w:r w:rsidRPr="00C05EDA">
        <w:t xml:space="preserve"> Endeavour</w:t>
      </w:r>
    </w:p>
    <w:p w:rsidR="00AE2FC7" w:rsidRPr="00C05EDA" w:rsidRDefault="004F5241" w:rsidP="00972E3F">
      <w:pPr>
        <w:pStyle w:val="Caption"/>
      </w:pPr>
      <w:r w:rsidRPr="004F5241">
        <w:rPr>
          <w:noProof/>
          <w:lang w:eastAsia="en-AU"/>
        </w:rPr>
        <w:drawing>
          <wp:inline distT="0" distB="0" distL="0" distR="0" wp14:anchorId="095A2FD5" wp14:editId="63E9A6EA">
            <wp:extent cx="4572000" cy="2743200"/>
            <wp:effectExtent l="0" t="0" r="0" b="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E2FC7" w:rsidRPr="00C05EDA" w:rsidRDefault="00AE2FC7" w:rsidP="00AE2FC7">
      <w:r w:rsidRPr="00C05EDA">
        <w:t xml:space="preserve">Chapter 5 provides a description of how DNSPs fund expenditure on investment projects (capital expenditure) and a comparative assessment of capital expenditure for all DNSPs in the NEM. </w:t>
      </w:r>
    </w:p>
    <w:p w:rsidR="00AE2FC7" w:rsidRPr="00C05EDA" w:rsidRDefault="00AE2FC7" w:rsidP="00AE2FC7">
      <w:pPr>
        <w:pStyle w:val="Heading4notnumbered"/>
      </w:pPr>
      <w:r w:rsidRPr="00C05EDA">
        <w:t>Regulatory asset base</w:t>
      </w:r>
    </w:p>
    <w:p w:rsidR="00AE2FC7" w:rsidRPr="00C05EDA" w:rsidRDefault="00AE2FC7" w:rsidP="00AE2FC7">
      <w:r w:rsidRPr="00C05EDA">
        <w:t>Endeavour Energy's RAB increased by approximately 2</w:t>
      </w:r>
      <w:r w:rsidR="00FC08F7">
        <w:t>8</w:t>
      </w:r>
      <w:r w:rsidRPr="00C05EDA">
        <w:t xml:space="preserve"> per cent over the first four years of the 2009</w:t>
      </w:r>
      <w:r w:rsidR="007A3240">
        <w:t>–</w:t>
      </w:r>
      <w:r w:rsidRPr="00C05EDA">
        <w:t xml:space="preserve">14 regulatory control </w:t>
      </w:r>
      <w:proofErr w:type="gramStart"/>
      <w:r w:rsidRPr="00C05EDA">
        <w:t>period</w:t>
      </w:r>
      <w:proofErr w:type="gramEnd"/>
      <w:r w:rsidRPr="00C05EDA">
        <w:t>. Endeavour Energy's RAB was forecast to increase by 38 per cent over this period.</w:t>
      </w:r>
    </w:p>
    <w:p w:rsidR="00AE2FC7" w:rsidRDefault="00AE2FC7" w:rsidP="00972E3F">
      <w:pPr>
        <w:pStyle w:val="Caption"/>
      </w:pPr>
      <w:r>
        <w:t>Figure 9</w:t>
      </w:r>
      <w:r w:rsidRPr="00C05EDA">
        <w:t>–2</w:t>
      </w:r>
      <w:r w:rsidR="00632AB4">
        <w:t>5</w:t>
      </w:r>
      <w:r w:rsidRPr="00C05EDA">
        <w:tab/>
        <w:t xml:space="preserve">Regulatory asset base </w:t>
      </w:r>
      <w:r w:rsidR="007A3240">
        <w:t>–</w:t>
      </w:r>
      <w:r w:rsidRPr="00C05EDA">
        <w:t xml:space="preserve"> Endeavour Energy</w:t>
      </w:r>
    </w:p>
    <w:p w:rsidR="004F5241" w:rsidRPr="00A77DC0" w:rsidRDefault="004F5241" w:rsidP="0017303B">
      <w:r w:rsidRPr="00BB1D79">
        <w:rPr>
          <w:noProof/>
          <w:lang w:eastAsia="en-AU"/>
        </w:rPr>
        <w:drawing>
          <wp:inline distT="0" distB="0" distL="0" distR="0" wp14:anchorId="15B5431D" wp14:editId="65DC7CC9">
            <wp:extent cx="4572000" cy="2743200"/>
            <wp:effectExtent l="0" t="0" r="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906AD" w:rsidRPr="00C05EDA" w:rsidRDefault="00D906AD" w:rsidP="00D906AD">
      <w:r w:rsidRPr="00C05EDA">
        <w:t>Endeavour Energy's RAB grew from approximately $4.2 billion at the end of 2008</w:t>
      </w:r>
      <w:r>
        <w:t>–</w:t>
      </w:r>
      <w:r w:rsidRPr="00C05EDA">
        <w:t>09 to approximately $5.4 billion at the end of 2012</w:t>
      </w:r>
      <w:r>
        <w:t>–</w:t>
      </w:r>
      <w:r w:rsidRPr="00C05EDA">
        <w:t>13 (</w:t>
      </w:r>
      <w:r>
        <w:t>Figure 9</w:t>
      </w:r>
      <w:r w:rsidRPr="00C05EDA">
        <w:t>–2</w:t>
      </w:r>
      <w:r>
        <w:t>5</w:t>
      </w:r>
      <w:r w:rsidRPr="00C05EDA">
        <w:t>). The increasing difference between the forecast RAB and the actual value of Endeavour Energy's RAB is consistent with its underspending on capital over the 2009</w:t>
      </w:r>
      <w:r>
        <w:t>–</w:t>
      </w:r>
      <w:r w:rsidRPr="00C05EDA">
        <w:t xml:space="preserve">14 regulatory control </w:t>
      </w:r>
      <w:proofErr w:type="gramStart"/>
      <w:r w:rsidRPr="00C05EDA">
        <w:t>period</w:t>
      </w:r>
      <w:proofErr w:type="gramEnd"/>
      <w:r w:rsidRPr="00C05EDA">
        <w:t>.</w:t>
      </w:r>
    </w:p>
    <w:p w:rsidR="00AE2FC7" w:rsidRPr="00C05EDA" w:rsidRDefault="00AE2FC7" w:rsidP="00AE2FC7">
      <w:pPr>
        <w:pStyle w:val="Heading4notnumbered"/>
      </w:pPr>
      <w:r w:rsidRPr="00C05EDA">
        <w:t>Operating expenditure</w:t>
      </w:r>
    </w:p>
    <w:p w:rsidR="00AE2FC7" w:rsidRPr="00C05EDA" w:rsidRDefault="00AE2FC7" w:rsidP="00AE2FC7">
      <w:r w:rsidRPr="00C05EDA">
        <w:t>Endeavour Energy's total operating expenditure over the first four years of the 2009</w:t>
      </w:r>
      <w:r w:rsidR="007A3240">
        <w:t>–</w:t>
      </w:r>
      <w:r w:rsidRPr="00C05EDA">
        <w:t xml:space="preserve">14 regulatory control </w:t>
      </w:r>
      <w:proofErr w:type="gramStart"/>
      <w:r w:rsidRPr="00C05EDA">
        <w:t>period</w:t>
      </w:r>
      <w:proofErr w:type="gramEnd"/>
      <w:r w:rsidRPr="00C05EDA">
        <w:t xml:space="preserve"> was approximately</w:t>
      </w:r>
      <w:r w:rsidR="008E1ABF">
        <w:t xml:space="preserve"> </w:t>
      </w:r>
      <w:r w:rsidR="0045535D">
        <w:t>16</w:t>
      </w:r>
      <w:r w:rsidRPr="00C05EDA">
        <w:t xml:space="preserve"> per cent lower than </w:t>
      </w:r>
      <w:r w:rsidR="00D44AB1">
        <w:t>our</w:t>
      </w:r>
      <w:r w:rsidRPr="00C05EDA">
        <w:t xml:space="preserve"> approved forecast (</w:t>
      </w:r>
      <w:r>
        <w:t>Figure 9</w:t>
      </w:r>
      <w:r w:rsidRPr="00C05EDA">
        <w:t>–2</w:t>
      </w:r>
      <w:r w:rsidR="00632AB4">
        <w:t>6</w:t>
      </w:r>
      <w:r w:rsidRPr="00C05EDA">
        <w:t>).</w:t>
      </w:r>
    </w:p>
    <w:p w:rsidR="003B75E0" w:rsidRPr="00C05EDA" w:rsidRDefault="003B75E0" w:rsidP="003B75E0">
      <w:r w:rsidRPr="00C05EDA">
        <w:t>Endeavour Energy indicated that over the 2009</w:t>
      </w:r>
      <w:r>
        <w:t>–</w:t>
      </w:r>
      <w:r w:rsidRPr="00C05EDA">
        <w:t>14 regulatory control period savings on operating expenditure were primarily driven by productivity based initiatives and the introduction of the Network Reform Program.</w:t>
      </w:r>
    </w:p>
    <w:p w:rsidR="003B75E0" w:rsidRPr="00C05EDA" w:rsidRDefault="003B75E0" w:rsidP="003B75E0">
      <w:r w:rsidRPr="00C05EDA">
        <w:t>Endeavour Energy expects to achieve savings totalling an estimated $185 million over the 2009</w:t>
      </w:r>
      <w:r>
        <w:t>–</w:t>
      </w:r>
      <w:r w:rsidRPr="00C05EDA">
        <w:t xml:space="preserve">14 regulatory control </w:t>
      </w:r>
      <w:proofErr w:type="gramStart"/>
      <w:r w:rsidRPr="00C05EDA">
        <w:t>period</w:t>
      </w:r>
      <w:proofErr w:type="gramEnd"/>
      <w:r w:rsidRPr="00C05EDA">
        <w:t>. It also noted the savings over the 2009</w:t>
      </w:r>
      <w:r>
        <w:t>–</w:t>
      </w:r>
      <w:r w:rsidRPr="00C05EDA">
        <w:t xml:space="preserve">14 regulatory control </w:t>
      </w:r>
      <w:proofErr w:type="gramStart"/>
      <w:r w:rsidRPr="00C05EDA">
        <w:t>period</w:t>
      </w:r>
      <w:proofErr w:type="gramEnd"/>
      <w:r w:rsidRPr="00C05EDA">
        <w:t xml:space="preserve"> are in excess of the annual reduction of 2 per cent of labour operating expenditure it committed to making in its initial regulatory proposal in 2008. </w:t>
      </w:r>
    </w:p>
    <w:p w:rsidR="004F5241" w:rsidRDefault="00AE2FC7" w:rsidP="00972E3F">
      <w:pPr>
        <w:pStyle w:val="Caption"/>
      </w:pPr>
      <w:r>
        <w:t>Figure 9</w:t>
      </w:r>
      <w:r w:rsidRPr="00C05EDA">
        <w:t>–2</w:t>
      </w:r>
      <w:r w:rsidR="00632AB4">
        <w:t>6</w:t>
      </w:r>
      <w:r w:rsidRPr="00C05EDA">
        <w:tab/>
        <w:t xml:space="preserve">Operating expenditure </w:t>
      </w:r>
      <w:r w:rsidR="007A3240">
        <w:t>–</w:t>
      </w:r>
      <w:r w:rsidRPr="00C05EDA">
        <w:t xml:space="preserve"> Endeavour Energy</w:t>
      </w:r>
    </w:p>
    <w:p w:rsidR="004F5241" w:rsidRDefault="004F5241" w:rsidP="00972E3F">
      <w:pPr>
        <w:pStyle w:val="Caption"/>
      </w:pPr>
      <w:r w:rsidRPr="004F5241">
        <w:rPr>
          <w:noProof/>
          <w:lang w:eastAsia="en-AU"/>
        </w:rPr>
        <w:drawing>
          <wp:inline distT="0" distB="0" distL="0" distR="0" wp14:anchorId="56AC0F46" wp14:editId="21D2CB9F">
            <wp:extent cx="4572000" cy="2743200"/>
            <wp:effectExtent l="0" t="0" r="0" b="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E2FC7" w:rsidRPr="00C05EDA" w:rsidRDefault="00AE2FC7" w:rsidP="00AE2FC7">
      <w:r w:rsidRPr="00C05EDA">
        <w:t xml:space="preserve">Chapter 6 </w:t>
      </w:r>
      <w:r w:rsidR="009E3ACF">
        <w:t xml:space="preserve">contains </w:t>
      </w:r>
      <w:r w:rsidR="00012BED">
        <w:t>our</w:t>
      </w:r>
      <w:r w:rsidR="00012BED" w:rsidRPr="00C05EDA">
        <w:t xml:space="preserve"> assessment</w:t>
      </w:r>
      <w:r w:rsidRPr="00C05EDA">
        <w:t xml:space="preserve"> of operating expenditure for all DNSPs in the NEM. </w:t>
      </w:r>
    </w:p>
    <w:p w:rsidR="00AE2FC7" w:rsidRPr="00C05EDA" w:rsidRDefault="00AE2FC7" w:rsidP="00AE2FC7">
      <w:pPr>
        <w:pStyle w:val="Heading4notnumbered"/>
      </w:pPr>
      <w:r w:rsidRPr="00C05EDA">
        <w:t>Revenue</w:t>
      </w:r>
    </w:p>
    <w:p w:rsidR="00AE2FC7" w:rsidRPr="00C05EDA" w:rsidRDefault="008E1ABF" w:rsidP="00AE2FC7">
      <w:r>
        <w:t>Our</w:t>
      </w:r>
      <w:r w:rsidR="00AE2FC7" w:rsidRPr="00C05EDA">
        <w:t xml:space="preserve"> 2009 distribution determination applied a weighted average price cap (WAPC) form of control to Endeavour Energy's standard control services over the 2009</w:t>
      </w:r>
      <w:r w:rsidR="007A3240">
        <w:t>–</w:t>
      </w:r>
      <w:r w:rsidR="00AE2FC7" w:rsidRPr="00C05EDA">
        <w:t xml:space="preserve">14 regulatory control </w:t>
      </w:r>
      <w:proofErr w:type="gramStart"/>
      <w:r w:rsidR="00AE2FC7" w:rsidRPr="00C05EDA">
        <w:t>period</w:t>
      </w:r>
      <w:proofErr w:type="gramEnd"/>
      <w:r w:rsidR="00AE2FC7" w:rsidRPr="00C05EDA">
        <w:t>. A WAPC imposes controls over the prices a DNSP may charge for its services.</w:t>
      </w:r>
    </w:p>
    <w:p w:rsidR="003B75E0" w:rsidRPr="00C05EDA" w:rsidRDefault="00AE2FC7" w:rsidP="003B75E0">
      <w:r w:rsidRPr="00C05EDA">
        <w:t>Endeavour Energy's total revenue earned for standard control services over the first four years of the 2009</w:t>
      </w:r>
      <w:r w:rsidR="007A3240">
        <w:t>–</w:t>
      </w:r>
      <w:r w:rsidRPr="00C05EDA">
        <w:t xml:space="preserve">14 regulatory control period was approximately 1 per cent lower than </w:t>
      </w:r>
      <w:r w:rsidR="008E1ABF">
        <w:t>our</w:t>
      </w:r>
      <w:r w:rsidRPr="00C05EDA">
        <w:t xml:space="preserve"> approved forecast (</w:t>
      </w:r>
      <w:r>
        <w:t>Figure 9</w:t>
      </w:r>
      <w:r w:rsidRPr="00C05EDA">
        <w:t>–2</w:t>
      </w:r>
      <w:r w:rsidR="00632AB4">
        <w:t>7</w:t>
      </w:r>
      <w:r w:rsidRPr="00C05EDA">
        <w:t>).</w:t>
      </w:r>
      <w:r w:rsidR="003B75E0" w:rsidRPr="003B75E0">
        <w:t xml:space="preserve"> </w:t>
      </w:r>
      <w:r w:rsidR="003B75E0" w:rsidRPr="00C05EDA">
        <w:t>Endeavour Energy indicated variances in annual consumption across its network over the 2009</w:t>
      </w:r>
      <w:r w:rsidR="003B75E0">
        <w:t>–</w:t>
      </w:r>
      <w:r w:rsidR="003B75E0" w:rsidRPr="00C05EDA">
        <w:t xml:space="preserve">14 regulatory control </w:t>
      </w:r>
      <w:proofErr w:type="gramStart"/>
      <w:r w:rsidR="003B75E0" w:rsidRPr="00C05EDA">
        <w:t>period</w:t>
      </w:r>
      <w:proofErr w:type="gramEnd"/>
      <w:r w:rsidR="003B75E0" w:rsidRPr="00C05EDA">
        <w:t xml:space="preserve"> are expected to result in an estimated revenue shortfall of $193 million.</w:t>
      </w:r>
      <w:r w:rsidR="003B75E0" w:rsidRPr="003B75E0">
        <w:t xml:space="preserve"> </w:t>
      </w:r>
      <w:r w:rsidR="003B75E0" w:rsidRPr="00C05EDA">
        <w:t xml:space="preserve">Chapter 7 provides further information on the WAPC control mechanism </w:t>
      </w:r>
      <w:r w:rsidR="003B75E0">
        <w:t xml:space="preserve">as well as our comparative </w:t>
      </w:r>
      <w:r w:rsidR="003B75E0" w:rsidRPr="00C05EDA">
        <w:t>assessment of revenue for all DNSPs in the NEM.</w:t>
      </w:r>
    </w:p>
    <w:p w:rsidR="00AE2FC7" w:rsidRDefault="00AE2FC7" w:rsidP="00972E3F">
      <w:pPr>
        <w:pStyle w:val="Caption"/>
      </w:pPr>
      <w:r>
        <w:t>Figure 9</w:t>
      </w:r>
      <w:r w:rsidRPr="00C05EDA">
        <w:t>–2</w:t>
      </w:r>
      <w:r w:rsidR="00632AB4">
        <w:t>7</w:t>
      </w:r>
      <w:r w:rsidRPr="00C05EDA">
        <w:tab/>
        <w:t xml:space="preserve">Revenue </w:t>
      </w:r>
      <w:r w:rsidR="007A3240">
        <w:t>–</w:t>
      </w:r>
      <w:r w:rsidRPr="00C05EDA">
        <w:t xml:space="preserve"> Endeavour Energy</w:t>
      </w:r>
    </w:p>
    <w:p w:rsidR="004F5241" w:rsidRPr="00A77DC0" w:rsidRDefault="004F5241" w:rsidP="0017303B">
      <w:r w:rsidRPr="00BB1D79">
        <w:rPr>
          <w:noProof/>
          <w:lang w:eastAsia="en-AU"/>
        </w:rPr>
        <w:drawing>
          <wp:inline distT="0" distB="0" distL="0" distR="0" wp14:anchorId="2EDA4869" wp14:editId="0718C016">
            <wp:extent cx="4572000" cy="274320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E2FC7" w:rsidRDefault="00AE2FC7" w:rsidP="00CA4BC2">
      <w:pPr>
        <w:pStyle w:val="Heading3"/>
      </w:pPr>
      <w:bookmarkStart w:id="270" w:name="_Toc409771651"/>
      <w:bookmarkStart w:id="271" w:name="_Toc412790600"/>
      <w:bookmarkStart w:id="272" w:name="_Toc413062081"/>
      <w:bookmarkStart w:id="273" w:name="_Toc413311083"/>
      <w:bookmarkStart w:id="274" w:name="_Toc423086499"/>
      <w:r>
        <w:t>Financial performance</w:t>
      </w:r>
      <w:bookmarkEnd w:id="270"/>
      <w:bookmarkEnd w:id="271"/>
      <w:bookmarkEnd w:id="272"/>
      <w:bookmarkEnd w:id="273"/>
      <w:bookmarkEnd w:id="274"/>
    </w:p>
    <w:p w:rsidR="00AE2FC7" w:rsidRPr="00C05EDA" w:rsidRDefault="00AE2FC7" w:rsidP="00AE2FC7">
      <w:r w:rsidRPr="00C05EDA">
        <w:t>Endeavour Energy's average EBIT for standard control services was approximately 46 per cent of its total revenue earned for standard control services over 2010</w:t>
      </w:r>
      <w:r w:rsidR="007A3240">
        <w:t>–</w:t>
      </w:r>
      <w:r w:rsidRPr="00C05EDA">
        <w:t xml:space="preserve">13. </w:t>
      </w:r>
      <w:r w:rsidR="00525C94" w:rsidRPr="00CB73C1">
        <w:t xml:space="preserve">The EBIT in </w:t>
      </w:r>
      <w:r w:rsidR="00525C94">
        <w:t>Figure 9</w:t>
      </w:r>
      <w:r w:rsidR="00525C94" w:rsidRPr="00CB73C1">
        <w:t>–</w:t>
      </w:r>
      <w:r w:rsidR="00525C94">
        <w:t>28</w:t>
      </w:r>
      <w:r w:rsidR="00525C94" w:rsidRPr="00CB73C1">
        <w:t xml:space="preserve"> includes depreciation and amortisation</w:t>
      </w:r>
      <w:r w:rsidR="00525C94">
        <w:t xml:space="preserve"> and should not be used as a definitive measure of core profitability</w:t>
      </w:r>
      <w:r w:rsidR="00525C94" w:rsidRPr="00CB73C1">
        <w:t>.</w:t>
      </w:r>
    </w:p>
    <w:p w:rsidR="00AE2FC7" w:rsidRDefault="00AE2FC7" w:rsidP="00972E3F">
      <w:pPr>
        <w:pStyle w:val="Caption"/>
      </w:pPr>
      <w:r>
        <w:t>Figure 9</w:t>
      </w:r>
      <w:r w:rsidRPr="00C05EDA">
        <w:t>–</w:t>
      </w:r>
      <w:r w:rsidR="00632AB4">
        <w:t>28</w:t>
      </w:r>
      <w:r w:rsidR="004F5241">
        <w:tab/>
      </w:r>
      <w:r w:rsidR="00E96C0F" w:rsidRPr="00CB73C1">
        <w:t>E</w:t>
      </w:r>
      <w:r w:rsidR="00E96C0F">
        <w:t>arnings before interest and tax</w:t>
      </w:r>
      <w:r w:rsidR="007A3240">
        <w:t>–</w:t>
      </w:r>
      <w:r w:rsidRPr="00C05EDA">
        <w:t xml:space="preserve"> Endeavour Energy</w:t>
      </w:r>
    </w:p>
    <w:p w:rsidR="004F5241" w:rsidRDefault="004F5241" w:rsidP="0017303B">
      <w:r w:rsidRPr="00BB1D79">
        <w:rPr>
          <w:noProof/>
          <w:lang w:eastAsia="en-AU"/>
        </w:rPr>
        <w:drawing>
          <wp:inline distT="0" distB="0" distL="0" distR="0" wp14:anchorId="5B8DBA99" wp14:editId="673C58AB">
            <wp:extent cx="4572000" cy="2743200"/>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E2FC7" w:rsidRDefault="00AE2FC7" w:rsidP="00CA4BC2">
      <w:pPr>
        <w:pStyle w:val="Heading3"/>
      </w:pPr>
      <w:bookmarkStart w:id="275" w:name="_Toc409771652"/>
      <w:bookmarkStart w:id="276" w:name="_Toc412790601"/>
      <w:bookmarkStart w:id="277" w:name="_Toc413062082"/>
      <w:bookmarkStart w:id="278" w:name="_Toc413311084"/>
      <w:bookmarkStart w:id="279" w:name="_Toc423086500"/>
      <w:r>
        <w:t>Service performance</w:t>
      </w:r>
      <w:bookmarkEnd w:id="275"/>
      <w:bookmarkEnd w:id="276"/>
      <w:bookmarkEnd w:id="277"/>
      <w:bookmarkEnd w:id="278"/>
      <w:bookmarkEnd w:id="279"/>
    </w:p>
    <w:p w:rsidR="00AE2FC7" w:rsidRPr="00C05EDA" w:rsidRDefault="00AE2FC7" w:rsidP="00AE2FC7">
      <w:pPr>
        <w:pStyle w:val="Heading4notnumbered"/>
      </w:pPr>
      <w:r w:rsidRPr="00C05EDA">
        <w:t>Total interruptions to supply</w:t>
      </w:r>
    </w:p>
    <w:p w:rsidR="00AE2FC7" w:rsidRPr="00C05EDA" w:rsidRDefault="00AE2FC7" w:rsidP="00AE2FC7">
      <w:r w:rsidRPr="00C05EDA">
        <w:t>Total interruptions to supply reflect the total impact of both planned and unplanned interruptions (</w:t>
      </w:r>
      <w:r>
        <w:t>Figure 9</w:t>
      </w:r>
      <w:r w:rsidRPr="00C05EDA">
        <w:t>–</w:t>
      </w:r>
      <w:r w:rsidR="00632AB4">
        <w:t>29</w:t>
      </w:r>
      <w:r w:rsidRPr="00C05EDA">
        <w:t xml:space="preserve">). This measure reflects </w:t>
      </w:r>
      <w:r w:rsidR="001368B1">
        <w:t>the actual experience of</w:t>
      </w:r>
      <w:r w:rsidR="001368B1" w:rsidRPr="00CB73C1">
        <w:t xml:space="preserve"> the average </w:t>
      </w:r>
      <w:r w:rsidRPr="00C05EDA">
        <w:t xml:space="preserve">Endeavour Energy customer. Total interruptions to supply include the effect of any interruptions considered to be excluded events in </w:t>
      </w:r>
      <w:r w:rsidR="006A36E5">
        <w:t>our</w:t>
      </w:r>
      <w:r w:rsidRPr="00C05EDA">
        <w:t xml:space="preserve"> STPIS. </w:t>
      </w:r>
    </w:p>
    <w:p w:rsidR="00AE2FC7" w:rsidRDefault="00AE2FC7" w:rsidP="00972E3F">
      <w:pPr>
        <w:pStyle w:val="Caption"/>
      </w:pPr>
      <w:r>
        <w:t>Figure 9</w:t>
      </w:r>
      <w:r w:rsidRPr="00C05EDA">
        <w:t>–</w:t>
      </w:r>
      <w:r w:rsidR="00632AB4">
        <w:t>29</w:t>
      </w:r>
      <w:r w:rsidR="00F9395B">
        <w:tab/>
      </w:r>
      <w:r w:rsidRPr="00C05EDA">
        <w:t xml:space="preserve">Total interruptions to supply </w:t>
      </w:r>
      <w:r w:rsidR="007A3240">
        <w:t>–</w:t>
      </w:r>
      <w:r w:rsidRPr="00C05EDA">
        <w:t xml:space="preserve"> Endeavour Energy</w:t>
      </w:r>
    </w:p>
    <w:p w:rsidR="00632AB4" w:rsidRDefault="00632AB4" w:rsidP="00AE2FC7">
      <w:r>
        <w:t xml:space="preserve"> </w:t>
      </w:r>
      <w:r>
        <w:rPr>
          <w:noProof/>
          <w:lang w:eastAsia="en-AU"/>
        </w:rPr>
        <w:drawing>
          <wp:inline distT="0" distB="0" distL="0" distR="0" wp14:anchorId="11229734" wp14:editId="770F5BC3">
            <wp:extent cx="2764800" cy="1656000"/>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64800" cy="1656000"/>
                    </a:xfrm>
                    <a:prstGeom prst="rect">
                      <a:avLst/>
                    </a:prstGeom>
                    <a:noFill/>
                  </pic:spPr>
                </pic:pic>
              </a:graphicData>
            </a:graphic>
          </wp:inline>
        </w:drawing>
      </w:r>
      <w:r>
        <w:t xml:space="preserve">  </w:t>
      </w:r>
      <w:r>
        <w:rPr>
          <w:noProof/>
          <w:lang w:eastAsia="en-AU"/>
        </w:rPr>
        <w:drawing>
          <wp:inline distT="0" distB="0" distL="0" distR="0" wp14:anchorId="234038AF" wp14:editId="71CB5A2D">
            <wp:extent cx="2764800" cy="1656000"/>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64800" cy="1656000"/>
                    </a:xfrm>
                    <a:prstGeom prst="rect">
                      <a:avLst/>
                    </a:prstGeom>
                    <a:noFill/>
                  </pic:spPr>
                </pic:pic>
              </a:graphicData>
            </a:graphic>
          </wp:inline>
        </w:drawing>
      </w:r>
      <w:r>
        <w:t xml:space="preserve"> </w:t>
      </w:r>
    </w:p>
    <w:p w:rsidR="00632AB4" w:rsidRDefault="00632AB4" w:rsidP="00AE2FC7">
      <w:r w:rsidRPr="00632AB4">
        <w:rPr>
          <w:noProof/>
          <w:lang w:eastAsia="en-AU"/>
        </w:rPr>
        <w:drawing>
          <wp:inline distT="0" distB="0" distL="0" distR="0" wp14:anchorId="214F70ED" wp14:editId="7FAC023F">
            <wp:extent cx="5731510" cy="1072821"/>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1072821"/>
                    </a:xfrm>
                    <a:prstGeom prst="rect">
                      <a:avLst/>
                    </a:prstGeom>
                    <a:noFill/>
                    <a:ln>
                      <a:noFill/>
                    </a:ln>
                  </pic:spPr>
                </pic:pic>
              </a:graphicData>
            </a:graphic>
          </wp:inline>
        </w:drawing>
      </w:r>
    </w:p>
    <w:p w:rsidR="00AE2FC7" w:rsidRPr="00C05EDA" w:rsidRDefault="007A2C08" w:rsidP="00AE2FC7">
      <w:r>
        <w:t>Chapter 8 provides</w:t>
      </w:r>
      <w:r w:rsidR="00AE2FC7" w:rsidRPr="00C05EDA">
        <w:t xml:space="preserve"> further information on </w:t>
      </w:r>
      <w:r w:rsidR="006A36E5">
        <w:t>our</w:t>
      </w:r>
      <w:r w:rsidR="00AE2FC7" w:rsidRPr="00C05EDA">
        <w:t xml:space="preserve"> STPIS and a comparative assessment of the DNSPs' service performance.</w:t>
      </w:r>
    </w:p>
    <w:p w:rsidR="00AE2FC7" w:rsidRPr="00C05EDA" w:rsidRDefault="00AE2FC7" w:rsidP="00AE2FC7">
      <w:pPr>
        <w:pStyle w:val="Heading4notnumbered"/>
      </w:pPr>
      <w:r w:rsidRPr="00C05EDA">
        <w:t>Service Target Performance Incentive Scheme</w:t>
      </w:r>
    </w:p>
    <w:p w:rsidR="00AE2FC7" w:rsidRPr="00C05EDA" w:rsidRDefault="006A36E5" w:rsidP="00AE2FC7">
      <w:r>
        <w:t xml:space="preserve">We </w:t>
      </w:r>
      <w:r w:rsidR="00D8790B">
        <w:t>appl</w:t>
      </w:r>
      <w:r w:rsidR="00357044">
        <w:t>ied</w:t>
      </w:r>
      <w:r w:rsidR="00AE2FC7" w:rsidRPr="00C05EDA">
        <w:t xml:space="preserve"> the national distribution STPIS to Endeavour Energy from 1 July 2015 as part of the 2015 distribution determination.</w:t>
      </w:r>
    </w:p>
    <w:p w:rsidR="00AE2FC7" w:rsidRPr="00C05EDA" w:rsidRDefault="00AE2FC7" w:rsidP="00AE2FC7">
      <w:r w:rsidRPr="00C05EDA">
        <w:t xml:space="preserve">The following section shows the effect of (normalised) unplanned interruptions to supply on customers on Endeavour Energy's network. </w:t>
      </w:r>
    </w:p>
    <w:p w:rsidR="00AE2FC7" w:rsidRPr="00C05EDA" w:rsidRDefault="00AE2FC7" w:rsidP="00AE2FC7">
      <w:pPr>
        <w:pStyle w:val="Heading4notnumbered"/>
      </w:pPr>
      <w:r w:rsidRPr="00C05EDA">
        <w:t>Network reliability (normalised)</w:t>
      </w:r>
    </w:p>
    <w:p w:rsidR="00AE2FC7" w:rsidRPr="00C05EDA" w:rsidRDefault="00AE2FC7" w:rsidP="00AE2FC7">
      <w:r w:rsidRPr="00C05EDA">
        <w:t>In 2012</w:t>
      </w:r>
      <w:r w:rsidR="007A3240">
        <w:t>–</w:t>
      </w:r>
      <w:r w:rsidRPr="00C05EDA">
        <w:t>13 the average Endeavour Energy customer experienced:</w:t>
      </w:r>
    </w:p>
    <w:p w:rsidR="00AE2FC7" w:rsidRPr="00C05EDA" w:rsidRDefault="00AE2FC7" w:rsidP="00AE2FC7">
      <w:pPr>
        <w:pStyle w:val="Bulletpoint"/>
      </w:pPr>
      <w:r w:rsidRPr="00C05EDA">
        <w:t xml:space="preserve">20 per cent more unplanned (normalised) minutes off supply than over the previous five years </w:t>
      </w:r>
    </w:p>
    <w:p w:rsidR="00AE2FC7" w:rsidRPr="00C05EDA" w:rsidRDefault="00AE2FC7" w:rsidP="00AE2FC7">
      <w:pPr>
        <w:pStyle w:val="Bulletpoint"/>
      </w:pPr>
      <w:r w:rsidRPr="00C05EDA">
        <w:t>17 per cent more unplanned (normalised) interruptions to supply than over the previous five years (</w:t>
      </w:r>
      <w:r>
        <w:t>Figure 9</w:t>
      </w:r>
      <w:r w:rsidRPr="00C05EDA">
        <w:t>–3</w:t>
      </w:r>
      <w:r w:rsidR="002512C7">
        <w:t>0</w:t>
      </w:r>
      <w:r w:rsidRPr="00C05EDA">
        <w:t>).</w:t>
      </w:r>
    </w:p>
    <w:p w:rsidR="00AE2FC7" w:rsidRPr="00C05EDA" w:rsidRDefault="00AE2FC7" w:rsidP="00AE2FC7">
      <w:r w:rsidRPr="00C05EDA">
        <w:t xml:space="preserve">It should be noted the reliability information presented in </w:t>
      </w:r>
      <w:r>
        <w:t>Figure 9</w:t>
      </w:r>
      <w:r w:rsidRPr="00C05EDA">
        <w:t>–3</w:t>
      </w:r>
      <w:r w:rsidR="002512C7">
        <w:t>0</w:t>
      </w:r>
      <w:r w:rsidRPr="00C05EDA">
        <w:t xml:space="preserve"> combines information from the previous jurisdictional scheme and the STPIS. These schemes differ in detail and therefore the information is not directly comparable. However, the reliability outcomes are presented to provide broad trend information regarding Endeavour Energy's service performance.</w:t>
      </w:r>
    </w:p>
    <w:p w:rsidR="00AE2FC7" w:rsidRDefault="00AE2FC7" w:rsidP="00972E3F">
      <w:pPr>
        <w:pStyle w:val="Caption"/>
      </w:pPr>
      <w:r>
        <w:t>Figure 9</w:t>
      </w:r>
      <w:r w:rsidRPr="00C05EDA">
        <w:t>–3</w:t>
      </w:r>
      <w:r w:rsidR="002512C7">
        <w:t xml:space="preserve">0 </w:t>
      </w:r>
      <w:r w:rsidRPr="00C05EDA">
        <w:tab/>
      </w:r>
      <w:proofErr w:type="gramStart"/>
      <w:r w:rsidRPr="00C05EDA">
        <w:t>Unplanned</w:t>
      </w:r>
      <w:proofErr w:type="gramEnd"/>
      <w:r w:rsidRPr="00C05EDA">
        <w:t xml:space="preserve"> interruptions to supply (normalised) </w:t>
      </w:r>
      <w:r w:rsidR="007A3240">
        <w:t>–</w:t>
      </w:r>
      <w:r w:rsidRPr="00C05EDA">
        <w:t xml:space="preserve"> Endeavour Energy</w:t>
      </w:r>
    </w:p>
    <w:p w:rsidR="002512C7" w:rsidRDefault="002512C7" w:rsidP="002512C7">
      <w:r>
        <w:rPr>
          <w:noProof/>
          <w:lang w:eastAsia="en-AU"/>
        </w:rPr>
        <w:drawing>
          <wp:inline distT="0" distB="0" distL="0" distR="0" wp14:anchorId="04DF160A" wp14:editId="7D5D275D">
            <wp:extent cx="2743200" cy="1645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43200" cy="1645200"/>
                    </a:xfrm>
                    <a:prstGeom prst="rect">
                      <a:avLst/>
                    </a:prstGeom>
                    <a:noFill/>
                  </pic:spPr>
                </pic:pic>
              </a:graphicData>
            </a:graphic>
          </wp:inline>
        </w:drawing>
      </w:r>
      <w:r>
        <w:t xml:space="preserve"> </w:t>
      </w:r>
      <w:r>
        <w:rPr>
          <w:noProof/>
          <w:lang w:eastAsia="en-AU"/>
        </w:rPr>
        <w:drawing>
          <wp:inline distT="0" distB="0" distL="0" distR="0" wp14:anchorId="79BC21A7" wp14:editId="41640212">
            <wp:extent cx="2743200" cy="1645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3200" cy="1645200"/>
                    </a:xfrm>
                    <a:prstGeom prst="rect">
                      <a:avLst/>
                    </a:prstGeom>
                    <a:noFill/>
                  </pic:spPr>
                </pic:pic>
              </a:graphicData>
            </a:graphic>
          </wp:inline>
        </w:drawing>
      </w:r>
    </w:p>
    <w:p w:rsidR="002512C7" w:rsidRPr="002512C7" w:rsidRDefault="002512C7" w:rsidP="002512C7">
      <w:r w:rsidRPr="002512C7">
        <w:rPr>
          <w:noProof/>
          <w:lang w:eastAsia="en-AU"/>
        </w:rPr>
        <w:drawing>
          <wp:inline distT="0" distB="0" distL="0" distR="0" wp14:anchorId="34B056DD" wp14:editId="6C012C75">
            <wp:extent cx="5731510" cy="77354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773541"/>
                    </a:xfrm>
                    <a:prstGeom prst="rect">
                      <a:avLst/>
                    </a:prstGeom>
                    <a:noFill/>
                    <a:ln>
                      <a:noFill/>
                    </a:ln>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p w:rsidR="00AE2FC7" w:rsidRPr="00AE2FC7" w:rsidRDefault="00AE2FC7" w:rsidP="00AE2FC7">
      <w:r>
        <w:br w:type="page"/>
      </w:r>
    </w:p>
    <w:bookmarkStart w:id="280" w:name="_Toc409771653"/>
    <w:bookmarkStart w:id="281" w:name="_Toc423086501"/>
    <w:p w:rsidR="00AE2FC7" w:rsidRDefault="006C7491" w:rsidP="00CA4BC2">
      <w:pPr>
        <w:pStyle w:val="Heading2"/>
      </w:pPr>
      <w:r w:rsidRPr="006C7491">
        <w:rPr>
          <w:noProof/>
          <w:lang w:eastAsia="en-AU"/>
        </w:rPr>
        <mc:AlternateContent>
          <mc:Choice Requires="wps">
            <w:drawing>
              <wp:anchor distT="0" distB="0" distL="114300" distR="114300" simplePos="0" relativeHeight="251671552" behindDoc="1" locked="0" layoutInCell="1" allowOverlap="1" wp14:anchorId="04136BFC" wp14:editId="7822502D">
                <wp:simplePos x="0" y="0"/>
                <wp:positionH relativeFrom="column">
                  <wp:posOffset>-257175</wp:posOffset>
                </wp:positionH>
                <wp:positionV relativeFrom="paragraph">
                  <wp:posOffset>273685</wp:posOffset>
                </wp:positionV>
                <wp:extent cx="6259195" cy="8395335"/>
                <wp:effectExtent l="19050" t="19050" r="27305" b="24765"/>
                <wp:wrapTight wrapText="bothSides">
                  <wp:wrapPolygon edited="0">
                    <wp:start x="-66" y="-49"/>
                    <wp:lineTo x="-66" y="21615"/>
                    <wp:lineTo x="21628" y="21615"/>
                    <wp:lineTo x="21628" y="-49"/>
                    <wp:lineTo x="-66" y="-49"/>
                  </wp:wrapPolygon>
                </wp:wrapTight>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395335"/>
                        </a:xfrm>
                        <a:prstGeom prst="rect">
                          <a:avLst/>
                        </a:prstGeom>
                        <a:noFill/>
                        <a:ln w="44450">
                          <a:solidFill>
                            <a:srgbClr val="C6DBEF"/>
                          </a:solidFill>
                          <a:miter lim="800000"/>
                          <a:headEnd/>
                          <a:tailEnd/>
                        </a:ln>
                      </wps:spPr>
                      <wps:txbx>
                        <w:txbxContent>
                          <w:p w:rsidR="00AD3D0C" w:rsidRDefault="00AD3D0C" w:rsidP="006C7491">
                            <w:pPr>
                              <w:pStyle w:val="Heading3notnumbered"/>
                            </w:pPr>
                            <w:bookmarkStart w:id="282" w:name="_Toc413311086"/>
                            <w:bookmarkStart w:id="283" w:name="_Toc423086502"/>
                            <w:r>
                              <w:t>Network characteristics</w:t>
                            </w:r>
                            <w:bookmarkEnd w:id="282"/>
                            <w:bookmarkEnd w:id="283"/>
                          </w:p>
                          <w:p w:rsidR="00AD3D0C" w:rsidRPr="00C312BC" w:rsidRDefault="00AD3D0C" w:rsidP="006C7491">
                            <w:r w:rsidRPr="00E96856">
                              <w:rPr>
                                <w:rStyle w:val="Strong"/>
                              </w:rPr>
                              <w:t>Ownership:</w:t>
                            </w:r>
                            <w:r>
                              <w:t xml:space="preserve">  </w:t>
                            </w:r>
                            <w:r w:rsidRPr="007A2995">
                              <w:t>New South Wales (NSW) Governmen</w:t>
                            </w:r>
                            <w:r>
                              <w:t>t</w:t>
                            </w:r>
                            <w:r w:rsidRPr="00C312BC">
                              <w:t xml:space="preserve"> </w:t>
                            </w:r>
                          </w:p>
                          <w:p w:rsidR="00AD3D0C" w:rsidRPr="00C312BC" w:rsidRDefault="00AD3D0C" w:rsidP="006C7491">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6C7491">
                            <w:pPr>
                              <w:rPr>
                                <w:rStyle w:val="Strong"/>
                              </w:rPr>
                            </w:pPr>
                            <w:r w:rsidRPr="00E96856">
                              <w:rPr>
                                <w:rStyle w:val="Strong"/>
                              </w:rPr>
                              <w:t>Network profile</w:t>
                            </w:r>
                          </w:p>
                          <w:p w:rsidR="00AD3D0C" w:rsidRDefault="00AD3D0C" w:rsidP="006C7491">
                            <w:pPr>
                              <w:pStyle w:val="TableofFigures"/>
                            </w:pPr>
                            <w:r>
                              <w:t xml:space="preserve">  Total distribution customers:</w:t>
                            </w:r>
                            <w:r w:rsidRPr="00C312BC">
                              <w:t xml:space="preserve"> </w:t>
                            </w:r>
                            <w:r w:rsidRPr="00C312BC">
                              <w:tab/>
                            </w:r>
                            <w:r>
                              <w:tab/>
                            </w:r>
                            <w:r>
                              <w:tab/>
                              <w:t>839,206</w:t>
                            </w:r>
                          </w:p>
                          <w:p w:rsidR="00AD3D0C" w:rsidRPr="00C312BC" w:rsidRDefault="00AD3D0C" w:rsidP="006C7491">
                            <w:pPr>
                              <w:pStyle w:val="TableofFigures"/>
                            </w:pPr>
                            <w:r w:rsidRPr="00E96856">
                              <w:t xml:space="preserve"> </w:t>
                            </w:r>
                            <w:r w:rsidRPr="006C7491">
                              <w:rPr>
                                <w:noProof/>
                                <w:lang w:eastAsia="en-AU"/>
                              </w:rPr>
                              <w:drawing>
                                <wp:inline distT="0" distB="0" distL="0" distR="0" wp14:anchorId="1C5240F6" wp14:editId="1A92CB9A">
                                  <wp:extent cx="4568400" cy="957600"/>
                                  <wp:effectExtent l="0" t="0" r="381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68400" cy="957600"/>
                                          </a:xfrm>
                                          <a:prstGeom prst="rect">
                                            <a:avLst/>
                                          </a:prstGeom>
                                          <a:noFill/>
                                        </pic:spPr>
                                      </pic:pic>
                                    </a:graphicData>
                                  </a:graphic>
                                </wp:inline>
                              </w:drawing>
                            </w:r>
                          </w:p>
                          <w:p w:rsidR="00AD3D0C" w:rsidRDefault="00AD3D0C" w:rsidP="006C7491">
                            <w:pPr>
                              <w:pStyle w:val="TableofFigures"/>
                            </w:pPr>
                            <w:r>
                              <w:t xml:space="preserve">  </w:t>
                            </w:r>
                            <w:r w:rsidRPr="0075338F">
                              <w:t xml:space="preserve">Total line </w:t>
                            </w:r>
                            <w:r>
                              <w:t xml:space="preserve">(circuit) </w:t>
                            </w:r>
                            <w:r w:rsidRPr="0075338F">
                              <w:t>length:</w:t>
                            </w:r>
                            <w:r>
                              <w:t xml:space="preserve"> </w:t>
                            </w:r>
                            <w:r>
                              <w:tab/>
                            </w:r>
                            <w:r>
                              <w:tab/>
                            </w:r>
                            <w:r>
                              <w:tab/>
                            </w:r>
                            <w:r>
                              <w:tab/>
                              <w:t>191,107 km</w:t>
                            </w:r>
                          </w:p>
                          <w:p w:rsidR="00AD3D0C" w:rsidRDefault="00AD3D0C" w:rsidP="006C7491">
                            <w:r w:rsidRPr="006C7491">
                              <w:rPr>
                                <w:noProof/>
                                <w:lang w:eastAsia="en-AU"/>
                              </w:rPr>
                              <w:drawing>
                                <wp:inline distT="0" distB="0" distL="0" distR="0" wp14:anchorId="0C998932" wp14:editId="79310A1E">
                                  <wp:extent cx="4568400" cy="950400"/>
                                  <wp:effectExtent l="0" t="0" r="3810" b="254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68400" cy="950400"/>
                                          </a:xfrm>
                                          <a:prstGeom prst="rect">
                                            <a:avLst/>
                                          </a:prstGeom>
                                          <a:noFill/>
                                        </pic:spPr>
                                      </pic:pic>
                                    </a:graphicData>
                                  </a:graphic>
                                </wp:inline>
                              </w:drawing>
                            </w:r>
                          </w:p>
                          <w:p w:rsidR="00AD3D0C" w:rsidRPr="00C312BC" w:rsidRDefault="00AD3D0C" w:rsidP="006C7491">
                            <w:r>
                              <w:t xml:space="preserve">  </w:t>
                            </w:r>
                            <w:r w:rsidRPr="000D7CD6">
                              <w:t xml:space="preserve">Customer density: </w:t>
                            </w:r>
                            <w:r w:rsidRPr="00C312BC">
                              <w:tab/>
                            </w:r>
                            <w:r w:rsidRPr="00C312BC">
                              <w:tab/>
                            </w:r>
                            <w:r>
                              <w:tab/>
                            </w:r>
                            <w:r>
                              <w:tab/>
                            </w:r>
                            <w:r>
                              <w:tab/>
                            </w:r>
                            <w:r>
                              <w:tab/>
                              <w:t>4.4</w:t>
                            </w:r>
                            <w:r w:rsidRPr="00C312BC">
                              <w:t xml:space="preserve"> customers/</w:t>
                            </w:r>
                            <w:r>
                              <w:t>km line (circuit)</w:t>
                            </w:r>
                          </w:p>
                          <w:p w:rsidR="00AD3D0C" w:rsidRPr="00E96856" w:rsidRDefault="00AD3D0C" w:rsidP="006C7491">
                            <w:pPr>
                              <w:rPr>
                                <w:rStyle w:val="Strong"/>
                              </w:rPr>
                            </w:pPr>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p>
                          <w:p w:rsidR="00AD3D0C" w:rsidRPr="00474352" w:rsidRDefault="00AD3D0C" w:rsidP="006C7491">
                            <w:r w:rsidRPr="00474352">
                              <w:t xml:space="preserve">  Energy delivered:</w:t>
                            </w:r>
                            <w:r w:rsidRPr="00474352">
                              <w:tab/>
                            </w:r>
                            <w:r w:rsidRPr="00474352">
                              <w:tab/>
                            </w:r>
                            <w:r w:rsidRPr="00474352">
                              <w:tab/>
                            </w:r>
                            <w:r w:rsidRPr="00474352">
                              <w:tab/>
                            </w:r>
                            <w:r>
                              <w:tab/>
                            </w:r>
                            <w:r>
                              <w:tab/>
                              <w:t xml:space="preserve">48,191 </w:t>
                            </w:r>
                            <w:proofErr w:type="spellStart"/>
                            <w:r>
                              <w:t>GWh</w:t>
                            </w:r>
                            <w:proofErr w:type="spellEnd"/>
                            <w:r>
                              <w:t>, 1</w:t>
                            </w:r>
                            <w:r w:rsidRPr="00474352">
                              <w:t xml:space="preserve"> per cent ▼ than forecast</w:t>
                            </w:r>
                          </w:p>
                          <w:p w:rsidR="00AD3D0C" w:rsidRPr="00474352" w:rsidRDefault="00AD3D0C" w:rsidP="006C7491">
                            <w:r w:rsidRPr="00474352">
                              <w:t xml:space="preserve">  Capital expenditure: </w:t>
                            </w:r>
                            <w:r w:rsidRPr="00474352">
                              <w:tab/>
                            </w:r>
                            <w:r w:rsidRPr="00474352">
                              <w:tab/>
                            </w:r>
                            <w:r w:rsidRPr="00474352">
                              <w:tab/>
                            </w:r>
                            <w:r>
                              <w:tab/>
                            </w:r>
                            <w:r w:rsidRPr="00474352">
                              <w:tab/>
                            </w:r>
                            <w:r>
                              <w:t xml:space="preserve">$2.8 </w:t>
                            </w:r>
                            <w:proofErr w:type="spellStart"/>
                            <w:r>
                              <w:t>bn</w:t>
                            </w:r>
                            <w:proofErr w:type="spellEnd"/>
                            <w:r>
                              <w:t xml:space="preserve">, </w:t>
                            </w:r>
                            <w:r w:rsidRPr="00344E95">
                              <w:t>13</w:t>
                            </w:r>
                            <w:r w:rsidRPr="00474352">
                              <w:t xml:space="preserve"> per cent ▼ than forecast</w:t>
                            </w:r>
                          </w:p>
                          <w:p w:rsidR="00AD3D0C" w:rsidRPr="00474352" w:rsidRDefault="00AD3D0C" w:rsidP="006C7491">
                            <w:r w:rsidRPr="00474352">
                              <w:t xml:space="preserve">  Regulatory Asset Base: </w:t>
                            </w:r>
                            <w:r w:rsidRPr="00474352">
                              <w:tab/>
                            </w:r>
                            <w:r w:rsidRPr="00474352">
                              <w:tab/>
                            </w:r>
                            <w:r>
                              <w:tab/>
                            </w:r>
                            <w:r w:rsidRPr="00474352">
                              <w:tab/>
                            </w:r>
                            <w:r>
                              <w:t>34</w:t>
                            </w:r>
                            <w:r w:rsidRPr="00474352">
                              <w:t xml:space="preserve"> per cent ▲ (from $</w:t>
                            </w:r>
                            <w:r>
                              <w:t>4.9</w:t>
                            </w:r>
                            <w:r w:rsidRPr="00474352">
                              <w:t>bn to $</w:t>
                            </w:r>
                            <w:r>
                              <w:t>6.6</w:t>
                            </w:r>
                            <w:r w:rsidRPr="00474352">
                              <w:t>bn)</w:t>
                            </w:r>
                          </w:p>
                          <w:p w:rsidR="00AD3D0C" w:rsidRPr="00474352" w:rsidRDefault="00AD3D0C" w:rsidP="006C7491">
                            <w:r w:rsidRPr="00474352">
                              <w:t xml:space="preserve">  Operating expenditure: </w:t>
                            </w:r>
                            <w:r w:rsidRPr="00474352">
                              <w:tab/>
                            </w:r>
                            <w:r w:rsidRPr="00474352">
                              <w:tab/>
                            </w:r>
                            <w:r w:rsidRPr="00474352">
                              <w:tab/>
                            </w:r>
                            <w:r>
                              <w:tab/>
                              <w:t xml:space="preserve">$1.7 </w:t>
                            </w:r>
                            <w:proofErr w:type="spellStart"/>
                            <w:r>
                              <w:t>bn</w:t>
                            </w:r>
                            <w:proofErr w:type="spellEnd"/>
                            <w:r>
                              <w:t>, within 1</w:t>
                            </w:r>
                            <w:r w:rsidRPr="00474352">
                              <w:t xml:space="preserve"> per cent </w:t>
                            </w:r>
                            <w:r>
                              <w:t>of</w:t>
                            </w:r>
                            <w:r w:rsidRPr="00474352">
                              <w:t xml:space="preserve"> forecast</w:t>
                            </w:r>
                          </w:p>
                          <w:p w:rsidR="00AD3D0C" w:rsidRPr="00474352" w:rsidRDefault="00AD3D0C" w:rsidP="006C7491">
                            <w:r w:rsidRPr="00474352">
                              <w:t xml:space="preserve">  Revenue (WAPC): </w:t>
                            </w:r>
                            <w:r w:rsidRPr="00474352">
                              <w:tab/>
                            </w:r>
                            <w:r w:rsidRPr="00474352">
                              <w:tab/>
                            </w:r>
                            <w:r w:rsidRPr="00474352">
                              <w:tab/>
                            </w:r>
                            <w:r w:rsidRPr="00474352">
                              <w:tab/>
                            </w:r>
                            <w:r>
                              <w:tab/>
                            </w:r>
                            <w:r>
                              <w:tab/>
                              <w:t xml:space="preserve">$4.7 </w:t>
                            </w:r>
                            <w:proofErr w:type="spellStart"/>
                            <w:r>
                              <w:t>bn</w:t>
                            </w:r>
                            <w:proofErr w:type="spellEnd"/>
                            <w:r>
                              <w:t>, within 1</w:t>
                            </w:r>
                            <w:r w:rsidRPr="00474352">
                              <w:t xml:space="preserve"> per cent </w:t>
                            </w:r>
                            <w:r>
                              <w:t>of</w:t>
                            </w:r>
                            <w:r w:rsidRPr="00474352">
                              <w:t xml:space="preserve"> forecast </w:t>
                            </w:r>
                          </w:p>
                          <w:p w:rsidR="00AD3D0C" w:rsidRDefault="00AD3D0C" w:rsidP="006C7491">
                            <w:pPr>
                              <w:rPr>
                                <w:rStyle w:val="Strong"/>
                              </w:rPr>
                            </w:pPr>
                            <w:r w:rsidRPr="00D503C8">
                              <w:rPr>
                                <w:rStyle w:val="Strong"/>
                              </w:rPr>
                              <w:t xml:space="preserve">Network reliability (normalised): </w:t>
                            </w:r>
                          </w:p>
                          <w:p w:rsidR="00AD3D0C" w:rsidRDefault="00AD3D0C" w:rsidP="006C7491">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232.5</w:t>
                            </w:r>
                            <w:r w:rsidRPr="00E96856">
                              <w:t xml:space="preserve"> minutes</w:t>
                            </w:r>
                          </w:p>
                          <w:p w:rsidR="00AD3D0C" w:rsidRDefault="00AD3D0C" w:rsidP="006C7491">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232.1</w:t>
                            </w:r>
                            <w:r w:rsidRPr="00E96856">
                              <w:t xml:space="preserve"> minutes</w:t>
                            </w:r>
                          </w:p>
                          <w:p w:rsidR="00AD3D0C" w:rsidRDefault="00AD3D0C" w:rsidP="006C7491">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1.85</w:t>
                            </w:r>
                            <w:r w:rsidRPr="00E96856">
                              <w:t xml:space="preserve"> interruptions</w:t>
                            </w:r>
                          </w:p>
                          <w:p w:rsidR="00AD3D0C" w:rsidRPr="00D503C8" w:rsidRDefault="00AD3D0C" w:rsidP="006C7491">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2.14</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25pt;margin-top:21.55pt;width:492.85pt;height:66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" filled="f" strokecolor="#c6dbef" strokeweight="3.5pt">
                <v:textbox>
                  <w:txbxContent>
                    <w:p w:rsidR="00AD3D0C" w:rsidRDefault="00AD3D0C" w:rsidP="006C7491">
                      <w:pPr>
                        <w:pStyle w:val="Heading3notnumbered"/>
                      </w:pPr>
                      <w:bookmarkStart w:id="294" w:name="_Toc413311086"/>
                      <w:bookmarkStart w:id="295" w:name="_Toc423086502"/>
                      <w:r>
                        <w:t>Network characteristics</w:t>
                      </w:r>
                      <w:bookmarkEnd w:id="294"/>
                      <w:bookmarkEnd w:id="295"/>
                    </w:p>
                    <w:p w:rsidR="00AD3D0C" w:rsidRPr="00C312BC" w:rsidRDefault="00AD3D0C" w:rsidP="006C7491">
                      <w:r w:rsidRPr="00E96856">
                        <w:rPr>
                          <w:rStyle w:val="Strong"/>
                        </w:rPr>
                        <w:t>Ownership:</w:t>
                      </w:r>
                      <w:r>
                        <w:t xml:space="preserve">  </w:t>
                      </w:r>
                      <w:r w:rsidRPr="007A2995">
                        <w:t>New South Wales (NSW) Governmen</w:t>
                      </w:r>
                      <w:r>
                        <w:t>t</w:t>
                      </w:r>
                      <w:r w:rsidRPr="00C312BC">
                        <w:t xml:space="preserve"> </w:t>
                      </w:r>
                    </w:p>
                    <w:p w:rsidR="00AD3D0C" w:rsidRPr="00C312BC" w:rsidRDefault="00AD3D0C" w:rsidP="006C7491">
                      <w:r w:rsidRPr="00E96856">
                        <w:rPr>
                          <w:rStyle w:val="Strong"/>
                        </w:rPr>
                        <w:t>Relevant regulatory control period</w:t>
                      </w:r>
                      <w:r w:rsidRPr="00C312BC">
                        <w:t>:</w:t>
                      </w:r>
                      <w:r w:rsidRPr="00E96856">
                        <w:t xml:space="preserve"> </w:t>
                      </w:r>
                      <w:r w:rsidRPr="007834DE">
                        <w:t xml:space="preserve">1 </w:t>
                      </w:r>
                      <w:r>
                        <w:t>July 2009 –</w:t>
                      </w:r>
                      <w:r w:rsidRPr="00CB73C1">
                        <w:t xml:space="preserve"> 30 June 2014</w:t>
                      </w:r>
                    </w:p>
                    <w:p w:rsidR="00AD3D0C" w:rsidRPr="00E96856" w:rsidRDefault="00AD3D0C" w:rsidP="006C7491">
                      <w:pPr>
                        <w:rPr>
                          <w:rStyle w:val="Strong"/>
                        </w:rPr>
                      </w:pPr>
                      <w:r w:rsidRPr="00E96856">
                        <w:rPr>
                          <w:rStyle w:val="Strong"/>
                        </w:rPr>
                        <w:t>Network profile</w:t>
                      </w:r>
                    </w:p>
                    <w:p w:rsidR="00AD3D0C" w:rsidRDefault="00AD3D0C" w:rsidP="006C7491">
                      <w:pPr>
                        <w:pStyle w:val="TableofFigures"/>
                      </w:pPr>
                      <w:r>
                        <w:t xml:space="preserve">  Total distribution customers:</w:t>
                      </w:r>
                      <w:r w:rsidRPr="00C312BC">
                        <w:t xml:space="preserve"> </w:t>
                      </w:r>
                      <w:r w:rsidRPr="00C312BC">
                        <w:tab/>
                      </w:r>
                      <w:r>
                        <w:tab/>
                      </w:r>
                      <w:r>
                        <w:tab/>
                        <w:t>839,206</w:t>
                      </w:r>
                    </w:p>
                    <w:p w:rsidR="00AD3D0C" w:rsidRPr="00C312BC" w:rsidRDefault="00AD3D0C" w:rsidP="006C7491">
                      <w:pPr>
                        <w:pStyle w:val="TableofFigures"/>
                      </w:pPr>
                      <w:r w:rsidRPr="00E96856">
                        <w:t xml:space="preserve"> </w:t>
                      </w:r>
                      <w:r w:rsidRPr="006C7491">
                        <w:rPr>
                          <w:noProof/>
                          <w:lang w:eastAsia="en-AU"/>
                        </w:rPr>
                        <w:drawing>
                          <wp:inline distT="0" distB="0" distL="0" distR="0" wp14:anchorId="1C5240F6" wp14:editId="1A92CB9A">
                            <wp:extent cx="4568400" cy="957600"/>
                            <wp:effectExtent l="0" t="0" r="381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68400" cy="957600"/>
                                    </a:xfrm>
                                    <a:prstGeom prst="rect">
                                      <a:avLst/>
                                    </a:prstGeom>
                                    <a:noFill/>
                                  </pic:spPr>
                                </pic:pic>
                              </a:graphicData>
                            </a:graphic>
                          </wp:inline>
                        </w:drawing>
                      </w:r>
                    </w:p>
                    <w:p w:rsidR="00AD3D0C" w:rsidRDefault="00AD3D0C" w:rsidP="006C7491">
                      <w:pPr>
                        <w:pStyle w:val="TableofFigures"/>
                      </w:pPr>
                      <w:r>
                        <w:t xml:space="preserve">  </w:t>
                      </w:r>
                      <w:r w:rsidRPr="0075338F">
                        <w:t xml:space="preserve">Total line </w:t>
                      </w:r>
                      <w:r>
                        <w:t xml:space="preserve">(circuit) </w:t>
                      </w:r>
                      <w:r w:rsidRPr="0075338F">
                        <w:t>length:</w:t>
                      </w:r>
                      <w:r>
                        <w:t xml:space="preserve"> </w:t>
                      </w:r>
                      <w:r>
                        <w:tab/>
                      </w:r>
                      <w:r>
                        <w:tab/>
                      </w:r>
                      <w:r>
                        <w:tab/>
                      </w:r>
                      <w:r>
                        <w:tab/>
                        <w:t>191,107 km</w:t>
                      </w:r>
                    </w:p>
                    <w:p w:rsidR="00AD3D0C" w:rsidRDefault="00AD3D0C" w:rsidP="006C7491">
                      <w:r w:rsidRPr="006C7491">
                        <w:rPr>
                          <w:noProof/>
                          <w:lang w:eastAsia="en-AU"/>
                        </w:rPr>
                        <w:drawing>
                          <wp:inline distT="0" distB="0" distL="0" distR="0" wp14:anchorId="0C998932" wp14:editId="79310A1E">
                            <wp:extent cx="4568400" cy="950400"/>
                            <wp:effectExtent l="0" t="0" r="3810" b="254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68400" cy="950400"/>
                                    </a:xfrm>
                                    <a:prstGeom prst="rect">
                                      <a:avLst/>
                                    </a:prstGeom>
                                    <a:noFill/>
                                  </pic:spPr>
                                </pic:pic>
                              </a:graphicData>
                            </a:graphic>
                          </wp:inline>
                        </w:drawing>
                      </w:r>
                    </w:p>
                    <w:p w:rsidR="00AD3D0C" w:rsidRPr="00C312BC" w:rsidRDefault="00AD3D0C" w:rsidP="006C7491">
                      <w:r>
                        <w:t xml:space="preserve">  </w:t>
                      </w:r>
                      <w:r w:rsidRPr="000D7CD6">
                        <w:t xml:space="preserve">Customer density: </w:t>
                      </w:r>
                      <w:r w:rsidRPr="00C312BC">
                        <w:tab/>
                      </w:r>
                      <w:r w:rsidRPr="00C312BC">
                        <w:tab/>
                      </w:r>
                      <w:r>
                        <w:tab/>
                      </w:r>
                      <w:r>
                        <w:tab/>
                      </w:r>
                      <w:r>
                        <w:tab/>
                      </w:r>
                      <w:r>
                        <w:tab/>
                        <w:t>4.4</w:t>
                      </w:r>
                      <w:r w:rsidRPr="00C312BC">
                        <w:t xml:space="preserve"> customers/</w:t>
                      </w:r>
                      <w:r>
                        <w:t>km line (circuit)</w:t>
                      </w:r>
                    </w:p>
                    <w:p w:rsidR="00AD3D0C" w:rsidRPr="00E96856" w:rsidRDefault="00AD3D0C" w:rsidP="006C7491">
                      <w:pPr>
                        <w:rPr>
                          <w:rStyle w:val="Strong"/>
                        </w:rPr>
                      </w:pPr>
                      <w:r w:rsidRPr="00E96856">
                        <w:rPr>
                          <w:rStyle w:val="Strong"/>
                        </w:rPr>
                        <w:t>Network performance: 2009</w:t>
                      </w:r>
                      <w:r>
                        <w:rPr>
                          <w:rStyle w:val="Strong"/>
                        </w:rPr>
                        <w:t>–</w:t>
                      </w:r>
                      <w:r w:rsidRPr="00E96856">
                        <w:rPr>
                          <w:rStyle w:val="Strong"/>
                        </w:rPr>
                        <w:t>10</w:t>
                      </w:r>
                      <w:r>
                        <w:rPr>
                          <w:rStyle w:val="Strong"/>
                        </w:rPr>
                        <w:t xml:space="preserve"> to </w:t>
                      </w:r>
                      <w:r w:rsidRPr="00E96856">
                        <w:rPr>
                          <w:rStyle w:val="Strong"/>
                        </w:rPr>
                        <w:t>2012</w:t>
                      </w:r>
                      <w:r>
                        <w:rPr>
                          <w:rStyle w:val="Strong"/>
                        </w:rPr>
                        <w:t>–</w:t>
                      </w:r>
                      <w:r w:rsidRPr="00E96856">
                        <w:rPr>
                          <w:rStyle w:val="Strong"/>
                        </w:rPr>
                        <w:t>13</w:t>
                      </w:r>
                    </w:p>
                    <w:p w:rsidR="00AD3D0C" w:rsidRPr="00474352" w:rsidRDefault="00AD3D0C" w:rsidP="006C7491">
                      <w:r w:rsidRPr="00474352">
                        <w:t xml:space="preserve">  Energy delivered:</w:t>
                      </w:r>
                      <w:r w:rsidRPr="00474352">
                        <w:tab/>
                      </w:r>
                      <w:r w:rsidRPr="00474352">
                        <w:tab/>
                      </w:r>
                      <w:r w:rsidRPr="00474352">
                        <w:tab/>
                      </w:r>
                      <w:r w:rsidRPr="00474352">
                        <w:tab/>
                      </w:r>
                      <w:r>
                        <w:tab/>
                      </w:r>
                      <w:r>
                        <w:tab/>
                        <w:t xml:space="preserve">48,191 </w:t>
                      </w:r>
                      <w:proofErr w:type="spellStart"/>
                      <w:r>
                        <w:t>GWh</w:t>
                      </w:r>
                      <w:proofErr w:type="spellEnd"/>
                      <w:r>
                        <w:t>, 1</w:t>
                      </w:r>
                      <w:r w:rsidRPr="00474352">
                        <w:t xml:space="preserve"> per cent ▼ than forecast</w:t>
                      </w:r>
                    </w:p>
                    <w:p w:rsidR="00AD3D0C" w:rsidRPr="00474352" w:rsidRDefault="00AD3D0C" w:rsidP="006C7491">
                      <w:r w:rsidRPr="00474352">
                        <w:t xml:space="preserve">  Capital expenditure: </w:t>
                      </w:r>
                      <w:r w:rsidRPr="00474352">
                        <w:tab/>
                      </w:r>
                      <w:r w:rsidRPr="00474352">
                        <w:tab/>
                      </w:r>
                      <w:r w:rsidRPr="00474352">
                        <w:tab/>
                      </w:r>
                      <w:r>
                        <w:tab/>
                      </w:r>
                      <w:r w:rsidRPr="00474352">
                        <w:tab/>
                      </w:r>
                      <w:r>
                        <w:t xml:space="preserve">$2.8 </w:t>
                      </w:r>
                      <w:proofErr w:type="spellStart"/>
                      <w:r>
                        <w:t>bn</w:t>
                      </w:r>
                      <w:proofErr w:type="spellEnd"/>
                      <w:r>
                        <w:t xml:space="preserve">, </w:t>
                      </w:r>
                      <w:r w:rsidRPr="00344E95">
                        <w:t>13</w:t>
                      </w:r>
                      <w:r w:rsidRPr="00474352">
                        <w:t xml:space="preserve"> per cent ▼ than forecast</w:t>
                      </w:r>
                    </w:p>
                    <w:p w:rsidR="00AD3D0C" w:rsidRPr="00474352" w:rsidRDefault="00AD3D0C" w:rsidP="006C7491">
                      <w:r w:rsidRPr="00474352">
                        <w:t xml:space="preserve">  Regulatory Asset Base: </w:t>
                      </w:r>
                      <w:r w:rsidRPr="00474352">
                        <w:tab/>
                      </w:r>
                      <w:r w:rsidRPr="00474352">
                        <w:tab/>
                      </w:r>
                      <w:r>
                        <w:tab/>
                      </w:r>
                      <w:r w:rsidRPr="00474352">
                        <w:tab/>
                      </w:r>
                      <w:r>
                        <w:t>34</w:t>
                      </w:r>
                      <w:r w:rsidRPr="00474352">
                        <w:t xml:space="preserve"> per cent ▲ (from $</w:t>
                      </w:r>
                      <w:r>
                        <w:t>4.9</w:t>
                      </w:r>
                      <w:r w:rsidRPr="00474352">
                        <w:t>bn to $</w:t>
                      </w:r>
                      <w:r>
                        <w:t>6.6</w:t>
                      </w:r>
                      <w:r w:rsidRPr="00474352">
                        <w:t>bn)</w:t>
                      </w:r>
                    </w:p>
                    <w:p w:rsidR="00AD3D0C" w:rsidRPr="00474352" w:rsidRDefault="00AD3D0C" w:rsidP="006C7491">
                      <w:r w:rsidRPr="00474352">
                        <w:t xml:space="preserve">  Operating expenditure: </w:t>
                      </w:r>
                      <w:r w:rsidRPr="00474352">
                        <w:tab/>
                      </w:r>
                      <w:r w:rsidRPr="00474352">
                        <w:tab/>
                      </w:r>
                      <w:r w:rsidRPr="00474352">
                        <w:tab/>
                      </w:r>
                      <w:r>
                        <w:tab/>
                        <w:t xml:space="preserve">$1.7 </w:t>
                      </w:r>
                      <w:proofErr w:type="spellStart"/>
                      <w:r>
                        <w:t>bn</w:t>
                      </w:r>
                      <w:proofErr w:type="spellEnd"/>
                      <w:r>
                        <w:t>, within 1</w:t>
                      </w:r>
                      <w:r w:rsidRPr="00474352">
                        <w:t xml:space="preserve"> per cent </w:t>
                      </w:r>
                      <w:r>
                        <w:t>of</w:t>
                      </w:r>
                      <w:r w:rsidRPr="00474352">
                        <w:t xml:space="preserve"> forecast</w:t>
                      </w:r>
                    </w:p>
                    <w:p w:rsidR="00AD3D0C" w:rsidRPr="00474352" w:rsidRDefault="00AD3D0C" w:rsidP="006C7491">
                      <w:r w:rsidRPr="00474352">
                        <w:t xml:space="preserve">  Revenue (WAPC): </w:t>
                      </w:r>
                      <w:r w:rsidRPr="00474352">
                        <w:tab/>
                      </w:r>
                      <w:r w:rsidRPr="00474352">
                        <w:tab/>
                      </w:r>
                      <w:r w:rsidRPr="00474352">
                        <w:tab/>
                      </w:r>
                      <w:r w:rsidRPr="00474352">
                        <w:tab/>
                      </w:r>
                      <w:r>
                        <w:tab/>
                      </w:r>
                      <w:r>
                        <w:tab/>
                        <w:t xml:space="preserve">$4.7 </w:t>
                      </w:r>
                      <w:proofErr w:type="spellStart"/>
                      <w:r>
                        <w:t>bn</w:t>
                      </w:r>
                      <w:proofErr w:type="spellEnd"/>
                      <w:r>
                        <w:t>, within 1</w:t>
                      </w:r>
                      <w:r w:rsidRPr="00474352">
                        <w:t xml:space="preserve"> per cent </w:t>
                      </w:r>
                      <w:r>
                        <w:t>of</w:t>
                      </w:r>
                      <w:r w:rsidRPr="00474352">
                        <w:t xml:space="preserve"> forecast </w:t>
                      </w:r>
                    </w:p>
                    <w:p w:rsidR="00AD3D0C" w:rsidRDefault="00AD3D0C" w:rsidP="006C7491">
                      <w:pPr>
                        <w:rPr>
                          <w:rStyle w:val="Strong"/>
                        </w:rPr>
                      </w:pPr>
                      <w:r w:rsidRPr="00D503C8">
                        <w:rPr>
                          <w:rStyle w:val="Strong"/>
                        </w:rPr>
                        <w:t xml:space="preserve">Network reliability (normalised): </w:t>
                      </w:r>
                    </w:p>
                    <w:p w:rsidR="00AD3D0C" w:rsidRDefault="00AD3D0C" w:rsidP="006C7491">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232.5</w:t>
                      </w:r>
                      <w:r w:rsidRPr="00E96856">
                        <w:t xml:space="preserve"> minutes</w:t>
                      </w:r>
                    </w:p>
                    <w:p w:rsidR="00AD3D0C" w:rsidRDefault="00AD3D0C" w:rsidP="006C7491">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232.1</w:t>
                      </w:r>
                      <w:r w:rsidRPr="00E96856">
                        <w:t xml:space="preserve"> minutes</w:t>
                      </w:r>
                    </w:p>
                    <w:p w:rsidR="00AD3D0C" w:rsidRDefault="00AD3D0C" w:rsidP="006C7491">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1.85</w:t>
                      </w:r>
                      <w:r w:rsidRPr="00E96856">
                        <w:t xml:space="preserve"> interruptions</w:t>
                      </w:r>
                    </w:p>
                    <w:p w:rsidR="00AD3D0C" w:rsidRPr="00D503C8" w:rsidRDefault="00AD3D0C" w:rsidP="006C7491">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2.14</w:t>
                      </w:r>
                      <w:r w:rsidRPr="00E96856">
                        <w:t xml:space="preserve"> interruptions</w:t>
                      </w:r>
                    </w:p>
                  </w:txbxContent>
                </v:textbox>
                <w10:wrap type="tight"/>
              </v:shape>
            </w:pict>
          </mc:Fallback>
        </mc:AlternateContent>
      </w:r>
      <w:r w:rsidR="00AE2FC7">
        <w:t>Essential Energy</w:t>
      </w:r>
      <w:bookmarkEnd w:id="280"/>
      <w:bookmarkEnd w:id="281"/>
    </w:p>
    <w:p w:rsidR="00AE2FC7" w:rsidRDefault="00AE2FC7" w:rsidP="00CA4BC2">
      <w:pPr>
        <w:pStyle w:val="Heading3"/>
      </w:pPr>
      <w:bookmarkStart w:id="284" w:name="_Toc409771656"/>
      <w:bookmarkStart w:id="285" w:name="_Toc412790605"/>
      <w:bookmarkStart w:id="286" w:name="_Toc413062086"/>
      <w:bookmarkStart w:id="287" w:name="_Toc413311087"/>
      <w:bookmarkStart w:id="288" w:name="_Toc423086503"/>
      <w:r>
        <w:t>Regulation</w:t>
      </w:r>
      <w:bookmarkEnd w:id="284"/>
      <w:bookmarkEnd w:id="285"/>
      <w:bookmarkEnd w:id="286"/>
      <w:bookmarkEnd w:id="287"/>
      <w:bookmarkEnd w:id="288"/>
    </w:p>
    <w:p w:rsidR="00AE2FC7" w:rsidRPr="0015769E" w:rsidRDefault="002767AE" w:rsidP="00AE2FC7">
      <w:r>
        <w:t>From 1 July</w:t>
      </w:r>
      <w:r w:rsidR="00AE2FC7" w:rsidRPr="0015769E">
        <w:t xml:space="preserve"> 2009 </w:t>
      </w:r>
      <w:r>
        <w:t>we have</w:t>
      </w:r>
      <w:r w:rsidR="00AE2FC7" w:rsidRPr="0015769E">
        <w:t xml:space="preserve"> been responsible for the economic regulation of electricity distribution services provided by Essential Energy. Previously the Independent Pricing and Regulatory Tribunal of New South Wales (IPART) was the responsible regulator.</w:t>
      </w:r>
    </w:p>
    <w:p w:rsidR="00AE2FC7" w:rsidRDefault="00AE2FC7" w:rsidP="00CA4BC2">
      <w:pPr>
        <w:pStyle w:val="Heading3"/>
      </w:pPr>
      <w:bookmarkStart w:id="289" w:name="_Toc409771657"/>
      <w:bookmarkStart w:id="290" w:name="_Toc412790606"/>
      <w:bookmarkStart w:id="291" w:name="_Toc413062087"/>
      <w:bookmarkStart w:id="292" w:name="_Toc413311088"/>
      <w:bookmarkStart w:id="293" w:name="_Toc423086504"/>
      <w:r>
        <w:t>Energy delivered</w:t>
      </w:r>
      <w:bookmarkEnd w:id="289"/>
      <w:bookmarkEnd w:id="290"/>
      <w:bookmarkEnd w:id="291"/>
      <w:bookmarkEnd w:id="292"/>
      <w:bookmarkEnd w:id="293"/>
    </w:p>
    <w:p w:rsidR="00AE2FC7" w:rsidRPr="0015769E" w:rsidRDefault="00AE2FC7" w:rsidP="00AE2FC7">
      <w:r w:rsidRPr="0015769E">
        <w:t>Total energy delivered by Essential Energy over the first four years of the 2009</w:t>
      </w:r>
      <w:r w:rsidR="007A3240">
        <w:t>–</w:t>
      </w:r>
      <w:r w:rsidRPr="0015769E">
        <w:t xml:space="preserve">14 regulatory control </w:t>
      </w:r>
      <w:proofErr w:type="gramStart"/>
      <w:r w:rsidRPr="0015769E">
        <w:t>period</w:t>
      </w:r>
      <w:proofErr w:type="gramEnd"/>
      <w:r w:rsidRPr="0015769E">
        <w:t xml:space="preserve"> was approximately 1 per cent less than </w:t>
      </w:r>
      <w:r w:rsidR="00DD4FC1">
        <w:t>our approved</w:t>
      </w:r>
      <w:r w:rsidRPr="0015769E">
        <w:t xml:space="preserve"> forecast (</w:t>
      </w:r>
      <w:r>
        <w:t>Figure 9</w:t>
      </w:r>
      <w:r w:rsidRPr="0015769E">
        <w:t>–3</w:t>
      </w:r>
      <w:r w:rsidR="000B4923">
        <w:t>1</w:t>
      </w:r>
      <w:r w:rsidRPr="0015769E">
        <w:t>). The forecasts for the 2009</w:t>
      </w:r>
      <w:r w:rsidR="007A3240">
        <w:t>–</w:t>
      </w:r>
      <w:r w:rsidRPr="0015769E">
        <w:t xml:space="preserve">14 regulatory control </w:t>
      </w:r>
      <w:proofErr w:type="gramStart"/>
      <w:r w:rsidRPr="0015769E">
        <w:t>period</w:t>
      </w:r>
      <w:proofErr w:type="gramEnd"/>
      <w:r w:rsidRPr="0015769E">
        <w:t xml:space="preserve"> are those submitted by Essential Energy and </w:t>
      </w:r>
      <w:r w:rsidR="00DD4FC1">
        <w:t xml:space="preserve">accepted by us in our </w:t>
      </w:r>
      <w:r w:rsidRPr="0015769E">
        <w:t>2009 distribution determination.</w:t>
      </w:r>
    </w:p>
    <w:p w:rsidR="003B75E0" w:rsidRPr="0015769E" w:rsidRDefault="003B75E0" w:rsidP="003B75E0">
      <w:r w:rsidRPr="0015769E">
        <w:t>Essential Energy indicated that although energy delivered was close to forecast levels, small customers consumed much less than expected. However, this was offset by an increase in energy consumption by customers on larger sites such as mines.</w:t>
      </w:r>
    </w:p>
    <w:p w:rsidR="00AE2FC7" w:rsidRDefault="00AE2FC7" w:rsidP="00972E3F">
      <w:pPr>
        <w:pStyle w:val="Caption"/>
      </w:pPr>
      <w:r>
        <w:t>Figure 9</w:t>
      </w:r>
      <w:r w:rsidRPr="0015769E">
        <w:t>–3</w:t>
      </w:r>
      <w:r w:rsidR="000B4923">
        <w:t>1</w:t>
      </w:r>
      <w:r w:rsidR="0054452C">
        <w:tab/>
      </w:r>
      <w:r w:rsidRPr="0015769E">
        <w:t xml:space="preserve">Energy delivered </w:t>
      </w:r>
      <w:r w:rsidR="007A3240">
        <w:t>–</w:t>
      </w:r>
      <w:r w:rsidRPr="0015769E">
        <w:t xml:space="preserve"> Essential Energy</w:t>
      </w:r>
    </w:p>
    <w:p w:rsidR="0054452C" w:rsidRPr="00A77DC0" w:rsidRDefault="0054452C" w:rsidP="00076BAB">
      <w:r w:rsidRPr="00A77DC0">
        <w:rPr>
          <w:noProof/>
          <w:lang w:eastAsia="en-AU"/>
        </w:rPr>
        <w:drawing>
          <wp:inline distT="0" distB="0" distL="0" distR="0" wp14:anchorId="576ABFF0" wp14:editId="3552421D">
            <wp:extent cx="4572000" cy="2743200"/>
            <wp:effectExtent l="0" t="0" r="0" b="0"/>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E2FC7" w:rsidRPr="0015769E" w:rsidRDefault="00AE2FC7" w:rsidP="00AE2FC7">
      <w:r w:rsidRPr="0015769E">
        <w:t xml:space="preserve">Chapter 4 </w:t>
      </w:r>
      <w:r w:rsidR="009E3ACF">
        <w:t>contains our</w:t>
      </w:r>
      <w:r w:rsidR="003B75E0">
        <w:t xml:space="preserve"> </w:t>
      </w:r>
      <w:r w:rsidRPr="0015769E">
        <w:t xml:space="preserve">assessment of energy delivered for all DNSPs in the NEM. </w:t>
      </w:r>
    </w:p>
    <w:p w:rsidR="00AE2FC7" w:rsidRDefault="00AE2FC7" w:rsidP="00CA4BC2">
      <w:pPr>
        <w:pStyle w:val="Heading3"/>
      </w:pPr>
      <w:bookmarkStart w:id="294" w:name="_Toc409771658"/>
      <w:bookmarkStart w:id="295" w:name="_Toc412790607"/>
      <w:bookmarkStart w:id="296" w:name="_Toc413062088"/>
      <w:bookmarkStart w:id="297" w:name="_Toc413311089"/>
      <w:bookmarkStart w:id="298" w:name="_Toc423086505"/>
      <w:r>
        <w:t>Demand</w:t>
      </w:r>
      <w:bookmarkEnd w:id="294"/>
      <w:bookmarkEnd w:id="295"/>
      <w:bookmarkEnd w:id="296"/>
      <w:bookmarkEnd w:id="297"/>
      <w:bookmarkEnd w:id="298"/>
    </w:p>
    <w:p w:rsidR="00AE2FC7" w:rsidRPr="0015769E" w:rsidRDefault="00AE2FC7" w:rsidP="00AE2FC7">
      <w:r w:rsidRPr="0015769E">
        <w:t xml:space="preserve">Essential Energy's actual maximum demand was below </w:t>
      </w:r>
      <w:r w:rsidR="00DD4FC1">
        <w:t>our approved</w:t>
      </w:r>
      <w:r w:rsidRPr="0015769E">
        <w:t xml:space="preserve"> forecast in each year of the 2009</w:t>
      </w:r>
      <w:r w:rsidR="007A3240">
        <w:t>–</w:t>
      </w:r>
      <w:r w:rsidRPr="0015769E">
        <w:t xml:space="preserve">14 regulatory control </w:t>
      </w:r>
      <w:proofErr w:type="gramStart"/>
      <w:r w:rsidRPr="0015769E">
        <w:t>period</w:t>
      </w:r>
      <w:proofErr w:type="gramEnd"/>
      <w:r w:rsidRPr="0015769E">
        <w:t xml:space="preserve">. The forecasts were proposed by Essential Energy and </w:t>
      </w:r>
      <w:r w:rsidR="00DD4FC1">
        <w:t xml:space="preserve">accepted by us in our </w:t>
      </w:r>
      <w:r w:rsidRPr="0015769E">
        <w:t>2009 distribution determination (</w:t>
      </w:r>
      <w:r>
        <w:t>Figure 9</w:t>
      </w:r>
      <w:r w:rsidRPr="0015769E">
        <w:t>–3</w:t>
      </w:r>
      <w:r w:rsidR="000B4923">
        <w:t>2</w:t>
      </w:r>
      <w:r w:rsidRPr="0015769E">
        <w:t>).</w:t>
      </w:r>
    </w:p>
    <w:p w:rsidR="003B75E0" w:rsidRPr="0015769E" w:rsidRDefault="003B75E0" w:rsidP="003B75E0">
      <w:r w:rsidRPr="0015769E">
        <w:t>Essential Energy listed the following reasons for the decline in maximum demand:</w:t>
      </w:r>
    </w:p>
    <w:p w:rsidR="003B75E0" w:rsidRPr="009D670D" w:rsidRDefault="003B75E0" w:rsidP="009D670D">
      <w:pPr>
        <w:pStyle w:val="ListBullet"/>
      </w:pPr>
      <w:proofErr w:type="gramStart"/>
      <w:r w:rsidRPr="009D670D">
        <w:t>the</w:t>
      </w:r>
      <w:proofErr w:type="gramEnd"/>
      <w:r w:rsidRPr="009D670D">
        <w:t xml:space="preserve"> global financial crisis' impact on the demand for new connections. The requirement to build new customer specific infrastructure was also been less than anticipated.</w:t>
      </w:r>
    </w:p>
    <w:p w:rsidR="003B75E0" w:rsidRPr="009D670D" w:rsidRDefault="003B75E0" w:rsidP="009D670D">
      <w:pPr>
        <w:pStyle w:val="ListBullet"/>
      </w:pPr>
      <w:proofErr w:type="gramStart"/>
      <w:r w:rsidRPr="009D670D">
        <w:t>a</w:t>
      </w:r>
      <w:proofErr w:type="gramEnd"/>
      <w:r w:rsidRPr="009D670D">
        <w:t xml:space="preserve"> greater than forecast uptake of solar </w:t>
      </w:r>
      <w:r w:rsidR="009D670D" w:rsidRPr="009D670D">
        <w:t>PV</w:t>
      </w:r>
      <w:r w:rsidRPr="009D670D">
        <w:t xml:space="preserve"> generation (driven by very attractive domestic feed</w:t>
      </w:r>
      <w:r w:rsidR="00B45F56">
        <w:t xml:space="preserve"> </w:t>
      </w:r>
      <w:r w:rsidRPr="009D670D">
        <w:t xml:space="preserve">in tariffs) saw a decrease in customer demand over the summer months. </w:t>
      </w:r>
    </w:p>
    <w:p w:rsidR="003B75E0" w:rsidRPr="009D670D" w:rsidRDefault="003B75E0" w:rsidP="009D670D">
      <w:pPr>
        <w:pStyle w:val="ListBullet"/>
      </w:pPr>
      <w:proofErr w:type="gramStart"/>
      <w:r w:rsidRPr="009D670D">
        <w:t>increases</w:t>
      </w:r>
      <w:proofErr w:type="gramEnd"/>
      <w:r w:rsidRPr="009D670D">
        <w:t xml:space="preserve"> in retail energy prices modified customer behaviour by driving a reduction in overall demand and by focussing customers’ attention on new energy efficient appliances.</w:t>
      </w:r>
    </w:p>
    <w:p w:rsidR="00AE2FC7" w:rsidRDefault="00AE2FC7" w:rsidP="00972E3F">
      <w:pPr>
        <w:pStyle w:val="Caption"/>
      </w:pPr>
      <w:r>
        <w:t>Figure 9</w:t>
      </w:r>
      <w:r w:rsidRPr="0015769E">
        <w:t>–3</w:t>
      </w:r>
      <w:r w:rsidR="000B4923">
        <w:t>2</w:t>
      </w:r>
      <w:r w:rsidRPr="0015769E">
        <w:tab/>
        <w:t xml:space="preserve">Maximum demand </w:t>
      </w:r>
      <w:r w:rsidR="007A3240">
        <w:t>–</w:t>
      </w:r>
      <w:r w:rsidRPr="0015769E">
        <w:t xml:space="preserve"> Essential Energy</w:t>
      </w:r>
    </w:p>
    <w:p w:rsidR="0054452C" w:rsidRPr="00A77DC0" w:rsidRDefault="00C7507B" w:rsidP="00076BAB">
      <w:r>
        <w:rPr>
          <w:noProof/>
          <w:lang w:eastAsia="en-AU"/>
        </w:rPr>
        <w:drawing>
          <wp:inline distT="0" distB="0" distL="0" distR="0" wp14:anchorId="2C33864D" wp14:editId="4FB3F03E">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E2FC7" w:rsidRPr="0015769E" w:rsidRDefault="00AE2FC7" w:rsidP="00AE2FC7">
      <w:r w:rsidRPr="0015769E">
        <w:t xml:space="preserve">Chapter 4 </w:t>
      </w:r>
      <w:r w:rsidR="009E3ACF">
        <w:t xml:space="preserve">contains our </w:t>
      </w:r>
      <w:r w:rsidRPr="0015769E">
        <w:t xml:space="preserve">assessment of maximum demand for all DNSPs in the NEM. </w:t>
      </w:r>
    </w:p>
    <w:p w:rsidR="00AE2FC7" w:rsidRDefault="00AE2FC7" w:rsidP="00CA4BC2">
      <w:pPr>
        <w:pStyle w:val="Heading3"/>
      </w:pPr>
      <w:bookmarkStart w:id="299" w:name="_Toc409771659"/>
      <w:bookmarkStart w:id="300" w:name="_Toc412790608"/>
      <w:bookmarkStart w:id="301" w:name="_Toc413062089"/>
      <w:bookmarkStart w:id="302" w:name="_Toc413311090"/>
      <w:bookmarkStart w:id="303" w:name="_Toc423086506"/>
      <w:r>
        <w:t>Expenditure and revenue</w:t>
      </w:r>
      <w:bookmarkEnd w:id="299"/>
      <w:bookmarkEnd w:id="300"/>
      <w:bookmarkEnd w:id="301"/>
      <w:bookmarkEnd w:id="302"/>
      <w:bookmarkEnd w:id="303"/>
    </w:p>
    <w:p w:rsidR="00AE2FC7" w:rsidRPr="0015769E" w:rsidRDefault="00AE2FC7" w:rsidP="00AE2FC7">
      <w:r w:rsidRPr="0015769E">
        <w:t xml:space="preserve">Amendments made to </w:t>
      </w:r>
      <w:r w:rsidR="00DD4FC1">
        <w:t>our approved</w:t>
      </w:r>
      <w:r w:rsidRPr="0015769E">
        <w:t xml:space="preserve"> forecasts as the result of Tribunal orders or as a result of approved pass throughs </w:t>
      </w:r>
      <w:r w:rsidR="00D30B61">
        <w:t>are included</w:t>
      </w:r>
      <w:r w:rsidRPr="0015769E">
        <w:t xml:space="preserve"> in the following analysis of Essential Energy's financial performance.</w:t>
      </w:r>
      <w:r w:rsidR="00674453">
        <w:rPr>
          <w:rStyle w:val="FootnoteReference"/>
        </w:rPr>
        <w:footnoteReference w:id="17"/>
      </w:r>
      <w:r w:rsidRPr="0015769E">
        <w:t xml:space="preserve"> </w:t>
      </w:r>
    </w:p>
    <w:p w:rsidR="00AE2FC7" w:rsidRPr="0015769E" w:rsidRDefault="00AE2FC7" w:rsidP="00AE2FC7">
      <w:pPr>
        <w:pStyle w:val="Heading4notnumbered"/>
      </w:pPr>
      <w:r w:rsidRPr="0015769E">
        <w:t>Capital expenditure</w:t>
      </w:r>
    </w:p>
    <w:p w:rsidR="00AE2FC7" w:rsidRPr="0015769E" w:rsidRDefault="00AE2FC7" w:rsidP="00AE2FC7">
      <w:r w:rsidRPr="0015769E">
        <w:t>Essential Energy's total capital expenditure over the first four years of the 2009</w:t>
      </w:r>
      <w:r w:rsidR="007A3240">
        <w:t>–</w:t>
      </w:r>
      <w:r w:rsidRPr="0015769E">
        <w:t xml:space="preserve">14 regulatory control </w:t>
      </w:r>
      <w:proofErr w:type="gramStart"/>
      <w:r w:rsidRPr="0015769E">
        <w:t>period</w:t>
      </w:r>
      <w:proofErr w:type="gramEnd"/>
      <w:r w:rsidRPr="0015769E">
        <w:t xml:space="preserve"> was approximately </w:t>
      </w:r>
      <w:r w:rsidRPr="00344E95">
        <w:t>13 per cent lower</w:t>
      </w:r>
      <w:r w:rsidRPr="0015769E">
        <w:t xml:space="preserve"> than </w:t>
      </w:r>
      <w:r w:rsidR="00DD4FC1">
        <w:t>our approved</w:t>
      </w:r>
      <w:r w:rsidRPr="0015769E">
        <w:t xml:space="preserve"> forecast (</w:t>
      </w:r>
      <w:r>
        <w:t>Figure 9</w:t>
      </w:r>
      <w:r w:rsidRPr="0015769E">
        <w:t>–3</w:t>
      </w:r>
      <w:r w:rsidR="00AC6003">
        <w:t>3</w:t>
      </w:r>
      <w:r w:rsidRPr="0015769E">
        <w:t>).</w:t>
      </w:r>
    </w:p>
    <w:p w:rsidR="00D906AD" w:rsidRPr="0015769E" w:rsidRDefault="00D906AD" w:rsidP="00D906AD">
      <w:r w:rsidRPr="0015769E">
        <w:t xml:space="preserve">Essential Energy indicated in its 2013 Transitional Regulatory Proposal that </w:t>
      </w:r>
      <w:proofErr w:type="gramStart"/>
      <w:r w:rsidRPr="0015769E">
        <w:t>lower</w:t>
      </w:r>
      <w:proofErr w:type="gramEnd"/>
      <w:r w:rsidRPr="0015769E">
        <w:t xml:space="preserve"> than forecast capital expenditure </w:t>
      </w:r>
      <w:r>
        <w:t>reflects</w:t>
      </w:r>
      <w:r w:rsidRPr="0015769E">
        <w:t>:</w:t>
      </w:r>
    </w:p>
    <w:p w:rsidR="00D906AD" w:rsidRPr="0015769E" w:rsidRDefault="00D906AD" w:rsidP="009D670D">
      <w:pPr>
        <w:pStyle w:val="ListBullet"/>
      </w:pPr>
      <w:r w:rsidRPr="0015769E">
        <w:t>lower demand forecasts</w:t>
      </w:r>
    </w:p>
    <w:p w:rsidR="00D906AD" w:rsidRPr="0015769E" w:rsidRDefault="00D906AD" w:rsidP="009D670D">
      <w:pPr>
        <w:pStyle w:val="ListBullet"/>
      </w:pPr>
      <w:r w:rsidRPr="0015769E">
        <w:t>initiatives implemented to actively reduce the need for capital expenditure and contain average increases in its share of customers’ electricity bills at or below CPI</w:t>
      </w:r>
    </w:p>
    <w:p w:rsidR="00D906AD" w:rsidRPr="0015769E" w:rsidRDefault="00D906AD" w:rsidP="009D670D">
      <w:pPr>
        <w:pStyle w:val="ListBullet"/>
      </w:pPr>
      <w:proofErr w:type="gramStart"/>
      <w:r w:rsidRPr="0015769E">
        <w:t>reduc</w:t>
      </w:r>
      <w:r>
        <w:t>tion</w:t>
      </w:r>
      <w:proofErr w:type="gramEnd"/>
      <w:r>
        <w:t xml:space="preserve"> in </w:t>
      </w:r>
      <w:r w:rsidRPr="0015769E">
        <w:t>the volume of works through enhanced risk management requirements for planning and reduced costs through a stronger focus at both design and delivery stages.</w:t>
      </w:r>
    </w:p>
    <w:p w:rsidR="00AE2FC7" w:rsidRDefault="00AE2FC7" w:rsidP="00972E3F">
      <w:pPr>
        <w:pStyle w:val="Caption"/>
      </w:pPr>
      <w:r>
        <w:t>Figure 9</w:t>
      </w:r>
      <w:r w:rsidRPr="0015769E">
        <w:t>–3</w:t>
      </w:r>
      <w:r w:rsidR="00AC6003">
        <w:t>3</w:t>
      </w:r>
      <w:r w:rsidRPr="0015769E">
        <w:tab/>
        <w:t xml:space="preserve">Capital expenditure (excluding customer contributions) </w:t>
      </w:r>
      <w:r w:rsidR="007A3240">
        <w:t>–</w:t>
      </w:r>
      <w:r w:rsidRPr="0015769E">
        <w:t xml:space="preserve"> Essential Energy</w:t>
      </w:r>
    </w:p>
    <w:p w:rsidR="0054452C" w:rsidRPr="00A77DC0" w:rsidRDefault="0054452C" w:rsidP="00076BAB">
      <w:r w:rsidRPr="00A77DC0">
        <w:rPr>
          <w:noProof/>
          <w:lang w:eastAsia="en-AU"/>
        </w:rPr>
        <w:drawing>
          <wp:inline distT="0" distB="0" distL="0" distR="0" wp14:anchorId="3B3D9DDC" wp14:editId="45DDC2C9">
            <wp:extent cx="4572000" cy="2743200"/>
            <wp:effectExtent l="0" t="0" r="0" b="0"/>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B75E0" w:rsidRPr="0015769E" w:rsidRDefault="003B75E0" w:rsidP="003B75E0">
      <w:r>
        <w:t xml:space="preserve">Essential Energy's capital expenditure on replacing assets was higher than </w:t>
      </w:r>
      <w:r w:rsidR="00012BED">
        <w:t>forecast</w:t>
      </w:r>
      <w:r>
        <w:t xml:space="preserve"> for each year between 2010–11 and 2012–13. However its capital expenditure was lower than forecast in all other categories of expenditure (Figure 9–34). </w:t>
      </w:r>
      <w:r w:rsidRPr="0015769E">
        <w:t xml:space="preserve">Essential Energy indicated the need for network augmentation has lessened significantly due to a lower overall system peak demand than </w:t>
      </w:r>
      <w:r>
        <w:t>approved by us</w:t>
      </w:r>
      <w:r w:rsidRPr="0015769E">
        <w:t xml:space="preserve"> for the 2009</w:t>
      </w:r>
      <w:r>
        <w:t>–</w:t>
      </w:r>
      <w:r w:rsidRPr="0015769E">
        <w:t xml:space="preserve">14 regulatory control period. </w:t>
      </w:r>
    </w:p>
    <w:p w:rsidR="00AE2FC7" w:rsidRDefault="00AE2FC7" w:rsidP="00972E3F">
      <w:pPr>
        <w:pStyle w:val="Caption"/>
      </w:pPr>
      <w:r>
        <w:t>Figure 9</w:t>
      </w:r>
      <w:r w:rsidRPr="0015769E">
        <w:t>–3</w:t>
      </w:r>
      <w:r w:rsidR="00AC6003">
        <w:t>4</w:t>
      </w:r>
      <w:r w:rsidRPr="0015769E">
        <w:tab/>
        <w:t xml:space="preserve">Capital expenditure by purpose (excluding customer contributions) </w:t>
      </w:r>
      <w:r w:rsidR="007A3240">
        <w:t>–</w:t>
      </w:r>
      <w:r w:rsidRPr="0015769E">
        <w:t xml:space="preserve"> Essential Energy</w:t>
      </w:r>
    </w:p>
    <w:p w:rsidR="0054452C" w:rsidRPr="00A77DC0" w:rsidRDefault="0054452C" w:rsidP="00076BAB">
      <w:r w:rsidRPr="00A77DC0">
        <w:rPr>
          <w:noProof/>
          <w:lang w:eastAsia="en-AU"/>
        </w:rPr>
        <w:drawing>
          <wp:inline distT="0" distB="0" distL="0" distR="0" wp14:anchorId="678665E5" wp14:editId="29FFE9F8">
            <wp:extent cx="4572000" cy="2743200"/>
            <wp:effectExtent l="0" t="0" r="0" b="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E2FC7" w:rsidRPr="0015769E" w:rsidRDefault="00AE2FC7" w:rsidP="00AE2FC7">
      <w:r w:rsidRPr="0015769E">
        <w:t xml:space="preserve">Chapter 5 provides a description of how DNSPs fund their expenditure on investment projects (capital expenditure) and a comparative assessment of capital expenditure for all DNSPs in the NEM. </w:t>
      </w:r>
    </w:p>
    <w:p w:rsidR="00AE2FC7" w:rsidRPr="0015769E" w:rsidRDefault="00AE2FC7" w:rsidP="00AE2FC7">
      <w:pPr>
        <w:pStyle w:val="Heading4notnumbered"/>
      </w:pPr>
      <w:r w:rsidRPr="0015769E">
        <w:t>Regulatory asset base</w:t>
      </w:r>
    </w:p>
    <w:p w:rsidR="00AE2FC7" w:rsidRPr="0015769E" w:rsidRDefault="00AE2FC7" w:rsidP="00AE2FC7">
      <w:r w:rsidRPr="0015769E">
        <w:t>Essential Energy's RAB increased by approximately 34 per cent over the first four years of the 2009</w:t>
      </w:r>
      <w:r w:rsidR="007A3240">
        <w:t>–</w:t>
      </w:r>
      <w:r w:rsidRPr="0015769E">
        <w:t xml:space="preserve">14 regulatory control </w:t>
      </w:r>
      <w:proofErr w:type="gramStart"/>
      <w:r w:rsidRPr="0015769E">
        <w:t>period</w:t>
      </w:r>
      <w:proofErr w:type="gramEnd"/>
      <w:r w:rsidRPr="0015769E">
        <w:t>. Essential Energy's RAB was forecast to increase by 75 per cent over this period.</w:t>
      </w:r>
      <w:r w:rsidR="003B75E0">
        <w:t xml:space="preserve"> </w:t>
      </w:r>
      <w:r w:rsidRPr="0015769E">
        <w:t>Essential Energy's RAB grew from approximately $4.9 billion at the end of 2008</w:t>
      </w:r>
      <w:r w:rsidR="007A3240">
        <w:t>–</w:t>
      </w:r>
      <w:r w:rsidRPr="0015769E">
        <w:t>09 to approximately $6.6 billion at the end of 2012</w:t>
      </w:r>
      <w:r w:rsidR="007A3240">
        <w:t>–</w:t>
      </w:r>
      <w:r w:rsidRPr="0015769E">
        <w:t>13 (</w:t>
      </w:r>
      <w:r>
        <w:t>Figure 9</w:t>
      </w:r>
      <w:r w:rsidRPr="0015769E">
        <w:t>–3</w:t>
      </w:r>
      <w:r w:rsidR="00AC6003">
        <w:t>5</w:t>
      </w:r>
      <w:r w:rsidRPr="0015769E">
        <w:t xml:space="preserve">). </w:t>
      </w:r>
    </w:p>
    <w:p w:rsidR="003B75E0" w:rsidRPr="0015769E" w:rsidRDefault="003B75E0" w:rsidP="003B75E0">
      <w:r w:rsidRPr="0015769E">
        <w:t>The increasing difference between the forecast RAB and the actual value of Essential Energy's RAB is consistent with its underspending on capital over the 2009</w:t>
      </w:r>
      <w:r>
        <w:t>–</w:t>
      </w:r>
      <w:r w:rsidRPr="0015769E">
        <w:t xml:space="preserve">14 regulatory control </w:t>
      </w:r>
      <w:proofErr w:type="gramStart"/>
      <w:r w:rsidRPr="0015769E">
        <w:t>period</w:t>
      </w:r>
      <w:proofErr w:type="gramEnd"/>
      <w:r w:rsidRPr="0015769E">
        <w:t>.</w:t>
      </w:r>
    </w:p>
    <w:p w:rsidR="00AE2FC7" w:rsidRDefault="00AE2FC7" w:rsidP="00972E3F">
      <w:pPr>
        <w:pStyle w:val="Caption"/>
      </w:pPr>
      <w:r>
        <w:t>Figure 9</w:t>
      </w:r>
      <w:r w:rsidRPr="0015769E">
        <w:t>–3</w:t>
      </w:r>
      <w:r w:rsidR="00AC6003">
        <w:t>5</w:t>
      </w:r>
      <w:r w:rsidRPr="0015769E">
        <w:tab/>
        <w:t xml:space="preserve">Regulatory asset base </w:t>
      </w:r>
      <w:r w:rsidR="007A3240">
        <w:t>–</w:t>
      </w:r>
      <w:r w:rsidRPr="0015769E">
        <w:t xml:space="preserve"> Essential Energy</w:t>
      </w:r>
    </w:p>
    <w:p w:rsidR="00E14414" w:rsidRPr="00A77DC0" w:rsidRDefault="00E14414" w:rsidP="00076BAB">
      <w:r w:rsidRPr="00A77DC0">
        <w:rPr>
          <w:noProof/>
          <w:lang w:eastAsia="en-AU"/>
        </w:rPr>
        <w:drawing>
          <wp:inline distT="0" distB="0" distL="0" distR="0" wp14:anchorId="59BF9886" wp14:editId="264B26D2">
            <wp:extent cx="4733925" cy="2743200"/>
            <wp:effectExtent l="0" t="0" r="0" b="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E2FC7" w:rsidRPr="0015769E" w:rsidRDefault="00AE2FC7" w:rsidP="00AE2FC7">
      <w:pPr>
        <w:pStyle w:val="Heading4notnumbered"/>
      </w:pPr>
      <w:r w:rsidRPr="0015769E">
        <w:t>Operating expenditure</w:t>
      </w:r>
    </w:p>
    <w:p w:rsidR="00AE2FC7" w:rsidRPr="0015769E" w:rsidRDefault="00AE2FC7" w:rsidP="00AE2FC7">
      <w:r w:rsidRPr="0015769E">
        <w:t>Essential Energy's total operating expenditure over the first four years of the 2009</w:t>
      </w:r>
      <w:r w:rsidR="007A3240">
        <w:t>–</w:t>
      </w:r>
      <w:r w:rsidRPr="0015769E">
        <w:t xml:space="preserve">14 regulatory control </w:t>
      </w:r>
      <w:proofErr w:type="gramStart"/>
      <w:r w:rsidRPr="0015769E">
        <w:t>period</w:t>
      </w:r>
      <w:proofErr w:type="gramEnd"/>
      <w:r w:rsidRPr="0015769E">
        <w:t xml:space="preserve"> was within 1 per cent of </w:t>
      </w:r>
      <w:r w:rsidR="00DD4FC1">
        <w:t>our approved</w:t>
      </w:r>
      <w:r w:rsidRPr="0015769E">
        <w:t xml:space="preserve"> forecast (</w:t>
      </w:r>
      <w:r>
        <w:t>Figure 9</w:t>
      </w:r>
      <w:r w:rsidRPr="0015769E">
        <w:t>–3</w:t>
      </w:r>
      <w:r w:rsidR="00AC6003">
        <w:t>6</w:t>
      </w:r>
      <w:r w:rsidRPr="0015769E">
        <w:t>). However, this was the result of Essential Energy's underspending in 2009</w:t>
      </w:r>
      <w:r w:rsidR="007A3240">
        <w:t>–</w:t>
      </w:r>
      <w:r w:rsidRPr="0015769E">
        <w:t>10 and 2010</w:t>
      </w:r>
      <w:r w:rsidR="003B75E0">
        <w:t>–</w:t>
      </w:r>
      <w:r w:rsidRPr="0015769E">
        <w:t>11 offsetting its overspending in 2011</w:t>
      </w:r>
      <w:r w:rsidR="007A3240">
        <w:t>–</w:t>
      </w:r>
      <w:r w:rsidRPr="0015769E">
        <w:t>12.</w:t>
      </w:r>
    </w:p>
    <w:p w:rsidR="003B75E0" w:rsidRPr="0015769E" w:rsidRDefault="003B75E0" w:rsidP="003B75E0">
      <w:r w:rsidRPr="0015769E">
        <w:t xml:space="preserve">Essential Energy indicated the bushfires in Victoria and the resulting Royal Commission into network assets highlighted the need to focus on vegetation management and ensure clearances are being maintained. It stated this resulted in expenditure on vegetation being $40 million ($Dec 2013) above </w:t>
      </w:r>
      <w:r>
        <w:t>our</w:t>
      </w:r>
      <w:r w:rsidRPr="0015769E">
        <w:t xml:space="preserve"> approved 2011</w:t>
      </w:r>
      <w:r>
        <w:t>–</w:t>
      </w:r>
      <w:r w:rsidRPr="0015769E">
        <w:t>12 allowance. Essential Energy advised that vegetation management activities continued to expand in 2012</w:t>
      </w:r>
      <w:r>
        <w:t>–</w:t>
      </w:r>
      <w:r w:rsidRPr="0015769E">
        <w:t>13, with expenditure increasing to $70 million ($Dec 2013) above the AER approved allowance.</w:t>
      </w:r>
    </w:p>
    <w:p w:rsidR="00AE2FC7" w:rsidRDefault="00AE2FC7" w:rsidP="00972E3F">
      <w:pPr>
        <w:pStyle w:val="Caption"/>
      </w:pPr>
      <w:r>
        <w:t>Figure 9</w:t>
      </w:r>
      <w:r w:rsidRPr="0015769E">
        <w:t>–3</w:t>
      </w:r>
      <w:r w:rsidR="00AC6003">
        <w:t>6</w:t>
      </w:r>
      <w:r w:rsidRPr="0015769E">
        <w:tab/>
        <w:t xml:space="preserve">Operating expenditure </w:t>
      </w:r>
      <w:r w:rsidR="007A3240">
        <w:t>–</w:t>
      </w:r>
      <w:r w:rsidRPr="0015769E">
        <w:t xml:space="preserve"> Essential Energy</w:t>
      </w:r>
    </w:p>
    <w:p w:rsidR="00E14414" w:rsidRPr="00A77DC0" w:rsidRDefault="00E14414" w:rsidP="00076BAB">
      <w:r w:rsidRPr="00A77DC0">
        <w:rPr>
          <w:noProof/>
          <w:lang w:eastAsia="en-AU"/>
        </w:rPr>
        <w:drawing>
          <wp:inline distT="0" distB="0" distL="0" distR="0" wp14:anchorId="2C1D0D79" wp14:editId="719AA3DC">
            <wp:extent cx="4572000" cy="2743200"/>
            <wp:effectExtent l="0" t="0" r="0" b="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E2FC7" w:rsidRPr="0015769E" w:rsidRDefault="00AE2FC7" w:rsidP="00AE2FC7">
      <w:r w:rsidRPr="0015769E">
        <w:t xml:space="preserve">Chapter 6 </w:t>
      </w:r>
      <w:r w:rsidR="009E3ACF">
        <w:t xml:space="preserve">contains our </w:t>
      </w:r>
      <w:r w:rsidRPr="0015769E">
        <w:t xml:space="preserve">assessment of operating expenditure for all DNSPs in the NEM. </w:t>
      </w:r>
    </w:p>
    <w:p w:rsidR="00AE2FC7" w:rsidRPr="0015769E" w:rsidRDefault="00AE2FC7" w:rsidP="00AE2FC7">
      <w:pPr>
        <w:pStyle w:val="Heading4notnumbered"/>
      </w:pPr>
      <w:r w:rsidRPr="0015769E">
        <w:t>Revenue</w:t>
      </w:r>
    </w:p>
    <w:p w:rsidR="00AE2FC7" w:rsidRPr="0015769E" w:rsidRDefault="00DD4FC1" w:rsidP="00AE2FC7">
      <w:r>
        <w:t>Our</w:t>
      </w:r>
      <w:r w:rsidR="00AE2FC7" w:rsidRPr="0015769E">
        <w:t xml:space="preserve"> 2009 distribution determination applied a weighted average price cap (WAPC) form of control to Essential Energy's standard control services over the 2009</w:t>
      </w:r>
      <w:r w:rsidR="007A3240">
        <w:t>–</w:t>
      </w:r>
      <w:r w:rsidR="00AE2FC7" w:rsidRPr="0015769E">
        <w:t xml:space="preserve">14 regulatory control </w:t>
      </w:r>
      <w:proofErr w:type="gramStart"/>
      <w:r w:rsidR="00AE2FC7" w:rsidRPr="0015769E">
        <w:t>period</w:t>
      </w:r>
      <w:proofErr w:type="gramEnd"/>
      <w:r w:rsidR="00AE2FC7" w:rsidRPr="0015769E">
        <w:t>. A WAPC imposes controls over the prices a DNSP may charge for its services.</w:t>
      </w:r>
    </w:p>
    <w:p w:rsidR="00AE2FC7" w:rsidRPr="0015769E" w:rsidRDefault="00AE2FC7" w:rsidP="00AE2FC7">
      <w:r w:rsidRPr="0015769E">
        <w:t>Essential Energy's total revenue earned for standard control services over the first four years of the 2009</w:t>
      </w:r>
      <w:r w:rsidR="007A3240">
        <w:t>–</w:t>
      </w:r>
      <w:r w:rsidRPr="0015769E">
        <w:t xml:space="preserve">14 regulatory control period was within 1 per cent of </w:t>
      </w:r>
      <w:r w:rsidR="00DD4FC1">
        <w:t>our approved</w:t>
      </w:r>
      <w:r w:rsidRPr="0015769E">
        <w:t xml:space="preserve"> forecast (</w:t>
      </w:r>
      <w:r>
        <w:t>Figure 9</w:t>
      </w:r>
      <w:r w:rsidRPr="0015769E">
        <w:t>–</w:t>
      </w:r>
      <w:r w:rsidR="00AC6003">
        <w:t>37</w:t>
      </w:r>
      <w:r w:rsidRPr="0015769E">
        <w:t>).</w:t>
      </w:r>
    </w:p>
    <w:p w:rsidR="00AE2FC7" w:rsidRDefault="00AE2FC7" w:rsidP="00972E3F">
      <w:pPr>
        <w:pStyle w:val="Caption"/>
      </w:pPr>
      <w:r>
        <w:t>Figure 9</w:t>
      </w:r>
      <w:r w:rsidRPr="0015769E">
        <w:t>–</w:t>
      </w:r>
      <w:r w:rsidR="00AC6003">
        <w:t>37</w:t>
      </w:r>
      <w:r w:rsidRPr="0015769E">
        <w:tab/>
        <w:t xml:space="preserve">Revenue </w:t>
      </w:r>
      <w:r w:rsidR="007A3240">
        <w:t>–</w:t>
      </w:r>
      <w:r w:rsidRPr="0015769E">
        <w:t xml:space="preserve"> Essential Energy</w:t>
      </w:r>
    </w:p>
    <w:p w:rsidR="00E14414" w:rsidRPr="00A77DC0" w:rsidRDefault="00E14414" w:rsidP="00076BAB">
      <w:r w:rsidRPr="00A77DC0">
        <w:rPr>
          <w:noProof/>
          <w:lang w:eastAsia="en-AU"/>
        </w:rPr>
        <w:drawing>
          <wp:inline distT="0" distB="0" distL="0" distR="0" wp14:anchorId="548D2502" wp14:editId="45D1A1C1">
            <wp:extent cx="4572000" cy="2743200"/>
            <wp:effectExtent l="0" t="0" r="0" b="0"/>
            <wp:docPr id="372" name="Chart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906AD" w:rsidRPr="0015769E" w:rsidRDefault="00D906AD" w:rsidP="00D906AD">
      <w:r w:rsidRPr="0015769E">
        <w:t xml:space="preserve">Essential Energy stated its tariffs are set in accordance with the National Electricity Rules and </w:t>
      </w:r>
      <w:r>
        <w:t>our distribution</w:t>
      </w:r>
      <w:r w:rsidRPr="0015769E">
        <w:t xml:space="preserve"> determination. It noted distribution prices will, depending on volume considerations, generate revenues that cover the efficient cost of owning, maintaining, operating and augmenting the network.</w:t>
      </w:r>
    </w:p>
    <w:p w:rsidR="00AE2FC7" w:rsidRPr="0015769E" w:rsidRDefault="00AE2FC7" w:rsidP="00AE2FC7">
      <w:r w:rsidRPr="0015769E">
        <w:t xml:space="preserve">Chapter 7 provides further information on the WAPC control mechanism </w:t>
      </w:r>
      <w:r w:rsidR="00AB11E6">
        <w:t xml:space="preserve">as well as our comparative </w:t>
      </w:r>
      <w:r w:rsidRPr="0015769E">
        <w:t xml:space="preserve">assessment of revenue for all DNSPs in the NEM. </w:t>
      </w:r>
    </w:p>
    <w:p w:rsidR="00AE2FC7" w:rsidRDefault="00AE2FC7" w:rsidP="00CA4BC2">
      <w:pPr>
        <w:pStyle w:val="Heading3"/>
      </w:pPr>
      <w:bookmarkStart w:id="304" w:name="_Toc409771660"/>
      <w:bookmarkStart w:id="305" w:name="_Toc412790609"/>
      <w:bookmarkStart w:id="306" w:name="_Toc413062090"/>
      <w:bookmarkStart w:id="307" w:name="_Toc413311091"/>
      <w:bookmarkStart w:id="308" w:name="_Toc423086507"/>
      <w:r>
        <w:t>Financial performance</w:t>
      </w:r>
      <w:bookmarkEnd w:id="304"/>
      <w:bookmarkEnd w:id="305"/>
      <w:bookmarkEnd w:id="306"/>
      <w:bookmarkEnd w:id="307"/>
      <w:bookmarkEnd w:id="308"/>
    </w:p>
    <w:p w:rsidR="00AE2FC7" w:rsidRPr="0015769E" w:rsidRDefault="00AE2FC7" w:rsidP="00AE2FC7">
      <w:r w:rsidRPr="0015769E">
        <w:t>Essential Energy's average EBIT for standard control services was approximately 38 per cent of its total revenue earned for standard control services over 2010</w:t>
      </w:r>
      <w:r w:rsidR="007A3240">
        <w:t>–</w:t>
      </w:r>
      <w:r w:rsidRPr="0015769E">
        <w:t xml:space="preserve">13. </w:t>
      </w:r>
      <w:r w:rsidR="00525C94" w:rsidRPr="00CB73C1">
        <w:t xml:space="preserve">The EBIT in </w:t>
      </w:r>
      <w:r w:rsidR="00525C94">
        <w:t>Figure 9</w:t>
      </w:r>
      <w:r w:rsidR="00525C94" w:rsidRPr="00CB73C1">
        <w:t>–</w:t>
      </w:r>
      <w:r w:rsidR="00525C94">
        <w:t>38</w:t>
      </w:r>
      <w:r w:rsidR="00525C94" w:rsidRPr="00CB73C1">
        <w:t xml:space="preserve"> includes depreciation and amortisation</w:t>
      </w:r>
      <w:r w:rsidR="00525C94">
        <w:t xml:space="preserve"> and should not be used as a definitive measure of core profitability</w:t>
      </w:r>
      <w:r w:rsidR="00525C94" w:rsidRPr="00CB73C1">
        <w:t>.</w:t>
      </w:r>
    </w:p>
    <w:p w:rsidR="008B4F12" w:rsidRPr="0015769E" w:rsidRDefault="008B4F12" w:rsidP="008B4F12">
      <w:r w:rsidRPr="0015769E">
        <w:t>Essential Energy indicated its operating profit for the 2010</w:t>
      </w:r>
      <w:r>
        <w:t>–</w:t>
      </w:r>
      <w:r w:rsidRPr="0015769E">
        <w:t>11 year was lower than expected due to lower than forecast revenue and higher than average depreciation for the year. A revaluation of system assets was done at the end of 2010 which increased the value of system assets by $1.2 billion with 2010</w:t>
      </w:r>
      <w:r>
        <w:t>–</w:t>
      </w:r>
      <w:r w:rsidRPr="0015769E">
        <w:t>11 being the first full year of depreciation on the higher system asset base.</w:t>
      </w:r>
      <w:r w:rsidRPr="008B4F12">
        <w:t xml:space="preserve"> </w:t>
      </w:r>
      <w:r w:rsidRPr="0015769E">
        <w:t>Profits for the following years increased with revenue and depreciation closer to the levels expected.</w:t>
      </w:r>
    </w:p>
    <w:p w:rsidR="00AE2FC7" w:rsidRDefault="00AE2FC7" w:rsidP="00972E3F">
      <w:pPr>
        <w:pStyle w:val="Caption"/>
      </w:pPr>
      <w:r>
        <w:t>Figure 9</w:t>
      </w:r>
      <w:r w:rsidRPr="0015769E">
        <w:t>–</w:t>
      </w:r>
      <w:r w:rsidR="00A136C6">
        <w:t>38</w:t>
      </w:r>
      <w:r w:rsidR="00E14414">
        <w:tab/>
      </w:r>
      <w:r w:rsidR="00E96C0F" w:rsidRPr="00CB73C1">
        <w:t>E</w:t>
      </w:r>
      <w:r w:rsidR="00E96C0F">
        <w:t>arnings before interest and tax</w:t>
      </w:r>
      <w:r w:rsidR="00E14414">
        <w:t xml:space="preserve"> – </w:t>
      </w:r>
      <w:r w:rsidRPr="0015769E">
        <w:t>Essential Energy</w:t>
      </w:r>
    </w:p>
    <w:p w:rsidR="00E14414" w:rsidRPr="00A77DC0" w:rsidRDefault="00E14414" w:rsidP="00076BAB">
      <w:r w:rsidRPr="00A77DC0">
        <w:rPr>
          <w:noProof/>
          <w:lang w:eastAsia="en-AU"/>
        </w:rPr>
        <w:drawing>
          <wp:inline distT="0" distB="0" distL="0" distR="0" wp14:anchorId="163755C3" wp14:editId="63E1DBDA">
            <wp:extent cx="4572000" cy="2743200"/>
            <wp:effectExtent l="0" t="0" r="0" b="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E2FC7" w:rsidRPr="00D741EC" w:rsidRDefault="00AE2FC7" w:rsidP="00CA4BC2">
      <w:pPr>
        <w:pStyle w:val="Heading3"/>
      </w:pPr>
      <w:bookmarkStart w:id="309" w:name="_Toc409771661"/>
      <w:bookmarkStart w:id="310" w:name="_Toc412790610"/>
      <w:bookmarkStart w:id="311" w:name="_Toc413062091"/>
      <w:bookmarkStart w:id="312" w:name="_Toc413311092"/>
      <w:bookmarkStart w:id="313" w:name="_Toc423086508"/>
      <w:r>
        <w:t>Service performance</w:t>
      </w:r>
      <w:bookmarkEnd w:id="309"/>
      <w:bookmarkEnd w:id="310"/>
      <w:bookmarkEnd w:id="311"/>
      <w:bookmarkEnd w:id="312"/>
      <w:bookmarkEnd w:id="313"/>
    </w:p>
    <w:p w:rsidR="00AE2FC7" w:rsidRPr="0015769E" w:rsidRDefault="00AE2FC7" w:rsidP="00AE2FC7">
      <w:pPr>
        <w:pStyle w:val="Heading4notnumbered"/>
      </w:pPr>
      <w:r w:rsidRPr="0015769E">
        <w:t>Total interruptions to supply</w:t>
      </w:r>
    </w:p>
    <w:p w:rsidR="00AE2FC7" w:rsidRPr="0015769E" w:rsidRDefault="00AE2FC7" w:rsidP="00AE2FC7">
      <w:r w:rsidRPr="0015769E">
        <w:t>Total interruptions to supply reflect the total impact of both planned and unplanned interruptions (</w:t>
      </w:r>
      <w:r>
        <w:t>Figure 9</w:t>
      </w:r>
      <w:r w:rsidRPr="0015769E">
        <w:t>–</w:t>
      </w:r>
      <w:r w:rsidR="00AC6003">
        <w:t>39</w:t>
      </w:r>
      <w:r w:rsidRPr="0015769E">
        <w:t xml:space="preserve">). This measure reflects </w:t>
      </w:r>
      <w:r w:rsidR="001368B1">
        <w:t>the actual experience of</w:t>
      </w:r>
      <w:r w:rsidR="001368B1" w:rsidRPr="00CB73C1">
        <w:t xml:space="preserve"> the average </w:t>
      </w:r>
      <w:r w:rsidRPr="0015769E">
        <w:t>Essential Energy customer.</w:t>
      </w:r>
      <w:r w:rsidR="00CC0E3F">
        <w:t xml:space="preserve"> </w:t>
      </w:r>
      <w:r w:rsidRPr="0015769E">
        <w:t xml:space="preserve">Total interruptions to supply include the effect of any interruptions considered to be excluded events in </w:t>
      </w:r>
      <w:r w:rsidR="00DD4FC1">
        <w:t>our</w:t>
      </w:r>
      <w:r w:rsidRPr="0015769E">
        <w:t xml:space="preserve"> STPIS. </w:t>
      </w:r>
    </w:p>
    <w:p w:rsidR="00AE2FC7" w:rsidRDefault="00AE2FC7" w:rsidP="00972E3F">
      <w:pPr>
        <w:pStyle w:val="Caption"/>
      </w:pPr>
      <w:r>
        <w:t>Figure 9</w:t>
      </w:r>
      <w:r w:rsidRPr="0015769E">
        <w:t>–</w:t>
      </w:r>
      <w:r w:rsidR="00AC6003">
        <w:t>39</w:t>
      </w:r>
      <w:r w:rsidRPr="0015769E">
        <w:tab/>
        <w:t xml:space="preserve">Total interruptions to supply </w:t>
      </w:r>
      <w:r w:rsidR="007A3240">
        <w:t>–</w:t>
      </w:r>
      <w:r w:rsidRPr="0015769E">
        <w:t xml:space="preserve"> Essential Energy</w:t>
      </w:r>
    </w:p>
    <w:p w:rsidR="00972551" w:rsidRDefault="00E14414" w:rsidP="00076BAB">
      <w:r w:rsidRPr="00A77DC0">
        <w:rPr>
          <w:noProof/>
          <w:lang w:eastAsia="en-AU"/>
        </w:rPr>
        <w:drawing>
          <wp:inline distT="0" distB="0" distL="0" distR="0" wp14:anchorId="6ABC1502" wp14:editId="4C7ECD42">
            <wp:extent cx="2743200" cy="16452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3200" cy="1645200"/>
                    </a:xfrm>
                    <a:prstGeom prst="rect">
                      <a:avLst/>
                    </a:prstGeom>
                    <a:noFill/>
                  </pic:spPr>
                </pic:pic>
              </a:graphicData>
            </a:graphic>
          </wp:inline>
        </w:drawing>
      </w:r>
      <w:r w:rsidRPr="00076BAB">
        <w:rPr>
          <w:noProof/>
          <w:lang w:eastAsia="en-AU"/>
        </w:rPr>
        <w:drawing>
          <wp:inline distT="0" distB="0" distL="0" distR="0" wp14:anchorId="37954D85" wp14:editId="75CBBA69">
            <wp:extent cx="2743200" cy="16416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1641600"/>
                    </a:xfrm>
                    <a:prstGeom prst="rect">
                      <a:avLst/>
                    </a:prstGeom>
                    <a:noFill/>
                  </pic:spPr>
                </pic:pic>
              </a:graphicData>
            </a:graphic>
          </wp:inline>
        </w:drawing>
      </w:r>
      <w:r w:rsidR="00CC0E3F">
        <w:t xml:space="preserve"> </w:t>
      </w:r>
      <w:r w:rsidR="00AC6003">
        <w:t xml:space="preserve">  </w:t>
      </w:r>
      <w:r w:rsidR="00AC6003" w:rsidRPr="00AC6003">
        <w:rPr>
          <w:noProof/>
          <w:lang w:eastAsia="en-AU"/>
        </w:rPr>
        <w:drawing>
          <wp:inline distT="0" distB="0" distL="0" distR="0" wp14:anchorId="23BB38D8" wp14:editId="6080831E">
            <wp:extent cx="5731510" cy="1072821"/>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1072821"/>
                    </a:xfrm>
                    <a:prstGeom prst="rect">
                      <a:avLst/>
                    </a:prstGeom>
                    <a:noFill/>
                    <a:ln>
                      <a:noFill/>
                    </a:ln>
                  </pic:spPr>
                </pic:pic>
              </a:graphicData>
            </a:graphic>
          </wp:inline>
        </w:drawing>
      </w:r>
    </w:p>
    <w:p w:rsidR="00AE2FC7" w:rsidRPr="0015769E" w:rsidRDefault="00AE2FC7" w:rsidP="009D670D">
      <w:pPr>
        <w:pStyle w:val="Heading4notnumbered"/>
      </w:pPr>
      <w:r w:rsidRPr="0015769E">
        <w:t>Service Target Performance Incentive Scheme</w:t>
      </w:r>
    </w:p>
    <w:p w:rsidR="00AE2FC7" w:rsidRPr="0015769E" w:rsidRDefault="00C5520B" w:rsidP="00AE2FC7">
      <w:r>
        <w:t xml:space="preserve">We </w:t>
      </w:r>
      <w:r w:rsidR="009D670D">
        <w:t>appl</w:t>
      </w:r>
      <w:r w:rsidR="00357044">
        <w:t>ied</w:t>
      </w:r>
      <w:r w:rsidR="009D670D">
        <w:t xml:space="preserve"> </w:t>
      </w:r>
      <w:r w:rsidR="00AE2FC7" w:rsidRPr="0015769E">
        <w:t>the national distribution STPIS to Essential Energy from 1 July 2015 as part of the 2015 distribution determination.</w:t>
      </w:r>
    </w:p>
    <w:p w:rsidR="00AE2FC7" w:rsidRPr="0015769E" w:rsidRDefault="00AE2FC7" w:rsidP="00AE2FC7">
      <w:r w:rsidRPr="0015769E">
        <w:t xml:space="preserve">The following section shows the effect of (normalised) unplanned interruptions to supply on customers on Essential Energy's network. </w:t>
      </w:r>
    </w:p>
    <w:p w:rsidR="00AE2FC7" w:rsidRPr="0015769E" w:rsidRDefault="00AE2FC7" w:rsidP="00AE2FC7">
      <w:pPr>
        <w:pStyle w:val="Heading4notnumbered"/>
      </w:pPr>
      <w:r w:rsidRPr="0015769E">
        <w:t>Network reliability (normalised)</w:t>
      </w:r>
    </w:p>
    <w:p w:rsidR="00AE2FC7" w:rsidRPr="0015769E" w:rsidRDefault="00AE2FC7" w:rsidP="00AE2FC7">
      <w:r w:rsidRPr="0015769E">
        <w:t>In 2012</w:t>
      </w:r>
      <w:r w:rsidR="007A3240">
        <w:t>–</w:t>
      </w:r>
      <w:r w:rsidRPr="0015769E">
        <w:t>13 the average Essential Energy customer experienced:</w:t>
      </w:r>
    </w:p>
    <w:p w:rsidR="00AE2FC7" w:rsidRPr="0015769E" w:rsidRDefault="008B4F12" w:rsidP="009D670D">
      <w:pPr>
        <w:pStyle w:val="ListBullet"/>
      </w:pPr>
      <w:r>
        <w:t>l</w:t>
      </w:r>
      <w:r w:rsidR="00AE2FC7" w:rsidRPr="0015769E">
        <w:t xml:space="preserve">ess than 1 per cent more unplanned (normalised) minutes off supply than over the previous five years </w:t>
      </w:r>
    </w:p>
    <w:p w:rsidR="00AE2FC7" w:rsidRPr="0015769E" w:rsidRDefault="00AE2FC7" w:rsidP="009D670D">
      <w:pPr>
        <w:pStyle w:val="ListBullet"/>
      </w:pPr>
      <w:r w:rsidRPr="0015769E">
        <w:t>14 per cent fewer unplanned (normalised) interruptions to supply than over the previous five years (</w:t>
      </w:r>
      <w:r>
        <w:t>Figure 9</w:t>
      </w:r>
      <w:r w:rsidRPr="0015769E">
        <w:t>–</w:t>
      </w:r>
      <w:r w:rsidR="00AC6003">
        <w:t>40</w:t>
      </w:r>
      <w:r w:rsidRPr="0015769E">
        <w:t>).</w:t>
      </w:r>
    </w:p>
    <w:p w:rsidR="00AE2FC7" w:rsidRPr="0015769E" w:rsidRDefault="00AE2FC7" w:rsidP="00AE2FC7">
      <w:r w:rsidRPr="0015769E">
        <w:t xml:space="preserve">It should be noted the reliability information presented in </w:t>
      </w:r>
      <w:r>
        <w:t>Figure 9</w:t>
      </w:r>
      <w:r w:rsidRPr="0015769E">
        <w:t>–4</w:t>
      </w:r>
      <w:r w:rsidR="00C5520B">
        <w:t>0</w:t>
      </w:r>
      <w:r w:rsidRPr="0015769E">
        <w:t xml:space="preserve"> combines information from the previous jurisdictional scheme and the AER's STPIS. These schemes differ in detail and therefore the information is not directly comparable. However, the reliability outcomes are presented to provide broad trend information regarding Essential Energy's service performance.</w:t>
      </w:r>
    </w:p>
    <w:p w:rsidR="00D906AD" w:rsidRDefault="008B4F12" w:rsidP="00972551">
      <w:r w:rsidRPr="0015769E">
        <w:t>Essential Energy indicated its network is primarily overhead, and as such performance is heavily dependent on the weather. Storm activity generally affects its rural feeders more than its urban feeders. The main reasons for this are the increased travelling time to get to outages on rural feeders and the relative inability to provide an alternate source of supply for customers on these feeders.</w:t>
      </w:r>
    </w:p>
    <w:p w:rsidR="00AE2FC7" w:rsidRDefault="00AE2FC7" w:rsidP="00972E3F">
      <w:pPr>
        <w:pStyle w:val="Caption"/>
      </w:pPr>
      <w:r>
        <w:t>Figure 9</w:t>
      </w:r>
      <w:r w:rsidRPr="0015769E">
        <w:t>–4</w:t>
      </w:r>
      <w:r w:rsidR="00AC6003">
        <w:t>0</w:t>
      </w:r>
      <w:r w:rsidRPr="0015769E">
        <w:tab/>
      </w:r>
      <w:proofErr w:type="gramStart"/>
      <w:r w:rsidRPr="0015769E">
        <w:t>Unplanned</w:t>
      </w:r>
      <w:proofErr w:type="gramEnd"/>
      <w:r w:rsidRPr="0015769E">
        <w:t xml:space="preserve"> interruptions to supply (normalised) </w:t>
      </w:r>
      <w:r w:rsidR="007A3240">
        <w:t>–</w:t>
      </w:r>
      <w:r w:rsidRPr="0015769E">
        <w:t xml:space="preserve"> Essential Energy</w:t>
      </w:r>
    </w:p>
    <w:p w:rsidR="00E14414" w:rsidRPr="00A77DC0" w:rsidRDefault="00E14414" w:rsidP="00076BAB">
      <w:r w:rsidRPr="00A77DC0">
        <w:rPr>
          <w:noProof/>
          <w:lang w:eastAsia="en-AU"/>
        </w:rPr>
        <w:drawing>
          <wp:inline distT="0" distB="0" distL="0" distR="0" wp14:anchorId="3D330F22" wp14:editId="6AD86124">
            <wp:extent cx="2743200" cy="16452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3200" cy="1645200"/>
                    </a:xfrm>
                    <a:prstGeom prst="rect">
                      <a:avLst/>
                    </a:prstGeom>
                    <a:noFill/>
                  </pic:spPr>
                </pic:pic>
              </a:graphicData>
            </a:graphic>
          </wp:inline>
        </w:drawing>
      </w:r>
      <w:r w:rsidRPr="00076BAB">
        <w:rPr>
          <w:noProof/>
          <w:lang w:eastAsia="en-AU"/>
        </w:rPr>
        <w:drawing>
          <wp:inline distT="0" distB="0" distL="0" distR="0" wp14:anchorId="0A13A176" wp14:editId="2E25D741">
            <wp:extent cx="2739600" cy="1645200"/>
            <wp:effectExtent l="0" t="0" r="381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39600" cy="1645200"/>
                    </a:xfrm>
                    <a:prstGeom prst="rect">
                      <a:avLst/>
                    </a:prstGeom>
                    <a:noFill/>
                  </pic:spPr>
                </pic:pic>
              </a:graphicData>
            </a:graphic>
          </wp:inline>
        </w:drawing>
      </w:r>
    </w:p>
    <w:p w:rsidR="00E14414" w:rsidRDefault="00AC6003" w:rsidP="00AE2FC7">
      <w:r w:rsidRPr="00AC6003">
        <w:rPr>
          <w:noProof/>
          <w:lang w:eastAsia="en-AU"/>
        </w:rPr>
        <w:drawing>
          <wp:inline distT="0" distB="0" distL="0" distR="0" wp14:anchorId="7CBF929B" wp14:editId="5C6834C6">
            <wp:extent cx="5731510" cy="770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770250"/>
                    </a:xfrm>
                    <a:prstGeom prst="rect">
                      <a:avLst/>
                    </a:prstGeom>
                    <a:noFill/>
                    <a:ln>
                      <a:noFill/>
                    </a:ln>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r w:rsidRPr="00AE2FC7">
        <w:br w:type="page"/>
      </w:r>
    </w:p>
    <w:bookmarkStart w:id="314" w:name="_Toc409771663"/>
    <w:bookmarkStart w:id="315" w:name="_Toc412790612"/>
    <w:bookmarkStart w:id="316" w:name="_Toc413062093"/>
    <w:bookmarkStart w:id="317" w:name="_Toc409771662"/>
    <w:bookmarkStart w:id="318" w:name="_Toc423086509"/>
    <w:p w:rsidR="00AE2FC7" w:rsidRDefault="00BC41E5" w:rsidP="00592413">
      <w:pPr>
        <w:pStyle w:val="Heading2"/>
      </w:pPr>
      <w:r w:rsidRPr="00C57777">
        <w:rPr>
          <w:noProof/>
          <w:lang w:eastAsia="en-AU"/>
        </w:rPr>
        <mc:AlternateContent>
          <mc:Choice Requires="wps">
            <w:drawing>
              <wp:anchor distT="0" distB="0" distL="114300" distR="114300" simplePos="0" relativeHeight="251673600" behindDoc="1" locked="0" layoutInCell="1" allowOverlap="1" wp14:anchorId="24BD827F" wp14:editId="15441190">
                <wp:simplePos x="0" y="0"/>
                <wp:positionH relativeFrom="column">
                  <wp:posOffset>-266065</wp:posOffset>
                </wp:positionH>
                <wp:positionV relativeFrom="paragraph">
                  <wp:posOffset>346710</wp:posOffset>
                </wp:positionV>
                <wp:extent cx="6259195" cy="8395335"/>
                <wp:effectExtent l="19050" t="19050" r="27305" b="24765"/>
                <wp:wrapTight wrapText="bothSides">
                  <wp:wrapPolygon edited="0">
                    <wp:start x="-66" y="-49"/>
                    <wp:lineTo x="-66" y="21615"/>
                    <wp:lineTo x="21628" y="21615"/>
                    <wp:lineTo x="21628" y="-49"/>
                    <wp:lineTo x="-66" y="-49"/>
                  </wp:wrapPolygon>
                </wp:wrapTight>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395335"/>
                        </a:xfrm>
                        <a:prstGeom prst="rect">
                          <a:avLst/>
                        </a:prstGeom>
                        <a:noFill/>
                        <a:ln w="44450">
                          <a:solidFill>
                            <a:srgbClr val="BD0026"/>
                          </a:solidFill>
                          <a:miter lim="800000"/>
                          <a:headEnd/>
                          <a:tailEnd/>
                        </a:ln>
                      </wps:spPr>
                      <wps:txbx>
                        <w:txbxContent>
                          <w:p w:rsidR="00AD3D0C" w:rsidRDefault="00AD3D0C" w:rsidP="00C57777">
                            <w:pPr>
                              <w:pStyle w:val="Heading3notnumbered"/>
                            </w:pPr>
                            <w:bookmarkStart w:id="319" w:name="_Toc413311094"/>
                            <w:bookmarkStart w:id="320" w:name="_Toc423086510"/>
                            <w:r>
                              <w:t>Network characteristics</w:t>
                            </w:r>
                            <w:bookmarkEnd w:id="319"/>
                            <w:bookmarkEnd w:id="320"/>
                          </w:p>
                          <w:p w:rsidR="00AD3D0C" w:rsidRPr="00C312BC" w:rsidRDefault="00AD3D0C" w:rsidP="00C57777">
                            <w:r w:rsidRPr="00E96856">
                              <w:rPr>
                                <w:rStyle w:val="Strong"/>
                              </w:rPr>
                              <w:t>Ownership:</w:t>
                            </w:r>
                            <w:r>
                              <w:t xml:space="preserve">  Queensland Government Owned Corporation</w:t>
                            </w:r>
                            <w:r w:rsidRPr="00C312BC">
                              <w:t xml:space="preserve"> </w:t>
                            </w:r>
                          </w:p>
                          <w:p w:rsidR="00AD3D0C" w:rsidRPr="00C312BC" w:rsidRDefault="00AD3D0C" w:rsidP="00C57777">
                            <w:r w:rsidRPr="00E96856">
                              <w:rPr>
                                <w:rStyle w:val="Strong"/>
                              </w:rPr>
                              <w:t>Relevant regulatory control period</w:t>
                            </w:r>
                            <w:r w:rsidRPr="00C312BC">
                              <w:t>:</w:t>
                            </w:r>
                            <w:r w:rsidRPr="00E96856">
                              <w:t xml:space="preserve"> </w:t>
                            </w:r>
                            <w:r w:rsidRPr="007834DE">
                              <w:t xml:space="preserve">1 </w:t>
                            </w:r>
                            <w:r>
                              <w:t>July 2010 –</w:t>
                            </w:r>
                            <w:r w:rsidRPr="00CB73C1">
                              <w:t xml:space="preserve"> 30 June 20</w:t>
                            </w:r>
                            <w:r>
                              <w:t>15</w:t>
                            </w:r>
                          </w:p>
                          <w:p w:rsidR="00AD3D0C" w:rsidRPr="00E96856" w:rsidRDefault="00AD3D0C" w:rsidP="00C57777">
                            <w:pPr>
                              <w:rPr>
                                <w:rStyle w:val="Strong"/>
                              </w:rPr>
                            </w:pPr>
                            <w:r w:rsidRPr="00E96856">
                              <w:rPr>
                                <w:rStyle w:val="Strong"/>
                              </w:rPr>
                              <w:t>Network profile</w:t>
                            </w:r>
                            <w:r>
                              <w:rPr>
                                <w:rStyle w:val="Strong"/>
                              </w:rPr>
                              <w:t xml:space="preserve"> 2012-13</w:t>
                            </w:r>
                          </w:p>
                          <w:p w:rsidR="00AD3D0C" w:rsidRDefault="00AD3D0C" w:rsidP="00C57777">
                            <w:pPr>
                              <w:pStyle w:val="TableofFigures"/>
                            </w:pPr>
                            <w:r>
                              <w:t xml:space="preserve">  Total distribution customers:</w:t>
                            </w:r>
                            <w:r w:rsidRPr="00C312BC">
                              <w:t xml:space="preserve"> </w:t>
                            </w:r>
                            <w:r w:rsidRPr="00C312BC">
                              <w:tab/>
                            </w:r>
                            <w:r>
                              <w:tab/>
                            </w:r>
                            <w:r>
                              <w:tab/>
                              <w:t>1,342,594</w:t>
                            </w:r>
                          </w:p>
                          <w:p w:rsidR="00AD3D0C" w:rsidRPr="00C312BC" w:rsidRDefault="00AD3D0C" w:rsidP="00C57777">
                            <w:pPr>
                              <w:pStyle w:val="TableofFigures"/>
                            </w:pPr>
                            <w:r w:rsidRPr="00E96856">
                              <w:t xml:space="preserve"> </w:t>
                            </w:r>
                            <w:r w:rsidRPr="00BC41E5">
                              <w:rPr>
                                <w:noProof/>
                                <w:lang w:eastAsia="en-AU"/>
                              </w:rPr>
                              <w:drawing>
                                <wp:inline distT="0" distB="0" distL="0" distR="0" wp14:anchorId="7FA316FD" wp14:editId="2EB5F4ED">
                                  <wp:extent cx="4564800" cy="957600"/>
                                  <wp:effectExtent l="0" t="0" r="762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64800" cy="957600"/>
                                          </a:xfrm>
                                          <a:prstGeom prst="rect">
                                            <a:avLst/>
                                          </a:prstGeom>
                                          <a:noFill/>
                                        </pic:spPr>
                                      </pic:pic>
                                    </a:graphicData>
                                  </a:graphic>
                                </wp:inline>
                              </w:drawing>
                            </w:r>
                          </w:p>
                          <w:p w:rsidR="00AD3D0C" w:rsidRDefault="00AD3D0C" w:rsidP="00C57777">
                            <w:pPr>
                              <w:pStyle w:val="TableofFigures"/>
                            </w:pPr>
                            <w:r>
                              <w:t xml:space="preserve">  </w:t>
                            </w:r>
                            <w:r w:rsidRPr="0075338F">
                              <w:t xml:space="preserve">Total line </w:t>
                            </w:r>
                            <w:r>
                              <w:t xml:space="preserve">(circuit) </w:t>
                            </w:r>
                            <w:r w:rsidRPr="0075338F">
                              <w:t>length:</w:t>
                            </w:r>
                            <w:r>
                              <w:t xml:space="preserve"> </w:t>
                            </w:r>
                            <w:r>
                              <w:tab/>
                            </w:r>
                            <w:r>
                              <w:tab/>
                            </w:r>
                            <w:r>
                              <w:tab/>
                            </w:r>
                            <w:r>
                              <w:tab/>
                              <w:t>51,781 km</w:t>
                            </w:r>
                          </w:p>
                          <w:p w:rsidR="00AD3D0C" w:rsidRDefault="00AD3D0C" w:rsidP="00C57777">
                            <w:r w:rsidRPr="00BC41E5">
                              <w:rPr>
                                <w:noProof/>
                                <w:lang w:eastAsia="en-AU"/>
                              </w:rPr>
                              <w:drawing>
                                <wp:inline distT="0" distB="0" distL="0" distR="0" wp14:anchorId="1581FC18" wp14:editId="36B0EFF3">
                                  <wp:extent cx="4572635" cy="951230"/>
                                  <wp:effectExtent l="0" t="0" r="0"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635" cy="951230"/>
                                          </a:xfrm>
                                          <a:prstGeom prst="rect">
                                            <a:avLst/>
                                          </a:prstGeom>
                                          <a:noFill/>
                                        </pic:spPr>
                                      </pic:pic>
                                    </a:graphicData>
                                  </a:graphic>
                                </wp:inline>
                              </w:drawing>
                            </w:r>
                          </w:p>
                          <w:p w:rsidR="00AD3D0C" w:rsidRPr="00C312BC" w:rsidRDefault="00AD3D0C" w:rsidP="00C57777">
                            <w:r>
                              <w:t xml:space="preserve">  </w:t>
                            </w:r>
                            <w:r w:rsidRPr="000D7CD6">
                              <w:t xml:space="preserve">Customer density: </w:t>
                            </w:r>
                            <w:r w:rsidRPr="00C312BC">
                              <w:tab/>
                            </w:r>
                            <w:r w:rsidRPr="00C312BC">
                              <w:tab/>
                            </w:r>
                            <w:r>
                              <w:tab/>
                            </w:r>
                            <w:r>
                              <w:tab/>
                            </w:r>
                            <w:r>
                              <w:tab/>
                            </w:r>
                            <w:r>
                              <w:tab/>
                              <w:t>25.9</w:t>
                            </w:r>
                            <w:r w:rsidRPr="00C312BC">
                              <w:t xml:space="preserve"> customers/</w:t>
                            </w:r>
                            <w:r>
                              <w:t>km line (circuit)</w:t>
                            </w:r>
                          </w:p>
                          <w:p w:rsidR="00AD3D0C" w:rsidRPr="00E96856" w:rsidRDefault="00AD3D0C" w:rsidP="00C57777">
                            <w:pPr>
                              <w:rPr>
                                <w:rStyle w:val="Strong"/>
                              </w:rPr>
                            </w:pPr>
                            <w:r w:rsidRPr="00E96856">
                              <w:rPr>
                                <w:rStyle w:val="Strong"/>
                              </w:rPr>
                              <w:t>Network performance: 20</w:t>
                            </w:r>
                            <w:r>
                              <w:rPr>
                                <w:rStyle w:val="Strong"/>
                              </w:rPr>
                              <w:t>10–</w:t>
                            </w:r>
                            <w:r w:rsidRPr="00E96856">
                              <w:rPr>
                                <w:rStyle w:val="Strong"/>
                              </w:rPr>
                              <w:t>1</w:t>
                            </w:r>
                            <w:r>
                              <w:rPr>
                                <w:rStyle w:val="Strong"/>
                              </w:rPr>
                              <w:t xml:space="preserve">1 to </w:t>
                            </w:r>
                            <w:r w:rsidRPr="00E96856">
                              <w:rPr>
                                <w:rStyle w:val="Strong"/>
                              </w:rPr>
                              <w:t>2012</w:t>
                            </w:r>
                            <w:r>
                              <w:rPr>
                                <w:rStyle w:val="Strong"/>
                              </w:rPr>
                              <w:t>–</w:t>
                            </w:r>
                            <w:r w:rsidRPr="00E96856">
                              <w:rPr>
                                <w:rStyle w:val="Strong"/>
                              </w:rPr>
                              <w:t>13</w:t>
                            </w:r>
                          </w:p>
                          <w:p w:rsidR="00AD3D0C" w:rsidRPr="00474352" w:rsidRDefault="00AD3D0C" w:rsidP="00C57777">
                            <w:r w:rsidRPr="00474352">
                              <w:t xml:space="preserve">  Energy delivered:</w:t>
                            </w:r>
                            <w:r w:rsidRPr="00474352">
                              <w:tab/>
                            </w:r>
                            <w:r w:rsidRPr="00474352">
                              <w:tab/>
                            </w:r>
                            <w:r w:rsidRPr="00474352">
                              <w:tab/>
                            </w:r>
                            <w:r w:rsidRPr="00474352">
                              <w:tab/>
                            </w:r>
                            <w:r>
                              <w:tab/>
                            </w:r>
                            <w:r>
                              <w:tab/>
                              <w:t xml:space="preserve">63,920 </w:t>
                            </w:r>
                            <w:proofErr w:type="spellStart"/>
                            <w:r>
                              <w:t>GWh</w:t>
                            </w:r>
                            <w:proofErr w:type="spellEnd"/>
                            <w:r>
                              <w:t>, 8</w:t>
                            </w:r>
                            <w:r w:rsidRPr="00474352">
                              <w:t xml:space="preserve"> per cent ▼ than forecast</w:t>
                            </w:r>
                          </w:p>
                          <w:p w:rsidR="00AD3D0C" w:rsidRPr="00474352" w:rsidRDefault="00AD3D0C" w:rsidP="00C57777">
                            <w:r w:rsidRPr="00474352">
                              <w:t xml:space="preserve">  Capital expenditure: </w:t>
                            </w:r>
                            <w:r w:rsidRPr="00474352">
                              <w:tab/>
                            </w:r>
                            <w:r w:rsidRPr="00474352">
                              <w:tab/>
                            </w:r>
                            <w:r w:rsidRPr="00474352">
                              <w:tab/>
                            </w:r>
                            <w:r>
                              <w:tab/>
                            </w:r>
                            <w:r w:rsidRPr="00474352">
                              <w:tab/>
                            </w:r>
                            <w:r>
                              <w:t xml:space="preserve">$2.7 </w:t>
                            </w:r>
                            <w:proofErr w:type="spellStart"/>
                            <w:r>
                              <w:t>bn</w:t>
                            </w:r>
                            <w:proofErr w:type="spellEnd"/>
                            <w:r>
                              <w:t>, 26</w:t>
                            </w:r>
                            <w:r w:rsidRPr="00474352">
                              <w:t xml:space="preserve"> per cent ▼ than forecast</w:t>
                            </w:r>
                          </w:p>
                          <w:p w:rsidR="00AD3D0C" w:rsidRPr="00474352" w:rsidRDefault="00AD3D0C" w:rsidP="00C57777">
                            <w:r w:rsidRPr="00474352">
                              <w:t xml:space="preserve">  Regulatory Asset Base: </w:t>
                            </w:r>
                            <w:r w:rsidRPr="00474352">
                              <w:tab/>
                            </w:r>
                            <w:r w:rsidRPr="00474352">
                              <w:tab/>
                            </w:r>
                            <w:r>
                              <w:tab/>
                            </w:r>
                            <w:r w:rsidRPr="00474352">
                              <w:tab/>
                            </w:r>
                            <w:r>
                              <w:t>20</w:t>
                            </w:r>
                            <w:r w:rsidRPr="00474352">
                              <w:t xml:space="preserve"> per cent ▲ (from $</w:t>
                            </w:r>
                            <w:r>
                              <w:t>8.6bn</w:t>
                            </w:r>
                            <w:r w:rsidRPr="00474352">
                              <w:t xml:space="preserve"> to $</w:t>
                            </w:r>
                            <w:r>
                              <w:t>10.3</w:t>
                            </w:r>
                            <w:r w:rsidRPr="00474352">
                              <w:t>bn)</w:t>
                            </w:r>
                          </w:p>
                          <w:p w:rsidR="00AD3D0C" w:rsidRPr="00474352" w:rsidRDefault="00AD3D0C" w:rsidP="00C57777">
                            <w:r w:rsidRPr="00474352">
                              <w:t xml:space="preserve">  Operating expenditure: </w:t>
                            </w:r>
                            <w:r w:rsidRPr="00474352">
                              <w:tab/>
                            </w:r>
                            <w:r w:rsidRPr="00474352">
                              <w:tab/>
                            </w:r>
                            <w:r w:rsidRPr="00474352">
                              <w:tab/>
                            </w:r>
                            <w:r>
                              <w:tab/>
                              <w:t xml:space="preserve">$1.3 </w:t>
                            </w:r>
                            <w:proofErr w:type="spellStart"/>
                            <w:r>
                              <w:t>bn</w:t>
                            </w:r>
                            <w:proofErr w:type="spellEnd"/>
                            <w:r>
                              <w:t>, 10</w:t>
                            </w:r>
                            <w:r w:rsidRPr="00474352">
                              <w:t xml:space="preserve"> per cent ▲ than forecast</w:t>
                            </w:r>
                          </w:p>
                          <w:p w:rsidR="00AD3D0C" w:rsidRPr="00474352" w:rsidRDefault="00AD3D0C" w:rsidP="00C57777">
                            <w:r w:rsidRPr="00474352">
                              <w:t xml:space="preserve">  Revenue (</w:t>
                            </w:r>
                            <w:r>
                              <w:t>revenue cap</w:t>
                            </w:r>
                            <w:r w:rsidRPr="00474352">
                              <w:t xml:space="preserve">): </w:t>
                            </w:r>
                            <w:r w:rsidRPr="00474352">
                              <w:tab/>
                            </w:r>
                            <w:r w:rsidRPr="00474352">
                              <w:tab/>
                            </w:r>
                            <w:r>
                              <w:tab/>
                            </w:r>
                            <w:r>
                              <w:tab/>
                              <w:t xml:space="preserve">$3.6 </w:t>
                            </w:r>
                            <w:proofErr w:type="spellStart"/>
                            <w:r>
                              <w:t>bn</w:t>
                            </w:r>
                            <w:proofErr w:type="spellEnd"/>
                            <w:r>
                              <w:t>, 8</w:t>
                            </w:r>
                            <w:r w:rsidRPr="00474352">
                              <w:t xml:space="preserve"> per cent ▼ than forecast</w:t>
                            </w:r>
                          </w:p>
                          <w:p w:rsidR="00AD3D0C" w:rsidRDefault="00AD3D0C" w:rsidP="00C57777">
                            <w:pPr>
                              <w:rPr>
                                <w:rStyle w:val="Strong"/>
                              </w:rPr>
                            </w:pPr>
                            <w:r w:rsidRPr="00D503C8">
                              <w:rPr>
                                <w:rStyle w:val="Strong"/>
                              </w:rPr>
                              <w:t xml:space="preserve">Network reliability (normalised): </w:t>
                            </w:r>
                          </w:p>
                          <w:p w:rsidR="00AD3D0C" w:rsidRDefault="00AD3D0C" w:rsidP="00C57777">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67.2</w:t>
                            </w:r>
                            <w:r w:rsidRPr="00E96856">
                              <w:t xml:space="preserve"> minutes</w:t>
                            </w:r>
                          </w:p>
                          <w:p w:rsidR="00AD3D0C" w:rsidRDefault="00AD3D0C" w:rsidP="00C57777">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89.0</w:t>
                            </w:r>
                            <w:r w:rsidRPr="00E96856">
                              <w:t xml:space="preserve"> minutes</w:t>
                            </w:r>
                          </w:p>
                          <w:p w:rsidR="00AD3D0C" w:rsidRDefault="00AD3D0C" w:rsidP="00C57777">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0.88</w:t>
                            </w:r>
                            <w:r w:rsidRPr="00E96856">
                              <w:t xml:space="preserve"> interruptions</w:t>
                            </w:r>
                          </w:p>
                          <w:p w:rsidR="00AD3D0C" w:rsidRPr="00D503C8" w:rsidRDefault="00AD3D0C" w:rsidP="00C57777">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1.24</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95pt;margin-top:27.3pt;width:492.85pt;height:66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" filled="f" strokecolor="#bd0026" strokeweight="3.5pt">
                <v:textbox>
                  <w:txbxContent>
                    <w:p w:rsidR="00AD3D0C" w:rsidRDefault="00AD3D0C" w:rsidP="00C57777">
                      <w:pPr>
                        <w:pStyle w:val="Heading3notnumbered"/>
                      </w:pPr>
                      <w:bookmarkStart w:id="333" w:name="_Toc413311094"/>
                      <w:bookmarkStart w:id="334" w:name="_Toc423086510"/>
                      <w:r>
                        <w:t>Network characteristics</w:t>
                      </w:r>
                      <w:bookmarkEnd w:id="333"/>
                      <w:bookmarkEnd w:id="334"/>
                    </w:p>
                    <w:p w:rsidR="00AD3D0C" w:rsidRPr="00C312BC" w:rsidRDefault="00AD3D0C" w:rsidP="00C57777">
                      <w:r w:rsidRPr="00E96856">
                        <w:rPr>
                          <w:rStyle w:val="Strong"/>
                        </w:rPr>
                        <w:t>Ownership:</w:t>
                      </w:r>
                      <w:r>
                        <w:t xml:space="preserve">  Queensland Government Owned Corporation</w:t>
                      </w:r>
                      <w:r w:rsidRPr="00C312BC">
                        <w:t xml:space="preserve"> </w:t>
                      </w:r>
                    </w:p>
                    <w:p w:rsidR="00AD3D0C" w:rsidRPr="00C312BC" w:rsidRDefault="00AD3D0C" w:rsidP="00C57777">
                      <w:r w:rsidRPr="00E96856">
                        <w:rPr>
                          <w:rStyle w:val="Strong"/>
                        </w:rPr>
                        <w:t>Relevant regulatory control period</w:t>
                      </w:r>
                      <w:r w:rsidRPr="00C312BC">
                        <w:t>:</w:t>
                      </w:r>
                      <w:r w:rsidRPr="00E96856">
                        <w:t xml:space="preserve"> </w:t>
                      </w:r>
                      <w:r w:rsidRPr="007834DE">
                        <w:t xml:space="preserve">1 </w:t>
                      </w:r>
                      <w:r>
                        <w:t>July 2010 –</w:t>
                      </w:r>
                      <w:r w:rsidRPr="00CB73C1">
                        <w:t xml:space="preserve"> 30 June 20</w:t>
                      </w:r>
                      <w:r>
                        <w:t>15</w:t>
                      </w:r>
                    </w:p>
                    <w:p w:rsidR="00AD3D0C" w:rsidRPr="00E96856" w:rsidRDefault="00AD3D0C" w:rsidP="00C57777">
                      <w:pPr>
                        <w:rPr>
                          <w:rStyle w:val="Strong"/>
                        </w:rPr>
                      </w:pPr>
                      <w:r w:rsidRPr="00E96856">
                        <w:rPr>
                          <w:rStyle w:val="Strong"/>
                        </w:rPr>
                        <w:t>Network profile</w:t>
                      </w:r>
                      <w:r>
                        <w:rPr>
                          <w:rStyle w:val="Strong"/>
                        </w:rPr>
                        <w:t xml:space="preserve"> 2012-13</w:t>
                      </w:r>
                    </w:p>
                    <w:p w:rsidR="00AD3D0C" w:rsidRDefault="00AD3D0C" w:rsidP="00C57777">
                      <w:pPr>
                        <w:pStyle w:val="TableofFigures"/>
                      </w:pPr>
                      <w:r>
                        <w:t xml:space="preserve">  Total distribution customers:</w:t>
                      </w:r>
                      <w:r w:rsidRPr="00C312BC">
                        <w:t xml:space="preserve"> </w:t>
                      </w:r>
                      <w:r w:rsidRPr="00C312BC">
                        <w:tab/>
                      </w:r>
                      <w:r>
                        <w:tab/>
                      </w:r>
                      <w:r>
                        <w:tab/>
                        <w:t>1,342,594</w:t>
                      </w:r>
                    </w:p>
                    <w:p w:rsidR="00AD3D0C" w:rsidRPr="00C312BC" w:rsidRDefault="00AD3D0C" w:rsidP="00C57777">
                      <w:pPr>
                        <w:pStyle w:val="TableofFigures"/>
                      </w:pPr>
                      <w:r w:rsidRPr="00E96856">
                        <w:t xml:space="preserve"> </w:t>
                      </w:r>
                      <w:r w:rsidRPr="00BC41E5">
                        <w:rPr>
                          <w:noProof/>
                          <w:lang w:eastAsia="en-AU"/>
                        </w:rPr>
                        <w:drawing>
                          <wp:inline distT="0" distB="0" distL="0" distR="0" wp14:anchorId="7FA316FD" wp14:editId="2EB5F4ED">
                            <wp:extent cx="4564800" cy="957600"/>
                            <wp:effectExtent l="0" t="0" r="762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64800" cy="957600"/>
                                    </a:xfrm>
                                    <a:prstGeom prst="rect">
                                      <a:avLst/>
                                    </a:prstGeom>
                                    <a:noFill/>
                                  </pic:spPr>
                                </pic:pic>
                              </a:graphicData>
                            </a:graphic>
                          </wp:inline>
                        </w:drawing>
                      </w:r>
                    </w:p>
                    <w:p w:rsidR="00AD3D0C" w:rsidRDefault="00AD3D0C" w:rsidP="00C57777">
                      <w:pPr>
                        <w:pStyle w:val="TableofFigures"/>
                      </w:pPr>
                      <w:r>
                        <w:t xml:space="preserve">  </w:t>
                      </w:r>
                      <w:r w:rsidRPr="0075338F">
                        <w:t xml:space="preserve">Total line </w:t>
                      </w:r>
                      <w:r>
                        <w:t xml:space="preserve">(circuit) </w:t>
                      </w:r>
                      <w:r w:rsidRPr="0075338F">
                        <w:t>length:</w:t>
                      </w:r>
                      <w:r>
                        <w:t xml:space="preserve"> </w:t>
                      </w:r>
                      <w:r>
                        <w:tab/>
                      </w:r>
                      <w:r>
                        <w:tab/>
                      </w:r>
                      <w:r>
                        <w:tab/>
                      </w:r>
                      <w:r>
                        <w:tab/>
                        <w:t>51,781 km</w:t>
                      </w:r>
                    </w:p>
                    <w:p w:rsidR="00AD3D0C" w:rsidRDefault="00AD3D0C" w:rsidP="00C57777">
                      <w:r w:rsidRPr="00BC41E5">
                        <w:rPr>
                          <w:noProof/>
                          <w:lang w:eastAsia="en-AU"/>
                        </w:rPr>
                        <w:drawing>
                          <wp:inline distT="0" distB="0" distL="0" distR="0" wp14:anchorId="1581FC18" wp14:editId="36B0EFF3">
                            <wp:extent cx="4572635" cy="951230"/>
                            <wp:effectExtent l="0" t="0" r="0"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635" cy="951230"/>
                                    </a:xfrm>
                                    <a:prstGeom prst="rect">
                                      <a:avLst/>
                                    </a:prstGeom>
                                    <a:noFill/>
                                  </pic:spPr>
                                </pic:pic>
                              </a:graphicData>
                            </a:graphic>
                          </wp:inline>
                        </w:drawing>
                      </w:r>
                    </w:p>
                    <w:p w:rsidR="00AD3D0C" w:rsidRPr="00C312BC" w:rsidRDefault="00AD3D0C" w:rsidP="00C57777">
                      <w:r>
                        <w:t xml:space="preserve">  </w:t>
                      </w:r>
                      <w:r w:rsidRPr="000D7CD6">
                        <w:t xml:space="preserve">Customer density: </w:t>
                      </w:r>
                      <w:r w:rsidRPr="00C312BC">
                        <w:tab/>
                      </w:r>
                      <w:r w:rsidRPr="00C312BC">
                        <w:tab/>
                      </w:r>
                      <w:r>
                        <w:tab/>
                      </w:r>
                      <w:r>
                        <w:tab/>
                      </w:r>
                      <w:r>
                        <w:tab/>
                      </w:r>
                      <w:r>
                        <w:tab/>
                        <w:t>25.9</w:t>
                      </w:r>
                      <w:r w:rsidRPr="00C312BC">
                        <w:t xml:space="preserve"> customers/</w:t>
                      </w:r>
                      <w:r>
                        <w:t>km line (circuit)</w:t>
                      </w:r>
                    </w:p>
                    <w:p w:rsidR="00AD3D0C" w:rsidRPr="00E96856" w:rsidRDefault="00AD3D0C" w:rsidP="00C57777">
                      <w:pPr>
                        <w:rPr>
                          <w:rStyle w:val="Strong"/>
                        </w:rPr>
                      </w:pPr>
                      <w:r w:rsidRPr="00E96856">
                        <w:rPr>
                          <w:rStyle w:val="Strong"/>
                        </w:rPr>
                        <w:t>Network performance: 20</w:t>
                      </w:r>
                      <w:r>
                        <w:rPr>
                          <w:rStyle w:val="Strong"/>
                        </w:rPr>
                        <w:t>10–</w:t>
                      </w:r>
                      <w:r w:rsidRPr="00E96856">
                        <w:rPr>
                          <w:rStyle w:val="Strong"/>
                        </w:rPr>
                        <w:t>1</w:t>
                      </w:r>
                      <w:r>
                        <w:rPr>
                          <w:rStyle w:val="Strong"/>
                        </w:rPr>
                        <w:t xml:space="preserve">1 to </w:t>
                      </w:r>
                      <w:r w:rsidRPr="00E96856">
                        <w:rPr>
                          <w:rStyle w:val="Strong"/>
                        </w:rPr>
                        <w:t>2012</w:t>
                      </w:r>
                      <w:r>
                        <w:rPr>
                          <w:rStyle w:val="Strong"/>
                        </w:rPr>
                        <w:t>–</w:t>
                      </w:r>
                      <w:r w:rsidRPr="00E96856">
                        <w:rPr>
                          <w:rStyle w:val="Strong"/>
                        </w:rPr>
                        <w:t>13</w:t>
                      </w:r>
                    </w:p>
                    <w:p w:rsidR="00AD3D0C" w:rsidRPr="00474352" w:rsidRDefault="00AD3D0C" w:rsidP="00C57777">
                      <w:r w:rsidRPr="00474352">
                        <w:t xml:space="preserve">  Energy delivered:</w:t>
                      </w:r>
                      <w:r w:rsidRPr="00474352">
                        <w:tab/>
                      </w:r>
                      <w:r w:rsidRPr="00474352">
                        <w:tab/>
                      </w:r>
                      <w:r w:rsidRPr="00474352">
                        <w:tab/>
                      </w:r>
                      <w:r w:rsidRPr="00474352">
                        <w:tab/>
                      </w:r>
                      <w:r>
                        <w:tab/>
                      </w:r>
                      <w:r>
                        <w:tab/>
                        <w:t xml:space="preserve">63,920 </w:t>
                      </w:r>
                      <w:proofErr w:type="spellStart"/>
                      <w:r>
                        <w:t>GWh</w:t>
                      </w:r>
                      <w:proofErr w:type="spellEnd"/>
                      <w:r>
                        <w:t>, 8</w:t>
                      </w:r>
                      <w:r w:rsidRPr="00474352">
                        <w:t xml:space="preserve"> per cent ▼ than forecast</w:t>
                      </w:r>
                    </w:p>
                    <w:p w:rsidR="00AD3D0C" w:rsidRPr="00474352" w:rsidRDefault="00AD3D0C" w:rsidP="00C57777">
                      <w:r w:rsidRPr="00474352">
                        <w:t xml:space="preserve">  Capital expenditure: </w:t>
                      </w:r>
                      <w:r w:rsidRPr="00474352">
                        <w:tab/>
                      </w:r>
                      <w:r w:rsidRPr="00474352">
                        <w:tab/>
                      </w:r>
                      <w:r w:rsidRPr="00474352">
                        <w:tab/>
                      </w:r>
                      <w:r>
                        <w:tab/>
                      </w:r>
                      <w:r w:rsidRPr="00474352">
                        <w:tab/>
                      </w:r>
                      <w:r>
                        <w:t xml:space="preserve">$2.7 </w:t>
                      </w:r>
                      <w:proofErr w:type="spellStart"/>
                      <w:r>
                        <w:t>bn</w:t>
                      </w:r>
                      <w:proofErr w:type="spellEnd"/>
                      <w:r>
                        <w:t>, 26</w:t>
                      </w:r>
                      <w:r w:rsidRPr="00474352">
                        <w:t xml:space="preserve"> per cent ▼ than forecast</w:t>
                      </w:r>
                    </w:p>
                    <w:p w:rsidR="00AD3D0C" w:rsidRPr="00474352" w:rsidRDefault="00AD3D0C" w:rsidP="00C57777">
                      <w:r w:rsidRPr="00474352">
                        <w:t xml:space="preserve">  Regulatory Asset Base: </w:t>
                      </w:r>
                      <w:r w:rsidRPr="00474352">
                        <w:tab/>
                      </w:r>
                      <w:r w:rsidRPr="00474352">
                        <w:tab/>
                      </w:r>
                      <w:r>
                        <w:tab/>
                      </w:r>
                      <w:r w:rsidRPr="00474352">
                        <w:tab/>
                      </w:r>
                      <w:r>
                        <w:t>20</w:t>
                      </w:r>
                      <w:r w:rsidRPr="00474352">
                        <w:t xml:space="preserve"> per cent ▲ (from $</w:t>
                      </w:r>
                      <w:r>
                        <w:t>8.6bn</w:t>
                      </w:r>
                      <w:r w:rsidRPr="00474352">
                        <w:t xml:space="preserve"> to $</w:t>
                      </w:r>
                      <w:r>
                        <w:t>10.3</w:t>
                      </w:r>
                      <w:r w:rsidRPr="00474352">
                        <w:t>bn)</w:t>
                      </w:r>
                    </w:p>
                    <w:p w:rsidR="00AD3D0C" w:rsidRPr="00474352" w:rsidRDefault="00AD3D0C" w:rsidP="00C57777">
                      <w:r w:rsidRPr="00474352">
                        <w:t xml:space="preserve">  Operating expenditure: </w:t>
                      </w:r>
                      <w:r w:rsidRPr="00474352">
                        <w:tab/>
                      </w:r>
                      <w:r w:rsidRPr="00474352">
                        <w:tab/>
                      </w:r>
                      <w:r w:rsidRPr="00474352">
                        <w:tab/>
                      </w:r>
                      <w:r>
                        <w:tab/>
                        <w:t xml:space="preserve">$1.3 </w:t>
                      </w:r>
                      <w:proofErr w:type="spellStart"/>
                      <w:r>
                        <w:t>bn</w:t>
                      </w:r>
                      <w:proofErr w:type="spellEnd"/>
                      <w:r>
                        <w:t>, 10</w:t>
                      </w:r>
                      <w:r w:rsidRPr="00474352">
                        <w:t xml:space="preserve"> per cent ▲ than forecast</w:t>
                      </w:r>
                    </w:p>
                    <w:p w:rsidR="00AD3D0C" w:rsidRPr="00474352" w:rsidRDefault="00AD3D0C" w:rsidP="00C57777">
                      <w:r w:rsidRPr="00474352">
                        <w:t xml:space="preserve">  Revenue (</w:t>
                      </w:r>
                      <w:r>
                        <w:t>revenue cap</w:t>
                      </w:r>
                      <w:r w:rsidRPr="00474352">
                        <w:t xml:space="preserve">): </w:t>
                      </w:r>
                      <w:r w:rsidRPr="00474352">
                        <w:tab/>
                      </w:r>
                      <w:r w:rsidRPr="00474352">
                        <w:tab/>
                      </w:r>
                      <w:r>
                        <w:tab/>
                      </w:r>
                      <w:r>
                        <w:tab/>
                        <w:t xml:space="preserve">$3.6 </w:t>
                      </w:r>
                      <w:proofErr w:type="spellStart"/>
                      <w:r>
                        <w:t>bn</w:t>
                      </w:r>
                      <w:proofErr w:type="spellEnd"/>
                      <w:r>
                        <w:t>, 8</w:t>
                      </w:r>
                      <w:r w:rsidRPr="00474352">
                        <w:t xml:space="preserve"> per cent ▼ than forecast</w:t>
                      </w:r>
                    </w:p>
                    <w:p w:rsidR="00AD3D0C" w:rsidRDefault="00AD3D0C" w:rsidP="00C57777">
                      <w:pPr>
                        <w:rPr>
                          <w:rStyle w:val="Strong"/>
                        </w:rPr>
                      </w:pPr>
                      <w:r w:rsidRPr="00D503C8">
                        <w:rPr>
                          <w:rStyle w:val="Strong"/>
                        </w:rPr>
                        <w:t xml:space="preserve">Network reliability (normalised): </w:t>
                      </w:r>
                    </w:p>
                    <w:p w:rsidR="00AD3D0C" w:rsidRDefault="00AD3D0C" w:rsidP="00C57777">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67.2</w:t>
                      </w:r>
                      <w:r w:rsidRPr="00E96856">
                        <w:t xml:space="preserve"> minutes</w:t>
                      </w:r>
                    </w:p>
                    <w:p w:rsidR="00AD3D0C" w:rsidRDefault="00AD3D0C" w:rsidP="00C57777">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89.0</w:t>
                      </w:r>
                      <w:r w:rsidRPr="00E96856">
                        <w:t xml:space="preserve"> minutes</w:t>
                      </w:r>
                    </w:p>
                    <w:p w:rsidR="00AD3D0C" w:rsidRDefault="00AD3D0C" w:rsidP="00C57777">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0.88</w:t>
                      </w:r>
                      <w:r w:rsidRPr="00E96856">
                        <w:t xml:space="preserve"> interruptions</w:t>
                      </w:r>
                    </w:p>
                    <w:p w:rsidR="00AD3D0C" w:rsidRPr="00D503C8" w:rsidRDefault="00AD3D0C" w:rsidP="00C57777">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1.24</w:t>
                      </w:r>
                      <w:r w:rsidRPr="00E96856">
                        <w:t xml:space="preserve"> interruptions</w:t>
                      </w:r>
                    </w:p>
                  </w:txbxContent>
                </v:textbox>
                <w10:wrap type="tight"/>
              </v:shape>
            </w:pict>
          </mc:Fallback>
        </mc:AlternateContent>
      </w:r>
      <w:bookmarkEnd w:id="314"/>
      <w:bookmarkEnd w:id="315"/>
      <w:bookmarkEnd w:id="316"/>
      <w:r w:rsidR="00AE2FC7">
        <w:t>Energex</w:t>
      </w:r>
      <w:bookmarkEnd w:id="317"/>
      <w:bookmarkEnd w:id="318"/>
    </w:p>
    <w:p w:rsidR="00AE2FC7" w:rsidRDefault="00AE2FC7" w:rsidP="00592413">
      <w:pPr>
        <w:pStyle w:val="Heading3"/>
      </w:pPr>
      <w:bookmarkStart w:id="321" w:name="_Toc409771665"/>
      <w:bookmarkStart w:id="322" w:name="_Toc412790614"/>
      <w:bookmarkStart w:id="323" w:name="_Toc413062095"/>
      <w:bookmarkStart w:id="324" w:name="_Toc413311095"/>
      <w:bookmarkStart w:id="325" w:name="_Toc423086511"/>
      <w:r>
        <w:t>Regulation</w:t>
      </w:r>
      <w:bookmarkEnd w:id="321"/>
      <w:bookmarkEnd w:id="322"/>
      <w:bookmarkEnd w:id="323"/>
      <w:bookmarkEnd w:id="324"/>
      <w:bookmarkEnd w:id="325"/>
    </w:p>
    <w:p w:rsidR="00AE2FC7" w:rsidRPr="00DB416A" w:rsidRDefault="002767AE" w:rsidP="00AE2FC7">
      <w:r>
        <w:t>From 1 July</w:t>
      </w:r>
      <w:r w:rsidR="00AE2FC7" w:rsidRPr="00DB416A">
        <w:t xml:space="preserve"> 2010 </w:t>
      </w:r>
      <w:r>
        <w:t>we have</w:t>
      </w:r>
      <w:r w:rsidR="00AE2FC7" w:rsidRPr="00DB416A">
        <w:t xml:space="preserve"> been responsible for the economic regulation of electricity distribution services provided Energex. Previously the Queensland Competition Authority (QCA) was the responsible regulator.</w:t>
      </w:r>
    </w:p>
    <w:p w:rsidR="00AE2FC7" w:rsidRDefault="00AE2FC7" w:rsidP="00592413">
      <w:pPr>
        <w:pStyle w:val="Heading3"/>
      </w:pPr>
      <w:bookmarkStart w:id="326" w:name="_Toc409771666"/>
      <w:bookmarkStart w:id="327" w:name="_Toc412790615"/>
      <w:bookmarkStart w:id="328" w:name="_Toc413062096"/>
      <w:bookmarkStart w:id="329" w:name="_Toc413311096"/>
      <w:bookmarkStart w:id="330" w:name="_Toc423086512"/>
      <w:r>
        <w:t>Energy delivered</w:t>
      </w:r>
      <w:bookmarkEnd w:id="326"/>
      <w:bookmarkEnd w:id="327"/>
      <w:bookmarkEnd w:id="328"/>
      <w:bookmarkEnd w:id="329"/>
      <w:bookmarkEnd w:id="330"/>
    </w:p>
    <w:p w:rsidR="00AE2FC7" w:rsidRPr="00DB416A" w:rsidRDefault="00AE2FC7" w:rsidP="00AE2FC7">
      <w:r w:rsidRPr="00DB416A">
        <w:t>Total energy delivered by Energex over the first three years of the 2010</w:t>
      </w:r>
      <w:r w:rsidR="007A3240">
        <w:t>–</w:t>
      </w:r>
      <w:r w:rsidRPr="00DB416A">
        <w:t xml:space="preserve">15 regulatory control </w:t>
      </w:r>
      <w:proofErr w:type="gramStart"/>
      <w:r w:rsidRPr="00DB416A">
        <w:t>period</w:t>
      </w:r>
      <w:proofErr w:type="gramEnd"/>
      <w:r w:rsidRPr="00DB416A">
        <w:t xml:space="preserve"> was approximately 8 per cent less than </w:t>
      </w:r>
      <w:r w:rsidR="00DD4FC1">
        <w:t>our approved</w:t>
      </w:r>
      <w:r w:rsidRPr="00DB416A">
        <w:t xml:space="preserve"> forecast (</w:t>
      </w:r>
      <w:r>
        <w:t>Figure 9</w:t>
      </w:r>
      <w:r w:rsidRPr="00DB416A">
        <w:t>–4</w:t>
      </w:r>
      <w:r w:rsidR="00FD2BC4">
        <w:t>1</w:t>
      </w:r>
      <w:r w:rsidRPr="00DB416A">
        <w:t xml:space="preserve">). The forecasts are those submitted by Energex and </w:t>
      </w:r>
      <w:r w:rsidR="00DD4FC1">
        <w:t xml:space="preserve">accepted by us in our </w:t>
      </w:r>
      <w:r w:rsidRPr="00DB416A">
        <w:t xml:space="preserve">2010 distribution determination. </w:t>
      </w:r>
      <w:r w:rsidR="00DD4FC1">
        <w:t>Our approved</w:t>
      </w:r>
      <w:r w:rsidRPr="00DB416A">
        <w:t xml:space="preserve"> forecasts were marginally lower than those proposed by Energex in its regulatory proposal. </w:t>
      </w:r>
    </w:p>
    <w:p w:rsidR="008B4F12" w:rsidRPr="00DB416A" w:rsidRDefault="008B4F12" w:rsidP="008B4F12">
      <w:r w:rsidRPr="00DB416A">
        <w:t>Energex provided the following reasons for energy delivered being less than forecast during the 2010</w:t>
      </w:r>
      <w:r w:rsidR="00B45F56">
        <w:t>–</w:t>
      </w:r>
      <w:r w:rsidRPr="00DB416A">
        <w:t xml:space="preserve">15 regulatory control </w:t>
      </w:r>
      <w:proofErr w:type="gramStart"/>
      <w:r w:rsidRPr="00DB416A">
        <w:t>period</w:t>
      </w:r>
      <w:proofErr w:type="gramEnd"/>
      <w:r w:rsidRPr="00DB416A">
        <w:t>:</w:t>
      </w:r>
    </w:p>
    <w:p w:rsidR="008B4F12" w:rsidRPr="00DB416A" w:rsidRDefault="008B4F12" w:rsidP="00B45F56">
      <w:pPr>
        <w:pStyle w:val="ListBullet"/>
      </w:pPr>
      <w:r>
        <w:t>c</w:t>
      </w:r>
      <w:r w:rsidRPr="00DB416A">
        <w:t>ustomers responded to rising electricity prices by changing usage patterns and lowering consumption</w:t>
      </w:r>
    </w:p>
    <w:p w:rsidR="008B4F12" w:rsidRPr="00DB416A" w:rsidRDefault="008B4F12" w:rsidP="00B45F56">
      <w:pPr>
        <w:pStyle w:val="ListBullet"/>
      </w:pPr>
      <w:proofErr w:type="gramStart"/>
      <w:r>
        <w:t>i</w:t>
      </w:r>
      <w:r w:rsidRPr="00DB416A">
        <w:t>mpact</w:t>
      </w:r>
      <w:proofErr w:type="gramEnd"/>
      <w:r w:rsidRPr="00DB416A">
        <w:t xml:space="preserve"> of in</w:t>
      </w:r>
      <w:r>
        <w:t>–</w:t>
      </w:r>
      <w:r w:rsidRPr="00DB416A">
        <w:t>house usage of energ</w:t>
      </w:r>
      <w:r w:rsidR="002E54A8">
        <w:t>y generated from s</w:t>
      </w:r>
      <w:r w:rsidRPr="00DB416A">
        <w:t xml:space="preserve">olar PV. The uptake of </w:t>
      </w:r>
      <w:r w:rsidR="002E54A8">
        <w:t>s</w:t>
      </w:r>
      <w:r w:rsidRPr="00DB416A">
        <w:t>olar PV significantly exceeded expectations.</w:t>
      </w:r>
    </w:p>
    <w:p w:rsidR="00AE2FC7" w:rsidRDefault="00AE2FC7" w:rsidP="00972E3F">
      <w:pPr>
        <w:pStyle w:val="Caption"/>
      </w:pPr>
      <w:r>
        <w:t>Figure 9</w:t>
      </w:r>
      <w:r w:rsidRPr="00DB416A">
        <w:t>–4</w:t>
      </w:r>
      <w:r w:rsidR="00FD2BC4">
        <w:t>1</w:t>
      </w:r>
      <w:r w:rsidRPr="00DB416A">
        <w:tab/>
        <w:t xml:space="preserve">Energy delivered </w:t>
      </w:r>
      <w:r w:rsidR="007A3240">
        <w:t>–</w:t>
      </w:r>
      <w:r w:rsidRPr="00DB416A">
        <w:t xml:space="preserve"> Energex</w:t>
      </w:r>
    </w:p>
    <w:p w:rsidR="00F56FEA" w:rsidRPr="005D575F" w:rsidRDefault="00F56FEA" w:rsidP="0017303B">
      <w:r w:rsidRPr="00BB1D79">
        <w:rPr>
          <w:noProof/>
          <w:lang w:eastAsia="en-AU"/>
        </w:rPr>
        <w:drawing>
          <wp:inline distT="0" distB="0" distL="0" distR="0" wp14:anchorId="6F628977" wp14:editId="3240975D">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E2FC7" w:rsidRPr="00DB416A" w:rsidRDefault="00AE2FC7" w:rsidP="00AE2FC7">
      <w:r w:rsidRPr="00DB416A">
        <w:t xml:space="preserve">Chapter 4 </w:t>
      </w:r>
      <w:r w:rsidR="009E3ACF">
        <w:t xml:space="preserve">contains our </w:t>
      </w:r>
      <w:r w:rsidRPr="00DB416A">
        <w:t xml:space="preserve">assessment of energy delivered for all DNSPs in the NEM. </w:t>
      </w:r>
    </w:p>
    <w:p w:rsidR="00AE2FC7" w:rsidRDefault="00AE2FC7" w:rsidP="00592413">
      <w:pPr>
        <w:pStyle w:val="Heading3"/>
      </w:pPr>
      <w:bookmarkStart w:id="331" w:name="_Toc409771667"/>
      <w:bookmarkStart w:id="332" w:name="_Toc412790616"/>
      <w:bookmarkStart w:id="333" w:name="_Toc413062097"/>
      <w:bookmarkStart w:id="334" w:name="_Toc413311097"/>
      <w:bookmarkStart w:id="335" w:name="_Toc423086513"/>
      <w:r>
        <w:t>Demand</w:t>
      </w:r>
      <w:bookmarkEnd w:id="331"/>
      <w:bookmarkEnd w:id="332"/>
      <w:bookmarkEnd w:id="333"/>
      <w:bookmarkEnd w:id="334"/>
      <w:bookmarkEnd w:id="335"/>
    </w:p>
    <w:p w:rsidR="00AE2FC7" w:rsidRPr="00DB416A" w:rsidRDefault="00AE2FC7" w:rsidP="00AE2FC7">
      <w:r w:rsidRPr="00DB416A">
        <w:t xml:space="preserve">Energex's expectation of increasing system maximum </w:t>
      </w:r>
      <w:r w:rsidR="00CB0F66" w:rsidRPr="00DB416A">
        <w:t>demand at</w:t>
      </w:r>
      <w:r w:rsidRPr="00DB416A">
        <w:t xml:space="preserve"> the time of </w:t>
      </w:r>
      <w:r w:rsidR="00CB0F66">
        <w:t>our</w:t>
      </w:r>
      <w:r w:rsidR="00CB0F66" w:rsidRPr="00DB416A">
        <w:t xml:space="preserve"> </w:t>
      </w:r>
      <w:r w:rsidRPr="00DB416A">
        <w:t>2010 distribution determination was not realised in its actual maximum demand (</w:t>
      </w:r>
      <w:r>
        <w:t>Figure 9</w:t>
      </w:r>
      <w:r w:rsidRPr="00DB416A">
        <w:t>–4</w:t>
      </w:r>
      <w:r w:rsidR="00FD2BC4">
        <w:t>2</w:t>
      </w:r>
      <w:r w:rsidRPr="00DB416A">
        <w:t>). The difference between Energex's forecast and actual maximum demand was greater in 2012</w:t>
      </w:r>
      <w:r w:rsidR="00B45F56">
        <w:t>–13</w:t>
      </w:r>
      <w:r w:rsidRPr="00DB416A">
        <w:t xml:space="preserve"> than in any </w:t>
      </w:r>
      <w:r w:rsidR="00B20599">
        <w:t xml:space="preserve">other </w:t>
      </w:r>
      <w:r w:rsidRPr="00DB416A">
        <w:t>year of the 2010</w:t>
      </w:r>
      <w:r w:rsidR="007A3240">
        <w:t>–</w:t>
      </w:r>
      <w:r w:rsidRPr="00DB416A">
        <w:t>15 or 2005</w:t>
      </w:r>
      <w:r w:rsidR="007A3240">
        <w:t>–</w:t>
      </w:r>
      <w:r w:rsidRPr="00DB416A">
        <w:t>10 regulatory control periods.</w:t>
      </w:r>
    </w:p>
    <w:p w:rsidR="008B4F12" w:rsidRPr="00DB416A" w:rsidRDefault="008B4F12" w:rsidP="008B4F12">
      <w:r w:rsidRPr="00DB416A">
        <w:t>Energex attributed its less than forecast summer system peak demand for the 2010</w:t>
      </w:r>
      <w:r>
        <w:t>–</w:t>
      </w:r>
      <w:r w:rsidRPr="00DB416A">
        <w:t>15 regulatory control period to the following:</w:t>
      </w:r>
    </w:p>
    <w:p w:rsidR="008B4F12" w:rsidRPr="00DB416A" w:rsidRDefault="008B4F12" w:rsidP="00B45F56">
      <w:pPr>
        <w:pStyle w:val="ListBullet"/>
      </w:pPr>
      <w:r>
        <w:t>a r</w:t>
      </w:r>
      <w:r w:rsidR="002E54A8">
        <w:t>apid increase in residential s</w:t>
      </w:r>
      <w:r w:rsidRPr="00DB416A">
        <w:t>olar PV led to connected capacity increasing from 43MW at the start of the 2010</w:t>
      </w:r>
      <w:r>
        <w:t>–</w:t>
      </w:r>
      <w:r w:rsidRPr="00DB416A">
        <w:t>15 regulatory control period to 675MW at the end of the 2012</w:t>
      </w:r>
      <w:r>
        <w:t>–</w:t>
      </w:r>
      <w:r w:rsidRPr="00DB416A">
        <w:t>13 regulatory year</w:t>
      </w:r>
    </w:p>
    <w:p w:rsidR="008B4F12" w:rsidRPr="00DB416A" w:rsidRDefault="008B4F12" w:rsidP="00B45F56">
      <w:pPr>
        <w:pStyle w:val="ListBullet"/>
      </w:pPr>
      <w:proofErr w:type="gramStart"/>
      <w:r>
        <w:t>s</w:t>
      </w:r>
      <w:r w:rsidRPr="00DB416A">
        <w:t>lower</w:t>
      </w:r>
      <w:proofErr w:type="gramEnd"/>
      <w:r w:rsidRPr="00DB416A">
        <w:t xml:space="preserve"> than expected recovery from the global financial crisis resulted in a significant decline in the number of new developments in South East Queensland.</w:t>
      </w:r>
    </w:p>
    <w:p w:rsidR="008B4F12" w:rsidRPr="00DB416A" w:rsidRDefault="008B4F12" w:rsidP="00B45F56">
      <w:pPr>
        <w:pStyle w:val="ListBullet"/>
      </w:pPr>
      <w:r>
        <w:t>s</w:t>
      </w:r>
      <w:r w:rsidRPr="00DB416A">
        <w:t>ignificant weather events (i.e. the Brisbane floods in 2011 and</w:t>
      </w:r>
      <w:r w:rsidR="002247CC">
        <w:t xml:space="preserve"> Tropical C</w:t>
      </w:r>
      <w:r w:rsidRPr="00DB416A">
        <w:t>yclone Oswald in 2013)</w:t>
      </w:r>
    </w:p>
    <w:p w:rsidR="008B4F12" w:rsidRPr="00DB416A" w:rsidRDefault="008B4F12" w:rsidP="00B45F56">
      <w:pPr>
        <w:pStyle w:val="ListBullet"/>
      </w:pPr>
      <w:r>
        <w:t>c</w:t>
      </w:r>
      <w:r w:rsidRPr="00DB416A">
        <w:t>ustomer</w:t>
      </w:r>
      <w:r>
        <w:t>s</w:t>
      </w:r>
      <w:r w:rsidRPr="00DB416A">
        <w:t xml:space="preserve"> responding to rapidly increasing electricity prices</w:t>
      </w:r>
    </w:p>
    <w:p w:rsidR="008B4F12" w:rsidRPr="00DB416A" w:rsidRDefault="008B4F12" w:rsidP="00B45F56">
      <w:pPr>
        <w:pStyle w:val="ListBullet"/>
      </w:pPr>
      <w:proofErr w:type="gramStart"/>
      <w:r>
        <w:t>m</w:t>
      </w:r>
      <w:r w:rsidRPr="00DB416A">
        <w:t>ilder</w:t>
      </w:r>
      <w:proofErr w:type="gramEnd"/>
      <w:r w:rsidRPr="00DB416A">
        <w:t xml:space="preserve"> summer periods due to the influence of La Nina weather pattern. </w:t>
      </w:r>
    </w:p>
    <w:p w:rsidR="00AE2FC7" w:rsidRDefault="00AE2FC7" w:rsidP="00972E3F">
      <w:pPr>
        <w:pStyle w:val="Caption"/>
      </w:pPr>
      <w:r>
        <w:t>Figure 9</w:t>
      </w:r>
      <w:r w:rsidRPr="00DB416A">
        <w:t>–4</w:t>
      </w:r>
      <w:r w:rsidR="00FD2BC4">
        <w:t>2</w:t>
      </w:r>
      <w:r w:rsidRPr="00DB416A">
        <w:tab/>
        <w:t xml:space="preserve">Maximum demand </w:t>
      </w:r>
      <w:r w:rsidR="007A3240">
        <w:t>–</w:t>
      </w:r>
      <w:r w:rsidRPr="00DB416A">
        <w:t xml:space="preserve"> Energex</w:t>
      </w:r>
    </w:p>
    <w:p w:rsidR="00F56FEA" w:rsidRPr="005D575F" w:rsidRDefault="00F56FEA" w:rsidP="00380E4F">
      <w:r w:rsidRPr="0039199D">
        <w:rPr>
          <w:noProof/>
          <w:lang w:eastAsia="en-AU"/>
        </w:rPr>
        <w:drawing>
          <wp:inline distT="0" distB="0" distL="0" distR="0" wp14:anchorId="72FB8B4C" wp14:editId="371BCB83">
            <wp:extent cx="4572000" cy="274320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AE2FC7" w:rsidRPr="00DB416A" w:rsidRDefault="00AE2FC7" w:rsidP="00AE2FC7">
      <w:r w:rsidRPr="00DB416A">
        <w:t xml:space="preserve">Chapter 4 </w:t>
      </w:r>
      <w:r w:rsidR="009E3ACF">
        <w:t xml:space="preserve">contains our </w:t>
      </w:r>
      <w:r w:rsidRPr="00DB416A">
        <w:t>assessment of maximum demand for all DNSPs in the NEM.</w:t>
      </w:r>
    </w:p>
    <w:p w:rsidR="00AE2FC7" w:rsidRDefault="00AE2FC7" w:rsidP="00592413">
      <w:pPr>
        <w:pStyle w:val="Heading3"/>
      </w:pPr>
      <w:bookmarkStart w:id="336" w:name="_Toc409771668"/>
      <w:bookmarkStart w:id="337" w:name="_Toc412790617"/>
      <w:bookmarkStart w:id="338" w:name="_Toc413062098"/>
      <w:bookmarkStart w:id="339" w:name="_Toc413311098"/>
      <w:bookmarkStart w:id="340" w:name="_Toc423086514"/>
      <w:r>
        <w:t>Expenditure and revenue</w:t>
      </w:r>
      <w:bookmarkEnd w:id="336"/>
      <w:bookmarkEnd w:id="337"/>
      <w:bookmarkEnd w:id="338"/>
      <w:bookmarkEnd w:id="339"/>
      <w:bookmarkEnd w:id="340"/>
    </w:p>
    <w:p w:rsidR="00AE2FC7" w:rsidRPr="00DB416A" w:rsidRDefault="00AE2FC7" w:rsidP="00AE2FC7">
      <w:r w:rsidRPr="00DB416A">
        <w:t xml:space="preserve">Amendments made to </w:t>
      </w:r>
      <w:r w:rsidR="00DD4FC1">
        <w:t>our approved</w:t>
      </w:r>
      <w:r w:rsidRPr="00DB416A">
        <w:t xml:space="preserve"> forecasts as the result of Tribunal orders or as a result of approved pass throughs </w:t>
      </w:r>
      <w:r w:rsidR="003A44B7">
        <w:t>are</w:t>
      </w:r>
      <w:r w:rsidRPr="00DB416A">
        <w:t xml:space="preserve"> included in the following analysis of Energex's financial performance.</w:t>
      </w:r>
      <w:r w:rsidR="00674453">
        <w:rPr>
          <w:rStyle w:val="FootnoteReference"/>
        </w:rPr>
        <w:footnoteReference w:id="18"/>
      </w:r>
      <w:r w:rsidRPr="00DB416A">
        <w:t xml:space="preserve"> </w:t>
      </w:r>
    </w:p>
    <w:p w:rsidR="00AE2FC7" w:rsidRPr="00DB416A" w:rsidRDefault="00AE2FC7" w:rsidP="00AE2FC7">
      <w:pPr>
        <w:pStyle w:val="Heading4notnumbered"/>
      </w:pPr>
      <w:r w:rsidRPr="00DB416A">
        <w:t>Capital expenditure</w:t>
      </w:r>
    </w:p>
    <w:p w:rsidR="00AE2FC7" w:rsidRPr="00DB416A" w:rsidRDefault="00AE2FC7" w:rsidP="00AE2FC7">
      <w:r w:rsidRPr="00DB416A">
        <w:t>Energex's total capital expenditure over the first three years of the 2010</w:t>
      </w:r>
      <w:r w:rsidR="007A3240">
        <w:t>–</w:t>
      </w:r>
      <w:r w:rsidRPr="00DB416A">
        <w:t xml:space="preserve">15 regulatory control </w:t>
      </w:r>
      <w:proofErr w:type="gramStart"/>
      <w:r w:rsidRPr="00DB416A">
        <w:t>period</w:t>
      </w:r>
      <w:proofErr w:type="gramEnd"/>
      <w:r w:rsidRPr="00DB416A">
        <w:t xml:space="preserve"> was approximately </w:t>
      </w:r>
      <w:r w:rsidR="000C3884">
        <w:t>2</w:t>
      </w:r>
      <w:r w:rsidRPr="00DB416A">
        <w:t xml:space="preserve">6 per cent lower than </w:t>
      </w:r>
      <w:r w:rsidR="00DD4FC1">
        <w:t>our approved</w:t>
      </w:r>
      <w:r w:rsidRPr="00DB416A">
        <w:t xml:space="preserve"> forecast (</w:t>
      </w:r>
      <w:r>
        <w:t>Figure 9</w:t>
      </w:r>
      <w:r w:rsidRPr="00DB416A">
        <w:t>–4</w:t>
      </w:r>
      <w:r w:rsidR="00FD2BC4">
        <w:t>3</w:t>
      </w:r>
      <w:r w:rsidRPr="00DB416A">
        <w:t>).</w:t>
      </w:r>
    </w:p>
    <w:p w:rsidR="008B4F12" w:rsidRPr="00DB416A" w:rsidRDefault="008B4F12" w:rsidP="008B4F12">
      <w:r w:rsidRPr="00DB416A">
        <w:t xml:space="preserve">Energex advised </w:t>
      </w:r>
      <w:r>
        <w:t>lower than forecast capit</w:t>
      </w:r>
      <w:r w:rsidRPr="00DB416A">
        <w:t xml:space="preserve">al </w:t>
      </w:r>
      <w:r>
        <w:t xml:space="preserve">expenditure </w:t>
      </w:r>
      <w:r w:rsidRPr="00DB416A">
        <w:t>in the 2010</w:t>
      </w:r>
      <w:r>
        <w:t>–</w:t>
      </w:r>
      <w:r w:rsidRPr="00DB416A">
        <w:t xml:space="preserve">15 regulatory control </w:t>
      </w:r>
      <w:proofErr w:type="gramStart"/>
      <w:r w:rsidRPr="00DB416A">
        <w:t>period</w:t>
      </w:r>
      <w:proofErr w:type="gramEnd"/>
      <w:r w:rsidRPr="00DB416A">
        <w:t xml:space="preserve"> was due to:</w:t>
      </w:r>
    </w:p>
    <w:p w:rsidR="00B45F56" w:rsidRDefault="008B4F12" w:rsidP="00B45F56">
      <w:pPr>
        <w:pStyle w:val="ListBullet"/>
      </w:pPr>
      <w:r w:rsidRPr="00DB416A">
        <w:t xml:space="preserve">Electricity Network Capital Program (ENCAP) Review </w:t>
      </w:r>
      <w:r>
        <w:t>–</w:t>
      </w:r>
      <w:r w:rsidRPr="00DB416A">
        <w:t xml:space="preserve"> During 2011, the Queensland Government engaged an Independent Panel to review the capital programs of Energex, Ergon Energy and Powerlink, and provide advice to the Queensland Government. This had an impact on Energex's planned capital expenditure program.</w:t>
      </w:r>
      <w:r>
        <w:br/>
      </w:r>
      <w:r>
        <w:br/>
      </w:r>
      <w:r w:rsidRPr="00DB416A">
        <w:t>The ENCAP Review recognised the substantial improvements in reliability, network utilisation and progress towards N</w:t>
      </w:r>
      <w:r>
        <w:t>–</w:t>
      </w:r>
      <w:r w:rsidRPr="00DB416A">
        <w:t>1 compliance since the previous review conducted in 2003</w:t>
      </w:r>
      <w:r>
        <w:t>–</w:t>
      </w:r>
      <w:r w:rsidRPr="00DB416A">
        <w:t>04. In addition, the ENCAP Review revised security standards to achieve N</w:t>
      </w:r>
      <w:r>
        <w:t>–</w:t>
      </w:r>
      <w:r w:rsidRPr="00DB416A">
        <w:t>1 via:</w:t>
      </w:r>
    </w:p>
    <w:p w:rsidR="00B45F56" w:rsidRDefault="008B4F12" w:rsidP="00B45F56">
      <w:pPr>
        <w:pStyle w:val="ListBullet2"/>
      </w:pPr>
      <w:r w:rsidRPr="00B45F56">
        <w:t>greater reliance on 11kV feeder transfers and operational measures, and</w:t>
      </w:r>
    </w:p>
    <w:p w:rsidR="00B45F56" w:rsidRDefault="008B4F12" w:rsidP="00B45F56">
      <w:pPr>
        <w:pStyle w:val="ListBullet2"/>
      </w:pPr>
      <w:proofErr w:type="gramStart"/>
      <w:r w:rsidRPr="00B45F56">
        <w:t>higher</w:t>
      </w:r>
      <w:proofErr w:type="gramEnd"/>
      <w:r w:rsidRPr="00B45F56">
        <w:t xml:space="preserve"> single transformer substation threshold.</w:t>
      </w:r>
    </w:p>
    <w:p w:rsidR="008B4F12" w:rsidRPr="00B45F56" w:rsidRDefault="008B4F12" w:rsidP="00B45F56">
      <w:pPr>
        <w:ind w:left="284"/>
      </w:pPr>
      <w:r w:rsidRPr="00B45F56">
        <w:t xml:space="preserve">A further outcome of the review was the flat–lining of minimum service standard (MSS) at 2011–12 target levels. These changes resulted in </w:t>
      </w:r>
      <w:r w:rsidR="00B45F56">
        <w:t xml:space="preserve">a </w:t>
      </w:r>
      <w:r w:rsidRPr="00B45F56">
        <w:t>significant reduction in Energex capital programs.</w:t>
      </w:r>
    </w:p>
    <w:p w:rsidR="008B4F12" w:rsidRPr="00DB416A" w:rsidRDefault="008B4F12" w:rsidP="00B45F56">
      <w:pPr>
        <w:pStyle w:val="ListBullet"/>
      </w:pPr>
      <w:r w:rsidRPr="00DB416A">
        <w:t xml:space="preserve">Lower than expected demand </w:t>
      </w:r>
      <w:r>
        <w:t>–</w:t>
      </w:r>
      <w:r w:rsidRPr="00DB416A">
        <w:t xml:space="preserve"> Energex responded to a reduced demand forecast for South East Queensland. Energex's reduced demand forecast reflects both changing customer energy use and a slowing down of new developments in South East Queensland (e.g. in 2011</w:t>
      </w:r>
      <w:r>
        <w:t>–</w:t>
      </w:r>
      <w:r w:rsidRPr="00DB416A">
        <w:t>12 Energex connected 7,500 new subdivision lots compared with historical norms of around 25,000 per annum). Energex has deferred capital projects based on the reduction in demand.</w:t>
      </w:r>
    </w:p>
    <w:p w:rsidR="00AE2FC7" w:rsidRDefault="00AE2FC7" w:rsidP="00972E3F">
      <w:pPr>
        <w:pStyle w:val="Caption"/>
      </w:pPr>
      <w:r>
        <w:t>Figure 9</w:t>
      </w:r>
      <w:r w:rsidRPr="00DB416A">
        <w:t>–4</w:t>
      </w:r>
      <w:r w:rsidR="00FD2BC4">
        <w:t>3</w:t>
      </w:r>
      <w:r w:rsidR="003A44B7">
        <w:tab/>
      </w:r>
      <w:r w:rsidRPr="00DB416A">
        <w:t xml:space="preserve">Capital expenditure (excluding customer contributions) </w:t>
      </w:r>
      <w:r w:rsidR="007A3240">
        <w:t>–</w:t>
      </w:r>
      <w:r w:rsidRPr="00DB416A">
        <w:t xml:space="preserve"> Energex</w:t>
      </w:r>
    </w:p>
    <w:p w:rsidR="00F56FEA" w:rsidRDefault="00F56FEA" w:rsidP="00380E4F">
      <w:r w:rsidRPr="0039199D">
        <w:rPr>
          <w:noProof/>
          <w:lang w:eastAsia="en-AU"/>
        </w:rPr>
        <w:drawing>
          <wp:inline distT="0" distB="0" distL="0" distR="0" wp14:anchorId="405B1F74" wp14:editId="02D28E32">
            <wp:extent cx="4572000" cy="2743200"/>
            <wp:effectExtent l="0" t="0" r="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B4F12" w:rsidRPr="005D575F" w:rsidRDefault="008B4F12" w:rsidP="00380E4F">
      <w:r>
        <w:t>Energex's capital expenditure was lower than forecast in all categories, with the most significant reduction shown in augmentation expenditure, reflecting the lower demand outcomes experienced (Figure 9–44).</w:t>
      </w:r>
    </w:p>
    <w:p w:rsidR="00D906AD" w:rsidRPr="00DB416A" w:rsidRDefault="00D906AD" w:rsidP="00D906AD">
      <w:r w:rsidRPr="00DB416A">
        <w:t xml:space="preserve">Chapter 5 provides a description of how DNSPs fund their expenditure on investment projects (capital expenditure) and a comparative assessment of capital expenditure for all DNSPs in the NEM. </w:t>
      </w:r>
    </w:p>
    <w:p w:rsidR="00AE2FC7" w:rsidRDefault="00AE2FC7" w:rsidP="00972E3F">
      <w:pPr>
        <w:pStyle w:val="Caption"/>
      </w:pPr>
      <w:r>
        <w:t>Figure 9</w:t>
      </w:r>
      <w:r w:rsidRPr="00DB416A">
        <w:t>–4</w:t>
      </w:r>
      <w:r w:rsidR="00FD2BC4">
        <w:t>4</w:t>
      </w:r>
      <w:r w:rsidRPr="00DB416A">
        <w:tab/>
        <w:t xml:space="preserve">Capital expenditure by purpose (including customer contributions) </w:t>
      </w:r>
      <w:r w:rsidR="007A3240">
        <w:t>–</w:t>
      </w:r>
      <w:r w:rsidRPr="00DB416A">
        <w:t xml:space="preserve"> Energex</w:t>
      </w:r>
    </w:p>
    <w:p w:rsidR="00F56FEA" w:rsidRPr="005D575F" w:rsidRDefault="00F56FEA" w:rsidP="00380E4F">
      <w:r w:rsidRPr="0039199D">
        <w:rPr>
          <w:noProof/>
          <w:lang w:eastAsia="en-AU"/>
        </w:rPr>
        <w:drawing>
          <wp:inline distT="0" distB="0" distL="0" distR="0" wp14:anchorId="62A5BA9A" wp14:editId="0AF486C2">
            <wp:extent cx="4572000" cy="2743200"/>
            <wp:effectExtent l="0" t="0" r="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AE2FC7" w:rsidRPr="00DB416A" w:rsidRDefault="00AE2FC7" w:rsidP="00AE2FC7">
      <w:pPr>
        <w:pStyle w:val="Heading4notnumbered"/>
      </w:pPr>
      <w:r w:rsidRPr="00DB416A">
        <w:t>Regulatory asset base</w:t>
      </w:r>
    </w:p>
    <w:p w:rsidR="00AE2FC7" w:rsidRPr="00DB416A" w:rsidRDefault="00AE2FC7" w:rsidP="00AE2FC7">
      <w:r w:rsidRPr="00DB416A">
        <w:t>Energex's RAB increased by approximately 20 per cent over the first three years of the 2010</w:t>
      </w:r>
      <w:r w:rsidR="007A3240">
        <w:t>–</w:t>
      </w:r>
      <w:r w:rsidRPr="00DB416A">
        <w:t xml:space="preserve">15 regulatory control </w:t>
      </w:r>
      <w:proofErr w:type="gramStart"/>
      <w:r w:rsidRPr="00DB416A">
        <w:t>period</w:t>
      </w:r>
      <w:proofErr w:type="gramEnd"/>
      <w:r w:rsidRPr="00DB416A">
        <w:t>. Energex's RAB was forecast to increase by 38 per cent over this period.</w:t>
      </w:r>
      <w:r w:rsidR="008B4F12">
        <w:t xml:space="preserve"> </w:t>
      </w:r>
      <w:r w:rsidRPr="00DB416A">
        <w:t>Energex's RAB grew from approximately $8.6 billion at the end of 2009</w:t>
      </w:r>
      <w:r w:rsidR="007A3240">
        <w:t>–</w:t>
      </w:r>
      <w:r w:rsidRPr="00DB416A">
        <w:t>10 to approximately $10.3 billion at the end of 2012</w:t>
      </w:r>
      <w:r w:rsidR="007A3240">
        <w:t>–</w:t>
      </w:r>
      <w:r w:rsidRPr="00DB416A">
        <w:t>13 (</w:t>
      </w:r>
      <w:r>
        <w:t>Figure 9</w:t>
      </w:r>
      <w:r w:rsidRPr="00DB416A">
        <w:t>–4</w:t>
      </w:r>
      <w:r w:rsidR="00FD2BC4">
        <w:t>5</w:t>
      </w:r>
      <w:r w:rsidRPr="00DB416A">
        <w:t xml:space="preserve">). </w:t>
      </w:r>
    </w:p>
    <w:p w:rsidR="008B4F12" w:rsidRPr="00DB416A" w:rsidRDefault="008B4F12" w:rsidP="008B4F12">
      <w:r w:rsidRPr="00DB416A">
        <w:t>The increasing difference between the forecast RAB and the actual value of Energex's RAB is consistent with its underspending on capital over the first three years of the 2010</w:t>
      </w:r>
      <w:r>
        <w:t>–</w:t>
      </w:r>
      <w:r w:rsidRPr="00DB416A">
        <w:t xml:space="preserve">15 regulatory control </w:t>
      </w:r>
      <w:proofErr w:type="gramStart"/>
      <w:r w:rsidRPr="00DB416A">
        <w:t>period</w:t>
      </w:r>
      <w:proofErr w:type="gramEnd"/>
      <w:r w:rsidRPr="00DB416A">
        <w:t>.</w:t>
      </w:r>
    </w:p>
    <w:p w:rsidR="00AE2FC7" w:rsidRDefault="00AE2FC7" w:rsidP="00972E3F">
      <w:pPr>
        <w:pStyle w:val="Caption"/>
      </w:pPr>
      <w:r>
        <w:t>Figure 9</w:t>
      </w:r>
      <w:r w:rsidRPr="00DB416A">
        <w:t>–4</w:t>
      </w:r>
      <w:r w:rsidR="00FD2BC4">
        <w:t>5</w:t>
      </w:r>
      <w:r w:rsidR="003A44B7">
        <w:tab/>
      </w:r>
      <w:r w:rsidRPr="00DB416A">
        <w:t xml:space="preserve">Regulatory asset base </w:t>
      </w:r>
      <w:r w:rsidR="007A3240">
        <w:t>–</w:t>
      </w:r>
      <w:r w:rsidRPr="00DB416A">
        <w:t xml:space="preserve"> Energex</w:t>
      </w:r>
    </w:p>
    <w:p w:rsidR="0039199D" w:rsidRPr="00380E4F" w:rsidRDefault="00380E4F" w:rsidP="00380E4F">
      <w:r w:rsidRPr="00380E4F">
        <w:rPr>
          <w:noProof/>
          <w:lang w:eastAsia="en-AU"/>
        </w:rPr>
        <w:drawing>
          <wp:inline distT="0" distB="0" distL="0" distR="0" wp14:anchorId="61E27EAA" wp14:editId="492236D2">
            <wp:extent cx="4733925" cy="2743200"/>
            <wp:effectExtent l="0" t="0" r="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AE2FC7" w:rsidRPr="00DB416A" w:rsidRDefault="00AE2FC7" w:rsidP="00AE2FC7">
      <w:pPr>
        <w:pStyle w:val="Heading4notnumbered"/>
      </w:pPr>
      <w:r w:rsidRPr="00DB416A">
        <w:t>Operating expenditure</w:t>
      </w:r>
    </w:p>
    <w:p w:rsidR="00AE2FC7" w:rsidRPr="00DB416A" w:rsidRDefault="00AE2FC7" w:rsidP="00AE2FC7">
      <w:r w:rsidRPr="00DB416A">
        <w:t>Energex's operating expenditure over the first three years of the 2010</w:t>
      </w:r>
      <w:r w:rsidR="007A3240">
        <w:t>–</w:t>
      </w:r>
      <w:r w:rsidRPr="00DB416A">
        <w:t xml:space="preserve">15 regulatory control </w:t>
      </w:r>
      <w:proofErr w:type="gramStart"/>
      <w:r w:rsidRPr="00DB416A">
        <w:t>period</w:t>
      </w:r>
      <w:proofErr w:type="gramEnd"/>
      <w:r w:rsidRPr="00DB416A">
        <w:t xml:space="preserve"> was approximately 10 per cent higher than </w:t>
      </w:r>
      <w:r w:rsidR="00DD4FC1">
        <w:t>our approved</w:t>
      </w:r>
      <w:r w:rsidRPr="00DB416A">
        <w:t xml:space="preserve"> forecast (</w:t>
      </w:r>
      <w:r>
        <w:t>Figure 9</w:t>
      </w:r>
      <w:r w:rsidRPr="00DB416A">
        <w:t>–</w:t>
      </w:r>
      <w:r w:rsidR="00FD2BC4">
        <w:t>46</w:t>
      </w:r>
      <w:r w:rsidRPr="00DB416A">
        <w:t xml:space="preserve">). </w:t>
      </w:r>
    </w:p>
    <w:p w:rsidR="008B4F12" w:rsidRPr="00DB416A" w:rsidRDefault="008B4F12" w:rsidP="008B4F12">
      <w:r w:rsidRPr="00DB416A">
        <w:t xml:space="preserve">Energex indicated </w:t>
      </w:r>
      <w:proofErr w:type="gramStart"/>
      <w:r w:rsidRPr="00DB416A">
        <w:t>its</w:t>
      </w:r>
      <w:proofErr w:type="gramEnd"/>
      <w:r w:rsidRPr="00DB416A">
        <w:t xml:space="preserve"> higher than forecast operating expenditure was primarily due to the following factors:</w:t>
      </w:r>
    </w:p>
    <w:p w:rsidR="008B4F12" w:rsidRPr="00DB416A" w:rsidRDefault="008B4F12" w:rsidP="00B45F56">
      <w:pPr>
        <w:pStyle w:val="ListBullet"/>
      </w:pPr>
      <w:proofErr w:type="gramStart"/>
      <w:r w:rsidRPr="00DB416A">
        <w:t>feed</w:t>
      </w:r>
      <w:proofErr w:type="gramEnd"/>
      <w:r w:rsidRPr="00DB416A">
        <w:t xml:space="preserve"> in Tariff (</w:t>
      </w:r>
      <w:proofErr w:type="spellStart"/>
      <w:r w:rsidRPr="00DB416A">
        <w:t>FiT</w:t>
      </w:r>
      <w:proofErr w:type="spellEnd"/>
      <w:r w:rsidRPr="00DB416A">
        <w:t xml:space="preserve">) payments </w:t>
      </w:r>
      <w:r>
        <w:t>–</w:t>
      </w:r>
      <w:r w:rsidRPr="00DB416A">
        <w:t xml:space="preserve"> Actual operating expenditure includes significant solar </w:t>
      </w:r>
      <w:proofErr w:type="spellStart"/>
      <w:r w:rsidRPr="00DB416A">
        <w:t>FiT</w:t>
      </w:r>
      <w:proofErr w:type="spellEnd"/>
      <w:r w:rsidRPr="00DB416A">
        <w:t xml:space="preserve"> payments compared to the forecasts in the regulatory distribution determination.</w:t>
      </w:r>
      <w:r>
        <w:t xml:space="preserve"> </w:t>
      </w:r>
      <w:r w:rsidRPr="00DB416A">
        <w:t xml:space="preserve">Energex experienced rapid growth in residential solar, and as a result an exponential rise in the level of annual </w:t>
      </w:r>
      <w:proofErr w:type="spellStart"/>
      <w:r w:rsidRPr="00DB416A">
        <w:t>FiT</w:t>
      </w:r>
      <w:proofErr w:type="spellEnd"/>
      <w:r w:rsidRPr="00DB416A">
        <w:t xml:space="preserve"> payments. Over the first three years of the 2010</w:t>
      </w:r>
      <w:r>
        <w:t>–</w:t>
      </w:r>
      <w:r w:rsidRPr="00DB416A">
        <w:t xml:space="preserve">15 regulatory control period Energex incurred </w:t>
      </w:r>
      <w:proofErr w:type="spellStart"/>
      <w:r w:rsidRPr="00DB416A">
        <w:t>FiT</w:t>
      </w:r>
      <w:proofErr w:type="spellEnd"/>
      <w:r w:rsidRPr="00DB416A">
        <w:t xml:space="preserve"> payments of approximately $260 million compared to a forecast of </w:t>
      </w:r>
      <w:r w:rsidR="00B45F56">
        <w:t>$20 million for the same period</w:t>
      </w:r>
      <w:r w:rsidRPr="00DB416A">
        <w:t xml:space="preserve"> </w:t>
      </w:r>
    </w:p>
    <w:p w:rsidR="008B4F12" w:rsidRPr="00DB416A" w:rsidRDefault="008B4F12" w:rsidP="00B45F56">
      <w:pPr>
        <w:pStyle w:val="ListBullet"/>
      </w:pPr>
      <w:r w:rsidRPr="00DB416A">
        <w:t xml:space="preserve">weather events </w:t>
      </w:r>
      <w:r>
        <w:t>–</w:t>
      </w:r>
      <w:r w:rsidRPr="00DB416A">
        <w:t xml:space="preserve"> Cost of responding to significant weather events (i.e. the January 2011 floods and Tropical Cyclone Oswald in January 2013)</w:t>
      </w:r>
    </w:p>
    <w:p w:rsidR="008B4F12" w:rsidRPr="00DB416A" w:rsidRDefault="008B4F12" w:rsidP="00B45F56">
      <w:pPr>
        <w:pStyle w:val="ListBullet"/>
      </w:pPr>
      <w:r w:rsidRPr="00DB416A">
        <w:t>corporate restructure costs – Actual costs, particularly 2012</w:t>
      </w:r>
      <w:r>
        <w:t>–</w:t>
      </w:r>
      <w:r w:rsidRPr="00DB416A">
        <w:t>13, include corporate restructure costs as Energex seeks to right</w:t>
      </w:r>
      <w:r>
        <w:t>–</w:t>
      </w:r>
      <w:r w:rsidRPr="00DB416A">
        <w:t>size the organisation in response to the lower than expected demand which has resulted in a significant reduction in capital expenditure.</w:t>
      </w:r>
    </w:p>
    <w:p w:rsidR="00AE2FC7" w:rsidRDefault="00AE2FC7" w:rsidP="00972E3F">
      <w:pPr>
        <w:pStyle w:val="Caption"/>
      </w:pPr>
      <w:r>
        <w:t>Figure 9</w:t>
      </w:r>
      <w:r w:rsidRPr="00DB416A">
        <w:t>–</w:t>
      </w:r>
      <w:r w:rsidR="00FD2BC4">
        <w:t>46</w:t>
      </w:r>
      <w:r w:rsidRPr="00DB416A">
        <w:tab/>
        <w:t xml:space="preserve">Operating expenditure </w:t>
      </w:r>
      <w:r w:rsidR="007A3240">
        <w:t>–</w:t>
      </w:r>
      <w:r w:rsidRPr="00DB416A">
        <w:t xml:space="preserve"> Energex</w:t>
      </w:r>
    </w:p>
    <w:p w:rsidR="00380E4F" w:rsidRPr="00380E4F" w:rsidRDefault="00380E4F" w:rsidP="00380E4F">
      <w:r w:rsidRPr="00380E4F">
        <w:rPr>
          <w:noProof/>
          <w:lang w:eastAsia="en-AU"/>
        </w:rPr>
        <w:drawing>
          <wp:inline distT="0" distB="0" distL="0" distR="0" wp14:anchorId="409DE1D1" wp14:editId="03ECEC5E">
            <wp:extent cx="4572000" cy="2743200"/>
            <wp:effectExtent l="0" t="0" r="0"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E2FC7" w:rsidRPr="00DB416A" w:rsidRDefault="00AE2FC7" w:rsidP="00AE2FC7">
      <w:r w:rsidRPr="00DB416A">
        <w:t xml:space="preserve">Chapter 6 </w:t>
      </w:r>
      <w:r w:rsidR="009E3ACF">
        <w:t xml:space="preserve">contains our </w:t>
      </w:r>
      <w:r w:rsidRPr="00DB416A">
        <w:t xml:space="preserve">assessment of operating expenditure for all DNSPs in the NEM. </w:t>
      </w:r>
    </w:p>
    <w:p w:rsidR="00AE2FC7" w:rsidRPr="00DB416A" w:rsidRDefault="00AE2FC7" w:rsidP="00AE2FC7">
      <w:pPr>
        <w:pStyle w:val="Heading4notnumbered"/>
      </w:pPr>
      <w:r w:rsidRPr="00DB416A">
        <w:t>Revenue</w:t>
      </w:r>
    </w:p>
    <w:p w:rsidR="00AE2FC7" w:rsidRPr="00DB416A" w:rsidRDefault="00DD4FC1" w:rsidP="00AE2FC7">
      <w:r>
        <w:t>Our 2010</w:t>
      </w:r>
      <w:r w:rsidR="00AE2FC7" w:rsidRPr="00DB416A">
        <w:t xml:space="preserve"> distribution determination applied a revenue cap form of control to Energex's distribution services over the 2010</w:t>
      </w:r>
      <w:r w:rsidR="007A3240">
        <w:t>–</w:t>
      </w:r>
      <w:r w:rsidR="00AE2FC7" w:rsidRPr="00DB416A">
        <w:t xml:space="preserve">15 regulatory control </w:t>
      </w:r>
      <w:proofErr w:type="gramStart"/>
      <w:r w:rsidR="00AE2FC7" w:rsidRPr="00DB416A">
        <w:t>period</w:t>
      </w:r>
      <w:proofErr w:type="gramEnd"/>
      <w:r w:rsidR="00AE2FC7" w:rsidRPr="00DB416A">
        <w:t xml:space="preserve">. A revenue cap imposes controls over the revenues a distributor may recover </w:t>
      </w:r>
      <w:r w:rsidR="008B6E39">
        <w:t>for</w:t>
      </w:r>
      <w:r w:rsidR="008B6E39" w:rsidRPr="00DB416A">
        <w:t xml:space="preserve"> </w:t>
      </w:r>
      <w:r w:rsidR="00AE2FC7" w:rsidRPr="00DB416A">
        <w:t>providing electricity distribution services.</w:t>
      </w:r>
    </w:p>
    <w:p w:rsidR="00AE2FC7" w:rsidRPr="00DB416A" w:rsidRDefault="00AE2FC7" w:rsidP="00AE2FC7">
      <w:r w:rsidRPr="00DB416A">
        <w:t>Energex's MAR for any given year may be impacted by the following factors:</w:t>
      </w:r>
    </w:p>
    <w:p w:rsidR="00AE2FC7" w:rsidRPr="00DB416A" w:rsidRDefault="00AE2FC7" w:rsidP="00B45F56">
      <w:pPr>
        <w:pStyle w:val="ListBullet"/>
      </w:pPr>
      <w:r w:rsidRPr="00DB416A">
        <w:t xml:space="preserve">any STPIS revenue increment (or revenue decrement) (see Energex's Service performance) </w:t>
      </w:r>
    </w:p>
    <w:p w:rsidR="00AE2FC7" w:rsidRPr="00DB416A" w:rsidRDefault="00AE2FC7" w:rsidP="00B45F56">
      <w:pPr>
        <w:pStyle w:val="ListBullet"/>
      </w:pPr>
      <w:r w:rsidRPr="00DB416A">
        <w:t xml:space="preserve">any </w:t>
      </w:r>
      <w:proofErr w:type="spellStart"/>
      <w:r w:rsidRPr="00DB416A">
        <w:t>unders</w:t>
      </w:r>
      <w:proofErr w:type="spellEnd"/>
      <w:r w:rsidRPr="00DB416A">
        <w:t>/overs adjustments related to capital contributions</w:t>
      </w:r>
    </w:p>
    <w:p w:rsidR="00AE2FC7" w:rsidRPr="00DB416A" w:rsidRDefault="00AE2FC7" w:rsidP="00B45F56">
      <w:pPr>
        <w:pStyle w:val="ListBullet"/>
      </w:pPr>
      <w:r w:rsidRPr="00DB416A">
        <w:t>transitional adjustments</w:t>
      </w:r>
    </w:p>
    <w:p w:rsidR="00AE2FC7" w:rsidRPr="00DB416A" w:rsidRDefault="00AE2FC7" w:rsidP="00B45F56">
      <w:pPr>
        <w:pStyle w:val="ListBullet"/>
      </w:pPr>
      <w:r w:rsidRPr="00DB416A">
        <w:t>any approved pass through amounts</w:t>
      </w:r>
    </w:p>
    <w:p w:rsidR="00AE2FC7" w:rsidRPr="00DB416A" w:rsidRDefault="00AE2FC7" w:rsidP="00B45F56">
      <w:pPr>
        <w:pStyle w:val="ListBullet"/>
      </w:pPr>
      <w:proofErr w:type="gramStart"/>
      <w:r w:rsidRPr="00DB416A">
        <w:t>any</w:t>
      </w:r>
      <w:proofErr w:type="gramEnd"/>
      <w:r w:rsidRPr="00DB416A">
        <w:t xml:space="preserve"> </w:t>
      </w:r>
      <w:proofErr w:type="spellStart"/>
      <w:r w:rsidRPr="00DB416A">
        <w:t>unders</w:t>
      </w:r>
      <w:proofErr w:type="spellEnd"/>
      <w:r w:rsidRPr="00DB416A">
        <w:t xml:space="preserve"> and overs related to under recovery/over recovery of revenues from a previous year.</w:t>
      </w:r>
    </w:p>
    <w:p w:rsidR="00AE2FC7" w:rsidRPr="00DB416A" w:rsidRDefault="00AE2FC7" w:rsidP="00AE2FC7">
      <w:r w:rsidRPr="00DB416A">
        <w:t>As part of its annual pricing proposals, Energex submits to the AER its proposed tariffs, which when multiplied by forecast consumption for that year result in expected revenues consistent with the MAR plus any of the factors listed above.</w:t>
      </w:r>
    </w:p>
    <w:p w:rsidR="00AE2FC7" w:rsidRPr="00DB416A" w:rsidRDefault="00AE2FC7" w:rsidP="00AE2FC7">
      <w:r w:rsidRPr="00DB416A">
        <w:t>Energex's total revenue earned for standard control services over the first three years of the 2010</w:t>
      </w:r>
      <w:r w:rsidR="007A3240">
        <w:t>–</w:t>
      </w:r>
      <w:r w:rsidRPr="00DB416A">
        <w:t xml:space="preserve">15 regulatory control period was approximately 8 per cent lower than </w:t>
      </w:r>
      <w:r w:rsidR="00DD4FC1">
        <w:t>our approved</w:t>
      </w:r>
      <w:r w:rsidRPr="00DB416A">
        <w:t xml:space="preserve"> forecast (</w:t>
      </w:r>
      <w:r>
        <w:t>Figure 9</w:t>
      </w:r>
      <w:r w:rsidRPr="00DB416A">
        <w:t>–</w:t>
      </w:r>
      <w:r w:rsidR="00FD2BC4">
        <w:t>47</w:t>
      </w:r>
      <w:r w:rsidRPr="00DB416A">
        <w:t xml:space="preserve">). </w:t>
      </w:r>
    </w:p>
    <w:p w:rsidR="008B4F12" w:rsidRPr="00DB416A" w:rsidRDefault="008B4F12" w:rsidP="008B4F12">
      <w:r w:rsidRPr="00DB416A">
        <w:t>Energex indicated revenue recovered from customers was below forecast due to lower energy sales resulting from:</w:t>
      </w:r>
    </w:p>
    <w:p w:rsidR="008B4F12" w:rsidRPr="00DB416A" w:rsidRDefault="008B4F12" w:rsidP="002E54A8">
      <w:pPr>
        <w:pStyle w:val="ListBullet"/>
      </w:pPr>
      <w:r w:rsidRPr="00DB416A">
        <w:t>customers responding to rising electricity prices by changing usage patterns and lowering consumption</w:t>
      </w:r>
    </w:p>
    <w:p w:rsidR="008B4F12" w:rsidRPr="00DB416A" w:rsidRDefault="008B4F12" w:rsidP="002E54A8">
      <w:pPr>
        <w:pStyle w:val="ListBullet"/>
      </w:pPr>
      <w:proofErr w:type="gramStart"/>
      <w:r w:rsidRPr="00DB416A">
        <w:t>the</w:t>
      </w:r>
      <w:proofErr w:type="gramEnd"/>
      <w:r w:rsidRPr="00DB416A">
        <w:t xml:space="preserve"> impact of in</w:t>
      </w:r>
      <w:r>
        <w:t>–</w:t>
      </w:r>
      <w:r w:rsidRPr="00DB416A">
        <w:t xml:space="preserve">house usage of energy generated from </w:t>
      </w:r>
      <w:r w:rsidR="002E54A8">
        <w:t>solar PV. The uptake of s</w:t>
      </w:r>
      <w:r w:rsidRPr="00DB416A">
        <w:t>olar PV has significantly exceeded expectations.</w:t>
      </w:r>
    </w:p>
    <w:p w:rsidR="008B4F12" w:rsidRPr="00DB416A" w:rsidRDefault="008B4F12" w:rsidP="008B4F12">
      <w:r w:rsidRPr="00DB416A">
        <w:t>Th</w:t>
      </w:r>
      <w:r>
        <w:t>is</w:t>
      </w:r>
      <w:r w:rsidRPr="00DB416A">
        <w:t xml:space="preserve"> increase</w:t>
      </w:r>
      <w:r>
        <w:t>d</w:t>
      </w:r>
      <w:r w:rsidRPr="00DB416A">
        <w:t xml:space="preserve"> the amount of under recovered revenue each year which </w:t>
      </w:r>
      <w:r>
        <w:t xml:space="preserve">is </w:t>
      </w:r>
      <w:r w:rsidRPr="00DB416A">
        <w:t xml:space="preserve">then recovered from customers in subsequent years. </w:t>
      </w:r>
    </w:p>
    <w:p w:rsidR="00AE2FC7" w:rsidRDefault="00AE2FC7" w:rsidP="00972E3F">
      <w:pPr>
        <w:pStyle w:val="Caption"/>
      </w:pPr>
      <w:r>
        <w:t>Figure 9</w:t>
      </w:r>
      <w:r w:rsidRPr="00DB416A">
        <w:t>–</w:t>
      </w:r>
      <w:r w:rsidR="00FD2BC4">
        <w:t>47</w:t>
      </w:r>
      <w:r w:rsidRPr="00DB416A">
        <w:tab/>
        <w:t xml:space="preserve">Revenue </w:t>
      </w:r>
      <w:r w:rsidR="007A3240">
        <w:t>–</w:t>
      </w:r>
      <w:r w:rsidRPr="00DB416A">
        <w:t xml:space="preserve"> Energex</w:t>
      </w:r>
    </w:p>
    <w:p w:rsidR="00380E4F" w:rsidRPr="00380E4F" w:rsidRDefault="00380E4F" w:rsidP="00380E4F">
      <w:r w:rsidRPr="00380E4F">
        <w:rPr>
          <w:noProof/>
          <w:lang w:eastAsia="en-AU"/>
        </w:rPr>
        <w:drawing>
          <wp:inline distT="0" distB="0" distL="0" distR="0" wp14:anchorId="333472AB" wp14:editId="7E1FDD83">
            <wp:extent cx="4572000" cy="27432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E2FC7" w:rsidRPr="00DB416A" w:rsidRDefault="00AE2FC7" w:rsidP="00AE2FC7">
      <w:r w:rsidRPr="00DB416A">
        <w:t xml:space="preserve">Chapter 7 provides further information on the revenue cap control mechanism </w:t>
      </w:r>
      <w:r w:rsidR="00AB11E6">
        <w:t xml:space="preserve">as well as our comparative </w:t>
      </w:r>
      <w:r w:rsidRPr="00DB416A">
        <w:t>assessment of revenue for all DNSPs in the NEM.</w:t>
      </w:r>
    </w:p>
    <w:p w:rsidR="00AE2FC7" w:rsidRDefault="00AE2FC7" w:rsidP="00592413">
      <w:pPr>
        <w:pStyle w:val="Heading3"/>
      </w:pPr>
      <w:bookmarkStart w:id="341" w:name="_Toc409771669"/>
      <w:bookmarkStart w:id="342" w:name="_Toc412790618"/>
      <w:bookmarkStart w:id="343" w:name="_Toc413062099"/>
      <w:bookmarkStart w:id="344" w:name="_Toc413311099"/>
      <w:bookmarkStart w:id="345" w:name="_Toc423086515"/>
      <w:r>
        <w:t>Financial performance</w:t>
      </w:r>
      <w:bookmarkEnd w:id="341"/>
      <w:bookmarkEnd w:id="342"/>
      <w:bookmarkEnd w:id="343"/>
      <w:bookmarkEnd w:id="344"/>
      <w:bookmarkEnd w:id="345"/>
    </w:p>
    <w:p w:rsidR="00AE2FC7" w:rsidRPr="00DB416A" w:rsidRDefault="00AE2FC7" w:rsidP="00AE2FC7">
      <w:r w:rsidRPr="00DB416A">
        <w:t>Energex's average EBIT for standard control services was approximately 36 per cent of its total revenue earned for standard control services over 2010</w:t>
      </w:r>
      <w:r w:rsidR="007A3240">
        <w:t>–</w:t>
      </w:r>
      <w:r w:rsidRPr="00DB416A">
        <w:t xml:space="preserve">13. </w:t>
      </w:r>
      <w:r w:rsidR="00525C94" w:rsidRPr="00CB73C1">
        <w:t xml:space="preserve">The EBIT in </w:t>
      </w:r>
      <w:r w:rsidR="00525C94">
        <w:t>Figure 9</w:t>
      </w:r>
      <w:r w:rsidR="00525C94" w:rsidRPr="00CB73C1">
        <w:t>–</w:t>
      </w:r>
      <w:r w:rsidR="00525C94">
        <w:t>48</w:t>
      </w:r>
      <w:r w:rsidR="00525C94" w:rsidRPr="00CB73C1">
        <w:t xml:space="preserve"> includes depreciation and amortisation</w:t>
      </w:r>
      <w:r w:rsidR="00525C94">
        <w:t xml:space="preserve"> and should not be used as a definitive measure of core profitability</w:t>
      </w:r>
      <w:r w:rsidR="00525C94" w:rsidRPr="00CB73C1">
        <w:t>.</w:t>
      </w:r>
    </w:p>
    <w:p w:rsidR="00380E4F" w:rsidRDefault="00AE2FC7" w:rsidP="00972E3F">
      <w:pPr>
        <w:pStyle w:val="Caption"/>
      </w:pPr>
      <w:r>
        <w:t>Figure 9</w:t>
      </w:r>
      <w:r w:rsidRPr="00DB416A">
        <w:t>–</w:t>
      </w:r>
      <w:r w:rsidR="00FD2BC4">
        <w:t>48</w:t>
      </w:r>
      <w:r w:rsidR="003A44B7">
        <w:tab/>
      </w:r>
      <w:r w:rsidR="00E96C0F" w:rsidRPr="00CB73C1">
        <w:t>E</w:t>
      </w:r>
      <w:r w:rsidR="00E96C0F">
        <w:t>arnings before interest and tax</w:t>
      </w:r>
      <w:r w:rsidR="007A3240">
        <w:t>–</w:t>
      </w:r>
      <w:r w:rsidRPr="00DB416A">
        <w:t xml:space="preserve"> Energex</w:t>
      </w:r>
    </w:p>
    <w:p w:rsidR="00AE2FC7" w:rsidRPr="00DB416A" w:rsidRDefault="00380E4F" w:rsidP="00972E3F">
      <w:pPr>
        <w:pStyle w:val="Caption"/>
      </w:pPr>
      <w:r w:rsidRPr="00380E4F">
        <w:rPr>
          <w:noProof/>
          <w:lang w:eastAsia="en-AU"/>
        </w:rPr>
        <w:drawing>
          <wp:inline distT="0" distB="0" distL="0" distR="0" wp14:anchorId="2781F12A" wp14:editId="3F0D946D">
            <wp:extent cx="4572000" cy="274320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AE2FC7" w:rsidRDefault="00AE2FC7" w:rsidP="00592413">
      <w:pPr>
        <w:pStyle w:val="Heading3"/>
      </w:pPr>
      <w:bookmarkStart w:id="346" w:name="_Toc409771670"/>
      <w:bookmarkStart w:id="347" w:name="_Toc412790619"/>
      <w:bookmarkStart w:id="348" w:name="_Toc413062100"/>
      <w:bookmarkStart w:id="349" w:name="_Toc413311100"/>
      <w:bookmarkStart w:id="350" w:name="_Toc423086516"/>
      <w:r>
        <w:t>Service performance</w:t>
      </w:r>
      <w:bookmarkEnd w:id="346"/>
      <w:bookmarkEnd w:id="347"/>
      <w:bookmarkEnd w:id="348"/>
      <w:bookmarkEnd w:id="349"/>
      <w:bookmarkEnd w:id="350"/>
    </w:p>
    <w:p w:rsidR="00AE2FC7" w:rsidRPr="00DB416A" w:rsidRDefault="00AE2FC7" w:rsidP="00AE2FC7">
      <w:pPr>
        <w:pStyle w:val="Heading4notnumbered"/>
      </w:pPr>
      <w:r w:rsidRPr="00DB416A">
        <w:t>Total interruptions to supply</w:t>
      </w:r>
    </w:p>
    <w:p w:rsidR="00AE2FC7" w:rsidRPr="00DB416A" w:rsidRDefault="00AE2FC7" w:rsidP="00AE2FC7">
      <w:r w:rsidRPr="00DB416A">
        <w:t>Total interruptions to supply reflect the total impact of both planned and unplanned interruptions (</w:t>
      </w:r>
      <w:r>
        <w:t>Figure 9</w:t>
      </w:r>
      <w:r w:rsidRPr="00DB416A">
        <w:t>–</w:t>
      </w:r>
      <w:r w:rsidR="00FD2BC4">
        <w:t>49</w:t>
      </w:r>
      <w:r w:rsidRPr="00DB416A">
        <w:t xml:space="preserve">). This measure reflects </w:t>
      </w:r>
      <w:r w:rsidR="001368B1">
        <w:t>the actual experience of</w:t>
      </w:r>
      <w:r w:rsidR="001368B1" w:rsidRPr="00CB73C1">
        <w:t xml:space="preserve"> the average </w:t>
      </w:r>
      <w:r w:rsidRPr="00DB416A">
        <w:t>Energex customer.</w:t>
      </w:r>
      <w:r w:rsidR="00CC0E3F">
        <w:t xml:space="preserve"> </w:t>
      </w:r>
      <w:r w:rsidRPr="00DB416A">
        <w:t xml:space="preserve">Total interruptions to supply include the effect of any interruptions considered to be </w:t>
      </w:r>
      <w:r w:rsidR="00133534">
        <w:t xml:space="preserve">excluded </w:t>
      </w:r>
      <w:r w:rsidR="00460775">
        <w:t>events in the STPIS</w:t>
      </w:r>
      <w:r w:rsidRPr="00DB416A">
        <w:t xml:space="preserve">. </w:t>
      </w:r>
    </w:p>
    <w:p w:rsidR="00AE2FC7" w:rsidRPr="00DB416A" w:rsidRDefault="00AE2FC7" w:rsidP="00972E3F">
      <w:pPr>
        <w:pStyle w:val="Caption"/>
      </w:pPr>
      <w:r>
        <w:t>Figure 9</w:t>
      </w:r>
      <w:r w:rsidRPr="00DB416A">
        <w:t>–</w:t>
      </w:r>
      <w:r w:rsidR="00FD2BC4">
        <w:t>49</w:t>
      </w:r>
      <w:r w:rsidRPr="00DB416A">
        <w:tab/>
        <w:t xml:space="preserve">Total interruptions to supply </w:t>
      </w:r>
      <w:r w:rsidR="007A3240">
        <w:t>–</w:t>
      </w:r>
      <w:r w:rsidRPr="00DB416A">
        <w:t xml:space="preserve"> Energex</w:t>
      </w:r>
    </w:p>
    <w:p w:rsidR="00FD2BC4" w:rsidRDefault="00FD2BC4" w:rsidP="00380E4F">
      <w:r>
        <w:rPr>
          <w:noProof/>
          <w:lang w:eastAsia="en-AU"/>
        </w:rPr>
        <w:drawing>
          <wp:inline distT="0" distB="0" distL="0" distR="0" wp14:anchorId="0703EDF9" wp14:editId="3CCD0ACD">
            <wp:extent cx="2757600" cy="1652400"/>
            <wp:effectExtent l="0" t="0" r="508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57600" cy="1652400"/>
                    </a:xfrm>
                    <a:prstGeom prst="rect">
                      <a:avLst/>
                    </a:prstGeom>
                    <a:noFill/>
                  </pic:spPr>
                </pic:pic>
              </a:graphicData>
            </a:graphic>
          </wp:inline>
        </w:drawing>
      </w:r>
      <w:r>
        <w:t xml:space="preserve"> </w:t>
      </w:r>
      <w:r>
        <w:rPr>
          <w:noProof/>
          <w:lang w:eastAsia="en-AU"/>
        </w:rPr>
        <w:drawing>
          <wp:inline distT="0" distB="0" distL="0" distR="0" wp14:anchorId="21242DCC" wp14:editId="03FD9DFD">
            <wp:extent cx="2757600" cy="1652400"/>
            <wp:effectExtent l="0" t="0" r="508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57600" cy="1652400"/>
                    </a:xfrm>
                    <a:prstGeom prst="rect">
                      <a:avLst/>
                    </a:prstGeom>
                    <a:noFill/>
                  </pic:spPr>
                </pic:pic>
              </a:graphicData>
            </a:graphic>
          </wp:inline>
        </w:drawing>
      </w:r>
      <w:r>
        <w:t xml:space="preserve"> </w:t>
      </w:r>
    </w:p>
    <w:p w:rsidR="003A44B7" w:rsidRDefault="00FD2BC4" w:rsidP="00380E4F">
      <w:r w:rsidRPr="00FD2BC4">
        <w:rPr>
          <w:noProof/>
          <w:lang w:eastAsia="en-AU"/>
        </w:rPr>
        <w:drawing>
          <wp:inline distT="0" distB="0" distL="0" distR="0" wp14:anchorId="33A2B333" wp14:editId="03C17F87">
            <wp:extent cx="5731510" cy="1072821"/>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1072821"/>
                    </a:xfrm>
                    <a:prstGeom prst="rect">
                      <a:avLst/>
                    </a:prstGeom>
                    <a:noFill/>
                    <a:ln>
                      <a:noFill/>
                    </a:ln>
                  </pic:spPr>
                </pic:pic>
              </a:graphicData>
            </a:graphic>
          </wp:inline>
        </w:drawing>
      </w:r>
    </w:p>
    <w:p w:rsidR="00AE2FC7" w:rsidRPr="00DB416A" w:rsidRDefault="00AE2FC7" w:rsidP="00AE2FC7">
      <w:pPr>
        <w:pStyle w:val="Heading4notnumbered"/>
      </w:pPr>
      <w:r w:rsidRPr="00DB416A">
        <w:t>Service Target Performance Incentive Scheme</w:t>
      </w:r>
    </w:p>
    <w:p w:rsidR="00AE2FC7" w:rsidRPr="00DB416A" w:rsidRDefault="00DD4FC1" w:rsidP="00AE2FC7">
      <w:r>
        <w:t>In our 2010 distribution determination we</w:t>
      </w:r>
      <w:r w:rsidR="00AE2FC7" w:rsidRPr="00DB416A">
        <w:t xml:space="preserve"> determined the STPIS would apply to Energex in the 2010</w:t>
      </w:r>
      <w:r w:rsidR="007A3240">
        <w:t>–</w:t>
      </w:r>
      <w:r w:rsidR="00AE2FC7" w:rsidRPr="00DB416A">
        <w:t xml:space="preserve">15 regulatory control period with an overall revenue at risk of ±2 per cent. </w:t>
      </w:r>
      <w:r w:rsidR="003A44B7">
        <w:t>We</w:t>
      </w:r>
      <w:r w:rsidR="00AE2FC7" w:rsidRPr="00DB416A">
        <w:t xml:space="preserve"> </w:t>
      </w:r>
      <w:r w:rsidR="00460775">
        <w:t>decided to not</w:t>
      </w:r>
      <w:r w:rsidR="003A44B7" w:rsidRPr="00DB416A">
        <w:t xml:space="preserve"> </w:t>
      </w:r>
      <w:r w:rsidR="00AE2FC7" w:rsidRPr="00DB416A">
        <w:t xml:space="preserve">apply the telephone answering parameter to Energex because of a lack of data. </w:t>
      </w:r>
      <w:r w:rsidR="003A44B7">
        <w:t xml:space="preserve">We </w:t>
      </w:r>
      <w:r w:rsidR="00AE2FC7" w:rsidRPr="00DB416A">
        <w:t xml:space="preserve">also </w:t>
      </w:r>
      <w:r w:rsidR="00460775">
        <w:t>decided to not</w:t>
      </w:r>
      <w:r w:rsidR="00AE2FC7" w:rsidRPr="00DB416A">
        <w:t xml:space="preserve"> apply the GSL component while the QCA’s GSL scheme remained in place. </w:t>
      </w:r>
    </w:p>
    <w:p w:rsidR="00AE2FC7" w:rsidRPr="00DB416A" w:rsidRDefault="00AE2FC7" w:rsidP="00AE2FC7">
      <w:r w:rsidRPr="00DB416A">
        <w:t xml:space="preserve">The following section shows the effect of (normalised) unplanned interruptions to supply to customers on Energex's network. </w:t>
      </w:r>
    </w:p>
    <w:p w:rsidR="00AE2FC7" w:rsidRPr="00DB416A" w:rsidRDefault="00AE2FC7" w:rsidP="00AE2FC7">
      <w:pPr>
        <w:pStyle w:val="Heading4notnumbered"/>
      </w:pPr>
      <w:r w:rsidRPr="00DB416A">
        <w:t>Network reliability (normalised)</w:t>
      </w:r>
    </w:p>
    <w:p w:rsidR="00AE2FC7" w:rsidRPr="00DB416A" w:rsidRDefault="00AE2FC7" w:rsidP="00AE2FC7">
      <w:r w:rsidRPr="00DB416A">
        <w:t>In 2012</w:t>
      </w:r>
      <w:r w:rsidR="007A3240">
        <w:t>–</w:t>
      </w:r>
      <w:r w:rsidRPr="00DB416A">
        <w:t>13 the average Energex customer experienced:</w:t>
      </w:r>
    </w:p>
    <w:p w:rsidR="00AE2FC7" w:rsidRPr="00DB416A" w:rsidRDefault="00AE2FC7" w:rsidP="002E54A8">
      <w:pPr>
        <w:pStyle w:val="ListBullet"/>
      </w:pPr>
      <w:r w:rsidRPr="00DB416A">
        <w:t>2</w:t>
      </w:r>
      <w:r w:rsidR="002576DF">
        <w:t>5</w:t>
      </w:r>
      <w:r w:rsidRPr="00DB416A">
        <w:t xml:space="preserve"> per cent fewer unplanned (normalised) minutes off supply than they experienced over the previous five years</w:t>
      </w:r>
    </w:p>
    <w:p w:rsidR="00AE2FC7" w:rsidRPr="00DB416A" w:rsidRDefault="00AE2FC7" w:rsidP="002E54A8">
      <w:pPr>
        <w:pStyle w:val="ListBullet"/>
      </w:pPr>
      <w:r w:rsidRPr="00DB416A">
        <w:t>29 per cent fewer unplanned (normalised) interruptions to supply than they experienced over the previous five years (</w:t>
      </w:r>
      <w:r>
        <w:t>Figure 9</w:t>
      </w:r>
      <w:r w:rsidRPr="00DB416A">
        <w:t>–5</w:t>
      </w:r>
      <w:r w:rsidR="00FD2BC4">
        <w:t>0</w:t>
      </w:r>
      <w:r w:rsidRPr="00DB416A">
        <w:t>).</w:t>
      </w:r>
    </w:p>
    <w:p w:rsidR="00AE2FC7" w:rsidRPr="00DB416A" w:rsidRDefault="00AE2FC7" w:rsidP="00AE2FC7">
      <w:r w:rsidRPr="00DB416A">
        <w:t xml:space="preserve">It should be noted the reliability information presented in </w:t>
      </w:r>
      <w:r>
        <w:t>Figure 9</w:t>
      </w:r>
      <w:r w:rsidRPr="00DB416A">
        <w:t>–5</w:t>
      </w:r>
      <w:r w:rsidR="00E80E59">
        <w:t>0</w:t>
      </w:r>
      <w:r w:rsidRPr="00DB416A">
        <w:t xml:space="preserve"> combines information from the previous jurisdictional scheme and the AER's STPIS. These schemes differ in detail and therefore the information is not directly comparable. However, the reliability outcomes are presented to provide broad trend information regarding Energex's service performance.</w:t>
      </w:r>
    </w:p>
    <w:p w:rsidR="00AE2FC7" w:rsidRDefault="00AE2FC7" w:rsidP="00972E3F">
      <w:pPr>
        <w:pStyle w:val="Caption"/>
      </w:pPr>
      <w:r>
        <w:t>Figure 9</w:t>
      </w:r>
      <w:r w:rsidRPr="00DB416A">
        <w:t>–5</w:t>
      </w:r>
      <w:r w:rsidR="00FD2BC4">
        <w:t>0</w:t>
      </w:r>
      <w:r w:rsidR="00E80E59">
        <w:tab/>
      </w:r>
      <w:proofErr w:type="gramStart"/>
      <w:r w:rsidRPr="00DB416A">
        <w:t>Unplanned</w:t>
      </w:r>
      <w:proofErr w:type="gramEnd"/>
      <w:r w:rsidRPr="00DB416A">
        <w:t xml:space="preserve"> interruptions to supply (normalised) </w:t>
      </w:r>
      <w:r w:rsidR="007A3240">
        <w:t>–</w:t>
      </w:r>
      <w:r w:rsidRPr="00DB416A">
        <w:t xml:space="preserve"> Energex</w:t>
      </w:r>
    </w:p>
    <w:p w:rsidR="00FD2BC4" w:rsidRDefault="00644C56" w:rsidP="00644C56">
      <w:r>
        <w:rPr>
          <w:noProof/>
          <w:lang w:eastAsia="en-AU"/>
        </w:rPr>
        <w:drawing>
          <wp:inline distT="0" distB="0" distL="0" distR="0" wp14:anchorId="314602E9" wp14:editId="65EA6634">
            <wp:extent cx="2836800" cy="1702800"/>
            <wp:effectExtent l="0" t="0" r="190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36800" cy="1702800"/>
                    </a:xfrm>
                    <a:prstGeom prst="rect">
                      <a:avLst/>
                    </a:prstGeom>
                    <a:noFill/>
                  </pic:spPr>
                </pic:pic>
              </a:graphicData>
            </a:graphic>
          </wp:inline>
        </w:drawing>
      </w:r>
      <w:r w:rsidR="00FD2BC4">
        <w:t xml:space="preserve"> </w:t>
      </w:r>
      <w:r>
        <w:rPr>
          <w:noProof/>
          <w:lang w:eastAsia="en-AU"/>
        </w:rPr>
        <w:drawing>
          <wp:inline distT="0" distB="0" distL="0" distR="0" wp14:anchorId="6C5FD69E" wp14:editId="33B963A9">
            <wp:extent cx="2653200" cy="1591200"/>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53200" cy="1591200"/>
                    </a:xfrm>
                    <a:prstGeom prst="rect">
                      <a:avLst/>
                    </a:prstGeom>
                    <a:noFill/>
                  </pic:spPr>
                </pic:pic>
              </a:graphicData>
            </a:graphic>
          </wp:inline>
        </w:drawing>
      </w:r>
    </w:p>
    <w:p w:rsidR="00FD2BC4" w:rsidRDefault="00FD2BC4" w:rsidP="00460775">
      <w:r w:rsidRPr="00FD2BC4">
        <w:rPr>
          <w:noProof/>
          <w:lang w:eastAsia="en-AU"/>
        </w:rPr>
        <w:drawing>
          <wp:inline distT="0" distB="0" distL="0" distR="0" wp14:anchorId="6A311266" wp14:editId="779BC23F">
            <wp:extent cx="5731510" cy="7724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772405"/>
                    </a:xfrm>
                    <a:prstGeom prst="rect">
                      <a:avLst/>
                    </a:prstGeom>
                    <a:noFill/>
                    <a:ln>
                      <a:noFill/>
                    </a:ln>
                  </pic:spPr>
                </pic:pic>
              </a:graphicData>
            </a:graphic>
          </wp:inline>
        </w:drawing>
      </w:r>
    </w:p>
    <w:p w:rsidR="00AE2FC7" w:rsidRPr="00DB416A" w:rsidRDefault="00FD2BC4" w:rsidP="00AE2FC7">
      <w:pPr>
        <w:pStyle w:val="Heading4notnumbered"/>
      </w:pPr>
      <w:r>
        <w:t>S</w:t>
      </w:r>
      <w:r w:rsidR="007A3240">
        <w:t>–</w:t>
      </w:r>
      <w:r w:rsidR="00AE2FC7" w:rsidRPr="00DB416A">
        <w:t>factor</w:t>
      </w:r>
    </w:p>
    <w:p w:rsidR="00AE2FC7" w:rsidRPr="00DB416A" w:rsidRDefault="00AE2FC7" w:rsidP="00AE2FC7">
      <w:r>
        <w:t>Table 9</w:t>
      </w:r>
      <w:r w:rsidRPr="00DB416A">
        <w:t>–1 compares Energex's service performance against its STPIS targets over the first three years of the 2010</w:t>
      </w:r>
      <w:r w:rsidR="007A3240">
        <w:t>–</w:t>
      </w:r>
      <w:r w:rsidRPr="00DB416A">
        <w:t xml:space="preserve">15 regulatory control </w:t>
      </w:r>
      <w:proofErr w:type="gramStart"/>
      <w:r w:rsidRPr="00DB416A">
        <w:t>period</w:t>
      </w:r>
      <w:proofErr w:type="gramEnd"/>
      <w:r w:rsidRPr="00DB416A">
        <w:t>. On the whole, Energex performed well against its service performance targets in each year since the STPIS was applied.</w:t>
      </w:r>
    </w:p>
    <w:p w:rsidR="00AE2FC7" w:rsidRPr="00DB416A" w:rsidRDefault="00AE2FC7" w:rsidP="00AE2FC7">
      <w:r w:rsidRPr="00DB416A">
        <w:t>It is important to note STPIS targets are applied to normalised network reliability. In 2010</w:t>
      </w:r>
      <w:r w:rsidR="007A3240">
        <w:t>–</w:t>
      </w:r>
      <w:r w:rsidRPr="00DB416A">
        <w:t>11, floods affected much of central and southern Queensland. In 2012</w:t>
      </w:r>
      <w:r w:rsidR="007A3240">
        <w:t>–</w:t>
      </w:r>
      <w:r w:rsidRPr="00DB416A">
        <w:t xml:space="preserve">13 Queensland was hit by Tropical Cyclone Oswald causing widespread impact including severe storms and flooding. As a result of these natural events, Energex experienced a number of days in which its daily unplanned SAIDI exceeded the major event day boundary. For any day in which unplanned SAIDI exceeds the major event day boundary the impact of that day's SAIDI and SAIFI is removed from the calculation of the annual normalised service performance measures. By removing the impact of events occurring on major event days </w:t>
      </w:r>
      <w:r w:rsidR="000F2437">
        <w:t xml:space="preserve">we exclude from the operation of the </w:t>
      </w:r>
      <w:r w:rsidR="00E80E59">
        <w:t xml:space="preserve">scheme </w:t>
      </w:r>
      <w:r w:rsidRPr="00DB416A">
        <w:t xml:space="preserve">events </w:t>
      </w:r>
      <w:r w:rsidR="00634322">
        <w:t xml:space="preserve">we </w:t>
      </w:r>
      <w:r w:rsidRPr="00DB416A">
        <w:t>consider to be outside the DNSP's control.</w:t>
      </w:r>
    </w:p>
    <w:p w:rsidR="00AE2FC7" w:rsidRPr="00DB416A" w:rsidRDefault="00AE2FC7" w:rsidP="00AE2FC7">
      <w:r w:rsidRPr="00DB416A">
        <w:t>The s</w:t>
      </w:r>
      <w:r w:rsidR="007A3240">
        <w:t>–</w:t>
      </w:r>
      <w:r w:rsidRPr="00DB416A">
        <w:t xml:space="preserve">factor is incorporated into Energex's control mechanism as a multiplier in the calculation of its MAR. The MAR is incremented when service performance is better than performance targets and decremented when service performance is worse than performance targets. Details on how the </w:t>
      </w:r>
      <w:r w:rsidR="00A51A6F">
        <w:t>s–factor</w:t>
      </w:r>
      <w:r w:rsidRPr="00DB416A">
        <w:t xml:space="preserve"> is incorporated into Energex's control mechanism are set out in the 2010 distribution determination.</w:t>
      </w:r>
    </w:p>
    <w:p w:rsidR="00AE2FC7" w:rsidRPr="00DB416A" w:rsidRDefault="00AE2FC7" w:rsidP="00AE2FC7">
      <w:r w:rsidRPr="00DB416A">
        <w:t>Note there is a two year lag between the regulatory year in which service performance outcomes are assessed and the regulatory year in which the s</w:t>
      </w:r>
      <w:r w:rsidR="007A3240">
        <w:t>–</w:t>
      </w:r>
      <w:r w:rsidRPr="00DB416A">
        <w:t xml:space="preserve">factor outcome is applied to the DNSP's allowed revenue. </w:t>
      </w:r>
    </w:p>
    <w:p w:rsidR="00AE2FC7" w:rsidRDefault="00AE2FC7" w:rsidP="00972E3F">
      <w:pPr>
        <w:pStyle w:val="Caption"/>
      </w:pPr>
      <w:r>
        <w:t>Table 9</w:t>
      </w:r>
      <w:r w:rsidRPr="00DB416A">
        <w:t>–1</w:t>
      </w:r>
      <w:r w:rsidRPr="00DB416A">
        <w:tab/>
        <w:t>S</w:t>
      </w:r>
      <w:r w:rsidR="007A3240">
        <w:t>–</w:t>
      </w:r>
      <w:r w:rsidRPr="00DB416A">
        <w:t xml:space="preserve">factor </w:t>
      </w:r>
      <w:r w:rsidR="007A3240">
        <w:t>–</w:t>
      </w:r>
      <w:r w:rsidRPr="00DB416A">
        <w:t xml:space="preserve"> Energex</w:t>
      </w:r>
    </w:p>
    <w:p w:rsidR="001D669A" w:rsidRPr="001D669A" w:rsidRDefault="001D669A" w:rsidP="001D669A">
      <w:r w:rsidRPr="001D669A">
        <w:rPr>
          <w:noProof/>
          <w:lang w:eastAsia="en-AU"/>
        </w:rPr>
        <w:drawing>
          <wp:inline distT="0" distB="0" distL="0" distR="0" wp14:anchorId="2D77DA02" wp14:editId="69F34096">
            <wp:extent cx="5731510" cy="2645925"/>
            <wp:effectExtent l="0" t="0" r="2540" b="254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1510" cy="2645925"/>
                    </a:xfrm>
                    <a:prstGeom prst="rect">
                      <a:avLst/>
                    </a:prstGeom>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r>
        <w:br w:type="page"/>
      </w:r>
    </w:p>
    <w:bookmarkStart w:id="351" w:name="_Toc409771671"/>
    <w:bookmarkStart w:id="352" w:name="_Toc412790620"/>
    <w:bookmarkStart w:id="353" w:name="_Toc423086517"/>
    <w:p w:rsidR="00AE2FC7" w:rsidRDefault="00931BA6" w:rsidP="00592413">
      <w:pPr>
        <w:pStyle w:val="Heading2"/>
      </w:pPr>
      <w:r w:rsidRPr="00BC41E5">
        <w:rPr>
          <w:noProof/>
          <w:lang w:eastAsia="en-AU"/>
        </w:rPr>
        <mc:AlternateContent>
          <mc:Choice Requires="wps">
            <w:drawing>
              <wp:anchor distT="0" distB="0" distL="114300" distR="114300" simplePos="0" relativeHeight="251675648" behindDoc="1" locked="0" layoutInCell="1" allowOverlap="1" wp14:anchorId="3401ADBC" wp14:editId="3F72C6B6">
                <wp:simplePos x="0" y="0"/>
                <wp:positionH relativeFrom="column">
                  <wp:posOffset>-311785</wp:posOffset>
                </wp:positionH>
                <wp:positionV relativeFrom="paragraph">
                  <wp:posOffset>319405</wp:posOffset>
                </wp:positionV>
                <wp:extent cx="6259195" cy="8395335"/>
                <wp:effectExtent l="19050" t="19050" r="27305" b="24765"/>
                <wp:wrapTight wrapText="bothSides">
                  <wp:wrapPolygon edited="0">
                    <wp:start x="-66" y="-49"/>
                    <wp:lineTo x="-66" y="21615"/>
                    <wp:lineTo x="21628" y="21615"/>
                    <wp:lineTo x="21628" y="-49"/>
                    <wp:lineTo x="-66" y="-49"/>
                  </wp:wrapPolygon>
                </wp:wrapTight>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395335"/>
                        </a:xfrm>
                        <a:prstGeom prst="rect">
                          <a:avLst/>
                        </a:prstGeom>
                        <a:noFill/>
                        <a:ln w="44450">
                          <a:solidFill>
                            <a:srgbClr val="800026"/>
                          </a:solidFill>
                          <a:miter lim="800000"/>
                          <a:headEnd/>
                          <a:tailEnd/>
                        </a:ln>
                      </wps:spPr>
                      <wps:txbx>
                        <w:txbxContent>
                          <w:p w:rsidR="00AD3D0C" w:rsidRDefault="00AD3D0C" w:rsidP="00BC41E5">
                            <w:pPr>
                              <w:pStyle w:val="Heading3notnumbered"/>
                            </w:pPr>
                            <w:bookmarkStart w:id="354" w:name="_Toc413311102"/>
                            <w:bookmarkStart w:id="355" w:name="_Toc423086518"/>
                            <w:r>
                              <w:t>Network characteristics</w:t>
                            </w:r>
                            <w:bookmarkEnd w:id="354"/>
                            <w:bookmarkEnd w:id="355"/>
                          </w:p>
                          <w:p w:rsidR="00AD3D0C" w:rsidRPr="00C312BC" w:rsidRDefault="00AD3D0C" w:rsidP="00BC41E5">
                            <w:r w:rsidRPr="00E96856">
                              <w:rPr>
                                <w:rStyle w:val="Strong"/>
                              </w:rPr>
                              <w:t>Ownership:</w:t>
                            </w:r>
                            <w:r>
                              <w:t xml:space="preserve">  Queensland Government Owned Corporation</w:t>
                            </w:r>
                            <w:r w:rsidRPr="00C312BC">
                              <w:t xml:space="preserve"> </w:t>
                            </w:r>
                          </w:p>
                          <w:p w:rsidR="00AD3D0C" w:rsidRPr="00C312BC" w:rsidRDefault="00AD3D0C" w:rsidP="00BC41E5">
                            <w:r w:rsidRPr="00E96856">
                              <w:rPr>
                                <w:rStyle w:val="Strong"/>
                              </w:rPr>
                              <w:t>Relevant regulatory control period</w:t>
                            </w:r>
                            <w:r w:rsidRPr="00C312BC">
                              <w:t>:</w:t>
                            </w:r>
                            <w:r w:rsidRPr="00E96856">
                              <w:t xml:space="preserve"> </w:t>
                            </w:r>
                            <w:r w:rsidRPr="007834DE">
                              <w:t xml:space="preserve">1 </w:t>
                            </w:r>
                            <w:r>
                              <w:t>July 2010 –</w:t>
                            </w:r>
                            <w:r w:rsidRPr="00CB73C1">
                              <w:t xml:space="preserve"> 30 June 20</w:t>
                            </w:r>
                            <w:r>
                              <w:t>15</w:t>
                            </w:r>
                          </w:p>
                          <w:p w:rsidR="00AD3D0C" w:rsidRPr="00E96856" w:rsidRDefault="00AD3D0C" w:rsidP="00BC41E5">
                            <w:pPr>
                              <w:rPr>
                                <w:rStyle w:val="Strong"/>
                              </w:rPr>
                            </w:pPr>
                            <w:r w:rsidRPr="00E96856">
                              <w:rPr>
                                <w:rStyle w:val="Strong"/>
                              </w:rPr>
                              <w:t>Network profile</w:t>
                            </w:r>
                            <w:r>
                              <w:rPr>
                                <w:rStyle w:val="Strong"/>
                              </w:rPr>
                              <w:t xml:space="preserve"> 2012-13</w:t>
                            </w:r>
                          </w:p>
                          <w:p w:rsidR="00AD3D0C" w:rsidRDefault="00AD3D0C" w:rsidP="00BC41E5">
                            <w:pPr>
                              <w:pStyle w:val="TableofFigures"/>
                            </w:pPr>
                            <w:r>
                              <w:t xml:space="preserve">  Total distribution customers:</w:t>
                            </w:r>
                            <w:r w:rsidRPr="00C312BC">
                              <w:t xml:space="preserve"> </w:t>
                            </w:r>
                            <w:r w:rsidRPr="00C312BC">
                              <w:tab/>
                            </w:r>
                            <w:r>
                              <w:tab/>
                            </w:r>
                            <w:r>
                              <w:tab/>
                              <w:t>674,045</w:t>
                            </w:r>
                          </w:p>
                          <w:p w:rsidR="00AD3D0C" w:rsidRPr="00C312BC" w:rsidRDefault="00AD3D0C" w:rsidP="00BC41E5">
                            <w:pPr>
                              <w:pStyle w:val="TableofFigures"/>
                            </w:pPr>
                            <w:r w:rsidRPr="00E96856">
                              <w:t xml:space="preserve"> </w:t>
                            </w:r>
                            <w:r w:rsidRPr="00861BC5">
                              <w:rPr>
                                <w:noProof/>
                                <w:lang w:eastAsia="en-AU"/>
                              </w:rPr>
                              <w:drawing>
                                <wp:inline distT="0" distB="0" distL="0" distR="0" wp14:anchorId="32FD5193" wp14:editId="3B2F313F">
                                  <wp:extent cx="4566285" cy="956945"/>
                                  <wp:effectExtent l="0" t="0" r="571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66285" cy="956945"/>
                                          </a:xfrm>
                                          <a:prstGeom prst="rect">
                                            <a:avLst/>
                                          </a:prstGeom>
                                          <a:noFill/>
                                        </pic:spPr>
                                      </pic:pic>
                                    </a:graphicData>
                                  </a:graphic>
                                </wp:inline>
                              </w:drawing>
                            </w:r>
                          </w:p>
                          <w:p w:rsidR="00AD3D0C" w:rsidRDefault="00AD3D0C" w:rsidP="00BC41E5">
                            <w:pPr>
                              <w:pStyle w:val="TableofFigures"/>
                            </w:pPr>
                            <w:r>
                              <w:t xml:space="preserve">  </w:t>
                            </w:r>
                            <w:r w:rsidRPr="0075338F">
                              <w:t xml:space="preserve">Total line </w:t>
                            </w:r>
                            <w:r>
                              <w:t xml:space="preserve">(circuit) </w:t>
                            </w:r>
                            <w:r w:rsidRPr="0075338F">
                              <w:t>length:</w:t>
                            </w:r>
                            <w:r>
                              <w:t xml:space="preserve"> </w:t>
                            </w:r>
                            <w:r>
                              <w:tab/>
                            </w:r>
                            <w:r>
                              <w:tab/>
                            </w:r>
                            <w:r>
                              <w:tab/>
                            </w:r>
                            <w:r>
                              <w:tab/>
                              <w:t>160,110 km</w:t>
                            </w:r>
                          </w:p>
                          <w:p w:rsidR="00AD3D0C" w:rsidRDefault="00AD3D0C" w:rsidP="00BC41E5">
                            <w:r w:rsidRPr="00861BC5">
                              <w:rPr>
                                <w:noProof/>
                                <w:lang w:eastAsia="en-AU"/>
                              </w:rPr>
                              <w:drawing>
                                <wp:inline distT="0" distB="0" distL="0" distR="0" wp14:anchorId="1C810FC0" wp14:editId="1E45EA0E">
                                  <wp:extent cx="4572635" cy="951230"/>
                                  <wp:effectExtent l="0" t="0" r="0"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635" cy="951230"/>
                                          </a:xfrm>
                                          <a:prstGeom prst="rect">
                                            <a:avLst/>
                                          </a:prstGeom>
                                          <a:noFill/>
                                        </pic:spPr>
                                      </pic:pic>
                                    </a:graphicData>
                                  </a:graphic>
                                </wp:inline>
                              </w:drawing>
                            </w:r>
                          </w:p>
                          <w:p w:rsidR="00AD3D0C" w:rsidRPr="00C312BC" w:rsidRDefault="00AD3D0C" w:rsidP="00BC41E5">
                            <w:r>
                              <w:t xml:space="preserve">  </w:t>
                            </w:r>
                            <w:r w:rsidRPr="000D7CD6">
                              <w:t xml:space="preserve">Customer density: </w:t>
                            </w:r>
                            <w:r w:rsidRPr="00C312BC">
                              <w:tab/>
                            </w:r>
                            <w:r w:rsidRPr="00C312BC">
                              <w:tab/>
                            </w:r>
                            <w:r>
                              <w:tab/>
                            </w:r>
                            <w:r>
                              <w:tab/>
                            </w:r>
                            <w:r>
                              <w:tab/>
                            </w:r>
                            <w:r>
                              <w:tab/>
                              <w:t>4.2</w:t>
                            </w:r>
                            <w:r w:rsidRPr="00C312BC">
                              <w:t xml:space="preserve"> customers/</w:t>
                            </w:r>
                            <w:r>
                              <w:t>km line (circuit)</w:t>
                            </w:r>
                          </w:p>
                          <w:p w:rsidR="00AD3D0C" w:rsidRPr="00E96856" w:rsidRDefault="00AD3D0C" w:rsidP="00BC41E5">
                            <w:pPr>
                              <w:rPr>
                                <w:rStyle w:val="Strong"/>
                              </w:rPr>
                            </w:pPr>
                            <w:r w:rsidRPr="00E96856">
                              <w:rPr>
                                <w:rStyle w:val="Strong"/>
                              </w:rPr>
                              <w:t>Network performance: 20</w:t>
                            </w:r>
                            <w:r>
                              <w:rPr>
                                <w:rStyle w:val="Strong"/>
                              </w:rPr>
                              <w:t>10–</w:t>
                            </w:r>
                            <w:r w:rsidRPr="00E96856">
                              <w:rPr>
                                <w:rStyle w:val="Strong"/>
                              </w:rPr>
                              <w:t>1</w:t>
                            </w:r>
                            <w:r>
                              <w:rPr>
                                <w:rStyle w:val="Strong"/>
                              </w:rPr>
                              <w:t xml:space="preserve">1 to </w:t>
                            </w:r>
                            <w:r w:rsidRPr="00E96856">
                              <w:rPr>
                                <w:rStyle w:val="Strong"/>
                              </w:rPr>
                              <w:t>2012</w:t>
                            </w:r>
                            <w:r>
                              <w:rPr>
                                <w:rStyle w:val="Strong"/>
                              </w:rPr>
                              <w:t>–</w:t>
                            </w:r>
                            <w:r w:rsidRPr="00E96856">
                              <w:rPr>
                                <w:rStyle w:val="Strong"/>
                              </w:rPr>
                              <w:t>13</w:t>
                            </w:r>
                          </w:p>
                          <w:p w:rsidR="00AD3D0C" w:rsidRPr="00474352" w:rsidRDefault="00AD3D0C" w:rsidP="00BC41E5">
                            <w:r w:rsidRPr="00474352">
                              <w:t xml:space="preserve">  Energy delivered:</w:t>
                            </w:r>
                            <w:r w:rsidRPr="00474352">
                              <w:tab/>
                            </w:r>
                            <w:r w:rsidRPr="00474352">
                              <w:tab/>
                            </w:r>
                            <w:r w:rsidRPr="00474352">
                              <w:tab/>
                            </w:r>
                            <w:r w:rsidRPr="00474352">
                              <w:tab/>
                            </w:r>
                            <w:r>
                              <w:tab/>
                            </w:r>
                            <w:r>
                              <w:tab/>
                              <w:t xml:space="preserve">40,238 </w:t>
                            </w:r>
                            <w:proofErr w:type="spellStart"/>
                            <w:r>
                              <w:t>GWh</w:t>
                            </w:r>
                            <w:proofErr w:type="spellEnd"/>
                            <w:r>
                              <w:t>, 18</w:t>
                            </w:r>
                            <w:r w:rsidRPr="00474352">
                              <w:t xml:space="preserve"> per cent ▼ than forecast</w:t>
                            </w:r>
                          </w:p>
                          <w:p w:rsidR="00AD3D0C" w:rsidRPr="00474352" w:rsidRDefault="00AD3D0C" w:rsidP="00BC41E5">
                            <w:r w:rsidRPr="00474352">
                              <w:t xml:space="preserve">  Capital expenditure: </w:t>
                            </w:r>
                            <w:r w:rsidRPr="00474352">
                              <w:tab/>
                            </w:r>
                            <w:r w:rsidRPr="00474352">
                              <w:tab/>
                            </w:r>
                            <w:r w:rsidRPr="00474352">
                              <w:tab/>
                            </w:r>
                            <w:r>
                              <w:tab/>
                            </w:r>
                            <w:r w:rsidRPr="00474352">
                              <w:tab/>
                            </w:r>
                            <w:r>
                              <w:t xml:space="preserve">$2.2 </w:t>
                            </w:r>
                            <w:proofErr w:type="spellStart"/>
                            <w:r>
                              <w:t>bn</w:t>
                            </w:r>
                            <w:proofErr w:type="spellEnd"/>
                            <w:r>
                              <w:t>, 17</w:t>
                            </w:r>
                            <w:r w:rsidRPr="00474352">
                              <w:t xml:space="preserve"> per cent ▼ than forecast</w:t>
                            </w:r>
                          </w:p>
                          <w:p w:rsidR="00AD3D0C" w:rsidRPr="00474352" w:rsidRDefault="00AD3D0C" w:rsidP="00BC41E5">
                            <w:r w:rsidRPr="00474352">
                              <w:t xml:space="preserve">  Regulatory Asset Base: </w:t>
                            </w:r>
                            <w:r w:rsidRPr="00474352">
                              <w:tab/>
                            </w:r>
                            <w:r w:rsidRPr="00474352">
                              <w:tab/>
                            </w:r>
                            <w:r>
                              <w:tab/>
                            </w:r>
                            <w:r w:rsidRPr="00474352">
                              <w:tab/>
                            </w:r>
                            <w:r>
                              <w:t>14</w:t>
                            </w:r>
                            <w:r w:rsidRPr="00474352">
                              <w:t xml:space="preserve"> per cent ▲ (from $</w:t>
                            </w:r>
                            <w:r>
                              <w:t>7.8bn</w:t>
                            </w:r>
                            <w:r w:rsidRPr="00474352">
                              <w:t xml:space="preserve"> to $</w:t>
                            </w:r>
                            <w:r>
                              <w:t>8.9</w:t>
                            </w:r>
                            <w:r w:rsidRPr="00474352">
                              <w:t>bn)</w:t>
                            </w:r>
                          </w:p>
                          <w:p w:rsidR="00AD3D0C" w:rsidRPr="00474352" w:rsidRDefault="00AD3D0C" w:rsidP="00BC41E5">
                            <w:r w:rsidRPr="00474352">
                              <w:t xml:space="preserve">  Operating expenditure: </w:t>
                            </w:r>
                            <w:r w:rsidRPr="00474352">
                              <w:tab/>
                            </w:r>
                            <w:r w:rsidRPr="00474352">
                              <w:tab/>
                            </w:r>
                            <w:r w:rsidRPr="00474352">
                              <w:tab/>
                            </w:r>
                            <w:r>
                              <w:tab/>
                              <w:t xml:space="preserve">$1.2 </w:t>
                            </w:r>
                            <w:proofErr w:type="spellStart"/>
                            <w:r>
                              <w:t>bn</w:t>
                            </w:r>
                            <w:proofErr w:type="spellEnd"/>
                            <w:r>
                              <w:t>, 1</w:t>
                            </w:r>
                            <w:r w:rsidRPr="00474352">
                              <w:t xml:space="preserve"> per cent ▲ than forecast</w:t>
                            </w:r>
                          </w:p>
                          <w:p w:rsidR="00AD3D0C" w:rsidRPr="00474352" w:rsidRDefault="00AD3D0C" w:rsidP="00BC41E5">
                            <w:r w:rsidRPr="00474352">
                              <w:t xml:space="preserve">  Revenue (</w:t>
                            </w:r>
                            <w:r>
                              <w:t>revenue cap</w:t>
                            </w:r>
                            <w:r w:rsidRPr="00474352">
                              <w:t xml:space="preserve">): </w:t>
                            </w:r>
                            <w:r w:rsidRPr="00474352">
                              <w:tab/>
                            </w:r>
                            <w:r w:rsidRPr="00474352">
                              <w:tab/>
                            </w:r>
                            <w:r>
                              <w:tab/>
                            </w:r>
                            <w:r>
                              <w:tab/>
                              <w:t xml:space="preserve">$3.6 </w:t>
                            </w:r>
                            <w:proofErr w:type="spellStart"/>
                            <w:r>
                              <w:t>bn</w:t>
                            </w:r>
                            <w:proofErr w:type="spellEnd"/>
                            <w:r>
                              <w:t>, 5</w:t>
                            </w:r>
                            <w:r w:rsidRPr="00474352">
                              <w:t xml:space="preserve"> per cent ▼ than forecast</w:t>
                            </w:r>
                          </w:p>
                          <w:p w:rsidR="00AD3D0C" w:rsidRDefault="00AD3D0C" w:rsidP="00BC41E5">
                            <w:pPr>
                              <w:rPr>
                                <w:rStyle w:val="Strong"/>
                              </w:rPr>
                            </w:pPr>
                            <w:r w:rsidRPr="00D503C8">
                              <w:rPr>
                                <w:rStyle w:val="Strong"/>
                              </w:rPr>
                              <w:t xml:space="preserve">Network reliability (normalised): </w:t>
                            </w:r>
                          </w:p>
                          <w:p w:rsidR="00AD3D0C" w:rsidRDefault="00AD3D0C" w:rsidP="00BC41E5">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267.6</w:t>
                            </w:r>
                            <w:r w:rsidRPr="00E96856">
                              <w:t xml:space="preserve"> minutes</w:t>
                            </w:r>
                          </w:p>
                          <w:p w:rsidR="00AD3D0C" w:rsidRDefault="00AD3D0C" w:rsidP="00BC41E5">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317.6</w:t>
                            </w:r>
                            <w:r w:rsidRPr="00E96856">
                              <w:t xml:space="preserve"> minutes</w:t>
                            </w:r>
                          </w:p>
                          <w:p w:rsidR="00AD3D0C" w:rsidRDefault="00AD3D0C" w:rsidP="00BC41E5">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2.43</w:t>
                            </w:r>
                            <w:r w:rsidRPr="00E96856">
                              <w:t xml:space="preserve"> interruptions</w:t>
                            </w:r>
                          </w:p>
                          <w:p w:rsidR="00AD3D0C" w:rsidRPr="00D503C8" w:rsidRDefault="00AD3D0C" w:rsidP="00BC41E5">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2.95</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55pt;margin-top:25.15pt;width:492.85pt;height:66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" filled="f" strokecolor="#800026" strokeweight="3.5pt">
                <v:textbox>
                  <w:txbxContent>
                    <w:p w:rsidR="00AD3D0C" w:rsidRDefault="00AD3D0C" w:rsidP="00BC41E5">
                      <w:pPr>
                        <w:pStyle w:val="Heading3notnumbered"/>
                      </w:pPr>
                      <w:bookmarkStart w:id="370" w:name="_Toc413311102"/>
                      <w:bookmarkStart w:id="371" w:name="_Toc423086518"/>
                      <w:r>
                        <w:t>Network characteristics</w:t>
                      </w:r>
                      <w:bookmarkEnd w:id="370"/>
                      <w:bookmarkEnd w:id="371"/>
                    </w:p>
                    <w:p w:rsidR="00AD3D0C" w:rsidRPr="00C312BC" w:rsidRDefault="00AD3D0C" w:rsidP="00BC41E5">
                      <w:r w:rsidRPr="00E96856">
                        <w:rPr>
                          <w:rStyle w:val="Strong"/>
                        </w:rPr>
                        <w:t>Ownership:</w:t>
                      </w:r>
                      <w:r>
                        <w:t xml:space="preserve">  Queensland Government Owned Corporation</w:t>
                      </w:r>
                      <w:r w:rsidRPr="00C312BC">
                        <w:t xml:space="preserve"> </w:t>
                      </w:r>
                    </w:p>
                    <w:p w:rsidR="00AD3D0C" w:rsidRPr="00C312BC" w:rsidRDefault="00AD3D0C" w:rsidP="00BC41E5">
                      <w:r w:rsidRPr="00E96856">
                        <w:rPr>
                          <w:rStyle w:val="Strong"/>
                        </w:rPr>
                        <w:t>Relevant regulatory control period</w:t>
                      </w:r>
                      <w:r w:rsidRPr="00C312BC">
                        <w:t>:</w:t>
                      </w:r>
                      <w:r w:rsidRPr="00E96856">
                        <w:t xml:space="preserve"> </w:t>
                      </w:r>
                      <w:r w:rsidRPr="007834DE">
                        <w:t xml:space="preserve">1 </w:t>
                      </w:r>
                      <w:r>
                        <w:t>July 2010 –</w:t>
                      </w:r>
                      <w:r w:rsidRPr="00CB73C1">
                        <w:t xml:space="preserve"> 30 June 20</w:t>
                      </w:r>
                      <w:r>
                        <w:t>15</w:t>
                      </w:r>
                    </w:p>
                    <w:p w:rsidR="00AD3D0C" w:rsidRPr="00E96856" w:rsidRDefault="00AD3D0C" w:rsidP="00BC41E5">
                      <w:pPr>
                        <w:rPr>
                          <w:rStyle w:val="Strong"/>
                        </w:rPr>
                      </w:pPr>
                      <w:r w:rsidRPr="00E96856">
                        <w:rPr>
                          <w:rStyle w:val="Strong"/>
                        </w:rPr>
                        <w:t>Network profile</w:t>
                      </w:r>
                      <w:r>
                        <w:rPr>
                          <w:rStyle w:val="Strong"/>
                        </w:rPr>
                        <w:t xml:space="preserve"> 2012-13</w:t>
                      </w:r>
                    </w:p>
                    <w:p w:rsidR="00AD3D0C" w:rsidRDefault="00AD3D0C" w:rsidP="00BC41E5">
                      <w:pPr>
                        <w:pStyle w:val="TableofFigures"/>
                      </w:pPr>
                      <w:r>
                        <w:t xml:space="preserve">  Total distribution customers:</w:t>
                      </w:r>
                      <w:r w:rsidRPr="00C312BC">
                        <w:t xml:space="preserve"> </w:t>
                      </w:r>
                      <w:r w:rsidRPr="00C312BC">
                        <w:tab/>
                      </w:r>
                      <w:r>
                        <w:tab/>
                      </w:r>
                      <w:r>
                        <w:tab/>
                        <w:t>674,045</w:t>
                      </w:r>
                    </w:p>
                    <w:p w:rsidR="00AD3D0C" w:rsidRPr="00C312BC" w:rsidRDefault="00AD3D0C" w:rsidP="00BC41E5">
                      <w:pPr>
                        <w:pStyle w:val="TableofFigures"/>
                      </w:pPr>
                      <w:r w:rsidRPr="00E96856">
                        <w:t xml:space="preserve"> </w:t>
                      </w:r>
                      <w:r w:rsidRPr="00861BC5">
                        <w:rPr>
                          <w:noProof/>
                          <w:lang w:eastAsia="en-AU"/>
                        </w:rPr>
                        <w:drawing>
                          <wp:inline distT="0" distB="0" distL="0" distR="0" wp14:anchorId="32FD5193" wp14:editId="3B2F313F">
                            <wp:extent cx="4566285" cy="956945"/>
                            <wp:effectExtent l="0" t="0" r="571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66285" cy="956945"/>
                                    </a:xfrm>
                                    <a:prstGeom prst="rect">
                                      <a:avLst/>
                                    </a:prstGeom>
                                    <a:noFill/>
                                  </pic:spPr>
                                </pic:pic>
                              </a:graphicData>
                            </a:graphic>
                          </wp:inline>
                        </w:drawing>
                      </w:r>
                    </w:p>
                    <w:p w:rsidR="00AD3D0C" w:rsidRDefault="00AD3D0C" w:rsidP="00BC41E5">
                      <w:pPr>
                        <w:pStyle w:val="TableofFigures"/>
                      </w:pPr>
                      <w:r>
                        <w:t xml:space="preserve">  </w:t>
                      </w:r>
                      <w:r w:rsidRPr="0075338F">
                        <w:t xml:space="preserve">Total line </w:t>
                      </w:r>
                      <w:r>
                        <w:t xml:space="preserve">(circuit) </w:t>
                      </w:r>
                      <w:r w:rsidRPr="0075338F">
                        <w:t>length:</w:t>
                      </w:r>
                      <w:r>
                        <w:t xml:space="preserve"> </w:t>
                      </w:r>
                      <w:r>
                        <w:tab/>
                      </w:r>
                      <w:r>
                        <w:tab/>
                      </w:r>
                      <w:r>
                        <w:tab/>
                      </w:r>
                      <w:r>
                        <w:tab/>
                        <w:t>160,110 km</w:t>
                      </w:r>
                    </w:p>
                    <w:p w:rsidR="00AD3D0C" w:rsidRDefault="00AD3D0C" w:rsidP="00BC41E5">
                      <w:r w:rsidRPr="00861BC5">
                        <w:rPr>
                          <w:noProof/>
                          <w:lang w:eastAsia="en-AU"/>
                        </w:rPr>
                        <w:drawing>
                          <wp:inline distT="0" distB="0" distL="0" distR="0" wp14:anchorId="1C810FC0" wp14:editId="1E45EA0E">
                            <wp:extent cx="4572635" cy="951230"/>
                            <wp:effectExtent l="0" t="0" r="0"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635" cy="951230"/>
                                    </a:xfrm>
                                    <a:prstGeom prst="rect">
                                      <a:avLst/>
                                    </a:prstGeom>
                                    <a:noFill/>
                                  </pic:spPr>
                                </pic:pic>
                              </a:graphicData>
                            </a:graphic>
                          </wp:inline>
                        </w:drawing>
                      </w:r>
                    </w:p>
                    <w:p w:rsidR="00AD3D0C" w:rsidRPr="00C312BC" w:rsidRDefault="00AD3D0C" w:rsidP="00BC41E5">
                      <w:r>
                        <w:t xml:space="preserve">  </w:t>
                      </w:r>
                      <w:r w:rsidRPr="000D7CD6">
                        <w:t xml:space="preserve">Customer density: </w:t>
                      </w:r>
                      <w:r w:rsidRPr="00C312BC">
                        <w:tab/>
                      </w:r>
                      <w:r w:rsidRPr="00C312BC">
                        <w:tab/>
                      </w:r>
                      <w:r>
                        <w:tab/>
                      </w:r>
                      <w:r>
                        <w:tab/>
                      </w:r>
                      <w:r>
                        <w:tab/>
                      </w:r>
                      <w:r>
                        <w:tab/>
                        <w:t>4.2</w:t>
                      </w:r>
                      <w:r w:rsidRPr="00C312BC">
                        <w:t xml:space="preserve"> customers/</w:t>
                      </w:r>
                      <w:r>
                        <w:t>km line (circuit)</w:t>
                      </w:r>
                    </w:p>
                    <w:p w:rsidR="00AD3D0C" w:rsidRPr="00E96856" w:rsidRDefault="00AD3D0C" w:rsidP="00BC41E5">
                      <w:pPr>
                        <w:rPr>
                          <w:rStyle w:val="Strong"/>
                        </w:rPr>
                      </w:pPr>
                      <w:r w:rsidRPr="00E96856">
                        <w:rPr>
                          <w:rStyle w:val="Strong"/>
                        </w:rPr>
                        <w:t>Network performance: 20</w:t>
                      </w:r>
                      <w:r>
                        <w:rPr>
                          <w:rStyle w:val="Strong"/>
                        </w:rPr>
                        <w:t>10–</w:t>
                      </w:r>
                      <w:r w:rsidRPr="00E96856">
                        <w:rPr>
                          <w:rStyle w:val="Strong"/>
                        </w:rPr>
                        <w:t>1</w:t>
                      </w:r>
                      <w:r>
                        <w:rPr>
                          <w:rStyle w:val="Strong"/>
                        </w:rPr>
                        <w:t xml:space="preserve">1 to </w:t>
                      </w:r>
                      <w:r w:rsidRPr="00E96856">
                        <w:rPr>
                          <w:rStyle w:val="Strong"/>
                        </w:rPr>
                        <w:t>2012</w:t>
                      </w:r>
                      <w:r>
                        <w:rPr>
                          <w:rStyle w:val="Strong"/>
                        </w:rPr>
                        <w:t>–</w:t>
                      </w:r>
                      <w:r w:rsidRPr="00E96856">
                        <w:rPr>
                          <w:rStyle w:val="Strong"/>
                        </w:rPr>
                        <w:t>13</w:t>
                      </w:r>
                    </w:p>
                    <w:p w:rsidR="00AD3D0C" w:rsidRPr="00474352" w:rsidRDefault="00AD3D0C" w:rsidP="00BC41E5">
                      <w:r w:rsidRPr="00474352">
                        <w:t xml:space="preserve">  Energy delivered:</w:t>
                      </w:r>
                      <w:r w:rsidRPr="00474352">
                        <w:tab/>
                      </w:r>
                      <w:r w:rsidRPr="00474352">
                        <w:tab/>
                      </w:r>
                      <w:r w:rsidRPr="00474352">
                        <w:tab/>
                      </w:r>
                      <w:r w:rsidRPr="00474352">
                        <w:tab/>
                      </w:r>
                      <w:r>
                        <w:tab/>
                      </w:r>
                      <w:r>
                        <w:tab/>
                        <w:t xml:space="preserve">40,238 </w:t>
                      </w:r>
                      <w:proofErr w:type="spellStart"/>
                      <w:r>
                        <w:t>GWh</w:t>
                      </w:r>
                      <w:proofErr w:type="spellEnd"/>
                      <w:r>
                        <w:t>, 18</w:t>
                      </w:r>
                      <w:r w:rsidRPr="00474352">
                        <w:t xml:space="preserve"> per cent ▼ than forecast</w:t>
                      </w:r>
                    </w:p>
                    <w:p w:rsidR="00AD3D0C" w:rsidRPr="00474352" w:rsidRDefault="00AD3D0C" w:rsidP="00BC41E5">
                      <w:r w:rsidRPr="00474352">
                        <w:t xml:space="preserve">  Capital expenditure: </w:t>
                      </w:r>
                      <w:r w:rsidRPr="00474352">
                        <w:tab/>
                      </w:r>
                      <w:r w:rsidRPr="00474352">
                        <w:tab/>
                      </w:r>
                      <w:r w:rsidRPr="00474352">
                        <w:tab/>
                      </w:r>
                      <w:r>
                        <w:tab/>
                      </w:r>
                      <w:r w:rsidRPr="00474352">
                        <w:tab/>
                      </w:r>
                      <w:r>
                        <w:t xml:space="preserve">$2.2 </w:t>
                      </w:r>
                      <w:proofErr w:type="spellStart"/>
                      <w:r>
                        <w:t>bn</w:t>
                      </w:r>
                      <w:proofErr w:type="spellEnd"/>
                      <w:r>
                        <w:t>, 17</w:t>
                      </w:r>
                      <w:r w:rsidRPr="00474352">
                        <w:t xml:space="preserve"> per cent ▼ than forecast</w:t>
                      </w:r>
                    </w:p>
                    <w:p w:rsidR="00AD3D0C" w:rsidRPr="00474352" w:rsidRDefault="00AD3D0C" w:rsidP="00BC41E5">
                      <w:r w:rsidRPr="00474352">
                        <w:t xml:space="preserve">  Regulatory Asset Base: </w:t>
                      </w:r>
                      <w:r w:rsidRPr="00474352">
                        <w:tab/>
                      </w:r>
                      <w:r w:rsidRPr="00474352">
                        <w:tab/>
                      </w:r>
                      <w:r>
                        <w:tab/>
                      </w:r>
                      <w:r w:rsidRPr="00474352">
                        <w:tab/>
                      </w:r>
                      <w:r>
                        <w:t>14</w:t>
                      </w:r>
                      <w:r w:rsidRPr="00474352">
                        <w:t xml:space="preserve"> per cent ▲ (from $</w:t>
                      </w:r>
                      <w:r>
                        <w:t>7.8bn</w:t>
                      </w:r>
                      <w:r w:rsidRPr="00474352">
                        <w:t xml:space="preserve"> to $</w:t>
                      </w:r>
                      <w:r>
                        <w:t>8.9</w:t>
                      </w:r>
                      <w:r w:rsidRPr="00474352">
                        <w:t>bn)</w:t>
                      </w:r>
                    </w:p>
                    <w:p w:rsidR="00AD3D0C" w:rsidRPr="00474352" w:rsidRDefault="00AD3D0C" w:rsidP="00BC41E5">
                      <w:r w:rsidRPr="00474352">
                        <w:t xml:space="preserve">  Operating expenditure: </w:t>
                      </w:r>
                      <w:r w:rsidRPr="00474352">
                        <w:tab/>
                      </w:r>
                      <w:r w:rsidRPr="00474352">
                        <w:tab/>
                      </w:r>
                      <w:r w:rsidRPr="00474352">
                        <w:tab/>
                      </w:r>
                      <w:r>
                        <w:tab/>
                        <w:t xml:space="preserve">$1.2 </w:t>
                      </w:r>
                      <w:proofErr w:type="spellStart"/>
                      <w:r>
                        <w:t>bn</w:t>
                      </w:r>
                      <w:proofErr w:type="spellEnd"/>
                      <w:r>
                        <w:t>, 1</w:t>
                      </w:r>
                      <w:r w:rsidRPr="00474352">
                        <w:t xml:space="preserve"> per cent ▲ than forecast</w:t>
                      </w:r>
                    </w:p>
                    <w:p w:rsidR="00AD3D0C" w:rsidRPr="00474352" w:rsidRDefault="00AD3D0C" w:rsidP="00BC41E5">
                      <w:r w:rsidRPr="00474352">
                        <w:t xml:space="preserve">  Revenue (</w:t>
                      </w:r>
                      <w:r>
                        <w:t>revenue cap</w:t>
                      </w:r>
                      <w:r w:rsidRPr="00474352">
                        <w:t xml:space="preserve">): </w:t>
                      </w:r>
                      <w:r w:rsidRPr="00474352">
                        <w:tab/>
                      </w:r>
                      <w:r w:rsidRPr="00474352">
                        <w:tab/>
                      </w:r>
                      <w:r>
                        <w:tab/>
                      </w:r>
                      <w:r>
                        <w:tab/>
                        <w:t xml:space="preserve">$3.6 </w:t>
                      </w:r>
                      <w:proofErr w:type="spellStart"/>
                      <w:r>
                        <w:t>bn</w:t>
                      </w:r>
                      <w:proofErr w:type="spellEnd"/>
                      <w:r>
                        <w:t>, 5</w:t>
                      </w:r>
                      <w:r w:rsidRPr="00474352">
                        <w:t xml:space="preserve"> per cent ▼ than forecast</w:t>
                      </w:r>
                    </w:p>
                    <w:p w:rsidR="00AD3D0C" w:rsidRDefault="00AD3D0C" w:rsidP="00BC41E5">
                      <w:pPr>
                        <w:rPr>
                          <w:rStyle w:val="Strong"/>
                        </w:rPr>
                      </w:pPr>
                      <w:r w:rsidRPr="00D503C8">
                        <w:rPr>
                          <w:rStyle w:val="Strong"/>
                        </w:rPr>
                        <w:t xml:space="preserve">Network reliability (normalised): </w:t>
                      </w:r>
                    </w:p>
                    <w:p w:rsidR="00AD3D0C" w:rsidRDefault="00AD3D0C" w:rsidP="00BC41E5">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267.6</w:t>
                      </w:r>
                      <w:r w:rsidRPr="00E96856">
                        <w:t xml:space="preserve"> minutes</w:t>
                      </w:r>
                    </w:p>
                    <w:p w:rsidR="00AD3D0C" w:rsidRDefault="00AD3D0C" w:rsidP="00BC41E5">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317.6</w:t>
                      </w:r>
                      <w:r w:rsidRPr="00E96856">
                        <w:t xml:space="preserve"> minutes</w:t>
                      </w:r>
                    </w:p>
                    <w:p w:rsidR="00AD3D0C" w:rsidRDefault="00AD3D0C" w:rsidP="00BC41E5">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2.43</w:t>
                      </w:r>
                      <w:r w:rsidRPr="00E96856">
                        <w:t xml:space="preserve"> interruptions</w:t>
                      </w:r>
                    </w:p>
                    <w:p w:rsidR="00AD3D0C" w:rsidRPr="00D503C8" w:rsidRDefault="00AD3D0C" w:rsidP="00BC41E5">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2.95</w:t>
                      </w:r>
                      <w:r w:rsidRPr="00E96856">
                        <w:t xml:space="preserve"> interruptions</w:t>
                      </w:r>
                    </w:p>
                  </w:txbxContent>
                </v:textbox>
                <w10:wrap type="tight"/>
              </v:shape>
            </w:pict>
          </mc:Fallback>
        </mc:AlternateContent>
      </w:r>
      <w:r w:rsidR="00AE2FC7">
        <w:t>Ergon Energy</w:t>
      </w:r>
      <w:bookmarkEnd w:id="351"/>
      <w:bookmarkEnd w:id="352"/>
      <w:bookmarkEnd w:id="353"/>
    </w:p>
    <w:p w:rsidR="00AE2FC7" w:rsidRDefault="00AE2FC7" w:rsidP="00592413">
      <w:pPr>
        <w:pStyle w:val="Heading3"/>
      </w:pPr>
      <w:bookmarkStart w:id="356" w:name="_Toc409771674"/>
      <w:bookmarkStart w:id="357" w:name="_Toc412790623"/>
      <w:bookmarkStart w:id="358" w:name="_Toc413062104"/>
      <w:bookmarkStart w:id="359" w:name="_Toc413311103"/>
      <w:bookmarkStart w:id="360" w:name="_Toc423086519"/>
      <w:r>
        <w:t>Regulation</w:t>
      </w:r>
      <w:bookmarkEnd w:id="356"/>
      <w:bookmarkEnd w:id="357"/>
      <w:bookmarkEnd w:id="358"/>
      <w:bookmarkEnd w:id="359"/>
      <w:bookmarkEnd w:id="360"/>
    </w:p>
    <w:p w:rsidR="00AE2FC7" w:rsidRPr="002F0E72" w:rsidRDefault="002767AE" w:rsidP="00AE2FC7">
      <w:r>
        <w:t>From 1 July</w:t>
      </w:r>
      <w:r w:rsidR="00AE2FC7" w:rsidRPr="002F0E72">
        <w:t xml:space="preserve"> 2010 </w:t>
      </w:r>
      <w:r>
        <w:t>we have</w:t>
      </w:r>
      <w:r w:rsidR="00AE2FC7" w:rsidRPr="002F0E72">
        <w:t xml:space="preserve"> been responsible for the economic regulation of electricity distribution services provided Ergon Energy. Previously</w:t>
      </w:r>
      <w:r w:rsidR="00F078ED">
        <w:t>,</w:t>
      </w:r>
      <w:r w:rsidR="00AE2FC7" w:rsidRPr="002F0E72">
        <w:t xml:space="preserve"> the QCA was the responsible regulator</w:t>
      </w:r>
    </w:p>
    <w:p w:rsidR="00AE2FC7" w:rsidRDefault="00AE2FC7" w:rsidP="00592413">
      <w:pPr>
        <w:pStyle w:val="Heading3"/>
      </w:pPr>
      <w:bookmarkStart w:id="361" w:name="_Toc409771675"/>
      <w:bookmarkStart w:id="362" w:name="_Toc412790624"/>
      <w:bookmarkStart w:id="363" w:name="_Toc413062105"/>
      <w:bookmarkStart w:id="364" w:name="_Toc413311104"/>
      <w:bookmarkStart w:id="365" w:name="_Toc423086520"/>
      <w:r>
        <w:t>Energy delivered</w:t>
      </w:r>
      <w:bookmarkEnd w:id="361"/>
      <w:bookmarkEnd w:id="362"/>
      <w:bookmarkEnd w:id="363"/>
      <w:bookmarkEnd w:id="364"/>
      <w:bookmarkEnd w:id="365"/>
    </w:p>
    <w:p w:rsidR="00AE2FC7" w:rsidRPr="002F0E72" w:rsidRDefault="00AE2FC7" w:rsidP="00AE2FC7">
      <w:r w:rsidRPr="002F0E72">
        <w:t>Total energy delivered by Ergon Energy over the first three years of the 2010</w:t>
      </w:r>
      <w:r w:rsidR="007A3240">
        <w:t>–</w:t>
      </w:r>
      <w:r w:rsidRPr="002F0E72">
        <w:t xml:space="preserve">15 regulatory control </w:t>
      </w:r>
      <w:proofErr w:type="gramStart"/>
      <w:r w:rsidRPr="002F0E72">
        <w:t>period</w:t>
      </w:r>
      <w:proofErr w:type="gramEnd"/>
      <w:r w:rsidRPr="002F0E72">
        <w:t xml:space="preserve"> was approximately </w:t>
      </w:r>
      <w:r w:rsidR="002A745C">
        <w:t>18</w:t>
      </w:r>
      <w:r w:rsidR="002A745C" w:rsidRPr="002F0E72">
        <w:t xml:space="preserve"> </w:t>
      </w:r>
      <w:r w:rsidRPr="002F0E72">
        <w:t xml:space="preserve">per cent less than </w:t>
      </w:r>
      <w:r w:rsidR="00DD4FC1">
        <w:t>our approved</w:t>
      </w:r>
      <w:r w:rsidRPr="002F0E72">
        <w:t xml:space="preserve"> forecast (</w:t>
      </w:r>
      <w:r>
        <w:t>Figure 9</w:t>
      </w:r>
      <w:r w:rsidRPr="002F0E72">
        <w:t>–5</w:t>
      </w:r>
      <w:r w:rsidR="002F662A">
        <w:t>1</w:t>
      </w:r>
      <w:r w:rsidRPr="002F0E72">
        <w:t xml:space="preserve">). The forecasts for the 2010 15 regulatory control period are those submitted by Ergon Energy and </w:t>
      </w:r>
      <w:r w:rsidR="00DD4FC1">
        <w:t xml:space="preserve">accepted by us in our </w:t>
      </w:r>
      <w:r w:rsidRPr="002F0E72">
        <w:t xml:space="preserve">2010 distribution determination. </w:t>
      </w:r>
    </w:p>
    <w:p w:rsidR="00AE2FC7" w:rsidRDefault="00AE2FC7" w:rsidP="00972E3F">
      <w:pPr>
        <w:pStyle w:val="Caption"/>
      </w:pPr>
      <w:r>
        <w:t>Figure 9</w:t>
      </w:r>
      <w:r w:rsidRPr="002F0E72">
        <w:t>–5</w:t>
      </w:r>
      <w:r w:rsidR="002F662A">
        <w:t>1</w:t>
      </w:r>
      <w:r w:rsidRPr="002F0E72">
        <w:tab/>
        <w:t xml:space="preserve">Energy delivered </w:t>
      </w:r>
      <w:r w:rsidR="007A3240">
        <w:t>–</w:t>
      </w:r>
      <w:r w:rsidRPr="002F0E72">
        <w:t xml:space="preserve"> Ergon Energy</w:t>
      </w:r>
    </w:p>
    <w:p w:rsidR="00F078ED" w:rsidRPr="00F078ED" w:rsidRDefault="00F078ED" w:rsidP="00F078ED">
      <w:r w:rsidRPr="00F078ED">
        <w:rPr>
          <w:noProof/>
          <w:lang w:eastAsia="en-AU"/>
        </w:rPr>
        <w:drawing>
          <wp:inline distT="0" distB="0" distL="0" distR="0" wp14:anchorId="313DFD8C" wp14:editId="3234BE00">
            <wp:extent cx="4572000" cy="27432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AE2FC7" w:rsidRPr="002F0E72" w:rsidRDefault="00AE2FC7" w:rsidP="00AE2FC7">
      <w:r w:rsidRPr="002F0E72">
        <w:t xml:space="preserve">Chapter 4 </w:t>
      </w:r>
      <w:r w:rsidR="009E3ACF">
        <w:t xml:space="preserve">contains our </w:t>
      </w:r>
      <w:r w:rsidRPr="002F0E72">
        <w:t xml:space="preserve">assessment of energy delivered for all DNSPs in the NEM. </w:t>
      </w:r>
    </w:p>
    <w:p w:rsidR="00AE2FC7" w:rsidRDefault="00AE2FC7" w:rsidP="00592413">
      <w:pPr>
        <w:pStyle w:val="Heading3"/>
      </w:pPr>
      <w:bookmarkStart w:id="366" w:name="_Toc409771676"/>
      <w:bookmarkStart w:id="367" w:name="_Toc412790625"/>
      <w:bookmarkStart w:id="368" w:name="_Toc413062106"/>
      <w:bookmarkStart w:id="369" w:name="_Toc413311105"/>
      <w:bookmarkStart w:id="370" w:name="_Toc423086521"/>
      <w:r>
        <w:t>Demand</w:t>
      </w:r>
      <w:bookmarkEnd w:id="366"/>
      <w:bookmarkEnd w:id="367"/>
      <w:bookmarkEnd w:id="368"/>
      <w:bookmarkEnd w:id="369"/>
      <w:bookmarkEnd w:id="370"/>
    </w:p>
    <w:p w:rsidR="00C438F4" w:rsidRDefault="00AE2FC7" w:rsidP="00C438F4">
      <w:r w:rsidRPr="002F0E72">
        <w:t>Ergon Energy's expectation of increasing system maximum demand at the time of the 2010 distribution determination was not realised in its actual maximum demand (</w:t>
      </w:r>
      <w:r>
        <w:t>Figure 9</w:t>
      </w:r>
      <w:r w:rsidRPr="002F0E72">
        <w:t>–5</w:t>
      </w:r>
      <w:r w:rsidR="002F662A">
        <w:t>2</w:t>
      </w:r>
      <w:r w:rsidRPr="002F0E72">
        <w:t>). The difference between Ergon Energy's forecast and actual maximum demand was greater in 2012</w:t>
      </w:r>
      <w:r w:rsidR="007A3240">
        <w:t>–</w:t>
      </w:r>
      <w:r w:rsidRPr="002F0E72">
        <w:t xml:space="preserve">13 than in any </w:t>
      </w:r>
      <w:r w:rsidR="00E54A93">
        <w:t xml:space="preserve">other </w:t>
      </w:r>
      <w:r w:rsidRPr="002F0E72">
        <w:t>year in the 2010</w:t>
      </w:r>
      <w:r w:rsidR="007A3240">
        <w:t>–</w:t>
      </w:r>
      <w:r w:rsidRPr="002F0E72">
        <w:t xml:space="preserve">15 or </w:t>
      </w:r>
      <w:r w:rsidR="00775D0A" w:rsidRPr="002F0E72">
        <w:t>200</w:t>
      </w:r>
      <w:r w:rsidR="00775D0A">
        <w:t>5</w:t>
      </w:r>
      <w:r w:rsidR="007A3240">
        <w:t>–</w:t>
      </w:r>
      <w:r w:rsidRPr="002F0E72">
        <w:t>10 regulatory control periods.</w:t>
      </w:r>
      <w:r w:rsidR="00C438F4">
        <w:t xml:space="preserve"> </w:t>
      </w:r>
    </w:p>
    <w:p w:rsidR="008B4F12" w:rsidRPr="00F078ED" w:rsidRDefault="008B4F12" w:rsidP="008B4F12">
      <w:r>
        <w:t xml:space="preserve">Ergon Energy notes the lower than expected maximum demand measures reflect the impact of the global financial crisis on the Queensland economy, the rate of growth in solar </w:t>
      </w:r>
      <w:r w:rsidR="002E54A8">
        <w:t>PV</w:t>
      </w:r>
      <w:r>
        <w:t xml:space="preserve"> system connections, growth in solar hot water systems, higher electricity prices and Government programs such as Climate Smart and insulation.</w:t>
      </w:r>
    </w:p>
    <w:p w:rsidR="00D906AD" w:rsidRPr="002F0E72" w:rsidRDefault="00D906AD" w:rsidP="00D906AD">
      <w:r w:rsidRPr="002F0E72">
        <w:t xml:space="preserve">Chapter 4 </w:t>
      </w:r>
      <w:r>
        <w:t xml:space="preserve">contains our </w:t>
      </w:r>
      <w:r w:rsidRPr="002F0E72">
        <w:t xml:space="preserve">assessment of maximum demand for all DNSPs in the NEM. </w:t>
      </w:r>
    </w:p>
    <w:p w:rsidR="00AE2FC7" w:rsidRDefault="00AE2FC7" w:rsidP="00972E3F">
      <w:pPr>
        <w:pStyle w:val="Caption"/>
      </w:pPr>
      <w:r>
        <w:t>Figure 9</w:t>
      </w:r>
      <w:r w:rsidRPr="002F0E72">
        <w:t>–5</w:t>
      </w:r>
      <w:r w:rsidR="002F662A">
        <w:t>2</w:t>
      </w:r>
      <w:r w:rsidR="009F70BD">
        <w:tab/>
      </w:r>
      <w:r w:rsidRPr="002F0E72">
        <w:t xml:space="preserve">Maximum demand </w:t>
      </w:r>
      <w:r w:rsidR="007A3240">
        <w:t>–</w:t>
      </w:r>
      <w:r w:rsidRPr="002F0E72">
        <w:t xml:space="preserve"> Ergon Energy</w:t>
      </w:r>
    </w:p>
    <w:p w:rsidR="00F078ED" w:rsidRDefault="000002AC" w:rsidP="00F078ED">
      <w:r w:rsidRPr="000002AC">
        <w:rPr>
          <w:noProof/>
          <w:lang w:eastAsia="en-AU"/>
        </w:rPr>
        <w:drawing>
          <wp:inline distT="0" distB="0" distL="0" distR="0" wp14:anchorId="2C69CD2F" wp14:editId="71F14CFA">
            <wp:extent cx="4572000" cy="2743200"/>
            <wp:effectExtent l="0" t="0" r="0" b="0"/>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AE2FC7" w:rsidRDefault="00AE2FC7" w:rsidP="00592413">
      <w:pPr>
        <w:pStyle w:val="Heading3"/>
      </w:pPr>
      <w:bookmarkStart w:id="371" w:name="_Toc409771677"/>
      <w:bookmarkStart w:id="372" w:name="_Toc412790626"/>
      <w:bookmarkStart w:id="373" w:name="_Toc413062107"/>
      <w:bookmarkStart w:id="374" w:name="_Toc413311106"/>
      <w:bookmarkStart w:id="375" w:name="_Toc423086522"/>
      <w:r>
        <w:t>Expenditure and revenue</w:t>
      </w:r>
      <w:bookmarkEnd w:id="371"/>
      <w:bookmarkEnd w:id="372"/>
      <w:bookmarkEnd w:id="373"/>
      <w:bookmarkEnd w:id="374"/>
      <w:bookmarkEnd w:id="375"/>
    </w:p>
    <w:p w:rsidR="00AE2FC7" w:rsidRPr="002F0E72" w:rsidRDefault="00AE2FC7" w:rsidP="00AE2FC7">
      <w:r w:rsidRPr="002F0E72">
        <w:t xml:space="preserve">Amendments made to </w:t>
      </w:r>
      <w:r w:rsidR="00DD4FC1">
        <w:t>our approved</w:t>
      </w:r>
      <w:r w:rsidRPr="002F0E72">
        <w:t xml:space="preserve"> forecasts as the result of Tribunal orders or as a result of approved pass throughs </w:t>
      </w:r>
      <w:r w:rsidR="00D30B61">
        <w:t>are included</w:t>
      </w:r>
      <w:r w:rsidRPr="002F0E72">
        <w:t xml:space="preserve"> in the following analysis of Ergon Energy's financial performance.</w:t>
      </w:r>
      <w:r w:rsidR="00674453">
        <w:rPr>
          <w:rStyle w:val="FootnoteReference"/>
        </w:rPr>
        <w:footnoteReference w:id="19"/>
      </w:r>
      <w:r w:rsidRPr="002F0E72">
        <w:t xml:space="preserve"> </w:t>
      </w:r>
    </w:p>
    <w:p w:rsidR="00AE2FC7" w:rsidRPr="002F0E72" w:rsidRDefault="00AE2FC7" w:rsidP="00AE2FC7">
      <w:pPr>
        <w:pStyle w:val="Heading4notnumbered"/>
      </w:pPr>
      <w:r w:rsidRPr="002F0E72">
        <w:t>Capital expenditure</w:t>
      </w:r>
    </w:p>
    <w:p w:rsidR="00AE2FC7" w:rsidRPr="002F0E72" w:rsidRDefault="00AE2FC7" w:rsidP="00AE2FC7">
      <w:r w:rsidRPr="002F0E72">
        <w:t xml:space="preserve">Ergon Energy's total capital expenditure over </w:t>
      </w:r>
      <w:r w:rsidR="00F55EE1">
        <w:t>2011</w:t>
      </w:r>
      <w:r w:rsidR="007A3240">
        <w:t>–</w:t>
      </w:r>
      <w:r w:rsidRPr="002F0E72">
        <w:t>1</w:t>
      </w:r>
      <w:r w:rsidR="00F55EE1">
        <w:t>3</w:t>
      </w:r>
      <w:r w:rsidRPr="002F0E72">
        <w:t xml:space="preserve"> was approximately </w:t>
      </w:r>
      <w:r w:rsidR="001C4C0D">
        <w:t>17</w:t>
      </w:r>
      <w:r w:rsidRPr="002F0E72">
        <w:t xml:space="preserve"> per cent lower than </w:t>
      </w:r>
      <w:r w:rsidR="00DD4FC1">
        <w:t>our approved</w:t>
      </w:r>
      <w:r w:rsidRPr="002F0E72">
        <w:t xml:space="preserve"> forecast (</w:t>
      </w:r>
      <w:r>
        <w:t>Figure 9</w:t>
      </w:r>
      <w:r w:rsidRPr="002F0E72">
        <w:t>–5</w:t>
      </w:r>
      <w:r w:rsidR="002F662A">
        <w:t>3</w:t>
      </w:r>
      <w:r w:rsidRPr="002F0E72">
        <w:t>).</w:t>
      </w:r>
      <w:r w:rsidR="00C438F4">
        <w:t xml:space="preserve"> Ergon Energy state</w:t>
      </w:r>
      <w:r w:rsidR="0040444A">
        <w:t>d</w:t>
      </w:r>
      <w:r w:rsidR="00C438F4">
        <w:t xml:space="preserve"> lower capital expenditure reflects changes to market conditions and deferral of networks investment due to demand management initiatives. </w:t>
      </w:r>
    </w:p>
    <w:p w:rsidR="002F662A" w:rsidRDefault="00AE2FC7" w:rsidP="00972E3F">
      <w:pPr>
        <w:pStyle w:val="Caption"/>
      </w:pPr>
      <w:r>
        <w:t>Figure 9</w:t>
      </w:r>
      <w:r w:rsidRPr="002F0E72">
        <w:t>–5</w:t>
      </w:r>
      <w:r w:rsidR="002F662A">
        <w:t>3</w:t>
      </w:r>
      <w:r w:rsidRPr="002F0E72">
        <w:tab/>
        <w:t xml:space="preserve">Capital expenditure (excluding customer contributions) </w:t>
      </w:r>
      <w:r w:rsidR="007A3240">
        <w:t>–</w:t>
      </w:r>
      <w:r w:rsidRPr="002F0E72">
        <w:t xml:space="preserve"> Ergon Energy</w:t>
      </w:r>
    </w:p>
    <w:p w:rsidR="00AE2FC7" w:rsidRPr="002F0E72" w:rsidRDefault="00F078ED" w:rsidP="00F078ED">
      <w:r w:rsidRPr="00F078ED">
        <w:rPr>
          <w:noProof/>
          <w:lang w:eastAsia="en-AU"/>
        </w:rPr>
        <w:drawing>
          <wp:inline distT="0" distB="0" distL="0" distR="0" wp14:anchorId="512308E8" wp14:editId="4819904F">
            <wp:extent cx="4572000" cy="27432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8B4F12" w:rsidRPr="002F0E72" w:rsidRDefault="008B4F12" w:rsidP="008B4F12">
      <w:r w:rsidRPr="002F0E72">
        <w:t xml:space="preserve">Ergon Energy indicated it was able to reduce equipment rating uncertainty </w:t>
      </w:r>
      <w:r w:rsidR="00F55EE1">
        <w:t>due to</w:t>
      </w:r>
      <w:r w:rsidRPr="002F0E72">
        <w:t xml:space="preserve"> changes to design and security of supply criteria, and the use of improved load forecasting. Consequently some of </w:t>
      </w:r>
      <w:r w:rsidR="00F55EE1">
        <w:t>its</w:t>
      </w:r>
      <w:r w:rsidRPr="002F0E72">
        <w:t xml:space="preserve"> augmentation projects were deferred</w:t>
      </w:r>
      <w:r w:rsidR="00F55EE1">
        <w:t>.</w:t>
      </w:r>
      <w:r>
        <w:t xml:space="preserve"> </w:t>
      </w:r>
      <w:r w:rsidR="00F55EE1">
        <w:t>It also</w:t>
      </w:r>
      <w:r w:rsidRPr="002F0E72">
        <w:t xml:space="preserve"> indicated there was a deferral of the construction and redevelopment of some augmentation projects due to the reduction in demand growth and as a result of alternative energy solutions </w:t>
      </w:r>
      <w:r w:rsidR="00F55EE1">
        <w:t>(Figure 9–54)</w:t>
      </w:r>
      <w:r w:rsidR="00F55EE1" w:rsidRPr="002F0E72">
        <w:t>.</w:t>
      </w:r>
    </w:p>
    <w:p w:rsidR="008B4F12" w:rsidRPr="002F0E72" w:rsidRDefault="008B4F12" w:rsidP="008B4F12">
      <w:r w:rsidRPr="002F0E72">
        <w:t xml:space="preserve">Ergon Energy </w:t>
      </w:r>
      <w:r w:rsidR="00F55EE1">
        <w:t>stated</w:t>
      </w:r>
      <w:r w:rsidRPr="002F0E72">
        <w:t xml:space="preserve"> spending on customer initiated augmentation projects was less than forecast due to:</w:t>
      </w:r>
    </w:p>
    <w:p w:rsidR="008B4F12" w:rsidRPr="002F0E72" w:rsidRDefault="008B4F12" w:rsidP="00082DB0">
      <w:pPr>
        <w:pStyle w:val="ListBullet"/>
      </w:pPr>
      <w:r w:rsidRPr="002F0E72">
        <w:t xml:space="preserve">increased uptake of solar </w:t>
      </w:r>
      <w:r w:rsidR="002E54A8">
        <w:t>PV</w:t>
      </w:r>
    </w:p>
    <w:p w:rsidR="008B4F12" w:rsidRPr="002F0E72" w:rsidRDefault="008B4F12" w:rsidP="00082DB0">
      <w:pPr>
        <w:pStyle w:val="ListBullet"/>
      </w:pPr>
      <w:r w:rsidRPr="002F0E72">
        <w:t>suppressed demand for customer network connections</w:t>
      </w:r>
    </w:p>
    <w:p w:rsidR="008B4F12" w:rsidRPr="002F0E72" w:rsidRDefault="008B4F12" w:rsidP="00082DB0">
      <w:pPr>
        <w:pStyle w:val="ListBullet"/>
      </w:pPr>
      <w:proofErr w:type="gramStart"/>
      <w:r w:rsidRPr="002F0E72">
        <w:t>mild</w:t>
      </w:r>
      <w:proofErr w:type="gramEnd"/>
      <w:r w:rsidRPr="002F0E72">
        <w:t xml:space="preserve"> weather conditions reducing the number of projects or deferring projects.</w:t>
      </w:r>
      <w:r>
        <w:t xml:space="preserve"> </w:t>
      </w:r>
    </w:p>
    <w:p w:rsidR="00AE2FC7" w:rsidRDefault="00AE2FC7" w:rsidP="00972E3F">
      <w:pPr>
        <w:pStyle w:val="Caption"/>
      </w:pPr>
      <w:r>
        <w:t>Figure 9</w:t>
      </w:r>
      <w:r w:rsidRPr="002F0E72">
        <w:t>–5</w:t>
      </w:r>
      <w:r w:rsidR="002F662A">
        <w:t>4</w:t>
      </w:r>
      <w:r w:rsidRPr="002F0E72">
        <w:tab/>
        <w:t xml:space="preserve">Capital expenditure by purpose (including customer contributions) </w:t>
      </w:r>
      <w:r w:rsidR="007A3240">
        <w:t>–</w:t>
      </w:r>
      <w:r w:rsidRPr="002F0E72">
        <w:t xml:space="preserve"> Ergon Energy</w:t>
      </w:r>
    </w:p>
    <w:p w:rsidR="00F078ED" w:rsidRPr="00F078ED" w:rsidRDefault="00F078ED" w:rsidP="00F078ED">
      <w:r w:rsidRPr="00F078ED">
        <w:rPr>
          <w:noProof/>
          <w:lang w:eastAsia="en-AU"/>
        </w:rPr>
        <w:drawing>
          <wp:inline distT="0" distB="0" distL="0" distR="0" wp14:anchorId="17C21359" wp14:editId="0B6CFF59">
            <wp:extent cx="4572000" cy="27432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E2FC7" w:rsidRPr="002F0E72" w:rsidRDefault="00AE2FC7" w:rsidP="00AE2FC7">
      <w:r w:rsidRPr="002F0E72">
        <w:t xml:space="preserve">Chapter 5 provides a description of how DNSPs fund their expenditure on investment projects (capital expenditure) and a comparative assessment of capital expenditure for all DNSPs in the NEM. </w:t>
      </w:r>
    </w:p>
    <w:p w:rsidR="00AE2FC7" w:rsidRPr="002F0E72" w:rsidRDefault="00AE2FC7" w:rsidP="00AE2FC7">
      <w:pPr>
        <w:pStyle w:val="Heading4notnumbered"/>
      </w:pPr>
      <w:r w:rsidRPr="002F0E72">
        <w:t>Regulatory asset base</w:t>
      </w:r>
    </w:p>
    <w:p w:rsidR="00AE2FC7" w:rsidRPr="002F0E72" w:rsidRDefault="00AE2FC7" w:rsidP="00AE2FC7">
      <w:r w:rsidRPr="002F0E72">
        <w:t>Ergon Energy's RAB increased by 14 per cent over the first three years of the 2010</w:t>
      </w:r>
      <w:r w:rsidR="007A3240">
        <w:t>–</w:t>
      </w:r>
      <w:r w:rsidRPr="002F0E72">
        <w:t xml:space="preserve">15 regulatory control </w:t>
      </w:r>
      <w:proofErr w:type="gramStart"/>
      <w:r w:rsidRPr="002F0E72">
        <w:t>period</w:t>
      </w:r>
      <w:proofErr w:type="gramEnd"/>
      <w:r w:rsidRPr="002F0E72">
        <w:t>. Ergon Energy's RAB was forecast to increase by 37</w:t>
      </w:r>
      <w:r w:rsidR="00F55EE1">
        <w:t> </w:t>
      </w:r>
      <w:r w:rsidRPr="002F0E72">
        <w:t>per cent over this period.</w:t>
      </w:r>
      <w:r w:rsidR="00F55EE1">
        <w:t xml:space="preserve"> </w:t>
      </w:r>
      <w:r w:rsidRPr="002F0E72">
        <w:t>Ergon Energy's RAB grew from approximately $7.8</w:t>
      </w:r>
      <w:r w:rsidR="00F55EE1">
        <w:t> </w:t>
      </w:r>
      <w:r w:rsidRPr="002F0E72">
        <w:t>billion at the end of 2009</w:t>
      </w:r>
      <w:r w:rsidR="007A3240">
        <w:t>–</w:t>
      </w:r>
      <w:r w:rsidRPr="002F0E72">
        <w:t>10 to approximately $8.9 billion at the end of 2012</w:t>
      </w:r>
      <w:r w:rsidR="007A3240">
        <w:t>–</w:t>
      </w:r>
      <w:r w:rsidRPr="002F0E72">
        <w:t>13 (</w:t>
      </w:r>
      <w:r>
        <w:t>Figure 9</w:t>
      </w:r>
      <w:r w:rsidRPr="002F0E72">
        <w:t>–</w:t>
      </w:r>
      <w:r w:rsidR="002F662A">
        <w:t>55</w:t>
      </w:r>
      <w:r w:rsidRPr="002F0E72">
        <w:t xml:space="preserve">). </w:t>
      </w:r>
    </w:p>
    <w:p w:rsidR="00D906AD" w:rsidRDefault="00D906AD" w:rsidP="00D906AD">
      <w:r w:rsidRPr="002F0E72">
        <w:t>The increasing difference between the forecast RAB and the actual value of Ergon Energy's RAB is consistent with its underspending on capital over the first three years of the 2010</w:t>
      </w:r>
      <w:r>
        <w:t>–</w:t>
      </w:r>
      <w:r w:rsidRPr="002F0E72">
        <w:t xml:space="preserve">15 regulatory control </w:t>
      </w:r>
      <w:proofErr w:type="gramStart"/>
      <w:r w:rsidRPr="002F0E72">
        <w:t>period</w:t>
      </w:r>
      <w:proofErr w:type="gramEnd"/>
      <w:r w:rsidRPr="002F0E72">
        <w:t>.</w:t>
      </w:r>
    </w:p>
    <w:p w:rsidR="00D906AD" w:rsidRPr="002F0E72" w:rsidRDefault="00D906AD" w:rsidP="00D906AD"/>
    <w:p w:rsidR="00AE2FC7" w:rsidRDefault="00AE2FC7" w:rsidP="00972E3F">
      <w:pPr>
        <w:pStyle w:val="Caption"/>
      </w:pPr>
      <w:r>
        <w:t>Figure 9</w:t>
      </w:r>
      <w:r w:rsidRPr="002F0E72">
        <w:t>–</w:t>
      </w:r>
      <w:r w:rsidR="002F662A">
        <w:t>55</w:t>
      </w:r>
      <w:r w:rsidRPr="002F0E72">
        <w:tab/>
        <w:t xml:space="preserve">Regulatory asset base </w:t>
      </w:r>
      <w:r w:rsidR="007A3240">
        <w:t>–</w:t>
      </w:r>
      <w:r w:rsidRPr="002F0E72">
        <w:t xml:space="preserve"> Ergon Energy</w:t>
      </w:r>
    </w:p>
    <w:p w:rsidR="006261C0" w:rsidRDefault="006261C0" w:rsidP="006261C0">
      <w:r w:rsidRPr="006261C0">
        <w:rPr>
          <w:noProof/>
          <w:lang w:eastAsia="en-AU"/>
        </w:rPr>
        <w:drawing>
          <wp:inline distT="0" distB="0" distL="0" distR="0" wp14:anchorId="6F8CADC7" wp14:editId="02F3B132">
            <wp:extent cx="4733925" cy="2743200"/>
            <wp:effectExtent l="0" t="0" r="0" b="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467513" w:rsidRDefault="00467513" w:rsidP="00AE2FC7">
      <w:pPr>
        <w:rPr>
          <w:rStyle w:val="AERtextsize8"/>
        </w:rPr>
      </w:pPr>
      <w:r w:rsidRPr="00467513">
        <w:rPr>
          <w:rStyle w:val="AERtextsize8"/>
        </w:rPr>
        <w:t xml:space="preserve">Note: Forecasts for the 2008-09 and 2009-10 include estimated data. </w:t>
      </w:r>
    </w:p>
    <w:p w:rsidR="00AE2FC7" w:rsidRPr="002F0E72" w:rsidRDefault="00AE2FC7" w:rsidP="00AE2FC7">
      <w:pPr>
        <w:pStyle w:val="Heading4notnumbered"/>
      </w:pPr>
      <w:r w:rsidRPr="002F0E72">
        <w:t>Operating expenditure</w:t>
      </w:r>
    </w:p>
    <w:p w:rsidR="00AE2FC7" w:rsidRPr="002F0E72" w:rsidRDefault="00AE2FC7" w:rsidP="00AE2FC7">
      <w:r w:rsidRPr="002F0E72">
        <w:t>Ergon Energy's total operating expenditure over the first three years of the 2010</w:t>
      </w:r>
      <w:r w:rsidR="007A3240">
        <w:t>–</w:t>
      </w:r>
      <w:r w:rsidRPr="002F0E72">
        <w:t xml:space="preserve">15 regulatory control </w:t>
      </w:r>
      <w:proofErr w:type="gramStart"/>
      <w:r w:rsidRPr="002F0E72">
        <w:t>period</w:t>
      </w:r>
      <w:proofErr w:type="gramEnd"/>
      <w:r w:rsidRPr="002F0E72">
        <w:t xml:space="preserve"> was within 1 per cent of </w:t>
      </w:r>
      <w:r w:rsidR="00DD4FC1">
        <w:t>our approved</w:t>
      </w:r>
      <w:r w:rsidRPr="002F0E72">
        <w:t xml:space="preserve"> forecast (</w:t>
      </w:r>
      <w:r>
        <w:t>Figure 9</w:t>
      </w:r>
      <w:r w:rsidRPr="002F0E72">
        <w:t>–</w:t>
      </w:r>
      <w:r w:rsidR="002F662A">
        <w:t>56</w:t>
      </w:r>
      <w:r w:rsidRPr="002F0E72">
        <w:t xml:space="preserve">). </w:t>
      </w:r>
    </w:p>
    <w:p w:rsidR="00AE2FC7" w:rsidRDefault="00AE2FC7" w:rsidP="00972E3F">
      <w:pPr>
        <w:pStyle w:val="Caption"/>
      </w:pPr>
      <w:r>
        <w:t>Figure 9</w:t>
      </w:r>
      <w:r w:rsidRPr="002F0E72">
        <w:t>–</w:t>
      </w:r>
      <w:r w:rsidR="002F662A">
        <w:t>56</w:t>
      </w:r>
      <w:r w:rsidRPr="002F0E72">
        <w:tab/>
        <w:t xml:space="preserve">Operating expenditure </w:t>
      </w:r>
      <w:r w:rsidR="007A3240">
        <w:t>–</w:t>
      </w:r>
      <w:r w:rsidRPr="002F0E72">
        <w:t xml:space="preserve"> Ergon Energy</w:t>
      </w:r>
    </w:p>
    <w:p w:rsidR="00F078ED" w:rsidRPr="00F078ED" w:rsidRDefault="00F078ED" w:rsidP="00F078ED">
      <w:r w:rsidRPr="00F078ED">
        <w:rPr>
          <w:noProof/>
          <w:lang w:eastAsia="en-AU"/>
        </w:rPr>
        <w:drawing>
          <wp:inline distT="0" distB="0" distL="0" distR="0" wp14:anchorId="59E16F0E" wp14:editId="386E4627">
            <wp:extent cx="4572000" cy="274320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AE2FC7" w:rsidRPr="002F0E72" w:rsidRDefault="00AE2FC7" w:rsidP="00AE2FC7">
      <w:r w:rsidRPr="002F0E72">
        <w:t xml:space="preserve">Chapter 6 </w:t>
      </w:r>
      <w:r w:rsidR="009E3ACF">
        <w:t xml:space="preserve">contains our </w:t>
      </w:r>
      <w:r w:rsidRPr="002F0E72">
        <w:t xml:space="preserve">assessment of operating expenditure for all DNSPs in the NEM. </w:t>
      </w:r>
    </w:p>
    <w:p w:rsidR="00AE2FC7" w:rsidRPr="002F0E72" w:rsidRDefault="00AE2FC7" w:rsidP="00AE2FC7">
      <w:pPr>
        <w:pStyle w:val="Heading4notnumbered"/>
      </w:pPr>
      <w:r w:rsidRPr="002F0E72">
        <w:t>Revenue</w:t>
      </w:r>
    </w:p>
    <w:p w:rsidR="00AE2FC7" w:rsidRPr="002F0E72" w:rsidRDefault="00DD4FC1" w:rsidP="00AE2FC7">
      <w:r>
        <w:t>Our 2010</w:t>
      </w:r>
      <w:r w:rsidR="00AE2FC7" w:rsidRPr="002F0E72">
        <w:t xml:space="preserve"> distribution determination applied a revenue cap form of control to Ergon Energy's distribution services over the 2010</w:t>
      </w:r>
      <w:r w:rsidR="007A3240">
        <w:t>–</w:t>
      </w:r>
      <w:r w:rsidR="00AE2FC7" w:rsidRPr="002F0E72">
        <w:t xml:space="preserve">15 regulatory control </w:t>
      </w:r>
      <w:proofErr w:type="gramStart"/>
      <w:r w:rsidR="00AE2FC7" w:rsidRPr="002F0E72">
        <w:t>period</w:t>
      </w:r>
      <w:proofErr w:type="gramEnd"/>
      <w:r w:rsidR="00AE2FC7" w:rsidRPr="002F0E72">
        <w:t xml:space="preserve">. A revenue cap imposes controls over the revenues a distributor may recover </w:t>
      </w:r>
      <w:r w:rsidR="00A75C74">
        <w:t>for</w:t>
      </w:r>
      <w:r w:rsidR="00A75C74" w:rsidRPr="002F0E72">
        <w:t xml:space="preserve"> </w:t>
      </w:r>
      <w:r w:rsidR="00AE2FC7" w:rsidRPr="002F0E72">
        <w:t>providing electricity distribution services.</w:t>
      </w:r>
    </w:p>
    <w:p w:rsidR="00AE2FC7" w:rsidRPr="002F0E72" w:rsidRDefault="00AE2FC7" w:rsidP="00AE2FC7">
      <w:r w:rsidRPr="002F0E72">
        <w:t>The MAR for any given year may also be impacted by the following factors:</w:t>
      </w:r>
    </w:p>
    <w:p w:rsidR="00AE2FC7" w:rsidRPr="002F0E72" w:rsidRDefault="00AE2FC7" w:rsidP="00082DB0">
      <w:pPr>
        <w:pStyle w:val="ListBullet"/>
      </w:pPr>
      <w:r w:rsidRPr="002F0E72">
        <w:t xml:space="preserve">any STPIS revenue increment (or revenue decrement) (see Service performance) </w:t>
      </w:r>
    </w:p>
    <w:p w:rsidR="00AE2FC7" w:rsidRPr="002F0E72" w:rsidRDefault="00AE2FC7" w:rsidP="00082DB0">
      <w:pPr>
        <w:pStyle w:val="ListBullet"/>
      </w:pPr>
      <w:r w:rsidRPr="002F0E72">
        <w:t xml:space="preserve">any </w:t>
      </w:r>
      <w:proofErr w:type="spellStart"/>
      <w:r w:rsidRPr="002F0E72">
        <w:t>unders</w:t>
      </w:r>
      <w:proofErr w:type="spellEnd"/>
      <w:r w:rsidRPr="002F0E72">
        <w:t>/overs adjustments related to capital contributions</w:t>
      </w:r>
    </w:p>
    <w:p w:rsidR="00AE2FC7" w:rsidRPr="002F0E72" w:rsidRDefault="00AE2FC7" w:rsidP="00082DB0">
      <w:pPr>
        <w:pStyle w:val="ListBullet"/>
      </w:pPr>
      <w:r w:rsidRPr="002F0E72">
        <w:t xml:space="preserve">transitional adjustments, and </w:t>
      </w:r>
    </w:p>
    <w:p w:rsidR="00AE2FC7" w:rsidRPr="002F0E72" w:rsidRDefault="00AE2FC7" w:rsidP="00082DB0">
      <w:pPr>
        <w:pStyle w:val="ListBullet"/>
      </w:pPr>
      <w:r w:rsidRPr="002F0E72">
        <w:t>any approved pass through amounts</w:t>
      </w:r>
    </w:p>
    <w:p w:rsidR="00AE2FC7" w:rsidRPr="002F0E72" w:rsidRDefault="00AE2FC7" w:rsidP="00082DB0">
      <w:pPr>
        <w:pStyle w:val="ListBullet"/>
      </w:pPr>
      <w:proofErr w:type="gramStart"/>
      <w:r w:rsidRPr="002F0E72">
        <w:t>any</w:t>
      </w:r>
      <w:proofErr w:type="gramEnd"/>
      <w:r w:rsidRPr="002F0E72">
        <w:t xml:space="preserve"> </w:t>
      </w:r>
      <w:proofErr w:type="spellStart"/>
      <w:r w:rsidRPr="002F0E72">
        <w:t>unders</w:t>
      </w:r>
      <w:proofErr w:type="spellEnd"/>
      <w:r w:rsidRPr="002F0E72">
        <w:t xml:space="preserve"> and overs related to under recovery/over recovery of revenues from a previous year.</w:t>
      </w:r>
    </w:p>
    <w:p w:rsidR="00AE2FC7" w:rsidRPr="002F0E72" w:rsidRDefault="00AE2FC7" w:rsidP="00AE2FC7">
      <w:r w:rsidRPr="002F0E72">
        <w:t>As part of its annual pricing proposals, Ergon Energy submits to the AER its proposed tariffs, which when multiplied by forecast consumption for that year result in expected revenues consistent with the MAR plus any of the factors listed above.</w:t>
      </w:r>
    </w:p>
    <w:p w:rsidR="00AE2FC7" w:rsidRPr="002F0E72" w:rsidRDefault="00AE2FC7" w:rsidP="00AE2FC7">
      <w:r w:rsidRPr="002F0E72">
        <w:t>Ergon Energy's total revenue earned for standard control services over the first three years of the 2010</w:t>
      </w:r>
      <w:r w:rsidR="007A3240">
        <w:t>–</w:t>
      </w:r>
      <w:r w:rsidRPr="002F0E72">
        <w:t xml:space="preserve">15 regulatory control period was approximately </w:t>
      </w:r>
      <w:r w:rsidR="00F7649C">
        <w:t>5</w:t>
      </w:r>
      <w:r w:rsidRPr="002F0E72">
        <w:t xml:space="preserve"> per cent lower than </w:t>
      </w:r>
      <w:r w:rsidR="00DD4FC1">
        <w:t>our approved</w:t>
      </w:r>
      <w:r w:rsidRPr="002F0E72">
        <w:t xml:space="preserve"> forecast (</w:t>
      </w:r>
      <w:r>
        <w:t>Figure 9</w:t>
      </w:r>
      <w:r w:rsidR="002F662A">
        <w:t>–57</w:t>
      </w:r>
      <w:r w:rsidRPr="002F0E72">
        <w:t>).</w:t>
      </w:r>
    </w:p>
    <w:p w:rsidR="00AE2FC7" w:rsidRDefault="00AE2FC7" w:rsidP="00972E3F">
      <w:pPr>
        <w:pStyle w:val="Caption"/>
      </w:pPr>
      <w:r>
        <w:t>Figure 9</w:t>
      </w:r>
      <w:r w:rsidRPr="002F0E72">
        <w:t>–</w:t>
      </w:r>
      <w:r w:rsidR="002F662A">
        <w:t>57</w:t>
      </w:r>
      <w:r w:rsidRPr="002F0E72">
        <w:tab/>
        <w:t xml:space="preserve">Revenue </w:t>
      </w:r>
      <w:r w:rsidR="007A3240">
        <w:t>–</w:t>
      </w:r>
      <w:r w:rsidRPr="002F0E72">
        <w:t xml:space="preserve"> Ergon Energy</w:t>
      </w:r>
    </w:p>
    <w:p w:rsidR="00F078ED" w:rsidRPr="00F078ED" w:rsidRDefault="00F078ED" w:rsidP="00F078ED">
      <w:r w:rsidRPr="00F078ED">
        <w:rPr>
          <w:noProof/>
          <w:lang w:eastAsia="en-AU"/>
        </w:rPr>
        <w:drawing>
          <wp:inline distT="0" distB="0" distL="0" distR="0" wp14:anchorId="79861D62" wp14:editId="292222ED">
            <wp:extent cx="4572000" cy="27432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AE2FC7" w:rsidRPr="002F0E72" w:rsidRDefault="00AE2FC7" w:rsidP="00AE2FC7">
      <w:r w:rsidRPr="002F0E72">
        <w:t xml:space="preserve">Chapter 7 provides further information on the revenue cap control mechanism </w:t>
      </w:r>
      <w:r w:rsidR="00AB11E6">
        <w:t xml:space="preserve">as well as our comparative </w:t>
      </w:r>
      <w:r w:rsidRPr="002F0E72">
        <w:t xml:space="preserve">assessment of revenue for all distribution networks in the NEM. </w:t>
      </w:r>
    </w:p>
    <w:p w:rsidR="00AE2FC7" w:rsidRDefault="00AE2FC7" w:rsidP="00592413">
      <w:pPr>
        <w:pStyle w:val="Heading3"/>
      </w:pPr>
      <w:bookmarkStart w:id="376" w:name="_Toc409771678"/>
      <w:bookmarkStart w:id="377" w:name="_Toc412790627"/>
      <w:bookmarkStart w:id="378" w:name="_Toc413062108"/>
      <w:bookmarkStart w:id="379" w:name="_Toc413311107"/>
      <w:bookmarkStart w:id="380" w:name="_Toc423086523"/>
      <w:r>
        <w:t>Financial performance</w:t>
      </w:r>
      <w:bookmarkEnd w:id="376"/>
      <w:bookmarkEnd w:id="377"/>
      <w:bookmarkEnd w:id="378"/>
      <w:bookmarkEnd w:id="379"/>
      <w:bookmarkEnd w:id="380"/>
    </w:p>
    <w:p w:rsidR="00AE2FC7" w:rsidRPr="002F0E72" w:rsidRDefault="00AE2FC7" w:rsidP="00AE2FC7">
      <w:r w:rsidRPr="002F0E72">
        <w:t>Ergon Energy's average EBIT for standard control services was approximately 34 per cent of its total revenue earned for standard control services over 2010</w:t>
      </w:r>
      <w:r w:rsidR="007A3240">
        <w:t>–</w:t>
      </w:r>
      <w:r w:rsidRPr="002F0E72">
        <w:t xml:space="preserve">13. </w:t>
      </w:r>
      <w:r w:rsidR="00525C94" w:rsidRPr="00CB73C1">
        <w:t xml:space="preserve">The EBIT in </w:t>
      </w:r>
      <w:r w:rsidR="00525C94">
        <w:t>Figure 9</w:t>
      </w:r>
      <w:r w:rsidR="00525C94" w:rsidRPr="00CB73C1">
        <w:t>–</w:t>
      </w:r>
      <w:r w:rsidR="00525C94">
        <w:t>58</w:t>
      </w:r>
      <w:r w:rsidR="00525C94" w:rsidRPr="00CB73C1">
        <w:t xml:space="preserve"> includes depreciation and amortisation</w:t>
      </w:r>
      <w:r w:rsidR="00525C94">
        <w:t xml:space="preserve"> and should not be used as a definitive measure of core profitability</w:t>
      </w:r>
      <w:r w:rsidR="00525C94" w:rsidRPr="00CB73C1">
        <w:t>.</w:t>
      </w:r>
    </w:p>
    <w:p w:rsidR="00F078ED" w:rsidRDefault="00AE2FC7" w:rsidP="00972E3F">
      <w:pPr>
        <w:pStyle w:val="Caption"/>
      </w:pPr>
      <w:r>
        <w:t>Figure 9</w:t>
      </w:r>
      <w:r w:rsidR="002F662A">
        <w:t xml:space="preserve">–58 </w:t>
      </w:r>
      <w:r w:rsidRPr="002F0E72">
        <w:tab/>
      </w:r>
      <w:r w:rsidR="00E96C0F" w:rsidRPr="00CB73C1">
        <w:t>E</w:t>
      </w:r>
      <w:r w:rsidR="00E96C0F">
        <w:t xml:space="preserve">arnings before interest and tax </w:t>
      </w:r>
      <w:r w:rsidR="007A3240">
        <w:t>–</w:t>
      </w:r>
      <w:r w:rsidRPr="002F0E72">
        <w:t xml:space="preserve"> Ergon Energy</w:t>
      </w:r>
    </w:p>
    <w:p w:rsidR="00AE2FC7" w:rsidRPr="002F0E72" w:rsidRDefault="00F078ED" w:rsidP="00F078ED">
      <w:r w:rsidRPr="00F078ED">
        <w:rPr>
          <w:noProof/>
          <w:lang w:eastAsia="en-AU"/>
        </w:rPr>
        <w:drawing>
          <wp:inline distT="0" distB="0" distL="0" distR="0" wp14:anchorId="1DA2AE59" wp14:editId="0507546B">
            <wp:extent cx="4572000" cy="27432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AE2FC7" w:rsidRDefault="00AE2FC7" w:rsidP="00592413">
      <w:pPr>
        <w:pStyle w:val="Heading3"/>
      </w:pPr>
      <w:bookmarkStart w:id="381" w:name="_Toc409771679"/>
      <w:bookmarkStart w:id="382" w:name="_Toc412790628"/>
      <w:bookmarkStart w:id="383" w:name="_Toc413062109"/>
      <w:bookmarkStart w:id="384" w:name="_Toc413311108"/>
      <w:bookmarkStart w:id="385" w:name="_Toc423086524"/>
      <w:r>
        <w:t>Service performance</w:t>
      </w:r>
      <w:bookmarkEnd w:id="381"/>
      <w:bookmarkEnd w:id="382"/>
      <w:bookmarkEnd w:id="383"/>
      <w:bookmarkEnd w:id="384"/>
      <w:bookmarkEnd w:id="385"/>
    </w:p>
    <w:p w:rsidR="00AE2FC7" w:rsidRDefault="00AE2FC7" w:rsidP="00AE2FC7">
      <w:pPr>
        <w:pStyle w:val="Heading4notnumbered"/>
      </w:pPr>
      <w:r>
        <w:t>Total interruptions to supply</w:t>
      </w:r>
    </w:p>
    <w:p w:rsidR="00AE2FC7" w:rsidRPr="002F0E72" w:rsidRDefault="00AE2FC7" w:rsidP="00AE2FC7">
      <w:r w:rsidRPr="002F0E72">
        <w:t>Total interruptions to supply reflect the total impact of both planned and unplanned interruptions (</w:t>
      </w:r>
      <w:r>
        <w:t>Figure 9</w:t>
      </w:r>
      <w:r w:rsidRPr="002F0E72">
        <w:t>–</w:t>
      </w:r>
      <w:r w:rsidR="002F662A">
        <w:t>59</w:t>
      </w:r>
      <w:r w:rsidRPr="002F0E72">
        <w:t xml:space="preserve">). This measure reflects </w:t>
      </w:r>
      <w:r w:rsidR="001368B1">
        <w:t>the actual experience of</w:t>
      </w:r>
      <w:r w:rsidR="001368B1" w:rsidRPr="00CB73C1">
        <w:t xml:space="preserve"> the average </w:t>
      </w:r>
      <w:r w:rsidRPr="002F0E72">
        <w:t>Ergon Energy customer.</w:t>
      </w:r>
      <w:r w:rsidR="00CC0E3F">
        <w:t xml:space="preserve"> </w:t>
      </w:r>
      <w:r w:rsidRPr="002F0E72">
        <w:t xml:space="preserve">Total interruptions to supply include the effect of any interruptions considered to be </w:t>
      </w:r>
      <w:r w:rsidR="00133534">
        <w:t xml:space="preserve">excluded </w:t>
      </w:r>
      <w:r w:rsidR="00460775">
        <w:t>events in the STPIS</w:t>
      </w:r>
      <w:r w:rsidRPr="002F0E72">
        <w:t xml:space="preserve">. </w:t>
      </w:r>
    </w:p>
    <w:p w:rsidR="00AE2FC7" w:rsidRPr="002F0E72" w:rsidRDefault="00AE2FC7" w:rsidP="00972E3F">
      <w:pPr>
        <w:pStyle w:val="Caption"/>
      </w:pPr>
      <w:r>
        <w:t>Figure 9</w:t>
      </w:r>
      <w:r w:rsidRPr="002F0E72">
        <w:t>–</w:t>
      </w:r>
      <w:r w:rsidR="002F662A">
        <w:t>59</w:t>
      </w:r>
      <w:r w:rsidRPr="002F0E72">
        <w:tab/>
        <w:t xml:space="preserve">Total interruptions to supply </w:t>
      </w:r>
      <w:r w:rsidR="007A3240">
        <w:t>–</w:t>
      </w:r>
      <w:r w:rsidRPr="002F0E72">
        <w:t xml:space="preserve"> Ergon Energy</w:t>
      </w:r>
    </w:p>
    <w:p w:rsidR="002F662A" w:rsidRDefault="002F662A" w:rsidP="00592413">
      <w:pPr>
        <w:pStyle w:val="Heading4notnumbered"/>
        <w:keepNext w:val="0"/>
      </w:pPr>
      <w:r>
        <w:rPr>
          <w:noProof/>
          <w:lang w:eastAsia="en-AU"/>
        </w:rPr>
        <w:drawing>
          <wp:inline distT="0" distB="0" distL="0" distR="0" wp14:anchorId="053E364F" wp14:editId="3EB63955">
            <wp:extent cx="2811600" cy="1684800"/>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11600" cy="1684800"/>
                    </a:xfrm>
                    <a:prstGeom prst="rect">
                      <a:avLst/>
                    </a:prstGeom>
                    <a:noFill/>
                  </pic:spPr>
                </pic:pic>
              </a:graphicData>
            </a:graphic>
          </wp:inline>
        </w:drawing>
      </w:r>
      <w:r>
        <w:t xml:space="preserve">  </w:t>
      </w:r>
      <w:r>
        <w:rPr>
          <w:noProof/>
          <w:lang w:eastAsia="en-AU"/>
        </w:rPr>
        <w:drawing>
          <wp:inline distT="0" distB="0" distL="0" distR="0" wp14:anchorId="6FC25A67" wp14:editId="0E130A2C">
            <wp:extent cx="2768400" cy="1656000"/>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68400" cy="1656000"/>
                    </a:xfrm>
                    <a:prstGeom prst="rect">
                      <a:avLst/>
                    </a:prstGeom>
                    <a:noFill/>
                  </pic:spPr>
                </pic:pic>
              </a:graphicData>
            </a:graphic>
          </wp:inline>
        </w:drawing>
      </w:r>
    </w:p>
    <w:p w:rsidR="002F662A" w:rsidRDefault="002F662A" w:rsidP="00592413">
      <w:pPr>
        <w:pStyle w:val="Heading4notnumbered"/>
        <w:keepNext w:val="0"/>
      </w:pPr>
      <w:r w:rsidRPr="002F662A">
        <w:rPr>
          <w:noProof/>
          <w:lang w:eastAsia="en-AU"/>
        </w:rPr>
        <w:drawing>
          <wp:inline distT="0" distB="0" distL="0" distR="0" wp14:anchorId="12D1F0C2" wp14:editId="1B0DFD39">
            <wp:extent cx="5731510" cy="1072821"/>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1510" cy="1072821"/>
                    </a:xfrm>
                    <a:prstGeom prst="rect">
                      <a:avLst/>
                    </a:prstGeom>
                    <a:noFill/>
                    <a:ln>
                      <a:noFill/>
                    </a:ln>
                  </pic:spPr>
                </pic:pic>
              </a:graphicData>
            </a:graphic>
          </wp:inline>
        </w:drawing>
      </w:r>
    </w:p>
    <w:p w:rsidR="00AE2FC7" w:rsidRPr="002F0E72" w:rsidRDefault="00AE2FC7" w:rsidP="00AE2FC7">
      <w:pPr>
        <w:pStyle w:val="Heading4notnumbered"/>
      </w:pPr>
      <w:r w:rsidRPr="002F0E72">
        <w:t>Service Target Performance Incentive Scheme</w:t>
      </w:r>
    </w:p>
    <w:p w:rsidR="00AE2FC7" w:rsidRPr="002F0E72" w:rsidRDefault="00DD4FC1" w:rsidP="00AE2FC7">
      <w:r>
        <w:t>In our 2010 distribution determination we</w:t>
      </w:r>
      <w:r w:rsidR="00AE2FC7" w:rsidRPr="002F0E72">
        <w:t xml:space="preserve"> determined the STPIS would apply to Ergon Energy in the 2010</w:t>
      </w:r>
      <w:r w:rsidR="007A3240">
        <w:t>–</w:t>
      </w:r>
      <w:r w:rsidR="00AE2FC7" w:rsidRPr="002F0E72">
        <w:t xml:space="preserve">15 regulatory control period with an overall revenue at risk of ±2 per cent. It also </w:t>
      </w:r>
      <w:r w:rsidR="00460775">
        <w:t>decided to not</w:t>
      </w:r>
      <w:r w:rsidR="00AE2FC7" w:rsidRPr="002F0E72">
        <w:t xml:space="preserve"> apply the GSL component while the QCA’s GSL scheme remained in place. </w:t>
      </w:r>
    </w:p>
    <w:p w:rsidR="00AE2FC7" w:rsidRPr="002F0E72" w:rsidRDefault="00AE2FC7" w:rsidP="00AE2FC7">
      <w:r w:rsidRPr="002F0E72">
        <w:t xml:space="preserve">The following section shows the effect of (normalised) unplanned interruptions to supply to customers on Ergon Energy's network. </w:t>
      </w:r>
    </w:p>
    <w:p w:rsidR="00AE2FC7" w:rsidRPr="002F0E72" w:rsidRDefault="00AE2FC7" w:rsidP="00AE2FC7">
      <w:pPr>
        <w:pStyle w:val="Heading4notnumbered"/>
      </w:pPr>
      <w:r w:rsidRPr="002F0E72">
        <w:t>Network reliability (normalised)</w:t>
      </w:r>
    </w:p>
    <w:p w:rsidR="00AE2FC7" w:rsidRPr="002F0E72" w:rsidRDefault="00AE2FC7" w:rsidP="00AE2FC7">
      <w:r w:rsidRPr="002F0E72">
        <w:t>In 2012</w:t>
      </w:r>
      <w:r w:rsidR="007A3240">
        <w:t>–</w:t>
      </w:r>
      <w:r w:rsidRPr="002F0E72">
        <w:t>13 the average Ergon Energy customer experienced:</w:t>
      </w:r>
    </w:p>
    <w:p w:rsidR="00AE2FC7" w:rsidRPr="002F0E72" w:rsidRDefault="00AE2FC7" w:rsidP="00082DB0">
      <w:pPr>
        <w:pStyle w:val="ListBullet"/>
      </w:pPr>
      <w:r w:rsidRPr="002F0E72">
        <w:t>16 per cent fewer unplanned (normalised) minutes off supply, than they experienced over the previous five years</w:t>
      </w:r>
    </w:p>
    <w:p w:rsidR="00AE2FC7" w:rsidRPr="002F0E72" w:rsidRDefault="00AE2FC7" w:rsidP="00082DB0">
      <w:pPr>
        <w:pStyle w:val="ListBullet"/>
      </w:pPr>
      <w:r w:rsidRPr="002F0E72">
        <w:t>18 per cent fewer unplanned (normalised) interruptions to supply than they experienced over the previous five years (</w:t>
      </w:r>
      <w:r>
        <w:t>Figure 9</w:t>
      </w:r>
      <w:r w:rsidRPr="002F0E72">
        <w:t>–6</w:t>
      </w:r>
      <w:r w:rsidR="006668E1">
        <w:t>0</w:t>
      </w:r>
      <w:r w:rsidRPr="002F0E72">
        <w:t>).</w:t>
      </w:r>
    </w:p>
    <w:p w:rsidR="00AE2FC7" w:rsidRPr="002F0E72" w:rsidRDefault="00AE2FC7" w:rsidP="00AE2FC7">
      <w:r w:rsidRPr="002F0E72">
        <w:t xml:space="preserve">It should be noted the reliability information presented in </w:t>
      </w:r>
      <w:r>
        <w:t>Figure 9</w:t>
      </w:r>
      <w:r w:rsidRPr="002F0E72">
        <w:t>–6</w:t>
      </w:r>
      <w:r w:rsidR="00377627">
        <w:t>0</w:t>
      </w:r>
      <w:r w:rsidRPr="002F0E72">
        <w:t xml:space="preserve"> combines information from the previous jurisdictional scheme and the AER's STPIS. These schemes differ in detail and therefore the information is not directly comparable. However, the reliability outcomes are presented to provide broad trend information regarding Ergon Energy's service performance.</w:t>
      </w:r>
    </w:p>
    <w:p w:rsidR="00AE2FC7" w:rsidRDefault="00AE2FC7" w:rsidP="00972E3F">
      <w:pPr>
        <w:pStyle w:val="Caption"/>
      </w:pPr>
      <w:r>
        <w:t>Figure 9</w:t>
      </w:r>
      <w:r w:rsidRPr="002F0E72">
        <w:t>–6</w:t>
      </w:r>
      <w:r w:rsidR="006668E1">
        <w:t>0</w:t>
      </w:r>
      <w:r w:rsidRPr="002F0E72">
        <w:tab/>
      </w:r>
      <w:proofErr w:type="gramStart"/>
      <w:r w:rsidRPr="002F0E72">
        <w:t>Unplanned</w:t>
      </w:r>
      <w:proofErr w:type="gramEnd"/>
      <w:r w:rsidRPr="002F0E72">
        <w:t xml:space="preserve"> interruptions to supply (normalised) </w:t>
      </w:r>
      <w:r w:rsidR="007A3240">
        <w:t>–</w:t>
      </w:r>
      <w:r w:rsidRPr="002F0E72">
        <w:t xml:space="preserve"> Ergon Energy</w:t>
      </w:r>
    </w:p>
    <w:p w:rsidR="006261C0" w:rsidRPr="006261C0" w:rsidRDefault="006261C0" w:rsidP="006261C0"/>
    <w:p w:rsidR="002F662A" w:rsidRDefault="00590454" w:rsidP="00AE2FC7">
      <w:pPr>
        <w:pStyle w:val="Heading4notnumbered"/>
      </w:pPr>
      <w:r>
        <w:rPr>
          <w:noProof/>
          <w:lang w:eastAsia="en-AU"/>
        </w:rPr>
        <w:drawing>
          <wp:inline distT="0" distB="0" distL="0" distR="0" wp14:anchorId="30900C3E" wp14:editId="21326803">
            <wp:extent cx="2746800" cy="16452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46800" cy="1645200"/>
                    </a:xfrm>
                    <a:prstGeom prst="rect">
                      <a:avLst/>
                    </a:prstGeom>
                    <a:noFill/>
                  </pic:spPr>
                </pic:pic>
              </a:graphicData>
            </a:graphic>
          </wp:inline>
        </w:drawing>
      </w:r>
      <w:r w:rsidR="002F662A">
        <w:t xml:space="preserve">  </w:t>
      </w:r>
      <w:r>
        <w:rPr>
          <w:noProof/>
          <w:lang w:eastAsia="en-AU"/>
        </w:rPr>
        <w:drawing>
          <wp:inline distT="0" distB="0" distL="0" distR="0" wp14:anchorId="25CD0B7D" wp14:editId="463E906E">
            <wp:extent cx="2746800" cy="16452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46800" cy="1645200"/>
                    </a:xfrm>
                    <a:prstGeom prst="rect">
                      <a:avLst/>
                    </a:prstGeom>
                    <a:noFill/>
                  </pic:spPr>
                </pic:pic>
              </a:graphicData>
            </a:graphic>
          </wp:inline>
        </w:drawing>
      </w:r>
    </w:p>
    <w:p w:rsidR="00590454" w:rsidRDefault="002F662A" w:rsidP="00AE2FC7">
      <w:pPr>
        <w:pStyle w:val="Heading4notnumbered"/>
      </w:pPr>
      <w:r w:rsidRPr="002F662A">
        <w:rPr>
          <w:noProof/>
          <w:lang w:eastAsia="en-AU"/>
        </w:rPr>
        <w:drawing>
          <wp:inline distT="0" distB="0" distL="0" distR="0" wp14:anchorId="69379384" wp14:editId="14231AB4">
            <wp:extent cx="5731510" cy="77132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771326"/>
                    </a:xfrm>
                    <a:prstGeom prst="rect">
                      <a:avLst/>
                    </a:prstGeom>
                    <a:noFill/>
                    <a:ln>
                      <a:noFill/>
                    </a:ln>
                  </pic:spPr>
                </pic:pic>
              </a:graphicData>
            </a:graphic>
          </wp:inline>
        </w:drawing>
      </w:r>
    </w:p>
    <w:p w:rsidR="00AE2FC7" w:rsidRPr="002F0E72" w:rsidRDefault="00AE2FC7" w:rsidP="00AE2FC7">
      <w:pPr>
        <w:pStyle w:val="Heading4notnumbered"/>
      </w:pPr>
      <w:r w:rsidRPr="002F0E72">
        <w:t>S</w:t>
      </w:r>
      <w:r w:rsidR="007A3240">
        <w:t>–</w:t>
      </w:r>
      <w:r w:rsidRPr="002F0E72">
        <w:t>factor</w:t>
      </w:r>
    </w:p>
    <w:p w:rsidR="00AE2FC7" w:rsidRPr="002F0E72" w:rsidRDefault="00AE2FC7" w:rsidP="00AE2FC7">
      <w:r>
        <w:t>Table 9</w:t>
      </w:r>
      <w:r w:rsidRPr="002F0E72">
        <w:t>–2 compares Ergon Energy's service performance against its STPIS targets over the first three years of the 2010</w:t>
      </w:r>
      <w:r w:rsidR="007A3240">
        <w:t>–</w:t>
      </w:r>
      <w:r w:rsidRPr="002F0E72">
        <w:t xml:space="preserve">15 regulatory control </w:t>
      </w:r>
      <w:proofErr w:type="gramStart"/>
      <w:r w:rsidRPr="002F0E72">
        <w:t>period</w:t>
      </w:r>
      <w:proofErr w:type="gramEnd"/>
      <w:r w:rsidRPr="002F0E72">
        <w:t>. Ergon Energy has improved its service performance against its targets in each successive year since the STPIS was applied.</w:t>
      </w:r>
    </w:p>
    <w:p w:rsidR="00AE2FC7" w:rsidRPr="002F0E72" w:rsidRDefault="00AE2FC7" w:rsidP="00AE2FC7">
      <w:r w:rsidRPr="002F0E72">
        <w:t>It is important to note STPIS targets are applied to normalised network reliability. In 2010</w:t>
      </w:r>
      <w:r w:rsidR="007A3240">
        <w:t>–</w:t>
      </w:r>
      <w:r w:rsidRPr="002F0E72">
        <w:t>11, floods affected much of central and southern Queensland. In 2012</w:t>
      </w:r>
      <w:r w:rsidR="007A3240">
        <w:t>–</w:t>
      </w:r>
      <w:r w:rsidRPr="002F0E72">
        <w:t xml:space="preserve">13 Queensland was hit by Tropical Cyclone Oswald causing widespread impact including severe storms and flooding. As a result of these natural events, Ergon Energy experienced a number of days in which its daily unplanned SAIDI exceeded the major event day boundary. For any day in which unplanned SAIDI exceeds the major event day boundary the impact of that day's SAIDI, SAIFI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w:t>
      </w:r>
      <w:r w:rsidR="003C0E6F">
        <w:t>o be outside the DNSP's control</w:t>
      </w:r>
      <w:r w:rsidRPr="002F0E72">
        <w:t>.</w:t>
      </w:r>
    </w:p>
    <w:p w:rsidR="00AE2FC7" w:rsidRPr="002F0E72" w:rsidRDefault="00AE2FC7" w:rsidP="00AE2FC7">
      <w:r w:rsidRPr="002F0E72">
        <w:t>The s</w:t>
      </w:r>
      <w:r w:rsidR="007A3240">
        <w:t>–</w:t>
      </w:r>
      <w:r w:rsidRPr="002F0E72">
        <w:t>factor is incorporated into Ergon Energy's control mechanism as a multiplier in the calculation of its MAR. The MAR is incremented when service performance is better than performance targets and decremented when service performance is worse than performance targets. The way in which the s</w:t>
      </w:r>
      <w:r w:rsidR="007A3240">
        <w:t>–</w:t>
      </w:r>
      <w:r w:rsidRPr="002F0E72">
        <w:t>factor is incorporated into Ergon Energy's control mechanism is set out in the 2010</w:t>
      </w:r>
      <w:r w:rsidR="007A3240">
        <w:t>–</w:t>
      </w:r>
      <w:r w:rsidRPr="002F0E72">
        <w:t>15 distribution determination.</w:t>
      </w:r>
    </w:p>
    <w:p w:rsidR="00AE2FC7" w:rsidRPr="002F0E72" w:rsidRDefault="00AE2FC7" w:rsidP="00AE2FC7">
      <w:r w:rsidRPr="002F0E72">
        <w:t>Note there is a two year lag between the regulatory year in which service performance outcomes are assessed and the regulatory year in which the s</w:t>
      </w:r>
      <w:r w:rsidR="007A3240">
        <w:t>–</w:t>
      </w:r>
      <w:r w:rsidRPr="002F0E72">
        <w:t xml:space="preserve">factor outcome is applied to the DNSP's allowed revenue. </w:t>
      </w:r>
    </w:p>
    <w:p w:rsidR="00AE2FC7" w:rsidRDefault="00AE2FC7" w:rsidP="00972E3F">
      <w:pPr>
        <w:pStyle w:val="Caption"/>
      </w:pPr>
      <w:r>
        <w:t>Table 9</w:t>
      </w:r>
      <w:r w:rsidRPr="002F0E72">
        <w:t>–2</w:t>
      </w:r>
      <w:r w:rsidRPr="002F0E72">
        <w:tab/>
        <w:t>S</w:t>
      </w:r>
      <w:r w:rsidR="007A3240">
        <w:t>–</w:t>
      </w:r>
      <w:r w:rsidRPr="002F0E72">
        <w:t xml:space="preserve">factor </w:t>
      </w:r>
      <w:r w:rsidR="007A3240">
        <w:t>–</w:t>
      </w:r>
      <w:r w:rsidRPr="002F0E72">
        <w:t xml:space="preserve"> Ergon Energy</w:t>
      </w:r>
    </w:p>
    <w:p w:rsidR="001D669A" w:rsidRPr="001D669A" w:rsidRDefault="00512134" w:rsidP="001D669A">
      <w:r w:rsidRPr="00512134">
        <w:rPr>
          <w:noProof/>
          <w:lang w:eastAsia="en-AU"/>
        </w:rPr>
        <w:drawing>
          <wp:inline distT="0" distB="0" distL="0" distR="0" wp14:anchorId="21C42683" wp14:editId="7D062F20">
            <wp:extent cx="5731510" cy="2782477"/>
            <wp:effectExtent l="0" t="0" r="254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31510" cy="2782477"/>
                    </a:xfrm>
                    <a:prstGeom prst="rect">
                      <a:avLst/>
                    </a:prstGeom>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2F0E72" w:rsidRDefault="00AE2FC7" w:rsidP="00AE2FC7"/>
    <w:p w:rsidR="002F662A" w:rsidRDefault="002F662A">
      <w:pPr>
        <w:spacing w:line="240" w:lineRule="auto"/>
      </w:pPr>
      <w:r>
        <w:br w:type="page"/>
      </w:r>
    </w:p>
    <w:bookmarkStart w:id="386" w:name="_Toc409771680"/>
    <w:bookmarkStart w:id="387" w:name="_Toc423086525"/>
    <w:p w:rsidR="00AE2FC7" w:rsidRPr="002F662A" w:rsidRDefault="00F5427B" w:rsidP="00592413">
      <w:pPr>
        <w:pStyle w:val="Heading2"/>
      </w:pPr>
      <w:r w:rsidRPr="00F5427B">
        <w:rPr>
          <w:noProof/>
          <w:lang w:eastAsia="en-AU"/>
        </w:rPr>
        <mc:AlternateContent>
          <mc:Choice Requires="wps">
            <w:drawing>
              <wp:anchor distT="0" distB="0" distL="114300" distR="114300" simplePos="0" relativeHeight="251677696" behindDoc="1" locked="0" layoutInCell="1" allowOverlap="1" wp14:anchorId="714AE006" wp14:editId="60813AB1">
                <wp:simplePos x="0" y="0"/>
                <wp:positionH relativeFrom="column">
                  <wp:posOffset>-165100</wp:posOffset>
                </wp:positionH>
                <wp:positionV relativeFrom="paragraph">
                  <wp:posOffset>320040</wp:posOffset>
                </wp:positionV>
                <wp:extent cx="6259195" cy="8521700"/>
                <wp:effectExtent l="19050" t="19050" r="27305" b="12700"/>
                <wp:wrapTight wrapText="bothSides">
                  <wp:wrapPolygon edited="0">
                    <wp:start x="-66" y="-48"/>
                    <wp:lineTo x="-66" y="21584"/>
                    <wp:lineTo x="21628" y="21584"/>
                    <wp:lineTo x="21628" y="-48"/>
                    <wp:lineTo x="-66" y="-48"/>
                  </wp:wrapPolygon>
                </wp:wrapTight>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521700"/>
                        </a:xfrm>
                        <a:prstGeom prst="rect">
                          <a:avLst/>
                        </a:prstGeom>
                        <a:noFill/>
                        <a:ln w="44450">
                          <a:solidFill>
                            <a:srgbClr val="FD8D3C"/>
                          </a:solidFill>
                          <a:miter lim="800000"/>
                          <a:headEnd/>
                          <a:tailEnd/>
                        </a:ln>
                      </wps:spPr>
                      <wps:txbx>
                        <w:txbxContent>
                          <w:p w:rsidR="00AD3D0C" w:rsidRDefault="00AD3D0C" w:rsidP="00F5427B">
                            <w:pPr>
                              <w:pStyle w:val="Heading3notnumbered"/>
                            </w:pPr>
                            <w:bookmarkStart w:id="388" w:name="_Toc413311110"/>
                            <w:bookmarkStart w:id="389" w:name="_Toc423086526"/>
                            <w:r>
                              <w:t>Network characteristics</w:t>
                            </w:r>
                            <w:bookmarkEnd w:id="388"/>
                            <w:bookmarkEnd w:id="389"/>
                          </w:p>
                          <w:p w:rsidR="00AD3D0C" w:rsidRPr="00C312BC" w:rsidRDefault="00AD3D0C" w:rsidP="00F5427B">
                            <w:r w:rsidRPr="00E96856">
                              <w:rPr>
                                <w:rStyle w:val="Strong"/>
                              </w:rPr>
                              <w:t>Ownership:</w:t>
                            </w:r>
                            <w:r>
                              <w:t xml:space="preserve">  </w:t>
                            </w:r>
                            <w:r w:rsidRPr="00F5427B">
                              <w:t>A partnership of Cheung Kong Infrastructure/Power Assets (51 per cent) and Spark Infrastructure (49 per cent)</w:t>
                            </w:r>
                            <w:r w:rsidRPr="00C312BC">
                              <w:t xml:space="preserve"> </w:t>
                            </w:r>
                          </w:p>
                          <w:p w:rsidR="00AD3D0C" w:rsidRPr="00C312BC" w:rsidRDefault="00AD3D0C" w:rsidP="00F5427B">
                            <w:r w:rsidRPr="00E96856">
                              <w:rPr>
                                <w:rStyle w:val="Strong"/>
                              </w:rPr>
                              <w:t>Relevant regulatory control period</w:t>
                            </w:r>
                            <w:r w:rsidRPr="00C312BC">
                              <w:t>:</w:t>
                            </w:r>
                            <w:r w:rsidRPr="00E96856">
                              <w:t xml:space="preserve"> </w:t>
                            </w:r>
                            <w:r w:rsidRPr="007834DE">
                              <w:t xml:space="preserve">1 </w:t>
                            </w:r>
                            <w:r>
                              <w:t>July 2010 –</w:t>
                            </w:r>
                            <w:r w:rsidRPr="00CB73C1">
                              <w:t xml:space="preserve"> 30 June 20</w:t>
                            </w:r>
                            <w:r>
                              <w:t>15</w:t>
                            </w:r>
                          </w:p>
                          <w:p w:rsidR="00AD3D0C" w:rsidRPr="00E96856" w:rsidRDefault="00AD3D0C" w:rsidP="00F5427B">
                            <w:pPr>
                              <w:rPr>
                                <w:rStyle w:val="Strong"/>
                              </w:rPr>
                            </w:pPr>
                            <w:r w:rsidRPr="00E96856">
                              <w:rPr>
                                <w:rStyle w:val="Strong"/>
                              </w:rPr>
                              <w:t>Network profile</w:t>
                            </w:r>
                            <w:r>
                              <w:rPr>
                                <w:rStyle w:val="Strong"/>
                              </w:rPr>
                              <w:t xml:space="preserve"> 2012-13</w:t>
                            </w:r>
                          </w:p>
                          <w:p w:rsidR="00AD3D0C" w:rsidRDefault="00AD3D0C" w:rsidP="00F5427B">
                            <w:pPr>
                              <w:pStyle w:val="TableofFigures"/>
                            </w:pPr>
                            <w:r>
                              <w:t xml:space="preserve">  Total distribution customers:</w:t>
                            </w:r>
                            <w:r w:rsidRPr="00C312BC">
                              <w:t xml:space="preserve"> </w:t>
                            </w:r>
                            <w:r w:rsidRPr="00C312BC">
                              <w:tab/>
                            </w:r>
                            <w:r>
                              <w:tab/>
                            </w:r>
                            <w:r>
                              <w:tab/>
                              <w:t>847,766</w:t>
                            </w:r>
                          </w:p>
                          <w:p w:rsidR="00AD3D0C" w:rsidRPr="00C312BC" w:rsidRDefault="00AD3D0C" w:rsidP="00F5427B">
                            <w:pPr>
                              <w:pStyle w:val="TableofFigures"/>
                            </w:pPr>
                            <w:r w:rsidRPr="00E96856">
                              <w:t xml:space="preserve"> </w:t>
                            </w:r>
                            <w:r w:rsidRPr="00F5427B">
                              <w:rPr>
                                <w:noProof/>
                                <w:lang w:eastAsia="en-AU"/>
                              </w:rPr>
                              <w:drawing>
                                <wp:inline distT="0" distB="0" distL="0" distR="0" wp14:anchorId="52087413" wp14:editId="2959EC2C">
                                  <wp:extent cx="4572000" cy="925514"/>
                                  <wp:effectExtent l="0" t="0" r="0" b="8255"/>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AD3D0C" w:rsidRDefault="00AD3D0C" w:rsidP="00F5427B">
                            <w:pPr>
                              <w:pStyle w:val="TableofFigures"/>
                            </w:pPr>
                            <w:r>
                              <w:t xml:space="preserve">  </w:t>
                            </w:r>
                            <w:r w:rsidRPr="0075338F">
                              <w:t xml:space="preserve">Total line </w:t>
                            </w:r>
                            <w:r>
                              <w:t xml:space="preserve">(circuit) </w:t>
                            </w:r>
                            <w:r w:rsidRPr="0075338F">
                              <w:t>length:</w:t>
                            </w:r>
                            <w:r>
                              <w:t xml:space="preserve"> </w:t>
                            </w:r>
                            <w:r>
                              <w:tab/>
                            </w:r>
                            <w:r>
                              <w:tab/>
                            </w:r>
                            <w:r>
                              <w:tab/>
                            </w:r>
                            <w:r>
                              <w:tab/>
                              <w:t>87,882 km</w:t>
                            </w:r>
                          </w:p>
                          <w:p w:rsidR="00AD3D0C" w:rsidRDefault="00AD3D0C" w:rsidP="00F5427B">
                            <w:r w:rsidRPr="00F5427B">
                              <w:rPr>
                                <w:noProof/>
                                <w:lang w:eastAsia="en-AU"/>
                              </w:rPr>
                              <w:drawing>
                                <wp:inline distT="0" distB="0" distL="0" distR="0" wp14:anchorId="79C623B4" wp14:editId="4154BAC9">
                                  <wp:extent cx="4572000" cy="915987"/>
                                  <wp:effectExtent l="0" t="0" r="0" b="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AD3D0C" w:rsidRPr="00C312BC" w:rsidRDefault="00AD3D0C" w:rsidP="00F5427B">
                            <w:r>
                              <w:t xml:space="preserve">  </w:t>
                            </w:r>
                            <w:r w:rsidRPr="000D7CD6">
                              <w:t xml:space="preserve">Customer density: </w:t>
                            </w:r>
                            <w:r w:rsidRPr="00C312BC">
                              <w:tab/>
                            </w:r>
                            <w:r w:rsidRPr="00C312BC">
                              <w:tab/>
                            </w:r>
                            <w:r>
                              <w:tab/>
                            </w:r>
                            <w:r>
                              <w:tab/>
                            </w:r>
                            <w:r>
                              <w:tab/>
                            </w:r>
                            <w:r>
                              <w:tab/>
                              <w:t>9.6</w:t>
                            </w:r>
                            <w:r w:rsidRPr="00C312BC">
                              <w:t xml:space="preserve"> customers/</w:t>
                            </w:r>
                            <w:r>
                              <w:t>km line (circuit)</w:t>
                            </w:r>
                          </w:p>
                          <w:p w:rsidR="00AD3D0C" w:rsidRPr="00E96856" w:rsidRDefault="00AD3D0C" w:rsidP="00F5427B">
                            <w:pPr>
                              <w:rPr>
                                <w:rStyle w:val="Strong"/>
                              </w:rPr>
                            </w:pPr>
                            <w:r w:rsidRPr="00E96856">
                              <w:rPr>
                                <w:rStyle w:val="Strong"/>
                              </w:rPr>
                              <w:t>Network performance: 20</w:t>
                            </w:r>
                            <w:r>
                              <w:rPr>
                                <w:rStyle w:val="Strong"/>
                              </w:rPr>
                              <w:t>10–</w:t>
                            </w:r>
                            <w:r w:rsidRPr="00E96856">
                              <w:rPr>
                                <w:rStyle w:val="Strong"/>
                              </w:rPr>
                              <w:t>1</w:t>
                            </w:r>
                            <w:r>
                              <w:rPr>
                                <w:rStyle w:val="Strong"/>
                              </w:rPr>
                              <w:t>1 to 2012–</w:t>
                            </w:r>
                            <w:r w:rsidRPr="00E96856">
                              <w:rPr>
                                <w:rStyle w:val="Strong"/>
                              </w:rPr>
                              <w:t>13</w:t>
                            </w:r>
                          </w:p>
                          <w:p w:rsidR="00AD3D0C" w:rsidRPr="00474352" w:rsidRDefault="00AD3D0C" w:rsidP="00F5427B">
                            <w:r w:rsidRPr="00474352">
                              <w:t xml:space="preserve">  Energy delivered:</w:t>
                            </w:r>
                            <w:r w:rsidRPr="00474352">
                              <w:tab/>
                            </w:r>
                            <w:r w:rsidRPr="00474352">
                              <w:tab/>
                            </w:r>
                            <w:r w:rsidRPr="00474352">
                              <w:tab/>
                            </w:r>
                            <w:r w:rsidRPr="00474352">
                              <w:tab/>
                            </w:r>
                            <w:r>
                              <w:tab/>
                            </w:r>
                            <w:r>
                              <w:tab/>
                              <w:t xml:space="preserve">33,318 </w:t>
                            </w:r>
                            <w:proofErr w:type="spellStart"/>
                            <w:r>
                              <w:t>GWh</w:t>
                            </w:r>
                            <w:proofErr w:type="spellEnd"/>
                            <w:r>
                              <w:t>, 3</w:t>
                            </w:r>
                            <w:r w:rsidRPr="00474352">
                              <w:t xml:space="preserve"> per cent ▼ than forecast</w:t>
                            </w:r>
                          </w:p>
                          <w:p w:rsidR="00AD3D0C" w:rsidRPr="00474352" w:rsidRDefault="00AD3D0C" w:rsidP="00F5427B">
                            <w:r w:rsidRPr="00474352">
                              <w:t xml:space="preserve">  Capital expenditure: </w:t>
                            </w:r>
                            <w:r w:rsidRPr="00474352">
                              <w:tab/>
                            </w:r>
                            <w:r w:rsidRPr="00474352">
                              <w:tab/>
                            </w:r>
                            <w:r w:rsidRPr="00474352">
                              <w:tab/>
                            </w:r>
                            <w:r>
                              <w:tab/>
                            </w:r>
                            <w:r w:rsidRPr="00474352">
                              <w:tab/>
                            </w:r>
                            <w:r>
                              <w:t>$914 m, 11</w:t>
                            </w:r>
                            <w:r w:rsidRPr="00474352">
                              <w:t xml:space="preserve"> per cent ▼ than forecast</w:t>
                            </w:r>
                          </w:p>
                          <w:p w:rsidR="00AD3D0C" w:rsidRPr="00474352" w:rsidRDefault="00AD3D0C" w:rsidP="00F5427B">
                            <w:r w:rsidRPr="00474352">
                              <w:t xml:space="preserve">  Regulatory Asset Base: </w:t>
                            </w:r>
                            <w:r w:rsidRPr="00474352">
                              <w:tab/>
                            </w:r>
                            <w:r w:rsidRPr="00474352">
                              <w:tab/>
                            </w:r>
                            <w:r>
                              <w:tab/>
                            </w:r>
                            <w:r w:rsidRPr="00474352">
                              <w:tab/>
                            </w:r>
                            <w:r>
                              <w:t>11</w:t>
                            </w:r>
                            <w:r w:rsidRPr="00474352">
                              <w:t xml:space="preserve"> per cent ▲ (from $</w:t>
                            </w:r>
                            <w:r>
                              <w:t>3.2bn</w:t>
                            </w:r>
                            <w:r w:rsidRPr="00474352">
                              <w:t xml:space="preserve"> to $</w:t>
                            </w:r>
                            <w:r>
                              <w:t>3.5</w:t>
                            </w:r>
                            <w:r w:rsidRPr="00474352">
                              <w:t>bn)</w:t>
                            </w:r>
                          </w:p>
                          <w:p w:rsidR="00AD3D0C" w:rsidRPr="00474352" w:rsidRDefault="00AD3D0C" w:rsidP="00F5427B">
                            <w:r w:rsidRPr="00474352">
                              <w:t xml:space="preserve">  Operating expenditure: </w:t>
                            </w:r>
                            <w:r w:rsidRPr="00474352">
                              <w:tab/>
                            </w:r>
                            <w:r w:rsidRPr="00474352">
                              <w:tab/>
                            </w:r>
                            <w:r w:rsidRPr="00474352">
                              <w:tab/>
                            </w:r>
                            <w:r>
                              <w:tab/>
                              <w:t>$653 m, 4</w:t>
                            </w:r>
                            <w:r w:rsidRPr="00474352">
                              <w:t xml:space="preserve"> per cent ▲ than forecast</w:t>
                            </w:r>
                          </w:p>
                          <w:p w:rsidR="00AD3D0C" w:rsidRPr="00474352" w:rsidRDefault="00AD3D0C" w:rsidP="00F5427B">
                            <w:r w:rsidRPr="00474352">
                              <w:t xml:space="preserve">  Revenue (</w:t>
                            </w:r>
                            <w:r>
                              <w:t>WAPC</w:t>
                            </w:r>
                            <w:r w:rsidRPr="00474352">
                              <w:t xml:space="preserve">): </w:t>
                            </w:r>
                            <w:r w:rsidRPr="00474352">
                              <w:tab/>
                            </w:r>
                            <w:r>
                              <w:tab/>
                            </w:r>
                            <w:r>
                              <w:tab/>
                            </w:r>
                            <w:r w:rsidRPr="00474352">
                              <w:tab/>
                            </w:r>
                            <w:r>
                              <w:tab/>
                            </w:r>
                            <w:r>
                              <w:tab/>
                              <w:t xml:space="preserve">$2.2 </w:t>
                            </w:r>
                            <w:proofErr w:type="spellStart"/>
                            <w:r>
                              <w:t>bn</w:t>
                            </w:r>
                            <w:proofErr w:type="spellEnd"/>
                            <w:r>
                              <w:t>, 6</w:t>
                            </w:r>
                            <w:r w:rsidRPr="00474352">
                              <w:t xml:space="preserve"> per cent ▲ than forecast</w:t>
                            </w:r>
                          </w:p>
                          <w:p w:rsidR="00AD3D0C" w:rsidRDefault="00AD3D0C" w:rsidP="00F5427B">
                            <w:pPr>
                              <w:rPr>
                                <w:rStyle w:val="Strong"/>
                              </w:rPr>
                            </w:pPr>
                            <w:r w:rsidRPr="00D503C8">
                              <w:rPr>
                                <w:rStyle w:val="Strong"/>
                              </w:rPr>
                              <w:t xml:space="preserve">Network reliability (normalised): </w:t>
                            </w:r>
                          </w:p>
                          <w:p w:rsidR="00AD3D0C" w:rsidRDefault="00AD3D0C" w:rsidP="00F5427B">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143.3</w:t>
                            </w:r>
                            <w:r w:rsidRPr="00E96856">
                              <w:t xml:space="preserve"> minutes</w:t>
                            </w:r>
                          </w:p>
                          <w:p w:rsidR="00AD3D0C" w:rsidRDefault="00AD3D0C" w:rsidP="00F5427B">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143.8</w:t>
                            </w:r>
                            <w:r w:rsidRPr="00E96856">
                              <w:t xml:space="preserve"> minutes</w:t>
                            </w:r>
                          </w:p>
                          <w:p w:rsidR="00AD3D0C" w:rsidRDefault="00AD3D0C" w:rsidP="00F5427B">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1.33</w:t>
                            </w:r>
                            <w:r w:rsidRPr="00E96856">
                              <w:t xml:space="preserve"> interruptions</w:t>
                            </w:r>
                          </w:p>
                          <w:p w:rsidR="00AD3D0C" w:rsidRPr="00D503C8" w:rsidRDefault="00AD3D0C" w:rsidP="00F5427B">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1.42</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pt;margin-top:25.2pt;width:492.85pt;height:6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" filled="f" strokecolor="#fd8d3c" strokeweight="3.5pt">
                <v:textbox>
                  <w:txbxContent>
                    <w:p w:rsidR="00AD3D0C" w:rsidRDefault="00AD3D0C" w:rsidP="00F5427B">
                      <w:pPr>
                        <w:pStyle w:val="Heading3notnumbered"/>
                      </w:pPr>
                      <w:bookmarkStart w:id="406" w:name="_Toc413311110"/>
                      <w:bookmarkStart w:id="407" w:name="_Toc423086526"/>
                      <w:r>
                        <w:t>Network characteristics</w:t>
                      </w:r>
                      <w:bookmarkEnd w:id="406"/>
                      <w:bookmarkEnd w:id="407"/>
                    </w:p>
                    <w:p w:rsidR="00AD3D0C" w:rsidRPr="00C312BC" w:rsidRDefault="00AD3D0C" w:rsidP="00F5427B">
                      <w:r w:rsidRPr="00E96856">
                        <w:rPr>
                          <w:rStyle w:val="Strong"/>
                        </w:rPr>
                        <w:t>Ownership:</w:t>
                      </w:r>
                      <w:r>
                        <w:t xml:space="preserve">  </w:t>
                      </w:r>
                      <w:r w:rsidRPr="00F5427B">
                        <w:t>A partnership of Cheung Kong Infrastructure/Power Assets (51 per cent) and Spark Infrastructure (49 per cent)</w:t>
                      </w:r>
                      <w:r w:rsidRPr="00C312BC">
                        <w:t xml:space="preserve"> </w:t>
                      </w:r>
                    </w:p>
                    <w:p w:rsidR="00AD3D0C" w:rsidRPr="00C312BC" w:rsidRDefault="00AD3D0C" w:rsidP="00F5427B">
                      <w:r w:rsidRPr="00E96856">
                        <w:rPr>
                          <w:rStyle w:val="Strong"/>
                        </w:rPr>
                        <w:t>Relevant regulatory control period</w:t>
                      </w:r>
                      <w:r w:rsidRPr="00C312BC">
                        <w:t>:</w:t>
                      </w:r>
                      <w:r w:rsidRPr="00E96856">
                        <w:t xml:space="preserve"> </w:t>
                      </w:r>
                      <w:r w:rsidRPr="007834DE">
                        <w:t xml:space="preserve">1 </w:t>
                      </w:r>
                      <w:r>
                        <w:t>July 2010 –</w:t>
                      </w:r>
                      <w:r w:rsidRPr="00CB73C1">
                        <w:t xml:space="preserve"> 30 June 20</w:t>
                      </w:r>
                      <w:r>
                        <w:t>15</w:t>
                      </w:r>
                    </w:p>
                    <w:p w:rsidR="00AD3D0C" w:rsidRPr="00E96856" w:rsidRDefault="00AD3D0C" w:rsidP="00F5427B">
                      <w:pPr>
                        <w:rPr>
                          <w:rStyle w:val="Strong"/>
                        </w:rPr>
                      </w:pPr>
                      <w:r w:rsidRPr="00E96856">
                        <w:rPr>
                          <w:rStyle w:val="Strong"/>
                        </w:rPr>
                        <w:t>Network profile</w:t>
                      </w:r>
                      <w:r>
                        <w:rPr>
                          <w:rStyle w:val="Strong"/>
                        </w:rPr>
                        <w:t xml:space="preserve"> 2012-13</w:t>
                      </w:r>
                    </w:p>
                    <w:p w:rsidR="00AD3D0C" w:rsidRDefault="00AD3D0C" w:rsidP="00F5427B">
                      <w:pPr>
                        <w:pStyle w:val="TableofFigures"/>
                      </w:pPr>
                      <w:r>
                        <w:t xml:space="preserve">  Total distribution customers:</w:t>
                      </w:r>
                      <w:r w:rsidRPr="00C312BC">
                        <w:t xml:space="preserve"> </w:t>
                      </w:r>
                      <w:r w:rsidRPr="00C312BC">
                        <w:tab/>
                      </w:r>
                      <w:r>
                        <w:tab/>
                      </w:r>
                      <w:r>
                        <w:tab/>
                        <w:t>847,766</w:t>
                      </w:r>
                    </w:p>
                    <w:p w:rsidR="00AD3D0C" w:rsidRPr="00C312BC" w:rsidRDefault="00AD3D0C" w:rsidP="00F5427B">
                      <w:pPr>
                        <w:pStyle w:val="TableofFigures"/>
                      </w:pPr>
                      <w:r w:rsidRPr="00E96856">
                        <w:t xml:space="preserve"> </w:t>
                      </w:r>
                      <w:r w:rsidRPr="00F5427B">
                        <w:rPr>
                          <w:noProof/>
                          <w:lang w:eastAsia="en-AU"/>
                        </w:rPr>
                        <w:drawing>
                          <wp:inline distT="0" distB="0" distL="0" distR="0" wp14:anchorId="52087413" wp14:editId="2959EC2C">
                            <wp:extent cx="4572000" cy="925514"/>
                            <wp:effectExtent l="0" t="0" r="0" b="8255"/>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AD3D0C" w:rsidRDefault="00AD3D0C" w:rsidP="00F5427B">
                      <w:pPr>
                        <w:pStyle w:val="TableofFigures"/>
                      </w:pPr>
                      <w:r>
                        <w:t xml:space="preserve">  </w:t>
                      </w:r>
                      <w:r w:rsidRPr="0075338F">
                        <w:t xml:space="preserve">Total line </w:t>
                      </w:r>
                      <w:r>
                        <w:t xml:space="preserve">(circuit) </w:t>
                      </w:r>
                      <w:r w:rsidRPr="0075338F">
                        <w:t>length:</w:t>
                      </w:r>
                      <w:r>
                        <w:t xml:space="preserve"> </w:t>
                      </w:r>
                      <w:r>
                        <w:tab/>
                      </w:r>
                      <w:r>
                        <w:tab/>
                      </w:r>
                      <w:r>
                        <w:tab/>
                      </w:r>
                      <w:r>
                        <w:tab/>
                        <w:t>87,882 km</w:t>
                      </w:r>
                    </w:p>
                    <w:p w:rsidR="00AD3D0C" w:rsidRDefault="00AD3D0C" w:rsidP="00F5427B">
                      <w:r w:rsidRPr="00F5427B">
                        <w:rPr>
                          <w:noProof/>
                          <w:lang w:eastAsia="en-AU"/>
                        </w:rPr>
                        <w:drawing>
                          <wp:inline distT="0" distB="0" distL="0" distR="0" wp14:anchorId="79C623B4" wp14:editId="4154BAC9">
                            <wp:extent cx="4572000" cy="915987"/>
                            <wp:effectExtent l="0" t="0" r="0" b="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AD3D0C" w:rsidRPr="00C312BC" w:rsidRDefault="00AD3D0C" w:rsidP="00F5427B">
                      <w:r>
                        <w:t xml:space="preserve">  </w:t>
                      </w:r>
                      <w:r w:rsidRPr="000D7CD6">
                        <w:t xml:space="preserve">Customer density: </w:t>
                      </w:r>
                      <w:r w:rsidRPr="00C312BC">
                        <w:tab/>
                      </w:r>
                      <w:r w:rsidRPr="00C312BC">
                        <w:tab/>
                      </w:r>
                      <w:r>
                        <w:tab/>
                      </w:r>
                      <w:r>
                        <w:tab/>
                      </w:r>
                      <w:r>
                        <w:tab/>
                      </w:r>
                      <w:r>
                        <w:tab/>
                        <w:t>9.6</w:t>
                      </w:r>
                      <w:r w:rsidRPr="00C312BC">
                        <w:t xml:space="preserve"> customers/</w:t>
                      </w:r>
                      <w:r>
                        <w:t>km line (circuit)</w:t>
                      </w:r>
                    </w:p>
                    <w:p w:rsidR="00AD3D0C" w:rsidRPr="00E96856" w:rsidRDefault="00AD3D0C" w:rsidP="00F5427B">
                      <w:pPr>
                        <w:rPr>
                          <w:rStyle w:val="Strong"/>
                        </w:rPr>
                      </w:pPr>
                      <w:r w:rsidRPr="00E96856">
                        <w:rPr>
                          <w:rStyle w:val="Strong"/>
                        </w:rPr>
                        <w:t>Network performance: 20</w:t>
                      </w:r>
                      <w:r>
                        <w:rPr>
                          <w:rStyle w:val="Strong"/>
                        </w:rPr>
                        <w:t>10–</w:t>
                      </w:r>
                      <w:r w:rsidRPr="00E96856">
                        <w:rPr>
                          <w:rStyle w:val="Strong"/>
                        </w:rPr>
                        <w:t>1</w:t>
                      </w:r>
                      <w:r>
                        <w:rPr>
                          <w:rStyle w:val="Strong"/>
                        </w:rPr>
                        <w:t>1 to 2012–</w:t>
                      </w:r>
                      <w:r w:rsidRPr="00E96856">
                        <w:rPr>
                          <w:rStyle w:val="Strong"/>
                        </w:rPr>
                        <w:t>13</w:t>
                      </w:r>
                    </w:p>
                    <w:p w:rsidR="00AD3D0C" w:rsidRPr="00474352" w:rsidRDefault="00AD3D0C" w:rsidP="00F5427B">
                      <w:r w:rsidRPr="00474352">
                        <w:t xml:space="preserve">  Energy delivered:</w:t>
                      </w:r>
                      <w:r w:rsidRPr="00474352">
                        <w:tab/>
                      </w:r>
                      <w:r w:rsidRPr="00474352">
                        <w:tab/>
                      </w:r>
                      <w:r w:rsidRPr="00474352">
                        <w:tab/>
                      </w:r>
                      <w:r w:rsidRPr="00474352">
                        <w:tab/>
                      </w:r>
                      <w:r>
                        <w:tab/>
                      </w:r>
                      <w:r>
                        <w:tab/>
                        <w:t xml:space="preserve">33,318 </w:t>
                      </w:r>
                      <w:proofErr w:type="spellStart"/>
                      <w:r>
                        <w:t>GWh</w:t>
                      </w:r>
                      <w:proofErr w:type="spellEnd"/>
                      <w:r>
                        <w:t>, 3</w:t>
                      </w:r>
                      <w:r w:rsidRPr="00474352">
                        <w:t xml:space="preserve"> per cent ▼ than forecast</w:t>
                      </w:r>
                    </w:p>
                    <w:p w:rsidR="00AD3D0C" w:rsidRPr="00474352" w:rsidRDefault="00AD3D0C" w:rsidP="00F5427B">
                      <w:r w:rsidRPr="00474352">
                        <w:t xml:space="preserve">  Capital expenditure: </w:t>
                      </w:r>
                      <w:r w:rsidRPr="00474352">
                        <w:tab/>
                      </w:r>
                      <w:r w:rsidRPr="00474352">
                        <w:tab/>
                      </w:r>
                      <w:r w:rsidRPr="00474352">
                        <w:tab/>
                      </w:r>
                      <w:r>
                        <w:tab/>
                      </w:r>
                      <w:r w:rsidRPr="00474352">
                        <w:tab/>
                      </w:r>
                      <w:r>
                        <w:t>$914 m, 11</w:t>
                      </w:r>
                      <w:r w:rsidRPr="00474352">
                        <w:t xml:space="preserve"> per cent ▼ than forecast</w:t>
                      </w:r>
                    </w:p>
                    <w:p w:rsidR="00AD3D0C" w:rsidRPr="00474352" w:rsidRDefault="00AD3D0C" w:rsidP="00F5427B">
                      <w:r w:rsidRPr="00474352">
                        <w:t xml:space="preserve">  Regulatory Asset Base: </w:t>
                      </w:r>
                      <w:r w:rsidRPr="00474352">
                        <w:tab/>
                      </w:r>
                      <w:r w:rsidRPr="00474352">
                        <w:tab/>
                      </w:r>
                      <w:r>
                        <w:tab/>
                      </w:r>
                      <w:r w:rsidRPr="00474352">
                        <w:tab/>
                      </w:r>
                      <w:r>
                        <w:t>11</w:t>
                      </w:r>
                      <w:r w:rsidRPr="00474352">
                        <w:t xml:space="preserve"> per cent ▲ (from $</w:t>
                      </w:r>
                      <w:r>
                        <w:t>3.2bn</w:t>
                      </w:r>
                      <w:r w:rsidRPr="00474352">
                        <w:t xml:space="preserve"> to $</w:t>
                      </w:r>
                      <w:r>
                        <w:t>3.5</w:t>
                      </w:r>
                      <w:r w:rsidRPr="00474352">
                        <w:t>bn)</w:t>
                      </w:r>
                    </w:p>
                    <w:p w:rsidR="00AD3D0C" w:rsidRPr="00474352" w:rsidRDefault="00AD3D0C" w:rsidP="00F5427B">
                      <w:r w:rsidRPr="00474352">
                        <w:t xml:space="preserve">  Operating expenditure: </w:t>
                      </w:r>
                      <w:r w:rsidRPr="00474352">
                        <w:tab/>
                      </w:r>
                      <w:r w:rsidRPr="00474352">
                        <w:tab/>
                      </w:r>
                      <w:r w:rsidRPr="00474352">
                        <w:tab/>
                      </w:r>
                      <w:r>
                        <w:tab/>
                        <w:t>$653 m, 4</w:t>
                      </w:r>
                      <w:r w:rsidRPr="00474352">
                        <w:t xml:space="preserve"> per cent ▲ than forecast</w:t>
                      </w:r>
                    </w:p>
                    <w:p w:rsidR="00AD3D0C" w:rsidRPr="00474352" w:rsidRDefault="00AD3D0C" w:rsidP="00F5427B">
                      <w:r w:rsidRPr="00474352">
                        <w:t xml:space="preserve">  Revenue (</w:t>
                      </w:r>
                      <w:r>
                        <w:t>WAPC</w:t>
                      </w:r>
                      <w:r w:rsidRPr="00474352">
                        <w:t xml:space="preserve">): </w:t>
                      </w:r>
                      <w:r w:rsidRPr="00474352">
                        <w:tab/>
                      </w:r>
                      <w:r>
                        <w:tab/>
                      </w:r>
                      <w:r>
                        <w:tab/>
                      </w:r>
                      <w:r w:rsidRPr="00474352">
                        <w:tab/>
                      </w:r>
                      <w:r>
                        <w:tab/>
                      </w:r>
                      <w:r>
                        <w:tab/>
                        <w:t xml:space="preserve">$2.2 </w:t>
                      </w:r>
                      <w:proofErr w:type="spellStart"/>
                      <w:r>
                        <w:t>bn</w:t>
                      </w:r>
                      <w:proofErr w:type="spellEnd"/>
                      <w:r>
                        <w:t>, 6</w:t>
                      </w:r>
                      <w:r w:rsidRPr="00474352">
                        <w:t xml:space="preserve"> per cent ▲ than forecast</w:t>
                      </w:r>
                    </w:p>
                    <w:p w:rsidR="00AD3D0C" w:rsidRDefault="00AD3D0C" w:rsidP="00F5427B">
                      <w:pPr>
                        <w:rPr>
                          <w:rStyle w:val="Strong"/>
                        </w:rPr>
                      </w:pPr>
                      <w:r w:rsidRPr="00D503C8">
                        <w:rPr>
                          <w:rStyle w:val="Strong"/>
                        </w:rPr>
                        <w:t xml:space="preserve">Network reliability (normalised): </w:t>
                      </w:r>
                    </w:p>
                    <w:p w:rsidR="00AD3D0C" w:rsidRDefault="00AD3D0C" w:rsidP="00F5427B">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143.3</w:t>
                      </w:r>
                      <w:r w:rsidRPr="00E96856">
                        <w:t xml:space="preserve"> minutes</w:t>
                      </w:r>
                    </w:p>
                    <w:p w:rsidR="00AD3D0C" w:rsidRDefault="00AD3D0C" w:rsidP="00F5427B">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143.8</w:t>
                      </w:r>
                      <w:r w:rsidRPr="00E96856">
                        <w:t xml:space="preserve"> minutes</w:t>
                      </w:r>
                    </w:p>
                    <w:p w:rsidR="00AD3D0C" w:rsidRDefault="00AD3D0C" w:rsidP="00F5427B">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1.33</w:t>
                      </w:r>
                      <w:r w:rsidRPr="00E96856">
                        <w:t xml:space="preserve"> interruptions</w:t>
                      </w:r>
                    </w:p>
                    <w:p w:rsidR="00AD3D0C" w:rsidRPr="00D503C8" w:rsidRDefault="00AD3D0C" w:rsidP="00F5427B">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1.42</w:t>
                      </w:r>
                      <w:r w:rsidRPr="00E96856">
                        <w:t xml:space="preserve"> interruptions</w:t>
                      </w:r>
                    </w:p>
                  </w:txbxContent>
                </v:textbox>
                <w10:wrap type="tight"/>
              </v:shape>
            </w:pict>
          </mc:Fallback>
        </mc:AlternateContent>
      </w:r>
      <w:r w:rsidR="00AE2FC7" w:rsidRPr="002F662A">
        <w:t>SA Power Networks</w:t>
      </w:r>
      <w:bookmarkEnd w:id="386"/>
      <w:bookmarkEnd w:id="387"/>
    </w:p>
    <w:p w:rsidR="00AE2FC7" w:rsidRDefault="00AE2FC7" w:rsidP="00592413">
      <w:pPr>
        <w:pStyle w:val="Heading3"/>
      </w:pPr>
      <w:bookmarkStart w:id="390" w:name="_Toc409771683"/>
      <w:bookmarkStart w:id="391" w:name="_Toc412790632"/>
      <w:bookmarkStart w:id="392" w:name="_Toc413062113"/>
      <w:bookmarkStart w:id="393" w:name="_Toc413311111"/>
      <w:bookmarkStart w:id="394" w:name="_Toc423086527"/>
      <w:r>
        <w:t>Regulation</w:t>
      </w:r>
      <w:bookmarkEnd w:id="390"/>
      <w:bookmarkEnd w:id="391"/>
      <w:bookmarkEnd w:id="392"/>
      <w:bookmarkEnd w:id="393"/>
      <w:bookmarkEnd w:id="394"/>
    </w:p>
    <w:p w:rsidR="00AE2FC7" w:rsidRPr="00502E00" w:rsidRDefault="002767AE" w:rsidP="00AE2FC7">
      <w:r>
        <w:t>From 1 July</w:t>
      </w:r>
      <w:r w:rsidR="00AE2FC7" w:rsidRPr="00502E00">
        <w:t xml:space="preserve"> 2010 </w:t>
      </w:r>
      <w:r>
        <w:t>we have</w:t>
      </w:r>
      <w:r w:rsidR="00AE2FC7" w:rsidRPr="00502E00">
        <w:t xml:space="preserve"> been responsible for the economic regulation of electricity distribution services provided by SA Power Networks. Previously the Essential Service Commission of South Australia (ESCOSA) was the responsible regulator.</w:t>
      </w:r>
    </w:p>
    <w:p w:rsidR="00AE2FC7" w:rsidRDefault="00AE2FC7" w:rsidP="00592413">
      <w:pPr>
        <w:pStyle w:val="Heading3"/>
      </w:pPr>
      <w:bookmarkStart w:id="395" w:name="_Toc409771684"/>
      <w:bookmarkStart w:id="396" w:name="_Toc412790633"/>
      <w:bookmarkStart w:id="397" w:name="_Toc413062114"/>
      <w:bookmarkStart w:id="398" w:name="_Toc413311112"/>
      <w:bookmarkStart w:id="399" w:name="_Toc423086528"/>
      <w:r>
        <w:t>Energy delivered</w:t>
      </w:r>
      <w:bookmarkEnd w:id="395"/>
      <w:bookmarkEnd w:id="396"/>
      <w:bookmarkEnd w:id="397"/>
      <w:bookmarkEnd w:id="398"/>
      <w:bookmarkEnd w:id="399"/>
    </w:p>
    <w:p w:rsidR="00AE2FC7" w:rsidRPr="00502E00" w:rsidRDefault="00AE2FC7" w:rsidP="00AE2FC7">
      <w:r w:rsidRPr="00502E00">
        <w:t>Total energy delivered by SA Power Networks over the first three years of the 2010</w:t>
      </w:r>
      <w:r w:rsidR="007A3240">
        <w:t>–</w:t>
      </w:r>
      <w:r w:rsidRPr="00502E00">
        <w:t xml:space="preserve">15 regulatory control </w:t>
      </w:r>
      <w:proofErr w:type="gramStart"/>
      <w:r w:rsidRPr="00502E00">
        <w:t>period</w:t>
      </w:r>
      <w:proofErr w:type="gramEnd"/>
      <w:r w:rsidRPr="00502E00">
        <w:t xml:space="preserve"> was approximately 3 per cent less than the forecasts approved by </w:t>
      </w:r>
      <w:r w:rsidR="00133534">
        <w:t>us in our</w:t>
      </w:r>
      <w:r w:rsidRPr="00502E00">
        <w:t xml:space="preserve"> 2010 distribution determination (</w:t>
      </w:r>
      <w:r>
        <w:t>Figure 9</w:t>
      </w:r>
      <w:r w:rsidRPr="00502E00">
        <w:t>–6</w:t>
      </w:r>
      <w:r w:rsidR="00377627">
        <w:t>1</w:t>
      </w:r>
      <w:r w:rsidRPr="00502E00">
        <w:t>).</w:t>
      </w:r>
    </w:p>
    <w:p w:rsidR="00A67566" w:rsidRPr="00502E00" w:rsidRDefault="00A67566" w:rsidP="00A67566">
      <w:r w:rsidRPr="00502E00">
        <w:t>SA Power Networks indicated the principal variations in energy delivered arose in the Major Business category from:</w:t>
      </w:r>
    </w:p>
    <w:p w:rsidR="00A67566" w:rsidRPr="00502E00" w:rsidRDefault="00A67566" w:rsidP="00A238C5">
      <w:pPr>
        <w:pStyle w:val="ListBullet"/>
      </w:pPr>
      <w:r w:rsidRPr="00502E00">
        <w:t xml:space="preserve">timing of the commissioning of a major new plant, and </w:t>
      </w:r>
    </w:p>
    <w:p w:rsidR="00A67566" w:rsidRPr="00502E00" w:rsidRDefault="00A67566" w:rsidP="00A238C5">
      <w:pPr>
        <w:pStyle w:val="ListBullet"/>
      </w:pPr>
      <w:proofErr w:type="gramStart"/>
      <w:r w:rsidRPr="00502E00">
        <w:t>subsequent</w:t>
      </w:r>
      <w:proofErr w:type="gramEnd"/>
      <w:r w:rsidRPr="00502E00">
        <w:t xml:space="preserve"> commissioning requiring less energy than originally forecast. </w:t>
      </w:r>
    </w:p>
    <w:p w:rsidR="00A67566" w:rsidRPr="00502E00" w:rsidRDefault="00A67566" w:rsidP="00A67566">
      <w:r w:rsidRPr="00502E00">
        <w:t>These factors had a particular impact on energy delivered in 2010</w:t>
      </w:r>
      <w:r>
        <w:t>–</w:t>
      </w:r>
      <w:r w:rsidRPr="00502E00">
        <w:t>11 and 2011</w:t>
      </w:r>
      <w:r>
        <w:t>–</w:t>
      </w:r>
      <w:r w:rsidRPr="00502E00">
        <w:t>12, but also had an impact in 2012</w:t>
      </w:r>
      <w:r>
        <w:t>–</w:t>
      </w:r>
      <w:r w:rsidRPr="00502E00">
        <w:t xml:space="preserve">13. The decline in major business energy requirements compared to forecast was about 250GWh in each of the three years. </w:t>
      </w:r>
    </w:p>
    <w:p w:rsidR="00A67566" w:rsidRPr="00502E00" w:rsidRDefault="00A67566" w:rsidP="00A67566">
      <w:r w:rsidRPr="00502E00">
        <w:t>SA Power Networks indicated energy delivered in 2012</w:t>
      </w:r>
      <w:r>
        <w:t>–</w:t>
      </w:r>
      <w:r w:rsidRPr="00502E00">
        <w:t>13 was impacted by downsizing operations at a major customer’s site. SA Power Networks notes the major customer’s annual energy will reduce further in 2013</w:t>
      </w:r>
      <w:r>
        <w:t>–</w:t>
      </w:r>
      <w:r w:rsidRPr="00502E00">
        <w:t>14 when the on</w:t>
      </w:r>
      <w:r>
        <w:t>–</w:t>
      </w:r>
      <w:r w:rsidRPr="00502E00">
        <w:t>site co</w:t>
      </w:r>
      <w:r>
        <w:t>–</w:t>
      </w:r>
      <w:r w:rsidRPr="00502E00">
        <w:t xml:space="preserve">generation facilities </w:t>
      </w:r>
      <w:r>
        <w:t xml:space="preserve">are </w:t>
      </w:r>
      <w:r w:rsidRPr="00502E00">
        <w:t xml:space="preserve">commissioned. </w:t>
      </w:r>
    </w:p>
    <w:p w:rsidR="00A67566" w:rsidRPr="00502E00" w:rsidRDefault="00A67566" w:rsidP="00A67566">
      <w:r w:rsidRPr="00502E00">
        <w:t xml:space="preserve">Chapter 4 </w:t>
      </w:r>
      <w:r>
        <w:t xml:space="preserve">contains our </w:t>
      </w:r>
      <w:r w:rsidRPr="00502E00">
        <w:t xml:space="preserve">assessment of energy delivered for all DNSPs in the NEM. </w:t>
      </w:r>
    </w:p>
    <w:p w:rsidR="00AE2FC7" w:rsidRPr="00502E00" w:rsidRDefault="00AE2FC7" w:rsidP="00972E3F">
      <w:pPr>
        <w:pStyle w:val="Caption"/>
      </w:pPr>
      <w:r>
        <w:t>Figure 9</w:t>
      </w:r>
      <w:r w:rsidRPr="00502E00">
        <w:t>–6</w:t>
      </w:r>
      <w:r w:rsidR="00377627">
        <w:t>1</w:t>
      </w:r>
      <w:r w:rsidRPr="00502E00">
        <w:tab/>
        <w:t xml:space="preserve">Energy delivered </w:t>
      </w:r>
      <w:r w:rsidR="007A3240">
        <w:t>–</w:t>
      </w:r>
      <w:r w:rsidRPr="00502E00">
        <w:t xml:space="preserve"> SA Power Networks</w:t>
      </w:r>
    </w:p>
    <w:p w:rsidR="00EA1400" w:rsidRDefault="00EA1400" w:rsidP="00AE2FC7">
      <w:r w:rsidRPr="00EA1400">
        <w:rPr>
          <w:noProof/>
          <w:lang w:eastAsia="en-AU"/>
        </w:rPr>
        <w:drawing>
          <wp:inline distT="0" distB="0" distL="0" distR="0" wp14:anchorId="58B58386" wp14:editId="468382BF">
            <wp:extent cx="4572000" cy="2654300"/>
            <wp:effectExtent l="0" t="0" r="0" b="0"/>
            <wp:docPr id="418" name="Chart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AE2FC7" w:rsidRDefault="00AE2FC7" w:rsidP="00592413">
      <w:pPr>
        <w:pStyle w:val="Heading3"/>
      </w:pPr>
      <w:bookmarkStart w:id="400" w:name="_Toc409771685"/>
      <w:bookmarkStart w:id="401" w:name="_Toc412790634"/>
      <w:bookmarkStart w:id="402" w:name="_Toc413062115"/>
      <w:bookmarkStart w:id="403" w:name="_Toc413311113"/>
      <w:bookmarkStart w:id="404" w:name="_Toc423086529"/>
      <w:r>
        <w:t>Demand</w:t>
      </w:r>
      <w:bookmarkEnd w:id="400"/>
      <w:bookmarkEnd w:id="401"/>
      <w:bookmarkEnd w:id="402"/>
      <w:bookmarkEnd w:id="403"/>
      <w:bookmarkEnd w:id="404"/>
    </w:p>
    <w:p w:rsidR="00AE2FC7" w:rsidRPr="00502E00" w:rsidRDefault="00AE2FC7" w:rsidP="00AE2FC7">
      <w:r w:rsidRPr="00502E00">
        <w:t>SA Power Networks' actual maximum demand over the first three years of the 2010</w:t>
      </w:r>
      <w:r w:rsidR="007A3240">
        <w:t>–</w:t>
      </w:r>
      <w:r w:rsidRPr="00502E00">
        <w:t xml:space="preserve">15 regulatory control </w:t>
      </w:r>
      <w:proofErr w:type="gramStart"/>
      <w:r w:rsidRPr="00502E00">
        <w:t>period</w:t>
      </w:r>
      <w:proofErr w:type="gramEnd"/>
      <w:r w:rsidRPr="00502E00">
        <w:t xml:space="preserve"> was below the forecasts </w:t>
      </w:r>
      <w:r w:rsidR="00133534">
        <w:t>approved by us</w:t>
      </w:r>
      <w:r w:rsidRPr="00502E00">
        <w:t xml:space="preserve"> in </w:t>
      </w:r>
      <w:r w:rsidR="00247A77">
        <w:t>our</w:t>
      </w:r>
      <w:r w:rsidRPr="00502E00">
        <w:t xml:space="preserve"> 2010 distribution determination (</w:t>
      </w:r>
      <w:r>
        <w:t>Figure 9</w:t>
      </w:r>
      <w:r w:rsidRPr="00502E00">
        <w:t>–6</w:t>
      </w:r>
      <w:r w:rsidR="00377627">
        <w:t>2</w:t>
      </w:r>
      <w:r w:rsidRPr="00502E00">
        <w:t>).</w:t>
      </w:r>
    </w:p>
    <w:p w:rsidR="00D4427D" w:rsidRPr="00C40D18" w:rsidRDefault="00D4427D" w:rsidP="00D4427D">
      <w:r w:rsidRPr="00C40D18">
        <w:t>SA Power Networks indicated that in 2010</w:t>
      </w:r>
      <w:r>
        <w:t>–</w:t>
      </w:r>
      <w:r w:rsidRPr="00C40D18">
        <w:t xml:space="preserve">11, weather close to 10 per cent </w:t>
      </w:r>
      <w:proofErr w:type="spellStart"/>
      <w:r w:rsidRPr="00C40D18">
        <w:t>PoE</w:t>
      </w:r>
      <w:proofErr w:type="spellEnd"/>
      <w:r w:rsidRPr="00C40D18">
        <w:t xml:space="preserve"> did occur. However, the weather in the two subsequent years was mild, particularly during the critical work days from Australia Day to mid</w:t>
      </w:r>
      <w:r>
        <w:t>–</w:t>
      </w:r>
      <w:r w:rsidRPr="00C40D18">
        <w:t>March when its maximum demand can occur.</w:t>
      </w:r>
    </w:p>
    <w:p w:rsidR="00D4427D" w:rsidRPr="00C40D18" w:rsidRDefault="00D4427D" w:rsidP="00D4427D">
      <w:r w:rsidRPr="00C40D18">
        <w:t>Demand was also reduced in 2010</w:t>
      </w:r>
      <w:r>
        <w:t>–</w:t>
      </w:r>
      <w:r w:rsidRPr="00C40D18">
        <w:t>11 and 2011</w:t>
      </w:r>
      <w:r>
        <w:t>–</w:t>
      </w:r>
      <w:r w:rsidRPr="00C40D18">
        <w:t>12 by delays in the commissioning of the new plant, and in 2012</w:t>
      </w:r>
      <w:r>
        <w:t>–</w:t>
      </w:r>
      <w:r w:rsidRPr="00C40D18">
        <w:t>13 from the reduction in demand at a major customer’s site arising from commissioning of a co</w:t>
      </w:r>
      <w:r>
        <w:t>–</w:t>
      </w:r>
      <w:r w:rsidRPr="00C40D18">
        <w:t>generation facility.</w:t>
      </w:r>
    </w:p>
    <w:p w:rsidR="00AE2FC7" w:rsidRDefault="00AE2FC7" w:rsidP="00972E3F">
      <w:pPr>
        <w:pStyle w:val="Caption"/>
      </w:pPr>
      <w:r>
        <w:t>Figure 9</w:t>
      </w:r>
      <w:r w:rsidRPr="00502E00">
        <w:t>–6</w:t>
      </w:r>
      <w:r w:rsidR="00377627">
        <w:t>2</w:t>
      </w:r>
      <w:r w:rsidR="001040D5">
        <w:tab/>
      </w:r>
      <w:r w:rsidRPr="00502E00">
        <w:t xml:space="preserve">Maximum demand </w:t>
      </w:r>
      <w:r w:rsidR="007A3240">
        <w:t>–</w:t>
      </w:r>
      <w:r w:rsidRPr="00502E00">
        <w:t xml:space="preserve"> SA Power Networks</w:t>
      </w:r>
    </w:p>
    <w:p w:rsidR="00EA1400" w:rsidRDefault="00EA1400" w:rsidP="00AE2FC7">
      <w:r w:rsidRPr="00EA1400">
        <w:rPr>
          <w:noProof/>
          <w:lang w:eastAsia="en-AU"/>
        </w:rPr>
        <w:drawing>
          <wp:inline distT="0" distB="0" distL="0" distR="0" wp14:anchorId="3E3BB5C6" wp14:editId="13B94559">
            <wp:extent cx="4572000" cy="2654300"/>
            <wp:effectExtent l="0" t="0" r="0" b="0"/>
            <wp:docPr id="426" name="Chart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AE2FC7" w:rsidRPr="00C40D18" w:rsidRDefault="00AE2FC7" w:rsidP="00AE2FC7">
      <w:r w:rsidRPr="00C40D18">
        <w:t xml:space="preserve">Chapter 4 </w:t>
      </w:r>
      <w:r w:rsidR="009E3ACF">
        <w:t xml:space="preserve">contains our </w:t>
      </w:r>
      <w:r w:rsidRPr="00C40D18">
        <w:t xml:space="preserve">assessment of maximum demand for all DNSPs in the NEM. </w:t>
      </w:r>
    </w:p>
    <w:p w:rsidR="00AE2FC7" w:rsidRDefault="00AE2FC7" w:rsidP="00592413">
      <w:pPr>
        <w:pStyle w:val="Heading3"/>
      </w:pPr>
      <w:bookmarkStart w:id="405" w:name="_Toc409771686"/>
      <w:bookmarkStart w:id="406" w:name="_Toc412790635"/>
      <w:bookmarkStart w:id="407" w:name="_Toc413062116"/>
      <w:bookmarkStart w:id="408" w:name="_Toc413311114"/>
      <w:bookmarkStart w:id="409" w:name="_Toc423086530"/>
      <w:r>
        <w:t>Expenditure and revenue</w:t>
      </w:r>
      <w:bookmarkEnd w:id="405"/>
      <w:bookmarkEnd w:id="406"/>
      <w:bookmarkEnd w:id="407"/>
      <w:bookmarkEnd w:id="408"/>
      <w:bookmarkEnd w:id="409"/>
    </w:p>
    <w:p w:rsidR="00AE2FC7" w:rsidRPr="00C40D18" w:rsidRDefault="00AE2FC7" w:rsidP="00AE2FC7">
      <w:r w:rsidRPr="00C40D18">
        <w:t xml:space="preserve">Amendments made to </w:t>
      </w:r>
      <w:r w:rsidR="00DD4FC1">
        <w:t>our approved</w:t>
      </w:r>
      <w:r w:rsidRPr="00C40D18">
        <w:t xml:space="preserve"> forecasts as </w:t>
      </w:r>
      <w:r w:rsidR="00816382">
        <w:t>a</w:t>
      </w:r>
      <w:r w:rsidRPr="00C40D18">
        <w:t xml:space="preserve"> result of Tribunal orders or as a result of approved pass throughs </w:t>
      </w:r>
      <w:r w:rsidR="00D30B61">
        <w:t>are included</w:t>
      </w:r>
      <w:r w:rsidRPr="00C40D18">
        <w:t xml:space="preserve"> in the following analysis of SA Power Networks' financial performance.</w:t>
      </w:r>
      <w:r w:rsidR="00E65E2E">
        <w:rPr>
          <w:rStyle w:val="FootnoteReference"/>
        </w:rPr>
        <w:footnoteReference w:id="20"/>
      </w:r>
      <w:r w:rsidRPr="00C40D18">
        <w:t xml:space="preserve"> </w:t>
      </w:r>
    </w:p>
    <w:p w:rsidR="00AE2FC7" w:rsidRPr="00C40D18" w:rsidRDefault="00AE2FC7" w:rsidP="00AE2FC7">
      <w:pPr>
        <w:pStyle w:val="Heading4notnumbered"/>
      </w:pPr>
      <w:r w:rsidRPr="00C40D18">
        <w:t>Capital expenditure</w:t>
      </w:r>
    </w:p>
    <w:p w:rsidR="00AE2FC7" w:rsidRPr="00C40D18" w:rsidRDefault="00AE2FC7" w:rsidP="00AE2FC7">
      <w:r w:rsidRPr="00C40D18">
        <w:t>SA Power Networks' total capital expenditure over the first three years of the 2010</w:t>
      </w:r>
      <w:r w:rsidR="007A3240">
        <w:t>–</w:t>
      </w:r>
      <w:r w:rsidRPr="00C40D18">
        <w:t xml:space="preserve">15 regulatory control </w:t>
      </w:r>
      <w:proofErr w:type="gramStart"/>
      <w:r w:rsidRPr="00C40D18">
        <w:t>period</w:t>
      </w:r>
      <w:proofErr w:type="gramEnd"/>
      <w:r w:rsidRPr="00C40D18">
        <w:t xml:space="preserve"> was approximately 11 per cent lower than </w:t>
      </w:r>
      <w:r w:rsidR="00DD4FC1">
        <w:t>our approved</w:t>
      </w:r>
      <w:r w:rsidRPr="00C40D18">
        <w:t xml:space="preserve"> forecast (</w:t>
      </w:r>
      <w:r>
        <w:t>Figure 9</w:t>
      </w:r>
      <w:r w:rsidRPr="00C40D18">
        <w:t>–6</w:t>
      </w:r>
      <w:r w:rsidR="00346818">
        <w:t>3</w:t>
      </w:r>
      <w:r w:rsidRPr="00C40D18">
        <w:t>).</w:t>
      </w:r>
    </w:p>
    <w:p w:rsidR="002712DB" w:rsidRPr="00C40D18" w:rsidRDefault="002712DB" w:rsidP="002712DB">
      <w:r w:rsidRPr="00C40D18">
        <w:t xml:space="preserve">SA Power Networks indicated: </w:t>
      </w:r>
    </w:p>
    <w:p w:rsidR="002712DB" w:rsidRPr="00497DC8" w:rsidRDefault="002712DB" w:rsidP="00497DC8">
      <w:pPr>
        <w:pStyle w:val="ListBullet"/>
      </w:pPr>
      <w:r w:rsidRPr="00497DC8">
        <w:t xml:space="preserve">over the 2005–09 regulatory control period, high levels of customer driven capital works resulted in its gross expenditure allowances being exceeded, offset by higher customer contributions </w:t>
      </w:r>
    </w:p>
    <w:p w:rsidR="002712DB" w:rsidRPr="00497DC8" w:rsidRDefault="002712DB" w:rsidP="00497DC8">
      <w:pPr>
        <w:pStyle w:val="ListBullet"/>
      </w:pPr>
      <w:r w:rsidRPr="00497DC8">
        <w:t>lower customer demand over the 2010–15 regulatory control period has resulted in a reduction in capacity and new customer augmentation expenditure</w:t>
      </w:r>
    </w:p>
    <w:p w:rsidR="002712DB" w:rsidRPr="00497DC8" w:rsidRDefault="002712DB" w:rsidP="00497DC8">
      <w:pPr>
        <w:pStyle w:val="ListBullet"/>
      </w:pPr>
      <w:proofErr w:type="gramStart"/>
      <w:r w:rsidRPr="00497DC8">
        <w:t>economic</w:t>
      </w:r>
      <w:proofErr w:type="gramEnd"/>
      <w:r w:rsidRPr="00497DC8">
        <w:t xml:space="preserve"> recovery post global financial crisis was slower than anticipated combined with higher penetration of solar panels. However, this was somewhat offset by increased asset renewal expenditure, significantly above allowances, to replace priority risk assets.</w:t>
      </w:r>
    </w:p>
    <w:p w:rsidR="00AE2FC7" w:rsidRDefault="00AE2FC7" w:rsidP="00972E3F">
      <w:pPr>
        <w:pStyle w:val="Caption"/>
      </w:pPr>
      <w:r>
        <w:t>Figure 9</w:t>
      </w:r>
      <w:r w:rsidRPr="00C40D18">
        <w:t>–6</w:t>
      </w:r>
      <w:r w:rsidR="00346818">
        <w:t>3</w:t>
      </w:r>
      <w:r w:rsidRPr="00C40D18">
        <w:tab/>
        <w:t xml:space="preserve">Capital expenditure (excluding customer contributions) </w:t>
      </w:r>
      <w:r w:rsidR="007A3240">
        <w:t>–</w:t>
      </w:r>
      <w:r w:rsidRPr="00C40D18">
        <w:t xml:space="preserve"> SA Power Networks</w:t>
      </w:r>
    </w:p>
    <w:p w:rsidR="00EA1400" w:rsidRDefault="00EA1400" w:rsidP="0040444A">
      <w:pPr>
        <w:pStyle w:val="Caption"/>
        <w:keepNext w:val="0"/>
      </w:pPr>
      <w:r w:rsidRPr="00EA1400">
        <w:rPr>
          <w:noProof/>
          <w:lang w:eastAsia="en-AU"/>
        </w:rPr>
        <w:drawing>
          <wp:inline distT="0" distB="0" distL="0" distR="0" wp14:anchorId="45A627B2" wp14:editId="124DB2A1">
            <wp:extent cx="4572000" cy="2647950"/>
            <wp:effectExtent l="0" t="0" r="0" b="0"/>
            <wp:docPr id="427" name="Chart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D4427D" w:rsidRPr="00C40D18" w:rsidRDefault="00D4427D" w:rsidP="00D4427D">
      <w:r w:rsidRPr="00C40D18">
        <w:t>SA Power Networks also indicated it optimise</w:t>
      </w:r>
      <w:r>
        <w:t>d</w:t>
      </w:r>
      <w:r w:rsidRPr="00C40D18">
        <w:t xml:space="preserve"> its capital investment programs to meet future growth and to maintain network performance standards. </w:t>
      </w:r>
      <w:r w:rsidR="002712DB">
        <w:t>(Figure 9–64)</w:t>
      </w:r>
    </w:p>
    <w:p w:rsidR="00AE2FC7" w:rsidRPr="00C40D18" w:rsidRDefault="00AE2FC7" w:rsidP="00972E3F">
      <w:pPr>
        <w:pStyle w:val="Caption"/>
      </w:pPr>
      <w:r>
        <w:t>Figure 9</w:t>
      </w:r>
      <w:r w:rsidRPr="00C40D18">
        <w:t>–</w:t>
      </w:r>
      <w:r w:rsidR="00346818">
        <w:t>64</w:t>
      </w:r>
      <w:r w:rsidRPr="00C40D18">
        <w:tab/>
        <w:t xml:space="preserve">Capital expenditure by purpose (excluding customer contributions) </w:t>
      </w:r>
      <w:r w:rsidR="007A3240">
        <w:t>–</w:t>
      </w:r>
      <w:r w:rsidRPr="00C40D18">
        <w:t xml:space="preserve"> SA Power </w:t>
      </w:r>
      <w:r w:rsidR="00D4427D">
        <w:t>Networks</w:t>
      </w:r>
    </w:p>
    <w:p w:rsidR="00EA1400" w:rsidRDefault="00EA1400" w:rsidP="00AE2FC7">
      <w:r w:rsidRPr="00EA1400">
        <w:rPr>
          <w:noProof/>
          <w:lang w:eastAsia="en-AU"/>
        </w:rPr>
        <w:drawing>
          <wp:inline distT="0" distB="0" distL="0" distR="0" wp14:anchorId="49CA9198" wp14:editId="7B405C84">
            <wp:extent cx="4572000" cy="2647950"/>
            <wp:effectExtent l="0" t="0" r="0" b="0"/>
            <wp:docPr id="428" name="Chart 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AE2FC7" w:rsidRPr="00C40D18" w:rsidRDefault="00AE2FC7" w:rsidP="00AE2FC7">
      <w:r w:rsidRPr="00C40D18">
        <w:t xml:space="preserve">Chapter 5 provides a description of how DNSPs fund their expenditure on investment projects (capital expenditure) and a comparative assessment of capital expenditure for all DNSPs in the NEM. </w:t>
      </w:r>
    </w:p>
    <w:p w:rsidR="00AE2FC7" w:rsidRPr="00C40D18" w:rsidRDefault="00AE2FC7" w:rsidP="00AE2FC7">
      <w:pPr>
        <w:pStyle w:val="Heading4notnumbered"/>
      </w:pPr>
      <w:r w:rsidRPr="00C40D18">
        <w:t>Regulatory asset base</w:t>
      </w:r>
    </w:p>
    <w:p w:rsidR="00AE2FC7" w:rsidRPr="00C40D18" w:rsidRDefault="00AE2FC7" w:rsidP="00AE2FC7">
      <w:r w:rsidRPr="00C40D18">
        <w:t xml:space="preserve">SA Power Networks' </w:t>
      </w:r>
      <w:r w:rsidR="00497DC8">
        <w:t>RAB</w:t>
      </w:r>
      <w:r w:rsidRPr="00C40D18">
        <w:t xml:space="preserve"> increased by approximately </w:t>
      </w:r>
      <w:r w:rsidR="00816382">
        <w:t>8</w:t>
      </w:r>
      <w:r w:rsidRPr="00C40D18">
        <w:t xml:space="preserve"> per cent over the first three years of the 2010</w:t>
      </w:r>
      <w:r w:rsidR="007A3240">
        <w:t>–</w:t>
      </w:r>
      <w:r w:rsidRPr="00C40D18">
        <w:t xml:space="preserve">15 regulatory control </w:t>
      </w:r>
      <w:proofErr w:type="gramStart"/>
      <w:r w:rsidRPr="00C40D18">
        <w:t>period</w:t>
      </w:r>
      <w:proofErr w:type="gramEnd"/>
      <w:r w:rsidRPr="00C40D18">
        <w:t xml:space="preserve">. SA Power Networks' RAB was forecast to increase by </w:t>
      </w:r>
      <w:r w:rsidR="00884DFF">
        <w:t>10</w:t>
      </w:r>
      <w:r w:rsidRPr="00C40D18">
        <w:t xml:space="preserve"> per cent over this period.</w:t>
      </w:r>
    </w:p>
    <w:p w:rsidR="00AE2FC7" w:rsidRPr="00C40D18" w:rsidRDefault="00AE2FC7" w:rsidP="00AE2FC7">
      <w:r w:rsidRPr="00C40D18">
        <w:t>SA Power Networks' RAB grew from approximately $3.2 billion at the end of 2009</w:t>
      </w:r>
      <w:r w:rsidR="007A3240">
        <w:t>–</w:t>
      </w:r>
      <w:r w:rsidRPr="00C40D18">
        <w:t>10 to approximately $3.5 billion at the end of 2012</w:t>
      </w:r>
      <w:r w:rsidR="007A3240">
        <w:t>–</w:t>
      </w:r>
      <w:r w:rsidRPr="00C40D18">
        <w:t>13 (</w:t>
      </w:r>
      <w:r>
        <w:t>Figure 9</w:t>
      </w:r>
      <w:r w:rsidRPr="00C40D18">
        <w:t>–</w:t>
      </w:r>
      <w:r w:rsidR="00346818">
        <w:t>65</w:t>
      </w:r>
      <w:r w:rsidRPr="00C40D18">
        <w:t xml:space="preserve">). </w:t>
      </w:r>
    </w:p>
    <w:p w:rsidR="00AE2FC7" w:rsidRPr="00C40D18" w:rsidRDefault="00AE2FC7" w:rsidP="00972E3F">
      <w:pPr>
        <w:pStyle w:val="Caption"/>
      </w:pPr>
      <w:r>
        <w:t>Figure 9</w:t>
      </w:r>
      <w:r w:rsidRPr="00C40D18">
        <w:t>–</w:t>
      </w:r>
      <w:r w:rsidR="00346818">
        <w:t>65</w:t>
      </w:r>
      <w:r w:rsidR="001040D5">
        <w:tab/>
      </w:r>
      <w:r w:rsidRPr="00C40D18">
        <w:t xml:space="preserve">Regulatory asset base </w:t>
      </w:r>
      <w:r w:rsidR="007A3240">
        <w:t>–</w:t>
      </w:r>
      <w:r w:rsidRPr="00C40D18">
        <w:t xml:space="preserve"> SA Power Networks</w:t>
      </w:r>
    </w:p>
    <w:p w:rsidR="00EA1400" w:rsidRDefault="00EA1400" w:rsidP="00AE2FC7">
      <w:r w:rsidRPr="00EA1400">
        <w:rPr>
          <w:noProof/>
          <w:lang w:eastAsia="en-AU"/>
        </w:rPr>
        <w:drawing>
          <wp:inline distT="0" distB="0" distL="0" distR="0" wp14:anchorId="6F2A2E29" wp14:editId="4039BEA0">
            <wp:extent cx="4733925" cy="2727389"/>
            <wp:effectExtent l="0" t="0" r="0" b="0"/>
            <wp:docPr id="430" name="Chart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AE2FC7" w:rsidRPr="00C40D18" w:rsidRDefault="00AE2FC7" w:rsidP="00AE2FC7">
      <w:r w:rsidRPr="00C40D18">
        <w:t>The increasing difference between the forecast RAB and the actual value of SA Power Networks' RAB is consistent with its underspending on capital over the first three years of the 2010</w:t>
      </w:r>
      <w:r w:rsidR="007A3240">
        <w:t>–</w:t>
      </w:r>
      <w:r w:rsidRPr="00C40D18">
        <w:t xml:space="preserve">15 regulatory control </w:t>
      </w:r>
      <w:proofErr w:type="gramStart"/>
      <w:r w:rsidRPr="00C40D18">
        <w:t>period</w:t>
      </w:r>
      <w:proofErr w:type="gramEnd"/>
      <w:r w:rsidRPr="00C40D18">
        <w:t>.</w:t>
      </w:r>
    </w:p>
    <w:p w:rsidR="00AE2FC7" w:rsidRPr="00C40D18" w:rsidRDefault="00AE2FC7" w:rsidP="00AE2FC7">
      <w:pPr>
        <w:pStyle w:val="Heading4notnumbered"/>
      </w:pPr>
      <w:r w:rsidRPr="00C40D18">
        <w:t>Operating expenditure</w:t>
      </w:r>
    </w:p>
    <w:p w:rsidR="00AE2FC7" w:rsidRDefault="00AE2FC7" w:rsidP="00AE2FC7">
      <w:r w:rsidRPr="00C40D18">
        <w:t>SA Power Networks' total operating expenditure over the first three years of the 2010</w:t>
      </w:r>
      <w:r w:rsidR="007A3240">
        <w:t>–</w:t>
      </w:r>
      <w:r w:rsidRPr="00C40D18">
        <w:t xml:space="preserve">15 regulatory control </w:t>
      </w:r>
      <w:proofErr w:type="gramStart"/>
      <w:r w:rsidRPr="00C40D18">
        <w:t>period</w:t>
      </w:r>
      <w:proofErr w:type="gramEnd"/>
      <w:r w:rsidRPr="00C40D18">
        <w:t xml:space="preserve"> was approximately 4 per cent higher than </w:t>
      </w:r>
      <w:r w:rsidR="00DD4FC1">
        <w:t>our approved</w:t>
      </w:r>
      <w:r w:rsidRPr="00C40D18">
        <w:t xml:space="preserve"> forecast (</w:t>
      </w:r>
      <w:r>
        <w:t>Figure 9</w:t>
      </w:r>
      <w:r w:rsidRPr="00C40D18">
        <w:t>–</w:t>
      </w:r>
      <w:r w:rsidR="00346818">
        <w:t>66</w:t>
      </w:r>
      <w:r w:rsidRPr="00C40D18">
        <w:t>).</w:t>
      </w:r>
    </w:p>
    <w:p w:rsidR="00D4427D" w:rsidRPr="00C40D18" w:rsidRDefault="00D4427D" w:rsidP="00D4427D">
      <w:r w:rsidRPr="00C40D18">
        <w:t>SA Power Networks indicated network maintenance works have continued to be a major contributor to overall operating costs, particularly in the areas of asset inspection and emergency response and supply restoration. Guaranteed service level payments in particular, largely attributable to more frequent severe weather events, significantly exceeded regulatory allowances.</w:t>
      </w:r>
    </w:p>
    <w:p w:rsidR="00D4427D" w:rsidRPr="00C40D18" w:rsidRDefault="00D4427D" w:rsidP="00D4427D">
      <w:r w:rsidRPr="00C40D18">
        <w:t>Vegetation management costs for the 2010</w:t>
      </w:r>
      <w:r>
        <w:t>–</w:t>
      </w:r>
      <w:r w:rsidRPr="00C40D18">
        <w:t xml:space="preserve">15 regulatory control </w:t>
      </w:r>
      <w:proofErr w:type="gramStart"/>
      <w:r w:rsidRPr="00C40D18">
        <w:t>period</w:t>
      </w:r>
      <w:proofErr w:type="gramEnd"/>
      <w:r w:rsidRPr="00C40D18">
        <w:t xml:space="preserve"> were also above those originally allowed by the AER. SA Power Networks indicated this was due to increased and sustained tree growth since the breaking of the South Australian drought. In approving SA Power Networks' vegetation clearance pass through application in July </w:t>
      </w:r>
      <w:proofErr w:type="gramStart"/>
      <w:r w:rsidRPr="00C40D18">
        <w:t>2013,</w:t>
      </w:r>
      <w:proofErr w:type="gramEnd"/>
      <w:r w:rsidRPr="00C40D18">
        <w:t xml:space="preserve"> </w:t>
      </w:r>
      <w:r w:rsidR="006D0B18">
        <w:t>we</w:t>
      </w:r>
      <w:r w:rsidRPr="00C40D18">
        <w:t xml:space="preserve"> recognised this to be an ongoing issue, the magnitude of which could not have been forecast at the last reset. However, SA Power Networks indicated the vegetation clearance pass through amounts did not allow for recovery of all costs incurred by following the breaking of the drought. In particular, SA Power Networks noted it absorbed the higher vegetation clearance costs experienced in 2011</w:t>
      </w:r>
      <w:r>
        <w:t>–</w:t>
      </w:r>
      <w:r w:rsidRPr="00C40D18">
        <w:t>12.</w:t>
      </w:r>
    </w:p>
    <w:p w:rsidR="00D4427D" w:rsidRPr="00C40D18" w:rsidRDefault="00D4427D" w:rsidP="00D4427D">
      <w:r w:rsidRPr="00C40D18">
        <w:t>SA Power Networks also indicated that in the first three years of the 2010</w:t>
      </w:r>
      <w:r>
        <w:t>–</w:t>
      </w:r>
      <w:r w:rsidRPr="00C40D18">
        <w:t xml:space="preserve">14 regulatory control </w:t>
      </w:r>
      <w:proofErr w:type="gramStart"/>
      <w:r w:rsidRPr="00C40D18">
        <w:t>period</w:t>
      </w:r>
      <w:proofErr w:type="gramEnd"/>
      <w:r w:rsidRPr="00C40D18">
        <w:t xml:space="preserve"> it absorbed the higher costs associated with administration of the State Government’s solar PV </w:t>
      </w:r>
      <w:proofErr w:type="spellStart"/>
      <w:r w:rsidRPr="00C40D18">
        <w:t>FiT</w:t>
      </w:r>
      <w:proofErr w:type="spellEnd"/>
      <w:r w:rsidRPr="00C40D18">
        <w:t xml:space="preserve"> scheme.</w:t>
      </w:r>
    </w:p>
    <w:p w:rsidR="00AE2FC7" w:rsidRPr="00C40D18" w:rsidRDefault="00AE2FC7" w:rsidP="00972E3F">
      <w:pPr>
        <w:pStyle w:val="Caption"/>
      </w:pPr>
      <w:r>
        <w:t>Figure 9</w:t>
      </w:r>
      <w:r w:rsidRPr="00C40D18">
        <w:t>–</w:t>
      </w:r>
      <w:r w:rsidR="00346818">
        <w:t>66</w:t>
      </w:r>
      <w:r w:rsidRPr="00C40D18">
        <w:tab/>
        <w:t xml:space="preserve">Operating expenditure </w:t>
      </w:r>
      <w:r w:rsidR="007A3240">
        <w:t>–</w:t>
      </w:r>
      <w:r w:rsidRPr="00C40D18">
        <w:t xml:space="preserve"> SA Power Networks</w:t>
      </w:r>
    </w:p>
    <w:p w:rsidR="00EA1400" w:rsidRDefault="00EA1400" w:rsidP="00AE2FC7">
      <w:r w:rsidRPr="00EA1400">
        <w:rPr>
          <w:noProof/>
          <w:lang w:eastAsia="en-AU"/>
        </w:rPr>
        <w:drawing>
          <wp:inline distT="0" distB="0" distL="0" distR="0" wp14:anchorId="0252D0FA" wp14:editId="3E27B9EC">
            <wp:extent cx="4572000" cy="2654300"/>
            <wp:effectExtent l="0" t="0" r="0" b="0"/>
            <wp:docPr id="431" name="Chart 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AE2FC7" w:rsidRPr="00C40D18" w:rsidRDefault="00AE2FC7" w:rsidP="00AE2FC7">
      <w:r w:rsidRPr="00C40D18">
        <w:t xml:space="preserve">Chapter 6 </w:t>
      </w:r>
      <w:r w:rsidR="009E3ACF">
        <w:t xml:space="preserve">contains our </w:t>
      </w:r>
      <w:r w:rsidRPr="00C40D18">
        <w:t xml:space="preserve">assessment of operating expenditure for all DNSPs in the NEM. </w:t>
      </w:r>
    </w:p>
    <w:p w:rsidR="00AE2FC7" w:rsidRPr="00C40D18" w:rsidRDefault="00AE2FC7" w:rsidP="00AE2FC7">
      <w:pPr>
        <w:pStyle w:val="Heading4notnumbered"/>
      </w:pPr>
      <w:r w:rsidRPr="00C40D18">
        <w:t>Revenue</w:t>
      </w:r>
    </w:p>
    <w:p w:rsidR="00AE2FC7" w:rsidRPr="00C40D18" w:rsidRDefault="00DD4FC1" w:rsidP="00AE2FC7">
      <w:r>
        <w:t>Our 2010</w:t>
      </w:r>
      <w:r w:rsidR="00AE2FC7" w:rsidRPr="00C40D18">
        <w:t xml:space="preserve"> distribution determination applied a weighted average price cap (WAPC) form of control to SA Power Networks’ distribution services over the 2010</w:t>
      </w:r>
      <w:r w:rsidR="007A3240">
        <w:t>–</w:t>
      </w:r>
      <w:r w:rsidR="00AE2FC7" w:rsidRPr="00C40D18">
        <w:t xml:space="preserve">15 regulatory control period. A WAPC imposes controls over the prices </w:t>
      </w:r>
      <w:r w:rsidR="00A75C74" w:rsidRPr="0015769E">
        <w:t>a DNSP may charge for its services</w:t>
      </w:r>
      <w:r w:rsidR="00AE2FC7" w:rsidRPr="00C40D18">
        <w:t>.</w:t>
      </w:r>
    </w:p>
    <w:p w:rsidR="00AE2FC7" w:rsidRPr="00C40D18" w:rsidRDefault="00AE2FC7" w:rsidP="00AE2FC7">
      <w:r w:rsidRPr="00C40D18">
        <w:t>SA Power Networks' total revenue recovered for standard control services over the first three years of the 2010</w:t>
      </w:r>
      <w:r w:rsidR="007A3240">
        <w:t>–</w:t>
      </w:r>
      <w:r w:rsidRPr="00C40D18">
        <w:t xml:space="preserve">15 regulatory control period was approximately 6 per cent higher than </w:t>
      </w:r>
      <w:r w:rsidR="00DD4FC1">
        <w:t>our approved</w:t>
      </w:r>
      <w:r w:rsidRPr="00C40D18">
        <w:t xml:space="preserve"> forecast (</w:t>
      </w:r>
      <w:r>
        <w:t>Figure 9</w:t>
      </w:r>
      <w:r w:rsidRPr="00C40D18">
        <w:t>–</w:t>
      </w:r>
      <w:r w:rsidR="00346818">
        <w:t>67</w:t>
      </w:r>
      <w:r w:rsidRPr="00C40D18">
        <w:t>).</w:t>
      </w:r>
    </w:p>
    <w:p w:rsidR="00D4427D" w:rsidRPr="00C40D18" w:rsidRDefault="00D4427D" w:rsidP="00D4427D">
      <w:r w:rsidRPr="00C40D18">
        <w:t>SA Power Networks indicated the weather in the first three years of the 2010</w:t>
      </w:r>
      <w:r>
        <w:t>–</w:t>
      </w:r>
      <w:r w:rsidRPr="00C40D18">
        <w:t>1</w:t>
      </w:r>
      <w:r w:rsidR="00EF1100">
        <w:t>5</w:t>
      </w:r>
      <w:r w:rsidRPr="00C40D18">
        <w:t xml:space="preserve"> regulatory control period impacted on its actual revenue being higher than </w:t>
      </w:r>
      <w:r>
        <w:t>our approved</w:t>
      </w:r>
      <w:r w:rsidRPr="00C40D18">
        <w:t xml:space="preserve"> forecasts. SA Power Networks estimated the possible incremental impacts associated with customer response to weather represent $15.6 million of revenue. It also indicated other variations would account for the estimated balance of $34.7 million, which is approximately 1.6 per cent of the amended AER forecast for the period.</w:t>
      </w:r>
    </w:p>
    <w:p w:rsidR="002712DB" w:rsidRPr="00502E00" w:rsidRDefault="002712DB" w:rsidP="002712DB">
      <w:r w:rsidRPr="00C40D18">
        <w:t xml:space="preserve">Chapter 7 provides further information on the WAPC control mechanism </w:t>
      </w:r>
      <w:r>
        <w:t xml:space="preserve">as well as our comparative </w:t>
      </w:r>
      <w:r w:rsidRPr="00C40D18">
        <w:t>assessment of revenue for all DNSPs in the NEM.</w:t>
      </w:r>
    </w:p>
    <w:p w:rsidR="00AE2FC7" w:rsidRPr="00C40D18" w:rsidRDefault="00AE2FC7" w:rsidP="00972E3F">
      <w:pPr>
        <w:pStyle w:val="Caption"/>
      </w:pPr>
      <w:r>
        <w:t>Figure 9</w:t>
      </w:r>
      <w:r w:rsidRPr="00C40D18">
        <w:t>–</w:t>
      </w:r>
      <w:r w:rsidR="00346818">
        <w:t>67</w:t>
      </w:r>
      <w:r w:rsidR="001040D5">
        <w:tab/>
      </w:r>
      <w:r w:rsidRPr="00C40D18">
        <w:t xml:space="preserve">Revenue </w:t>
      </w:r>
      <w:r w:rsidR="007A3240">
        <w:t>–</w:t>
      </w:r>
      <w:r w:rsidRPr="00C40D18">
        <w:t xml:space="preserve"> SA Power Networks</w:t>
      </w:r>
    </w:p>
    <w:p w:rsidR="00343CAA" w:rsidRDefault="00343CAA" w:rsidP="00AE2FC7">
      <w:r w:rsidRPr="00343CAA">
        <w:rPr>
          <w:noProof/>
          <w:lang w:eastAsia="en-AU"/>
        </w:rPr>
        <w:drawing>
          <wp:inline distT="0" distB="0" distL="0" distR="0" wp14:anchorId="151467EF" wp14:editId="4AE3F418">
            <wp:extent cx="4572000" cy="2654300"/>
            <wp:effectExtent l="0" t="0" r="0" b="0"/>
            <wp:docPr id="432" name="Chart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AE2FC7" w:rsidRDefault="00AE2FC7" w:rsidP="00592413">
      <w:pPr>
        <w:pStyle w:val="Heading3"/>
      </w:pPr>
      <w:bookmarkStart w:id="410" w:name="_Toc409771687"/>
      <w:bookmarkStart w:id="411" w:name="_Toc412790636"/>
      <w:bookmarkStart w:id="412" w:name="_Toc413062117"/>
      <w:bookmarkStart w:id="413" w:name="_Toc413311115"/>
      <w:bookmarkStart w:id="414" w:name="_Toc423086531"/>
      <w:r>
        <w:t>Financial performance</w:t>
      </w:r>
      <w:bookmarkEnd w:id="410"/>
      <w:bookmarkEnd w:id="411"/>
      <w:bookmarkEnd w:id="412"/>
      <w:bookmarkEnd w:id="413"/>
      <w:bookmarkEnd w:id="414"/>
    </w:p>
    <w:p w:rsidR="00AE2FC7" w:rsidRPr="00C40D18" w:rsidRDefault="00AE2FC7" w:rsidP="00AE2FC7">
      <w:r w:rsidRPr="00C40D18">
        <w:t>SA Power Networks' average EBIT for standard control services was approximately 43 per cent of its total revenue earned for standard control services over 2010</w:t>
      </w:r>
      <w:r w:rsidR="007A3240">
        <w:t>–</w:t>
      </w:r>
      <w:r w:rsidRPr="00C40D18">
        <w:t>13.</w:t>
      </w:r>
      <w:r w:rsidR="00525C94" w:rsidRPr="00525C94">
        <w:t xml:space="preserve"> </w:t>
      </w:r>
      <w:r w:rsidR="00525C94" w:rsidRPr="00CB73C1">
        <w:t xml:space="preserve">The EBIT in </w:t>
      </w:r>
      <w:r w:rsidR="00525C94">
        <w:t>Figure 9</w:t>
      </w:r>
      <w:r w:rsidR="00525C94" w:rsidRPr="00CB73C1">
        <w:t>–</w:t>
      </w:r>
      <w:r w:rsidR="00525C94">
        <w:t>68</w:t>
      </w:r>
      <w:r w:rsidR="00525C94" w:rsidRPr="00CB73C1">
        <w:t xml:space="preserve"> includes depreciation and amortisation</w:t>
      </w:r>
      <w:r w:rsidR="00525C94">
        <w:t xml:space="preserve"> and should not be used as a definitive measure of core profitability</w:t>
      </w:r>
      <w:r w:rsidR="00525C94" w:rsidRPr="00CB73C1">
        <w:t>.</w:t>
      </w:r>
    </w:p>
    <w:p w:rsidR="002712DB" w:rsidRDefault="00EF1100" w:rsidP="00EF1100">
      <w:r w:rsidRPr="00C40D18">
        <w:t>For SA Power Networks EBIT margin is shown as EBIT divided by both gross and net revenue, reflecting different treatment of revenues received and expenditures made for transmission services (</w:t>
      </w:r>
      <w:proofErr w:type="spellStart"/>
      <w:r w:rsidRPr="00C40D18">
        <w:t>TUoS</w:t>
      </w:r>
      <w:proofErr w:type="spellEnd"/>
      <w:r w:rsidRPr="00C40D18">
        <w:t xml:space="preserve"> revenue). Gross EBIT margin (including </w:t>
      </w:r>
      <w:proofErr w:type="spellStart"/>
      <w:r w:rsidRPr="00C40D18">
        <w:t>TUoS</w:t>
      </w:r>
      <w:proofErr w:type="spellEnd"/>
      <w:r w:rsidRPr="00C40D18">
        <w:t xml:space="preserve"> revenue) is consistent with reporting in the 2012</w:t>
      </w:r>
      <w:r>
        <w:t>–</w:t>
      </w:r>
      <w:r w:rsidRPr="00C40D18">
        <w:t xml:space="preserve">13 Annual </w:t>
      </w:r>
      <w:r w:rsidR="00BC155F">
        <w:t xml:space="preserve">Reporting </w:t>
      </w:r>
      <w:r w:rsidRPr="00C40D18">
        <w:t xml:space="preserve">RIN and SA Power Networks' statutory financial accounts. </w:t>
      </w:r>
    </w:p>
    <w:p w:rsidR="00AE2FC7" w:rsidRPr="00C40D18" w:rsidRDefault="00AE2FC7" w:rsidP="00972E3F">
      <w:pPr>
        <w:pStyle w:val="Caption"/>
      </w:pPr>
      <w:r>
        <w:t>Figure 9</w:t>
      </w:r>
      <w:r w:rsidRPr="00C40D18">
        <w:t>–</w:t>
      </w:r>
      <w:r w:rsidR="00346818">
        <w:t>68</w:t>
      </w:r>
      <w:r w:rsidRPr="00C40D18">
        <w:tab/>
      </w:r>
      <w:r w:rsidR="00E96C0F" w:rsidRPr="00CB73C1">
        <w:t>E</w:t>
      </w:r>
      <w:r w:rsidR="00E96C0F">
        <w:t>arnings before interest and tax</w:t>
      </w:r>
      <w:r w:rsidR="007A3240">
        <w:t>–</w:t>
      </w:r>
      <w:r w:rsidRPr="00C40D18">
        <w:t xml:space="preserve"> SA Power Networks</w:t>
      </w:r>
    </w:p>
    <w:p w:rsidR="002712DB" w:rsidRDefault="00343CAA" w:rsidP="002712DB">
      <w:r w:rsidRPr="00343CAA">
        <w:rPr>
          <w:noProof/>
          <w:lang w:eastAsia="en-AU"/>
        </w:rPr>
        <w:drawing>
          <wp:inline distT="0" distB="0" distL="0" distR="0" wp14:anchorId="2618265F" wp14:editId="0784C256">
            <wp:extent cx="4572000" cy="2647950"/>
            <wp:effectExtent l="0" t="0" r="0" b="0"/>
            <wp:docPr id="433" name="Chart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r w:rsidR="002712DB" w:rsidRPr="002712DB">
        <w:t xml:space="preserve"> </w:t>
      </w:r>
    </w:p>
    <w:p w:rsidR="002712DB" w:rsidRPr="00C40D18" w:rsidRDefault="002712DB" w:rsidP="002712DB">
      <w:r w:rsidRPr="00C40D18">
        <w:t>SA Power Networks indicated its EBIT margin increased in the 2010</w:t>
      </w:r>
      <w:r>
        <w:t>–</w:t>
      </w:r>
      <w:r w:rsidRPr="00C40D18">
        <w:t>15 regulatory control period due to additional revenue from:</w:t>
      </w:r>
    </w:p>
    <w:p w:rsidR="002712DB" w:rsidRPr="00C40D18" w:rsidRDefault="002712DB" w:rsidP="00497DC8">
      <w:pPr>
        <w:pStyle w:val="ListBullet"/>
      </w:pPr>
      <w:r w:rsidRPr="00C40D18">
        <w:t xml:space="preserve">higher capital allowances which were </w:t>
      </w:r>
      <w:r>
        <w:t>approved by us</w:t>
      </w:r>
      <w:r w:rsidRPr="00C40D18">
        <w:t>: additional EBIT is required to service increase</w:t>
      </w:r>
      <w:r>
        <w:t>d levels of debt and investment</w:t>
      </w:r>
    </w:p>
    <w:p w:rsidR="002712DB" w:rsidRPr="00C40D18" w:rsidRDefault="002712DB" w:rsidP="00497DC8">
      <w:pPr>
        <w:pStyle w:val="ListBullet"/>
      </w:pPr>
      <w:r w:rsidRPr="00C40D18">
        <w:t xml:space="preserve">higher WACC which was </w:t>
      </w:r>
      <w:r>
        <w:t>approved by us</w:t>
      </w:r>
      <w:r w:rsidRPr="00C40D18">
        <w:t xml:space="preserve"> due to the higher cost of funds in the post</w:t>
      </w:r>
      <w:r>
        <w:t>–</w:t>
      </w:r>
      <w:r w:rsidR="00497DC8">
        <w:t xml:space="preserve">global financial crisis </w:t>
      </w:r>
      <w:r>
        <w:t>environment</w:t>
      </w:r>
    </w:p>
    <w:p w:rsidR="002712DB" w:rsidRPr="00C40D18" w:rsidRDefault="002712DB" w:rsidP="00497DC8">
      <w:pPr>
        <w:pStyle w:val="ListBullet"/>
      </w:pPr>
      <w:r w:rsidRPr="00C40D18">
        <w:t>additional allowed revenues starting from 2011</w:t>
      </w:r>
      <w:r>
        <w:t>–</w:t>
      </w:r>
      <w:r w:rsidRPr="00C40D18">
        <w:t xml:space="preserve">12 for outcomes from the Tribunal decision following </w:t>
      </w:r>
      <w:r>
        <w:t>our</w:t>
      </w:r>
      <w:r w:rsidRPr="00C40D18">
        <w:t xml:space="preserve"> 2010 distribution determination, noting five years of this additional revenue is being recovered over the final four years o</w:t>
      </w:r>
      <w:r>
        <w:t>f the regulatory control period</w:t>
      </w:r>
    </w:p>
    <w:p w:rsidR="002712DB" w:rsidRPr="00C40D18" w:rsidRDefault="002712DB" w:rsidP="00497DC8">
      <w:pPr>
        <w:pStyle w:val="ListBullet"/>
      </w:pPr>
      <w:r>
        <w:t>SPS incentive revenue</w:t>
      </w:r>
    </w:p>
    <w:p w:rsidR="002712DB" w:rsidRPr="00C40D18" w:rsidRDefault="002712DB" w:rsidP="00497DC8">
      <w:pPr>
        <w:pStyle w:val="ListBullet"/>
      </w:pPr>
      <w:proofErr w:type="gramStart"/>
      <w:r w:rsidRPr="00C40D18">
        <w:t>interest</w:t>
      </w:r>
      <w:proofErr w:type="gramEnd"/>
      <w:r w:rsidRPr="00C40D18">
        <w:t xml:space="preserve"> on PV under</w:t>
      </w:r>
      <w:r>
        <w:t>–</w:t>
      </w:r>
      <w:r w:rsidRPr="00C40D18">
        <w:t>recovery.</w:t>
      </w:r>
    </w:p>
    <w:p w:rsidR="00AE2FC7" w:rsidRDefault="00AE2FC7" w:rsidP="00592413">
      <w:pPr>
        <w:pStyle w:val="Heading3"/>
      </w:pPr>
      <w:bookmarkStart w:id="415" w:name="_Toc409771688"/>
      <w:bookmarkStart w:id="416" w:name="_Toc412790637"/>
      <w:bookmarkStart w:id="417" w:name="_Toc413062118"/>
      <w:bookmarkStart w:id="418" w:name="_Toc413311116"/>
      <w:bookmarkStart w:id="419" w:name="_Toc423086532"/>
      <w:r>
        <w:t>Service performance</w:t>
      </w:r>
      <w:bookmarkEnd w:id="415"/>
      <w:bookmarkEnd w:id="416"/>
      <w:bookmarkEnd w:id="417"/>
      <w:bookmarkEnd w:id="418"/>
      <w:bookmarkEnd w:id="419"/>
    </w:p>
    <w:p w:rsidR="00AE2FC7" w:rsidRPr="00C40D18" w:rsidRDefault="00AE2FC7" w:rsidP="00AE2FC7">
      <w:pPr>
        <w:pStyle w:val="Heading4notnumbered"/>
      </w:pPr>
      <w:r w:rsidRPr="00C40D18">
        <w:t>Total interruptions to supply</w:t>
      </w:r>
    </w:p>
    <w:p w:rsidR="00AE2FC7" w:rsidRPr="00C40D18" w:rsidRDefault="00AE2FC7" w:rsidP="00AE2FC7">
      <w:r w:rsidRPr="00C40D18">
        <w:t>Total interruptions to supply reflect the total impact of both planned and unplanned interruptions (</w:t>
      </w:r>
      <w:r>
        <w:t>Figure 9</w:t>
      </w:r>
      <w:r w:rsidRPr="00C40D18">
        <w:t>–</w:t>
      </w:r>
      <w:r w:rsidR="00312AF7">
        <w:t>69</w:t>
      </w:r>
      <w:r w:rsidRPr="00C40D18">
        <w:t xml:space="preserve">). This measure reflects </w:t>
      </w:r>
      <w:r w:rsidR="001368B1">
        <w:t>the actual experience of</w:t>
      </w:r>
      <w:r w:rsidR="001368B1" w:rsidRPr="00CB73C1">
        <w:t xml:space="preserve"> the average </w:t>
      </w:r>
      <w:r w:rsidRPr="00C40D18">
        <w:t>SA Power Networks customer.</w:t>
      </w:r>
      <w:r w:rsidR="00CC0E3F">
        <w:t xml:space="preserve"> </w:t>
      </w:r>
      <w:r w:rsidRPr="00C40D18">
        <w:t xml:space="preserve">Total interruptions to supply include the effect of any interruptions considered to be </w:t>
      </w:r>
      <w:r w:rsidR="00133534">
        <w:t xml:space="preserve">excluded </w:t>
      </w:r>
      <w:r w:rsidR="00460775">
        <w:t>events in the STPIS</w:t>
      </w:r>
      <w:r w:rsidRPr="00C40D18">
        <w:t xml:space="preserve">. </w:t>
      </w:r>
    </w:p>
    <w:p w:rsidR="00AE2FC7" w:rsidRDefault="00AE2FC7" w:rsidP="00972E3F">
      <w:pPr>
        <w:pStyle w:val="Caption"/>
      </w:pPr>
      <w:r>
        <w:t>Figure 9</w:t>
      </w:r>
      <w:r w:rsidRPr="00C40D18">
        <w:t>–</w:t>
      </w:r>
      <w:r w:rsidR="00312AF7">
        <w:t>69</w:t>
      </w:r>
      <w:r w:rsidRPr="00C40D18">
        <w:tab/>
        <w:t xml:space="preserve">Total interruptions to supply </w:t>
      </w:r>
      <w:r w:rsidR="007A3240">
        <w:t>–</w:t>
      </w:r>
      <w:r w:rsidRPr="00C40D18">
        <w:t xml:space="preserve"> SA Power Networks</w:t>
      </w:r>
    </w:p>
    <w:p w:rsidR="00343CAA" w:rsidRDefault="00343CAA" w:rsidP="00AE2FC7">
      <w:pPr>
        <w:pStyle w:val="Heading4notnumbered"/>
      </w:pPr>
      <w:r>
        <w:rPr>
          <w:noProof/>
          <w:lang w:eastAsia="en-AU"/>
        </w:rPr>
        <w:drawing>
          <wp:inline distT="0" distB="0" distL="0" distR="0" wp14:anchorId="0B201D16" wp14:editId="6A087F2D">
            <wp:extent cx="2516400" cy="14544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16400" cy="1454400"/>
                    </a:xfrm>
                    <a:prstGeom prst="rect">
                      <a:avLst/>
                    </a:prstGeom>
                    <a:noFill/>
                  </pic:spPr>
                </pic:pic>
              </a:graphicData>
            </a:graphic>
          </wp:inline>
        </w:drawing>
      </w:r>
      <w:r>
        <w:t xml:space="preserve">  </w:t>
      </w:r>
      <w:r>
        <w:rPr>
          <w:noProof/>
          <w:lang w:eastAsia="en-AU"/>
        </w:rPr>
        <w:drawing>
          <wp:inline distT="0" distB="0" distL="0" distR="0" wp14:anchorId="6303C54D" wp14:editId="22B500A7">
            <wp:extent cx="2516400" cy="1458000"/>
            <wp:effectExtent l="0" t="0" r="0" b="889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16400" cy="1458000"/>
                    </a:xfrm>
                    <a:prstGeom prst="rect">
                      <a:avLst/>
                    </a:prstGeom>
                    <a:noFill/>
                  </pic:spPr>
                </pic:pic>
              </a:graphicData>
            </a:graphic>
          </wp:inline>
        </w:drawing>
      </w:r>
    </w:p>
    <w:p w:rsidR="00343CAA" w:rsidRDefault="00BF4161" w:rsidP="00AE2FC7">
      <w:pPr>
        <w:pStyle w:val="Heading4notnumbere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82pt">
            <v:imagedata r:id="rId175" o:title=""/>
          </v:shape>
        </w:pict>
      </w:r>
    </w:p>
    <w:p w:rsidR="00AE2FC7" w:rsidRPr="00C40D18" w:rsidRDefault="00AE2FC7" w:rsidP="00AE2FC7">
      <w:pPr>
        <w:pStyle w:val="Heading4notnumbered"/>
      </w:pPr>
      <w:r w:rsidRPr="00C40D18">
        <w:t>Service Target Performance Incentive Scheme</w:t>
      </w:r>
    </w:p>
    <w:p w:rsidR="00AE2FC7" w:rsidRPr="00C40D18" w:rsidRDefault="00DD4FC1" w:rsidP="00AE2FC7">
      <w:r>
        <w:t>In our 2010 distribution determination we</w:t>
      </w:r>
      <w:r w:rsidR="00AE2FC7" w:rsidRPr="00C40D18">
        <w:t xml:space="preserve"> determined the STPIS would apply to SA Power Networks in the 2010</w:t>
      </w:r>
      <w:r w:rsidR="007A3240">
        <w:t>–</w:t>
      </w:r>
      <w:r w:rsidR="00AE2FC7" w:rsidRPr="00C40D18">
        <w:t xml:space="preserve">15 regulatory control period with an overall revenue at risk of ±3 per cent. </w:t>
      </w:r>
      <w:r w:rsidR="001F51AB">
        <w:t>We</w:t>
      </w:r>
      <w:r w:rsidR="00AE2FC7" w:rsidRPr="00C40D18">
        <w:t xml:space="preserve"> also </w:t>
      </w:r>
      <w:r w:rsidR="00460775">
        <w:t>decided to not</w:t>
      </w:r>
      <w:r w:rsidR="00AE2FC7" w:rsidRPr="00C40D18">
        <w:t xml:space="preserve"> apply the GSL component while the ESCOSA’s GSL scheme remained in place. </w:t>
      </w:r>
    </w:p>
    <w:p w:rsidR="00AE2FC7" w:rsidRPr="00C40D18" w:rsidRDefault="00AE2FC7" w:rsidP="00AE2FC7">
      <w:r w:rsidRPr="00C40D18">
        <w:t xml:space="preserve">The following section shows the effect of (normalised) unplanned interruptions to supply to customers on SA Power Networks' network. </w:t>
      </w:r>
    </w:p>
    <w:p w:rsidR="00AE2FC7" w:rsidRPr="00C40D18" w:rsidRDefault="00AE2FC7" w:rsidP="00AE2FC7">
      <w:pPr>
        <w:pStyle w:val="Heading4notnumbered"/>
      </w:pPr>
      <w:r w:rsidRPr="00C40D18">
        <w:t>Network reliability (normalised)</w:t>
      </w:r>
    </w:p>
    <w:p w:rsidR="00AE2FC7" w:rsidRPr="00C40D18" w:rsidRDefault="00AE2FC7" w:rsidP="00AE2FC7">
      <w:r w:rsidRPr="00C40D18">
        <w:t>In 2012</w:t>
      </w:r>
      <w:r w:rsidR="007A3240">
        <w:t>–</w:t>
      </w:r>
      <w:r w:rsidRPr="00C40D18">
        <w:t>13 the average SA Power Networks customer experienced:</w:t>
      </w:r>
    </w:p>
    <w:p w:rsidR="00AE2FC7" w:rsidRPr="00C40D18" w:rsidRDefault="00AE2FC7" w:rsidP="00497DC8">
      <w:pPr>
        <w:pStyle w:val="ListBullet"/>
      </w:pPr>
      <w:r w:rsidRPr="00C40D18">
        <w:t xml:space="preserve">&lt;1 per cent fewer unplanned (normalised) minutes off supply than over the previous five years </w:t>
      </w:r>
    </w:p>
    <w:p w:rsidR="00AE2FC7" w:rsidRPr="00C40D18" w:rsidRDefault="00AE2FC7" w:rsidP="00497DC8">
      <w:pPr>
        <w:pStyle w:val="ListBullet"/>
      </w:pPr>
      <w:r w:rsidRPr="00C40D18">
        <w:t>6 per cent fewer unplanned (normalised) interruptions to supply than over the previous five years (</w:t>
      </w:r>
      <w:r>
        <w:t>Figure 9</w:t>
      </w:r>
      <w:r w:rsidRPr="00C40D18">
        <w:t>–7</w:t>
      </w:r>
      <w:r w:rsidR="00312AF7">
        <w:t>0</w:t>
      </w:r>
      <w:r w:rsidRPr="00C40D18">
        <w:t>).</w:t>
      </w:r>
    </w:p>
    <w:p w:rsidR="00AE2FC7" w:rsidRPr="00C40D18" w:rsidRDefault="00AE2FC7" w:rsidP="00AE2FC7">
      <w:r w:rsidRPr="00C40D18">
        <w:t xml:space="preserve">It should be noted the reliability information presented in </w:t>
      </w:r>
      <w:r>
        <w:t>Figure 9</w:t>
      </w:r>
      <w:r w:rsidRPr="00C40D18">
        <w:t>–7</w:t>
      </w:r>
      <w:r w:rsidR="00312AF7">
        <w:t>0</w:t>
      </w:r>
      <w:r w:rsidRPr="00C40D18">
        <w:t xml:space="preserve"> combines information from the previous jurisdictional scheme and the AER's STPIS. These schemes differ in detail and therefore the information is not directly comparable. However, the reliability outcomes are presented to provide broad trend information regarding SA Power Networks' service performance.</w:t>
      </w:r>
    </w:p>
    <w:p w:rsidR="00AE2FC7" w:rsidRDefault="00AE2FC7" w:rsidP="00972E3F">
      <w:pPr>
        <w:pStyle w:val="Caption"/>
      </w:pPr>
      <w:r>
        <w:t>Figure 9</w:t>
      </w:r>
      <w:r w:rsidRPr="00C40D18">
        <w:t>–</w:t>
      </w:r>
      <w:r w:rsidR="00312AF7">
        <w:t>70</w:t>
      </w:r>
      <w:r w:rsidRPr="00C40D18">
        <w:tab/>
        <w:t xml:space="preserve">Unplanned interruptions to supply (normalised) </w:t>
      </w:r>
      <w:r w:rsidR="007A3240">
        <w:t>–</w:t>
      </w:r>
      <w:r w:rsidRPr="00C40D18">
        <w:t xml:space="preserve"> SA Power Networks</w:t>
      </w:r>
    </w:p>
    <w:p w:rsidR="00343CAA" w:rsidRDefault="00343CAA" w:rsidP="00AE2FC7">
      <w:pPr>
        <w:pStyle w:val="Heading4notnumbered"/>
      </w:pPr>
      <w:r>
        <w:rPr>
          <w:noProof/>
          <w:lang w:eastAsia="en-AU"/>
        </w:rPr>
        <w:drawing>
          <wp:inline distT="0" distB="0" distL="0" distR="0" wp14:anchorId="14E6CCCE" wp14:editId="754BAEE8">
            <wp:extent cx="2563200" cy="1530000"/>
            <wp:effectExtent l="0" t="0" r="889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63200" cy="1530000"/>
                    </a:xfrm>
                    <a:prstGeom prst="rect">
                      <a:avLst/>
                    </a:prstGeom>
                    <a:noFill/>
                  </pic:spPr>
                </pic:pic>
              </a:graphicData>
            </a:graphic>
          </wp:inline>
        </w:drawing>
      </w:r>
      <w:r>
        <w:t xml:space="preserve">  </w:t>
      </w:r>
      <w:r>
        <w:rPr>
          <w:noProof/>
          <w:lang w:eastAsia="en-AU"/>
        </w:rPr>
        <w:drawing>
          <wp:inline distT="0" distB="0" distL="0" distR="0" wp14:anchorId="738203B2" wp14:editId="5DD4C8CF">
            <wp:extent cx="2530800" cy="1512000"/>
            <wp:effectExtent l="0" t="0" r="317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30800" cy="1512000"/>
                    </a:xfrm>
                    <a:prstGeom prst="rect">
                      <a:avLst/>
                    </a:prstGeom>
                    <a:noFill/>
                  </pic:spPr>
                </pic:pic>
              </a:graphicData>
            </a:graphic>
          </wp:inline>
        </w:drawing>
      </w:r>
    </w:p>
    <w:p w:rsidR="006332CD" w:rsidRDefault="00BF4161" w:rsidP="00AE2FC7">
      <w:pPr>
        <w:pStyle w:val="Heading4notnumbered"/>
      </w:pPr>
      <w:r>
        <w:pict>
          <v:shape id="_x0000_i1026" type="#_x0000_t75" style="width:416pt;height:50pt">
            <v:imagedata r:id="rId178" o:title=""/>
          </v:shape>
        </w:pict>
      </w:r>
    </w:p>
    <w:p w:rsidR="00AE2FC7" w:rsidRPr="00C40D18" w:rsidRDefault="00AE2FC7" w:rsidP="00AE2FC7">
      <w:pPr>
        <w:pStyle w:val="Heading4notnumbered"/>
      </w:pPr>
      <w:r w:rsidRPr="00C40D18">
        <w:t>S</w:t>
      </w:r>
      <w:r w:rsidR="007A3240">
        <w:t>–</w:t>
      </w:r>
      <w:r w:rsidRPr="00C40D18">
        <w:t>factor</w:t>
      </w:r>
    </w:p>
    <w:p w:rsidR="00AE2FC7" w:rsidRPr="00C40D18" w:rsidRDefault="00AE2FC7" w:rsidP="00AE2FC7">
      <w:r>
        <w:t>Table 9</w:t>
      </w:r>
      <w:r w:rsidRPr="00C40D18">
        <w:t>–3 compares SA Power Networks' service performance against its STPIS targets over the first three years of the 2010</w:t>
      </w:r>
      <w:r w:rsidR="007A3240">
        <w:t>–</w:t>
      </w:r>
      <w:r w:rsidRPr="00C40D18">
        <w:t>15 regulatory control period. SA Power Networks generally performed well against its service performance targets in 2011</w:t>
      </w:r>
      <w:r w:rsidR="007A3240">
        <w:t>–</w:t>
      </w:r>
      <w:r w:rsidRPr="00C40D18">
        <w:t>12 and 2012</w:t>
      </w:r>
      <w:r w:rsidR="007A3240">
        <w:t>–</w:t>
      </w:r>
      <w:r w:rsidRPr="00C40D18">
        <w:t>13 after underperforming in 2010</w:t>
      </w:r>
      <w:r w:rsidR="001F51AB">
        <w:t>–</w:t>
      </w:r>
      <w:r w:rsidRPr="00C40D18">
        <w:t>11.</w:t>
      </w:r>
    </w:p>
    <w:p w:rsidR="00AE2FC7" w:rsidRPr="00C40D18" w:rsidRDefault="00AE2FC7" w:rsidP="00AE2FC7">
      <w:r w:rsidRPr="00C40D18">
        <w:t>It is important to note STPIS targets are applied to normalised network reliability. In each of the first three years of the 2010</w:t>
      </w:r>
      <w:r w:rsidR="007A3240">
        <w:t>–</w:t>
      </w:r>
      <w:r w:rsidRPr="00C40D18">
        <w:t xml:space="preserve">15 regulatory control period SA Power Networks experienced between three and nine days where its daily unplanned SAIDI exceeded the major event day boundary. For any day in which unplanned SAIDI exceeds the major event day boundary the impact of that day's SAIDI, SAIFI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to be outside the DNSP's control.</w:t>
      </w:r>
    </w:p>
    <w:p w:rsidR="00AE2FC7" w:rsidRPr="00C40D18" w:rsidRDefault="00AE2FC7" w:rsidP="00AE2FC7">
      <w:r w:rsidRPr="00C40D18">
        <w:t>The s</w:t>
      </w:r>
      <w:r w:rsidR="007A3240">
        <w:t>–</w:t>
      </w:r>
      <w:r w:rsidRPr="00C40D18">
        <w:t>factor is incorporated into SA Power Networks' control mechanism as a multiplier in its WAPC. Allowed revenue is incremented when service performance is better than performance targets and decremented when service performance is worse than performance targets. The way in which the s</w:t>
      </w:r>
      <w:r w:rsidR="007A3240">
        <w:t>–</w:t>
      </w:r>
      <w:r w:rsidRPr="00C40D18">
        <w:t>factor is incorporated into SA Power Networks' control mechanism is be set out in the 2010</w:t>
      </w:r>
      <w:r w:rsidR="007A3240">
        <w:t>–</w:t>
      </w:r>
      <w:r w:rsidRPr="00C40D18">
        <w:t>15 distribution determination.</w:t>
      </w:r>
    </w:p>
    <w:p w:rsidR="00AE2FC7" w:rsidRPr="00C40D18" w:rsidRDefault="00AE2FC7" w:rsidP="00AE2FC7">
      <w:r w:rsidRPr="00C40D18">
        <w:t>Note there is a two year lag between the regulatory year in which service performance outcomes are assessed and the regulatory year in which the s</w:t>
      </w:r>
      <w:r w:rsidR="007A3240">
        <w:t>–</w:t>
      </w:r>
      <w:r w:rsidRPr="00C40D18">
        <w:t xml:space="preserve">factor outcome is applied to the DNSP's allowed revenue. </w:t>
      </w:r>
    </w:p>
    <w:p w:rsidR="00AE2FC7" w:rsidRPr="00C40D18" w:rsidRDefault="00AE2FC7" w:rsidP="00972E3F">
      <w:pPr>
        <w:pStyle w:val="Caption"/>
      </w:pPr>
      <w:r>
        <w:t>Table 9</w:t>
      </w:r>
      <w:r w:rsidRPr="00C40D18">
        <w:t>–3</w:t>
      </w:r>
      <w:r w:rsidRPr="00C40D18">
        <w:tab/>
        <w:t>S</w:t>
      </w:r>
      <w:r w:rsidR="007A3240">
        <w:t>–</w:t>
      </w:r>
      <w:r w:rsidRPr="00C40D18">
        <w:t xml:space="preserve">factor </w:t>
      </w:r>
      <w:r w:rsidR="007A3240">
        <w:t>–</w:t>
      </w:r>
      <w:r w:rsidRPr="00C40D18">
        <w:t xml:space="preserve"> SA Power Networks</w:t>
      </w:r>
    </w:p>
    <w:p w:rsidR="00AB11E6" w:rsidRDefault="001E6D36" w:rsidP="00AB11E6">
      <w:r w:rsidRPr="001E6D36">
        <w:rPr>
          <w:noProof/>
          <w:lang w:eastAsia="en-AU"/>
        </w:rPr>
        <w:drawing>
          <wp:inline distT="0" distB="0" distL="0" distR="0" wp14:anchorId="4728A4DC" wp14:editId="7D4968D4">
            <wp:extent cx="5731510" cy="254738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1510" cy="2547382"/>
                    </a:xfrm>
                    <a:prstGeom prst="rect">
                      <a:avLst/>
                    </a:prstGeom>
                    <a:noFill/>
                    <a:ln>
                      <a:noFill/>
                    </a:ln>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r>
        <w:br w:type="page"/>
      </w:r>
    </w:p>
    <w:bookmarkStart w:id="420" w:name="_Toc409771689"/>
    <w:bookmarkStart w:id="421" w:name="_Toc423086533"/>
    <w:p w:rsidR="00AE2FC7" w:rsidRDefault="0047010E" w:rsidP="00592413">
      <w:pPr>
        <w:pStyle w:val="Heading2"/>
      </w:pPr>
      <w:r w:rsidRPr="0047010E">
        <w:rPr>
          <w:noProof/>
          <w:lang w:eastAsia="en-AU"/>
        </w:rPr>
        <mc:AlternateContent>
          <mc:Choice Requires="wps">
            <w:drawing>
              <wp:anchor distT="0" distB="0" distL="114300" distR="114300" simplePos="0" relativeHeight="251679744" behindDoc="1" locked="0" layoutInCell="1" allowOverlap="1" wp14:anchorId="04479637" wp14:editId="495A5F92">
                <wp:simplePos x="0" y="0"/>
                <wp:positionH relativeFrom="column">
                  <wp:posOffset>-12700</wp:posOffset>
                </wp:positionH>
                <wp:positionV relativeFrom="paragraph">
                  <wp:posOffset>325755</wp:posOffset>
                </wp:positionV>
                <wp:extent cx="6259195" cy="8521700"/>
                <wp:effectExtent l="19050" t="19050" r="27305" b="12700"/>
                <wp:wrapTight wrapText="bothSides">
                  <wp:wrapPolygon edited="0">
                    <wp:start x="-66" y="-48"/>
                    <wp:lineTo x="-66" y="21584"/>
                    <wp:lineTo x="21628" y="21584"/>
                    <wp:lineTo x="21628" y="-48"/>
                    <wp:lineTo x="-66" y="-48"/>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521700"/>
                        </a:xfrm>
                        <a:prstGeom prst="rect">
                          <a:avLst/>
                        </a:prstGeom>
                        <a:noFill/>
                        <a:ln w="44450">
                          <a:solidFill>
                            <a:srgbClr val="E7E1EF"/>
                          </a:solidFill>
                          <a:miter lim="800000"/>
                          <a:headEnd/>
                          <a:tailEnd/>
                        </a:ln>
                      </wps:spPr>
                      <wps:txbx>
                        <w:txbxContent>
                          <w:p w:rsidR="00AD3D0C" w:rsidRDefault="00AD3D0C" w:rsidP="0047010E">
                            <w:pPr>
                              <w:pStyle w:val="Heading3notnumbered"/>
                            </w:pPr>
                            <w:bookmarkStart w:id="422" w:name="_Toc413311118"/>
                            <w:bookmarkStart w:id="423" w:name="_Toc423086534"/>
                            <w:r>
                              <w:t>Network characteristics</w:t>
                            </w:r>
                            <w:bookmarkEnd w:id="422"/>
                            <w:bookmarkEnd w:id="423"/>
                          </w:p>
                          <w:p w:rsidR="00AD3D0C" w:rsidRPr="00C312BC" w:rsidRDefault="00AD3D0C" w:rsidP="0047010E">
                            <w:r w:rsidRPr="00E96856">
                              <w:rPr>
                                <w:rStyle w:val="Strong"/>
                              </w:rPr>
                              <w:t>Ownership:</w:t>
                            </w:r>
                            <w:r>
                              <w:t xml:space="preserve">  Tasmanian Government Owned Corporation</w:t>
                            </w:r>
                            <w:r w:rsidRPr="00C312BC">
                              <w:t xml:space="preserve"> </w:t>
                            </w:r>
                          </w:p>
                          <w:p w:rsidR="00AD3D0C" w:rsidRPr="00C312BC" w:rsidRDefault="00AD3D0C" w:rsidP="0047010E">
                            <w:r w:rsidRPr="00E96856">
                              <w:rPr>
                                <w:rStyle w:val="Strong"/>
                              </w:rPr>
                              <w:t>Relevant regulatory control period</w:t>
                            </w:r>
                            <w:r w:rsidRPr="00C312BC">
                              <w:t>:</w:t>
                            </w:r>
                            <w:r w:rsidRPr="00E96856">
                              <w:t xml:space="preserve"> </w:t>
                            </w:r>
                            <w:r w:rsidRPr="007834DE">
                              <w:t xml:space="preserve">1 </w:t>
                            </w:r>
                            <w:r>
                              <w:t>July 2012 –</w:t>
                            </w:r>
                            <w:r w:rsidRPr="00CB73C1">
                              <w:t xml:space="preserve"> 30 June 20</w:t>
                            </w:r>
                            <w:r>
                              <w:t>17</w:t>
                            </w:r>
                          </w:p>
                          <w:p w:rsidR="00AD3D0C" w:rsidRPr="00E96856" w:rsidRDefault="00AD3D0C" w:rsidP="0047010E">
                            <w:pPr>
                              <w:rPr>
                                <w:rStyle w:val="Strong"/>
                              </w:rPr>
                            </w:pPr>
                            <w:r w:rsidRPr="00E96856">
                              <w:rPr>
                                <w:rStyle w:val="Strong"/>
                              </w:rPr>
                              <w:t>Network profile</w:t>
                            </w:r>
                            <w:r>
                              <w:rPr>
                                <w:rStyle w:val="Strong"/>
                              </w:rPr>
                              <w:t xml:space="preserve"> 2012-13</w:t>
                            </w:r>
                          </w:p>
                          <w:p w:rsidR="00AD3D0C" w:rsidRDefault="00AD3D0C" w:rsidP="0047010E">
                            <w:pPr>
                              <w:pStyle w:val="TableofFigures"/>
                            </w:pPr>
                            <w:r>
                              <w:t xml:space="preserve">  Total distribution customers:</w:t>
                            </w:r>
                            <w:r w:rsidRPr="00C312BC">
                              <w:t xml:space="preserve"> </w:t>
                            </w:r>
                            <w:r w:rsidRPr="00C312BC">
                              <w:tab/>
                            </w:r>
                            <w:r>
                              <w:tab/>
                            </w:r>
                            <w:r>
                              <w:tab/>
                              <w:t>279,130</w:t>
                            </w:r>
                          </w:p>
                          <w:p w:rsidR="00AD3D0C" w:rsidRPr="00C312BC" w:rsidRDefault="00AD3D0C" w:rsidP="0047010E">
                            <w:pPr>
                              <w:pStyle w:val="TableofFigures"/>
                            </w:pPr>
                            <w:r w:rsidRPr="00E96856">
                              <w:t xml:space="preserve"> </w:t>
                            </w:r>
                            <w:r w:rsidRPr="0047010E">
                              <w:rPr>
                                <w:noProof/>
                                <w:lang w:eastAsia="en-AU"/>
                              </w:rPr>
                              <w:drawing>
                                <wp:inline distT="0" distB="0" distL="0" distR="0" wp14:anchorId="6C460613" wp14:editId="5563FDF6">
                                  <wp:extent cx="4572000" cy="1062039"/>
                                  <wp:effectExtent l="0" t="0" r="0" b="508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D3D0C" w:rsidRDefault="00AD3D0C" w:rsidP="0047010E">
                            <w:pPr>
                              <w:pStyle w:val="TableofFigures"/>
                            </w:pPr>
                            <w:r>
                              <w:t xml:space="preserve">  </w:t>
                            </w:r>
                            <w:r w:rsidRPr="0075338F">
                              <w:t xml:space="preserve">Total line </w:t>
                            </w:r>
                            <w:r>
                              <w:t xml:space="preserve">(circuit) </w:t>
                            </w:r>
                            <w:r w:rsidRPr="0075338F">
                              <w:t>length:</w:t>
                            </w:r>
                            <w:r>
                              <w:t xml:space="preserve"> </w:t>
                            </w:r>
                            <w:r>
                              <w:tab/>
                            </w:r>
                            <w:r>
                              <w:tab/>
                            </w:r>
                            <w:r>
                              <w:tab/>
                            </w:r>
                            <w:r>
                              <w:tab/>
                              <w:t>22,336 km</w:t>
                            </w:r>
                          </w:p>
                          <w:p w:rsidR="00AD3D0C" w:rsidRDefault="00AD3D0C" w:rsidP="0047010E">
                            <w:r w:rsidRPr="0047010E">
                              <w:rPr>
                                <w:noProof/>
                                <w:lang w:eastAsia="en-AU"/>
                              </w:rPr>
                              <w:drawing>
                                <wp:inline distT="0" distB="0" distL="0" distR="0" wp14:anchorId="7812B854" wp14:editId="01367949">
                                  <wp:extent cx="4572000" cy="915987"/>
                                  <wp:effectExtent l="0" t="0" r="0" b="0"/>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AD3D0C" w:rsidRPr="00C312BC" w:rsidRDefault="00AD3D0C" w:rsidP="0047010E">
                            <w:r>
                              <w:t xml:space="preserve">  </w:t>
                            </w:r>
                            <w:r w:rsidRPr="000D7CD6">
                              <w:t xml:space="preserve">Customer density: </w:t>
                            </w:r>
                            <w:r w:rsidRPr="00C312BC">
                              <w:tab/>
                            </w:r>
                            <w:r w:rsidRPr="00C312BC">
                              <w:tab/>
                            </w:r>
                            <w:r>
                              <w:tab/>
                            </w:r>
                            <w:r>
                              <w:tab/>
                            </w:r>
                            <w:r>
                              <w:tab/>
                            </w:r>
                            <w:r>
                              <w:tab/>
                              <w:t>12.5</w:t>
                            </w:r>
                            <w:r w:rsidRPr="00C312BC">
                              <w:t xml:space="preserve"> customers/</w:t>
                            </w:r>
                            <w:r>
                              <w:t>km line (circuit)</w:t>
                            </w:r>
                          </w:p>
                          <w:p w:rsidR="00AD3D0C" w:rsidRPr="00E96856" w:rsidRDefault="00AD3D0C" w:rsidP="0047010E">
                            <w:pPr>
                              <w:rPr>
                                <w:rStyle w:val="Strong"/>
                              </w:rPr>
                            </w:pPr>
                            <w:r w:rsidRPr="00E96856">
                              <w:rPr>
                                <w:rStyle w:val="Strong"/>
                              </w:rPr>
                              <w:t xml:space="preserve">Network performance: </w:t>
                            </w:r>
                            <w:r>
                              <w:rPr>
                                <w:rStyle w:val="Strong"/>
                              </w:rPr>
                              <w:t>2012–</w:t>
                            </w:r>
                            <w:r w:rsidRPr="00E96856">
                              <w:rPr>
                                <w:rStyle w:val="Strong"/>
                              </w:rPr>
                              <w:t>13</w:t>
                            </w:r>
                          </w:p>
                          <w:p w:rsidR="00AD3D0C" w:rsidRPr="00474352" w:rsidRDefault="00AD3D0C" w:rsidP="0047010E">
                            <w:r w:rsidRPr="00474352">
                              <w:t xml:space="preserve">  Energy delivered:</w:t>
                            </w:r>
                            <w:r w:rsidRPr="00474352">
                              <w:tab/>
                            </w:r>
                            <w:r w:rsidRPr="00474352">
                              <w:tab/>
                            </w:r>
                            <w:r w:rsidRPr="00474352">
                              <w:tab/>
                            </w:r>
                            <w:r w:rsidRPr="00474352">
                              <w:tab/>
                            </w:r>
                            <w:r>
                              <w:tab/>
                            </w:r>
                            <w:r>
                              <w:tab/>
                              <w:t>no approved forecast of energy consumption</w:t>
                            </w:r>
                          </w:p>
                          <w:p w:rsidR="00AD3D0C" w:rsidRPr="00474352" w:rsidRDefault="00AD3D0C" w:rsidP="0047010E">
                            <w:r w:rsidRPr="00474352">
                              <w:t xml:space="preserve">  Capital expenditure: </w:t>
                            </w:r>
                            <w:r w:rsidRPr="00474352">
                              <w:tab/>
                            </w:r>
                            <w:r w:rsidRPr="00474352">
                              <w:tab/>
                            </w:r>
                            <w:r w:rsidRPr="00474352">
                              <w:tab/>
                            </w:r>
                            <w:r>
                              <w:tab/>
                            </w:r>
                            <w:r w:rsidRPr="00474352">
                              <w:tab/>
                            </w:r>
                            <w:r>
                              <w:t>$91 m, 22</w:t>
                            </w:r>
                            <w:r w:rsidRPr="00474352">
                              <w:t xml:space="preserve"> per cent ▼ than forecast</w:t>
                            </w:r>
                          </w:p>
                          <w:p w:rsidR="00AD3D0C" w:rsidRPr="00474352" w:rsidRDefault="00AD3D0C" w:rsidP="0047010E">
                            <w:r w:rsidRPr="00474352">
                              <w:t xml:space="preserve">  Regulatory Asset Base: </w:t>
                            </w:r>
                            <w:r w:rsidRPr="00474352">
                              <w:tab/>
                            </w:r>
                            <w:r w:rsidRPr="00474352">
                              <w:tab/>
                            </w:r>
                            <w:r>
                              <w:tab/>
                            </w:r>
                            <w:r w:rsidRPr="00474352">
                              <w:tab/>
                            </w:r>
                            <w:r>
                              <w:t>0.4</w:t>
                            </w:r>
                            <w:r w:rsidRPr="00474352">
                              <w:t xml:space="preserve"> per cent ▼ (from $</w:t>
                            </w:r>
                            <w:r>
                              <w:t>1.48bn</w:t>
                            </w:r>
                            <w:r w:rsidRPr="00474352">
                              <w:t xml:space="preserve"> to $</w:t>
                            </w:r>
                            <w:r>
                              <w:t>1.47</w:t>
                            </w:r>
                            <w:r w:rsidRPr="00474352">
                              <w:t>bn)</w:t>
                            </w:r>
                          </w:p>
                          <w:p w:rsidR="00AD3D0C" w:rsidRPr="00474352" w:rsidRDefault="00AD3D0C" w:rsidP="0047010E">
                            <w:r w:rsidRPr="00474352">
                              <w:t xml:space="preserve">  Operating expenditure: </w:t>
                            </w:r>
                            <w:r w:rsidRPr="00474352">
                              <w:tab/>
                            </w:r>
                            <w:r w:rsidRPr="00474352">
                              <w:tab/>
                            </w:r>
                            <w:r w:rsidRPr="00474352">
                              <w:tab/>
                            </w:r>
                            <w:r>
                              <w:tab/>
                              <w:t>$70 m, 3</w:t>
                            </w:r>
                            <w:r w:rsidRPr="00474352">
                              <w:t xml:space="preserve"> per cent ▼ than forecast</w:t>
                            </w:r>
                          </w:p>
                          <w:p w:rsidR="00AD3D0C" w:rsidRPr="00474352" w:rsidRDefault="00AD3D0C" w:rsidP="0047010E">
                            <w:r w:rsidRPr="00474352">
                              <w:t xml:space="preserve">  Revenue (</w:t>
                            </w:r>
                            <w:r>
                              <w:t>revenue cap</w:t>
                            </w:r>
                            <w:r w:rsidRPr="00474352">
                              <w:t xml:space="preserve">): </w:t>
                            </w:r>
                            <w:r w:rsidRPr="00474352">
                              <w:tab/>
                            </w:r>
                            <w:r w:rsidRPr="00474352">
                              <w:tab/>
                            </w:r>
                            <w:r>
                              <w:tab/>
                            </w:r>
                            <w:r>
                              <w:tab/>
                              <w:t>$266 m, 5</w:t>
                            </w:r>
                            <w:r w:rsidRPr="00474352">
                              <w:t xml:space="preserve"> per cent ▼ than forecast</w:t>
                            </w:r>
                          </w:p>
                          <w:p w:rsidR="00AD3D0C" w:rsidRDefault="00AD3D0C" w:rsidP="0047010E">
                            <w:pPr>
                              <w:rPr>
                                <w:rStyle w:val="Strong"/>
                              </w:rPr>
                            </w:pPr>
                            <w:r w:rsidRPr="00D503C8">
                              <w:rPr>
                                <w:rStyle w:val="Strong"/>
                              </w:rPr>
                              <w:t xml:space="preserve">Network reliability (normalised): </w:t>
                            </w:r>
                          </w:p>
                          <w:p w:rsidR="00AD3D0C" w:rsidRDefault="00AD3D0C" w:rsidP="0047010E">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160.9</w:t>
                            </w:r>
                            <w:r w:rsidRPr="00E96856">
                              <w:t xml:space="preserve"> minutes</w:t>
                            </w:r>
                          </w:p>
                          <w:p w:rsidR="00AD3D0C" w:rsidRDefault="00AD3D0C" w:rsidP="0047010E">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176.0</w:t>
                            </w:r>
                            <w:r w:rsidRPr="00E96856">
                              <w:t xml:space="preserve"> minutes</w:t>
                            </w:r>
                          </w:p>
                          <w:p w:rsidR="00AD3D0C" w:rsidRDefault="00AD3D0C" w:rsidP="0047010E">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1.59</w:t>
                            </w:r>
                            <w:r w:rsidRPr="00E96856">
                              <w:t xml:space="preserve"> interruptions</w:t>
                            </w:r>
                          </w:p>
                          <w:p w:rsidR="00AD3D0C" w:rsidRPr="00D503C8" w:rsidRDefault="00AD3D0C" w:rsidP="0047010E">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1.70</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pt;margin-top:25.65pt;width:492.85pt;height:6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" filled="f" strokecolor="#e7e1ef" strokeweight="3.5pt">
                <v:textbox>
                  <w:txbxContent>
                    <w:p w:rsidR="00AD3D0C" w:rsidRDefault="00AD3D0C" w:rsidP="0047010E">
                      <w:pPr>
                        <w:pStyle w:val="Heading3notnumbered"/>
                      </w:pPr>
                      <w:bookmarkStart w:id="442" w:name="_Toc413311118"/>
                      <w:bookmarkStart w:id="443" w:name="_Toc423086534"/>
                      <w:r>
                        <w:t>Network characteristics</w:t>
                      </w:r>
                      <w:bookmarkEnd w:id="442"/>
                      <w:bookmarkEnd w:id="443"/>
                    </w:p>
                    <w:p w:rsidR="00AD3D0C" w:rsidRPr="00C312BC" w:rsidRDefault="00AD3D0C" w:rsidP="0047010E">
                      <w:r w:rsidRPr="00E96856">
                        <w:rPr>
                          <w:rStyle w:val="Strong"/>
                        </w:rPr>
                        <w:t>Ownership:</w:t>
                      </w:r>
                      <w:r>
                        <w:t xml:space="preserve">  Tasmanian Government Owned Corporation</w:t>
                      </w:r>
                      <w:r w:rsidRPr="00C312BC">
                        <w:t xml:space="preserve"> </w:t>
                      </w:r>
                    </w:p>
                    <w:p w:rsidR="00AD3D0C" w:rsidRPr="00C312BC" w:rsidRDefault="00AD3D0C" w:rsidP="0047010E">
                      <w:r w:rsidRPr="00E96856">
                        <w:rPr>
                          <w:rStyle w:val="Strong"/>
                        </w:rPr>
                        <w:t>Relevant regulatory control period</w:t>
                      </w:r>
                      <w:r w:rsidRPr="00C312BC">
                        <w:t>:</w:t>
                      </w:r>
                      <w:r w:rsidRPr="00E96856">
                        <w:t xml:space="preserve"> </w:t>
                      </w:r>
                      <w:r w:rsidRPr="007834DE">
                        <w:t xml:space="preserve">1 </w:t>
                      </w:r>
                      <w:r>
                        <w:t>July 2012 –</w:t>
                      </w:r>
                      <w:r w:rsidRPr="00CB73C1">
                        <w:t xml:space="preserve"> 30 June 20</w:t>
                      </w:r>
                      <w:r>
                        <w:t>17</w:t>
                      </w:r>
                    </w:p>
                    <w:p w:rsidR="00AD3D0C" w:rsidRPr="00E96856" w:rsidRDefault="00AD3D0C" w:rsidP="0047010E">
                      <w:pPr>
                        <w:rPr>
                          <w:rStyle w:val="Strong"/>
                        </w:rPr>
                      </w:pPr>
                      <w:r w:rsidRPr="00E96856">
                        <w:rPr>
                          <w:rStyle w:val="Strong"/>
                        </w:rPr>
                        <w:t>Network profile</w:t>
                      </w:r>
                      <w:r>
                        <w:rPr>
                          <w:rStyle w:val="Strong"/>
                        </w:rPr>
                        <w:t xml:space="preserve"> 2012-13</w:t>
                      </w:r>
                    </w:p>
                    <w:p w:rsidR="00AD3D0C" w:rsidRDefault="00AD3D0C" w:rsidP="0047010E">
                      <w:pPr>
                        <w:pStyle w:val="TableofFigures"/>
                      </w:pPr>
                      <w:r>
                        <w:t xml:space="preserve">  Total distribution customers:</w:t>
                      </w:r>
                      <w:r w:rsidRPr="00C312BC">
                        <w:t xml:space="preserve"> </w:t>
                      </w:r>
                      <w:r w:rsidRPr="00C312BC">
                        <w:tab/>
                      </w:r>
                      <w:r>
                        <w:tab/>
                      </w:r>
                      <w:r>
                        <w:tab/>
                        <w:t>279,130</w:t>
                      </w:r>
                    </w:p>
                    <w:p w:rsidR="00AD3D0C" w:rsidRPr="00C312BC" w:rsidRDefault="00AD3D0C" w:rsidP="0047010E">
                      <w:pPr>
                        <w:pStyle w:val="TableofFigures"/>
                      </w:pPr>
                      <w:r w:rsidRPr="00E96856">
                        <w:t xml:space="preserve"> </w:t>
                      </w:r>
                      <w:r w:rsidRPr="0047010E">
                        <w:rPr>
                          <w:noProof/>
                          <w:lang w:eastAsia="en-AU"/>
                        </w:rPr>
                        <w:drawing>
                          <wp:inline distT="0" distB="0" distL="0" distR="0" wp14:anchorId="6C460613" wp14:editId="5563FDF6">
                            <wp:extent cx="4572000" cy="1062039"/>
                            <wp:effectExtent l="0" t="0" r="0" b="508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AD3D0C" w:rsidRDefault="00AD3D0C" w:rsidP="0047010E">
                      <w:pPr>
                        <w:pStyle w:val="TableofFigures"/>
                      </w:pPr>
                      <w:r>
                        <w:t xml:space="preserve">  </w:t>
                      </w:r>
                      <w:r w:rsidRPr="0075338F">
                        <w:t xml:space="preserve">Total line </w:t>
                      </w:r>
                      <w:r>
                        <w:t xml:space="preserve">(circuit) </w:t>
                      </w:r>
                      <w:r w:rsidRPr="0075338F">
                        <w:t>length:</w:t>
                      </w:r>
                      <w:r>
                        <w:t xml:space="preserve"> </w:t>
                      </w:r>
                      <w:r>
                        <w:tab/>
                      </w:r>
                      <w:r>
                        <w:tab/>
                      </w:r>
                      <w:r>
                        <w:tab/>
                      </w:r>
                      <w:r>
                        <w:tab/>
                        <w:t>22,336 km</w:t>
                      </w:r>
                    </w:p>
                    <w:p w:rsidR="00AD3D0C" w:rsidRDefault="00AD3D0C" w:rsidP="0047010E">
                      <w:r w:rsidRPr="0047010E">
                        <w:rPr>
                          <w:noProof/>
                          <w:lang w:eastAsia="en-AU"/>
                        </w:rPr>
                        <w:drawing>
                          <wp:inline distT="0" distB="0" distL="0" distR="0" wp14:anchorId="7812B854" wp14:editId="01367949">
                            <wp:extent cx="4572000" cy="915987"/>
                            <wp:effectExtent l="0" t="0" r="0" b="0"/>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AD3D0C" w:rsidRPr="00C312BC" w:rsidRDefault="00AD3D0C" w:rsidP="0047010E">
                      <w:r>
                        <w:t xml:space="preserve">  </w:t>
                      </w:r>
                      <w:r w:rsidRPr="000D7CD6">
                        <w:t xml:space="preserve">Customer density: </w:t>
                      </w:r>
                      <w:r w:rsidRPr="00C312BC">
                        <w:tab/>
                      </w:r>
                      <w:r w:rsidRPr="00C312BC">
                        <w:tab/>
                      </w:r>
                      <w:r>
                        <w:tab/>
                      </w:r>
                      <w:r>
                        <w:tab/>
                      </w:r>
                      <w:r>
                        <w:tab/>
                      </w:r>
                      <w:r>
                        <w:tab/>
                        <w:t>12.5</w:t>
                      </w:r>
                      <w:r w:rsidRPr="00C312BC">
                        <w:t xml:space="preserve"> customers/</w:t>
                      </w:r>
                      <w:r>
                        <w:t>km line (circuit)</w:t>
                      </w:r>
                    </w:p>
                    <w:p w:rsidR="00AD3D0C" w:rsidRPr="00E96856" w:rsidRDefault="00AD3D0C" w:rsidP="0047010E">
                      <w:pPr>
                        <w:rPr>
                          <w:rStyle w:val="Strong"/>
                        </w:rPr>
                      </w:pPr>
                      <w:r w:rsidRPr="00E96856">
                        <w:rPr>
                          <w:rStyle w:val="Strong"/>
                        </w:rPr>
                        <w:t xml:space="preserve">Network performance: </w:t>
                      </w:r>
                      <w:r>
                        <w:rPr>
                          <w:rStyle w:val="Strong"/>
                        </w:rPr>
                        <w:t>2012–</w:t>
                      </w:r>
                      <w:r w:rsidRPr="00E96856">
                        <w:rPr>
                          <w:rStyle w:val="Strong"/>
                        </w:rPr>
                        <w:t>13</w:t>
                      </w:r>
                    </w:p>
                    <w:p w:rsidR="00AD3D0C" w:rsidRPr="00474352" w:rsidRDefault="00AD3D0C" w:rsidP="0047010E">
                      <w:r w:rsidRPr="00474352">
                        <w:t xml:space="preserve">  Energy delivered:</w:t>
                      </w:r>
                      <w:r w:rsidRPr="00474352">
                        <w:tab/>
                      </w:r>
                      <w:r w:rsidRPr="00474352">
                        <w:tab/>
                      </w:r>
                      <w:r w:rsidRPr="00474352">
                        <w:tab/>
                      </w:r>
                      <w:r w:rsidRPr="00474352">
                        <w:tab/>
                      </w:r>
                      <w:r>
                        <w:tab/>
                      </w:r>
                      <w:r>
                        <w:tab/>
                        <w:t>no approved forecast of energy consumption</w:t>
                      </w:r>
                    </w:p>
                    <w:p w:rsidR="00AD3D0C" w:rsidRPr="00474352" w:rsidRDefault="00AD3D0C" w:rsidP="0047010E">
                      <w:r w:rsidRPr="00474352">
                        <w:t xml:space="preserve">  Capital expenditure: </w:t>
                      </w:r>
                      <w:r w:rsidRPr="00474352">
                        <w:tab/>
                      </w:r>
                      <w:r w:rsidRPr="00474352">
                        <w:tab/>
                      </w:r>
                      <w:r w:rsidRPr="00474352">
                        <w:tab/>
                      </w:r>
                      <w:r>
                        <w:tab/>
                      </w:r>
                      <w:r w:rsidRPr="00474352">
                        <w:tab/>
                      </w:r>
                      <w:r>
                        <w:t>$91 m, 22</w:t>
                      </w:r>
                      <w:r w:rsidRPr="00474352">
                        <w:t xml:space="preserve"> per cent ▼ than forecast</w:t>
                      </w:r>
                    </w:p>
                    <w:p w:rsidR="00AD3D0C" w:rsidRPr="00474352" w:rsidRDefault="00AD3D0C" w:rsidP="0047010E">
                      <w:r w:rsidRPr="00474352">
                        <w:t xml:space="preserve">  Regulatory Asset Base: </w:t>
                      </w:r>
                      <w:r w:rsidRPr="00474352">
                        <w:tab/>
                      </w:r>
                      <w:r w:rsidRPr="00474352">
                        <w:tab/>
                      </w:r>
                      <w:r>
                        <w:tab/>
                      </w:r>
                      <w:r w:rsidRPr="00474352">
                        <w:tab/>
                      </w:r>
                      <w:r>
                        <w:t>0.4</w:t>
                      </w:r>
                      <w:r w:rsidRPr="00474352">
                        <w:t xml:space="preserve"> per cent ▼ (from $</w:t>
                      </w:r>
                      <w:r>
                        <w:t>1.48bn</w:t>
                      </w:r>
                      <w:r w:rsidRPr="00474352">
                        <w:t xml:space="preserve"> to $</w:t>
                      </w:r>
                      <w:r>
                        <w:t>1.47</w:t>
                      </w:r>
                      <w:r w:rsidRPr="00474352">
                        <w:t>bn)</w:t>
                      </w:r>
                    </w:p>
                    <w:p w:rsidR="00AD3D0C" w:rsidRPr="00474352" w:rsidRDefault="00AD3D0C" w:rsidP="0047010E">
                      <w:r w:rsidRPr="00474352">
                        <w:t xml:space="preserve">  Operating expenditure: </w:t>
                      </w:r>
                      <w:r w:rsidRPr="00474352">
                        <w:tab/>
                      </w:r>
                      <w:r w:rsidRPr="00474352">
                        <w:tab/>
                      </w:r>
                      <w:r w:rsidRPr="00474352">
                        <w:tab/>
                      </w:r>
                      <w:r>
                        <w:tab/>
                        <w:t>$70 m, 3</w:t>
                      </w:r>
                      <w:r w:rsidRPr="00474352">
                        <w:t xml:space="preserve"> per cent ▼ than forecast</w:t>
                      </w:r>
                    </w:p>
                    <w:p w:rsidR="00AD3D0C" w:rsidRPr="00474352" w:rsidRDefault="00AD3D0C" w:rsidP="0047010E">
                      <w:r w:rsidRPr="00474352">
                        <w:t xml:space="preserve">  Revenue (</w:t>
                      </w:r>
                      <w:r>
                        <w:t>revenue cap</w:t>
                      </w:r>
                      <w:r w:rsidRPr="00474352">
                        <w:t xml:space="preserve">): </w:t>
                      </w:r>
                      <w:r w:rsidRPr="00474352">
                        <w:tab/>
                      </w:r>
                      <w:r w:rsidRPr="00474352">
                        <w:tab/>
                      </w:r>
                      <w:r>
                        <w:tab/>
                      </w:r>
                      <w:r>
                        <w:tab/>
                        <w:t>$266 m, 5</w:t>
                      </w:r>
                      <w:r w:rsidRPr="00474352">
                        <w:t xml:space="preserve"> per cent ▼ than forecast</w:t>
                      </w:r>
                    </w:p>
                    <w:p w:rsidR="00AD3D0C" w:rsidRDefault="00AD3D0C" w:rsidP="0047010E">
                      <w:pPr>
                        <w:rPr>
                          <w:rStyle w:val="Strong"/>
                        </w:rPr>
                      </w:pPr>
                      <w:r w:rsidRPr="00D503C8">
                        <w:rPr>
                          <w:rStyle w:val="Strong"/>
                        </w:rPr>
                        <w:t xml:space="preserve">Network reliability (normalised): </w:t>
                      </w:r>
                    </w:p>
                    <w:p w:rsidR="00AD3D0C" w:rsidRDefault="00AD3D0C" w:rsidP="0047010E">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160.9</w:t>
                      </w:r>
                      <w:r w:rsidRPr="00E96856">
                        <w:t xml:space="preserve"> minutes</w:t>
                      </w:r>
                    </w:p>
                    <w:p w:rsidR="00AD3D0C" w:rsidRDefault="00AD3D0C" w:rsidP="0047010E">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176.0</w:t>
                      </w:r>
                      <w:r w:rsidRPr="00E96856">
                        <w:t xml:space="preserve"> minutes</w:t>
                      </w:r>
                    </w:p>
                    <w:p w:rsidR="00AD3D0C" w:rsidRDefault="00AD3D0C" w:rsidP="0047010E">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1.59</w:t>
                      </w:r>
                      <w:r w:rsidRPr="00E96856">
                        <w:t xml:space="preserve"> interruptions</w:t>
                      </w:r>
                    </w:p>
                    <w:p w:rsidR="00AD3D0C" w:rsidRPr="00D503C8" w:rsidRDefault="00AD3D0C" w:rsidP="0047010E">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1.70</w:t>
                      </w:r>
                      <w:r w:rsidRPr="00E96856">
                        <w:t xml:space="preserve"> interruptions</w:t>
                      </w:r>
                    </w:p>
                  </w:txbxContent>
                </v:textbox>
                <w10:wrap type="tight"/>
              </v:shape>
            </w:pict>
          </mc:Fallback>
        </mc:AlternateContent>
      </w:r>
      <w:r w:rsidR="00AE2FC7">
        <w:t>TasNetworks (formerly Aurora Energy)</w:t>
      </w:r>
      <w:bookmarkEnd w:id="420"/>
      <w:bookmarkEnd w:id="421"/>
      <w:r w:rsidRPr="0047010E">
        <w:t xml:space="preserve"> </w:t>
      </w:r>
    </w:p>
    <w:p w:rsidR="00AE2FC7" w:rsidRDefault="00AE2FC7" w:rsidP="00592413">
      <w:pPr>
        <w:pStyle w:val="Heading3"/>
      </w:pPr>
      <w:bookmarkStart w:id="424" w:name="_Toc409771692"/>
      <w:bookmarkStart w:id="425" w:name="_Toc412790641"/>
      <w:bookmarkStart w:id="426" w:name="_Toc413062122"/>
      <w:bookmarkStart w:id="427" w:name="_Toc413311119"/>
      <w:bookmarkStart w:id="428" w:name="_Toc423086535"/>
      <w:r>
        <w:t>Regulation</w:t>
      </w:r>
      <w:bookmarkEnd w:id="424"/>
      <w:bookmarkEnd w:id="425"/>
      <w:bookmarkEnd w:id="426"/>
      <w:bookmarkEnd w:id="427"/>
      <w:bookmarkEnd w:id="428"/>
    </w:p>
    <w:p w:rsidR="00AE2FC7" w:rsidRPr="00C40D18" w:rsidRDefault="002767AE" w:rsidP="00AE2FC7">
      <w:r>
        <w:t>From 1 July</w:t>
      </w:r>
      <w:r w:rsidR="00AE2FC7" w:rsidRPr="00C40D18">
        <w:t xml:space="preserve"> 2012 </w:t>
      </w:r>
      <w:r>
        <w:t>we have</w:t>
      </w:r>
      <w:r w:rsidR="00AE2FC7" w:rsidRPr="00C40D18">
        <w:t xml:space="preserve"> been responsible for the economic regulation of electricity distribution services provided by TasNetworks (previously Aurora Distribution). Previously the Office of the Tasmanian Economic Regulator (OTTER) was the responsible regulator.</w:t>
      </w:r>
    </w:p>
    <w:p w:rsidR="00AE2FC7" w:rsidRDefault="00AE2FC7" w:rsidP="00592413">
      <w:pPr>
        <w:pStyle w:val="Heading3"/>
      </w:pPr>
      <w:bookmarkStart w:id="429" w:name="_Toc409771693"/>
      <w:bookmarkStart w:id="430" w:name="_Toc412790642"/>
      <w:bookmarkStart w:id="431" w:name="_Toc413062123"/>
      <w:bookmarkStart w:id="432" w:name="_Toc413311120"/>
      <w:bookmarkStart w:id="433" w:name="_Toc423086536"/>
      <w:r>
        <w:t>Energy delivered</w:t>
      </w:r>
      <w:bookmarkEnd w:id="429"/>
      <w:bookmarkEnd w:id="430"/>
      <w:bookmarkEnd w:id="431"/>
      <w:bookmarkEnd w:id="432"/>
      <w:bookmarkEnd w:id="433"/>
    </w:p>
    <w:p w:rsidR="00AE2FC7" w:rsidRPr="00C40D18" w:rsidRDefault="00AE2FC7" w:rsidP="00AE2FC7">
      <w:r w:rsidRPr="00C40D18">
        <w:t>TasNetworks has delivered progressively less energy in each year since 2008</w:t>
      </w:r>
      <w:r w:rsidR="007A3240">
        <w:t>–</w:t>
      </w:r>
      <w:r w:rsidRPr="00C40D18">
        <w:t>09 (</w:t>
      </w:r>
      <w:r>
        <w:t>Figure 9</w:t>
      </w:r>
      <w:r w:rsidRPr="00C40D18">
        <w:t>–7</w:t>
      </w:r>
      <w:r w:rsidR="00312AF7">
        <w:t>1</w:t>
      </w:r>
      <w:r w:rsidRPr="00C40D18">
        <w:t xml:space="preserve">). </w:t>
      </w:r>
      <w:r w:rsidR="000D3019">
        <w:t xml:space="preserve">We </w:t>
      </w:r>
      <w:r w:rsidRPr="00C40D18">
        <w:t xml:space="preserve">did not include a forecast of energy consumption in </w:t>
      </w:r>
      <w:r w:rsidR="000D3019">
        <w:t xml:space="preserve">our </w:t>
      </w:r>
      <w:r w:rsidRPr="00C40D18">
        <w:t>2012 distribution determination.</w:t>
      </w:r>
    </w:p>
    <w:p w:rsidR="00EF1100" w:rsidRPr="00C40D18" w:rsidRDefault="00EF1100" w:rsidP="00EF1100">
      <w:r w:rsidRPr="00C40D18">
        <w:t xml:space="preserve">TasNetworks indicated the declining trend in energy delivered is due to customers responding to price rises by reducing consumption. </w:t>
      </w:r>
      <w:r>
        <w:t>It</w:t>
      </w:r>
      <w:r w:rsidRPr="00C40D18">
        <w:t xml:space="preserve"> also noted the growing contribution from solar PV, increased customer awareness, and an uptake of energy efficient appliances has contributed to the decline in energy delivered.</w:t>
      </w:r>
    </w:p>
    <w:p w:rsidR="00AE2FC7" w:rsidRPr="00C40D18" w:rsidRDefault="00AE2FC7" w:rsidP="00972E3F">
      <w:pPr>
        <w:pStyle w:val="Caption"/>
      </w:pPr>
      <w:r>
        <w:t>Figure 9</w:t>
      </w:r>
      <w:r w:rsidRPr="00C40D18">
        <w:t>–7</w:t>
      </w:r>
      <w:r w:rsidR="00312AF7">
        <w:t>1</w:t>
      </w:r>
      <w:r w:rsidR="001040D5">
        <w:tab/>
      </w:r>
      <w:r w:rsidRPr="00C40D18">
        <w:t xml:space="preserve">Energy delivered </w:t>
      </w:r>
      <w:r w:rsidR="007A3240">
        <w:t>–</w:t>
      </w:r>
      <w:r w:rsidRPr="00C40D18">
        <w:t xml:space="preserve"> TasNetworks</w:t>
      </w:r>
    </w:p>
    <w:p w:rsidR="009F2A03" w:rsidRDefault="009F2A03" w:rsidP="00AE2FC7">
      <w:r w:rsidRPr="009F2A03">
        <w:rPr>
          <w:noProof/>
          <w:lang w:eastAsia="en-AU"/>
        </w:rPr>
        <w:drawing>
          <wp:inline distT="0" distB="0" distL="0" distR="0" wp14:anchorId="2B114898" wp14:editId="511ABFEA">
            <wp:extent cx="4572000" cy="2654300"/>
            <wp:effectExtent l="0" t="0" r="0" b="0"/>
            <wp:docPr id="410" name="Chart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AE2FC7" w:rsidRPr="00C40D18" w:rsidRDefault="00AE2FC7" w:rsidP="00AE2FC7">
      <w:r w:rsidRPr="00C40D18">
        <w:t xml:space="preserve">Chapter 4 </w:t>
      </w:r>
      <w:r w:rsidR="009E3ACF">
        <w:t xml:space="preserve">contains our </w:t>
      </w:r>
      <w:r w:rsidRPr="00C40D18">
        <w:t xml:space="preserve">assessment of energy delivered for all DNSPs in the NEM. </w:t>
      </w:r>
    </w:p>
    <w:p w:rsidR="00AE2FC7" w:rsidRDefault="00AE2FC7" w:rsidP="00592413">
      <w:pPr>
        <w:pStyle w:val="Heading3"/>
      </w:pPr>
      <w:bookmarkStart w:id="434" w:name="_Toc409771694"/>
      <w:bookmarkStart w:id="435" w:name="_Toc412790643"/>
      <w:bookmarkStart w:id="436" w:name="_Toc413062124"/>
      <w:bookmarkStart w:id="437" w:name="_Toc413311121"/>
      <w:bookmarkStart w:id="438" w:name="_Toc423086537"/>
      <w:r>
        <w:t>Demand</w:t>
      </w:r>
      <w:bookmarkEnd w:id="434"/>
      <w:bookmarkEnd w:id="435"/>
      <w:bookmarkEnd w:id="436"/>
      <w:bookmarkEnd w:id="437"/>
      <w:bookmarkEnd w:id="438"/>
    </w:p>
    <w:p w:rsidR="00AE2FC7" w:rsidRPr="00C40D18" w:rsidRDefault="00AE2FC7" w:rsidP="00AE2FC7">
      <w:r w:rsidRPr="00C40D18">
        <w:t>TasNetworks has reported a lower maximum demand in each successive year since 2008</w:t>
      </w:r>
      <w:r w:rsidR="007A3240">
        <w:t>–</w:t>
      </w:r>
      <w:r w:rsidRPr="00C40D18">
        <w:t>09 (</w:t>
      </w:r>
      <w:r>
        <w:t>Figure 9</w:t>
      </w:r>
      <w:r w:rsidRPr="00C40D18">
        <w:t>–7</w:t>
      </w:r>
      <w:r w:rsidR="00312AF7">
        <w:t>2</w:t>
      </w:r>
      <w:r w:rsidRPr="00C40D18">
        <w:t>). Despite this declining trend, maximum demand was forecast to increase in each year of TasNetworks' 2012</w:t>
      </w:r>
      <w:r w:rsidR="007A3240">
        <w:t>–</w:t>
      </w:r>
      <w:r w:rsidRPr="00C40D18">
        <w:t>17 regulatory control period.</w:t>
      </w:r>
    </w:p>
    <w:p w:rsidR="00EF1100" w:rsidRPr="00C40D18" w:rsidRDefault="00EF1100" w:rsidP="00EF1100">
      <w:r w:rsidRPr="00C40D18">
        <w:t>TasNetworks assumed customers have reduced consumption in response to successive price rises in previous years. Major industrial and commercial customers have also responded through investment in new technologies. Higher prices in recent years have increased overall customer awareness and uptake of energy efficient appliances.</w:t>
      </w:r>
    </w:p>
    <w:p w:rsidR="00EF1100" w:rsidRPr="00C40D18" w:rsidRDefault="00EF1100" w:rsidP="00EF1100">
      <w:r w:rsidRPr="00C40D18">
        <w:t>TasNetworks noted the availability of Time of Use (TOU) pricing to commercial and irrigation customers contributed to a shift in consumption during non</w:t>
      </w:r>
      <w:r>
        <w:t>–</w:t>
      </w:r>
      <w:r w:rsidRPr="00C40D18">
        <w:t>peak periods.</w:t>
      </w:r>
    </w:p>
    <w:p w:rsidR="00AE2FC7" w:rsidRPr="00C40D18" w:rsidRDefault="00AE2FC7" w:rsidP="00972E3F">
      <w:pPr>
        <w:pStyle w:val="Caption"/>
      </w:pPr>
      <w:r>
        <w:t>Figure 9</w:t>
      </w:r>
      <w:r w:rsidRPr="00C40D18">
        <w:t>–7</w:t>
      </w:r>
      <w:r w:rsidR="00312AF7">
        <w:t>2</w:t>
      </w:r>
      <w:r w:rsidRPr="00C40D18">
        <w:tab/>
        <w:t xml:space="preserve">Maximum demand </w:t>
      </w:r>
      <w:r w:rsidR="007A3240">
        <w:t>–</w:t>
      </w:r>
      <w:r w:rsidRPr="00C40D18">
        <w:t xml:space="preserve"> TasNetworks</w:t>
      </w:r>
    </w:p>
    <w:p w:rsidR="009F2A03" w:rsidRDefault="009F2A03" w:rsidP="00AE2FC7">
      <w:r w:rsidRPr="009F2A03">
        <w:rPr>
          <w:noProof/>
          <w:lang w:eastAsia="en-AU"/>
        </w:rPr>
        <w:drawing>
          <wp:inline distT="0" distB="0" distL="0" distR="0" wp14:anchorId="0A4165E7" wp14:editId="09EF05FE">
            <wp:extent cx="4572000" cy="2654300"/>
            <wp:effectExtent l="0" t="0" r="0" b="0"/>
            <wp:docPr id="411" name="Chart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AE2FC7" w:rsidRPr="00C40D18" w:rsidRDefault="00AE2FC7" w:rsidP="00AE2FC7">
      <w:r w:rsidRPr="00C40D18">
        <w:t xml:space="preserve">Chapter 4 </w:t>
      </w:r>
      <w:r w:rsidR="009E3ACF">
        <w:t xml:space="preserve">contains our </w:t>
      </w:r>
      <w:r w:rsidRPr="00C40D18">
        <w:t xml:space="preserve">assessment of maximum demand for all DNSPs in the NEM. </w:t>
      </w:r>
    </w:p>
    <w:p w:rsidR="00AE2FC7" w:rsidRDefault="00AE2FC7" w:rsidP="00592413">
      <w:pPr>
        <w:pStyle w:val="Heading3"/>
      </w:pPr>
      <w:bookmarkStart w:id="439" w:name="_Toc409771695"/>
      <w:bookmarkStart w:id="440" w:name="_Toc412790644"/>
      <w:bookmarkStart w:id="441" w:name="_Toc413062125"/>
      <w:bookmarkStart w:id="442" w:name="_Toc413311122"/>
      <w:bookmarkStart w:id="443" w:name="_Toc423086538"/>
      <w:r>
        <w:t>Expenditure and revenue</w:t>
      </w:r>
      <w:bookmarkEnd w:id="439"/>
      <w:bookmarkEnd w:id="440"/>
      <w:bookmarkEnd w:id="441"/>
      <w:bookmarkEnd w:id="442"/>
      <w:bookmarkEnd w:id="443"/>
    </w:p>
    <w:p w:rsidR="00AE2FC7" w:rsidRPr="00C40D18" w:rsidRDefault="00AE2FC7" w:rsidP="00AE2FC7">
      <w:pPr>
        <w:pStyle w:val="Heading4notnumbered"/>
      </w:pPr>
      <w:r w:rsidRPr="00C40D18">
        <w:t>Capital expenditure</w:t>
      </w:r>
    </w:p>
    <w:p w:rsidR="00AE2FC7" w:rsidRPr="00C40D18" w:rsidRDefault="00AE2FC7" w:rsidP="00AE2FC7">
      <w:r w:rsidRPr="00C40D18">
        <w:t>TasNetworks' total capital expenditure in the first year of the 2012</w:t>
      </w:r>
      <w:r w:rsidR="007A3240">
        <w:t>–</w:t>
      </w:r>
      <w:r w:rsidRPr="00C40D18">
        <w:t xml:space="preserve">17 regulatory control period was approximately 22 per cent lower than </w:t>
      </w:r>
      <w:r w:rsidR="00DD4FC1">
        <w:t>our approved</w:t>
      </w:r>
      <w:r w:rsidRPr="00C40D18">
        <w:t xml:space="preserve"> forecast (</w:t>
      </w:r>
      <w:r>
        <w:t>Figure 9</w:t>
      </w:r>
      <w:r w:rsidRPr="00C40D18">
        <w:t>–</w:t>
      </w:r>
      <w:r w:rsidR="00312AF7">
        <w:t>73</w:t>
      </w:r>
      <w:r w:rsidRPr="00C40D18">
        <w:t>).</w:t>
      </w:r>
    </w:p>
    <w:p w:rsidR="00AE2FC7" w:rsidRPr="00C40D18" w:rsidRDefault="00AE2FC7" w:rsidP="00972E3F">
      <w:pPr>
        <w:pStyle w:val="Caption"/>
      </w:pPr>
      <w:r>
        <w:t>Figure 9</w:t>
      </w:r>
      <w:r w:rsidRPr="00C40D18">
        <w:t>–</w:t>
      </w:r>
      <w:r w:rsidR="00312AF7">
        <w:t>73</w:t>
      </w:r>
      <w:r w:rsidRPr="00C40D18">
        <w:tab/>
        <w:t xml:space="preserve">Capital expenditure (excluding customer contributions) </w:t>
      </w:r>
      <w:r w:rsidR="007A3240">
        <w:t>–</w:t>
      </w:r>
      <w:r w:rsidRPr="00C40D18">
        <w:t xml:space="preserve"> TasNetworks</w:t>
      </w:r>
    </w:p>
    <w:p w:rsidR="009F2A03" w:rsidRDefault="009F2A03" w:rsidP="00592413">
      <w:pPr>
        <w:pStyle w:val="Caption"/>
        <w:keepNext w:val="0"/>
      </w:pPr>
      <w:r w:rsidRPr="009F2A03">
        <w:rPr>
          <w:noProof/>
          <w:lang w:eastAsia="en-AU"/>
        </w:rPr>
        <w:drawing>
          <wp:inline distT="0" distB="0" distL="0" distR="0" wp14:anchorId="31C5A828" wp14:editId="06D0D9EE">
            <wp:extent cx="4572000" cy="2647950"/>
            <wp:effectExtent l="0" t="0" r="0" b="0"/>
            <wp:docPr id="412" name="Chart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2712DB" w:rsidRPr="00C40D18" w:rsidRDefault="002712DB" w:rsidP="002712DB">
      <w:r w:rsidRPr="00C40D18">
        <w:t xml:space="preserve">TasNetworks indicated that in 2010 it developed a new strategy in response to internal and external drivers and the public response to Tasmania’s increasing electricity prices. The distribution business submitted a regulatory proposal to </w:t>
      </w:r>
      <w:r>
        <w:t xml:space="preserve">us </w:t>
      </w:r>
      <w:r w:rsidRPr="00C40D18">
        <w:t>driven by the strategic objective of no price increases to customers.</w:t>
      </w:r>
      <w:r>
        <w:t xml:space="preserve"> </w:t>
      </w:r>
      <w:r w:rsidRPr="00C40D18">
        <w:t>As a result the distribution business embarked on cost savings and finding non</w:t>
      </w:r>
      <w:r>
        <w:t>–</w:t>
      </w:r>
      <w:r w:rsidRPr="00C40D18">
        <w:t>network solutions to resolving any network constraints.</w:t>
      </w:r>
      <w:r>
        <w:t xml:space="preserve"> </w:t>
      </w:r>
      <w:r w:rsidRPr="00C40D18">
        <w:t>The business had also entered a new phase given the prior year’s investment in its network, which allowed the business to focus on network asset productivity, and maintenance based on condition assessments.</w:t>
      </w:r>
    </w:p>
    <w:p w:rsidR="002712DB" w:rsidRPr="00C40D18" w:rsidRDefault="002712DB" w:rsidP="002712DB">
      <w:r>
        <w:t>TasNetworks</w:t>
      </w:r>
      <w:r w:rsidRPr="00C40D18">
        <w:t xml:space="preserve"> </w:t>
      </w:r>
      <w:r>
        <w:t>stated its</w:t>
      </w:r>
      <w:r w:rsidRPr="00C40D18">
        <w:t xml:space="preserve"> customer focussed approach has seen</w:t>
      </w:r>
      <w:r>
        <w:t xml:space="preserve"> it</w:t>
      </w:r>
      <w:r w:rsidRPr="00C40D18">
        <w:t xml:space="preserve"> investigate every reasonable opportunity to reduce capital expenditure.</w:t>
      </w:r>
      <w:r>
        <w:t xml:space="preserve"> </w:t>
      </w:r>
      <w:r w:rsidRPr="00C40D18">
        <w:t>Further, falling economic conditions and a more 'user pays' approach to building new customer connections, resulted in a reduction of customer generated capital expenditure.</w:t>
      </w:r>
    </w:p>
    <w:p w:rsidR="008C3E81" w:rsidRPr="00C40D18" w:rsidRDefault="008C3E81" w:rsidP="008C3E81">
      <w:r w:rsidRPr="00C40D18">
        <w:t>TasNetworks indicated the following reasons for its underspending on capital projects in 2012</w:t>
      </w:r>
      <w:r>
        <w:t>–</w:t>
      </w:r>
      <w:r w:rsidRPr="00C40D18">
        <w:t>13</w:t>
      </w:r>
      <w:r>
        <w:t xml:space="preserve"> (Figure 9–74)</w:t>
      </w:r>
      <w:r w:rsidRPr="00C40D18">
        <w:t>:</w:t>
      </w:r>
    </w:p>
    <w:p w:rsidR="008C3E81" w:rsidRPr="00C40D18" w:rsidRDefault="008C3E81" w:rsidP="004C50CC">
      <w:pPr>
        <w:pStyle w:val="ListBullet"/>
      </w:pPr>
      <w:r>
        <w:t>c</w:t>
      </w:r>
      <w:r w:rsidRPr="00C40D18">
        <w:t>ustomer initiated work impacted by the weakened state economy</w:t>
      </w:r>
    </w:p>
    <w:p w:rsidR="008C3E81" w:rsidRPr="00C40D18" w:rsidRDefault="00012BED" w:rsidP="004C50CC">
      <w:pPr>
        <w:pStyle w:val="ListBullet"/>
      </w:pPr>
      <w:r>
        <w:t>B</w:t>
      </w:r>
      <w:r w:rsidRPr="00C40D18">
        <w:t>ellerive</w:t>
      </w:r>
      <w:r w:rsidR="008C3E81" w:rsidRPr="00C40D18">
        <w:t xml:space="preserve"> Zone Location of Eastern Shore zone substation changed to Rosny and construction deferred one year</w:t>
      </w:r>
    </w:p>
    <w:p w:rsidR="008C3E81" w:rsidRPr="00C40D18" w:rsidRDefault="008C3E81" w:rsidP="004C50CC">
      <w:pPr>
        <w:pStyle w:val="ListBullet"/>
      </w:pPr>
      <w:r>
        <w:t>d</w:t>
      </w:r>
      <w:r w:rsidRPr="00C40D18">
        <w:t>eferral of zone substation land purchase by one year</w:t>
      </w:r>
    </w:p>
    <w:p w:rsidR="008C3E81" w:rsidRPr="00C40D18" w:rsidRDefault="008C3E81" w:rsidP="004C50CC">
      <w:pPr>
        <w:pStyle w:val="ListBullet"/>
      </w:pPr>
      <w:r w:rsidRPr="00C40D18">
        <w:t>HV feeder and distribution transformer upgrades reduced due to steady/slightly lower demand.</w:t>
      </w:r>
    </w:p>
    <w:p w:rsidR="00AE2FC7" w:rsidRPr="00C40D18" w:rsidRDefault="00AE2FC7" w:rsidP="00972E3F">
      <w:pPr>
        <w:pStyle w:val="Caption"/>
      </w:pPr>
      <w:r>
        <w:t>Figure 9</w:t>
      </w:r>
      <w:r w:rsidRPr="00C40D18">
        <w:t>–</w:t>
      </w:r>
      <w:r w:rsidR="00312AF7">
        <w:t>74</w:t>
      </w:r>
      <w:r w:rsidRPr="00C40D18">
        <w:tab/>
        <w:t xml:space="preserve">Capital expenditure by purpose (including customer contributions) </w:t>
      </w:r>
      <w:r w:rsidR="007A3240">
        <w:t>–</w:t>
      </w:r>
      <w:r w:rsidRPr="00C40D18">
        <w:t xml:space="preserve"> TasNetworks</w:t>
      </w:r>
    </w:p>
    <w:p w:rsidR="009F2A03" w:rsidRDefault="009F2A03" w:rsidP="00AE2FC7">
      <w:r w:rsidRPr="009F2A03">
        <w:rPr>
          <w:noProof/>
          <w:lang w:eastAsia="en-AU"/>
        </w:rPr>
        <w:drawing>
          <wp:inline distT="0" distB="0" distL="0" distR="0" wp14:anchorId="1545394F" wp14:editId="1BB447DF">
            <wp:extent cx="4572000" cy="2654300"/>
            <wp:effectExtent l="0" t="0" r="0" b="0"/>
            <wp:docPr id="413" name="Chart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AE2FC7" w:rsidRPr="00C40D18" w:rsidRDefault="00AE2FC7" w:rsidP="00AE2FC7">
      <w:r w:rsidRPr="00C40D18">
        <w:t xml:space="preserve">Chapter 5 provides a description of how DNSPs fund their expenditure on investment projects (capital expenditure) and a comparative assessment of capital expenditure for all DNSPs in the NEM. </w:t>
      </w:r>
    </w:p>
    <w:p w:rsidR="00AE2FC7" w:rsidRPr="00C40D18" w:rsidRDefault="00AE2FC7" w:rsidP="00AE2FC7">
      <w:pPr>
        <w:pStyle w:val="Heading4notnumbered"/>
      </w:pPr>
      <w:r w:rsidRPr="00C40D18">
        <w:t>Regulatory asset base</w:t>
      </w:r>
    </w:p>
    <w:p w:rsidR="00AE2FC7" w:rsidRPr="00C40D18" w:rsidRDefault="00AE2FC7" w:rsidP="00AE2FC7">
      <w:r w:rsidRPr="00C40D18">
        <w:t>TasNetworks' RAB decreased slightly in the first year of the 2012</w:t>
      </w:r>
      <w:r w:rsidR="007A3240">
        <w:t>–</w:t>
      </w:r>
      <w:r w:rsidRPr="00C40D18">
        <w:t>17 regulatory control period. TasNetworks' RAB was forecast to increase by 9 per cent in this period.</w:t>
      </w:r>
      <w:r w:rsidR="00845737">
        <w:t xml:space="preserve"> </w:t>
      </w:r>
      <w:r w:rsidRPr="00C40D18">
        <w:t>TasNetworks' RAB contracted from approximately $1.48 billion at the end of 2011</w:t>
      </w:r>
      <w:r w:rsidR="007A3240">
        <w:t>–</w:t>
      </w:r>
      <w:r w:rsidRPr="00C40D18">
        <w:t>12 to approximately $1.47 billion at the end of 2012</w:t>
      </w:r>
      <w:r w:rsidR="007A3240">
        <w:t>–</w:t>
      </w:r>
      <w:r w:rsidRPr="00C40D18">
        <w:t>13 (</w:t>
      </w:r>
      <w:r>
        <w:t>Figure 9</w:t>
      </w:r>
      <w:r w:rsidRPr="00C40D18">
        <w:t>–</w:t>
      </w:r>
      <w:r w:rsidR="00312AF7">
        <w:t>7</w:t>
      </w:r>
      <w:r w:rsidR="00A136C6">
        <w:t>5</w:t>
      </w:r>
      <w:r w:rsidRPr="00C40D18">
        <w:t xml:space="preserve">). </w:t>
      </w:r>
    </w:p>
    <w:p w:rsidR="00AE2FC7" w:rsidRPr="00C40D18" w:rsidRDefault="00AE2FC7" w:rsidP="00972E3F">
      <w:pPr>
        <w:pStyle w:val="Caption"/>
      </w:pPr>
      <w:r>
        <w:t>Figure 9</w:t>
      </w:r>
      <w:r w:rsidRPr="00C40D18">
        <w:t>–</w:t>
      </w:r>
      <w:r w:rsidR="00312AF7">
        <w:t>7</w:t>
      </w:r>
      <w:r w:rsidR="00A136C6">
        <w:t>5</w:t>
      </w:r>
      <w:r w:rsidR="001040D5">
        <w:tab/>
      </w:r>
      <w:r w:rsidRPr="00C40D18">
        <w:t xml:space="preserve">Regulatory asset base </w:t>
      </w:r>
      <w:r w:rsidR="007A3240">
        <w:t>–</w:t>
      </w:r>
      <w:r w:rsidRPr="00C40D18">
        <w:t xml:space="preserve"> TasNetworks</w:t>
      </w:r>
    </w:p>
    <w:p w:rsidR="009F2A03" w:rsidRDefault="00312AF7" w:rsidP="00AE2FC7">
      <w:r>
        <w:t xml:space="preserve"> </w:t>
      </w:r>
    </w:p>
    <w:p w:rsidR="009F2A03" w:rsidRDefault="009F2A03" w:rsidP="00AE2FC7">
      <w:r w:rsidRPr="009F2A03">
        <w:rPr>
          <w:noProof/>
          <w:lang w:eastAsia="en-AU"/>
        </w:rPr>
        <w:drawing>
          <wp:inline distT="0" distB="0" distL="0" distR="0" wp14:anchorId="6E35E404" wp14:editId="24795B86">
            <wp:extent cx="4572000" cy="2654300"/>
            <wp:effectExtent l="0" t="0" r="0" b="0"/>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AE2FC7" w:rsidRPr="00C40D18" w:rsidRDefault="00AE2FC7" w:rsidP="00AE2FC7">
      <w:r w:rsidRPr="00C40D18">
        <w:t>The difference between the forecast RAB and the actual value of TasNetworks' RAB is consistent with its underspending on capital in the first year of the 2012</w:t>
      </w:r>
      <w:r w:rsidR="007A3240">
        <w:t>–</w:t>
      </w:r>
      <w:r w:rsidRPr="00C40D18">
        <w:t>17 regulatory control period.</w:t>
      </w:r>
    </w:p>
    <w:p w:rsidR="00AE2FC7" w:rsidRPr="00C40D18" w:rsidRDefault="00AE2FC7" w:rsidP="00AE2FC7">
      <w:pPr>
        <w:pStyle w:val="Heading4notnumbered"/>
      </w:pPr>
      <w:r w:rsidRPr="00C40D18">
        <w:t>Operating expenditure</w:t>
      </w:r>
    </w:p>
    <w:p w:rsidR="00AE2FC7" w:rsidRPr="00C40D18" w:rsidRDefault="00AE2FC7" w:rsidP="00AE2FC7">
      <w:r w:rsidRPr="00C40D18">
        <w:t>TasNetworks' total operating expenditure in the first year of the 2012</w:t>
      </w:r>
      <w:r w:rsidR="007A3240">
        <w:t>–</w:t>
      </w:r>
      <w:r w:rsidRPr="00C40D18">
        <w:t xml:space="preserve">17 regulatory control period was approximately 3 per cent lower than </w:t>
      </w:r>
      <w:r w:rsidR="00DD4FC1">
        <w:t>our approved</w:t>
      </w:r>
      <w:r w:rsidRPr="00C40D18">
        <w:t xml:space="preserve"> forecast (</w:t>
      </w:r>
      <w:r>
        <w:t>Figure 9</w:t>
      </w:r>
      <w:r w:rsidRPr="00C40D18">
        <w:t>–</w:t>
      </w:r>
      <w:r w:rsidR="00312AF7">
        <w:t>7</w:t>
      </w:r>
      <w:r w:rsidR="00A136C6">
        <w:t>6</w:t>
      </w:r>
      <w:r w:rsidRPr="00C40D18">
        <w:t>).</w:t>
      </w:r>
    </w:p>
    <w:p w:rsidR="002712DB" w:rsidRPr="00C40D18" w:rsidRDefault="002712DB" w:rsidP="002712DB">
      <w:r w:rsidRPr="00C40D18">
        <w:t>TasNetworks indicated as with its capital expenditure, every effort was made to reduce operating expenditure, given its more direct correlation to customer electricity prices. TasNetworks' distribution business went through a number of significant restructures and redundancy costs have added to prior years' operating expenditure.</w:t>
      </w:r>
      <w:r>
        <w:t xml:space="preserve"> </w:t>
      </w:r>
      <w:r w:rsidRPr="00C40D18">
        <w:t xml:space="preserve">TasNetworks </w:t>
      </w:r>
      <w:r>
        <w:t>stated</w:t>
      </w:r>
      <w:r w:rsidRPr="00C40D18">
        <w:t xml:space="preserve"> it will continue to explore opportunities to reduce operating expenditure and operate in the most efficient manner.</w:t>
      </w:r>
    </w:p>
    <w:p w:rsidR="002712DB" w:rsidRPr="00C40D18" w:rsidRDefault="002712DB" w:rsidP="002712DB">
      <w:r w:rsidRPr="00C40D18">
        <w:t xml:space="preserve">Chapter 6 </w:t>
      </w:r>
      <w:r>
        <w:t xml:space="preserve">contains our </w:t>
      </w:r>
      <w:r w:rsidRPr="00C40D18">
        <w:t xml:space="preserve">assessment of operating expenditure for all DNSPs in the NEM. </w:t>
      </w:r>
    </w:p>
    <w:p w:rsidR="00AE2FC7" w:rsidRPr="00C40D18" w:rsidRDefault="00AE2FC7" w:rsidP="00972E3F">
      <w:pPr>
        <w:pStyle w:val="Caption"/>
      </w:pPr>
      <w:r>
        <w:t>Figure 9</w:t>
      </w:r>
      <w:r w:rsidRPr="00C40D18">
        <w:t>–</w:t>
      </w:r>
      <w:r w:rsidR="00312AF7">
        <w:t>7</w:t>
      </w:r>
      <w:r w:rsidR="00A136C6">
        <w:t>6</w:t>
      </w:r>
      <w:r w:rsidRPr="00C40D18">
        <w:tab/>
        <w:t xml:space="preserve">Operating expenditure </w:t>
      </w:r>
      <w:r w:rsidR="007A3240">
        <w:t>–</w:t>
      </w:r>
      <w:r w:rsidRPr="00C40D18">
        <w:t xml:space="preserve"> TasNetworks</w:t>
      </w:r>
    </w:p>
    <w:p w:rsidR="009F2A03" w:rsidRDefault="009F2A03" w:rsidP="00AE2FC7">
      <w:r w:rsidRPr="009F2A03">
        <w:rPr>
          <w:noProof/>
          <w:lang w:eastAsia="en-AU"/>
        </w:rPr>
        <w:drawing>
          <wp:inline distT="0" distB="0" distL="0" distR="0" wp14:anchorId="5EB8F713" wp14:editId="78EB741B">
            <wp:extent cx="4572000" cy="2654300"/>
            <wp:effectExtent l="0" t="0" r="0" b="0"/>
            <wp:docPr id="415" name="Chart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AE2FC7" w:rsidRPr="00C40D18" w:rsidRDefault="00AE2FC7" w:rsidP="00AE2FC7">
      <w:pPr>
        <w:pStyle w:val="Heading4notnumbered"/>
      </w:pPr>
      <w:r w:rsidRPr="00C40D18">
        <w:t>Revenue</w:t>
      </w:r>
    </w:p>
    <w:p w:rsidR="00AE2FC7" w:rsidRPr="00C40D18" w:rsidRDefault="00C75977" w:rsidP="00AE2FC7">
      <w:r>
        <w:t xml:space="preserve">Our </w:t>
      </w:r>
      <w:r w:rsidR="00AE2FC7" w:rsidRPr="00C40D18">
        <w:t>2012 distribution determination applied a revenue cap form of control to TasNetworks' distribution services over the 2012</w:t>
      </w:r>
      <w:r w:rsidR="007A3240">
        <w:t>–</w:t>
      </w:r>
      <w:r w:rsidR="00AE2FC7" w:rsidRPr="00C40D18">
        <w:t xml:space="preserve">17 regulatory control period. A revenue cap imposes controls over the revenues a distributor may recover </w:t>
      </w:r>
      <w:r w:rsidR="003D0CE9">
        <w:t>for</w:t>
      </w:r>
      <w:r w:rsidR="003D0CE9" w:rsidRPr="00C40D18">
        <w:t xml:space="preserve"> </w:t>
      </w:r>
      <w:r w:rsidR="00AE2FC7" w:rsidRPr="00C40D18">
        <w:t>providing electricity distribution services.</w:t>
      </w:r>
    </w:p>
    <w:p w:rsidR="00AE2FC7" w:rsidRPr="00C40D18" w:rsidRDefault="00AE2FC7" w:rsidP="00AE2FC7">
      <w:r w:rsidRPr="00C40D18">
        <w:t>TasNetworks' revenue earned for standard control services in the first year of the 2012</w:t>
      </w:r>
      <w:r w:rsidR="007A3240">
        <w:t>–</w:t>
      </w:r>
      <w:r w:rsidRPr="00C40D18">
        <w:t xml:space="preserve">17 regulatory control period was approximately 5 per cent lower than </w:t>
      </w:r>
      <w:r w:rsidR="00DD4FC1">
        <w:t>our approved</w:t>
      </w:r>
      <w:r w:rsidRPr="00C40D18">
        <w:t xml:space="preserve"> forecast (</w:t>
      </w:r>
      <w:r>
        <w:t>Figure 9</w:t>
      </w:r>
      <w:r w:rsidRPr="00C40D18">
        <w:t>–</w:t>
      </w:r>
      <w:r w:rsidR="00312AF7">
        <w:t>7</w:t>
      </w:r>
      <w:r w:rsidR="00A136C6">
        <w:t>7</w:t>
      </w:r>
      <w:r w:rsidRPr="00C40D18">
        <w:t xml:space="preserve">). </w:t>
      </w:r>
    </w:p>
    <w:p w:rsidR="00AE2FC7" w:rsidRPr="00C40D18" w:rsidRDefault="00AE2FC7" w:rsidP="00972E3F">
      <w:pPr>
        <w:pStyle w:val="Caption"/>
      </w:pPr>
      <w:r>
        <w:t>Figure 9</w:t>
      </w:r>
      <w:r w:rsidRPr="00C40D18">
        <w:t>–</w:t>
      </w:r>
      <w:r w:rsidR="00312AF7">
        <w:t>7</w:t>
      </w:r>
      <w:r w:rsidR="00A136C6">
        <w:t>7</w:t>
      </w:r>
      <w:r w:rsidRPr="00C40D18">
        <w:tab/>
        <w:t xml:space="preserve">Revenue </w:t>
      </w:r>
      <w:r w:rsidR="007A3240">
        <w:t>–</w:t>
      </w:r>
      <w:r w:rsidRPr="00C40D18">
        <w:t xml:space="preserve"> TasNetworks</w:t>
      </w:r>
    </w:p>
    <w:p w:rsidR="00681B8A" w:rsidRDefault="00681B8A" w:rsidP="00AE2FC7">
      <w:r w:rsidRPr="00681B8A">
        <w:rPr>
          <w:noProof/>
          <w:lang w:eastAsia="en-AU"/>
        </w:rPr>
        <w:drawing>
          <wp:inline distT="0" distB="0" distL="0" distR="0" wp14:anchorId="7BD238B3" wp14:editId="4AD625D6">
            <wp:extent cx="4572000" cy="2654300"/>
            <wp:effectExtent l="0" t="0" r="0" b="0"/>
            <wp:docPr id="416" name="Chart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2712DB" w:rsidRPr="00C40D18" w:rsidRDefault="002712DB" w:rsidP="002712DB">
      <w:r w:rsidRPr="00C40D18">
        <w:t>TasNetworks indicated its distribution business failed to achieve its revenue forecasts primarily as a result of the challenge of accurately forecasting energy consumption, particularly during a period of rising electricity prices.</w:t>
      </w:r>
    </w:p>
    <w:p w:rsidR="002712DB" w:rsidRPr="00C40D18" w:rsidRDefault="002712DB" w:rsidP="002712DB">
      <w:r w:rsidRPr="00C40D18">
        <w:t>As prices have increased energy consumed has consistently failed to meet forecasts, which has impacted revenue recovered.</w:t>
      </w:r>
      <w:r>
        <w:t xml:space="preserve"> </w:t>
      </w:r>
      <w:r w:rsidRPr="00C40D18">
        <w:t>The revenue cap mechanism has meant efforts to recover any under</w:t>
      </w:r>
      <w:r>
        <w:t>–</w:t>
      </w:r>
      <w:r w:rsidRPr="00C40D18">
        <w:t>recoveries have led to further increased prices in subsequent years impacting the customers’ price sensitivity and therefore consumption forecasts.</w:t>
      </w:r>
    </w:p>
    <w:p w:rsidR="00AE2FC7" w:rsidRPr="00C40D18" w:rsidRDefault="00AE2FC7" w:rsidP="00AE2FC7">
      <w:r w:rsidRPr="00C40D18">
        <w:t xml:space="preserve">Chapter 7 provides further information on the revenue cap control mechanism </w:t>
      </w:r>
      <w:r w:rsidR="00AB11E6">
        <w:t xml:space="preserve">as well as our comparative </w:t>
      </w:r>
      <w:r w:rsidRPr="00C40D18">
        <w:t xml:space="preserve">assessment of revenue for all DNSPs in the NEM. </w:t>
      </w:r>
    </w:p>
    <w:p w:rsidR="00AE2FC7" w:rsidRDefault="00AE2FC7" w:rsidP="00592413">
      <w:pPr>
        <w:pStyle w:val="Heading3"/>
      </w:pPr>
      <w:bookmarkStart w:id="444" w:name="_Toc409771696"/>
      <w:bookmarkStart w:id="445" w:name="_Toc412790645"/>
      <w:bookmarkStart w:id="446" w:name="_Toc413062126"/>
      <w:bookmarkStart w:id="447" w:name="_Toc413311123"/>
      <w:bookmarkStart w:id="448" w:name="_Toc423086539"/>
      <w:r>
        <w:t>Financial performance</w:t>
      </w:r>
      <w:bookmarkEnd w:id="444"/>
      <w:bookmarkEnd w:id="445"/>
      <w:bookmarkEnd w:id="446"/>
      <w:bookmarkEnd w:id="447"/>
      <w:bookmarkEnd w:id="448"/>
    </w:p>
    <w:p w:rsidR="00AE2FC7" w:rsidRPr="001078F5" w:rsidRDefault="00AE2FC7" w:rsidP="00AE2FC7">
      <w:r w:rsidRPr="001078F5">
        <w:t>TasNetworks' average EBIT for standard control services was approximately 26 per cent of its total revenue earned for standard control services over 2011</w:t>
      </w:r>
      <w:r w:rsidR="007A3240">
        <w:t>–</w:t>
      </w:r>
      <w:r w:rsidRPr="001078F5">
        <w:t xml:space="preserve">13 . </w:t>
      </w:r>
      <w:r w:rsidR="00525C94" w:rsidRPr="00CB73C1">
        <w:t xml:space="preserve">The EBIT in </w:t>
      </w:r>
      <w:r w:rsidR="00525C94">
        <w:t>Figure 9</w:t>
      </w:r>
      <w:r w:rsidR="00525C94" w:rsidRPr="00CB73C1">
        <w:t>–</w:t>
      </w:r>
      <w:r w:rsidR="00525C94">
        <w:t>78</w:t>
      </w:r>
      <w:r w:rsidR="00525C94" w:rsidRPr="00CB73C1">
        <w:t xml:space="preserve"> includes depreciation and amortisation</w:t>
      </w:r>
      <w:r w:rsidR="00525C94">
        <w:t xml:space="preserve"> and should not be used as a definitive measure of core profitability</w:t>
      </w:r>
      <w:r w:rsidR="00525C94" w:rsidRPr="00CB73C1">
        <w:t>.</w:t>
      </w:r>
    </w:p>
    <w:p w:rsidR="00AE2FC7" w:rsidRPr="001078F5" w:rsidRDefault="00AE2FC7" w:rsidP="00972E3F">
      <w:pPr>
        <w:pStyle w:val="Caption"/>
      </w:pPr>
      <w:r>
        <w:t>Figure 9</w:t>
      </w:r>
      <w:r w:rsidRPr="001078F5">
        <w:t>–</w:t>
      </w:r>
      <w:r w:rsidR="00312AF7">
        <w:t>7</w:t>
      </w:r>
      <w:r w:rsidR="00A136C6">
        <w:t>8</w:t>
      </w:r>
      <w:r w:rsidRPr="001078F5">
        <w:tab/>
      </w:r>
      <w:r w:rsidR="00E96C0F" w:rsidRPr="00CB73C1">
        <w:t>E</w:t>
      </w:r>
      <w:r w:rsidR="00E96C0F">
        <w:t xml:space="preserve">arnings before interest and tax </w:t>
      </w:r>
      <w:r w:rsidR="007A3240">
        <w:t>–</w:t>
      </w:r>
      <w:r w:rsidRPr="001078F5">
        <w:t xml:space="preserve"> TasNetworks</w:t>
      </w:r>
    </w:p>
    <w:p w:rsidR="00681B8A" w:rsidRDefault="00681B8A" w:rsidP="00AE2FC7">
      <w:r w:rsidRPr="00681B8A">
        <w:rPr>
          <w:noProof/>
          <w:lang w:eastAsia="en-AU"/>
        </w:rPr>
        <w:drawing>
          <wp:inline distT="0" distB="0" distL="0" distR="0" wp14:anchorId="1476517F" wp14:editId="1A2124F2">
            <wp:extent cx="4572000" cy="2647950"/>
            <wp:effectExtent l="0" t="0" r="0" b="0"/>
            <wp:docPr id="417" name="Chart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AE2FC7" w:rsidRPr="001078F5" w:rsidRDefault="00AE2FC7" w:rsidP="00AE2FC7">
      <w:r w:rsidRPr="001078F5">
        <w:t>TasNetworks indicated increased profitability in 2012</w:t>
      </w:r>
      <w:r w:rsidR="007A3240">
        <w:t>–</w:t>
      </w:r>
      <w:r w:rsidRPr="001078F5">
        <w:t>13 was due to:</w:t>
      </w:r>
    </w:p>
    <w:p w:rsidR="00AE2FC7" w:rsidRPr="001078F5" w:rsidRDefault="00AE2FC7" w:rsidP="004C50CC">
      <w:pPr>
        <w:pStyle w:val="ListBullet"/>
      </w:pPr>
      <w:r w:rsidRPr="001078F5">
        <w:t>reductions in operating expenditure through operational cost reductions and mild weather</w:t>
      </w:r>
    </w:p>
    <w:p w:rsidR="00AE2FC7" w:rsidRPr="00C40D18" w:rsidRDefault="00AE2FC7" w:rsidP="004C50CC">
      <w:pPr>
        <w:pStyle w:val="ListBullet"/>
      </w:pPr>
      <w:r w:rsidRPr="001078F5">
        <w:t>reduction in capital expenditure.</w:t>
      </w:r>
    </w:p>
    <w:p w:rsidR="00AE2FC7" w:rsidRDefault="00AE2FC7" w:rsidP="00592413">
      <w:pPr>
        <w:pStyle w:val="Heading3"/>
      </w:pPr>
      <w:bookmarkStart w:id="449" w:name="_Toc409771697"/>
      <w:bookmarkStart w:id="450" w:name="_Toc412790646"/>
      <w:bookmarkStart w:id="451" w:name="_Toc413062127"/>
      <w:bookmarkStart w:id="452" w:name="_Toc413311124"/>
      <w:bookmarkStart w:id="453" w:name="_Toc423086540"/>
      <w:r>
        <w:t>Service performance</w:t>
      </w:r>
      <w:bookmarkEnd w:id="449"/>
      <w:bookmarkEnd w:id="450"/>
      <w:bookmarkEnd w:id="451"/>
      <w:bookmarkEnd w:id="452"/>
      <w:bookmarkEnd w:id="453"/>
    </w:p>
    <w:p w:rsidR="00AE2FC7" w:rsidRPr="001078F5" w:rsidRDefault="00AE2FC7" w:rsidP="00AE2FC7">
      <w:pPr>
        <w:pStyle w:val="Heading4notnumbered"/>
      </w:pPr>
      <w:r w:rsidRPr="001078F5">
        <w:t>Total interruptions to supply</w:t>
      </w:r>
    </w:p>
    <w:p w:rsidR="00AE2FC7" w:rsidRPr="001078F5" w:rsidRDefault="00AE2FC7" w:rsidP="00AE2FC7">
      <w:r w:rsidRPr="001078F5">
        <w:t>Total interruptions to supply reflect the total impact of both planned and unplanned interruptions (</w:t>
      </w:r>
      <w:r>
        <w:t>Figure 9</w:t>
      </w:r>
      <w:r w:rsidRPr="001078F5">
        <w:t>–</w:t>
      </w:r>
      <w:r w:rsidR="00A136C6">
        <w:t>79</w:t>
      </w:r>
      <w:r w:rsidRPr="001078F5">
        <w:t xml:space="preserve">). This measure reflects </w:t>
      </w:r>
      <w:r w:rsidR="001368B1">
        <w:t>the actual experience of</w:t>
      </w:r>
      <w:r w:rsidR="001368B1" w:rsidRPr="00CB73C1">
        <w:t xml:space="preserve"> the average </w:t>
      </w:r>
      <w:r w:rsidRPr="001078F5">
        <w:t>TasNetworks customer.</w:t>
      </w:r>
      <w:r w:rsidR="00CC0E3F">
        <w:t xml:space="preserve"> </w:t>
      </w:r>
      <w:r w:rsidRPr="001078F5">
        <w:t xml:space="preserve">Total interruptions to supply include the effect of any interruptions considered to be </w:t>
      </w:r>
      <w:r w:rsidR="00133534">
        <w:t xml:space="preserve">excluded </w:t>
      </w:r>
      <w:r w:rsidR="00460775">
        <w:t>events in the STPIS</w:t>
      </w:r>
      <w:r w:rsidRPr="001078F5">
        <w:t xml:space="preserve">. </w:t>
      </w:r>
    </w:p>
    <w:p w:rsidR="00AE2FC7" w:rsidRPr="001078F5" w:rsidRDefault="00AE2FC7" w:rsidP="00972E3F">
      <w:pPr>
        <w:pStyle w:val="Caption"/>
      </w:pPr>
      <w:r>
        <w:t>Figure 9</w:t>
      </w:r>
      <w:r w:rsidRPr="001078F5">
        <w:t>–</w:t>
      </w:r>
      <w:r w:rsidR="00A136C6">
        <w:t>79</w:t>
      </w:r>
      <w:r w:rsidRPr="001078F5">
        <w:tab/>
        <w:t xml:space="preserve">Total interruptions to supply </w:t>
      </w:r>
      <w:r w:rsidR="007A3240">
        <w:t>–</w:t>
      </w:r>
      <w:r w:rsidRPr="001078F5">
        <w:t xml:space="preserve"> TasNetworks</w:t>
      </w:r>
    </w:p>
    <w:p w:rsidR="007F52B0" w:rsidRDefault="007F52B0" w:rsidP="00592413">
      <w:pPr>
        <w:pStyle w:val="Heading4notnumbered"/>
        <w:keepNext w:val="0"/>
      </w:pPr>
      <w:r>
        <w:rPr>
          <w:noProof/>
          <w:lang w:eastAsia="en-AU"/>
        </w:rPr>
        <w:drawing>
          <wp:inline distT="0" distB="0" distL="0" distR="0" wp14:anchorId="0493070C" wp14:editId="17821481">
            <wp:extent cx="2520000" cy="14574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20000" cy="1457403"/>
                    </a:xfrm>
                    <a:prstGeom prst="rect">
                      <a:avLst/>
                    </a:prstGeom>
                    <a:noFill/>
                  </pic:spPr>
                </pic:pic>
              </a:graphicData>
            </a:graphic>
          </wp:inline>
        </w:drawing>
      </w:r>
      <w:r>
        <w:t xml:space="preserve">   </w:t>
      </w:r>
      <w:r>
        <w:rPr>
          <w:noProof/>
          <w:lang w:eastAsia="en-AU"/>
        </w:rPr>
        <w:drawing>
          <wp:inline distT="0" distB="0" distL="0" distR="0" wp14:anchorId="745954BA" wp14:editId="221468CC">
            <wp:extent cx="2599431" cy="151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99431" cy="1512000"/>
                    </a:xfrm>
                    <a:prstGeom prst="rect">
                      <a:avLst/>
                    </a:prstGeom>
                    <a:noFill/>
                  </pic:spPr>
                </pic:pic>
              </a:graphicData>
            </a:graphic>
          </wp:inline>
        </w:drawing>
      </w:r>
    </w:p>
    <w:p w:rsidR="00592413" w:rsidRDefault="00BF4161" w:rsidP="00592413">
      <w:pPr>
        <w:pStyle w:val="Heading4notnumbered"/>
        <w:keepNext w:val="0"/>
      </w:pPr>
      <w:r>
        <w:pict>
          <v:shape id="_x0000_i1027" type="#_x0000_t75" style="width:449.5pt;height:88.5pt;mso-position-vertical:absolute">
            <v:imagedata r:id="rId194" o:title=""/>
          </v:shape>
        </w:pict>
      </w:r>
    </w:p>
    <w:p w:rsidR="00AE2FC7" w:rsidRPr="00592413" w:rsidRDefault="00AE2FC7" w:rsidP="00592413">
      <w:pPr>
        <w:pStyle w:val="Heading4notnumbered"/>
      </w:pPr>
      <w:r w:rsidRPr="00592413">
        <w:t>Service Target Performance Incentive Scheme</w:t>
      </w:r>
    </w:p>
    <w:p w:rsidR="00AE2FC7" w:rsidRPr="001078F5" w:rsidRDefault="003D0CE9" w:rsidP="00AE2FC7">
      <w:r>
        <w:t xml:space="preserve">In our </w:t>
      </w:r>
      <w:r w:rsidR="00AE2FC7" w:rsidRPr="001078F5">
        <w:t xml:space="preserve">2012 distribution determination </w:t>
      </w:r>
      <w:r>
        <w:t>we</w:t>
      </w:r>
      <w:r w:rsidR="00AE2FC7" w:rsidRPr="001078F5">
        <w:t xml:space="preserve"> determined the STPIS would apply to TasNetworks in the 2012</w:t>
      </w:r>
      <w:r w:rsidR="007A3240">
        <w:t>–</w:t>
      </w:r>
      <w:r w:rsidR="00AE2FC7" w:rsidRPr="001078F5">
        <w:t>17 regulatory control period with an overall revenue at risk of ±5 per cent.</w:t>
      </w:r>
      <w:r w:rsidR="00CC0E3F">
        <w:t xml:space="preserve"> </w:t>
      </w:r>
      <w:r>
        <w:t xml:space="preserve">We </w:t>
      </w:r>
      <w:r w:rsidR="00460775">
        <w:t>decided to not</w:t>
      </w:r>
      <w:r w:rsidR="00AE2FC7" w:rsidRPr="001078F5">
        <w:t xml:space="preserve"> apply the GSL component while the OTTER's GSL scheme remained in place. </w:t>
      </w:r>
    </w:p>
    <w:p w:rsidR="00AE2FC7" w:rsidRPr="001078F5" w:rsidRDefault="00AE2FC7" w:rsidP="00AE2FC7">
      <w:r w:rsidRPr="001078F5">
        <w:t xml:space="preserve">The following section shows the effect of (normalised) unplanned interruptions to supply to customers on TasNetworks' network. </w:t>
      </w:r>
    </w:p>
    <w:p w:rsidR="00AE2FC7" w:rsidRDefault="00AE2FC7" w:rsidP="00AE2FC7">
      <w:pPr>
        <w:pStyle w:val="Heading4notnumbered"/>
      </w:pPr>
      <w:r w:rsidRPr="001078F5">
        <w:t>N</w:t>
      </w:r>
      <w:r>
        <w:t>etwork reliability (normalised)</w:t>
      </w:r>
    </w:p>
    <w:p w:rsidR="00AE2FC7" w:rsidRPr="001078F5" w:rsidRDefault="00AE2FC7" w:rsidP="00AE2FC7">
      <w:r w:rsidRPr="001078F5">
        <w:t>In 2012</w:t>
      </w:r>
      <w:r w:rsidR="007A3240">
        <w:t>–</w:t>
      </w:r>
      <w:r w:rsidRPr="001078F5">
        <w:t>13 the average TasNetworks customer experienced:</w:t>
      </w:r>
    </w:p>
    <w:p w:rsidR="00AE2FC7" w:rsidRPr="001078F5" w:rsidRDefault="00AE2FC7" w:rsidP="004C50CC">
      <w:pPr>
        <w:pStyle w:val="ListBullet"/>
      </w:pPr>
      <w:r w:rsidRPr="001078F5">
        <w:t xml:space="preserve">9 per cent fewer unplanned (normalised) minutes off supply than they experienced over the previous five years </w:t>
      </w:r>
    </w:p>
    <w:p w:rsidR="00AE2FC7" w:rsidRPr="001078F5" w:rsidRDefault="00AE2FC7" w:rsidP="004C50CC">
      <w:pPr>
        <w:pStyle w:val="ListBullet"/>
      </w:pPr>
      <w:r w:rsidRPr="001078F5">
        <w:t>7 per cent fewer unplanned (normalised) interruptions to supply than they experienced over the previous five years (</w:t>
      </w:r>
      <w:r>
        <w:t>Figure 9</w:t>
      </w:r>
      <w:r w:rsidRPr="001078F5">
        <w:t>–8</w:t>
      </w:r>
      <w:r w:rsidR="00A136C6">
        <w:t>0</w:t>
      </w:r>
      <w:r w:rsidRPr="001078F5">
        <w:t>).</w:t>
      </w:r>
    </w:p>
    <w:p w:rsidR="00AE2FC7" w:rsidRPr="001078F5" w:rsidRDefault="00AE2FC7" w:rsidP="00AE2FC7">
      <w:r w:rsidRPr="001078F5">
        <w:t xml:space="preserve">It should be noted the reliability information presented in </w:t>
      </w:r>
      <w:r>
        <w:t>Figure 9</w:t>
      </w:r>
      <w:r w:rsidRPr="001078F5">
        <w:t>–8</w:t>
      </w:r>
      <w:r w:rsidR="003D0CE9">
        <w:t>0</w:t>
      </w:r>
      <w:r w:rsidRPr="001078F5">
        <w:t xml:space="preserve"> combines information from the previous jurisdictional scheme and the</w:t>
      </w:r>
      <w:r w:rsidR="00CC0E3F">
        <w:t xml:space="preserve"> </w:t>
      </w:r>
      <w:r w:rsidRPr="001078F5">
        <w:t>STPIS. These schemes differ in detail and therefore the information is not directly comparable. However, the reliability outcomes are presented to provide broad trend information regarding TasNetworks' service performance.</w:t>
      </w:r>
    </w:p>
    <w:p w:rsidR="00AE2FC7" w:rsidRDefault="00AE2FC7" w:rsidP="00972E3F">
      <w:pPr>
        <w:pStyle w:val="Caption"/>
      </w:pPr>
      <w:r>
        <w:t>Figure 9</w:t>
      </w:r>
      <w:r w:rsidRPr="001078F5">
        <w:t>–</w:t>
      </w:r>
      <w:r w:rsidR="00A136C6">
        <w:t>80</w:t>
      </w:r>
      <w:r w:rsidRPr="001078F5">
        <w:tab/>
        <w:t xml:space="preserve">Unplanned interruptions to supply (normalised) </w:t>
      </w:r>
      <w:r w:rsidR="007A3240">
        <w:t>–</w:t>
      </w:r>
      <w:r w:rsidRPr="001078F5">
        <w:t xml:space="preserve"> TasNetworks</w:t>
      </w:r>
    </w:p>
    <w:p w:rsidR="001F6077" w:rsidRDefault="00EB01E8" w:rsidP="00AE2FC7">
      <w:pPr>
        <w:pStyle w:val="Heading4notnumbered"/>
      </w:pPr>
      <w:r>
        <w:rPr>
          <w:noProof/>
          <w:lang w:eastAsia="en-AU"/>
        </w:rPr>
        <w:drawing>
          <wp:inline distT="0" distB="0" distL="0" distR="0" wp14:anchorId="04050BF1" wp14:editId="50A7C802">
            <wp:extent cx="2516400" cy="151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16400" cy="1512000"/>
                    </a:xfrm>
                    <a:prstGeom prst="rect">
                      <a:avLst/>
                    </a:prstGeom>
                    <a:noFill/>
                  </pic:spPr>
                </pic:pic>
              </a:graphicData>
            </a:graphic>
          </wp:inline>
        </w:drawing>
      </w:r>
      <w:r w:rsidR="001F6077">
        <w:t xml:space="preserve"> </w:t>
      </w:r>
      <w:r>
        <w:rPr>
          <w:noProof/>
          <w:lang w:eastAsia="en-AU"/>
        </w:rPr>
        <w:drawing>
          <wp:inline distT="0" distB="0" distL="0" distR="0" wp14:anchorId="4FB0DC0D" wp14:editId="4EF6CB12">
            <wp:extent cx="2516400" cy="151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516400" cy="1512000"/>
                    </a:xfrm>
                    <a:prstGeom prst="rect">
                      <a:avLst/>
                    </a:prstGeom>
                    <a:noFill/>
                  </pic:spPr>
                </pic:pic>
              </a:graphicData>
            </a:graphic>
          </wp:inline>
        </w:drawing>
      </w:r>
    </w:p>
    <w:p w:rsidR="001F6077" w:rsidRDefault="001F6077" w:rsidP="00AE2FC7">
      <w:pPr>
        <w:pStyle w:val="Heading4notnumbered"/>
      </w:pPr>
      <w:r>
        <w:object w:dxaOrig="15149" w:dyaOrig="1819">
          <v:shape id="_x0000_i1028" type="#_x0000_t75" style="width:451.5pt;height:55pt" o:ole="" o:bordertopcolor="this" o:borderleftcolor="this" o:borderbottomcolor="this" o:borderrightcolor="this">
            <v:imagedata r:id="rId197" o:title=""/>
            <w10:borderbottom type="single" width="4"/>
            <w10:borderright type="single" width="4"/>
          </v:shape>
          <o:OLEObject Type="Embed" ProgID="Excel.Sheet.12" ShapeID="_x0000_i1028" DrawAspect="Content" ObjectID="_1497174381" r:id="rId198"/>
        </w:object>
      </w:r>
    </w:p>
    <w:p w:rsidR="00AE2FC7" w:rsidRPr="001078F5" w:rsidRDefault="00AE2FC7" w:rsidP="00AE2FC7">
      <w:pPr>
        <w:pStyle w:val="Heading4notnumbered"/>
      </w:pPr>
      <w:r w:rsidRPr="001078F5">
        <w:t>S</w:t>
      </w:r>
      <w:r w:rsidR="007A3240">
        <w:t>–</w:t>
      </w:r>
      <w:r w:rsidRPr="001078F5">
        <w:t>factor</w:t>
      </w:r>
    </w:p>
    <w:p w:rsidR="00AE2FC7" w:rsidRPr="001078F5" w:rsidRDefault="00AE2FC7" w:rsidP="00AE2FC7">
      <w:r>
        <w:t>Table 9</w:t>
      </w:r>
      <w:r w:rsidRPr="001078F5">
        <w:t>–4 compares TasNetworks' service performance against its STPIS targets over the first year of the 2012</w:t>
      </w:r>
      <w:r w:rsidR="007A3240">
        <w:t>–</w:t>
      </w:r>
      <w:r w:rsidRPr="001078F5">
        <w:t>17 regulatory control period. TasNetworks performed well against all but one of its service performance targets in 2012</w:t>
      </w:r>
      <w:r w:rsidR="007A3240">
        <w:t>–</w:t>
      </w:r>
      <w:r w:rsidRPr="001078F5">
        <w:t>13 which was the first year since the STPIS was applied.</w:t>
      </w:r>
    </w:p>
    <w:p w:rsidR="003C0E6F" w:rsidRDefault="00AE2FC7" w:rsidP="00AE2FC7">
      <w:r w:rsidRPr="001078F5">
        <w:t>It is important to note STPIS targets are applied to normalised network reliability. In 2012</w:t>
      </w:r>
      <w:r w:rsidR="007A3240">
        <w:t>–</w:t>
      </w:r>
      <w:r w:rsidRPr="001078F5">
        <w:t xml:space="preserve">13 TasNetworks experienced three days where its daily unplanned SAIDI exceeded the major event day boundary. For any day in which unplanned SAIDI exceeds the major event day boundary the impact of that day's SAIDI, SAIFI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to be outside the DNSP's control.</w:t>
      </w:r>
    </w:p>
    <w:p w:rsidR="00AE2FC7" w:rsidRPr="001078F5" w:rsidRDefault="00AE2FC7" w:rsidP="00AE2FC7">
      <w:r w:rsidRPr="001078F5">
        <w:t>The s</w:t>
      </w:r>
      <w:r w:rsidR="007A3240">
        <w:t>–</w:t>
      </w:r>
      <w:r w:rsidRPr="001078F5">
        <w:t>factor is incorporated into TasNetworks' control mechanism as a multiplier in the calculation of its MAR. The MAR is incremented when service performance is better than performance targets and decremented when service performance is worse than performance targets. The way in which the s</w:t>
      </w:r>
      <w:r w:rsidR="007A3240">
        <w:t>–</w:t>
      </w:r>
      <w:r w:rsidRPr="001078F5">
        <w:t>factor is incorporated into TasNetworks' control mechanism is set out in the 2010</w:t>
      </w:r>
      <w:r w:rsidR="007A3240">
        <w:t>–</w:t>
      </w:r>
      <w:r w:rsidRPr="001078F5">
        <w:t>15 distribution determination.</w:t>
      </w:r>
    </w:p>
    <w:p w:rsidR="00AE2FC7" w:rsidRPr="001078F5" w:rsidRDefault="00AE2FC7" w:rsidP="00AE2FC7">
      <w:r w:rsidRPr="001078F5">
        <w:t>Note there is a two year lag between the regulatory year in which service performance outcomes are assessed and the regulatory year in which the s</w:t>
      </w:r>
      <w:r w:rsidR="007A3240">
        <w:t>–</w:t>
      </w:r>
      <w:r w:rsidRPr="001078F5">
        <w:t xml:space="preserve">factor outcome is applied to the DNSP's allowed revenue. </w:t>
      </w:r>
    </w:p>
    <w:p w:rsidR="00AE2FC7" w:rsidRPr="001078F5" w:rsidRDefault="00AE2FC7" w:rsidP="00972E3F">
      <w:pPr>
        <w:pStyle w:val="Caption"/>
      </w:pPr>
      <w:r>
        <w:t>Table 9</w:t>
      </w:r>
      <w:r w:rsidRPr="001078F5">
        <w:t>–4</w:t>
      </w:r>
      <w:r w:rsidRPr="001078F5">
        <w:tab/>
        <w:t>S</w:t>
      </w:r>
      <w:r w:rsidR="007A3240">
        <w:t>–</w:t>
      </w:r>
      <w:r w:rsidRPr="001078F5">
        <w:t xml:space="preserve">factor </w:t>
      </w:r>
      <w:r w:rsidR="007A3240">
        <w:t>–</w:t>
      </w:r>
      <w:r w:rsidRPr="001078F5">
        <w:t xml:space="preserve"> TasNetworks</w:t>
      </w:r>
    </w:p>
    <w:p w:rsidR="00DC69C4" w:rsidRDefault="001E6D36" w:rsidP="00AE2FC7">
      <w:r w:rsidRPr="001E6D36">
        <w:rPr>
          <w:noProof/>
          <w:lang w:eastAsia="en-AU"/>
        </w:rPr>
        <w:drawing>
          <wp:inline distT="0" distB="0" distL="0" distR="0" wp14:anchorId="6CD93E0A" wp14:editId="652DF0EE">
            <wp:extent cx="5731510" cy="394414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31510" cy="3944144"/>
                    </a:xfrm>
                    <a:prstGeom prst="rect">
                      <a:avLst/>
                    </a:prstGeom>
                    <a:noFill/>
                    <a:ln>
                      <a:noFill/>
                    </a:ln>
                  </pic:spPr>
                </pic:pic>
              </a:graphicData>
            </a:graphic>
          </wp:inline>
        </w:drawing>
      </w:r>
    </w:p>
    <w:p w:rsidR="002712DB" w:rsidRDefault="00AB11E6" w:rsidP="00AE2FC7">
      <w:r>
        <w:t>Chapter 8 contains</w:t>
      </w:r>
      <w:r w:rsidRPr="00CB73C1">
        <w:t xml:space="preserve"> information on </w:t>
      </w:r>
      <w:r>
        <w:t>our</w:t>
      </w:r>
      <w:r w:rsidRPr="00CB73C1">
        <w:t xml:space="preserve"> STPIS and a comparative assessment of the DNSPs' service performance</w:t>
      </w:r>
    </w:p>
    <w:p w:rsidR="00AE2FC7" w:rsidRPr="00AE2FC7" w:rsidRDefault="00AB11E6" w:rsidP="00AE2FC7">
      <w:r w:rsidRPr="00CB73C1">
        <w:t>.</w:t>
      </w:r>
      <w:r w:rsidR="00AE2FC7">
        <w:br w:type="page"/>
      </w:r>
    </w:p>
    <w:bookmarkStart w:id="454" w:name="_Toc409771698"/>
    <w:bookmarkStart w:id="455" w:name="_Toc423086541"/>
    <w:p w:rsidR="00AE2FC7" w:rsidRDefault="00513EA8" w:rsidP="00592413">
      <w:pPr>
        <w:pStyle w:val="Heading2"/>
      </w:pPr>
      <w:r w:rsidRPr="00513EA8">
        <w:rPr>
          <w:noProof/>
          <w:lang w:eastAsia="en-AU"/>
        </w:rPr>
        <mc:AlternateContent>
          <mc:Choice Requires="wps">
            <w:drawing>
              <wp:anchor distT="0" distB="0" distL="114300" distR="114300" simplePos="0" relativeHeight="251681792" behindDoc="1" locked="0" layoutInCell="1" allowOverlap="1" wp14:anchorId="2E80B87F" wp14:editId="1B32B868">
                <wp:simplePos x="0" y="0"/>
                <wp:positionH relativeFrom="column">
                  <wp:posOffset>-146685</wp:posOffset>
                </wp:positionH>
                <wp:positionV relativeFrom="paragraph">
                  <wp:posOffset>264795</wp:posOffset>
                </wp:positionV>
                <wp:extent cx="6259195" cy="8622665"/>
                <wp:effectExtent l="19050" t="19050" r="27305" b="26035"/>
                <wp:wrapTight wrapText="bothSides">
                  <wp:wrapPolygon edited="0">
                    <wp:start x="-66" y="-48"/>
                    <wp:lineTo x="-66" y="21617"/>
                    <wp:lineTo x="21628" y="21617"/>
                    <wp:lineTo x="21628" y="-48"/>
                    <wp:lineTo x="-66" y="-48"/>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8622665"/>
                        </a:xfrm>
                        <a:prstGeom prst="rect">
                          <a:avLst/>
                        </a:prstGeom>
                        <a:noFill/>
                        <a:ln w="44450">
                          <a:solidFill>
                            <a:srgbClr val="238B45"/>
                          </a:solidFill>
                          <a:miter lim="800000"/>
                          <a:headEnd/>
                          <a:tailEnd/>
                        </a:ln>
                      </wps:spPr>
                      <wps:txbx>
                        <w:txbxContent>
                          <w:p w:rsidR="00AD3D0C" w:rsidRDefault="00AD3D0C" w:rsidP="00513EA8">
                            <w:pPr>
                              <w:pStyle w:val="Heading3notnumbered"/>
                            </w:pPr>
                            <w:bookmarkStart w:id="456" w:name="_Toc413311126"/>
                            <w:bookmarkStart w:id="457" w:name="_Toc423086542"/>
                            <w:r>
                              <w:t>Network characteristics</w:t>
                            </w:r>
                            <w:bookmarkEnd w:id="456"/>
                            <w:bookmarkEnd w:id="457"/>
                          </w:p>
                          <w:p w:rsidR="00AD3D0C" w:rsidRPr="00C312BC" w:rsidRDefault="00AD3D0C" w:rsidP="00513EA8">
                            <w:r w:rsidRPr="00E96856">
                              <w:rPr>
                                <w:rStyle w:val="Strong"/>
                              </w:rPr>
                              <w:t>Ownership</w:t>
                            </w:r>
                            <w:proofErr w:type="gramStart"/>
                            <w:r w:rsidRPr="00E96856">
                              <w:rPr>
                                <w:rStyle w:val="Strong"/>
                              </w:rPr>
                              <w:t>:</w:t>
                            </w:r>
                            <w:r>
                              <w:t xml:space="preserve">  </w:t>
                            </w:r>
                            <w:r w:rsidRPr="00513EA8">
                              <w:t>Listed company</w:t>
                            </w:r>
                            <w:proofErr w:type="gramEnd"/>
                            <w:r w:rsidRPr="00513EA8">
                              <w:t xml:space="preserve"> (Singapore Power International (31 per cent), State Grid Corporation (20 per cent)</w:t>
                            </w:r>
                            <w:r w:rsidRPr="00C312BC">
                              <w:t xml:space="preserve"> </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Default="00AD3D0C" w:rsidP="00513EA8">
                            <w:pPr>
                              <w:pStyle w:val="TableofFigures"/>
                            </w:pPr>
                            <w:r>
                              <w:t xml:space="preserve">  Total distribution customers:</w:t>
                            </w:r>
                            <w:r w:rsidRPr="00C312BC">
                              <w:t xml:space="preserve"> </w:t>
                            </w:r>
                            <w:r w:rsidRPr="00C312BC">
                              <w:tab/>
                            </w:r>
                            <w:r>
                              <w:tab/>
                            </w:r>
                            <w:r>
                              <w:tab/>
                              <w:t>660,229</w:t>
                            </w:r>
                          </w:p>
                          <w:p w:rsidR="00AD3D0C" w:rsidRPr="00C312BC" w:rsidRDefault="00AD3D0C" w:rsidP="00513EA8">
                            <w:pPr>
                              <w:pStyle w:val="TableofFigures"/>
                            </w:pPr>
                            <w:r w:rsidRPr="00E96856">
                              <w:t xml:space="preserve"> </w:t>
                            </w:r>
                            <w:r w:rsidRPr="00513EA8">
                              <w:rPr>
                                <w:noProof/>
                                <w:lang w:eastAsia="en-AU"/>
                              </w:rPr>
                              <w:drawing>
                                <wp:inline distT="0" distB="0" distL="0" distR="0" wp14:anchorId="58799293" wp14:editId="4AF8EEB0">
                                  <wp:extent cx="4566285" cy="956945"/>
                                  <wp:effectExtent l="0" t="0" r="571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66285" cy="956945"/>
                                          </a:xfrm>
                                          <a:prstGeom prst="rect">
                                            <a:avLst/>
                                          </a:prstGeom>
                                          <a:noFill/>
                                        </pic:spPr>
                                      </pic:pic>
                                    </a:graphicData>
                                  </a:graphic>
                                </wp:inline>
                              </w:drawing>
                            </w:r>
                          </w:p>
                          <w:p w:rsidR="00AD3D0C" w:rsidRDefault="00AD3D0C" w:rsidP="00513EA8">
                            <w:pPr>
                              <w:pStyle w:val="TableofFigures"/>
                            </w:pPr>
                            <w:r>
                              <w:t xml:space="preserve">  </w:t>
                            </w:r>
                            <w:r w:rsidRPr="0075338F">
                              <w:t xml:space="preserve">Total line </w:t>
                            </w:r>
                            <w:r>
                              <w:t xml:space="preserve">(circuit) </w:t>
                            </w:r>
                            <w:r w:rsidRPr="0075338F">
                              <w:t>length:</w:t>
                            </w:r>
                            <w:r>
                              <w:t xml:space="preserve"> </w:t>
                            </w:r>
                            <w:r>
                              <w:tab/>
                            </w:r>
                            <w:r>
                              <w:tab/>
                            </w:r>
                            <w:r>
                              <w:tab/>
                            </w:r>
                            <w:r>
                              <w:tab/>
                              <w:t>43,822 km</w:t>
                            </w:r>
                          </w:p>
                          <w:p w:rsidR="00AD3D0C" w:rsidRDefault="00AD3D0C" w:rsidP="00513EA8">
                            <w:r w:rsidRPr="00513EA8">
                              <w:rPr>
                                <w:noProof/>
                                <w:lang w:eastAsia="en-AU"/>
                              </w:rPr>
                              <w:drawing>
                                <wp:inline distT="0" distB="0" distL="0" distR="0" wp14:anchorId="4AE9B53F" wp14:editId="02DB0D87">
                                  <wp:extent cx="4572000" cy="947737"/>
                                  <wp:effectExtent l="0" t="0" r="0" b="508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15.1</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22,656 </w:t>
                            </w:r>
                            <w:proofErr w:type="spellStart"/>
                            <w:r>
                              <w:t>GWh</w:t>
                            </w:r>
                            <w:proofErr w:type="spellEnd"/>
                            <w:r>
                              <w:t>, 5</w:t>
                            </w:r>
                            <w:r w:rsidRPr="00474352">
                              <w:t xml:space="preserve"> per cent ▼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$914 m, 2</w:t>
                            </w:r>
                            <w:r w:rsidRPr="00474352">
                              <w:t xml:space="preserve"> per cent ▼ than forecast</w:t>
                            </w:r>
                          </w:p>
                          <w:p w:rsidR="00AD3D0C" w:rsidRPr="00474352" w:rsidRDefault="00AD3D0C" w:rsidP="00513EA8">
                            <w:r w:rsidRPr="00474352">
                              <w:t xml:space="preserve">  Regulatory Asset Base: </w:t>
                            </w:r>
                            <w:r w:rsidRPr="00474352">
                              <w:tab/>
                            </w:r>
                            <w:r w:rsidRPr="00474352">
                              <w:tab/>
                            </w:r>
                            <w:r>
                              <w:tab/>
                            </w:r>
                            <w:r w:rsidRPr="00474352">
                              <w:tab/>
                            </w:r>
                            <w:r>
                              <w:t>25</w:t>
                            </w:r>
                            <w:r w:rsidRPr="00474352">
                              <w:t xml:space="preserve"> per cent </w:t>
                            </w:r>
                            <w:r w:rsidRPr="00AE2FC7">
                              <w:t>▲</w:t>
                            </w:r>
                            <w:r w:rsidRPr="00474352">
                              <w:t xml:space="preserve"> (from $</w:t>
                            </w:r>
                            <w:r>
                              <w:t>2.2bn</w:t>
                            </w:r>
                            <w:r w:rsidRPr="00474352">
                              <w:t xml:space="preserve"> to $</w:t>
                            </w:r>
                            <w:r>
                              <w:t>2.7</w:t>
                            </w:r>
                            <w:r w:rsidRPr="00474352">
                              <w:t>bn)</w:t>
                            </w:r>
                          </w:p>
                          <w:p w:rsidR="00AD3D0C" w:rsidRPr="00474352" w:rsidRDefault="00AD3D0C" w:rsidP="00513EA8">
                            <w:r w:rsidRPr="00474352">
                              <w:t xml:space="preserve">  Operating expenditure: </w:t>
                            </w:r>
                            <w:r w:rsidRPr="00474352">
                              <w:tab/>
                            </w:r>
                            <w:r w:rsidRPr="00474352">
                              <w:tab/>
                            </w:r>
                            <w:r w:rsidRPr="00474352">
                              <w:tab/>
                            </w:r>
                            <w:r>
                              <w:tab/>
                              <w:t>$505 m, 4</w:t>
                            </w:r>
                            <w:r w:rsidRPr="00474352">
                              <w:t xml:space="preserve"> per cent ▼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 xml:space="preserve">$1.3 </w:t>
                            </w:r>
                            <w:proofErr w:type="spellStart"/>
                            <w:r>
                              <w:t>bn</w:t>
                            </w:r>
                            <w:proofErr w:type="spellEnd"/>
                            <w:r>
                              <w:t xml:space="preserve">, </w:t>
                            </w:r>
                            <w:r w:rsidRPr="00542B1E">
                              <w:t>within 1 per cent of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133.1</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191.3</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1.90</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2.10</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55pt;margin-top:20.85pt;width:492.85pt;height:67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" filled="f" strokecolor="#238b45" strokeweight="3.5pt">
                <v:textbox>
                  <w:txbxContent>
                    <w:p w:rsidR="00AD3D0C" w:rsidRDefault="00AD3D0C" w:rsidP="00513EA8">
                      <w:pPr>
                        <w:pStyle w:val="Heading3notnumbered"/>
                      </w:pPr>
                      <w:bookmarkStart w:id="478" w:name="_Toc413311126"/>
                      <w:bookmarkStart w:id="479" w:name="_Toc423086542"/>
                      <w:r>
                        <w:t>Network characteristics</w:t>
                      </w:r>
                      <w:bookmarkEnd w:id="478"/>
                      <w:bookmarkEnd w:id="479"/>
                    </w:p>
                    <w:p w:rsidR="00AD3D0C" w:rsidRPr="00C312BC" w:rsidRDefault="00AD3D0C" w:rsidP="00513EA8">
                      <w:r w:rsidRPr="00E96856">
                        <w:rPr>
                          <w:rStyle w:val="Strong"/>
                        </w:rPr>
                        <w:t>Ownership</w:t>
                      </w:r>
                      <w:proofErr w:type="gramStart"/>
                      <w:r w:rsidRPr="00E96856">
                        <w:rPr>
                          <w:rStyle w:val="Strong"/>
                        </w:rPr>
                        <w:t>:</w:t>
                      </w:r>
                      <w:r>
                        <w:t xml:space="preserve">  </w:t>
                      </w:r>
                      <w:r w:rsidRPr="00513EA8">
                        <w:t>Listed company</w:t>
                      </w:r>
                      <w:proofErr w:type="gramEnd"/>
                      <w:r w:rsidRPr="00513EA8">
                        <w:t xml:space="preserve"> (Singapore Power International (31 per cent), State Grid Corporation (20 per cent)</w:t>
                      </w:r>
                      <w:r w:rsidRPr="00C312BC">
                        <w:t xml:space="preserve"> </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Default="00AD3D0C" w:rsidP="00513EA8">
                      <w:pPr>
                        <w:pStyle w:val="TableofFigures"/>
                      </w:pPr>
                      <w:r>
                        <w:t xml:space="preserve">  Total distribution customers:</w:t>
                      </w:r>
                      <w:r w:rsidRPr="00C312BC">
                        <w:t xml:space="preserve"> </w:t>
                      </w:r>
                      <w:r w:rsidRPr="00C312BC">
                        <w:tab/>
                      </w:r>
                      <w:r>
                        <w:tab/>
                      </w:r>
                      <w:r>
                        <w:tab/>
                        <w:t>660,229</w:t>
                      </w:r>
                    </w:p>
                    <w:p w:rsidR="00AD3D0C" w:rsidRPr="00C312BC" w:rsidRDefault="00AD3D0C" w:rsidP="00513EA8">
                      <w:pPr>
                        <w:pStyle w:val="TableofFigures"/>
                      </w:pPr>
                      <w:r w:rsidRPr="00E96856">
                        <w:t xml:space="preserve"> </w:t>
                      </w:r>
                      <w:r w:rsidRPr="00513EA8">
                        <w:rPr>
                          <w:noProof/>
                          <w:lang w:eastAsia="en-AU"/>
                        </w:rPr>
                        <w:drawing>
                          <wp:inline distT="0" distB="0" distL="0" distR="0" wp14:anchorId="58799293" wp14:editId="4AF8EEB0">
                            <wp:extent cx="4566285" cy="956945"/>
                            <wp:effectExtent l="0" t="0" r="571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66285" cy="956945"/>
                                    </a:xfrm>
                                    <a:prstGeom prst="rect">
                                      <a:avLst/>
                                    </a:prstGeom>
                                    <a:noFill/>
                                  </pic:spPr>
                                </pic:pic>
                              </a:graphicData>
                            </a:graphic>
                          </wp:inline>
                        </w:drawing>
                      </w:r>
                    </w:p>
                    <w:p w:rsidR="00AD3D0C" w:rsidRDefault="00AD3D0C" w:rsidP="00513EA8">
                      <w:pPr>
                        <w:pStyle w:val="TableofFigures"/>
                      </w:pPr>
                      <w:r>
                        <w:t xml:space="preserve">  </w:t>
                      </w:r>
                      <w:r w:rsidRPr="0075338F">
                        <w:t xml:space="preserve">Total line </w:t>
                      </w:r>
                      <w:r>
                        <w:t xml:space="preserve">(circuit) </w:t>
                      </w:r>
                      <w:r w:rsidRPr="0075338F">
                        <w:t>length:</w:t>
                      </w:r>
                      <w:r>
                        <w:t xml:space="preserve"> </w:t>
                      </w:r>
                      <w:r>
                        <w:tab/>
                      </w:r>
                      <w:r>
                        <w:tab/>
                      </w:r>
                      <w:r>
                        <w:tab/>
                      </w:r>
                      <w:r>
                        <w:tab/>
                        <w:t>43,822 km</w:t>
                      </w:r>
                    </w:p>
                    <w:p w:rsidR="00AD3D0C" w:rsidRDefault="00AD3D0C" w:rsidP="00513EA8">
                      <w:r w:rsidRPr="00513EA8">
                        <w:rPr>
                          <w:noProof/>
                          <w:lang w:eastAsia="en-AU"/>
                        </w:rPr>
                        <w:drawing>
                          <wp:inline distT="0" distB="0" distL="0" distR="0" wp14:anchorId="4AE9B53F" wp14:editId="02DB0D87">
                            <wp:extent cx="4572000" cy="947737"/>
                            <wp:effectExtent l="0" t="0" r="0" b="508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15.1</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22,656 </w:t>
                      </w:r>
                      <w:proofErr w:type="spellStart"/>
                      <w:r>
                        <w:t>GWh</w:t>
                      </w:r>
                      <w:proofErr w:type="spellEnd"/>
                      <w:r>
                        <w:t>, 5</w:t>
                      </w:r>
                      <w:r w:rsidRPr="00474352">
                        <w:t xml:space="preserve"> per cent ▼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$914 m, 2</w:t>
                      </w:r>
                      <w:r w:rsidRPr="00474352">
                        <w:t xml:space="preserve"> per cent ▼ than forecast</w:t>
                      </w:r>
                    </w:p>
                    <w:p w:rsidR="00AD3D0C" w:rsidRPr="00474352" w:rsidRDefault="00AD3D0C" w:rsidP="00513EA8">
                      <w:r w:rsidRPr="00474352">
                        <w:t xml:space="preserve">  Regulatory Asset Base: </w:t>
                      </w:r>
                      <w:r w:rsidRPr="00474352">
                        <w:tab/>
                      </w:r>
                      <w:r w:rsidRPr="00474352">
                        <w:tab/>
                      </w:r>
                      <w:r>
                        <w:tab/>
                      </w:r>
                      <w:r w:rsidRPr="00474352">
                        <w:tab/>
                      </w:r>
                      <w:r>
                        <w:t>25</w:t>
                      </w:r>
                      <w:r w:rsidRPr="00474352">
                        <w:t xml:space="preserve"> per cent </w:t>
                      </w:r>
                      <w:r w:rsidRPr="00AE2FC7">
                        <w:t>▲</w:t>
                      </w:r>
                      <w:r w:rsidRPr="00474352">
                        <w:t xml:space="preserve"> (from $</w:t>
                      </w:r>
                      <w:r>
                        <w:t>2.2bn</w:t>
                      </w:r>
                      <w:r w:rsidRPr="00474352">
                        <w:t xml:space="preserve"> to $</w:t>
                      </w:r>
                      <w:r>
                        <w:t>2.7</w:t>
                      </w:r>
                      <w:r w:rsidRPr="00474352">
                        <w:t>bn)</w:t>
                      </w:r>
                    </w:p>
                    <w:p w:rsidR="00AD3D0C" w:rsidRPr="00474352" w:rsidRDefault="00AD3D0C" w:rsidP="00513EA8">
                      <w:r w:rsidRPr="00474352">
                        <w:t xml:space="preserve">  Operating expenditure: </w:t>
                      </w:r>
                      <w:r w:rsidRPr="00474352">
                        <w:tab/>
                      </w:r>
                      <w:r w:rsidRPr="00474352">
                        <w:tab/>
                      </w:r>
                      <w:r w:rsidRPr="00474352">
                        <w:tab/>
                      </w:r>
                      <w:r>
                        <w:tab/>
                        <w:t>$505 m, 4</w:t>
                      </w:r>
                      <w:r w:rsidRPr="00474352">
                        <w:t xml:space="preserve"> per cent ▼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 xml:space="preserve">$1.3 </w:t>
                      </w:r>
                      <w:proofErr w:type="spellStart"/>
                      <w:r>
                        <w:t>bn</w:t>
                      </w:r>
                      <w:proofErr w:type="spellEnd"/>
                      <w:r>
                        <w:t xml:space="preserve">, </w:t>
                      </w:r>
                      <w:r w:rsidRPr="00542B1E">
                        <w:t>within 1 per cent of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133.1</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191.3</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1.90</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2.10</w:t>
                      </w:r>
                      <w:r w:rsidRPr="00E96856">
                        <w:t xml:space="preserve"> interruptions</w:t>
                      </w:r>
                    </w:p>
                  </w:txbxContent>
                </v:textbox>
                <w10:wrap type="tight"/>
              </v:shape>
            </w:pict>
          </mc:Fallback>
        </mc:AlternateContent>
      </w:r>
      <w:r w:rsidR="00AE2FC7">
        <w:t>AusNet Services (formerly SP AusNet Distribution)</w:t>
      </w:r>
      <w:bookmarkEnd w:id="454"/>
      <w:bookmarkEnd w:id="455"/>
      <w:r w:rsidRPr="00513EA8">
        <w:t xml:space="preserve"> </w:t>
      </w:r>
    </w:p>
    <w:p w:rsidR="00AE2FC7" w:rsidRDefault="00AE2FC7" w:rsidP="00592413">
      <w:pPr>
        <w:pStyle w:val="Heading3"/>
      </w:pPr>
      <w:bookmarkStart w:id="458" w:name="_Toc409771701"/>
      <w:bookmarkStart w:id="459" w:name="_Toc412790650"/>
      <w:bookmarkStart w:id="460" w:name="_Toc413062131"/>
      <w:bookmarkStart w:id="461" w:name="_Toc413311127"/>
      <w:bookmarkStart w:id="462" w:name="_Toc423086543"/>
      <w:r>
        <w:t>Regulation</w:t>
      </w:r>
      <w:bookmarkEnd w:id="458"/>
      <w:bookmarkEnd w:id="459"/>
      <w:bookmarkEnd w:id="460"/>
      <w:bookmarkEnd w:id="461"/>
      <w:bookmarkEnd w:id="462"/>
    </w:p>
    <w:p w:rsidR="00AE2FC7" w:rsidRPr="00542B1E" w:rsidRDefault="00D30B61" w:rsidP="00AE2FC7">
      <w:r>
        <w:t>From</w:t>
      </w:r>
      <w:r w:rsidR="00AE2FC7" w:rsidRPr="00542B1E">
        <w:t xml:space="preserve"> 1 January 2011 </w:t>
      </w:r>
      <w:r w:rsidR="002767AE">
        <w:t>we have</w:t>
      </w:r>
      <w:r w:rsidR="00AE2FC7" w:rsidRPr="00542B1E">
        <w:t xml:space="preserve"> been responsible for the economic regulation of electricity distribution services provided by AusNet Services (formerly SP AusNet). Previously the Essential Services Commission of Victoria (ESCV) was the responsible regulator.</w:t>
      </w:r>
    </w:p>
    <w:p w:rsidR="00AE2FC7" w:rsidRDefault="00AE2FC7" w:rsidP="00592413">
      <w:pPr>
        <w:pStyle w:val="Heading3"/>
      </w:pPr>
      <w:bookmarkStart w:id="463" w:name="_Toc409771702"/>
      <w:bookmarkStart w:id="464" w:name="_Toc412790651"/>
      <w:bookmarkStart w:id="465" w:name="_Toc413062132"/>
      <w:bookmarkStart w:id="466" w:name="_Toc413311128"/>
      <w:bookmarkStart w:id="467" w:name="_Toc423086544"/>
      <w:r>
        <w:t>Energy delivered</w:t>
      </w:r>
      <w:bookmarkEnd w:id="463"/>
      <w:bookmarkEnd w:id="464"/>
      <w:bookmarkEnd w:id="465"/>
      <w:bookmarkEnd w:id="466"/>
      <w:bookmarkEnd w:id="467"/>
      <w:r w:rsidRPr="00542B1E">
        <w:t xml:space="preserve"> </w:t>
      </w:r>
    </w:p>
    <w:p w:rsidR="00AE2FC7" w:rsidRPr="00542B1E" w:rsidRDefault="00AE2FC7" w:rsidP="00AE2FC7">
      <w:r w:rsidRPr="00542B1E">
        <w:t>Total energy delivered by AusNet Services over the first three years of the 2011</w:t>
      </w:r>
      <w:r w:rsidR="007A3240">
        <w:t>–</w:t>
      </w:r>
      <w:r w:rsidRPr="00542B1E">
        <w:t xml:space="preserve">15 regulatory control period was approximately </w:t>
      </w:r>
      <w:r w:rsidR="006874D5">
        <w:t>5</w:t>
      </w:r>
      <w:r w:rsidR="00FB7576" w:rsidRPr="00542B1E">
        <w:t xml:space="preserve"> </w:t>
      </w:r>
      <w:r w:rsidRPr="00542B1E">
        <w:t xml:space="preserve">per cent less than </w:t>
      </w:r>
      <w:r w:rsidR="00DD4FC1">
        <w:t>our approved</w:t>
      </w:r>
      <w:r w:rsidRPr="00542B1E">
        <w:t xml:space="preserve"> forecast (</w:t>
      </w:r>
      <w:r>
        <w:t>Figure 9</w:t>
      </w:r>
      <w:r w:rsidRPr="00542B1E">
        <w:t>–</w:t>
      </w:r>
      <w:r w:rsidR="00A136C6">
        <w:t>81</w:t>
      </w:r>
      <w:r w:rsidRPr="00542B1E">
        <w:t>). The forecasts for the 2011</w:t>
      </w:r>
      <w:r w:rsidR="007A3240">
        <w:t>–</w:t>
      </w:r>
      <w:r w:rsidRPr="00542B1E">
        <w:t xml:space="preserve">15 regulatory control period are those submitted by AusNet Services and </w:t>
      </w:r>
      <w:r w:rsidR="00DD4FC1">
        <w:t xml:space="preserve">accepted by us in our </w:t>
      </w:r>
      <w:r w:rsidRPr="00542B1E">
        <w:t>201</w:t>
      </w:r>
      <w:r w:rsidR="00561823">
        <w:t>0</w:t>
      </w:r>
      <w:r w:rsidRPr="00542B1E">
        <w:t xml:space="preserve"> distribution determination. </w:t>
      </w:r>
    </w:p>
    <w:p w:rsidR="00845737" w:rsidRPr="00542B1E" w:rsidRDefault="00845737" w:rsidP="00845737">
      <w:r w:rsidRPr="00542B1E">
        <w:t>AusNet Services indicated the key drivers of the recent decline in energy delivered were:</w:t>
      </w:r>
    </w:p>
    <w:p w:rsidR="00845737" w:rsidRPr="00542B1E" w:rsidRDefault="00845737" w:rsidP="006874D5">
      <w:pPr>
        <w:pStyle w:val="ListBullet"/>
      </w:pPr>
      <w:r w:rsidRPr="00542B1E">
        <w:t>the reduction in energy usage by water utilities due to the reduction in pumping associated with the drought ending in 2010</w:t>
      </w:r>
    </w:p>
    <w:p w:rsidR="00845737" w:rsidRPr="00542B1E" w:rsidRDefault="00845737" w:rsidP="006874D5">
      <w:pPr>
        <w:pStyle w:val="ListBullet"/>
      </w:pPr>
      <w:r w:rsidRPr="00542B1E">
        <w:t>solar uptake (approximately 10 per cent of AusNet Services’ customers have installed solar, and system sizes are getting larger)</w:t>
      </w:r>
    </w:p>
    <w:p w:rsidR="00845737" w:rsidRPr="00542B1E" w:rsidRDefault="00845737" w:rsidP="006874D5">
      <w:pPr>
        <w:pStyle w:val="ListBullet"/>
      </w:pPr>
      <w:r w:rsidRPr="00542B1E">
        <w:t>energy efficiency (household appliances, business processes and building designs are becoming increasingly energy efficient)</w:t>
      </w:r>
    </w:p>
    <w:p w:rsidR="00845737" w:rsidRPr="00542B1E" w:rsidRDefault="00845737" w:rsidP="006874D5">
      <w:pPr>
        <w:pStyle w:val="ListBullet"/>
      </w:pPr>
      <w:r w:rsidRPr="00542B1E">
        <w:t>increasing prices have changed consumer behaviour with respect to energy consumption.</w:t>
      </w:r>
    </w:p>
    <w:p w:rsidR="00AE2FC7" w:rsidRDefault="00AE2FC7" w:rsidP="00972E3F">
      <w:pPr>
        <w:pStyle w:val="Caption"/>
      </w:pPr>
      <w:r>
        <w:t>Figure 9</w:t>
      </w:r>
      <w:r w:rsidRPr="00542B1E">
        <w:t>–</w:t>
      </w:r>
      <w:r w:rsidR="00A136C6">
        <w:t>81</w:t>
      </w:r>
      <w:r w:rsidR="00FB7576">
        <w:tab/>
      </w:r>
      <w:r w:rsidRPr="00542B1E">
        <w:t xml:space="preserve">Energy delivered </w:t>
      </w:r>
      <w:r w:rsidR="007A3240">
        <w:t>–</w:t>
      </w:r>
      <w:r w:rsidRPr="00542B1E">
        <w:t xml:space="preserve"> AusNet Services</w:t>
      </w:r>
    </w:p>
    <w:p w:rsidR="00FB7576" w:rsidRPr="00FB7576" w:rsidRDefault="00FB7576" w:rsidP="00FB7576">
      <w:r w:rsidRPr="00FB7576">
        <w:rPr>
          <w:noProof/>
          <w:lang w:eastAsia="en-AU"/>
        </w:rPr>
        <w:drawing>
          <wp:inline distT="0" distB="0" distL="0" distR="0" wp14:anchorId="03D92036" wp14:editId="3BB57476">
            <wp:extent cx="4572000" cy="27432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AE2FC7" w:rsidRDefault="00AE2FC7" w:rsidP="00AE2FC7">
      <w:r w:rsidRPr="00542B1E">
        <w:t xml:space="preserve">Chapter 4 </w:t>
      </w:r>
      <w:r w:rsidR="009E3ACF">
        <w:t xml:space="preserve">contains our </w:t>
      </w:r>
      <w:r w:rsidRPr="00542B1E">
        <w:t xml:space="preserve">assessment of energy delivered for all DNSPs in the NEM. </w:t>
      </w:r>
    </w:p>
    <w:p w:rsidR="00AE2FC7" w:rsidRDefault="00AE2FC7" w:rsidP="00592413">
      <w:pPr>
        <w:pStyle w:val="Heading3"/>
      </w:pPr>
      <w:bookmarkStart w:id="468" w:name="_Toc409771703"/>
      <w:bookmarkStart w:id="469" w:name="_Toc412790652"/>
      <w:bookmarkStart w:id="470" w:name="_Toc413062133"/>
      <w:bookmarkStart w:id="471" w:name="_Toc413311129"/>
      <w:bookmarkStart w:id="472" w:name="_Toc423086545"/>
      <w:r>
        <w:t>Demand</w:t>
      </w:r>
      <w:bookmarkEnd w:id="468"/>
      <w:bookmarkEnd w:id="469"/>
      <w:bookmarkEnd w:id="470"/>
      <w:bookmarkEnd w:id="471"/>
      <w:bookmarkEnd w:id="472"/>
    </w:p>
    <w:p w:rsidR="00AE2FC7" w:rsidRPr="00542B1E" w:rsidRDefault="00AE2FC7" w:rsidP="00AE2FC7">
      <w:r w:rsidRPr="00542B1E">
        <w:t>AusNet Services' actual maximum demand in each of the first three years of the 2011</w:t>
      </w:r>
      <w:r w:rsidR="007A3240">
        <w:t>–</w:t>
      </w:r>
      <w:r w:rsidRPr="00542B1E">
        <w:t>15 regulatory control period was lower than the forecast maximum demand</w:t>
      </w:r>
      <w:r w:rsidR="00CC0E3F">
        <w:t xml:space="preserve"> </w:t>
      </w:r>
      <w:r w:rsidR="00DD4FC1">
        <w:t xml:space="preserve">accepted by us in our </w:t>
      </w:r>
      <w:r w:rsidRPr="00542B1E">
        <w:t>201</w:t>
      </w:r>
      <w:r w:rsidR="00561823">
        <w:t>0</w:t>
      </w:r>
      <w:r w:rsidRPr="00542B1E">
        <w:t xml:space="preserve"> distribution determination (</w:t>
      </w:r>
      <w:r>
        <w:t>Figure 9</w:t>
      </w:r>
      <w:r w:rsidRPr="00542B1E">
        <w:t>–</w:t>
      </w:r>
      <w:r w:rsidR="00A136C6">
        <w:t>82</w:t>
      </w:r>
      <w:r w:rsidRPr="00542B1E">
        <w:t>).</w:t>
      </w:r>
    </w:p>
    <w:p w:rsidR="00845737" w:rsidRPr="00542B1E" w:rsidRDefault="00845737" w:rsidP="00845737">
      <w:r w:rsidRPr="00542B1E">
        <w:t>AusNet Services indicated its maximum demand did not reduce in line with energy delivered due to:</w:t>
      </w:r>
    </w:p>
    <w:p w:rsidR="00845737" w:rsidRPr="00542B1E" w:rsidRDefault="00845737" w:rsidP="006874D5">
      <w:pPr>
        <w:pStyle w:val="ListBullet"/>
      </w:pPr>
      <w:r w:rsidRPr="00542B1E">
        <w:t>population increases</w:t>
      </w:r>
    </w:p>
    <w:p w:rsidR="00845737" w:rsidRPr="00542B1E" w:rsidRDefault="00845737" w:rsidP="006874D5">
      <w:pPr>
        <w:pStyle w:val="ListBullet"/>
      </w:pPr>
      <w:r w:rsidRPr="00542B1E">
        <w:t>the growing penetration of air conditioners (amplified by consumers’ preferences towards energy intensive refrigerated cooling).</w:t>
      </w:r>
    </w:p>
    <w:p w:rsidR="00845737" w:rsidRPr="00542B1E" w:rsidRDefault="00845737" w:rsidP="00845737">
      <w:r w:rsidRPr="00542B1E">
        <w:t>AusNet Services also indicated that in any particular year, weather can contribute to maximum demand outcomes.</w:t>
      </w:r>
    </w:p>
    <w:p w:rsidR="00AE2FC7" w:rsidRDefault="00AE2FC7" w:rsidP="00972E3F">
      <w:pPr>
        <w:pStyle w:val="Caption"/>
      </w:pPr>
      <w:r>
        <w:t>Figure 9</w:t>
      </w:r>
      <w:r w:rsidRPr="00542B1E">
        <w:t>–</w:t>
      </w:r>
      <w:r w:rsidR="00A136C6">
        <w:t>82</w:t>
      </w:r>
      <w:r w:rsidR="00FB7576">
        <w:tab/>
      </w:r>
      <w:r w:rsidRPr="00542B1E">
        <w:t xml:space="preserve">Maximum demand </w:t>
      </w:r>
      <w:r w:rsidR="007A3240">
        <w:t>–</w:t>
      </w:r>
      <w:r w:rsidRPr="00542B1E">
        <w:t xml:space="preserve"> AusNet Services</w:t>
      </w:r>
    </w:p>
    <w:p w:rsidR="00FB7576" w:rsidRPr="00FB7576" w:rsidRDefault="00FB7576" w:rsidP="00FB7576">
      <w:r w:rsidRPr="00FB7576">
        <w:rPr>
          <w:noProof/>
          <w:lang w:eastAsia="en-AU"/>
        </w:rPr>
        <w:drawing>
          <wp:inline distT="0" distB="0" distL="0" distR="0" wp14:anchorId="3B41993A" wp14:editId="5EA00F0D">
            <wp:extent cx="4572000" cy="27432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AE2FC7" w:rsidRPr="00542B1E" w:rsidRDefault="00AE2FC7" w:rsidP="00AE2FC7">
      <w:r w:rsidRPr="00542B1E">
        <w:t xml:space="preserve">Chapter 4 </w:t>
      </w:r>
      <w:r w:rsidR="009E3ACF">
        <w:t xml:space="preserve">contains our </w:t>
      </w:r>
      <w:r w:rsidRPr="00542B1E">
        <w:t xml:space="preserve">assessment of maximum demand for all DNSPs in the NEM. </w:t>
      </w:r>
    </w:p>
    <w:p w:rsidR="00AE2FC7" w:rsidRDefault="00AE2FC7" w:rsidP="00592413">
      <w:pPr>
        <w:pStyle w:val="Heading3"/>
      </w:pPr>
      <w:bookmarkStart w:id="473" w:name="_Toc409771704"/>
      <w:bookmarkStart w:id="474" w:name="_Toc412790653"/>
      <w:bookmarkStart w:id="475" w:name="_Toc413062134"/>
      <w:bookmarkStart w:id="476" w:name="_Toc413311130"/>
      <w:bookmarkStart w:id="477" w:name="_Toc423086546"/>
      <w:r>
        <w:t>Expenditure and revenue</w:t>
      </w:r>
      <w:bookmarkEnd w:id="473"/>
      <w:bookmarkEnd w:id="474"/>
      <w:bookmarkEnd w:id="475"/>
      <w:bookmarkEnd w:id="476"/>
      <w:bookmarkEnd w:id="477"/>
    </w:p>
    <w:p w:rsidR="00AE2FC7" w:rsidRPr="00542B1E" w:rsidRDefault="00AE2FC7" w:rsidP="00AE2FC7">
      <w:r w:rsidRPr="00542B1E">
        <w:t xml:space="preserve">Amendments made to </w:t>
      </w:r>
      <w:r w:rsidR="00DD4FC1">
        <w:t>our approved</w:t>
      </w:r>
      <w:r w:rsidRPr="00542B1E">
        <w:t xml:space="preserve"> forecasts as the result of Tribunal orders or as a result of approved pass throughs </w:t>
      </w:r>
      <w:r w:rsidR="00D30B61">
        <w:t>are</w:t>
      </w:r>
      <w:r w:rsidRPr="00542B1E">
        <w:t xml:space="preserve"> included in the following analysis of AusNet Services' financial performance.</w:t>
      </w:r>
      <w:r w:rsidR="006874D5">
        <w:rPr>
          <w:rStyle w:val="FootnoteReference"/>
        </w:rPr>
        <w:footnoteReference w:id="21"/>
      </w:r>
      <w:r w:rsidRPr="00542B1E">
        <w:t xml:space="preserve"> </w:t>
      </w:r>
    </w:p>
    <w:p w:rsidR="00AE2FC7" w:rsidRPr="00542B1E" w:rsidRDefault="00AE2FC7" w:rsidP="00AE2FC7">
      <w:pPr>
        <w:pStyle w:val="Heading4notnumbered"/>
      </w:pPr>
      <w:r w:rsidRPr="00542B1E">
        <w:t>Capital expenditure</w:t>
      </w:r>
    </w:p>
    <w:p w:rsidR="00AE2FC7" w:rsidRPr="00542B1E" w:rsidRDefault="00AE2FC7" w:rsidP="00AE2FC7">
      <w:r w:rsidRPr="00542B1E">
        <w:t>AusNet Services' total capital expenditure over the first three years of the 2011</w:t>
      </w:r>
      <w:r w:rsidR="007A3240">
        <w:t>–</w:t>
      </w:r>
      <w:r w:rsidRPr="00542B1E">
        <w:t xml:space="preserve">15 regulatory control period was approximately </w:t>
      </w:r>
      <w:r w:rsidR="00B92883">
        <w:t>2</w:t>
      </w:r>
      <w:r w:rsidR="00FB7576" w:rsidRPr="00542B1E">
        <w:t xml:space="preserve"> </w:t>
      </w:r>
      <w:r w:rsidRPr="00542B1E">
        <w:t xml:space="preserve">per cent lower than </w:t>
      </w:r>
      <w:r w:rsidR="00DD4FC1">
        <w:t>our approved</w:t>
      </w:r>
      <w:r w:rsidRPr="00542B1E">
        <w:t xml:space="preserve"> forecast (</w:t>
      </w:r>
      <w:r>
        <w:t>Figure 9</w:t>
      </w:r>
      <w:r w:rsidRPr="00542B1E">
        <w:t>–</w:t>
      </w:r>
      <w:r w:rsidR="00A136C6">
        <w:t>83</w:t>
      </w:r>
      <w:r w:rsidRPr="00542B1E">
        <w:t>).</w:t>
      </w:r>
    </w:p>
    <w:p w:rsidR="00AE2FC7" w:rsidRDefault="00AE2FC7" w:rsidP="00972E3F">
      <w:pPr>
        <w:pStyle w:val="Caption"/>
      </w:pPr>
      <w:r>
        <w:t>Figure 9</w:t>
      </w:r>
      <w:r w:rsidRPr="00542B1E">
        <w:t>–</w:t>
      </w:r>
      <w:r w:rsidR="00A136C6">
        <w:t>83</w:t>
      </w:r>
      <w:r w:rsidRPr="00542B1E">
        <w:tab/>
        <w:t xml:space="preserve">Capital expenditure (excluding customer contributions) </w:t>
      </w:r>
      <w:r w:rsidR="007A3240">
        <w:t>–</w:t>
      </w:r>
      <w:r w:rsidRPr="00542B1E">
        <w:t xml:space="preserve"> AusNet Services</w:t>
      </w:r>
    </w:p>
    <w:p w:rsidR="00FB7576" w:rsidRPr="00FB7576" w:rsidRDefault="00FB7576" w:rsidP="00FB7576">
      <w:r w:rsidRPr="00FB7576">
        <w:rPr>
          <w:noProof/>
          <w:lang w:eastAsia="en-AU"/>
        </w:rPr>
        <w:drawing>
          <wp:inline distT="0" distB="0" distL="0" distR="0" wp14:anchorId="3D6E3C6A" wp14:editId="49108E6A">
            <wp:extent cx="4572000" cy="2743200"/>
            <wp:effectExtent l="0" t="0" r="0"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845737" w:rsidRPr="00542B1E" w:rsidRDefault="00845737" w:rsidP="00845737">
      <w:r w:rsidRPr="00542B1E">
        <w:t xml:space="preserve">AusNet Services indicated </w:t>
      </w:r>
      <w:r>
        <w:t xml:space="preserve">its </w:t>
      </w:r>
      <w:r w:rsidRPr="00542B1E">
        <w:t>capital expenditure was less than forecast in 2011 due to lower spending on demand related categories including reinforcement and customer connections</w:t>
      </w:r>
      <w:r>
        <w:t xml:space="preserve"> (Figure 9–84)</w:t>
      </w:r>
      <w:r w:rsidRPr="00542B1E">
        <w:t xml:space="preserve">. </w:t>
      </w:r>
    </w:p>
    <w:p w:rsidR="00F05E0B" w:rsidRDefault="00AE2FC7" w:rsidP="00972E3F">
      <w:pPr>
        <w:pStyle w:val="Caption"/>
      </w:pPr>
      <w:r>
        <w:t>Figure 9</w:t>
      </w:r>
      <w:r w:rsidRPr="00542B1E">
        <w:t>–</w:t>
      </w:r>
      <w:r w:rsidR="00A136C6">
        <w:t>84</w:t>
      </w:r>
      <w:r w:rsidR="00FB7576">
        <w:tab/>
      </w:r>
      <w:r w:rsidRPr="00542B1E">
        <w:t xml:space="preserve">Capital expenditure by purpose (excluding customer contributions) </w:t>
      </w:r>
      <w:r w:rsidR="007A3240">
        <w:t>–</w:t>
      </w:r>
      <w:r w:rsidRPr="00542B1E">
        <w:t xml:space="preserve"> AusNet Services</w:t>
      </w:r>
    </w:p>
    <w:p w:rsidR="00F05E0B" w:rsidRPr="00F05E0B" w:rsidRDefault="00F05E0B" w:rsidP="00F05E0B">
      <w:r w:rsidRPr="00F05E0B">
        <w:rPr>
          <w:noProof/>
          <w:lang w:eastAsia="en-AU"/>
        </w:rPr>
        <w:drawing>
          <wp:inline distT="0" distB="0" distL="0" distR="0" wp14:anchorId="1B346588" wp14:editId="4427D0E6">
            <wp:extent cx="4572000" cy="2743200"/>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AE2FC7" w:rsidRDefault="00AE2FC7" w:rsidP="00AE2FC7">
      <w:r w:rsidRPr="00542B1E">
        <w:t xml:space="preserve">Chapter 5 provides a description of how DNSPs fund their expenditure on investment projects (capital expenditure) and a comparative assessment of capital expenditure for all DNSPs in the NEM. </w:t>
      </w:r>
    </w:p>
    <w:p w:rsidR="00AE2FC7" w:rsidRPr="00542B1E" w:rsidRDefault="00AE2FC7" w:rsidP="00AE2FC7">
      <w:pPr>
        <w:pStyle w:val="Heading4notnumbered"/>
      </w:pPr>
      <w:r w:rsidRPr="00542B1E">
        <w:t>Regulatory asset base</w:t>
      </w:r>
    </w:p>
    <w:p w:rsidR="00AE2FC7" w:rsidRPr="00542B1E" w:rsidRDefault="00AE2FC7" w:rsidP="00AE2FC7">
      <w:r w:rsidRPr="00542B1E">
        <w:t>AusNet Services' RAB increased by approximately 25 per cent over the first three years of the 2011</w:t>
      </w:r>
      <w:r w:rsidR="007A3240">
        <w:t>–</w:t>
      </w:r>
      <w:r w:rsidRPr="00542B1E">
        <w:t>15 regulatory control period. AusNet Services' RAB was forecast to increase by 43 per cent over this period.</w:t>
      </w:r>
    </w:p>
    <w:p w:rsidR="00AE2FC7" w:rsidRDefault="00AE2FC7" w:rsidP="00AE2FC7">
      <w:r w:rsidRPr="00542B1E">
        <w:t>AusNet Services' RAB grew from approximately $2.2 billion at the end of 2010 to approximately $2.7 billion at the end of 2013 (</w:t>
      </w:r>
      <w:r>
        <w:t>Figure 9</w:t>
      </w:r>
      <w:r w:rsidRPr="00542B1E">
        <w:t>–</w:t>
      </w:r>
      <w:r w:rsidR="00A136C6">
        <w:t>85</w:t>
      </w:r>
      <w:r w:rsidRPr="00542B1E">
        <w:t>).</w:t>
      </w:r>
    </w:p>
    <w:p w:rsidR="00845737" w:rsidRPr="00542B1E" w:rsidRDefault="00845737" w:rsidP="00845737">
      <w:r w:rsidRPr="00542B1E">
        <w:t>The marginal difference between the forecast and actual value of AusNet Services' RAB is consistent with its marginal underspending on capital over the first three years of the 2011</w:t>
      </w:r>
      <w:r>
        <w:t>–</w:t>
      </w:r>
      <w:r w:rsidRPr="00542B1E">
        <w:t>15 regulatory control period.</w:t>
      </w:r>
    </w:p>
    <w:p w:rsidR="00F05E0B" w:rsidRDefault="00AE2FC7" w:rsidP="00972E3F">
      <w:pPr>
        <w:pStyle w:val="Caption"/>
      </w:pPr>
      <w:r>
        <w:t>Figure 9</w:t>
      </w:r>
      <w:r w:rsidRPr="00542B1E">
        <w:t>–</w:t>
      </w:r>
      <w:r w:rsidR="00A136C6">
        <w:t>85</w:t>
      </w:r>
      <w:r w:rsidRPr="00542B1E">
        <w:tab/>
        <w:t xml:space="preserve">Regulatory asset base </w:t>
      </w:r>
      <w:r w:rsidR="007A3240">
        <w:t>–</w:t>
      </w:r>
      <w:r w:rsidRPr="00542B1E">
        <w:t xml:space="preserve"> AusNet Services</w:t>
      </w:r>
    </w:p>
    <w:p w:rsidR="00F05E0B" w:rsidRPr="00F05E0B" w:rsidRDefault="00F05E0B" w:rsidP="00F05E0B">
      <w:r w:rsidRPr="00F05E0B">
        <w:rPr>
          <w:noProof/>
          <w:lang w:eastAsia="en-AU"/>
        </w:rPr>
        <w:drawing>
          <wp:inline distT="0" distB="0" distL="0" distR="0" wp14:anchorId="4685CDC3" wp14:editId="16339340">
            <wp:extent cx="4733925" cy="27432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AE2FC7" w:rsidRPr="00542B1E" w:rsidRDefault="00AE2FC7" w:rsidP="00AE2FC7">
      <w:pPr>
        <w:pStyle w:val="Heading4notnumbered"/>
      </w:pPr>
      <w:r w:rsidRPr="00542B1E">
        <w:t>Operating expenditure</w:t>
      </w:r>
    </w:p>
    <w:p w:rsidR="00AE2FC7" w:rsidRPr="00542B1E" w:rsidRDefault="00AE2FC7" w:rsidP="00AE2FC7">
      <w:r w:rsidRPr="00542B1E">
        <w:t>AusNet Services' total operating expenditure over the first three years of the 2011</w:t>
      </w:r>
      <w:r w:rsidR="007A3240">
        <w:t>–</w:t>
      </w:r>
      <w:r w:rsidRPr="00542B1E">
        <w:t xml:space="preserve">15 regulatory control period was approximately </w:t>
      </w:r>
      <w:r w:rsidR="00B92883">
        <w:t>4</w:t>
      </w:r>
      <w:r w:rsidR="00FB7576" w:rsidRPr="00542B1E">
        <w:t xml:space="preserve"> </w:t>
      </w:r>
      <w:r w:rsidRPr="00542B1E">
        <w:t xml:space="preserve">per cent lower than </w:t>
      </w:r>
      <w:r w:rsidR="00DD4FC1">
        <w:t>our approved</w:t>
      </w:r>
      <w:r w:rsidRPr="00542B1E">
        <w:t xml:space="preserve"> forecast (</w:t>
      </w:r>
      <w:r>
        <w:t>Figure 9</w:t>
      </w:r>
      <w:r w:rsidRPr="00542B1E">
        <w:t>–</w:t>
      </w:r>
      <w:r w:rsidR="00A136C6">
        <w:t>86</w:t>
      </w:r>
      <w:r w:rsidRPr="00542B1E">
        <w:t xml:space="preserve">). </w:t>
      </w:r>
    </w:p>
    <w:p w:rsidR="00845737" w:rsidRPr="00542B1E" w:rsidRDefault="00845737" w:rsidP="00845737">
      <w:r w:rsidRPr="00542B1E">
        <w:t>AusNet Services indicated underspending on actual operating expenditure in 2011 and 2012 was primarily driven by efficiencies in maintenance spend.</w:t>
      </w:r>
    </w:p>
    <w:p w:rsidR="002712DB" w:rsidRDefault="002712DB" w:rsidP="002712DB">
      <w:r w:rsidRPr="00542B1E">
        <w:t xml:space="preserve">Chapter 6 </w:t>
      </w:r>
      <w:r>
        <w:t xml:space="preserve">contains our </w:t>
      </w:r>
      <w:r w:rsidRPr="00542B1E">
        <w:t>assessment of operating expenditure for all DNSPs in the NEM.</w:t>
      </w:r>
    </w:p>
    <w:p w:rsidR="00AE2FC7" w:rsidRDefault="00AE2FC7" w:rsidP="00972E3F">
      <w:pPr>
        <w:pStyle w:val="Caption"/>
      </w:pPr>
      <w:r>
        <w:t>Figure 9</w:t>
      </w:r>
      <w:r w:rsidRPr="00542B1E">
        <w:t>–</w:t>
      </w:r>
      <w:r w:rsidR="00A136C6">
        <w:t>86</w:t>
      </w:r>
      <w:r w:rsidRPr="00542B1E">
        <w:tab/>
        <w:t xml:space="preserve">Operating expenditure </w:t>
      </w:r>
      <w:r w:rsidR="007A3240">
        <w:t>–</w:t>
      </w:r>
      <w:r w:rsidRPr="00542B1E">
        <w:t xml:space="preserve"> AusNet Services</w:t>
      </w:r>
    </w:p>
    <w:p w:rsidR="00F05E0B" w:rsidRPr="00F05E0B" w:rsidRDefault="00F05E0B" w:rsidP="00F05E0B">
      <w:r w:rsidRPr="00F05E0B">
        <w:rPr>
          <w:noProof/>
          <w:lang w:eastAsia="en-AU"/>
        </w:rPr>
        <w:drawing>
          <wp:inline distT="0" distB="0" distL="0" distR="0" wp14:anchorId="53A4B6D2" wp14:editId="71067572">
            <wp:extent cx="4572000" cy="2743200"/>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AE2FC7" w:rsidRPr="00542B1E" w:rsidRDefault="00AE2FC7" w:rsidP="00AE2FC7">
      <w:pPr>
        <w:pStyle w:val="Heading4notnumbered"/>
      </w:pPr>
      <w:r w:rsidRPr="00542B1E">
        <w:t>Revenue</w:t>
      </w:r>
    </w:p>
    <w:p w:rsidR="00AE2FC7" w:rsidRPr="00542B1E" w:rsidRDefault="00AE2FC7" w:rsidP="00AE2FC7">
      <w:r w:rsidRPr="00542B1E">
        <w:t>The AER’s 201</w:t>
      </w:r>
      <w:r w:rsidR="00561823">
        <w:t>0</w:t>
      </w:r>
      <w:r w:rsidRPr="00542B1E">
        <w:t xml:space="preserve"> distribution determination applied a weighted average price cap (WAPC) form of control to AusNet Services' distribution services over the 2011</w:t>
      </w:r>
      <w:r w:rsidR="007A3240">
        <w:t>–</w:t>
      </w:r>
      <w:r w:rsidRPr="00542B1E">
        <w:t xml:space="preserve">15 regulatory control period. A WAPC imposes controls over the prices </w:t>
      </w:r>
      <w:r w:rsidR="00A75C74" w:rsidRPr="0015769E">
        <w:t>a DNSP may charge for its services</w:t>
      </w:r>
      <w:r w:rsidRPr="00542B1E">
        <w:t>.</w:t>
      </w:r>
    </w:p>
    <w:p w:rsidR="00AE2FC7" w:rsidRPr="00542B1E" w:rsidRDefault="00AE2FC7" w:rsidP="00AE2FC7">
      <w:r w:rsidRPr="00542B1E">
        <w:t>AusNet Services' total revenue earned for standard control services over the first three years of the 2011</w:t>
      </w:r>
      <w:r w:rsidR="007A3240">
        <w:t>–</w:t>
      </w:r>
      <w:r w:rsidRPr="00542B1E">
        <w:t xml:space="preserve">15 regulatory control period was within 1 per cent of </w:t>
      </w:r>
      <w:r w:rsidR="00DD4FC1">
        <w:t>our approved</w:t>
      </w:r>
      <w:r w:rsidRPr="00542B1E">
        <w:t xml:space="preserve"> forecast (</w:t>
      </w:r>
      <w:r>
        <w:t>Figure 9</w:t>
      </w:r>
      <w:r w:rsidRPr="00542B1E">
        <w:t>–</w:t>
      </w:r>
      <w:r w:rsidR="00A136C6">
        <w:t>87</w:t>
      </w:r>
      <w:r w:rsidRPr="00542B1E">
        <w:t xml:space="preserve">). </w:t>
      </w:r>
      <w:r w:rsidR="00775D0A">
        <w:t>Aus</w:t>
      </w:r>
      <w:r w:rsidR="00206259">
        <w:t>Net</w:t>
      </w:r>
      <w:r w:rsidR="00670845">
        <w:t xml:space="preserve"> Services’</w:t>
      </w:r>
      <w:r w:rsidR="00775D0A">
        <w:t xml:space="preserve"> r</w:t>
      </w:r>
      <w:r w:rsidR="00182EB2">
        <w:t xml:space="preserve">evenue earned </w:t>
      </w:r>
      <w:r w:rsidR="00775D0A">
        <w:t>was impacted by STPIS reliability payments, which increased actual revenues relative to forecasts.</w:t>
      </w:r>
    </w:p>
    <w:p w:rsidR="00AE2FC7" w:rsidRDefault="00AE2FC7" w:rsidP="00972E3F">
      <w:pPr>
        <w:pStyle w:val="Caption"/>
      </w:pPr>
      <w:r>
        <w:t>Figure 9</w:t>
      </w:r>
      <w:r w:rsidRPr="00542B1E">
        <w:t>–</w:t>
      </w:r>
      <w:r w:rsidR="00A136C6">
        <w:t>87</w:t>
      </w:r>
      <w:r w:rsidRPr="00542B1E">
        <w:tab/>
        <w:t xml:space="preserve">Revenue </w:t>
      </w:r>
      <w:r w:rsidR="007A3240">
        <w:t>–</w:t>
      </w:r>
      <w:r w:rsidRPr="00542B1E">
        <w:t xml:space="preserve"> AusNet Services</w:t>
      </w:r>
    </w:p>
    <w:p w:rsidR="00F05E0B" w:rsidRPr="00F05E0B" w:rsidRDefault="00F05E0B" w:rsidP="00F05E0B">
      <w:r w:rsidRPr="00F05E0B">
        <w:rPr>
          <w:noProof/>
          <w:lang w:eastAsia="en-AU"/>
        </w:rPr>
        <w:drawing>
          <wp:inline distT="0" distB="0" distL="0" distR="0" wp14:anchorId="1FD48A7B" wp14:editId="37D15219">
            <wp:extent cx="4572000" cy="2743200"/>
            <wp:effectExtent l="0" t="0" r="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AE2FC7" w:rsidRPr="00542B1E" w:rsidRDefault="00AE2FC7" w:rsidP="00AE2FC7">
      <w:r w:rsidRPr="00542B1E">
        <w:t xml:space="preserve">Chapter 7 provides further information on the WAPC control mechanism </w:t>
      </w:r>
      <w:r w:rsidR="00AB11E6">
        <w:t xml:space="preserve">as well as our comparative </w:t>
      </w:r>
      <w:r w:rsidRPr="00542B1E">
        <w:t xml:space="preserve">assessment of revenue for all DNSPs in the NEM. </w:t>
      </w:r>
    </w:p>
    <w:p w:rsidR="00AE2FC7" w:rsidRDefault="00AE2FC7" w:rsidP="00592413">
      <w:pPr>
        <w:pStyle w:val="Heading3"/>
      </w:pPr>
      <w:bookmarkStart w:id="478" w:name="_Toc409771705"/>
      <w:bookmarkStart w:id="479" w:name="_Toc412790654"/>
      <w:bookmarkStart w:id="480" w:name="_Toc413062135"/>
      <w:bookmarkStart w:id="481" w:name="_Toc413311131"/>
      <w:bookmarkStart w:id="482" w:name="_Toc423086547"/>
      <w:r>
        <w:t>Financial performance</w:t>
      </w:r>
      <w:bookmarkEnd w:id="478"/>
      <w:bookmarkEnd w:id="479"/>
      <w:bookmarkEnd w:id="480"/>
      <w:bookmarkEnd w:id="481"/>
      <w:bookmarkEnd w:id="482"/>
    </w:p>
    <w:p w:rsidR="00AE2FC7" w:rsidRPr="00542B1E" w:rsidRDefault="00AE2FC7" w:rsidP="00AE2FC7">
      <w:r w:rsidRPr="00542B1E">
        <w:t>AusNet Services' average EBIT for standard control services was approximately 38 per cent of its total revenue earned for standard control services over 2011</w:t>
      </w:r>
      <w:r w:rsidR="00525C94">
        <w:t>–</w:t>
      </w:r>
      <w:r w:rsidRPr="00542B1E">
        <w:t xml:space="preserve">13. </w:t>
      </w:r>
      <w:r w:rsidR="00525C94" w:rsidRPr="00CB73C1">
        <w:t xml:space="preserve">The EBIT in </w:t>
      </w:r>
      <w:r w:rsidR="00525C94">
        <w:t>Figure 9</w:t>
      </w:r>
      <w:r w:rsidR="00525C94" w:rsidRPr="00CB73C1">
        <w:t>–</w:t>
      </w:r>
      <w:r w:rsidR="00525C94">
        <w:t>88</w:t>
      </w:r>
      <w:r w:rsidR="00525C94" w:rsidRPr="00CB73C1">
        <w:t xml:space="preserve"> includes depreciation and amortisation</w:t>
      </w:r>
      <w:r w:rsidR="00525C94">
        <w:t xml:space="preserve"> and should not be used as a definitive measure of core profitability</w:t>
      </w:r>
      <w:r w:rsidR="00525C94" w:rsidRPr="00CB73C1">
        <w:t>.</w:t>
      </w:r>
    </w:p>
    <w:p w:rsidR="00F05E0B" w:rsidRDefault="00AE2FC7" w:rsidP="00972E3F">
      <w:pPr>
        <w:pStyle w:val="Caption"/>
      </w:pPr>
      <w:r>
        <w:t>Figure 9</w:t>
      </w:r>
      <w:r w:rsidRPr="00542B1E">
        <w:t>–</w:t>
      </w:r>
      <w:r w:rsidR="00E05A53">
        <w:t>88</w:t>
      </w:r>
      <w:r w:rsidRPr="00542B1E">
        <w:tab/>
        <w:t xml:space="preserve">EBIT margin </w:t>
      </w:r>
      <w:r w:rsidR="007A3240">
        <w:t>–</w:t>
      </w:r>
      <w:r w:rsidRPr="00542B1E">
        <w:t xml:space="preserve"> AusNet Services</w:t>
      </w:r>
    </w:p>
    <w:p w:rsidR="00675420" w:rsidRPr="00675420" w:rsidRDefault="00F05E0B" w:rsidP="00972E3F">
      <w:pPr>
        <w:pStyle w:val="Caption"/>
      </w:pPr>
      <w:r w:rsidRPr="00BB1D79">
        <w:rPr>
          <w:noProof/>
          <w:lang w:eastAsia="en-AU"/>
        </w:rPr>
        <w:drawing>
          <wp:inline distT="0" distB="0" distL="0" distR="0" wp14:anchorId="74475282" wp14:editId="6F3545BA">
            <wp:extent cx="4572000" cy="2743200"/>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AE2FC7" w:rsidRPr="00D741EC" w:rsidRDefault="00AE2FC7" w:rsidP="00592413">
      <w:pPr>
        <w:pStyle w:val="Heading3"/>
      </w:pPr>
      <w:bookmarkStart w:id="483" w:name="_Toc409771706"/>
      <w:bookmarkStart w:id="484" w:name="_Toc412790655"/>
      <w:bookmarkStart w:id="485" w:name="_Toc413062136"/>
      <w:bookmarkStart w:id="486" w:name="_Toc413311132"/>
      <w:bookmarkStart w:id="487" w:name="_Toc423086548"/>
      <w:r>
        <w:t>Service performance</w:t>
      </w:r>
      <w:bookmarkEnd w:id="483"/>
      <w:bookmarkEnd w:id="484"/>
      <w:bookmarkEnd w:id="485"/>
      <w:bookmarkEnd w:id="486"/>
      <w:bookmarkEnd w:id="487"/>
    </w:p>
    <w:p w:rsidR="00AE2FC7" w:rsidRPr="00542B1E" w:rsidRDefault="00AE2FC7" w:rsidP="00AE2FC7">
      <w:pPr>
        <w:pStyle w:val="Heading4notnumbered"/>
      </w:pPr>
      <w:r w:rsidRPr="00542B1E">
        <w:t>Total interruptions to supply</w:t>
      </w:r>
    </w:p>
    <w:p w:rsidR="00AE2FC7" w:rsidRPr="00542B1E" w:rsidRDefault="00AE2FC7" w:rsidP="00AE2FC7">
      <w:r w:rsidRPr="00542B1E">
        <w:t>Total interruptions to supply reflect the total impact of both planned and unplanned interruptions (</w:t>
      </w:r>
      <w:r>
        <w:t>Figure 9</w:t>
      </w:r>
      <w:r w:rsidRPr="00542B1E">
        <w:t>–</w:t>
      </w:r>
      <w:r w:rsidR="00E05A53">
        <w:t>89</w:t>
      </w:r>
      <w:r w:rsidRPr="00542B1E">
        <w:t xml:space="preserve">). This measure reflects </w:t>
      </w:r>
      <w:r w:rsidR="001368B1">
        <w:t>the actual experience of</w:t>
      </w:r>
      <w:r w:rsidR="001368B1" w:rsidRPr="00CB73C1">
        <w:t xml:space="preserve"> the average </w:t>
      </w:r>
      <w:r w:rsidRPr="00542B1E">
        <w:t>AusNet Services customer.</w:t>
      </w:r>
      <w:r w:rsidR="00CC0E3F">
        <w:t xml:space="preserve"> </w:t>
      </w:r>
      <w:r w:rsidRPr="00542B1E">
        <w:t xml:space="preserve">Total interruptions to supply include the effect of any interruptions considered to be </w:t>
      </w:r>
      <w:r w:rsidR="00133534">
        <w:t xml:space="preserve">excluded </w:t>
      </w:r>
      <w:r w:rsidR="00460775">
        <w:t>events in the STPIS</w:t>
      </w:r>
      <w:r w:rsidRPr="00542B1E">
        <w:t xml:space="preserve">. </w:t>
      </w:r>
    </w:p>
    <w:p w:rsidR="002712DB" w:rsidRDefault="002712DB" w:rsidP="002712DB">
      <w:r w:rsidRPr="00542B1E">
        <w:t xml:space="preserve">AusNet Services indicated the increases in planned SAIDI are attributable to the large increases in replacement and safety programs associated with bushfire mitigation. </w:t>
      </w:r>
    </w:p>
    <w:p w:rsidR="00AE2FC7" w:rsidRPr="00542B1E" w:rsidRDefault="00AE2FC7" w:rsidP="00972E3F">
      <w:pPr>
        <w:pStyle w:val="Caption"/>
      </w:pPr>
      <w:r>
        <w:t>Figure 9</w:t>
      </w:r>
      <w:r w:rsidRPr="00542B1E">
        <w:t>–</w:t>
      </w:r>
      <w:r w:rsidR="00E05A53">
        <w:t>89</w:t>
      </w:r>
      <w:r w:rsidRPr="00542B1E">
        <w:tab/>
        <w:t xml:space="preserve">Total interruptions to supply </w:t>
      </w:r>
      <w:r w:rsidR="007A3240">
        <w:t>–</w:t>
      </w:r>
      <w:r w:rsidRPr="00542B1E">
        <w:t xml:space="preserve"> AusNet Services</w:t>
      </w:r>
    </w:p>
    <w:p w:rsidR="00675420" w:rsidRDefault="00675420" w:rsidP="00AE2FC7">
      <w:r>
        <w:rPr>
          <w:noProof/>
          <w:lang w:eastAsia="en-AU"/>
        </w:rPr>
        <w:drawing>
          <wp:inline distT="0" distB="0" distL="0" distR="0" wp14:anchorId="69C0DE30" wp14:editId="2718CDC0">
            <wp:extent cx="2833200" cy="16992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t xml:space="preserve"> </w:t>
      </w:r>
      <w:r>
        <w:rPr>
          <w:noProof/>
          <w:lang w:eastAsia="en-AU"/>
        </w:rPr>
        <w:drawing>
          <wp:inline distT="0" distB="0" distL="0" distR="0" wp14:anchorId="7D9A1151" wp14:editId="1A975713">
            <wp:extent cx="2833200" cy="1699200"/>
            <wp:effectExtent l="0" t="0" r="571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t xml:space="preserve"> </w:t>
      </w:r>
    </w:p>
    <w:p w:rsidR="00675420" w:rsidRDefault="00675420" w:rsidP="00AE2FC7">
      <w:r w:rsidRPr="00675420">
        <w:rPr>
          <w:noProof/>
          <w:lang w:eastAsia="en-AU"/>
        </w:rPr>
        <w:drawing>
          <wp:inline distT="0" distB="0" distL="0" distR="0" wp14:anchorId="671AD81C" wp14:editId="0BE18690">
            <wp:extent cx="5731510" cy="1072821"/>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1072821"/>
                    </a:xfrm>
                    <a:prstGeom prst="rect">
                      <a:avLst/>
                    </a:prstGeom>
                    <a:noFill/>
                    <a:ln>
                      <a:noFill/>
                    </a:ln>
                  </pic:spPr>
                </pic:pic>
              </a:graphicData>
            </a:graphic>
          </wp:inline>
        </w:drawing>
      </w:r>
    </w:p>
    <w:p w:rsidR="00AE2FC7" w:rsidRPr="00542B1E" w:rsidRDefault="00AE2FC7" w:rsidP="00AE2FC7">
      <w:pPr>
        <w:pStyle w:val="Heading4notnumbered"/>
      </w:pPr>
      <w:r w:rsidRPr="00542B1E">
        <w:t>Service Target Performance Incentive Scheme</w:t>
      </w:r>
    </w:p>
    <w:p w:rsidR="00AE2FC7" w:rsidRPr="00542B1E" w:rsidRDefault="00DD4FC1" w:rsidP="00AE2FC7">
      <w:r>
        <w:t>In our 2010 distribution determination we</w:t>
      </w:r>
      <w:r w:rsidR="00AE2FC7" w:rsidRPr="00542B1E">
        <w:t xml:space="preserve"> determined the STPIS would apply to AusNet Services in the 2011</w:t>
      </w:r>
      <w:r w:rsidR="007A3240">
        <w:t>–</w:t>
      </w:r>
      <w:r w:rsidR="00AE2FC7" w:rsidRPr="00542B1E">
        <w:t xml:space="preserve">15 regulatory control period with an overall revenue at risk of ±7 per cent. </w:t>
      </w:r>
    </w:p>
    <w:p w:rsidR="00AE2FC7" w:rsidRPr="00542B1E" w:rsidRDefault="00AE2FC7" w:rsidP="00AE2FC7">
      <w:r w:rsidRPr="00542B1E">
        <w:t xml:space="preserve">The following section shows the effect of (normalised) unplanned interruptions to supply on customers on AusNet Services' network. </w:t>
      </w:r>
    </w:p>
    <w:p w:rsidR="00AE2FC7" w:rsidRPr="00542B1E" w:rsidRDefault="00AE2FC7" w:rsidP="00AE2FC7">
      <w:pPr>
        <w:pStyle w:val="Heading4notnumbered"/>
      </w:pPr>
      <w:r w:rsidRPr="00542B1E">
        <w:t>Network reliability (normalised)</w:t>
      </w:r>
    </w:p>
    <w:p w:rsidR="00AE2FC7" w:rsidRPr="00542B1E" w:rsidRDefault="00AE2FC7" w:rsidP="00AE2FC7">
      <w:r w:rsidRPr="00542B1E">
        <w:t>In 2012</w:t>
      </w:r>
      <w:r w:rsidR="007A3240">
        <w:t>–</w:t>
      </w:r>
      <w:r w:rsidRPr="00542B1E">
        <w:t>13 the average AusNet Services customer experienced:</w:t>
      </w:r>
    </w:p>
    <w:p w:rsidR="00AE2FC7" w:rsidRPr="00542B1E" w:rsidRDefault="00AE2FC7" w:rsidP="00E73B59">
      <w:pPr>
        <w:pStyle w:val="ListBullet"/>
      </w:pPr>
      <w:r w:rsidRPr="00542B1E">
        <w:t xml:space="preserve">30 per cent fewer unplanned (normalised) minutes off supply than over the previous five years </w:t>
      </w:r>
    </w:p>
    <w:p w:rsidR="00AE2FC7" w:rsidRPr="00542B1E" w:rsidRDefault="00AE2FC7" w:rsidP="00E73B59">
      <w:pPr>
        <w:pStyle w:val="ListBullet"/>
      </w:pPr>
      <w:r w:rsidRPr="00542B1E">
        <w:t>10 per cent fewer unplanned (normalised) interruptions to supply than over the previous five years (</w:t>
      </w:r>
      <w:r>
        <w:t>Figure 9</w:t>
      </w:r>
      <w:r w:rsidRPr="00542B1E">
        <w:t>–9</w:t>
      </w:r>
      <w:r w:rsidR="00D30B61">
        <w:t>0</w:t>
      </w:r>
      <w:r w:rsidRPr="00542B1E">
        <w:t>).</w:t>
      </w:r>
    </w:p>
    <w:p w:rsidR="00AE2FC7" w:rsidRPr="00542B1E" w:rsidRDefault="00AE2FC7" w:rsidP="00AE2FC7">
      <w:r w:rsidRPr="00542B1E">
        <w:t xml:space="preserve">It should be noted the reliability information presented in </w:t>
      </w:r>
      <w:r>
        <w:t>Figure 9</w:t>
      </w:r>
      <w:r w:rsidRPr="00542B1E">
        <w:t>–</w:t>
      </w:r>
      <w:r w:rsidR="00E05A53">
        <w:t>90</w:t>
      </w:r>
      <w:r w:rsidRPr="00542B1E">
        <w:t xml:space="preserve"> combines information from the previous jurisdictional scheme and the AER's STPIS.</w:t>
      </w:r>
      <w:r w:rsidR="00633936">
        <w:rPr>
          <w:rStyle w:val="FootnoteReference"/>
        </w:rPr>
        <w:footnoteReference w:id="22"/>
      </w:r>
      <w:r w:rsidRPr="00542B1E">
        <w:t xml:space="preserve"> These schemes differ in detail and therefore the information is not directly comparable. However, the reliability outcomes are presented to provide broad trend information regarding AusNet Services' service performance.</w:t>
      </w:r>
    </w:p>
    <w:p w:rsidR="002712DB" w:rsidRPr="00542B1E" w:rsidRDefault="002712DB" w:rsidP="002712DB">
      <w:r w:rsidRPr="00542B1E">
        <w:t>AusNet Services indicated the reasons for the improving unplanned SAIDI and SAIFI include:</w:t>
      </w:r>
    </w:p>
    <w:p w:rsidR="002712DB" w:rsidRPr="00542B1E" w:rsidRDefault="002712DB" w:rsidP="00E73B59">
      <w:pPr>
        <w:pStyle w:val="ListBullet"/>
      </w:pPr>
      <w:r>
        <w:t>a</w:t>
      </w:r>
      <w:r w:rsidRPr="00542B1E">
        <w:t xml:space="preserve"> substantial investment in distribution feeder automation – this increases the network’s ability to self</w:t>
      </w:r>
      <w:r w:rsidRPr="002712DB">
        <w:rPr>
          <w:rFonts w:ascii="Cambria Math" w:hAnsi="Cambria Math" w:cs="Cambria Math"/>
        </w:rPr>
        <w:t>‐</w:t>
      </w:r>
      <w:r w:rsidRPr="00542B1E">
        <w:t>heal during outage events.</w:t>
      </w:r>
    </w:p>
    <w:p w:rsidR="002712DB" w:rsidRPr="00542B1E" w:rsidRDefault="002712DB" w:rsidP="00E73B59">
      <w:pPr>
        <w:pStyle w:val="ListBullet"/>
      </w:pPr>
      <w:r>
        <w:t>u</w:t>
      </w:r>
      <w:r w:rsidRPr="00542B1E">
        <w:t>ndertaking reliability reviews on key feeders</w:t>
      </w:r>
    </w:p>
    <w:p w:rsidR="002712DB" w:rsidRPr="00542B1E" w:rsidRDefault="002712DB" w:rsidP="00E73B59">
      <w:pPr>
        <w:pStyle w:val="ListBullet"/>
      </w:pPr>
      <w:r>
        <w:t>t</w:t>
      </w:r>
      <w:r w:rsidRPr="00542B1E">
        <w:t>argeted vegetation management – additional expenditure was spent on clearing trees along the first section of feeders to reduce the number of full feeder faults.</w:t>
      </w:r>
    </w:p>
    <w:p w:rsidR="00AE2FC7" w:rsidRPr="00542B1E" w:rsidRDefault="00AE2FC7" w:rsidP="00972E3F">
      <w:pPr>
        <w:pStyle w:val="Caption"/>
      </w:pPr>
      <w:r>
        <w:t>Figure 9</w:t>
      </w:r>
      <w:r w:rsidRPr="00542B1E">
        <w:t>–</w:t>
      </w:r>
      <w:r w:rsidR="00E05A53">
        <w:t>90</w:t>
      </w:r>
      <w:r w:rsidRPr="00542B1E">
        <w:tab/>
        <w:t xml:space="preserve">Unplanned interruptions to supply (normalised) </w:t>
      </w:r>
      <w:r w:rsidR="007A3240">
        <w:t>–</w:t>
      </w:r>
      <w:r w:rsidRPr="00542B1E">
        <w:t xml:space="preserve"> AusNet Services</w:t>
      </w:r>
    </w:p>
    <w:p w:rsidR="00675420" w:rsidRDefault="00675420" w:rsidP="00AE2FC7">
      <w:r>
        <w:rPr>
          <w:noProof/>
          <w:lang w:eastAsia="en-AU"/>
        </w:rPr>
        <w:drawing>
          <wp:inline distT="0" distB="0" distL="0" distR="0" wp14:anchorId="1CBBF213" wp14:editId="71429313">
            <wp:extent cx="2786400" cy="16704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786400" cy="1670400"/>
                    </a:xfrm>
                    <a:prstGeom prst="rect">
                      <a:avLst/>
                    </a:prstGeom>
                    <a:noFill/>
                  </pic:spPr>
                </pic:pic>
              </a:graphicData>
            </a:graphic>
          </wp:inline>
        </w:drawing>
      </w:r>
      <w:r>
        <w:t xml:space="preserve">  </w:t>
      </w:r>
      <w:r>
        <w:rPr>
          <w:noProof/>
          <w:lang w:eastAsia="en-AU"/>
        </w:rPr>
        <w:drawing>
          <wp:inline distT="0" distB="0" distL="0" distR="0" wp14:anchorId="22112761" wp14:editId="0720883D">
            <wp:extent cx="2786400" cy="167040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786400" cy="1670400"/>
                    </a:xfrm>
                    <a:prstGeom prst="rect">
                      <a:avLst/>
                    </a:prstGeom>
                    <a:noFill/>
                  </pic:spPr>
                </pic:pic>
              </a:graphicData>
            </a:graphic>
          </wp:inline>
        </w:drawing>
      </w:r>
    </w:p>
    <w:p w:rsidR="00AE2FC7" w:rsidRPr="00542B1E" w:rsidRDefault="00675420" w:rsidP="002712DB">
      <w:r w:rsidRPr="00675420">
        <w:rPr>
          <w:noProof/>
          <w:lang w:eastAsia="en-AU"/>
        </w:rPr>
        <w:drawing>
          <wp:inline distT="0" distB="0" distL="0" distR="0" wp14:anchorId="06173107" wp14:editId="42C09B1B">
            <wp:extent cx="5731510" cy="779332"/>
            <wp:effectExtent l="0" t="0" r="254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779332"/>
                    </a:xfrm>
                    <a:prstGeom prst="rect">
                      <a:avLst/>
                    </a:prstGeom>
                    <a:noFill/>
                    <a:ln>
                      <a:noFill/>
                    </a:ln>
                  </pic:spPr>
                </pic:pic>
              </a:graphicData>
            </a:graphic>
          </wp:inline>
        </w:drawing>
      </w:r>
    </w:p>
    <w:p w:rsidR="00AE2FC7" w:rsidRPr="00542B1E" w:rsidRDefault="00AE2FC7" w:rsidP="00AE2FC7">
      <w:pPr>
        <w:pStyle w:val="Heading4notnumbered"/>
      </w:pPr>
      <w:r w:rsidRPr="00542B1E">
        <w:t>S</w:t>
      </w:r>
      <w:r w:rsidR="007A3240">
        <w:t>–</w:t>
      </w:r>
      <w:r w:rsidRPr="00542B1E">
        <w:t>factor</w:t>
      </w:r>
    </w:p>
    <w:p w:rsidR="00AE2FC7" w:rsidRPr="00542B1E" w:rsidRDefault="00AE2FC7" w:rsidP="00AE2FC7">
      <w:r>
        <w:t>Table 9</w:t>
      </w:r>
      <w:r w:rsidRPr="00542B1E">
        <w:t>–5 compares AusNet Services' service performance against its STPIS targets over the first three years of the 2011</w:t>
      </w:r>
      <w:r w:rsidR="007A3240">
        <w:t>–</w:t>
      </w:r>
      <w:r w:rsidRPr="00542B1E">
        <w:t>15 regulatory control period. AusNet Services performed well against its SAIDI and SAIFI service performance targets in each year the STPIS was applied. However, AusNet Services did not meet any of its MAIFI performance targets and has only once met its telephone answering target (2011).</w:t>
      </w:r>
    </w:p>
    <w:p w:rsidR="00AE2FC7" w:rsidRPr="00542B1E" w:rsidRDefault="00AE2FC7" w:rsidP="00AE2FC7">
      <w:r w:rsidRPr="00542B1E">
        <w:t>It is important to note STPIS targets are applied to normalised network reliability. In each of the first three years of the 2011</w:t>
      </w:r>
      <w:r w:rsidR="007A3240">
        <w:t>–</w:t>
      </w:r>
      <w:r w:rsidRPr="00542B1E">
        <w:t xml:space="preserve">15 regulatory control period AusNet Services experienced between one and five days where its daily unplanned SAIDI exceeded the major event day boundary. For any day in which unplanned SAIDI exceeds the major event day boundary the impact of that day's SAIDI, SAIFI, MAIFI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to be outside the DNSP's control.</w:t>
      </w:r>
    </w:p>
    <w:p w:rsidR="00AE2FC7" w:rsidRPr="00542B1E" w:rsidRDefault="00AE2FC7" w:rsidP="00AE2FC7">
      <w:r w:rsidRPr="00542B1E">
        <w:t>The s</w:t>
      </w:r>
      <w:r w:rsidR="007A3240">
        <w:t>–</w:t>
      </w:r>
      <w:r w:rsidRPr="00542B1E">
        <w:t>factor is incorporated into AusNet Services' control mechanism as a multiplier in its WAPC. Allowed revenue is incremented when service performance is better than performance targets and decremented when service performance is worse than performance targets. The way in which the s</w:t>
      </w:r>
      <w:r w:rsidR="007A3240">
        <w:t>–</w:t>
      </w:r>
      <w:r w:rsidRPr="00542B1E">
        <w:t>factor is incorporated into AusNet Services' control mechanism is set out in the 2011</w:t>
      </w:r>
      <w:r w:rsidR="007A3240">
        <w:t>–</w:t>
      </w:r>
      <w:r w:rsidRPr="00542B1E">
        <w:t>15 distribution determination.</w:t>
      </w:r>
    </w:p>
    <w:p w:rsidR="00AE2FC7" w:rsidRDefault="00AE2FC7" w:rsidP="00AE2FC7">
      <w:r w:rsidRPr="00542B1E">
        <w:t>Note there is a two year lag between the regulatory year in which service performance outcomes are assessed and the regulatory year in which the s</w:t>
      </w:r>
      <w:r w:rsidR="007A3240">
        <w:t>–</w:t>
      </w:r>
      <w:r w:rsidRPr="00542B1E">
        <w:t xml:space="preserve">factor outcome is applied to the DNSP's allowed revenue. </w:t>
      </w:r>
    </w:p>
    <w:p w:rsidR="00F05E0B" w:rsidRDefault="00AE2FC7" w:rsidP="00972E3F">
      <w:pPr>
        <w:pStyle w:val="Caption"/>
      </w:pPr>
      <w:r>
        <w:t>Table 9</w:t>
      </w:r>
      <w:r w:rsidRPr="00542B1E">
        <w:t>–5</w:t>
      </w:r>
      <w:r w:rsidRPr="00542B1E">
        <w:tab/>
        <w:t>S</w:t>
      </w:r>
      <w:r w:rsidR="007A3240">
        <w:t>–</w:t>
      </w:r>
      <w:r w:rsidRPr="00542B1E">
        <w:t xml:space="preserve">factor </w:t>
      </w:r>
      <w:r w:rsidR="007A3240">
        <w:t>–</w:t>
      </w:r>
      <w:r w:rsidRPr="00542B1E">
        <w:t xml:space="preserve"> AusNet Services</w:t>
      </w:r>
    </w:p>
    <w:p w:rsidR="00F05E0B" w:rsidRPr="00F05E0B" w:rsidRDefault="00F05E0B" w:rsidP="00F05E0B">
      <w:r w:rsidRPr="00F05E0B">
        <w:rPr>
          <w:noProof/>
          <w:lang w:eastAsia="en-AU"/>
        </w:rPr>
        <w:drawing>
          <wp:inline distT="0" distB="0" distL="0" distR="0" wp14:anchorId="720B322C" wp14:editId="3290BA3F">
            <wp:extent cx="5731510" cy="3201930"/>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731510" cy="3201930"/>
                    </a:xfrm>
                    <a:prstGeom prst="rect">
                      <a:avLst/>
                    </a:prstGeom>
                  </pic:spPr>
                </pic:pic>
              </a:graphicData>
            </a:graphic>
          </wp:inline>
        </w:drawing>
      </w:r>
    </w:p>
    <w:p w:rsidR="00AE2FC7" w:rsidRPr="00AE2FC7" w:rsidRDefault="00AB11E6" w:rsidP="00AE2FC7">
      <w:r>
        <w:t>Chapter 8 contains</w:t>
      </w:r>
      <w:r w:rsidRPr="00CB73C1">
        <w:t xml:space="preserve"> information on </w:t>
      </w:r>
      <w:r>
        <w:t>our</w:t>
      </w:r>
      <w:r w:rsidRPr="00CB73C1">
        <w:t xml:space="preserve"> STPIS and a comparative assessment of the DNSPs' service performance.</w:t>
      </w:r>
      <w:r w:rsidR="00AE2FC7">
        <w:br w:type="page"/>
      </w:r>
    </w:p>
    <w:bookmarkStart w:id="488" w:name="_Toc409771707"/>
    <w:bookmarkStart w:id="489" w:name="_Toc423086549"/>
    <w:p w:rsidR="00AE2FC7" w:rsidRDefault="002D3242" w:rsidP="00592413">
      <w:pPr>
        <w:pStyle w:val="Heading2"/>
      </w:pPr>
      <w:r w:rsidRPr="00513EA8">
        <w:rPr>
          <w:noProof/>
          <w:lang w:eastAsia="en-AU"/>
        </w:rPr>
        <mc:AlternateContent>
          <mc:Choice Requires="wps">
            <w:drawing>
              <wp:anchor distT="0" distB="0" distL="114300" distR="114300" simplePos="0" relativeHeight="251683840" behindDoc="1" locked="0" layoutInCell="1" allowOverlap="1" wp14:anchorId="7545CAE4" wp14:editId="11857C06">
                <wp:simplePos x="0" y="0"/>
                <wp:positionH relativeFrom="column">
                  <wp:posOffset>-302260</wp:posOffset>
                </wp:positionH>
                <wp:positionV relativeFrom="paragraph">
                  <wp:posOffset>310515</wp:posOffset>
                </wp:positionV>
                <wp:extent cx="6263640" cy="8475980"/>
                <wp:effectExtent l="19050" t="19050" r="22860" b="20320"/>
                <wp:wrapTight wrapText="bothSides">
                  <wp:wrapPolygon edited="0">
                    <wp:start x="-66" y="-49"/>
                    <wp:lineTo x="-66" y="21603"/>
                    <wp:lineTo x="21613" y="21603"/>
                    <wp:lineTo x="21613" y="-49"/>
                    <wp:lineTo x="-66" y="-49"/>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475980"/>
                        </a:xfrm>
                        <a:prstGeom prst="rect">
                          <a:avLst/>
                        </a:prstGeom>
                        <a:noFill/>
                        <a:ln w="44450">
                          <a:solidFill>
                            <a:srgbClr val="A1D99B"/>
                          </a:solidFill>
                          <a:miter lim="800000"/>
                          <a:headEnd/>
                          <a:tailEnd/>
                        </a:ln>
                      </wps:spPr>
                      <wps:txbx>
                        <w:txbxContent>
                          <w:p w:rsidR="00AD3D0C" w:rsidRDefault="00AD3D0C" w:rsidP="00513EA8">
                            <w:pPr>
                              <w:pStyle w:val="Heading3notnumbered"/>
                            </w:pPr>
                            <w:bookmarkStart w:id="490" w:name="_Toc413311134"/>
                            <w:bookmarkStart w:id="491" w:name="_Toc423086550"/>
                            <w:r>
                              <w:t>Network characteristics</w:t>
                            </w:r>
                            <w:bookmarkEnd w:id="490"/>
                            <w:bookmarkEnd w:id="491"/>
                          </w:p>
                          <w:p w:rsidR="00AD3D0C" w:rsidRPr="00C312BC" w:rsidRDefault="00AD3D0C" w:rsidP="00513EA8">
                            <w:r w:rsidRPr="00E96856">
                              <w:rPr>
                                <w:rStyle w:val="Strong"/>
                              </w:rPr>
                              <w:t>Ownership:</w:t>
                            </w:r>
                            <w:r>
                              <w:t xml:space="preserve"> </w:t>
                            </w:r>
                            <w:r w:rsidRPr="00513EA8">
                              <w:t>Cheung Kong Infrastructure/Power Assets (51 per cent); Spa</w:t>
                            </w:r>
                            <w:r>
                              <w:t>rk Infrastructure (49 per cent)</w:t>
                            </w:r>
                            <w:r w:rsidRPr="00C312BC">
                              <w:t xml:space="preserve"> </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Pr="00C312BC" w:rsidRDefault="00AD3D0C" w:rsidP="00513EA8">
                            <w:pPr>
                              <w:pStyle w:val="TableofFigures"/>
                            </w:pPr>
                            <w:r>
                              <w:t xml:space="preserve">  Total distribution customers:</w:t>
                            </w:r>
                            <w:r w:rsidRPr="00C312BC">
                              <w:t xml:space="preserve"> </w:t>
                            </w:r>
                            <w:r w:rsidRPr="00C312BC">
                              <w:tab/>
                            </w:r>
                            <w:r>
                              <w:tab/>
                            </w:r>
                            <w:r>
                              <w:tab/>
                              <w:t>319,812</w:t>
                            </w:r>
                            <w:r w:rsidRPr="00E96856">
                              <w:t xml:space="preserve"> </w:t>
                            </w:r>
                            <w:r w:rsidRPr="002D3242">
                              <w:rPr>
                                <w:noProof/>
                                <w:lang w:eastAsia="en-AU"/>
                              </w:rPr>
                              <w:drawing>
                                <wp:inline distT="0" distB="0" distL="0" distR="0" wp14:anchorId="28BBC561" wp14:editId="468FD7AE">
                                  <wp:extent cx="4572000" cy="957264"/>
                                  <wp:effectExtent l="0" t="0" r="0" b="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AD3D0C" w:rsidRDefault="00AD3D0C" w:rsidP="001F09F3">
                            <w:pPr>
                              <w:pStyle w:val="TableofFigures"/>
                            </w:pPr>
                            <w:r>
                              <w:t xml:space="preserve">  </w:t>
                            </w:r>
                            <w:r w:rsidRPr="0075338F">
                              <w:t xml:space="preserve">Total line </w:t>
                            </w:r>
                            <w:r>
                              <w:t xml:space="preserve">(circuit) </w:t>
                            </w:r>
                            <w:r w:rsidRPr="0075338F">
                              <w:t>length:</w:t>
                            </w:r>
                            <w:r>
                              <w:t xml:space="preserve"> </w:t>
                            </w:r>
                            <w:r>
                              <w:tab/>
                            </w:r>
                            <w:r>
                              <w:tab/>
                            </w:r>
                            <w:r>
                              <w:tab/>
                            </w:r>
                            <w:r>
                              <w:tab/>
                              <w:t>4,318 km</w:t>
                            </w:r>
                            <w:r w:rsidRPr="002D3242">
                              <w:rPr>
                                <w:noProof/>
                                <w:lang w:eastAsia="en-AU"/>
                              </w:rPr>
                              <w:drawing>
                                <wp:inline distT="0" distB="0" distL="0" distR="0" wp14:anchorId="175205F4" wp14:editId="40BB3004">
                                  <wp:extent cx="4572000" cy="947737"/>
                                  <wp:effectExtent l="0" t="0" r="0" b="508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74.1</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18,171 </w:t>
                            </w:r>
                            <w:proofErr w:type="spellStart"/>
                            <w:r>
                              <w:t>GWh</w:t>
                            </w:r>
                            <w:proofErr w:type="spellEnd"/>
                            <w:r>
                              <w:t>, 2</w:t>
                            </w:r>
                            <w:r w:rsidRPr="00474352">
                              <w:t xml:space="preserve"> per cent ▼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$367 m, 23</w:t>
                            </w:r>
                            <w:r w:rsidRPr="00474352">
                              <w:t xml:space="preserve"> per cent ▼ than forecast</w:t>
                            </w:r>
                          </w:p>
                          <w:p w:rsidR="00AD3D0C" w:rsidRPr="00474352" w:rsidRDefault="00AD3D0C" w:rsidP="00513EA8">
                            <w:r w:rsidRPr="00474352">
                              <w:t xml:space="preserve">  Regulatory Asset Base: </w:t>
                            </w:r>
                            <w:r w:rsidRPr="00474352">
                              <w:tab/>
                            </w:r>
                            <w:r w:rsidRPr="00474352">
                              <w:tab/>
                            </w:r>
                            <w:r>
                              <w:tab/>
                            </w:r>
                            <w:r w:rsidRPr="00474352">
                              <w:tab/>
                            </w:r>
                            <w:r>
                              <w:t>15</w:t>
                            </w:r>
                            <w:r w:rsidRPr="00474352">
                              <w:t xml:space="preserve"> per cent </w:t>
                            </w:r>
                            <w:r w:rsidRPr="00AE2FC7">
                              <w:t>▲</w:t>
                            </w:r>
                            <w:r w:rsidRPr="00474352">
                              <w:t xml:space="preserve"> (from $</w:t>
                            </w:r>
                            <w:r>
                              <w:t>1.4bn</w:t>
                            </w:r>
                            <w:r w:rsidRPr="00474352">
                              <w:t xml:space="preserve"> to $</w:t>
                            </w:r>
                            <w:r>
                              <w:t>1.6</w:t>
                            </w:r>
                            <w:r w:rsidRPr="00474352">
                              <w:t>bn)</w:t>
                            </w:r>
                          </w:p>
                          <w:p w:rsidR="00AD3D0C" w:rsidRPr="00474352" w:rsidRDefault="00AD3D0C" w:rsidP="00513EA8">
                            <w:r w:rsidRPr="00474352">
                              <w:t xml:space="preserve">  Operating expenditure: </w:t>
                            </w:r>
                            <w:r w:rsidRPr="00474352">
                              <w:tab/>
                            </w:r>
                            <w:r w:rsidRPr="00474352">
                              <w:tab/>
                            </w:r>
                            <w:r w:rsidRPr="00474352">
                              <w:tab/>
                            </w:r>
                            <w:r>
                              <w:tab/>
                              <w:t>$147 m, 1</w:t>
                            </w:r>
                            <w:r w:rsidRPr="00474352">
                              <w:t xml:space="preserve"> per cent ▼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$660 m, 1</w:t>
                            </w:r>
                            <w:r w:rsidRPr="00474352">
                              <w:t xml:space="preserve"> per cent ▼ than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26.9</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28.7</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0.39</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0.47</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8pt;margin-top:24.45pt;width:493.2pt;height:66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" filled="f" strokecolor="#a1d99b" strokeweight="3.5pt">
                <v:textbox>
                  <w:txbxContent>
                    <w:p w:rsidR="00AD3D0C" w:rsidRDefault="00AD3D0C" w:rsidP="00513EA8">
                      <w:pPr>
                        <w:pStyle w:val="Heading3notnumbered"/>
                      </w:pPr>
                      <w:bookmarkStart w:id="514" w:name="_Toc413311134"/>
                      <w:bookmarkStart w:id="515" w:name="_Toc423086550"/>
                      <w:r>
                        <w:t>Network characteristics</w:t>
                      </w:r>
                      <w:bookmarkEnd w:id="514"/>
                      <w:bookmarkEnd w:id="515"/>
                    </w:p>
                    <w:p w:rsidR="00AD3D0C" w:rsidRPr="00C312BC" w:rsidRDefault="00AD3D0C" w:rsidP="00513EA8">
                      <w:r w:rsidRPr="00E96856">
                        <w:rPr>
                          <w:rStyle w:val="Strong"/>
                        </w:rPr>
                        <w:t>Ownership:</w:t>
                      </w:r>
                      <w:r>
                        <w:t xml:space="preserve"> </w:t>
                      </w:r>
                      <w:r w:rsidRPr="00513EA8">
                        <w:t>Cheung Kong Infrastructure/Power Assets (51 per cent); Spa</w:t>
                      </w:r>
                      <w:r>
                        <w:t>rk Infrastructure (49 per cent)</w:t>
                      </w:r>
                      <w:r w:rsidRPr="00C312BC">
                        <w:t xml:space="preserve"> </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Pr="00C312BC" w:rsidRDefault="00AD3D0C" w:rsidP="00513EA8">
                      <w:pPr>
                        <w:pStyle w:val="TableofFigures"/>
                      </w:pPr>
                      <w:r>
                        <w:t xml:space="preserve">  Total distribution customers:</w:t>
                      </w:r>
                      <w:r w:rsidRPr="00C312BC">
                        <w:t xml:space="preserve"> </w:t>
                      </w:r>
                      <w:r w:rsidRPr="00C312BC">
                        <w:tab/>
                      </w:r>
                      <w:r>
                        <w:tab/>
                      </w:r>
                      <w:r>
                        <w:tab/>
                        <w:t>319,812</w:t>
                      </w:r>
                      <w:r w:rsidRPr="00E96856">
                        <w:t xml:space="preserve"> </w:t>
                      </w:r>
                      <w:r w:rsidRPr="002D3242">
                        <w:rPr>
                          <w:noProof/>
                          <w:lang w:eastAsia="en-AU"/>
                        </w:rPr>
                        <w:drawing>
                          <wp:inline distT="0" distB="0" distL="0" distR="0" wp14:anchorId="28BBC561" wp14:editId="468FD7AE">
                            <wp:extent cx="4572000" cy="957264"/>
                            <wp:effectExtent l="0" t="0" r="0" b="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AD3D0C" w:rsidRDefault="00AD3D0C" w:rsidP="001F09F3">
                      <w:pPr>
                        <w:pStyle w:val="TableofFigures"/>
                      </w:pPr>
                      <w:r>
                        <w:t xml:space="preserve">  </w:t>
                      </w:r>
                      <w:r w:rsidRPr="0075338F">
                        <w:t xml:space="preserve">Total line </w:t>
                      </w:r>
                      <w:r>
                        <w:t xml:space="preserve">(circuit) </w:t>
                      </w:r>
                      <w:r w:rsidRPr="0075338F">
                        <w:t>length:</w:t>
                      </w:r>
                      <w:r>
                        <w:t xml:space="preserve"> </w:t>
                      </w:r>
                      <w:r>
                        <w:tab/>
                      </w:r>
                      <w:r>
                        <w:tab/>
                      </w:r>
                      <w:r>
                        <w:tab/>
                      </w:r>
                      <w:r>
                        <w:tab/>
                        <w:t>4,318 km</w:t>
                      </w:r>
                      <w:r w:rsidRPr="002D3242">
                        <w:rPr>
                          <w:noProof/>
                          <w:lang w:eastAsia="en-AU"/>
                        </w:rPr>
                        <w:drawing>
                          <wp:inline distT="0" distB="0" distL="0" distR="0" wp14:anchorId="175205F4" wp14:editId="40BB3004">
                            <wp:extent cx="4572000" cy="947737"/>
                            <wp:effectExtent l="0" t="0" r="0" b="508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74.1</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18,171 </w:t>
                      </w:r>
                      <w:proofErr w:type="spellStart"/>
                      <w:r>
                        <w:t>GWh</w:t>
                      </w:r>
                      <w:proofErr w:type="spellEnd"/>
                      <w:r>
                        <w:t>, 2</w:t>
                      </w:r>
                      <w:r w:rsidRPr="00474352">
                        <w:t xml:space="preserve"> per cent ▼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$367 m, 23</w:t>
                      </w:r>
                      <w:r w:rsidRPr="00474352">
                        <w:t xml:space="preserve"> per cent ▼ than forecast</w:t>
                      </w:r>
                    </w:p>
                    <w:p w:rsidR="00AD3D0C" w:rsidRPr="00474352" w:rsidRDefault="00AD3D0C" w:rsidP="00513EA8">
                      <w:r w:rsidRPr="00474352">
                        <w:t xml:space="preserve">  Regulatory Asset Base: </w:t>
                      </w:r>
                      <w:r w:rsidRPr="00474352">
                        <w:tab/>
                      </w:r>
                      <w:r w:rsidRPr="00474352">
                        <w:tab/>
                      </w:r>
                      <w:r>
                        <w:tab/>
                      </w:r>
                      <w:r w:rsidRPr="00474352">
                        <w:tab/>
                      </w:r>
                      <w:r>
                        <w:t>15</w:t>
                      </w:r>
                      <w:r w:rsidRPr="00474352">
                        <w:t xml:space="preserve"> per cent </w:t>
                      </w:r>
                      <w:r w:rsidRPr="00AE2FC7">
                        <w:t>▲</w:t>
                      </w:r>
                      <w:r w:rsidRPr="00474352">
                        <w:t xml:space="preserve"> (from $</w:t>
                      </w:r>
                      <w:r>
                        <w:t>1.4bn</w:t>
                      </w:r>
                      <w:r w:rsidRPr="00474352">
                        <w:t xml:space="preserve"> to $</w:t>
                      </w:r>
                      <w:r>
                        <w:t>1.6</w:t>
                      </w:r>
                      <w:r w:rsidRPr="00474352">
                        <w:t>bn)</w:t>
                      </w:r>
                    </w:p>
                    <w:p w:rsidR="00AD3D0C" w:rsidRPr="00474352" w:rsidRDefault="00AD3D0C" w:rsidP="00513EA8">
                      <w:r w:rsidRPr="00474352">
                        <w:t xml:space="preserve">  Operating expenditure: </w:t>
                      </w:r>
                      <w:r w:rsidRPr="00474352">
                        <w:tab/>
                      </w:r>
                      <w:r w:rsidRPr="00474352">
                        <w:tab/>
                      </w:r>
                      <w:r w:rsidRPr="00474352">
                        <w:tab/>
                      </w:r>
                      <w:r>
                        <w:tab/>
                        <w:t>$147 m, 1</w:t>
                      </w:r>
                      <w:r w:rsidRPr="00474352">
                        <w:t xml:space="preserve"> per cent ▼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$660 m, 1</w:t>
                      </w:r>
                      <w:r w:rsidRPr="00474352">
                        <w:t xml:space="preserve"> per cent ▼ than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26.9</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28.7</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0.39</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0.47</w:t>
                      </w:r>
                      <w:r w:rsidRPr="00E96856">
                        <w:t xml:space="preserve"> interruptions</w:t>
                      </w:r>
                    </w:p>
                  </w:txbxContent>
                </v:textbox>
                <w10:wrap type="tight"/>
              </v:shape>
            </w:pict>
          </mc:Fallback>
        </mc:AlternateContent>
      </w:r>
      <w:r w:rsidR="00AE2FC7">
        <w:t>CitiPower</w:t>
      </w:r>
      <w:bookmarkEnd w:id="488"/>
      <w:bookmarkEnd w:id="489"/>
    </w:p>
    <w:p w:rsidR="00AE2FC7" w:rsidRDefault="00AE2FC7" w:rsidP="00592413">
      <w:pPr>
        <w:pStyle w:val="Heading3"/>
      </w:pPr>
      <w:bookmarkStart w:id="492" w:name="_Toc409771710"/>
      <w:bookmarkStart w:id="493" w:name="_Toc412790659"/>
      <w:bookmarkStart w:id="494" w:name="_Toc413062140"/>
      <w:bookmarkStart w:id="495" w:name="_Toc413311135"/>
      <w:bookmarkStart w:id="496" w:name="_Toc423086551"/>
      <w:r>
        <w:t>Regulation</w:t>
      </w:r>
      <w:bookmarkEnd w:id="492"/>
      <w:bookmarkEnd w:id="493"/>
      <w:bookmarkEnd w:id="494"/>
      <w:bookmarkEnd w:id="495"/>
      <w:bookmarkEnd w:id="496"/>
    </w:p>
    <w:p w:rsidR="00AE2FC7" w:rsidRPr="00064C3C" w:rsidRDefault="00D30B61" w:rsidP="00AE2FC7">
      <w:r>
        <w:t>From</w:t>
      </w:r>
      <w:r w:rsidR="00AE2FC7" w:rsidRPr="00064C3C">
        <w:t xml:space="preserve"> 1 January 2011 </w:t>
      </w:r>
      <w:r w:rsidR="002767AE">
        <w:t>we have</w:t>
      </w:r>
      <w:r w:rsidR="00AE2FC7" w:rsidRPr="00064C3C">
        <w:t xml:space="preserve"> been responsible for the economic regulation of electricity distribution services provided by CitiPower. Previously the ESCV was the responsible regulator.</w:t>
      </w:r>
    </w:p>
    <w:p w:rsidR="00AE2FC7" w:rsidRDefault="00AE2FC7" w:rsidP="00592413">
      <w:pPr>
        <w:pStyle w:val="Heading3"/>
      </w:pPr>
      <w:bookmarkStart w:id="497" w:name="_Toc409771711"/>
      <w:bookmarkStart w:id="498" w:name="_Toc412790660"/>
      <w:bookmarkStart w:id="499" w:name="_Toc413062141"/>
      <w:bookmarkStart w:id="500" w:name="_Toc413311136"/>
      <w:bookmarkStart w:id="501" w:name="_Toc423086552"/>
      <w:r>
        <w:t>Energy delivered</w:t>
      </w:r>
      <w:bookmarkEnd w:id="497"/>
      <w:bookmarkEnd w:id="498"/>
      <w:bookmarkEnd w:id="499"/>
      <w:bookmarkEnd w:id="500"/>
      <w:bookmarkEnd w:id="501"/>
    </w:p>
    <w:p w:rsidR="00AE2FC7" w:rsidRPr="00064C3C" w:rsidRDefault="00AE2FC7" w:rsidP="00AE2FC7">
      <w:r w:rsidRPr="00064C3C">
        <w:t>Total energy delivered by CitiPower over the first three years of the 2011</w:t>
      </w:r>
      <w:r w:rsidR="007A3240">
        <w:t>–</w:t>
      </w:r>
      <w:r w:rsidRPr="00064C3C">
        <w:t xml:space="preserve">15 regulatory control period was approximately 2 per cent less than </w:t>
      </w:r>
      <w:r w:rsidR="00DD4FC1">
        <w:t>our approved</w:t>
      </w:r>
      <w:r w:rsidRPr="00064C3C">
        <w:t xml:space="preserve"> forecast (</w:t>
      </w:r>
      <w:r>
        <w:t>Figure 9</w:t>
      </w:r>
      <w:r w:rsidRPr="00064C3C">
        <w:t>–</w:t>
      </w:r>
      <w:r w:rsidR="00A136C6">
        <w:t>9</w:t>
      </w:r>
      <w:r w:rsidR="00E05A53">
        <w:t>1</w:t>
      </w:r>
      <w:r w:rsidRPr="00064C3C">
        <w:t>). The forecasts for the 2011</w:t>
      </w:r>
      <w:r w:rsidR="007A3240">
        <w:t>–</w:t>
      </w:r>
      <w:r w:rsidRPr="00064C3C">
        <w:t xml:space="preserve">15 regulatory control period are those submitted by CitiPower and </w:t>
      </w:r>
      <w:r w:rsidR="00DD4FC1">
        <w:t xml:space="preserve">accepted by us in our </w:t>
      </w:r>
      <w:r w:rsidRPr="00064C3C">
        <w:t>201</w:t>
      </w:r>
      <w:r w:rsidR="00561823">
        <w:t>0</w:t>
      </w:r>
      <w:r w:rsidRPr="00064C3C">
        <w:t xml:space="preserve"> distribution determination. </w:t>
      </w:r>
    </w:p>
    <w:p w:rsidR="00845737" w:rsidRPr="00064C3C" w:rsidRDefault="00845737" w:rsidP="00845737">
      <w:r w:rsidRPr="00064C3C">
        <w:t>CitiPower indicated the energy volumes submitted as a part of its 2011</w:t>
      </w:r>
      <w:r>
        <w:t>–</w:t>
      </w:r>
      <w:r w:rsidRPr="00064C3C">
        <w:t xml:space="preserve">15 price reset process were more accurate than those used by </w:t>
      </w:r>
      <w:r>
        <w:t>us</w:t>
      </w:r>
      <w:r w:rsidRPr="00064C3C">
        <w:t xml:space="preserve"> to determine the final price path.</w:t>
      </w:r>
    </w:p>
    <w:p w:rsidR="00AE2FC7" w:rsidRDefault="00AE2FC7" w:rsidP="00972E3F">
      <w:pPr>
        <w:pStyle w:val="Caption"/>
      </w:pPr>
      <w:r>
        <w:t>Figure 9</w:t>
      </w:r>
      <w:r w:rsidRPr="00064C3C">
        <w:t>–</w:t>
      </w:r>
      <w:r w:rsidR="00675420">
        <w:t>9</w:t>
      </w:r>
      <w:r w:rsidR="00E05A53">
        <w:t>1</w:t>
      </w:r>
      <w:r w:rsidRPr="00064C3C">
        <w:tab/>
        <w:t xml:space="preserve">Energy delivered </w:t>
      </w:r>
      <w:r w:rsidR="007A3240">
        <w:t>–</w:t>
      </w:r>
      <w:r w:rsidRPr="00064C3C">
        <w:t xml:space="preserve"> CitiPower</w:t>
      </w:r>
    </w:p>
    <w:p w:rsidR="009721A2" w:rsidRPr="009721A2" w:rsidRDefault="009721A2" w:rsidP="009721A2">
      <w:r w:rsidRPr="009721A2">
        <w:rPr>
          <w:noProof/>
          <w:lang w:eastAsia="en-AU"/>
        </w:rPr>
        <w:drawing>
          <wp:inline distT="0" distB="0" distL="0" distR="0" wp14:anchorId="48F3BAEF" wp14:editId="49574AF9">
            <wp:extent cx="4572000" cy="2743200"/>
            <wp:effectExtent l="0" t="0" r="0" b="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AE2FC7" w:rsidRPr="00064C3C" w:rsidRDefault="00AE2FC7" w:rsidP="00AE2FC7">
      <w:r w:rsidRPr="00064C3C">
        <w:t xml:space="preserve">Chapter 4 </w:t>
      </w:r>
      <w:r w:rsidR="009E3ACF">
        <w:t xml:space="preserve">contains our </w:t>
      </w:r>
      <w:r w:rsidRPr="00064C3C">
        <w:t xml:space="preserve">assessment of energy delivered for all DNSPs in the NEM. </w:t>
      </w:r>
    </w:p>
    <w:p w:rsidR="00AE2FC7" w:rsidRDefault="00AE2FC7" w:rsidP="00592413">
      <w:pPr>
        <w:pStyle w:val="Heading3"/>
      </w:pPr>
      <w:bookmarkStart w:id="502" w:name="_Toc409771712"/>
      <w:bookmarkStart w:id="503" w:name="_Toc412790661"/>
      <w:bookmarkStart w:id="504" w:name="_Toc413062142"/>
      <w:bookmarkStart w:id="505" w:name="_Toc413311137"/>
      <w:bookmarkStart w:id="506" w:name="_Toc423086553"/>
      <w:r>
        <w:t>Demand</w:t>
      </w:r>
      <w:bookmarkEnd w:id="502"/>
      <w:bookmarkEnd w:id="503"/>
      <w:bookmarkEnd w:id="504"/>
      <w:bookmarkEnd w:id="505"/>
      <w:bookmarkEnd w:id="506"/>
    </w:p>
    <w:p w:rsidR="00AE2FC7" w:rsidRPr="00064C3C" w:rsidRDefault="00AE2FC7" w:rsidP="00AE2FC7">
      <w:r w:rsidRPr="00064C3C">
        <w:t>CitiPower's actual maximum demand in each of the first three years of the 2011</w:t>
      </w:r>
      <w:r w:rsidR="007A3240">
        <w:t>–</w:t>
      </w:r>
      <w:r w:rsidRPr="00064C3C">
        <w:t>15 regulatory control period was lower than the forecast maximum demand</w:t>
      </w:r>
      <w:r w:rsidR="00CC0E3F">
        <w:t xml:space="preserve"> </w:t>
      </w:r>
      <w:r w:rsidR="00DD4FC1">
        <w:t xml:space="preserve">accepted by us in our </w:t>
      </w:r>
      <w:r w:rsidRPr="00064C3C">
        <w:t>201</w:t>
      </w:r>
      <w:r w:rsidR="00561823">
        <w:t>0</w:t>
      </w:r>
      <w:r w:rsidRPr="00064C3C">
        <w:t xml:space="preserve"> distribution determination (</w:t>
      </w:r>
      <w:r>
        <w:t>Figure 9</w:t>
      </w:r>
      <w:r w:rsidRPr="00064C3C">
        <w:t>–</w:t>
      </w:r>
      <w:r w:rsidR="00E05A53">
        <w:t>92</w:t>
      </w:r>
      <w:r w:rsidRPr="00064C3C">
        <w:t>).</w:t>
      </w:r>
    </w:p>
    <w:p w:rsidR="00845737" w:rsidRPr="00064C3C" w:rsidRDefault="00845737" w:rsidP="00845737">
      <w:r w:rsidRPr="00064C3C">
        <w:t>CitiPower indicated the general economic slowdown associated with the global financial crisis was a significant factor in actual maximum demand being lower than forecast.</w:t>
      </w:r>
    </w:p>
    <w:p w:rsidR="002712DB" w:rsidRDefault="002712DB" w:rsidP="002712DB">
      <w:r w:rsidRPr="00064C3C">
        <w:t xml:space="preserve">Chapter 4 </w:t>
      </w:r>
      <w:r>
        <w:t xml:space="preserve">contains our </w:t>
      </w:r>
      <w:r w:rsidRPr="00064C3C">
        <w:t xml:space="preserve">assessment of maximum demand for all DNSPs in the NEM. </w:t>
      </w:r>
    </w:p>
    <w:p w:rsidR="002712DB" w:rsidRDefault="002712DB" w:rsidP="002712DB"/>
    <w:p w:rsidR="002712DB" w:rsidRPr="00064C3C" w:rsidRDefault="002712DB" w:rsidP="002712DB"/>
    <w:p w:rsidR="00AE2FC7" w:rsidRDefault="00AE2FC7" w:rsidP="00972E3F">
      <w:pPr>
        <w:pStyle w:val="Caption"/>
      </w:pPr>
      <w:r>
        <w:t>Figure 9</w:t>
      </w:r>
      <w:r w:rsidRPr="00064C3C">
        <w:t>–</w:t>
      </w:r>
      <w:r w:rsidR="00E05A53">
        <w:t>92</w:t>
      </w:r>
      <w:r w:rsidRPr="00064C3C">
        <w:tab/>
        <w:t xml:space="preserve">Maximum demand </w:t>
      </w:r>
      <w:r w:rsidR="007A3240">
        <w:t>–</w:t>
      </w:r>
      <w:r w:rsidRPr="00064C3C">
        <w:t xml:space="preserve"> CitiPower</w:t>
      </w:r>
    </w:p>
    <w:p w:rsidR="009721A2" w:rsidRPr="009721A2" w:rsidRDefault="009721A2" w:rsidP="009721A2">
      <w:r w:rsidRPr="009721A2">
        <w:rPr>
          <w:noProof/>
          <w:lang w:eastAsia="en-AU"/>
        </w:rPr>
        <w:drawing>
          <wp:inline distT="0" distB="0" distL="0" distR="0" wp14:anchorId="34E41EBB" wp14:editId="2E7BB178">
            <wp:extent cx="4572000" cy="2743200"/>
            <wp:effectExtent l="0" t="0" r="0" b="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AE2FC7" w:rsidRDefault="00AE2FC7" w:rsidP="00592413">
      <w:pPr>
        <w:pStyle w:val="Heading3"/>
      </w:pPr>
      <w:bookmarkStart w:id="507" w:name="_Toc409771713"/>
      <w:bookmarkStart w:id="508" w:name="_Toc412790662"/>
      <w:bookmarkStart w:id="509" w:name="_Toc413062143"/>
      <w:bookmarkStart w:id="510" w:name="_Toc413311138"/>
      <w:bookmarkStart w:id="511" w:name="_Toc423086554"/>
      <w:r>
        <w:t>Expenditure and revenue</w:t>
      </w:r>
      <w:bookmarkEnd w:id="507"/>
      <w:bookmarkEnd w:id="508"/>
      <w:bookmarkEnd w:id="509"/>
      <w:bookmarkEnd w:id="510"/>
      <w:bookmarkEnd w:id="511"/>
    </w:p>
    <w:p w:rsidR="00AE2FC7" w:rsidRPr="00064C3C" w:rsidRDefault="00AE2FC7" w:rsidP="00AE2FC7">
      <w:r w:rsidRPr="00064C3C">
        <w:t xml:space="preserve">Amendments made to </w:t>
      </w:r>
      <w:r w:rsidR="00DD4FC1">
        <w:t>our approved</w:t>
      </w:r>
      <w:r w:rsidRPr="00064C3C">
        <w:t xml:space="preserve"> forecasts as the result of Tribunal orders or as a result of approved pass throughs </w:t>
      </w:r>
      <w:r w:rsidR="00D30B61">
        <w:t>are included</w:t>
      </w:r>
      <w:r w:rsidRPr="00064C3C">
        <w:t xml:space="preserve"> in the following analysis of CitiPower's financial performance.</w:t>
      </w:r>
      <w:r w:rsidR="00E73B59">
        <w:rPr>
          <w:rStyle w:val="FootnoteReference"/>
        </w:rPr>
        <w:footnoteReference w:id="23"/>
      </w:r>
    </w:p>
    <w:p w:rsidR="00AE2FC7" w:rsidRPr="00064C3C" w:rsidRDefault="00AE2FC7" w:rsidP="00AE2FC7">
      <w:pPr>
        <w:pStyle w:val="Heading4notnumbered"/>
      </w:pPr>
      <w:r w:rsidRPr="00064C3C">
        <w:t>Capital expenditure</w:t>
      </w:r>
    </w:p>
    <w:p w:rsidR="00AE2FC7" w:rsidRPr="00064C3C" w:rsidRDefault="00AE2FC7" w:rsidP="00AE2FC7">
      <w:r w:rsidRPr="00064C3C">
        <w:t>CitiPower's total capital expenditure over the first three years of the 2011</w:t>
      </w:r>
      <w:r w:rsidR="007A3240">
        <w:t>–</w:t>
      </w:r>
      <w:r w:rsidRPr="00064C3C">
        <w:t>15 regulatory control period was a</w:t>
      </w:r>
      <w:r w:rsidR="00AA6BB3">
        <w:t>round</w:t>
      </w:r>
      <w:r w:rsidRPr="00064C3C">
        <w:t xml:space="preserve"> </w:t>
      </w:r>
      <w:r w:rsidR="00962359">
        <w:t>23</w:t>
      </w:r>
      <w:r w:rsidR="009721A2" w:rsidRPr="00064C3C">
        <w:t xml:space="preserve"> </w:t>
      </w:r>
      <w:r w:rsidRPr="00064C3C">
        <w:t xml:space="preserve">per cent lower than </w:t>
      </w:r>
      <w:r w:rsidR="00DD4FC1">
        <w:t>our approved</w:t>
      </w:r>
      <w:r w:rsidRPr="00064C3C">
        <w:t xml:space="preserve"> forecast (</w:t>
      </w:r>
      <w:r>
        <w:t>Figure 9</w:t>
      </w:r>
      <w:r w:rsidRPr="00064C3C">
        <w:t>–</w:t>
      </w:r>
      <w:r w:rsidR="00E05A53">
        <w:t>93</w:t>
      </w:r>
      <w:r w:rsidRPr="00064C3C">
        <w:t>).</w:t>
      </w:r>
    </w:p>
    <w:p w:rsidR="00AE2FC7" w:rsidRDefault="00AE2FC7" w:rsidP="00972E3F">
      <w:pPr>
        <w:pStyle w:val="Caption"/>
      </w:pPr>
      <w:r>
        <w:t>Figure 9</w:t>
      </w:r>
      <w:r w:rsidRPr="00064C3C">
        <w:t>–</w:t>
      </w:r>
      <w:r w:rsidR="00E05A53">
        <w:t>93</w:t>
      </w:r>
      <w:r w:rsidRPr="00064C3C">
        <w:tab/>
        <w:t>Capital expenditure (</w:t>
      </w:r>
      <w:r w:rsidR="009E3ACF">
        <w:t xml:space="preserve">excluding </w:t>
      </w:r>
      <w:r w:rsidRPr="00064C3C">
        <w:t xml:space="preserve">customer contributions) </w:t>
      </w:r>
      <w:r w:rsidR="007A3240">
        <w:t>–</w:t>
      </w:r>
      <w:r w:rsidRPr="00064C3C">
        <w:t xml:space="preserve"> CitiPower</w:t>
      </w:r>
    </w:p>
    <w:p w:rsidR="009721A2" w:rsidRPr="009721A2" w:rsidRDefault="009721A2" w:rsidP="009721A2">
      <w:r w:rsidRPr="009721A2">
        <w:rPr>
          <w:noProof/>
          <w:lang w:eastAsia="en-AU"/>
        </w:rPr>
        <w:drawing>
          <wp:inline distT="0" distB="0" distL="0" distR="0" wp14:anchorId="5A5411A6" wp14:editId="6635EAF7">
            <wp:extent cx="4572000" cy="2743200"/>
            <wp:effectExtent l="0" t="0" r="0" b="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845737" w:rsidRPr="00064C3C" w:rsidRDefault="00845737" w:rsidP="00845737">
      <w:r w:rsidRPr="00064C3C">
        <w:t>CitiPower indicated the following components have driven the underspending on capital projects in the 2011</w:t>
      </w:r>
      <w:r>
        <w:t>–</w:t>
      </w:r>
      <w:r w:rsidRPr="00064C3C">
        <w:t>15 regulatory control period</w:t>
      </w:r>
      <w:r>
        <w:t xml:space="preserve"> (Figure 9–94)</w:t>
      </w:r>
      <w:r w:rsidRPr="00064C3C">
        <w:t xml:space="preserve">: </w:t>
      </w:r>
    </w:p>
    <w:p w:rsidR="00845737" w:rsidRPr="00064C3C" w:rsidRDefault="00845737" w:rsidP="00E73B59">
      <w:pPr>
        <w:pStyle w:val="ListBullet"/>
      </w:pPr>
      <w:r>
        <w:t>d</w:t>
      </w:r>
      <w:r w:rsidRPr="00064C3C">
        <w:t>emand forecasts lower than forecast in the Melbourne docks area due to delays in a number of key expected developments, impacting the timing of the augmentation of the Docks Area zone substation.</w:t>
      </w:r>
    </w:p>
    <w:p w:rsidR="00845737" w:rsidRPr="00064C3C" w:rsidRDefault="00845737" w:rsidP="00E73B59">
      <w:pPr>
        <w:pStyle w:val="ListBullet"/>
      </w:pPr>
      <w:r>
        <w:t>d</w:t>
      </w:r>
      <w:r w:rsidRPr="00064C3C">
        <w:t xml:space="preserve">elays in the 2012 stages of the CBD Security Project as a result of more detailed testing revealing the poor condition of the substation building. </w:t>
      </w:r>
    </w:p>
    <w:p w:rsidR="00845737" w:rsidRPr="00064C3C" w:rsidRDefault="00845737" w:rsidP="00E73B59">
      <w:pPr>
        <w:pStyle w:val="ListBullet"/>
      </w:pPr>
      <w:r>
        <w:t>d</w:t>
      </w:r>
      <w:r w:rsidRPr="00064C3C">
        <w:t xml:space="preserve">elays in the replacement of the Customer Information System while regulatory obligations are determined. </w:t>
      </w:r>
    </w:p>
    <w:p w:rsidR="00845737" w:rsidRPr="00064C3C" w:rsidRDefault="00845737" w:rsidP="00E73B59">
      <w:pPr>
        <w:pStyle w:val="ListBullet"/>
      </w:pPr>
      <w:r>
        <w:t>d</w:t>
      </w:r>
      <w:r w:rsidRPr="00064C3C">
        <w:t>elays to the commencement of replacement projects at Richmond Terminal Station as a result of changes to the scope of the project by another distributor.</w:t>
      </w:r>
    </w:p>
    <w:p w:rsidR="00AE2FC7" w:rsidRDefault="00AE2FC7" w:rsidP="00972E3F">
      <w:pPr>
        <w:pStyle w:val="Caption"/>
      </w:pPr>
      <w:r>
        <w:t>Figure 9</w:t>
      </w:r>
      <w:r w:rsidRPr="00064C3C">
        <w:t>–</w:t>
      </w:r>
      <w:r w:rsidR="00E05A53">
        <w:t>94</w:t>
      </w:r>
      <w:r w:rsidRPr="00064C3C">
        <w:tab/>
        <w:t>Capital expenditure by purpose (</w:t>
      </w:r>
      <w:r w:rsidR="009E3ACF">
        <w:t xml:space="preserve">excluding </w:t>
      </w:r>
      <w:r w:rsidRPr="00064C3C">
        <w:t xml:space="preserve">customer contributions) </w:t>
      </w:r>
      <w:r w:rsidR="007A3240">
        <w:t>–</w:t>
      </w:r>
      <w:r w:rsidRPr="00064C3C">
        <w:t xml:space="preserve"> CitiPower</w:t>
      </w:r>
    </w:p>
    <w:p w:rsidR="009721A2" w:rsidRPr="009721A2" w:rsidRDefault="009721A2" w:rsidP="009721A2">
      <w:r w:rsidRPr="009721A2">
        <w:rPr>
          <w:noProof/>
          <w:lang w:eastAsia="en-AU"/>
        </w:rPr>
        <w:drawing>
          <wp:inline distT="0" distB="0" distL="0" distR="0" wp14:anchorId="3D83E185" wp14:editId="076F725A">
            <wp:extent cx="4572000" cy="2743200"/>
            <wp:effectExtent l="0" t="0" r="0" b="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AE2FC7" w:rsidRPr="00064C3C" w:rsidRDefault="00AE2FC7" w:rsidP="00AE2FC7">
      <w:r w:rsidRPr="00064C3C">
        <w:t xml:space="preserve">Chapter 5 provides a description of how DNSPs fund their expenditure on investment projects (capital expenditure) and a comparative assessment of capital expenditure for all DNSPs in the NEM. </w:t>
      </w:r>
    </w:p>
    <w:p w:rsidR="00AE2FC7" w:rsidRPr="00064C3C" w:rsidRDefault="00AE2FC7" w:rsidP="00AE2FC7">
      <w:pPr>
        <w:pStyle w:val="Heading4notnumbered"/>
      </w:pPr>
      <w:r w:rsidRPr="00064C3C">
        <w:t>Regulatory asset base</w:t>
      </w:r>
    </w:p>
    <w:p w:rsidR="00AE2FC7" w:rsidRPr="00064C3C" w:rsidRDefault="00AE2FC7" w:rsidP="00AE2FC7">
      <w:r w:rsidRPr="00064C3C">
        <w:t>CitiPower's RAB increased by approximately 15 per cent over the first three years of the 2011</w:t>
      </w:r>
      <w:r w:rsidR="007A3240">
        <w:t>–</w:t>
      </w:r>
      <w:r w:rsidRPr="00064C3C">
        <w:t>15 regulatory control period. CitiPower's RAB was forecast to increase by 14 per cent over this period.</w:t>
      </w:r>
    </w:p>
    <w:p w:rsidR="00AE2FC7" w:rsidRPr="00064C3C" w:rsidRDefault="00AE2FC7" w:rsidP="00AE2FC7">
      <w:r w:rsidRPr="00064C3C">
        <w:t>CitiPower's RAB grew from approximately $1.4 billion at the end of 2010 to approximately $1.6 billion at the end of 2013 (</w:t>
      </w:r>
      <w:r>
        <w:t>Figure 9</w:t>
      </w:r>
      <w:r w:rsidRPr="00064C3C">
        <w:t>–</w:t>
      </w:r>
      <w:r w:rsidR="00E05A53">
        <w:t>95</w:t>
      </w:r>
      <w:r w:rsidRPr="00064C3C">
        <w:t>).</w:t>
      </w:r>
    </w:p>
    <w:p w:rsidR="002712DB" w:rsidRPr="00064C3C" w:rsidRDefault="002712DB" w:rsidP="002712DB">
      <w:r w:rsidRPr="00064C3C">
        <w:t>The increasing difference between the forecast and the actual value of CitiPower's RAB is consistent with its underspending on capital over the first three years of the 2011</w:t>
      </w:r>
      <w:r>
        <w:t>–</w:t>
      </w:r>
      <w:r w:rsidRPr="00064C3C">
        <w:t>15 regulatory control period.</w:t>
      </w:r>
    </w:p>
    <w:p w:rsidR="00AE2FC7" w:rsidRDefault="00AE2FC7" w:rsidP="00972E3F">
      <w:pPr>
        <w:pStyle w:val="Caption"/>
      </w:pPr>
      <w:r>
        <w:t>Figure 9</w:t>
      </w:r>
      <w:r w:rsidRPr="00064C3C">
        <w:t>–</w:t>
      </w:r>
      <w:r w:rsidR="00E05A53">
        <w:t>95</w:t>
      </w:r>
      <w:r w:rsidRPr="00064C3C">
        <w:tab/>
        <w:t xml:space="preserve">Regulatory asset base </w:t>
      </w:r>
      <w:r w:rsidR="007A3240">
        <w:t>–</w:t>
      </w:r>
      <w:r w:rsidRPr="00064C3C">
        <w:t xml:space="preserve"> CitiPower</w:t>
      </w:r>
    </w:p>
    <w:p w:rsidR="009721A2" w:rsidRPr="009721A2" w:rsidRDefault="009721A2" w:rsidP="009721A2">
      <w:r w:rsidRPr="009721A2">
        <w:rPr>
          <w:noProof/>
          <w:lang w:eastAsia="en-AU"/>
        </w:rPr>
        <w:drawing>
          <wp:inline distT="0" distB="0" distL="0" distR="0" wp14:anchorId="5982A1AA" wp14:editId="0380CEBA">
            <wp:extent cx="4733925" cy="2743200"/>
            <wp:effectExtent l="0" t="0" r="0" b="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AE2FC7" w:rsidRPr="00064C3C" w:rsidRDefault="00AE2FC7" w:rsidP="00AE2FC7">
      <w:pPr>
        <w:pStyle w:val="Heading4notnumbered"/>
      </w:pPr>
      <w:r w:rsidRPr="00064C3C">
        <w:t>Operating expenditure</w:t>
      </w:r>
    </w:p>
    <w:p w:rsidR="00AE2FC7" w:rsidRPr="00064C3C" w:rsidRDefault="00AE2FC7" w:rsidP="00AE2FC7">
      <w:r w:rsidRPr="00064C3C">
        <w:t>CitiPower's total operating expenditure over the first three years of the 2011</w:t>
      </w:r>
      <w:r w:rsidR="007A3240">
        <w:t>–</w:t>
      </w:r>
      <w:r w:rsidRPr="00064C3C">
        <w:t xml:space="preserve">15 regulatory control period was approximately 1 per cent lower than </w:t>
      </w:r>
      <w:r w:rsidR="00DD4FC1">
        <w:t>our approved</w:t>
      </w:r>
      <w:r w:rsidRPr="00064C3C">
        <w:t xml:space="preserve"> forecast (</w:t>
      </w:r>
      <w:r>
        <w:t>Figure 9</w:t>
      </w:r>
      <w:r w:rsidRPr="00064C3C">
        <w:t>–</w:t>
      </w:r>
      <w:r w:rsidR="00E05A53">
        <w:t>96</w:t>
      </w:r>
      <w:r w:rsidRPr="00064C3C">
        <w:t xml:space="preserve">). </w:t>
      </w:r>
    </w:p>
    <w:p w:rsidR="00845737" w:rsidRPr="00064C3C" w:rsidRDefault="00845737" w:rsidP="00845737">
      <w:r w:rsidRPr="00064C3C">
        <w:t>CitiPower indicated there were no material differences between actual operating expenditure and forecasts in 2012 or 2013.</w:t>
      </w:r>
      <w:r>
        <w:t xml:space="preserve"> </w:t>
      </w:r>
      <w:r w:rsidRPr="00064C3C">
        <w:t>However, CitiPower identified the following factors as drivers behinds its underspending on operating and maintenance in 2011:</w:t>
      </w:r>
    </w:p>
    <w:p w:rsidR="00845737" w:rsidRPr="00064C3C" w:rsidRDefault="00845737" w:rsidP="00E73B59">
      <w:pPr>
        <w:pStyle w:val="ListBullet"/>
      </w:pPr>
      <w:r>
        <w:t>r</w:t>
      </w:r>
      <w:r w:rsidRPr="00064C3C">
        <w:t>outine maintenance: expenditure was lower than the benchmark regulatory allowance due to less environment management project work being under</w:t>
      </w:r>
      <w:r>
        <w:t>taken in 2011 than was forecast</w:t>
      </w:r>
    </w:p>
    <w:p w:rsidR="00845737" w:rsidRPr="00064C3C" w:rsidRDefault="00845737" w:rsidP="00E73B59">
      <w:pPr>
        <w:pStyle w:val="ListBullet"/>
      </w:pPr>
      <w:r>
        <w:t>c</w:t>
      </w:r>
      <w:r w:rsidRPr="00064C3C">
        <w:t>ondition based maintenance: increased expenditure is related to additional safety compliance and property maintenance costs not included in the regulatory allowance. Overhead line and underground line maintenance and road management costs were also higher than anticipated due to increased activity flow</w:t>
      </w:r>
      <w:r>
        <w:t>ing from the inspection program</w:t>
      </w:r>
    </w:p>
    <w:p w:rsidR="00845737" w:rsidRPr="00064C3C" w:rsidRDefault="00845737" w:rsidP="00E73B59">
      <w:pPr>
        <w:pStyle w:val="ListBullet"/>
      </w:pPr>
      <w:r>
        <w:t>e</w:t>
      </w:r>
      <w:r w:rsidRPr="00064C3C">
        <w:t>mergency maintenance: fault activity for 2011 was higher than that assum</w:t>
      </w:r>
      <w:r>
        <w:t>ed in the regulatory benchmarks</w:t>
      </w:r>
    </w:p>
    <w:p w:rsidR="00845737" w:rsidRPr="00064C3C" w:rsidRDefault="00845737" w:rsidP="00E73B59">
      <w:pPr>
        <w:pStyle w:val="ListBullet"/>
      </w:pPr>
      <w:r w:rsidRPr="00064C3C">
        <w:t>SCADA network control: no regulatory allowance was provided for maintaining the SCADA network how</w:t>
      </w:r>
      <w:r>
        <w:t>ever actual costs were incurred</w:t>
      </w:r>
    </w:p>
    <w:p w:rsidR="00845737" w:rsidRPr="00064C3C" w:rsidRDefault="00845737" w:rsidP="00E73B59">
      <w:pPr>
        <w:pStyle w:val="ListBullet"/>
      </w:pPr>
      <w:r>
        <w:t>o</w:t>
      </w:r>
      <w:r w:rsidRPr="00064C3C">
        <w:t>perating expenditure: actual expenditure was lower than the regulatory benchmark due to expenditure being reallocated to maintenance activities.</w:t>
      </w:r>
    </w:p>
    <w:p w:rsidR="002712DB" w:rsidRPr="002712DB" w:rsidRDefault="002712DB" w:rsidP="00E73B59">
      <w:r w:rsidRPr="002712DB">
        <w:t xml:space="preserve">Chapter 6 contains our assessment of operating expenditure for all DNSPs in the NEM. </w:t>
      </w:r>
    </w:p>
    <w:p w:rsidR="00AE2FC7" w:rsidRDefault="00AE2FC7" w:rsidP="00972E3F">
      <w:pPr>
        <w:pStyle w:val="Caption"/>
      </w:pPr>
      <w:r>
        <w:t>Figure 9</w:t>
      </w:r>
      <w:r w:rsidRPr="00064C3C">
        <w:t>–</w:t>
      </w:r>
      <w:r w:rsidR="00E05A53">
        <w:t>96</w:t>
      </w:r>
      <w:r w:rsidRPr="00064C3C">
        <w:tab/>
        <w:t xml:space="preserve">Operating expenditure </w:t>
      </w:r>
      <w:r w:rsidR="007A3240">
        <w:t>–</w:t>
      </w:r>
      <w:r w:rsidRPr="00064C3C">
        <w:t xml:space="preserve"> CitiPower</w:t>
      </w:r>
    </w:p>
    <w:p w:rsidR="009721A2" w:rsidRPr="009721A2" w:rsidRDefault="009721A2" w:rsidP="009721A2">
      <w:r w:rsidRPr="009721A2">
        <w:rPr>
          <w:noProof/>
          <w:lang w:eastAsia="en-AU"/>
        </w:rPr>
        <w:drawing>
          <wp:inline distT="0" distB="0" distL="0" distR="0" wp14:anchorId="7F87727C" wp14:editId="0A3FF2BD">
            <wp:extent cx="4572000" cy="2743200"/>
            <wp:effectExtent l="0" t="0" r="0" b="0"/>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AE2FC7" w:rsidRPr="00064C3C" w:rsidRDefault="00AE2FC7" w:rsidP="00AE2FC7">
      <w:pPr>
        <w:pStyle w:val="Heading4notnumbered"/>
      </w:pPr>
      <w:r w:rsidRPr="00064C3C">
        <w:t>Revenue</w:t>
      </w:r>
    </w:p>
    <w:p w:rsidR="00AE2FC7" w:rsidRPr="00064C3C" w:rsidRDefault="00AE2FC7" w:rsidP="00AE2FC7">
      <w:r w:rsidRPr="00064C3C">
        <w:t>The AER’s 201</w:t>
      </w:r>
      <w:r w:rsidR="00561823">
        <w:t>0</w:t>
      </w:r>
      <w:r w:rsidRPr="00064C3C">
        <w:t xml:space="preserve"> distribution determination applied a weighted average price cap (WAPC) form of control to CitiPower's distribution services over the 2011</w:t>
      </w:r>
      <w:r w:rsidR="007A3240">
        <w:t>–</w:t>
      </w:r>
      <w:r w:rsidRPr="00064C3C">
        <w:t xml:space="preserve">15 regulatory control period. A WAPC imposes controls over the prices </w:t>
      </w:r>
      <w:r w:rsidR="00A75C74" w:rsidRPr="0015769E">
        <w:t>a DNSP may charge for its services</w:t>
      </w:r>
      <w:r w:rsidRPr="00064C3C">
        <w:t>.</w:t>
      </w:r>
    </w:p>
    <w:p w:rsidR="00AE2FC7" w:rsidRPr="00064C3C" w:rsidRDefault="00AE2FC7" w:rsidP="00AE2FC7">
      <w:r w:rsidRPr="00064C3C">
        <w:t xml:space="preserve">CitiPower's total revenue earned for standard control services was approximately 1 per cent lower than </w:t>
      </w:r>
      <w:r w:rsidR="00DD4FC1">
        <w:t>our approved</w:t>
      </w:r>
      <w:r w:rsidRPr="00064C3C">
        <w:t xml:space="preserve"> forecast over the first three years of the 2011</w:t>
      </w:r>
      <w:r w:rsidR="007A3240">
        <w:t>–</w:t>
      </w:r>
      <w:r w:rsidRPr="00064C3C">
        <w:t>15 regulatory control period (</w:t>
      </w:r>
      <w:r>
        <w:t>Figure 9</w:t>
      </w:r>
      <w:r w:rsidRPr="00064C3C">
        <w:t>–</w:t>
      </w:r>
      <w:r w:rsidR="009721A2">
        <w:t>97</w:t>
      </w:r>
      <w:r w:rsidRPr="00064C3C">
        <w:t xml:space="preserve">). </w:t>
      </w:r>
    </w:p>
    <w:p w:rsidR="00845737" w:rsidRPr="00064C3C" w:rsidRDefault="00845737" w:rsidP="00845737">
      <w:r w:rsidRPr="00064C3C">
        <w:t>CitiPower indicated lower than forecast energy sales were the main reason for it recovering less revenue than was forecast.</w:t>
      </w:r>
    </w:p>
    <w:p w:rsidR="00AE2FC7" w:rsidRDefault="00AE2FC7" w:rsidP="00972E3F">
      <w:pPr>
        <w:pStyle w:val="Caption"/>
      </w:pPr>
      <w:r>
        <w:t>Figure 9</w:t>
      </w:r>
      <w:r w:rsidRPr="00064C3C">
        <w:t>–</w:t>
      </w:r>
      <w:r w:rsidR="00E05A53">
        <w:t>97</w:t>
      </w:r>
      <w:r w:rsidRPr="00064C3C">
        <w:tab/>
        <w:t xml:space="preserve">Revenue </w:t>
      </w:r>
      <w:r w:rsidR="007A3240">
        <w:t>–</w:t>
      </w:r>
      <w:r w:rsidRPr="00064C3C">
        <w:t xml:space="preserve"> CitiPower</w:t>
      </w:r>
    </w:p>
    <w:p w:rsidR="009721A2" w:rsidRPr="009721A2" w:rsidRDefault="009721A2" w:rsidP="009721A2">
      <w:r w:rsidRPr="009721A2">
        <w:rPr>
          <w:noProof/>
          <w:lang w:eastAsia="en-AU"/>
        </w:rPr>
        <w:drawing>
          <wp:inline distT="0" distB="0" distL="0" distR="0" wp14:anchorId="52500185" wp14:editId="62572262">
            <wp:extent cx="4572000" cy="2743200"/>
            <wp:effectExtent l="0" t="0" r="0" b="0"/>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AE2FC7" w:rsidRPr="00064C3C" w:rsidRDefault="00AE2FC7" w:rsidP="00AE2FC7">
      <w:r w:rsidRPr="00064C3C">
        <w:t xml:space="preserve">Chapter 7 provides further information on the WAPC control mechanism </w:t>
      </w:r>
      <w:r w:rsidR="00AB11E6">
        <w:t xml:space="preserve">as well as our comparative </w:t>
      </w:r>
      <w:r w:rsidRPr="00064C3C">
        <w:t xml:space="preserve">assessment of revenue for all distribution networks in the NEM. </w:t>
      </w:r>
    </w:p>
    <w:p w:rsidR="00AE2FC7" w:rsidRDefault="00AE2FC7" w:rsidP="00592413">
      <w:pPr>
        <w:pStyle w:val="Heading3"/>
      </w:pPr>
      <w:bookmarkStart w:id="512" w:name="_Toc409771714"/>
      <w:bookmarkStart w:id="513" w:name="_Toc412790663"/>
      <w:bookmarkStart w:id="514" w:name="_Toc413062144"/>
      <w:bookmarkStart w:id="515" w:name="_Toc413311139"/>
      <w:bookmarkStart w:id="516" w:name="_Toc423086555"/>
      <w:r>
        <w:t>Financial performance</w:t>
      </w:r>
      <w:bookmarkEnd w:id="512"/>
      <w:bookmarkEnd w:id="513"/>
      <w:bookmarkEnd w:id="514"/>
      <w:bookmarkEnd w:id="515"/>
      <w:bookmarkEnd w:id="516"/>
    </w:p>
    <w:p w:rsidR="00AE2FC7" w:rsidRPr="00064C3C" w:rsidRDefault="00AE2FC7" w:rsidP="00AE2FC7">
      <w:r w:rsidRPr="00064C3C">
        <w:t>CitiPower's average EBIT for standard control services was approximately 56 per cent of its total revenue earned for standard control services over 2011</w:t>
      </w:r>
      <w:r w:rsidR="00525C94">
        <w:t>–</w:t>
      </w:r>
      <w:r w:rsidRPr="00064C3C">
        <w:t xml:space="preserve">13. </w:t>
      </w:r>
      <w:r w:rsidR="00525C94" w:rsidRPr="00CB73C1">
        <w:t xml:space="preserve">The EBIT in </w:t>
      </w:r>
      <w:r w:rsidR="00525C94">
        <w:t>Figure 9</w:t>
      </w:r>
      <w:r w:rsidR="00525C94" w:rsidRPr="00CB73C1">
        <w:t>–</w:t>
      </w:r>
      <w:r w:rsidR="00525C94">
        <w:t>98</w:t>
      </w:r>
      <w:r w:rsidR="00525C94" w:rsidRPr="00CB73C1">
        <w:t xml:space="preserve"> includes depreciation and amortisation</w:t>
      </w:r>
      <w:r w:rsidR="00525C94">
        <w:t xml:space="preserve"> and should not be used as a definitive measure of core profitability</w:t>
      </w:r>
      <w:r w:rsidR="00525C94" w:rsidRPr="00CB73C1">
        <w:t>.</w:t>
      </w:r>
    </w:p>
    <w:p w:rsidR="00AE2FC7" w:rsidRDefault="00AE2FC7" w:rsidP="00972E3F">
      <w:pPr>
        <w:pStyle w:val="Caption"/>
      </w:pPr>
      <w:r>
        <w:t>Figure 9</w:t>
      </w:r>
      <w:r w:rsidRPr="00064C3C">
        <w:t>–</w:t>
      </w:r>
      <w:r w:rsidR="00E05A53">
        <w:t>9</w:t>
      </w:r>
      <w:r w:rsidRPr="00064C3C">
        <w:t>8</w:t>
      </w:r>
      <w:r w:rsidRPr="00064C3C">
        <w:tab/>
        <w:t xml:space="preserve">EBIT </w:t>
      </w:r>
      <w:r w:rsidR="007A3240">
        <w:t>–</w:t>
      </w:r>
      <w:r w:rsidRPr="00064C3C">
        <w:t xml:space="preserve"> CitiPower</w:t>
      </w:r>
    </w:p>
    <w:p w:rsidR="009B5E59" w:rsidRPr="009B5E59" w:rsidRDefault="009B5E59" w:rsidP="009B5E59">
      <w:r w:rsidRPr="009B5E59">
        <w:rPr>
          <w:noProof/>
          <w:lang w:eastAsia="en-AU"/>
        </w:rPr>
        <w:drawing>
          <wp:inline distT="0" distB="0" distL="0" distR="0" wp14:anchorId="43CEE5FD" wp14:editId="7359F353">
            <wp:extent cx="4572000" cy="2743200"/>
            <wp:effectExtent l="0" t="0" r="0" b="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AE2FC7" w:rsidRPr="00064C3C" w:rsidRDefault="00AE2FC7" w:rsidP="00AE2FC7">
      <w:r w:rsidRPr="00064C3C">
        <w:t xml:space="preserve">CitiPower noted it only reports negligible financing charges (used in the calculation of EBIT in </w:t>
      </w:r>
      <w:r>
        <w:t>Figure 9</w:t>
      </w:r>
      <w:r w:rsidRPr="00064C3C">
        <w:t>–</w:t>
      </w:r>
      <w:r w:rsidR="00E05A53">
        <w:t>9</w:t>
      </w:r>
      <w:r w:rsidRPr="00064C3C">
        <w:t xml:space="preserve">8). This is because CitiPower I Pty Ltd is the financing entity for CitiPower, but it is not part of the licensed distribution business on which the AER's </w:t>
      </w:r>
      <w:r w:rsidR="00005219">
        <w:t>A</w:t>
      </w:r>
      <w:r w:rsidRPr="00064C3C">
        <w:t xml:space="preserve">nnual </w:t>
      </w:r>
      <w:r w:rsidR="00BC155F">
        <w:t xml:space="preserve">Reporting </w:t>
      </w:r>
      <w:r w:rsidRPr="00064C3C">
        <w:t>RIN is issued.</w:t>
      </w:r>
    </w:p>
    <w:p w:rsidR="00AE2FC7" w:rsidRPr="00064C3C" w:rsidRDefault="00AE2FC7" w:rsidP="00AE2FC7">
      <w:r w:rsidRPr="00064C3C">
        <w:t xml:space="preserve">CitiPower also indicated it allocates 'other revenue' to standard control services in its RINs, but this revenue is not revenue from distribution customers. ‘Other revenue’ comprises largely intercompany interest revenue relating to an intercompany loan. </w:t>
      </w:r>
    </w:p>
    <w:p w:rsidR="00AE2FC7" w:rsidRPr="00064C3C" w:rsidRDefault="002767AE" w:rsidP="00AE2FC7">
      <w:r>
        <w:t>We have</w:t>
      </w:r>
      <w:r w:rsidR="00AE2FC7" w:rsidRPr="00064C3C">
        <w:t xml:space="preserve"> exclude</w:t>
      </w:r>
      <w:r w:rsidR="00005219">
        <w:t>d ‘</w:t>
      </w:r>
      <w:r w:rsidR="00AE2FC7" w:rsidRPr="00064C3C">
        <w:t>other revenue</w:t>
      </w:r>
      <w:r w:rsidR="00005219">
        <w:t>’</w:t>
      </w:r>
      <w:r w:rsidR="00AE2FC7" w:rsidRPr="00064C3C">
        <w:t xml:space="preserve"> </w:t>
      </w:r>
      <w:r w:rsidR="00845737">
        <w:t>from</w:t>
      </w:r>
      <w:r w:rsidR="00AE2FC7" w:rsidRPr="00064C3C">
        <w:t xml:space="preserve"> the calculation of EBIT.</w:t>
      </w:r>
    </w:p>
    <w:p w:rsidR="00AE2FC7" w:rsidRDefault="00AE2FC7" w:rsidP="00592413">
      <w:pPr>
        <w:pStyle w:val="Heading3"/>
      </w:pPr>
      <w:bookmarkStart w:id="517" w:name="_Toc409771715"/>
      <w:bookmarkStart w:id="518" w:name="_Toc412790664"/>
      <w:bookmarkStart w:id="519" w:name="_Toc413062145"/>
      <w:bookmarkStart w:id="520" w:name="_Toc413311140"/>
      <w:bookmarkStart w:id="521" w:name="_Toc423086556"/>
      <w:r>
        <w:t>Service performance</w:t>
      </w:r>
      <w:bookmarkEnd w:id="517"/>
      <w:bookmarkEnd w:id="518"/>
      <w:bookmarkEnd w:id="519"/>
      <w:bookmarkEnd w:id="520"/>
      <w:bookmarkEnd w:id="521"/>
    </w:p>
    <w:p w:rsidR="00AE2FC7" w:rsidRPr="00064C3C" w:rsidRDefault="00AE2FC7" w:rsidP="00AE2FC7">
      <w:pPr>
        <w:pStyle w:val="Heading4notnumbered"/>
      </w:pPr>
      <w:r w:rsidRPr="00064C3C">
        <w:t>Total interruptions to supply</w:t>
      </w:r>
    </w:p>
    <w:p w:rsidR="00AE2FC7" w:rsidRPr="00064C3C" w:rsidRDefault="00AE2FC7" w:rsidP="00AE2FC7">
      <w:r w:rsidRPr="00064C3C">
        <w:t>Total interruptions to supply reflect the total impact of both planned and unplanned interruptions (</w:t>
      </w:r>
      <w:r>
        <w:t>Figure 9</w:t>
      </w:r>
      <w:r w:rsidRPr="00064C3C">
        <w:t>–</w:t>
      </w:r>
      <w:r w:rsidR="00E05A53">
        <w:t>9</w:t>
      </w:r>
      <w:r w:rsidRPr="00064C3C">
        <w:t xml:space="preserve">9). This measure reflects </w:t>
      </w:r>
      <w:r w:rsidR="001368B1">
        <w:t>the actual experience of</w:t>
      </w:r>
      <w:r w:rsidR="001368B1" w:rsidRPr="00CB73C1">
        <w:t xml:space="preserve"> the average </w:t>
      </w:r>
      <w:r w:rsidRPr="00064C3C">
        <w:t>CitiPower customer.</w:t>
      </w:r>
      <w:r w:rsidR="00CC0E3F">
        <w:t xml:space="preserve"> </w:t>
      </w:r>
      <w:r w:rsidRPr="00064C3C">
        <w:t xml:space="preserve">Total interruptions to supply include the effect of any interruptions considered to be </w:t>
      </w:r>
      <w:r w:rsidR="00133534">
        <w:t xml:space="preserve">excluded </w:t>
      </w:r>
      <w:r w:rsidR="00460775">
        <w:t>events in the STPIS</w:t>
      </w:r>
      <w:r w:rsidRPr="00064C3C">
        <w:t xml:space="preserve">. </w:t>
      </w:r>
    </w:p>
    <w:p w:rsidR="00AE2FC7" w:rsidRDefault="00AE2FC7" w:rsidP="00972E3F">
      <w:pPr>
        <w:pStyle w:val="Caption"/>
      </w:pPr>
      <w:r>
        <w:t>Figure 9</w:t>
      </w:r>
      <w:r w:rsidRPr="00064C3C">
        <w:t>–</w:t>
      </w:r>
      <w:r w:rsidR="00E05A53">
        <w:t>9</w:t>
      </w:r>
      <w:r w:rsidRPr="00064C3C">
        <w:t>9</w:t>
      </w:r>
      <w:r w:rsidRPr="00064C3C">
        <w:tab/>
        <w:t xml:space="preserve">Total interruptions to supply </w:t>
      </w:r>
      <w:r w:rsidR="007A3240">
        <w:t>–</w:t>
      </w:r>
      <w:r w:rsidRPr="00064C3C">
        <w:t xml:space="preserve"> CitiPower</w:t>
      </w:r>
    </w:p>
    <w:p w:rsidR="009B5E59" w:rsidRPr="009B5E59" w:rsidRDefault="009B5E59" w:rsidP="009B5E59">
      <w:r>
        <w:rPr>
          <w:noProof/>
          <w:lang w:eastAsia="en-AU"/>
        </w:rPr>
        <w:drawing>
          <wp:inline distT="0" distB="0" distL="0" distR="0" wp14:anchorId="5CD89DE1" wp14:editId="7D2D9BC6">
            <wp:extent cx="2833200" cy="1699200"/>
            <wp:effectExtent l="0" t="0" r="571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Pr>
          <w:noProof/>
          <w:lang w:eastAsia="en-AU"/>
        </w:rPr>
        <w:drawing>
          <wp:inline distT="0" distB="0" distL="0" distR="0" wp14:anchorId="59BDEF5E" wp14:editId="6694CD53">
            <wp:extent cx="2833200" cy="1699200"/>
            <wp:effectExtent l="0" t="0" r="571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p>
    <w:p w:rsidR="00E05A53" w:rsidRDefault="00E05A53" w:rsidP="00B9212B">
      <w:r w:rsidRPr="00E05A53">
        <w:rPr>
          <w:noProof/>
          <w:lang w:eastAsia="en-AU"/>
        </w:rPr>
        <w:drawing>
          <wp:inline distT="0" distB="0" distL="0" distR="0" wp14:anchorId="7595E3BB" wp14:editId="124E836F">
            <wp:extent cx="5731510" cy="1078937"/>
            <wp:effectExtent l="0" t="0" r="2540" b="698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31510" cy="1078937"/>
                    </a:xfrm>
                    <a:prstGeom prst="rect">
                      <a:avLst/>
                    </a:prstGeom>
                    <a:noFill/>
                    <a:ln>
                      <a:noFill/>
                    </a:ln>
                  </pic:spPr>
                </pic:pic>
              </a:graphicData>
            </a:graphic>
          </wp:inline>
        </w:drawing>
      </w:r>
    </w:p>
    <w:p w:rsidR="00AE2FC7" w:rsidRPr="00064C3C" w:rsidRDefault="00AE2FC7" w:rsidP="00AE2FC7">
      <w:pPr>
        <w:pStyle w:val="Heading4notnumbered"/>
      </w:pPr>
      <w:r w:rsidRPr="00064C3C">
        <w:t>Service Target Performance Incentive Scheme</w:t>
      </w:r>
    </w:p>
    <w:p w:rsidR="00AE2FC7" w:rsidRPr="00064C3C" w:rsidRDefault="00DD4FC1" w:rsidP="00AE2FC7">
      <w:r>
        <w:t>In our 2010 distribution determination we</w:t>
      </w:r>
      <w:r w:rsidR="00AE2FC7" w:rsidRPr="00064C3C">
        <w:t xml:space="preserve"> determined the STPIS would apply to CitiPower in the 2011</w:t>
      </w:r>
      <w:r w:rsidR="007A3240">
        <w:t>–</w:t>
      </w:r>
      <w:r w:rsidR="00AE2FC7" w:rsidRPr="00064C3C">
        <w:t xml:space="preserve">15 regulatory control period with an overall revenue at risk of ±5 per cent. </w:t>
      </w:r>
    </w:p>
    <w:p w:rsidR="00AE2FC7" w:rsidRPr="00064C3C" w:rsidRDefault="00AE2FC7" w:rsidP="00AE2FC7">
      <w:r w:rsidRPr="00064C3C">
        <w:t>The following section shows the effect of (normalised) unplanned interruptions to supply to customers on CitiPower's network.</w:t>
      </w:r>
    </w:p>
    <w:p w:rsidR="00AE2FC7" w:rsidRPr="00064C3C" w:rsidRDefault="00AE2FC7" w:rsidP="00AE2FC7">
      <w:pPr>
        <w:pStyle w:val="Heading4notnumbered"/>
      </w:pPr>
      <w:r w:rsidRPr="00064C3C">
        <w:t>Network reliability (normalised)</w:t>
      </w:r>
    </w:p>
    <w:p w:rsidR="00AE2FC7" w:rsidRPr="00064C3C" w:rsidRDefault="00AE2FC7" w:rsidP="00AE2FC7">
      <w:r w:rsidRPr="00064C3C">
        <w:t>In 2012</w:t>
      </w:r>
      <w:r w:rsidR="007A3240">
        <w:t>–</w:t>
      </w:r>
      <w:r w:rsidRPr="00064C3C">
        <w:t>13 the average CitiPower customer experienced:</w:t>
      </w:r>
    </w:p>
    <w:p w:rsidR="00AE2FC7" w:rsidRPr="00064C3C" w:rsidRDefault="00AE2FC7" w:rsidP="00005219">
      <w:pPr>
        <w:pStyle w:val="ListBullet"/>
      </w:pPr>
      <w:r w:rsidRPr="00064C3C">
        <w:t>6 per cent fewer unplanned (normalised) minutes off supply than over the previous five years</w:t>
      </w:r>
    </w:p>
    <w:p w:rsidR="00AE2FC7" w:rsidRPr="00064C3C" w:rsidRDefault="00AE2FC7" w:rsidP="00005219">
      <w:pPr>
        <w:pStyle w:val="ListBullet"/>
      </w:pPr>
      <w:r w:rsidRPr="00064C3C">
        <w:t>15 per cent fewer unplanned (normalised) interruptions to supply than over the previous five years (</w:t>
      </w:r>
      <w:r>
        <w:t>Figure 9</w:t>
      </w:r>
      <w:r w:rsidRPr="00064C3C">
        <w:t>–1</w:t>
      </w:r>
      <w:r w:rsidR="00945C1E">
        <w:t>0</w:t>
      </w:r>
      <w:r w:rsidRPr="00064C3C">
        <w:t>0).</w:t>
      </w:r>
    </w:p>
    <w:p w:rsidR="00AE2FC7" w:rsidRDefault="00AE2FC7" w:rsidP="00AE2FC7">
      <w:r w:rsidRPr="00064C3C">
        <w:t xml:space="preserve">It should be noted the reliability information presented in </w:t>
      </w:r>
      <w:r>
        <w:t>Figure 9</w:t>
      </w:r>
      <w:r w:rsidRPr="00064C3C">
        <w:t>–1</w:t>
      </w:r>
      <w:r w:rsidR="00945C1E">
        <w:t>0</w:t>
      </w:r>
      <w:r w:rsidRPr="00064C3C">
        <w:t>0 combines information from the previous jurisdictional scheme and the AER's STPIS. These schemes differ in detail and therefore the information is not directly comparable. However, the reliability outcomes are presented to provide broad trend information regarding CitiPower's service performance.</w:t>
      </w:r>
    </w:p>
    <w:p w:rsidR="009B5E59" w:rsidRDefault="00592413" w:rsidP="00972E3F">
      <w:pPr>
        <w:pStyle w:val="Caption"/>
      </w:pPr>
      <w:r>
        <w:t>F</w:t>
      </w:r>
      <w:r w:rsidR="00AE2FC7">
        <w:t>igure 9</w:t>
      </w:r>
      <w:r w:rsidR="00AE2FC7" w:rsidRPr="00064C3C">
        <w:t>–1</w:t>
      </w:r>
      <w:r w:rsidR="00E05A53">
        <w:t>0</w:t>
      </w:r>
      <w:r w:rsidR="00AE2FC7" w:rsidRPr="00064C3C">
        <w:t>0</w:t>
      </w:r>
      <w:r w:rsidR="00AE2FC7" w:rsidRPr="00064C3C">
        <w:tab/>
        <w:t xml:space="preserve">Unplanned interruptions to supply (normalised) </w:t>
      </w:r>
      <w:r w:rsidR="007A3240">
        <w:t>–</w:t>
      </w:r>
      <w:r w:rsidR="00AE2FC7" w:rsidRPr="00064C3C">
        <w:t xml:space="preserve"> CitiPower</w:t>
      </w:r>
    </w:p>
    <w:p w:rsidR="00AE2FC7" w:rsidRPr="00064C3C" w:rsidRDefault="009B5E59" w:rsidP="00972E3F">
      <w:pPr>
        <w:pStyle w:val="Caption"/>
      </w:pPr>
      <w:r>
        <w:rPr>
          <w:noProof/>
          <w:lang w:eastAsia="en-AU"/>
        </w:rPr>
        <w:drawing>
          <wp:inline distT="0" distB="0" distL="0" distR="0" wp14:anchorId="6914EE99" wp14:editId="6312430A">
            <wp:extent cx="2833200" cy="1699200"/>
            <wp:effectExtent l="0" t="0" r="571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Pr>
          <w:noProof/>
          <w:lang w:eastAsia="en-AU"/>
        </w:rPr>
        <w:drawing>
          <wp:inline distT="0" distB="0" distL="0" distR="0" wp14:anchorId="4EA2C035" wp14:editId="54B48878">
            <wp:extent cx="2833200" cy="1706400"/>
            <wp:effectExtent l="0" t="0" r="5715"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33200" cy="1706400"/>
                    </a:xfrm>
                    <a:prstGeom prst="rect">
                      <a:avLst/>
                    </a:prstGeom>
                    <a:noFill/>
                  </pic:spPr>
                </pic:pic>
              </a:graphicData>
            </a:graphic>
          </wp:inline>
        </w:drawing>
      </w:r>
    </w:p>
    <w:p w:rsidR="00E05A53" w:rsidRDefault="00E05A53" w:rsidP="00B9212B">
      <w:r w:rsidRPr="00E05A53">
        <w:rPr>
          <w:noProof/>
          <w:lang w:eastAsia="en-AU"/>
        </w:rPr>
        <w:drawing>
          <wp:inline distT="0" distB="0" distL="0" distR="0" wp14:anchorId="2CE44DEB" wp14:editId="4D8E008B">
            <wp:extent cx="5731510" cy="80934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31510" cy="809345"/>
                    </a:xfrm>
                    <a:prstGeom prst="rect">
                      <a:avLst/>
                    </a:prstGeom>
                    <a:noFill/>
                    <a:ln>
                      <a:noFill/>
                    </a:ln>
                  </pic:spPr>
                </pic:pic>
              </a:graphicData>
            </a:graphic>
          </wp:inline>
        </w:drawing>
      </w:r>
    </w:p>
    <w:p w:rsidR="00AE2FC7" w:rsidRPr="00064C3C" w:rsidRDefault="00AE2FC7" w:rsidP="00AE2FC7">
      <w:pPr>
        <w:pStyle w:val="Heading4notnumbered"/>
      </w:pPr>
      <w:r w:rsidRPr="00064C3C">
        <w:t>S</w:t>
      </w:r>
      <w:r w:rsidR="007A3240">
        <w:t>–</w:t>
      </w:r>
      <w:r w:rsidRPr="00064C3C">
        <w:t>factor</w:t>
      </w:r>
    </w:p>
    <w:p w:rsidR="00AE2FC7" w:rsidRPr="00064C3C" w:rsidRDefault="00AE2FC7" w:rsidP="00AE2FC7">
      <w:r>
        <w:t>Table 9</w:t>
      </w:r>
      <w:r w:rsidRPr="00064C3C">
        <w:t>–</w:t>
      </w:r>
      <w:r w:rsidR="0073546D">
        <w:t>6</w:t>
      </w:r>
      <w:r w:rsidRPr="00064C3C">
        <w:t xml:space="preserve"> compares CitiPower's service performance against its STPIS targets over the first three years of the 2011</w:t>
      </w:r>
      <w:r w:rsidR="007A3240">
        <w:t>–</w:t>
      </w:r>
      <w:r w:rsidRPr="00064C3C">
        <w:t xml:space="preserve">15 regulatory control period. Over this period CitiPower has consistently performed well against its CBD feeder and telephone answering targets but has underperformed against its urban feeder targets. </w:t>
      </w:r>
    </w:p>
    <w:p w:rsidR="00AE2FC7" w:rsidRPr="00064C3C" w:rsidRDefault="00AE2FC7" w:rsidP="00AE2FC7">
      <w:r w:rsidRPr="00064C3C">
        <w:t xml:space="preserve">The STPIS stipulates the incentive rate applied to service performance provided to customers on CBD feeders is greater than the incentive rate applied to customers on other feeders. This weighting is based on the higher value CBD customers place on </w:t>
      </w:r>
      <w:r w:rsidR="0073546D" w:rsidRPr="00064C3C">
        <w:t xml:space="preserve">reliability. </w:t>
      </w:r>
      <w:r w:rsidRPr="00064C3C">
        <w:t>The relative weighting of CitiPower's service performance on CBD feeders has allowed it to achieve positive s</w:t>
      </w:r>
      <w:r w:rsidR="007A3240">
        <w:t>–</w:t>
      </w:r>
      <w:r w:rsidRPr="00064C3C">
        <w:t xml:space="preserve">factor outcomes in 2011 and 2013. </w:t>
      </w:r>
    </w:p>
    <w:p w:rsidR="00AE2FC7" w:rsidRPr="00064C3C" w:rsidRDefault="00AE2FC7" w:rsidP="00AE2FC7">
      <w:r w:rsidRPr="00064C3C">
        <w:t>It is important to note STPIS targets are applied to normalised network reliability. In each of the first three years of the 2011</w:t>
      </w:r>
      <w:r w:rsidR="007A3240">
        <w:t>–</w:t>
      </w:r>
      <w:r w:rsidRPr="00064C3C">
        <w:t xml:space="preserve">15 regulatory control period CitiPower experienced between two and four days where </w:t>
      </w:r>
      <w:r w:rsidR="00005219" w:rsidRPr="00064C3C">
        <w:t>it’s</w:t>
      </w:r>
      <w:r w:rsidRPr="00064C3C">
        <w:t xml:space="preserve"> daily unplanned SAIDI exceeded the major event day boundary. For any day in which unplanned SAIDI exceeds the major event day boundary the impact of that day's SAIDI, SAIFI, MAIFI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to be outside the DNSP's control.</w:t>
      </w:r>
    </w:p>
    <w:p w:rsidR="00AE2FC7" w:rsidRPr="00064C3C" w:rsidRDefault="00AE2FC7" w:rsidP="00AE2FC7">
      <w:r w:rsidRPr="00064C3C">
        <w:t>The s</w:t>
      </w:r>
      <w:r w:rsidR="007A3240">
        <w:t>–</w:t>
      </w:r>
      <w:r w:rsidRPr="00064C3C">
        <w:t>factor is incorporated into CitiPower's control mechanism as a multiplier in its WAPC. Allowed revenue is incremented when service performance is better than performance targets and decremented when service performance is worse than performance targets. The way in which the s</w:t>
      </w:r>
      <w:r w:rsidR="007A3240">
        <w:t>–</w:t>
      </w:r>
      <w:r w:rsidRPr="00064C3C">
        <w:t>factor is incorporated into CitiPower's control mechanism is set out in the 2011</w:t>
      </w:r>
      <w:r w:rsidR="007A3240">
        <w:t>–</w:t>
      </w:r>
      <w:r w:rsidRPr="00064C3C">
        <w:t>15 distribution determination.</w:t>
      </w:r>
    </w:p>
    <w:p w:rsidR="00AE2FC7" w:rsidRPr="00064C3C" w:rsidRDefault="00AE2FC7" w:rsidP="00AE2FC7">
      <w:r w:rsidRPr="00064C3C">
        <w:t>Note there is a two year lag between the regulatory year in which service performance outcomes are assessed and the regulatory year in which the s</w:t>
      </w:r>
      <w:r w:rsidR="007A3240">
        <w:t>–</w:t>
      </w:r>
      <w:r w:rsidRPr="00064C3C">
        <w:t xml:space="preserve">factor outcome is applied to the DNSP's allowed revenue. </w:t>
      </w:r>
    </w:p>
    <w:p w:rsidR="00AE2FC7" w:rsidRPr="00064C3C" w:rsidRDefault="00AE2FC7" w:rsidP="00972E3F">
      <w:pPr>
        <w:pStyle w:val="Caption"/>
      </w:pPr>
      <w:r>
        <w:t>Table 9</w:t>
      </w:r>
      <w:r w:rsidRPr="00064C3C">
        <w:t>–6</w:t>
      </w:r>
      <w:r w:rsidRPr="00064C3C">
        <w:tab/>
        <w:t>S</w:t>
      </w:r>
      <w:r w:rsidR="007A3240">
        <w:t>–</w:t>
      </w:r>
      <w:r w:rsidRPr="00064C3C">
        <w:t xml:space="preserve">factor </w:t>
      </w:r>
      <w:r w:rsidR="007A3240">
        <w:t>–</w:t>
      </w:r>
      <w:r w:rsidRPr="00064C3C">
        <w:t xml:space="preserve"> CitiPower</w:t>
      </w:r>
    </w:p>
    <w:p w:rsidR="009B5E59" w:rsidRPr="00064C3C" w:rsidRDefault="009B5E59" w:rsidP="00AE2FC7">
      <w:r w:rsidRPr="009B5E59">
        <w:rPr>
          <w:noProof/>
          <w:lang w:eastAsia="en-AU"/>
        </w:rPr>
        <w:drawing>
          <wp:inline distT="0" distB="0" distL="0" distR="0" wp14:anchorId="5BB7BBF8" wp14:editId="32B31361">
            <wp:extent cx="5731510" cy="2942298"/>
            <wp:effectExtent l="0" t="0" r="254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731510" cy="2942298"/>
                    </a:xfrm>
                    <a:prstGeom prst="rect">
                      <a:avLst/>
                    </a:prstGeom>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r>
        <w:br w:type="page"/>
      </w:r>
    </w:p>
    <w:bookmarkStart w:id="522" w:name="_Toc409771716"/>
    <w:bookmarkStart w:id="523" w:name="_Toc423086557"/>
    <w:p w:rsidR="00AE2FC7" w:rsidRDefault="00073FDA" w:rsidP="00592413">
      <w:pPr>
        <w:pStyle w:val="Heading2"/>
      </w:pPr>
      <w:r w:rsidRPr="00513EA8">
        <w:rPr>
          <w:noProof/>
          <w:lang w:eastAsia="en-AU"/>
        </w:rPr>
        <mc:AlternateContent>
          <mc:Choice Requires="wps">
            <w:drawing>
              <wp:anchor distT="0" distB="0" distL="114300" distR="114300" simplePos="0" relativeHeight="251689984" behindDoc="1" locked="0" layoutInCell="1" allowOverlap="1" wp14:anchorId="1AFB3480" wp14:editId="3219D82F">
                <wp:simplePos x="0" y="0"/>
                <wp:positionH relativeFrom="column">
                  <wp:posOffset>-247015</wp:posOffset>
                </wp:positionH>
                <wp:positionV relativeFrom="paragraph">
                  <wp:posOffset>383540</wp:posOffset>
                </wp:positionV>
                <wp:extent cx="6372860" cy="8357235"/>
                <wp:effectExtent l="19050" t="19050" r="27940" b="24765"/>
                <wp:wrapTight wrapText="bothSides">
                  <wp:wrapPolygon edited="0">
                    <wp:start x="-65" y="-49"/>
                    <wp:lineTo x="-65" y="21615"/>
                    <wp:lineTo x="21630" y="21615"/>
                    <wp:lineTo x="21630" y="-49"/>
                    <wp:lineTo x="-65" y="-49"/>
                  </wp:wrapPolygon>
                </wp:wrapTight>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8357235"/>
                        </a:xfrm>
                        <a:prstGeom prst="rect">
                          <a:avLst/>
                        </a:prstGeom>
                        <a:noFill/>
                        <a:ln w="44450">
                          <a:solidFill>
                            <a:srgbClr val="41AB5D"/>
                          </a:solidFill>
                          <a:miter lim="800000"/>
                          <a:headEnd/>
                          <a:tailEnd/>
                        </a:ln>
                      </wps:spPr>
                      <wps:txbx>
                        <w:txbxContent>
                          <w:p w:rsidR="00AD3D0C" w:rsidRDefault="00AD3D0C" w:rsidP="00513EA8">
                            <w:pPr>
                              <w:pStyle w:val="Heading3notnumbered"/>
                            </w:pPr>
                            <w:bookmarkStart w:id="524" w:name="_Toc413311142"/>
                            <w:bookmarkStart w:id="525" w:name="_Toc423086558"/>
                            <w:r>
                              <w:t>Network characteristics</w:t>
                            </w:r>
                            <w:bookmarkEnd w:id="524"/>
                            <w:bookmarkEnd w:id="525"/>
                          </w:p>
                          <w:p w:rsidR="00AD3D0C" w:rsidRPr="00C312BC" w:rsidRDefault="00AD3D0C" w:rsidP="00513EA8">
                            <w:r w:rsidRPr="00E96856">
                              <w:rPr>
                                <w:rStyle w:val="Strong"/>
                              </w:rPr>
                              <w:t>Ownership:</w:t>
                            </w:r>
                            <w:r>
                              <w:t xml:space="preserve"> </w:t>
                            </w:r>
                            <w:r w:rsidRPr="00007483">
                              <w:t>State Grid Corporation of China (60 per cent); Singapore Power International (40 per cent)</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Pr="00C312BC" w:rsidRDefault="00AD3D0C" w:rsidP="00513EA8">
                            <w:pPr>
                              <w:pStyle w:val="TableofFigures"/>
                            </w:pPr>
                            <w:r>
                              <w:t xml:space="preserve">  Total distribution customers:</w:t>
                            </w:r>
                            <w:r w:rsidRPr="00C312BC">
                              <w:t xml:space="preserve"> </w:t>
                            </w:r>
                            <w:r w:rsidRPr="00C312BC">
                              <w:tab/>
                            </w:r>
                            <w:r>
                              <w:tab/>
                            </w:r>
                            <w:r>
                              <w:tab/>
                              <w:t>318,830</w:t>
                            </w:r>
                            <w:r w:rsidRPr="006B3238">
                              <w:rPr>
                                <w:noProof/>
                                <w:lang w:eastAsia="en-AU"/>
                              </w:rPr>
                              <w:drawing>
                                <wp:inline distT="0" distB="0" distL="0" distR="0" wp14:anchorId="1972342B" wp14:editId="4D481742">
                                  <wp:extent cx="4572000" cy="9525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AD3D0C" w:rsidRDefault="00AD3D0C" w:rsidP="006B3238">
                            <w:pPr>
                              <w:pStyle w:val="TableofFigures"/>
                            </w:pPr>
                            <w:r>
                              <w:t xml:space="preserve">  </w:t>
                            </w:r>
                            <w:r w:rsidRPr="0075338F">
                              <w:t xml:space="preserve">Total line </w:t>
                            </w:r>
                            <w:r>
                              <w:t xml:space="preserve">(circuit) </w:t>
                            </w:r>
                            <w:r w:rsidRPr="0075338F">
                              <w:t>length:</w:t>
                            </w:r>
                            <w:r>
                              <w:t xml:space="preserve"> </w:t>
                            </w:r>
                            <w:r>
                              <w:tab/>
                            </w:r>
                            <w:r>
                              <w:tab/>
                            </w:r>
                            <w:r>
                              <w:tab/>
                            </w:r>
                            <w:r>
                              <w:tab/>
                              <w:t>6,135 km</w:t>
                            </w:r>
                            <w:r w:rsidRPr="006B3238">
                              <w:rPr>
                                <w:noProof/>
                                <w:lang w:eastAsia="en-AU"/>
                              </w:rPr>
                              <w:drawing>
                                <wp:inline distT="0" distB="0" distL="0" distR="0" wp14:anchorId="61B11D4F" wp14:editId="62BE53D6">
                                  <wp:extent cx="4572000" cy="9779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52.0</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13,033 </w:t>
                            </w:r>
                            <w:proofErr w:type="spellStart"/>
                            <w:r>
                              <w:t>GWh</w:t>
                            </w:r>
                            <w:proofErr w:type="spellEnd"/>
                            <w:r>
                              <w:t>, 1</w:t>
                            </w:r>
                            <w:r w:rsidRPr="00474352">
                              <w:t xml:space="preserve"> per cent </w:t>
                            </w:r>
                            <w:r w:rsidRPr="00AE2FC7">
                              <w:t>▲</w:t>
                            </w:r>
                            <w:r w:rsidRPr="00474352">
                              <w:t xml:space="preserve">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$351 m, 23</w:t>
                            </w:r>
                            <w:r w:rsidRPr="00474352">
                              <w:t xml:space="preserve"> per cent </w:t>
                            </w:r>
                            <w:r w:rsidRPr="00AE2FC7">
                              <w:t>▲</w:t>
                            </w:r>
                            <w:r w:rsidRPr="00474352">
                              <w:t xml:space="preserve"> than forecast</w:t>
                            </w:r>
                          </w:p>
                          <w:p w:rsidR="00AD3D0C" w:rsidRPr="00474352" w:rsidRDefault="00AD3D0C" w:rsidP="00513EA8">
                            <w:r w:rsidRPr="00474352">
                              <w:t xml:space="preserve">  Regulatory Asset Base: </w:t>
                            </w:r>
                            <w:r w:rsidRPr="00474352">
                              <w:tab/>
                            </w:r>
                            <w:r w:rsidRPr="00474352">
                              <w:tab/>
                            </w:r>
                            <w:r>
                              <w:tab/>
                            </w:r>
                            <w:r w:rsidRPr="00474352">
                              <w:tab/>
                            </w:r>
                            <w:r>
                              <w:t>26</w:t>
                            </w:r>
                            <w:r w:rsidRPr="00474352">
                              <w:t xml:space="preserve"> per cent </w:t>
                            </w:r>
                            <w:r w:rsidRPr="00AE2FC7">
                              <w:t>▲</w:t>
                            </w:r>
                            <w:r w:rsidRPr="00474352">
                              <w:t xml:space="preserve"> (from $</w:t>
                            </w:r>
                            <w:r>
                              <w:t>0.8bn</w:t>
                            </w:r>
                            <w:r w:rsidRPr="00474352">
                              <w:t xml:space="preserve"> to $</w:t>
                            </w:r>
                            <w:r>
                              <w:t>1</w:t>
                            </w:r>
                            <w:r w:rsidRPr="00474352">
                              <w:t>bn)</w:t>
                            </w:r>
                          </w:p>
                          <w:p w:rsidR="00AD3D0C" w:rsidRPr="00474352" w:rsidRDefault="00AD3D0C" w:rsidP="00513EA8">
                            <w:r w:rsidRPr="00474352">
                              <w:t xml:space="preserve">  Operating expenditure: </w:t>
                            </w:r>
                            <w:r w:rsidRPr="00474352">
                              <w:tab/>
                            </w:r>
                            <w:r w:rsidRPr="00474352">
                              <w:tab/>
                            </w:r>
                            <w:r w:rsidRPr="00474352">
                              <w:tab/>
                            </w:r>
                            <w:r>
                              <w:tab/>
                              <w:t>$211 m, 16</w:t>
                            </w:r>
                            <w:r w:rsidRPr="00474352">
                              <w:t xml:space="preserve"> per cent </w:t>
                            </w:r>
                            <w:r w:rsidRPr="00AE2FC7">
                              <w:t>▲</w:t>
                            </w:r>
                            <w:r w:rsidRPr="00474352">
                              <w:t xml:space="preserve">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$621 m</w:t>
                            </w:r>
                            <w:r w:rsidRPr="00E7742D">
                              <w:t>, 7 per cent ▲ than</w:t>
                            </w:r>
                            <w:r w:rsidRPr="00474352">
                              <w:t xml:space="preserve">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59.8</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63.7</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1.11</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0.99</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9.45pt;margin-top:30.2pt;width:501.8pt;height:658.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" filled="f" strokecolor="#41ab5d" strokeweight="3.5pt">
                <v:textbox>
                  <w:txbxContent>
                    <w:p w:rsidR="00AD3D0C" w:rsidRDefault="00AD3D0C" w:rsidP="00513EA8">
                      <w:pPr>
                        <w:pStyle w:val="Heading3notnumbered"/>
                      </w:pPr>
                      <w:bookmarkStart w:id="550" w:name="_Toc413311142"/>
                      <w:bookmarkStart w:id="551" w:name="_Toc423086558"/>
                      <w:r>
                        <w:t>Network characteristics</w:t>
                      </w:r>
                      <w:bookmarkEnd w:id="550"/>
                      <w:bookmarkEnd w:id="551"/>
                    </w:p>
                    <w:p w:rsidR="00AD3D0C" w:rsidRPr="00C312BC" w:rsidRDefault="00AD3D0C" w:rsidP="00513EA8">
                      <w:r w:rsidRPr="00E96856">
                        <w:rPr>
                          <w:rStyle w:val="Strong"/>
                        </w:rPr>
                        <w:t>Ownership:</w:t>
                      </w:r>
                      <w:r>
                        <w:t xml:space="preserve"> </w:t>
                      </w:r>
                      <w:r w:rsidRPr="00007483">
                        <w:t>State Grid Corporation of China (60 per cent); Singapore Power International (40 per cent)</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Pr="00C312BC" w:rsidRDefault="00AD3D0C" w:rsidP="00513EA8">
                      <w:pPr>
                        <w:pStyle w:val="TableofFigures"/>
                      </w:pPr>
                      <w:r>
                        <w:t xml:space="preserve">  Total distribution customers:</w:t>
                      </w:r>
                      <w:r w:rsidRPr="00C312BC">
                        <w:t xml:space="preserve"> </w:t>
                      </w:r>
                      <w:r w:rsidRPr="00C312BC">
                        <w:tab/>
                      </w:r>
                      <w:r>
                        <w:tab/>
                      </w:r>
                      <w:r>
                        <w:tab/>
                        <w:t>318,830</w:t>
                      </w:r>
                      <w:r w:rsidRPr="006B3238">
                        <w:rPr>
                          <w:noProof/>
                          <w:lang w:eastAsia="en-AU"/>
                        </w:rPr>
                        <w:drawing>
                          <wp:inline distT="0" distB="0" distL="0" distR="0" wp14:anchorId="1972342B" wp14:editId="4D481742">
                            <wp:extent cx="4572000" cy="9525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AD3D0C" w:rsidRDefault="00AD3D0C" w:rsidP="006B3238">
                      <w:pPr>
                        <w:pStyle w:val="TableofFigures"/>
                      </w:pPr>
                      <w:r>
                        <w:t xml:space="preserve">  </w:t>
                      </w:r>
                      <w:r w:rsidRPr="0075338F">
                        <w:t xml:space="preserve">Total line </w:t>
                      </w:r>
                      <w:r>
                        <w:t xml:space="preserve">(circuit) </w:t>
                      </w:r>
                      <w:r w:rsidRPr="0075338F">
                        <w:t>length:</w:t>
                      </w:r>
                      <w:r>
                        <w:t xml:space="preserve"> </w:t>
                      </w:r>
                      <w:r>
                        <w:tab/>
                      </w:r>
                      <w:r>
                        <w:tab/>
                      </w:r>
                      <w:r>
                        <w:tab/>
                      </w:r>
                      <w:r>
                        <w:tab/>
                        <w:t>6,135 km</w:t>
                      </w:r>
                      <w:r w:rsidRPr="006B3238">
                        <w:rPr>
                          <w:noProof/>
                          <w:lang w:eastAsia="en-AU"/>
                        </w:rPr>
                        <w:drawing>
                          <wp:inline distT="0" distB="0" distL="0" distR="0" wp14:anchorId="61B11D4F" wp14:editId="62BE53D6">
                            <wp:extent cx="4572000" cy="9779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52.0</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13,033 </w:t>
                      </w:r>
                      <w:proofErr w:type="spellStart"/>
                      <w:r>
                        <w:t>GWh</w:t>
                      </w:r>
                      <w:proofErr w:type="spellEnd"/>
                      <w:r>
                        <w:t>, 1</w:t>
                      </w:r>
                      <w:r w:rsidRPr="00474352">
                        <w:t xml:space="preserve"> per cent </w:t>
                      </w:r>
                      <w:r w:rsidRPr="00AE2FC7">
                        <w:t>▲</w:t>
                      </w:r>
                      <w:r w:rsidRPr="00474352">
                        <w:t xml:space="preserve">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$351 m, 23</w:t>
                      </w:r>
                      <w:r w:rsidRPr="00474352">
                        <w:t xml:space="preserve"> per cent </w:t>
                      </w:r>
                      <w:r w:rsidRPr="00AE2FC7">
                        <w:t>▲</w:t>
                      </w:r>
                      <w:r w:rsidRPr="00474352">
                        <w:t xml:space="preserve"> than forecast</w:t>
                      </w:r>
                    </w:p>
                    <w:p w:rsidR="00AD3D0C" w:rsidRPr="00474352" w:rsidRDefault="00AD3D0C" w:rsidP="00513EA8">
                      <w:r w:rsidRPr="00474352">
                        <w:t xml:space="preserve">  Regulatory Asset Base: </w:t>
                      </w:r>
                      <w:r w:rsidRPr="00474352">
                        <w:tab/>
                      </w:r>
                      <w:r w:rsidRPr="00474352">
                        <w:tab/>
                      </w:r>
                      <w:r>
                        <w:tab/>
                      </w:r>
                      <w:r w:rsidRPr="00474352">
                        <w:tab/>
                      </w:r>
                      <w:r>
                        <w:t>26</w:t>
                      </w:r>
                      <w:r w:rsidRPr="00474352">
                        <w:t xml:space="preserve"> per cent </w:t>
                      </w:r>
                      <w:r w:rsidRPr="00AE2FC7">
                        <w:t>▲</w:t>
                      </w:r>
                      <w:r w:rsidRPr="00474352">
                        <w:t xml:space="preserve"> (from $</w:t>
                      </w:r>
                      <w:r>
                        <w:t>0.8bn</w:t>
                      </w:r>
                      <w:r w:rsidRPr="00474352">
                        <w:t xml:space="preserve"> to $</w:t>
                      </w:r>
                      <w:r>
                        <w:t>1</w:t>
                      </w:r>
                      <w:r w:rsidRPr="00474352">
                        <w:t>bn)</w:t>
                      </w:r>
                    </w:p>
                    <w:p w:rsidR="00AD3D0C" w:rsidRPr="00474352" w:rsidRDefault="00AD3D0C" w:rsidP="00513EA8">
                      <w:r w:rsidRPr="00474352">
                        <w:t xml:space="preserve">  Operating expenditure: </w:t>
                      </w:r>
                      <w:r w:rsidRPr="00474352">
                        <w:tab/>
                      </w:r>
                      <w:r w:rsidRPr="00474352">
                        <w:tab/>
                      </w:r>
                      <w:r w:rsidRPr="00474352">
                        <w:tab/>
                      </w:r>
                      <w:r>
                        <w:tab/>
                        <w:t>$211 m, 16</w:t>
                      </w:r>
                      <w:r w:rsidRPr="00474352">
                        <w:t xml:space="preserve"> per cent </w:t>
                      </w:r>
                      <w:r w:rsidRPr="00AE2FC7">
                        <w:t>▲</w:t>
                      </w:r>
                      <w:r w:rsidRPr="00474352">
                        <w:t xml:space="preserve">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$621 m</w:t>
                      </w:r>
                      <w:r w:rsidRPr="00E7742D">
                        <w:t>, 7 per cent ▲ than</w:t>
                      </w:r>
                      <w:r w:rsidRPr="00474352">
                        <w:t xml:space="preserve">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59.8</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63.7</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1.11</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0.99</w:t>
                      </w:r>
                      <w:r w:rsidRPr="00E96856">
                        <w:t xml:space="preserve"> interruptions</w:t>
                      </w:r>
                    </w:p>
                  </w:txbxContent>
                </v:textbox>
                <w10:wrap type="tight"/>
              </v:shape>
            </w:pict>
          </mc:Fallback>
        </mc:AlternateContent>
      </w:r>
      <w:r w:rsidR="00AE2FC7">
        <w:t>JEN (Jemena Electricity Networks)</w:t>
      </w:r>
      <w:bookmarkEnd w:id="522"/>
      <w:bookmarkEnd w:id="523"/>
      <w:r w:rsidR="00513EA8" w:rsidRPr="00513EA8">
        <w:t xml:space="preserve"> </w:t>
      </w:r>
    </w:p>
    <w:p w:rsidR="00AE2FC7" w:rsidRDefault="00AE2FC7" w:rsidP="00592413">
      <w:pPr>
        <w:pStyle w:val="Heading3"/>
      </w:pPr>
      <w:bookmarkStart w:id="526" w:name="_Toc409771719"/>
      <w:bookmarkStart w:id="527" w:name="_Toc412790668"/>
      <w:bookmarkStart w:id="528" w:name="_Toc413062149"/>
      <w:bookmarkStart w:id="529" w:name="_Toc413311143"/>
      <w:bookmarkStart w:id="530" w:name="_Toc423086559"/>
      <w:r>
        <w:t>Regulation</w:t>
      </w:r>
      <w:bookmarkEnd w:id="526"/>
      <w:bookmarkEnd w:id="527"/>
      <w:bookmarkEnd w:id="528"/>
      <w:bookmarkEnd w:id="529"/>
      <w:bookmarkEnd w:id="530"/>
    </w:p>
    <w:p w:rsidR="00AE2FC7" w:rsidRPr="00064C3C" w:rsidRDefault="00D30B61" w:rsidP="00AE2FC7">
      <w:r>
        <w:t>From</w:t>
      </w:r>
      <w:r w:rsidR="00AE2FC7" w:rsidRPr="00064C3C">
        <w:t xml:space="preserve"> 1 January 2011 </w:t>
      </w:r>
      <w:r w:rsidR="002767AE">
        <w:t>we have</w:t>
      </w:r>
      <w:r w:rsidR="00AE2FC7" w:rsidRPr="00064C3C">
        <w:t xml:space="preserve"> been responsible for the economic regulation of electricity distribution services provided by JEN. Previously the ESCV was the responsible regulator.</w:t>
      </w:r>
    </w:p>
    <w:p w:rsidR="00AE2FC7" w:rsidRDefault="00AE2FC7" w:rsidP="00592413">
      <w:pPr>
        <w:pStyle w:val="Heading3"/>
      </w:pPr>
      <w:bookmarkStart w:id="531" w:name="_Toc409771720"/>
      <w:bookmarkStart w:id="532" w:name="_Toc412790669"/>
      <w:bookmarkStart w:id="533" w:name="_Toc413062150"/>
      <w:bookmarkStart w:id="534" w:name="_Toc413311144"/>
      <w:bookmarkStart w:id="535" w:name="_Toc423086560"/>
      <w:r>
        <w:t>Energy delivered</w:t>
      </w:r>
      <w:bookmarkEnd w:id="531"/>
      <w:bookmarkEnd w:id="532"/>
      <w:bookmarkEnd w:id="533"/>
      <w:bookmarkEnd w:id="534"/>
      <w:bookmarkEnd w:id="535"/>
    </w:p>
    <w:p w:rsidR="00AE2FC7" w:rsidRPr="00064C3C" w:rsidRDefault="00AE2FC7" w:rsidP="00AE2FC7">
      <w:r w:rsidRPr="00064C3C">
        <w:t>Total energy delivered by JEN over the first three years of the 2011</w:t>
      </w:r>
      <w:r w:rsidR="007A3240">
        <w:t>–</w:t>
      </w:r>
      <w:r w:rsidRPr="00064C3C">
        <w:t xml:space="preserve">15 regulatory control period was approximately 1 per cent more than </w:t>
      </w:r>
      <w:r w:rsidR="00DD4FC1">
        <w:t>our approved</w:t>
      </w:r>
      <w:r w:rsidRPr="00064C3C">
        <w:t xml:space="preserve"> forecast (</w:t>
      </w:r>
      <w:r>
        <w:t>Figure 9</w:t>
      </w:r>
      <w:r w:rsidRPr="00064C3C">
        <w:t>–1</w:t>
      </w:r>
      <w:r w:rsidR="00945C1E">
        <w:t>0</w:t>
      </w:r>
      <w:r w:rsidRPr="00064C3C">
        <w:t>1). However, energy delivered has declined in line with forecasts in each year of the 2011</w:t>
      </w:r>
      <w:r w:rsidR="007A3240">
        <w:t>–</w:t>
      </w:r>
      <w:r w:rsidRPr="00064C3C">
        <w:t>15 regulatory control period. The forecasts for the 2011</w:t>
      </w:r>
      <w:r w:rsidR="007A3240">
        <w:t>–</w:t>
      </w:r>
      <w:r w:rsidRPr="00064C3C">
        <w:t xml:space="preserve">15 regulatory control period are those submitted by JEN and </w:t>
      </w:r>
      <w:r w:rsidR="00DD4FC1">
        <w:t xml:space="preserve">accepted by us in our </w:t>
      </w:r>
      <w:r w:rsidRPr="00064C3C">
        <w:t>201</w:t>
      </w:r>
      <w:r w:rsidR="00561823">
        <w:t>0</w:t>
      </w:r>
      <w:r w:rsidRPr="00064C3C">
        <w:t xml:space="preserve"> distribution determination. </w:t>
      </w:r>
    </w:p>
    <w:p w:rsidR="00845737" w:rsidRPr="00064C3C" w:rsidRDefault="00845737" w:rsidP="00845737">
      <w:r w:rsidRPr="00064C3C">
        <w:t xml:space="preserve">JEN indicated energy consumption is driven by a number of factors such as economic activity, weather, government policies, etc. In 2011, the higher energy consumption compared to </w:t>
      </w:r>
      <w:r>
        <w:t>our approved</w:t>
      </w:r>
      <w:r w:rsidRPr="00064C3C">
        <w:t xml:space="preserve"> forecasts was partially driven by the increase in large business customers. JEN believes the increase in energy was attributable to improvements in economic activity after the global financial crisis.</w:t>
      </w:r>
    </w:p>
    <w:p w:rsidR="00AE2FC7" w:rsidRDefault="00AE2FC7" w:rsidP="00972E3F">
      <w:pPr>
        <w:pStyle w:val="Caption"/>
      </w:pPr>
      <w:r>
        <w:t>Figure 9</w:t>
      </w:r>
      <w:r w:rsidRPr="00064C3C">
        <w:t>–1</w:t>
      </w:r>
      <w:r w:rsidR="00945C1E">
        <w:t>0</w:t>
      </w:r>
      <w:r w:rsidRPr="00064C3C">
        <w:t>1</w:t>
      </w:r>
      <w:r w:rsidRPr="00064C3C">
        <w:tab/>
        <w:t xml:space="preserve">Energy delivered </w:t>
      </w:r>
      <w:r w:rsidR="007A3240">
        <w:t>–</w:t>
      </w:r>
      <w:r w:rsidRPr="00064C3C">
        <w:t xml:space="preserve"> JEN</w:t>
      </w:r>
    </w:p>
    <w:p w:rsidR="00945C1E" w:rsidRDefault="00945C1E" w:rsidP="00AE2FC7">
      <w:r w:rsidRPr="00945C1E">
        <w:rPr>
          <w:noProof/>
          <w:lang w:eastAsia="en-AU"/>
        </w:rPr>
        <w:drawing>
          <wp:inline distT="0" distB="0" distL="0" distR="0" wp14:anchorId="24875A11" wp14:editId="77971397">
            <wp:extent cx="4572000" cy="2743200"/>
            <wp:effectExtent l="0" t="0" r="0" b="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AE2FC7" w:rsidRPr="00064C3C" w:rsidRDefault="00AE2FC7" w:rsidP="00AE2FC7">
      <w:r w:rsidRPr="00064C3C">
        <w:t xml:space="preserve">Chapter 4 </w:t>
      </w:r>
      <w:r w:rsidR="009E3ACF">
        <w:t xml:space="preserve">contains our </w:t>
      </w:r>
      <w:r w:rsidRPr="00064C3C">
        <w:t xml:space="preserve">assessment of energy delivered for all DNSPs in the NEM. </w:t>
      </w:r>
    </w:p>
    <w:p w:rsidR="00AE2FC7" w:rsidRDefault="00AE2FC7" w:rsidP="00592413">
      <w:pPr>
        <w:pStyle w:val="Heading3"/>
      </w:pPr>
      <w:bookmarkStart w:id="536" w:name="_Toc409771721"/>
      <w:bookmarkStart w:id="537" w:name="_Toc412790670"/>
      <w:bookmarkStart w:id="538" w:name="_Toc413062151"/>
      <w:bookmarkStart w:id="539" w:name="_Toc413311145"/>
      <w:bookmarkStart w:id="540" w:name="_Toc423086561"/>
      <w:r>
        <w:t>Demand</w:t>
      </w:r>
      <w:bookmarkEnd w:id="536"/>
      <w:bookmarkEnd w:id="537"/>
      <w:bookmarkEnd w:id="538"/>
      <w:bookmarkEnd w:id="539"/>
      <w:bookmarkEnd w:id="540"/>
    </w:p>
    <w:p w:rsidR="00AE2FC7" w:rsidRPr="00064C3C" w:rsidRDefault="00AE2FC7" w:rsidP="00AE2FC7">
      <w:r w:rsidRPr="00064C3C">
        <w:t>JEN's actual maximum demand in each of the first three years of the 2011</w:t>
      </w:r>
      <w:r w:rsidR="007A3240">
        <w:t>–</w:t>
      </w:r>
      <w:r w:rsidRPr="00064C3C">
        <w:t xml:space="preserve">15 regulatory control period was lower than the forecast maximum demand </w:t>
      </w:r>
      <w:r w:rsidR="00DD4FC1">
        <w:t xml:space="preserve">accepted by us in our </w:t>
      </w:r>
      <w:r w:rsidRPr="00064C3C">
        <w:t>201</w:t>
      </w:r>
      <w:r w:rsidR="00561823">
        <w:t>0</w:t>
      </w:r>
      <w:r w:rsidRPr="00064C3C">
        <w:t xml:space="preserve"> distribution determination (</w:t>
      </w:r>
      <w:r>
        <w:t>Figure 9</w:t>
      </w:r>
      <w:r w:rsidRPr="00064C3C">
        <w:t>–1</w:t>
      </w:r>
      <w:r w:rsidR="00945C1E">
        <w:t>0</w:t>
      </w:r>
      <w:r w:rsidRPr="00064C3C">
        <w:t>2). JEN's actual maximum demand has declined in each regulatory year since 2009.</w:t>
      </w:r>
    </w:p>
    <w:p w:rsidR="00845737" w:rsidRPr="00064C3C" w:rsidRDefault="00845737" w:rsidP="00845737">
      <w:r w:rsidRPr="00064C3C">
        <w:t>JEN indicated actual maximum demand over the 2011</w:t>
      </w:r>
      <w:r>
        <w:t>–</w:t>
      </w:r>
      <w:r w:rsidRPr="00064C3C">
        <w:t xml:space="preserve">15 regulatory control period has been lower than forecast due to the impact of the </w:t>
      </w:r>
      <w:r w:rsidR="00BE5060">
        <w:t>global financial crisis</w:t>
      </w:r>
      <w:r w:rsidRPr="00064C3C">
        <w:t xml:space="preserve"> and closures of some large industrial customers on its network.</w:t>
      </w:r>
    </w:p>
    <w:p w:rsidR="00AE2FC7" w:rsidRDefault="00AE2FC7" w:rsidP="00972E3F">
      <w:pPr>
        <w:pStyle w:val="Caption"/>
      </w:pPr>
      <w:r>
        <w:t>Figure 9</w:t>
      </w:r>
      <w:r w:rsidRPr="00064C3C">
        <w:t>–1</w:t>
      </w:r>
      <w:r w:rsidR="00945C1E">
        <w:t>0</w:t>
      </w:r>
      <w:r w:rsidRPr="00064C3C">
        <w:t>2</w:t>
      </w:r>
      <w:r w:rsidRPr="00064C3C">
        <w:tab/>
        <w:t xml:space="preserve">Maximum demand </w:t>
      </w:r>
      <w:r w:rsidR="007A3240">
        <w:t>–</w:t>
      </w:r>
      <w:r w:rsidRPr="00064C3C">
        <w:t xml:space="preserve"> JEN</w:t>
      </w:r>
    </w:p>
    <w:p w:rsidR="00945C1E" w:rsidRDefault="00945C1E" w:rsidP="00AE2FC7">
      <w:r w:rsidRPr="00945C1E">
        <w:rPr>
          <w:noProof/>
          <w:lang w:eastAsia="en-AU"/>
        </w:rPr>
        <w:drawing>
          <wp:inline distT="0" distB="0" distL="0" distR="0" wp14:anchorId="79D78AC1" wp14:editId="5CF2F48A">
            <wp:extent cx="4572000" cy="2743200"/>
            <wp:effectExtent l="0" t="0" r="0" b="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AE2FC7" w:rsidRPr="00064C3C" w:rsidRDefault="00AE2FC7" w:rsidP="00AE2FC7">
      <w:r w:rsidRPr="00064C3C">
        <w:t xml:space="preserve">Chapter 4 </w:t>
      </w:r>
      <w:r w:rsidR="009E3ACF">
        <w:t xml:space="preserve">contains our </w:t>
      </w:r>
      <w:r w:rsidRPr="00064C3C">
        <w:t xml:space="preserve">assessment of maximum demand for all DNSPs in the NEM. </w:t>
      </w:r>
    </w:p>
    <w:p w:rsidR="00AE2FC7" w:rsidRDefault="00AE2FC7" w:rsidP="00592413">
      <w:pPr>
        <w:pStyle w:val="Heading3"/>
      </w:pPr>
      <w:bookmarkStart w:id="541" w:name="_Toc409771722"/>
      <w:bookmarkStart w:id="542" w:name="_Toc412790671"/>
      <w:bookmarkStart w:id="543" w:name="_Toc413062152"/>
      <w:bookmarkStart w:id="544" w:name="_Toc413311146"/>
      <w:bookmarkStart w:id="545" w:name="_Toc423086562"/>
      <w:r>
        <w:t>Expenditure and revenue</w:t>
      </w:r>
      <w:bookmarkEnd w:id="541"/>
      <w:bookmarkEnd w:id="542"/>
      <w:bookmarkEnd w:id="543"/>
      <w:bookmarkEnd w:id="544"/>
      <w:bookmarkEnd w:id="545"/>
    </w:p>
    <w:p w:rsidR="00AE2FC7" w:rsidRPr="00064C3C" w:rsidRDefault="00AE2FC7" w:rsidP="00AE2FC7">
      <w:r w:rsidRPr="00064C3C">
        <w:t xml:space="preserve">Amendments made to </w:t>
      </w:r>
      <w:r w:rsidR="00DD4FC1">
        <w:t>our approved</w:t>
      </w:r>
      <w:r w:rsidRPr="00064C3C">
        <w:t xml:space="preserve"> forecasts as the result of Tribunal orders or as a result of approved pass throughs </w:t>
      </w:r>
      <w:r w:rsidR="00D30B61">
        <w:t>are included</w:t>
      </w:r>
      <w:r w:rsidRPr="00064C3C">
        <w:t xml:space="preserve"> in the following analysis of JEN's financial performance.</w:t>
      </w:r>
      <w:r w:rsidR="00041634">
        <w:rPr>
          <w:rStyle w:val="FootnoteReference"/>
        </w:rPr>
        <w:footnoteReference w:id="24"/>
      </w:r>
      <w:r w:rsidRPr="00064C3C">
        <w:t xml:space="preserve"> </w:t>
      </w:r>
    </w:p>
    <w:p w:rsidR="00AE2FC7" w:rsidRPr="00064C3C" w:rsidRDefault="00AE2FC7" w:rsidP="00AE2FC7">
      <w:pPr>
        <w:pStyle w:val="Heading4notnumbered"/>
      </w:pPr>
      <w:r w:rsidRPr="00064C3C">
        <w:t>Capital expenditure</w:t>
      </w:r>
    </w:p>
    <w:p w:rsidR="00AE2FC7" w:rsidRPr="00064C3C" w:rsidRDefault="00AE2FC7" w:rsidP="00AE2FC7">
      <w:r w:rsidRPr="00064C3C">
        <w:t>JEN's total capital expenditure over the first three years of the 2011</w:t>
      </w:r>
      <w:r w:rsidR="007A3240">
        <w:t>–</w:t>
      </w:r>
      <w:r w:rsidRPr="00064C3C">
        <w:t xml:space="preserve">15 regulatory control period was approximately 23 per cent higher than </w:t>
      </w:r>
      <w:r w:rsidR="00DD4FC1">
        <w:t>our approved</w:t>
      </w:r>
      <w:r w:rsidRPr="00064C3C">
        <w:t xml:space="preserve"> forecast (</w:t>
      </w:r>
      <w:r>
        <w:t>Figure 9</w:t>
      </w:r>
      <w:r w:rsidRPr="00064C3C">
        <w:t>–1</w:t>
      </w:r>
      <w:r w:rsidR="00945C1E">
        <w:t>0</w:t>
      </w:r>
      <w:r w:rsidRPr="00064C3C">
        <w:t>3).</w:t>
      </w:r>
    </w:p>
    <w:p w:rsidR="00845737" w:rsidRPr="00064C3C" w:rsidRDefault="00845737" w:rsidP="00845737">
      <w:r w:rsidRPr="00064C3C">
        <w:t>JEN indicated its actual capital expenditure over the first three years of the 2011</w:t>
      </w:r>
      <w:r>
        <w:t>–</w:t>
      </w:r>
      <w:r w:rsidRPr="00064C3C">
        <w:t xml:space="preserve">15 regulatory control period was more closely aligned with the forecasts submitted to the AER in its revised regulatory proposal than </w:t>
      </w:r>
      <w:r>
        <w:t>our approved</w:t>
      </w:r>
      <w:r w:rsidRPr="00064C3C">
        <w:t xml:space="preserve"> forecasts.</w:t>
      </w:r>
    </w:p>
    <w:p w:rsidR="00845737" w:rsidRPr="00064C3C" w:rsidRDefault="00845737" w:rsidP="00845737">
      <w:r w:rsidRPr="00064C3C">
        <w:t>JEN noted the following key reasons for its overspending on capital</w:t>
      </w:r>
      <w:r>
        <w:t xml:space="preserve"> (Figure 9–104)</w:t>
      </w:r>
      <w:r w:rsidRPr="00064C3C">
        <w:t>:</w:t>
      </w:r>
    </w:p>
    <w:p w:rsidR="00845737" w:rsidRPr="00064C3C" w:rsidRDefault="00845737" w:rsidP="00005219">
      <w:pPr>
        <w:pStyle w:val="ListBullet"/>
      </w:pPr>
      <w:r>
        <w:t>n</w:t>
      </w:r>
      <w:r w:rsidRPr="00064C3C">
        <w:t xml:space="preserve">etwork replacement and major reinforcement—necessary to ensure security of supply was not compromised </w:t>
      </w:r>
      <w:r>
        <w:t>and network peak demand was met</w:t>
      </w:r>
    </w:p>
    <w:p w:rsidR="00845737" w:rsidRPr="00064C3C" w:rsidRDefault="00845737" w:rsidP="00005219">
      <w:pPr>
        <w:pStyle w:val="ListBullet"/>
      </w:pPr>
      <w:r>
        <w:t>n</w:t>
      </w:r>
      <w:r w:rsidRPr="00064C3C">
        <w:t>ew customer connections activity in business and residential se</w:t>
      </w:r>
      <w:r>
        <w:t>ctors and special capital works</w:t>
      </w:r>
    </w:p>
    <w:p w:rsidR="00845737" w:rsidRPr="00064C3C" w:rsidRDefault="00845737" w:rsidP="00005219">
      <w:pPr>
        <w:pStyle w:val="ListBullet"/>
      </w:pPr>
      <w:r w:rsidRPr="00064C3C">
        <w:t>JEN’s Northern Depot re</w:t>
      </w:r>
      <w:r>
        <w:t>–development project</w:t>
      </w:r>
    </w:p>
    <w:p w:rsidR="00845737" w:rsidRPr="00064C3C" w:rsidRDefault="00845737" w:rsidP="00005219">
      <w:pPr>
        <w:pStyle w:val="ListBullet"/>
      </w:pPr>
      <w:r>
        <w:t>c</w:t>
      </w:r>
      <w:r w:rsidRPr="00064C3C">
        <w:t>ustomer initiated multi occupancy and medium density real est</w:t>
      </w:r>
      <w:r>
        <w:t>ate development business supply</w:t>
      </w:r>
    </w:p>
    <w:p w:rsidR="00845737" w:rsidRPr="00064C3C" w:rsidRDefault="00845737" w:rsidP="00005219">
      <w:pPr>
        <w:pStyle w:val="ListBullet"/>
      </w:pPr>
      <w:r w:rsidRPr="00064C3C">
        <w:t>IT projects, such as SAP upgrades and refurbishment of data centres data to mitigate significant business risks.</w:t>
      </w:r>
    </w:p>
    <w:p w:rsidR="00AE2FC7" w:rsidRPr="00064C3C" w:rsidRDefault="00AE2FC7" w:rsidP="00972E3F">
      <w:pPr>
        <w:pStyle w:val="Caption"/>
      </w:pPr>
      <w:r>
        <w:t>Figure 9</w:t>
      </w:r>
      <w:r w:rsidRPr="00064C3C">
        <w:t>–1</w:t>
      </w:r>
      <w:r w:rsidR="00945C1E">
        <w:t>0</w:t>
      </w:r>
      <w:r w:rsidRPr="00064C3C">
        <w:t>3</w:t>
      </w:r>
      <w:r w:rsidRPr="00064C3C">
        <w:tab/>
        <w:t xml:space="preserve">Capital expenditure (excluding customer contributions) </w:t>
      </w:r>
      <w:r w:rsidR="007A3240">
        <w:t>–</w:t>
      </w:r>
      <w:r w:rsidRPr="00064C3C">
        <w:t xml:space="preserve"> JEN</w:t>
      </w:r>
    </w:p>
    <w:p w:rsidR="00945C1E" w:rsidRDefault="00945C1E" w:rsidP="00972E3F">
      <w:pPr>
        <w:pStyle w:val="Caption"/>
      </w:pPr>
      <w:r w:rsidRPr="00945C1E">
        <w:rPr>
          <w:noProof/>
          <w:lang w:eastAsia="en-AU"/>
        </w:rPr>
        <w:drawing>
          <wp:inline distT="0" distB="0" distL="0" distR="0" wp14:anchorId="6F9C37A8" wp14:editId="57102CF4">
            <wp:extent cx="4572000" cy="2743200"/>
            <wp:effectExtent l="0" t="0" r="0" b="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AE2FC7" w:rsidRPr="00064C3C" w:rsidRDefault="00AE2FC7" w:rsidP="00972E3F">
      <w:pPr>
        <w:pStyle w:val="Caption"/>
      </w:pPr>
      <w:r>
        <w:t>Figure 9</w:t>
      </w:r>
      <w:r w:rsidRPr="00064C3C">
        <w:t>–1</w:t>
      </w:r>
      <w:r w:rsidR="00945C1E">
        <w:t>0</w:t>
      </w:r>
      <w:r w:rsidRPr="00064C3C">
        <w:t>4</w:t>
      </w:r>
      <w:r w:rsidRPr="00064C3C">
        <w:tab/>
        <w:t>Capital expenditure by purpose (excluding customer contributions)</w:t>
      </w:r>
      <w:r w:rsidR="00CC0E3F">
        <w:t xml:space="preserve"> </w:t>
      </w:r>
      <w:r w:rsidR="007A3240">
        <w:t>–</w:t>
      </w:r>
      <w:r w:rsidRPr="00064C3C">
        <w:t xml:space="preserve"> JEN</w:t>
      </w:r>
    </w:p>
    <w:p w:rsidR="00945C1E" w:rsidRDefault="00945C1E" w:rsidP="00AE2FC7">
      <w:r w:rsidRPr="00945C1E">
        <w:rPr>
          <w:noProof/>
          <w:lang w:eastAsia="en-AU"/>
        </w:rPr>
        <w:drawing>
          <wp:inline distT="0" distB="0" distL="0" distR="0" wp14:anchorId="22996F53" wp14:editId="73507F18">
            <wp:extent cx="4572000" cy="2743200"/>
            <wp:effectExtent l="0" t="0" r="0" b="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AE2FC7" w:rsidRPr="00064C3C" w:rsidRDefault="00AE2FC7" w:rsidP="00AE2FC7">
      <w:r w:rsidRPr="00064C3C">
        <w:t xml:space="preserve">Chapter 5 provides a description of how DNSPs fund their expenditure on investment projects (capital expenditure) and a comparative assessment of capital expenditure for all DNSPs in the NEM. </w:t>
      </w:r>
    </w:p>
    <w:p w:rsidR="00AE2FC7" w:rsidRPr="00064C3C" w:rsidRDefault="00AE2FC7" w:rsidP="00AE2FC7">
      <w:pPr>
        <w:pStyle w:val="Heading4notnumbered"/>
      </w:pPr>
      <w:r w:rsidRPr="00064C3C">
        <w:t>Regulatory asset base</w:t>
      </w:r>
    </w:p>
    <w:p w:rsidR="00AE2FC7" w:rsidRPr="00064C3C" w:rsidRDefault="00AE2FC7" w:rsidP="00AE2FC7">
      <w:r w:rsidRPr="00064C3C">
        <w:t>JEN's RAB increased by approximately 26 per cent over the first three years of the 2011</w:t>
      </w:r>
      <w:r w:rsidR="007A3240">
        <w:t>–</w:t>
      </w:r>
      <w:r w:rsidRPr="00064C3C">
        <w:t>15 regulatory control period. JEN's RAB was forecast to increase by 25 per cent over this period.</w:t>
      </w:r>
    </w:p>
    <w:p w:rsidR="00AE2FC7" w:rsidRPr="00064C3C" w:rsidRDefault="00AE2FC7" w:rsidP="00AE2FC7">
      <w:r w:rsidRPr="00064C3C">
        <w:t>JEN's RAB grew from approximately $799 million at the end of 2010 to approximately $1</w:t>
      </w:r>
      <w:r w:rsidR="00B9212B">
        <w:t> </w:t>
      </w:r>
      <w:r w:rsidRPr="00064C3C">
        <w:t>billion at the end of 2013 (</w:t>
      </w:r>
      <w:r>
        <w:t>Figure 9</w:t>
      </w:r>
      <w:r w:rsidRPr="00064C3C">
        <w:t>–1</w:t>
      </w:r>
      <w:r w:rsidR="00945C1E">
        <w:t>0</w:t>
      </w:r>
      <w:r w:rsidRPr="00064C3C">
        <w:t xml:space="preserve">5). </w:t>
      </w:r>
    </w:p>
    <w:p w:rsidR="00AE2FC7" w:rsidRDefault="00AE2FC7" w:rsidP="00972E3F">
      <w:pPr>
        <w:pStyle w:val="Caption"/>
      </w:pPr>
      <w:r>
        <w:t>Figure 9</w:t>
      </w:r>
      <w:r w:rsidRPr="00064C3C">
        <w:t>–1</w:t>
      </w:r>
      <w:r w:rsidR="00945C1E">
        <w:t>0</w:t>
      </w:r>
      <w:r w:rsidRPr="00064C3C">
        <w:t>5</w:t>
      </w:r>
      <w:r w:rsidRPr="00064C3C">
        <w:tab/>
        <w:t xml:space="preserve">Regulatory asset base </w:t>
      </w:r>
      <w:r w:rsidR="007A3240">
        <w:t>–</w:t>
      </w:r>
      <w:r w:rsidRPr="00064C3C">
        <w:t xml:space="preserve"> JEN</w:t>
      </w:r>
    </w:p>
    <w:p w:rsidR="00945C1E" w:rsidRDefault="00945C1E" w:rsidP="00AE2FC7">
      <w:r w:rsidRPr="00945C1E">
        <w:rPr>
          <w:noProof/>
          <w:lang w:eastAsia="en-AU"/>
        </w:rPr>
        <w:drawing>
          <wp:inline distT="0" distB="0" distL="0" distR="0" wp14:anchorId="7228A18B" wp14:editId="1BCA4C02">
            <wp:extent cx="4733925" cy="2743200"/>
            <wp:effectExtent l="0" t="0" r="0" b="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AE2FC7" w:rsidRPr="00064C3C" w:rsidRDefault="00AE2FC7" w:rsidP="00AE2FC7">
      <w:r w:rsidRPr="00064C3C">
        <w:t>The increasing difference between the forecast RAB and the actual value of JEN's RAB is consistent with its overspending on capital over the 2011</w:t>
      </w:r>
      <w:r w:rsidR="007A3240">
        <w:t>–</w:t>
      </w:r>
      <w:r w:rsidRPr="00064C3C">
        <w:t>15 regulatory control period.</w:t>
      </w:r>
    </w:p>
    <w:p w:rsidR="00AE2FC7" w:rsidRPr="00064C3C" w:rsidRDefault="00AE2FC7" w:rsidP="00AE2FC7">
      <w:pPr>
        <w:pStyle w:val="Heading4notnumbered"/>
      </w:pPr>
      <w:r w:rsidRPr="00064C3C">
        <w:t>Operating expenditure</w:t>
      </w:r>
    </w:p>
    <w:p w:rsidR="00AE2FC7" w:rsidRPr="00064C3C" w:rsidRDefault="00AE2FC7" w:rsidP="00AE2FC7">
      <w:r w:rsidRPr="00064C3C">
        <w:t>JEN's total operating expenditure over the first three years of the 2011</w:t>
      </w:r>
      <w:r w:rsidR="007A3240">
        <w:t>–</w:t>
      </w:r>
      <w:r w:rsidRPr="00064C3C">
        <w:t xml:space="preserve">15 regulatory control period was approximately </w:t>
      </w:r>
      <w:r w:rsidR="00CC2809">
        <w:t>16</w:t>
      </w:r>
      <w:r w:rsidR="00CC2809" w:rsidRPr="00064C3C">
        <w:t xml:space="preserve"> </w:t>
      </w:r>
      <w:r w:rsidRPr="00064C3C">
        <w:t xml:space="preserve">per cent higher than </w:t>
      </w:r>
      <w:r w:rsidR="00DD4FC1">
        <w:t>our approved</w:t>
      </w:r>
      <w:r w:rsidRPr="00064C3C">
        <w:t xml:space="preserve"> forecast (</w:t>
      </w:r>
      <w:r>
        <w:t>Figure 9</w:t>
      </w:r>
      <w:r w:rsidRPr="00064C3C">
        <w:t>–1</w:t>
      </w:r>
      <w:r w:rsidR="00945C1E">
        <w:t>0</w:t>
      </w:r>
      <w:r w:rsidRPr="00064C3C">
        <w:t xml:space="preserve">6). </w:t>
      </w:r>
    </w:p>
    <w:p w:rsidR="00AE2FC7" w:rsidRPr="00064C3C" w:rsidRDefault="00AE2FC7" w:rsidP="00972E3F">
      <w:pPr>
        <w:pStyle w:val="Caption"/>
      </w:pPr>
      <w:r>
        <w:t>Figure 9</w:t>
      </w:r>
      <w:r w:rsidRPr="00064C3C">
        <w:t>–1</w:t>
      </w:r>
      <w:r w:rsidR="00945C1E">
        <w:t>0</w:t>
      </w:r>
      <w:r w:rsidRPr="00064C3C">
        <w:t>6</w:t>
      </w:r>
      <w:r w:rsidRPr="00064C3C">
        <w:tab/>
        <w:t xml:space="preserve">Operating expenditure </w:t>
      </w:r>
      <w:r w:rsidR="007A3240">
        <w:t>–</w:t>
      </w:r>
      <w:r w:rsidRPr="00064C3C">
        <w:t xml:space="preserve"> JEN</w:t>
      </w:r>
    </w:p>
    <w:p w:rsidR="006D0911" w:rsidRDefault="006D0911" w:rsidP="00AE2FC7">
      <w:r w:rsidRPr="006D0911">
        <w:rPr>
          <w:noProof/>
          <w:lang w:eastAsia="en-AU"/>
        </w:rPr>
        <w:drawing>
          <wp:inline distT="0" distB="0" distL="0" distR="0" wp14:anchorId="3AD29B9B" wp14:editId="3CA84999">
            <wp:extent cx="4572000" cy="2743200"/>
            <wp:effectExtent l="0" t="0" r="0"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2712DB" w:rsidRPr="00064C3C" w:rsidRDefault="002712DB" w:rsidP="002712DB">
      <w:r w:rsidRPr="00064C3C">
        <w:t>JEN indicated its overspending on operating and maintenance in the first three years of the 2011</w:t>
      </w:r>
      <w:r>
        <w:t>–</w:t>
      </w:r>
      <w:r w:rsidRPr="00064C3C">
        <w:t>15 regulatory control period was due to:</w:t>
      </w:r>
    </w:p>
    <w:p w:rsidR="002712DB" w:rsidRPr="00064C3C" w:rsidRDefault="002712DB" w:rsidP="00005219">
      <w:pPr>
        <w:pStyle w:val="ListBullet"/>
      </w:pPr>
      <w:r w:rsidRPr="00064C3C">
        <w:t>higher maintenance costs related to vegetation control and zone substation maintenance</w:t>
      </w:r>
    </w:p>
    <w:p w:rsidR="002712DB" w:rsidRPr="00064C3C" w:rsidRDefault="002712DB" w:rsidP="00005219">
      <w:pPr>
        <w:pStyle w:val="ListBullet"/>
      </w:pPr>
      <w:r w:rsidRPr="00064C3C">
        <w:t>Broadmeadows depot being damaged by a storm event on 25 December 2012</w:t>
      </w:r>
    </w:p>
    <w:p w:rsidR="002712DB" w:rsidRPr="00561823" w:rsidRDefault="002712DB" w:rsidP="00005219">
      <w:pPr>
        <w:pStyle w:val="ListBullet"/>
      </w:pPr>
      <w:r w:rsidRPr="00561823">
        <w:t>loss of synergies from large range of services previously provided</w:t>
      </w:r>
      <w:r w:rsidR="00BC155F" w:rsidRPr="00561823">
        <w:t xml:space="preserve"> </w:t>
      </w:r>
      <w:r w:rsidRPr="00561823">
        <w:t>to United Energy</w:t>
      </w:r>
    </w:p>
    <w:p w:rsidR="002712DB" w:rsidRPr="00064C3C" w:rsidRDefault="002712DB" w:rsidP="00005219">
      <w:pPr>
        <w:pStyle w:val="ListBullet"/>
      </w:pPr>
      <w:r w:rsidRPr="00064C3C">
        <w:t xml:space="preserve">increased regulatory costs due to a substantial increase in regulatory activity by policy makers, rule makers and regulators </w:t>
      </w:r>
    </w:p>
    <w:p w:rsidR="002712DB" w:rsidRPr="00064C3C" w:rsidRDefault="002712DB" w:rsidP="00005219">
      <w:pPr>
        <w:pStyle w:val="ListBullet"/>
      </w:pPr>
      <w:r w:rsidRPr="00064C3C">
        <w:t>a more onerous regulatory reporting through RINs.</w:t>
      </w:r>
    </w:p>
    <w:p w:rsidR="00AE2FC7" w:rsidRPr="00064C3C" w:rsidRDefault="00AE2FC7" w:rsidP="00AE2FC7">
      <w:r w:rsidRPr="00064C3C">
        <w:t xml:space="preserve">Chapter 6 </w:t>
      </w:r>
      <w:r w:rsidR="009E3ACF">
        <w:t xml:space="preserve">contains our </w:t>
      </w:r>
      <w:r w:rsidRPr="00064C3C">
        <w:t xml:space="preserve">assessment of operating expenditure for all DNSPs in the NEM. </w:t>
      </w:r>
    </w:p>
    <w:p w:rsidR="00AE2FC7" w:rsidRPr="00064C3C" w:rsidRDefault="00AE2FC7" w:rsidP="00AE2FC7">
      <w:pPr>
        <w:pStyle w:val="Heading4notnumbered"/>
      </w:pPr>
      <w:r w:rsidRPr="00064C3C">
        <w:t>Revenue</w:t>
      </w:r>
    </w:p>
    <w:p w:rsidR="00AE2FC7" w:rsidRPr="00064C3C" w:rsidRDefault="00AE2FC7" w:rsidP="00AE2FC7">
      <w:r w:rsidRPr="00064C3C">
        <w:t>The AER’s 201</w:t>
      </w:r>
      <w:r w:rsidR="00561823">
        <w:t>0</w:t>
      </w:r>
      <w:r w:rsidRPr="00064C3C">
        <w:t xml:space="preserve"> distribution determination applied a weighted average price cap (WAPC) form of control to JEN's distribution services over the 2011</w:t>
      </w:r>
      <w:r w:rsidR="007A3240">
        <w:t>–</w:t>
      </w:r>
      <w:r w:rsidRPr="00064C3C">
        <w:t xml:space="preserve">15 regulatory control period. A WAPC imposes controls over the prices </w:t>
      </w:r>
      <w:r w:rsidR="00A75C74" w:rsidRPr="0015769E">
        <w:t>a DNSP may charge for its services</w:t>
      </w:r>
      <w:r w:rsidRPr="00064C3C">
        <w:t>.</w:t>
      </w:r>
    </w:p>
    <w:p w:rsidR="00AE2FC7" w:rsidRPr="00064C3C" w:rsidRDefault="00AE2FC7" w:rsidP="00AE2FC7">
      <w:r w:rsidRPr="00064C3C">
        <w:t>JEN's total revenue earned for standard control services over the first three years of the 2011</w:t>
      </w:r>
      <w:r w:rsidR="007A3240">
        <w:t>–</w:t>
      </w:r>
      <w:r w:rsidRPr="00064C3C">
        <w:t xml:space="preserve">15 regulatory control period was approximately </w:t>
      </w:r>
      <w:r w:rsidR="00E7742D">
        <w:t>7</w:t>
      </w:r>
      <w:r w:rsidRPr="00E7742D">
        <w:t xml:space="preserve"> per cent higher than</w:t>
      </w:r>
      <w:r w:rsidRPr="00064C3C">
        <w:t xml:space="preserve"> </w:t>
      </w:r>
      <w:r w:rsidR="00DD4FC1">
        <w:t>our approved</w:t>
      </w:r>
      <w:r w:rsidRPr="00064C3C">
        <w:t xml:space="preserve"> forecast (</w:t>
      </w:r>
      <w:r>
        <w:t>Figure 9</w:t>
      </w:r>
      <w:r w:rsidRPr="00064C3C">
        <w:t>–1</w:t>
      </w:r>
      <w:r w:rsidR="006D0911">
        <w:t>0</w:t>
      </w:r>
      <w:r w:rsidRPr="00064C3C">
        <w:t>7).</w:t>
      </w:r>
    </w:p>
    <w:p w:rsidR="00AE2FC7" w:rsidRPr="00064C3C" w:rsidRDefault="00AE2FC7" w:rsidP="00972E3F">
      <w:pPr>
        <w:pStyle w:val="Caption"/>
      </w:pPr>
      <w:r>
        <w:t>Figure 9</w:t>
      </w:r>
      <w:r w:rsidRPr="00064C3C">
        <w:t>–1</w:t>
      </w:r>
      <w:r w:rsidR="006D0911">
        <w:t>0</w:t>
      </w:r>
      <w:r w:rsidRPr="00064C3C">
        <w:t>7</w:t>
      </w:r>
      <w:r w:rsidRPr="00064C3C">
        <w:tab/>
        <w:t xml:space="preserve">Revenue </w:t>
      </w:r>
      <w:r w:rsidR="007A3240">
        <w:t>–</w:t>
      </w:r>
      <w:r w:rsidRPr="00064C3C">
        <w:t xml:space="preserve"> JEN</w:t>
      </w:r>
    </w:p>
    <w:p w:rsidR="006D0911" w:rsidRDefault="006D0911" w:rsidP="00AE2FC7">
      <w:r w:rsidRPr="006D0911">
        <w:rPr>
          <w:noProof/>
          <w:lang w:eastAsia="en-AU"/>
        </w:rPr>
        <w:drawing>
          <wp:inline distT="0" distB="0" distL="0" distR="0" wp14:anchorId="1F1C4694" wp14:editId="1ACC66FF">
            <wp:extent cx="4572000" cy="2743200"/>
            <wp:effectExtent l="0" t="0" r="0" b="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AE2FC7" w:rsidRPr="00064C3C" w:rsidRDefault="00AE2FC7" w:rsidP="00AE2FC7">
      <w:r w:rsidRPr="00064C3C">
        <w:t xml:space="preserve">Chapter 7 provides further information on the WAPC control mechanism </w:t>
      </w:r>
      <w:r w:rsidR="00AB11E6">
        <w:t xml:space="preserve">as well as our comparative </w:t>
      </w:r>
      <w:r w:rsidRPr="00064C3C">
        <w:t xml:space="preserve">assessment of revenue for all DNSPs in the NEM. </w:t>
      </w:r>
    </w:p>
    <w:p w:rsidR="00AE2FC7" w:rsidRDefault="00AE2FC7" w:rsidP="00592413">
      <w:pPr>
        <w:pStyle w:val="Heading3"/>
      </w:pPr>
      <w:bookmarkStart w:id="546" w:name="_Toc409771723"/>
      <w:bookmarkStart w:id="547" w:name="_Toc412790672"/>
      <w:bookmarkStart w:id="548" w:name="_Toc413062153"/>
      <w:bookmarkStart w:id="549" w:name="_Toc413311147"/>
      <w:bookmarkStart w:id="550" w:name="_Toc423086563"/>
      <w:r>
        <w:t>Financial performance</w:t>
      </w:r>
      <w:bookmarkEnd w:id="546"/>
      <w:bookmarkEnd w:id="547"/>
      <w:bookmarkEnd w:id="548"/>
      <w:bookmarkEnd w:id="549"/>
      <w:bookmarkEnd w:id="550"/>
    </w:p>
    <w:p w:rsidR="00AE2FC7" w:rsidRPr="00064C3C" w:rsidRDefault="00AE2FC7" w:rsidP="00AE2FC7">
      <w:r w:rsidRPr="00064C3C">
        <w:t>JEN's average EBIT for standard control services was approximately 35 per cent of its total revenue earned for standard control services over 2011</w:t>
      </w:r>
      <w:r w:rsidR="00525C94">
        <w:t>–</w:t>
      </w:r>
      <w:r w:rsidRPr="00064C3C">
        <w:t xml:space="preserve">13. </w:t>
      </w:r>
      <w:r w:rsidR="00525C94" w:rsidRPr="00CB73C1">
        <w:t xml:space="preserve">The EBIT in </w:t>
      </w:r>
      <w:r w:rsidR="00525C94">
        <w:t>Figure 9</w:t>
      </w:r>
      <w:r w:rsidR="00525C94" w:rsidRPr="00CB73C1">
        <w:t>–</w:t>
      </w:r>
      <w:r w:rsidR="00525C94">
        <w:t>108</w:t>
      </w:r>
      <w:r w:rsidR="00525C94" w:rsidRPr="00CB73C1">
        <w:t xml:space="preserve"> includes depreciation and amortisation</w:t>
      </w:r>
      <w:r w:rsidR="00525C94">
        <w:t xml:space="preserve"> and should not be used as a definitive measure of core profitability</w:t>
      </w:r>
      <w:r w:rsidR="00525C94" w:rsidRPr="00CB73C1">
        <w:t>.</w:t>
      </w:r>
    </w:p>
    <w:p w:rsidR="00AE2FC7" w:rsidRDefault="00AE2FC7" w:rsidP="00972E3F">
      <w:pPr>
        <w:pStyle w:val="Caption"/>
      </w:pPr>
      <w:r>
        <w:t>Figure 9</w:t>
      </w:r>
      <w:r w:rsidRPr="00064C3C">
        <w:t>–1</w:t>
      </w:r>
      <w:r w:rsidR="006D0911">
        <w:t>08</w:t>
      </w:r>
      <w:r w:rsidRPr="00064C3C">
        <w:tab/>
        <w:t xml:space="preserve">EBIT </w:t>
      </w:r>
      <w:r w:rsidR="007A3240">
        <w:t>–</w:t>
      </w:r>
      <w:r w:rsidRPr="00064C3C">
        <w:t xml:space="preserve"> JEN</w:t>
      </w:r>
    </w:p>
    <w:p w:rsidR="00AE2FC7" w:rsidRPr="00064C3C" w:rsidRDefault="006D0911" w:rsidP="00AE2FC7">
      <w:r w:rsidRPr="006D0911">
        <w:rPr>
          <w:noProof/>
          <w:lang w:eastAsia="en-AU"/>
        </w:rPr>
        <w:drawing>
          <wp:inline distT="0" distB="0" distL="0" distR="0" wp14:anchorId="2E980633" wp14:editId="1932A9E5">
            <wp:extent cx="4572000" cy="2743200"/>
            <wp:effectExtent l="0" t="0" r="0" b="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AE2FC7" w:rsidRPr="00D741EC" w:rsidRDefault="00AE2FC7" w:rsidP="00592413">
      <w:pPr>
        <w:pStyle w:val="Heading3"/>
      </w:pPr>
      <w:bookmarkStart w:id="551" w:name="_Toc409771724"/>
      <w:bookmarkStart w:id="552" w:name="_Toc412790673"/>
      <w:bookmarkStart w:id="553" w:name="_Toc413062154"/>
      <w:bookmarkStart w:id="554" w:name="_Toc413311148"/>
      <w:bookmarkStart w:id="555" w:name="_Toc423086564"/>
      <w:r>
        <w:t>Service performance</w:t>
      </w:r>
      <w:bookmarkEnd w:id="551"/>
      <w:bookmarkEnd w:id="552"/>
      <w:bookmarkEnd w:id="553"/>
      <w:bookmarkEnd w:id="554"/>
      <w:bookmarkEnd w:id="555"/>
    </w:p>
    <w:p w:rsidR="00AE2FC7" w:rsidRPr="00064C3C" w:rsidRDefault="00AE2FC7" w:rsidP="00AE2FC7">
      <w:pPr>
        <w:pStyle w:val="Heading4notnumbered"/>
      </w:pPr>
      <w:r w:rsidRPr="00064C3C">
        <w:t>Total interruptions to supply</w:t>
      </w:r>
    </w:p>
    <w:p w:rsidR="00AE2FC7" w:rsidRPr="00064C3C" w:rsidRDefault="00AE2FC7" w:rsidP="00AE2FC7">
      <w:r w:rsidRPr="00064C3C">
        <w:t>Total interruptions to supply reflect the total impact of both planned and unplanned interruptions (</w:t>
      </w:r>
      <w:r>
        <w:t>Figure 9</w:t>
      </w:r>
      <w:r w:rsidRPr="00064C3C">
        <w:t>–1</w:t>
      </w:r>
      <w:r w:rsidR="006D0911">
        <w:t>09</w:t>
      </w:r>
      <w:r w:rsidRPr="00064C3C">
        <w:t xml:space="preserve">). This measure reflects </w:t>
      </w:r>
      <w:r w:rsidR="001368B1">
        <w:t>the actual experience of</w:t>
      </w:r>
      <w:r w:rsidR="001368B1" w:rsidRPr="00CB73C1">
        <w:t xml:space="preserve"> the average </w:t>
      </w:r>
      <w:r w:rsidRPr="00064C3C">
        <w:t>JEN customer.</w:t>
      </w:r>
      <w:r w:rsidR="00CC0E3F">
        <w:t xml:space="preserve"> </w:t>
      </w:r>
      <w:r w:rsidRPr="00064C3C">
        <w:t xml:space="preserve">Total interruptions to supply include the effect of any interruptions considered to be </w:t>
      </w:r>
      <w:r w:rsidR="00133534">
        <w:t xml:space="preserve">excluded </w:t>
      </w:r>
      <w:r w:rsidR="00460775">
        <w:t>events in the STPIS</w:t>
      </w:r>
      <w:r w:rsidRPr="00064C3C">
        <w:t xml:space="preserve">. </w:t>
      </w:r>
    </w:p>
    <w:p w:rsidR="00AE2FC7" w:rsidRDefault="00AE2FC7" w:rsidP="00972E3F">
      <w:pPr>
        <w:pStyle w:val="Caption"/>
      </w:pPr>
      <w:r>
        <w:t>Figure 9</w:t>
      </w:r>
      <w:r w:rsidRPr="00064C3C">
        <w:t>–1</w:t>
      </w:r>
      <w:r w:rsidR="006D0911">
        <w:t>09</w:t>
      </w:r>
      <w:r w:rsidRPr="00064C3C">
        <w:tab/>
        <w:t xml:space="preserve">Total interruptions to supply </w:t>
      </w:r>
      <w:r w:rsidR="007A3240">
        <w:t>–</w:t>
      </w:r>
      <w:r w:rsidRPr="00064C3C">
        <w:t xml:space="preserve"> JEN</w:t>
      </w:r>
    </w:p>
    <w:p w:rsidR="00943851" w:rsidRPr="00943851" w:rsidRDefault="00943851" w:rsidP="00943851">
      <w:r>
        <w:rPr>
          <w:noProof/>
          <w:lang w:eastAsia="en-AU"/>
        </w:rPr>
        <w:drawing>
          <wp:inline distT="0" distB="0" distL="0" distR="0" wp14:anchorId="47AC8816" wp14:editId="40EDA249">
            <wp:extent cx="2833200" cy="1699200"/>
            <wp:effectExtent l="0" t="0" r="571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Pr>
          <w:noProof/>
          <w:lang w:eastAsia="en-AU"/>
        </w:rPr>
        <w:drawing>
          <wp:inline distT="0" distB="0" distL="0" distR="0" wp14:anchorId="7777B2BE" wp14:editId="46111643">
            <wp:extent cx="2833200" cy="1699200"/>
            <wp:effectExtent l="0" t="0" r="571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p>
    <w:p w:rsidR="006D0911" w:rsidRDefault="006D0911" w:rsidP="00B9212B">
      <w:r w:rsidRPr="006D0911">
        <w:rPr>
          <w:noProof/>
          <w:lang w:eastAsia="en-AU"/>
        </w:rPr>
        <w:drawing>
          <wp:inline distT="0" distB="0" distL="0" distR="0" wp14:anchorId="188FF01E" wp14:editId="64FB7854">
            <wp:extent cx="5731510" cy="1072217"/>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31510" cy="1072217"/>
                    </a:xfrm>
                    <a:prstGeom prst="rect">
                      <a:avLst/>
                    </a:prstGeom>
                    <a:noFill/>
                    <a:ln>
                      <a:noFill/>
                    </a:ln>
                  </pic:spPr>
                </pic:pic>
              </a:graphicData>
            </a:graphic>
          </wp:inline>
        </w:drawing>
      </w:r>
    </w:p>
    <w:p w:rsidR="00AE2FC7" w:rsidRPr="00064C3C" w:rsidRDefault="00AE2FC7" w:rsidP="00AE2FC7">
      <w:pPr>
        <w:pStyle w:val="Heading4notnumbered"/>
      </w:pPr>
      <w:r w:rsidRPr="00064C3C">
        <w:t>Service Target Performance Incentive Scheme</w:t>
      </w:r>
    </w:p>
    <w:p w:rsidR="00AE2FC7" w:rsidRPr="00064C3C" w:rsidRDefault="00DD4FC1" w:rsidP="00AE2FC7">
      <w:r>
        <w:t>In our 2010 distribution determination we</w:t>
      </w:r>
      <w:r w:rsidR="00AE2FC7" w:rsidRPr="00064C3C">
        <w:t xml:space="preserve"> determined the STPIS would apply to JEN in the 2011</w:t>
      </w:r>
      <w:r w:rsidR="007A3240">
        <w:t>–</w:t>
      </w:r>
      <w:r w:rsidR="00AE2FC7" w:rsidRPr="00064C3C">
        <w:t xml:space="preserve">15 regulatory control period with an overall revenue at risk of ±5 per cent. </w:t>
      </w:r>
    </w:p>
    <w:p w:rsidR="00AE2FC7" w:rsidRPr="00064C3C" w:rsidRDefault="00AE2FC7" w:rsidP="00AE2FC7">
      <w:r w:rsidRPr="00064C3C">
        <w:t xml:space="preserve">The following section shows the effect of (normalised) unplanned interruptions to supply to customers on JEN's network. </w:t>
      </w:r>
    </w:p>
    <w:p w:rsidR="00AE2FC7" w:rsidRPr="00064C3C" w:rsidRDefault="00AE2FC7" w:rsidP="00AE2FC7">
      <w:pPr>
        <w:pStyle w:val="Heading4notnumbered"/>
      </w:pPr>
      <w:r w:rsidRPr="00064C3C">
        <w:t>Network reliability (normalised)</w:t>
      </w:r>
    </w:p>
    <w:p w:rsidR="00AE2FC7" w:rsidRPr="00064C3C" w:rsidRDefault="00AE2FC7" w:rsidP="00AE2FC7">
      <w:r w:rsidRPr="00064C3C">
        <w:t>In 2012</w:t>
      </w:r>
      <w:r w:rsidR="007A3240">
        <w:t>–</w:t>
      </w:r>
      <w:r w:rsidRPr="00064C3C">
        <w:t>13 the average JEN customer experienced</w:t>
      </w:r>
    </w:p>
    <w:p w:rsidR="00AE2FC7" w:rsidRPr="00064C3C" w:rsidRDefault="00AE2FC7" w:rsidP="00AE2FC7">
      <w:pPr>
        <w:pStyle w:val="Bulletpoint"/>
      </w:pPr>
      <w:r w:rsidRPr="00064C3C">
        <w:t>6 per cent fewer unplanned (normalised) minutes off supply than over the previous five years</w:t>
      </w:r>
    </w:p>
    <w:p w:rsidR="00AE2FC7" w:rsidRPr="00064C3C" w:rsidRDefault="00AE2FC7" w:rsidP="00AE2FC7">
      <w:pPr>
        <w:pStyle w:val="Bulletpoint"/>
      </w:pPr>
      <w:r w:rsidRPr="00064C3C">
        <w:t>12 per cent more unplanned (normalised) interruptions to supply than over the previous five years (</w:t>
      </w:r>
      <w:r>
        <w:t>Figure 9</w:t>
      </w:r>
      <w:r w:rsidRPr="00064C3C">
        <w:t>–1</w:t>
      </w:r>
      <w:r w:rsidR="006D0911">
        <w:t>10</w:t>
      </w:r>
      <w:r w:rsidRPr="00064C3C">
        <w:t>).</w:t>
      </w:r>
    </w:p>
    <w:p w:rsidR="00AE2FC7" w:rsidRPr="00064C3C" w:rsidRDefault="00AE2FC7" w:rsidP="00AE2FC7">
      <w:r w:rsidRPr="00064C3C">
        <w:t xml:space="preserve">It should be noted the reliability information presented in </w:t>
      </w:r>
      <w:r>
        <w:t>Figure 9</w:t>
      </w:r>
      <w:r w:rsidRPr="00064C3C">
        <w:t>–1</w:t>
      </w:r>
      <w:r w:rsidR="00B9212B">
        <w:t>10</w:t>
      </w:r>
      <w:r w:rsidRPr="00064C3C">
        <w:t xml:space="preserve"> combines information from the previous jurisdictional scheme and the AER's STPIS. These schemes differ in detail and therefore the information is not directly comparable. However, the reliability outcomes are presented to provide broad trend information regarding JEN's service performance.</w:t>
      </w:r>
    </w:p>
    <w:p w:rsidR="00AE2FC7" w:rsidRDefault="00AE2FC7" w:rsidP="00972E3F">
      <w:pPr>
        <w:pStyle w:val="Caption"/>
      </w:pPr>
      <w:r>
        <w:t>Figure 9</w:t>
      </w:r>
      <w:r w:rsidRPr="00064C3C">
        <w:t>–1</w:t>
      </w:r>
      <w:r w:rsidR="006D0911">
        <w:t>10</w:t>
      </w:r>
      <w:r w:rsidRPr="00064C3C">
        <w:tab/>
        <w:t xml:space="preserve">Unplanned interruptions to supply (normalised) </w:t>
      </w:r>
      <w:r w:rsidR="007A3240">
        <w:t>–</w:t>
      </w:r>
      <w:r w:rsidRPr="00064C3C">
        <w:t xml:space="preserve"> JEN</w:t>
      </w:r>
    </w:p>
    <w:p w:rsidR="00943851" w:rsidRPr="00943851" w:rsidRDefault="00943851" w:rsidP="00943851">
      <w:r>
        <w:rPr>
          <w:noProof/>
          <w:lang w:eastAsia="en-AU"/>
        </w:rPr>
        <w:drawing>
          <wp:inline distT="0" distB="0" distL="0" distR="0" wp14:anchorId="1E4408A8" wp14:editId="330CDC37">
            <wp:extent cx="2833200" cy="1699200"/>
            <wp:effectExtent l="0" t="0" r="571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Pr>
          <w:noProof/>
          <w:lang w:eastAsia="en-AU"/>
        </w:rPr>
        <w:drawing>
          <wp:inline distT="0" distB="0" distL="0" distR="0" wp14:anchorId="0F68F2E4" wp14:editId="483ABE30">
            <wp:extent cx="2833200" cy="1706400"/>
            <wp:effectExtent l="0" t="0" r="5715" b="825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33200" cy="1706400"/>
                    </a:xfrm>
                    <a:prstGeom prst="rect">
                      <a:avLst/>
                    </a:prstGeom>
                    <a:noFill/>
                  </pic:spPr>
                </pic:pic>
              </a:graphicData>
            </a:graphic>
          </wp:inline>
        </w:drawing>
      </w:r>
    </w:p>
    <w:p w:rsidR="00943851" w:rsidRDefault="006D0911" w:rsidP="00943851">
      <w:r w:rsidRPr="006D0911">
        <w:rPr>
          <w:noProof/>
          <w:lang w:eastAsia="en-AU"/>
        </w:rPr>
        <w:drawing>
          <wp:inline distT="0" distB="0" distL="0" distR="0" wp14:anchorId="109F1B78" wp14:editId="42ED90E0">
            <wp:extent cx="5731510" cy="808484"/>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31510" cy="808484"/>
                    </a:xfrm>
                    <a:prstGeom prst="rect">
                      <a:avLst/>
                    </a:prstGeom>
                    <a:noFill/>
                    <a:ln>
                      <a:noFill/>
                    </a:ln>
                  </pic:spPr>
                </pic:pic>
              </a:graphicData>
            </a:graphic>
          </wp:inline>
        </w:drawing>
      </w:r>
    </w:p>
    <w:p w:rsidR="00AE2FC7" w:rsidRPr="00064C3C" w:rsidRDefault="00AE2FC7" w:rsidP="00AE2FC7">
      <w:pPr>
        <w:pStyle w:val="Heading4notnumbered"/>
      </w:pPr>
      <w:r w:rsidRPr="00064C3C">
        <w:t>S</w:t>
      </w:r>
      <w:r w:rsidR="007A3240">
        <w:t>–</w:t>
      </w:r>
      <w:r w:rsidRPr="00064C3C">
        <w:t>factor</w:t>
      </w:r>
    </w:p>
    <w:p w:rsidR="00AE2FC7" w:rsidRPr="00064C3C" w:rsidRDefault="00AE2FC7" w:rsidP="00AE2FC7">
      <w:r>
        <w:t>Table 9</w:t>
      </w:r>
      <w:r w:rsidRPr="00064C3C">
        <w:t>–</w:t>
      </w:r>
      <w:r w:rsidR="00943851">
        <w:t>7</w:t>
      </w:r>
      <w:r w:rsidRPr="00064C3C">
        <w:t xml:space="preserve"> compares JEN's service performance against its STPIS targets over the first three years of the 2011</w:t>
      </w:r>
      <w:r w:rsidR="007A3240">
        <w:t>–</w:t>
      </w:r>
      <w:r w:rsidRPr="00064C3C">
        <w:t>15 regulatory control period. JEN has generally performed well against its service performance targets in each year the STPIS was applied.</w:t>
      </w:r>
    </w:p>
    <w:p w:rsidR="00AE2FC7" w:rsidRPr="00064C3C" w:rsidRDefault="00AE2FC7" w:rsidP="00AE2FC7">
      <w:r w:rsidRPr="00064C3C">
        <w:t>It is important to note STPIS targets are applied to normalised network reliability. Over the first three years of the 2011</w:t>
      </w:r>
      <w:r w:rsidR="007A3240">
        <w:t>–</w:t>
      </w:r>
      <w:r w:rsidRPr="00064C3C">
        <w:t xml:space="preserve">15 regulatory control period JEN only experienced two days where its daily unplanned SAIDI exceeded the major event day boundary. For any day in which unplanned SAIDI exceeds the major event day boundary the impact of that day's SAIDI, SAIFI, MAIFI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to be outside the DNSP's control.</w:t>
      </w:r>
    </w:p>
    <w:p w:rsidR="00AE2FC7" w:rsidRPr="00064C3C" w:rsidRDefault="00AE2FC7" w:rsidP="00AE2FC7">
      <w:r w:rsidRPr="00064C3C">
        <w:t>The s</w:t>
      </w:r>
      <w:r w:rsidR="007A3240">
        <w:t>–</w:t>
      </w:r>
      <w:r w:rsidRPr="00064C3C">
        <w:t>factor is incorporated into JEN's control mechanism as a multiplier in its WAPC. Allowed revenue is incremented when service performance is better than performance targets and decremented when service performance is worse than performance targets. The way in which the s</w:t>
      </w:r>
      <w:r w:rsidR="007A3240">
        <w:t>–</w:t>
      </w:r>
      <w:r w:rsidRPr="00064C3C">
        <w:t>factor is incorporated into JEN's control mechanism is set out in the 2011</w:t>
      </w:r>
      <w:r w:rsidR="007A3240">
        <w:t>–</w:t>
      </w:r>
      <w:r w:rsidRPr="00064C3C">
        <w:t>15 distribution determination.</w:t>
      </w:r>
    </w:p>
    <w:p w:rsidR="00AE2FC7" w:rsidRPr="00064C3C" w:rsidRDefault="00AE2FC7" w:rsidP="00AE2FC7">
      <w:r w:rsidRPr="00064C3C">
        <w:t>Note there is a two year lag between the regulatory year in which service performance outcomes are assessed and the regulatory year in which the s</w:t>
      </w:r>
      <w:r w:rsidR="007A3240">
        <w:t>–</w:t>
      </w:r>
      <w:r w:rsidRPr="00064C3C">
        <w:t xml:space="preserve">factor outcome is applied to the DNSP's allowed revenue. </w:t>
      </w:r>
    </w:p>
    <w:p w:rsidR="00AE2FC7" w:rsidRDefault="00AE2FC7" w:rsidP="00972E3F">
      <w:pPr>
        <w:pStyle w:val="Caption"/>
      </w:pPr>
      <w:r>
        <w:t>Table 9</w:t>
      </w:r>
      <w:r w:rsidRPr="00064C3C">
        <w:t>–7</w:t>
      </w:r>
      <w:r w:rsidRPr="00064C3C">
        <w:tab/>
        <w:t>S</w:t>
      </w:r>
      <w:r w:rsidR="007A3240">
        <w:t>–</w:t>
      </w:r>
      <w:r w:rsidRPr="00064C3C">
        <w:t xml:space="preserve">factor </w:t>
      </w:r>
      <w:r w:rsidR="007A3240">
        <w:t>–</w:t>
      </w:r>
      <w:r w:rsidRPr="00064C3C">
        <w:t xml:space="preserve"> JEN</w:t>
      </w:r>
    </w:p>
    <w:p w:rsidR="00943851" w:rsidRPr="00943851" w:rsidRDefault="00943851" w:rsidP="00943851">
      <w:r w:rsidRPr="00943851">
        <w:rPr>
          <w:noProof/>
          <w:lang w:eastAsia="en-AU"/>
        </w:rPr>
        <w:drawing>
          <wp:inline distT="0" distB="0" distL="0" distR="0" wp14:anchorId="2EDBC9C0" wp14:editId="40D7A590">
            <wp:extent cx="5731510" cy="2984549"/>
            <wp:effectExtent l="0" t="0" r="2540" b="635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5731510" cy="2984549"/>
                    </a:xfrm>
                    <a:prstGeom prst="rect">
                      <a:avLst/>
                    </a:prstGeom>
                  </pic:spPr>
                </pic:pic>
              </a:graphicData>
            </a:graphic>
          </wp:inline>
        </w:drawing>
      </w:r>
    </w:p>
    <w:p w:rsidR="00AE2FC7" w:rsidRPr="00064C3C" w:rsidRDefault="00AE2FC7" w:rsidP="00AE2FC7">
      <w:r w:rsidRPr="00064C3C">
        <w:t>JEN indicated it has consistently outperformed its STPIS targets due to:</w:t>
      </w:r>
    </w:p>
    <w:p w:rsidR="00AE2FC7" w:rsidRPr="00064C3C" w:rsidRDefault="00AE2FC7" w:rsidP="00BC155F">
      <w:pPr>
        <w:pStyle w:val="ListBullet"/>
      </w:pPr>
      <w:r w:rsidRPr="00064C3C">
        <w:t xml:space="preserve">stringent vegetation management practices </w:t>
      </w:r>
    </w:p>
    <w:p w:rsidR="00AE2FC7" w:rsidRPr="00064C3C" w:rsidRDefault="00AE2FC7" w:rsidP="00BC155F">
      <w:pPr>
        <w:pStyle w:val="ListBullet"/>
      </w:pPr>
      <w:r w:rsidRPr="00064C3C">
        <w:t>a continued focus on end</w:t>
      </w:r>
      <w:r w:rsidR="00943851">
        <w:t>-</w:t>
      </w:r>
      <w:r w:rsidRPr="00064C3C">
        <w:t>of</w:t>
      </w:r>
      <w:r w:rsidR="00943851">
        <w:t>-</w:t>
      </w:r>
      <w:r w:rsidRPr="00064C3C">
        <w:t>life asset replacement</w:t>
      </w:r>
    </w:p>
    <w:p w:rsidR="00AE2FC7" w:rsidRPr="00064C3C" w:rsidRDefault="00AE2FC7" w:rsidP="00BC155F">
      <w:pPr>
        <w:pStyle w:val="ListBullet"/>
      </w:pPr>
      <w:r w:rsidRPr="00064C3C">
        <w:t>prudent network augmentation</w:t>
      </w:r>
    </w:p>
    <w:p w:rsidR="00AE2FC7" w:rsidRPr="00064C3C" w:rsidRDefault="00AE2FC7" w:rsidP="00BC155F">
      <w:pPr>
        <w:pStyle w:val="ListBullet"/>
      </w:pPr>
      <w:r w:rsidRPr="00064C3C">
        <w:t>well established routine maintenance regimes.</w:t>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B11E6" w:rsidRDefault="00AB11E6" w:rsidP="00AE2FC7"/>
    <w:p w:rsidR="00AE2FC7" w:rsidRPr="00AE2FC7" w:rsidRDefault="00AE2FC7" w:rsidP="00AE2FC7">
      <w:r w:rsidRPr="00AE2FC7">
        <w:br w:type="page"/>
      </w:r>
    </w:p>
    <w:bookmarkStart w:id="556" w:name="_Toc409771725"/>
    <w:bookmarkStart w:id="557" w:name="_Toc423086566"/>
    <w:p w:rsidR="00AE2FC7" w:rsidRDefault="00073FDA" w:rsidP="00592413">
      <w:pPr>
        <w:pStyle w:val="Heading2"/>
      </w:pPr>
      <w:r w:rsidRPr="00513EA8">
        <w:rPr>
          <w:noProof/>
          <w:lang w:eastAsia="en-AU"/>
        </w:rPr>
        <mc:AlternateContent>
          <mc:Choice Requires="wps">
            <w:drawing>
              <wp:anchor distT="0" distB="0" distL="114300" distR="114300" simplePos="0" relativeHeight="251687936" behindDoc="1" locked="0" layoutInCell="1" allowOverlap="1" wp14:anchorId="2BF764D9" wp14:editId="4CE4A303">
                <wp:simplePos x="0" y="0"/>
                <wp:positionH relativeFrom="column">
                  <wp:posOffset>-240030</wp:posOffset>
                </wp:positionH>
                <wp:positionV relativeFrom="paragraph">
                  <wp:posOffset>284480</wp:posOffset>
                </wp:positionV>
                <wp:extent cx="6100445" cy="8439150"/>
                <wp:effectExtent l="19050" t="19050" r="14605" b="19050"/>
                <wp:wrapTight wrapText="bothSides">
                  <wp:wrapPolygon edited="0">
                    <wp:start x="-67" y="-49"/>
                    <wp:lineTo x="-67" y="21600"/>
                    <wp:lineTo x="21584" y="21600"/>
                    <wp:lineTo x="21584" y="-49"/>
                    <wp:lineTo x="-67" y="-49"/>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8439150"/>
                        </a:xfrm>
                        <a:prstGeom prst="rect">
                          <a:avLst/>
                        </a:prstGeom>
                        <a:noFill/>
                        <a:ln w="44450">
                          <a:solidFill>
                            <a:srgbClr val="74C476"/>
                          </a:solidFill>
                          <a:miter lim="800000"/>
                          <a:headEnd/>
                          <a:tailEnd/>
                        </a:ln>
                      </wps:spPr>
                      <wps:txbx>
                        <w:txbxContent>
                          <w:p w:rsidR="00AD3D0C" w:rsidRDefault="00AD3D0C" w:rsidP="00513EA8">
                            <w:pPr>
                              <w:pStyle w:val="Heading3notnumbered"/>
                            </w:pPr>
                            <w:bookmarkStart w:id="558" w:name="_Toc413311149"/>
                            <w:bookmarkStart w:id="559" w:name="_Toc423086565"/>
                            <w:r>
                              <w:t>Network characteristics</w:t>
                            </w:r>
                            <w:bookmarkEnd w:id="558"/>
                            <w:bookmarkEnd w:id="559"/>
                          </w:p>
                          <w:p w:rsidR="00AD3D0C" w:rsidRPr="00C312BC" w:rsidRDefault="00AD3D0C" w:rsidP="00073FDA">
                            <w:r w:rsidRPr="00E96856">
                              <w:rPr>
                                <w:rStyle w:val="Strong"/>
                              </w:rPr>
                              <w:t>Ownership:</w:t>
                            </w:r>
                            <w:r>
                              <w:t xml:space="preserve">  </w:t>
                            </w:r>
                            <w:r w:rsidRPr="00513EA8">
                              <w:t>Cheung Kong Infrastructure/Power Assets (51 per cent); Spa</w:t>
                            </w:r>
                            <w:r>
                              <w:t>rk Infrastructure (49 per cent)</w:t>
                            </w:r>
                            <w:r w:rsidRPr="00C312BC">
                              <w:t xml:space="preserve"> </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Pr="00C312BC" w:rsidRDefault="00AD3D0C" w:rsidP="00513EA8">
                            <w:pPr>
                              <w:pStyle w:val="TableofFigures"/>
                            </w:pPr>
                            <w:r>
                              <w:t xml:space="preserve">  Total distribution customers:</w:t>
                            </w:r>
                            <w:r w:rsidRPr="00C312BC">
                              <w:t xml:space="preserve"> </w:t>
                            </w:r>
                            <w:r w:rsidRPr="00C312BC">
                              <w:tab/>
                            </w:r>
                            <w:r>
                              <w:tab/>
                            </w:r>
                            <w:r>
                              <w:tab/>
                              <w:t>744,799</w:t>
                            </w:r>
                            <w:r w:rsidRPr="00E96856">
                              <w:t xml:space="preserve"> </w:t>
                            </w:r>
                            <w:r w:rsidRPr="00073FDA">
                              <w:rPr>
                                <w:noProof/>
                                <w:lang w:eastAsia="en-AU"/>
                              </w:rPr>
                              <w:drawing>
                                <wp:inline distT="0" distB="0" distL="0" distR="0" wp14:anchorId="6308F7CF" wp14:editId="6A17B263">
                                  <wp:extent cx="4572000" cy="957264"/>
                                  <wp:effectExtent l="0" t="0" r="0" b="0"/>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AD3D0C" w:rsidRDefault="00AD3D0C" w:rsidP="00073FDA">
                            <w:pPr>
                              <w:pStyle w:val="TableofFigures"/>
                            </w:pPr>
                            <w:r>
                              <w:t xml:space="preserve">  </w:t>
                            </w:r>
                            <w:r w:rsidRPr="0075338F">
                              <w:t xml:space="preserve">Total line </w:t>
                            </w:r>
                            <w:r>
                              <w:t xml:space="preserve">(circuit) </w:t>
                            </w:r>
                            <w:r w:rsidRPr="0075338F">
                              <w:t>length:</w:t>
                            </w:r>
                            <w:r>
                              <w:t xml:space="preserve"> </w:t>
                            </w:r>
                            <w:r>
                              <w:tab/>
                            </w:r>
                            <w:r>
                              <w:tab/>
                            </w:r>
                            <w:r>
                              <w:tab/>
                            </w:r>
                            <w:r>
                              <w:tab/>
                              <w:t>73,889 km</w:t>
                            </w:r>
                            <w:r w:rsidRPr="00073FDA">
                              <w:rPr>
                                <w:noProof/>
                                <w:lang w:eastAsia="en-AU"/>
                              </w:rPr>
                              <w:drawing>
                                <wp:inline distT="0" distB="0" distL="0" distR="0" wp14:anchorId="2A237947" wp14:editId="2DF04F31">
                                  <wp:extent cx="4572000" cy="947737"/>
                                  <wp:effectExtent l="0" t="0" r="0" b="5080"/>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10.1</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31,770 </w:t>
                            </w:r>
                            <w:proofErr w:type="spellStart"/>
                            <w:r>
                              <w:t>GWh</w:t>
                            </w:r>
                            <w:proofErr w:type="spellEnd"/>
                            <w:r>
                              <w:t>, 2</w:t>
                            </w:r>
                            <w:r w:rsidRPr="00474352">
                              <w:t xml:space="preserve"> per cent ▼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$760 m, 11</w:t>
                            </w:r>
                            <w:r w:rsidRPr="00474352">
                              <w:t xml:space="preserve"> per cent ▼ than forecast</w:t>
                            </w:r>
                          </w:p>
                          <w:p w:rsidR="00AD3D0C" w:rsidRPr="00474352" w:rsidRDefault="00AD3D0C" w:rsidP="00513EA8">
                            <w:r w:rsidRPr="00474352">
                              <w:t xml:space="preserve">  Regulatory Asset Base: </w:t>
                            </w:r>
                            <w:r w:rsidRPr="00474352">
                              <w:tab/>
                            </w:r>
                            <w:r w:rsidRPr="00474352">
                              <w:tab/>
                            </w:r>
                            <w:r>
                              <w:tab/>
                            </w:r>
                            <w:r w:rsidRPr="00474352">
                              <w:tab/>
                            </w:r>
                            <w:r>
                              <w:t>20</w:t>
                            </w:r>
                            <w:r w:rsidRPr="00474352">
                              <w:t xml:space="preserve"> per cent </w:t>
                            </w:r>
                            <w:r w:rsidRPr="00AE2FC7">
                              <w:t>▲</w:t>
                            </w:r>
                            <w:r w:rsidRPr="00474352">
                              <w:t xml:space="preserve"> (from $</w:t>
                            </w:r>
                            <w:r>
                              <w:t>2.3bn</w:t>
                            </w:r>
                            <w:r w:rsidRPr="00474352">
                              <w:t xml:space="preserve"> to $</w:t>
                            </w:r>
                            <w:r>
                              <w:t>2.8</w:t>
                            </w:r>
                            <w:r w:rsidRPr="00474352">
                              <w:t>bn)</w:t>
                            </w:r>
                          </w:p>
                          <w:p w:rsidR="00AD3D0C" w:rsidRPr="00474352" w:rsidRDefault="00AD3D0C" w:rsidP="00513EA8">
                            <w:r w:rsidRPr="00474352">
                              <w:t xml:space="preserve">  Operating expenditure: </w:t>
                            </w:r>
                            <w:r w:rsidRPr="00474352">
                              <w:tab/>
                            </w:r>
                            <w:r w:rsidRPr="00474352">
                              <w:tab/>
                            </w:r>
                            <w:r w:rsidRPr="00474352">
                              <w:tab/>
                            </w:r>
                            <w:r>
                              <w:tab/>
                              <w:t>$491 m, 6</w:t>
                            </w:r>
                            <w:r w:rsidRPr="00474352">
                              <w:t xml:space="preserve"> per cent ▼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 xml:space="preserve">$1.4 </w:t>
                            </w:r>
                            <w:proofErr w:type="spellStart"/>
                            <w:r>
                              <w:t>bn</w:t>
                            </w:r>
                            <w:proofErr w:type="spellEnd"/>
                            <w:r>
                              <w:t xml:space="preserve">, </w:t>
                            </w:r>
                            <w:r w:rsidRPr="00542B1E">
                              <w:t>within 1 per cent of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139.2</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152.1</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1.44</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1.61</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9pt;margin-top:22.4pt;width:480.35pt;height:66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" filled="f" strokecolor="#74c476" strokeweight="3.5pt">
                <v:textbox>
                  <w:txbxContent>
                    <w:p w:rsidR="00AD3D0C" w:rsidRDefault="00AD3D0C" w:rsidP="00513EA8">
                      <w:pPr>
                        <w:pStyle w:val="Heading3notnumbered"/>
                      </w:pPr>
                      <w:bookmarkStart w:id="586" w:name="_Toc413311149"/>
                      <w:bookmarkStart w:id="587" w:name="_Toc423086565"/>
                      <w:r>
                        <w:t>Network characteristics</w:t>
                      </w:r>
                      <w:bookmarkEnd w:id="586"/>
                      <w:bookmarkEnd w:id="587"/>
                    </w:p>
                    <w:p w:rsidR="00AD3D0C" w:rsidRPr="00C312BC" w:rsidRDefault="00AD3D0C" w:rsidP="00073FDA">
                      <w:r w:rsidRPr="00E96856">
                        <w:rPr>
                          <w:rStyle w:val="Strong"/>
                        </w:rPr>
                        <w:t>Ownership:</w:t>
                      </w:r>
                      <w:r>
                        <w:t xml:space="preserve">  </w:t>
                      </w:r>
                      <w:r w:rsidRPr="00513EA8">
                        <w:t>Cheung Kong Infrastructure/Power Assets (51 per cent); Spa</w:t>
                      </w:r>
                      <w:r>
                        <w:t>rk Infrastructure (49 per cent)</w:t>
                      </w:r>
                      <w:r w:rsidRPr="00C312BC">
                        <w:t xml:space="preserve"> </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Pr="00C312BC" w:rsidRDefault="00AD3D0C" w:rsidP="00513EA8">
                      <w:pPr>
                        <w:pStyle w:val="TableofFigures"/>
                      </w:pPr>
                      <w:r>
                        <w:t xml:space="preserve">  Total distribution customers:</w:t>
                      </w:r>
                      <w:r w:rsidRPr="00C312BC">
                        <w:t xml:space="preserve"> </w:t>
                      </w:r>
                      <w:r w:rsidRPr="00C312BC">
                        <w:tab/>
                      </w:r>
                      <w:r>
                        <w:tab/>
                      </w:r>
                      <w:r>
                        <w:tab/>
                        <w:t>744,799</w:t>
                      </w:r>
                      <w:r w:rsidRPr="00E96856">
                        <w:t xml:space="preserve"> </w:t>
                      </w:r>
                      <w:r w:rsidRPr="00073FDA">
                        <w:rPr>
                          <w:noProof/>
                          <w:lang w:eastAsia="en-AU"/>
                        </w:rPr>
                        <w:drawing>
                          <wp:inline distT="0" distB="0" distL="0" distR="0" wp14:anchorId="6308F7CF" wp14:editId="6A17B263">
                            <wp:extent cx="4572000" cy="957264"/>
                            <wp:effectExtent l="0" t="0" r="0" b="0"/>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AD3D0C" w:rsidRDefault="00AD3D0C" w:rsidP="00073FDA">
                      <w:pPr>
                        <w:pStyle w:val="TableofFigures"/>
                      </w:pPr>
                      <w:r>
                        <w:t xml:space="preserve">  </w:t>
                      </w:r>
                      <w:r w:rsidRPr="0075338F">
                        <w:t xml:space="preserve">Total line </w:t>
                      </w:r>
                      <w:r>
                        <w:t xml:space="preserve">(circuit) </w:t>
                      </w:r>
                      <w:r w:rsidRPr="0075338F">
                        <w:t>length:</w:t>
                      </w:r>
                      <w:r>
                        <w:t xml:space="preserve"> </w:t>
                      </w:r>
                      <w:r>
                        <w:tab/>
                      </w:r>
                      <w:r>
                        <w:tab/>
                      </w:r>
                      <w:r>
                        <w:tab/>
                      </w:r>
                      <w:r>
                        <w:tab/>
                        <w:t>73,889 km</w:t>
                      </w:r>
                      <w:r w:rsidRPr="00073FDA">
                        <w:rPr>
                          <w:noProof/>
                          <w:lang w:eastAsia="en-AU"/>
                        </w:rPr>
                        <w:drawing>
                          <wp:inline distT="0" distB="0" distL="0" distR="0" wp14:anchorId="2A237947" wp14:editId="2DF04F31">
                            <wp:extent cx="4572000" cy="947737"/>
                            <wp:effectExtent l="0" t="0" r="0" b="5080"/>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10.1</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31,770 </w:t>
                      </w:r>
                      <w:proofErr w:type="spellStart"/>
                      <w:r>
                        <w:t>GWh</w:t>
                      </w:r>
                      <w:proofErr w:type="spellEnd"/>
                      <w:r>
                        <w:t>, 2</w:t>
                      </w:r>
                      <w:r w:rsidRPr="00474352">
                        <w:t xml:space="preserve"> per cent ▼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$760 m, 11</w:t>
                      </w:r>
                      <w:r w:rsidRPr="00474352">
                        <w:t xml:space="preserve"> per cent ▼ than forecast</w:t>
                      </w:r>
                    </w:p>
                    <w:p w:rsidR="00AD3D0C" w:rsidRPr="00474352" w:rsidRDefault="00AD3D0C" w:rsidP="00513EA8">
                      <w:r w:rsidRPr="00474352">
                        <w:t xml:space="preserve">  Regulatory Asset Base: </w:t>
                      </w:r>
                      <w:r w:rsidRPr="00474352">
                        <w:tab/>
                      </w:r>
                      <w:r w:rsidRPr="00474352">
                        <w:tab/>
                      </w:r>
                      <w:r>
                        <w:tab/>
                      </w:r>
                      <w:r w:rsidRPr="00474352">
                        <w:tab/>
                      </w:r>
                      <w:r>
                        <w:t>20</w:t>
                      </w:r>
                      <w:r w:rsidRPr="00474352">
                        <w:t xml:space="preserve"> per cent </w:t>
                      </w:r>
                      <w:r w:rsidRPr="00AE2FC7">
                        <w:t>▲</w:t>
                      </w:r>
                      <w:r w:rsidRPr="00474352">
                        <w:t xml:space="preserve"> (from $</w:t>
                      </w:r>
                      <w:r>
                        <w:t>2.3bn</w:t>
                      </w:r>
                      <w:r w:rsidRPr="00474352">
                        <w:t xml:space="preserve"> to $</w:t>
                      </w:r>
                      <w:r>
                        <w:t>2.8</w:t>
                      </w:r>
                      <w:r w:rsidRPr="00474352">
                        <w:t>bn)</w:t>
                      </w:r>
                    </w:p>
                    <w:p w:rsidR="00AD3D0C" w:rsidRPr="00474352" w:rsidRDefault="00AD3D0C" w:rsidP="00513EA8">
                      <w:r w:rsidRPr="00474352">
                        <w:t xml:space="preserve">  Operating expenditure: </w:t>
                      </w:r>
                      <w:r w:rsidRPr="00474352">
                        <w:tab/>
                      </w:r>
                      <w:r w:rsidRPr="00474352">
                        <w:tab/>
                      </w:r>
                      <w:r w:rsidRPr="00474352">
                        <w:tab/>
                      </w:r>
                      <w:r>
                        <w:tab/>
                        <w:t>$491 m, 6</w:t>
                      </w:r>
                      <w:r w:rsidRPr="00474352">
                        <w:t xml:space="preserve"> per cent ▼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 xml:space="preserve">$1.4 </w:t>
                      </w:r>
                      <w:proofErr w:type="spellStart"/>
                      <w:r>
                        <w:t>bn</w:t>
                      </w:r>
                      <w:proofErr w:type="spellEnd"/>
                      <w:r>
                        <w:t xml:space="preserve">, </w:t>
                      </w:r>
                      <w:r w:rsidRPr="00542B1E">
                        <w:t>within 1 per cent of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139.2</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152.1</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1.44</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1.61</w:t>
                      </w:r>
                      <w:r w:rsidRPr="00E96856">
                        <w:t xml:space="preserve"> interruptions</w:t>
                      </w:r>
                    </w:p>
                  </w:txbxContent>
                </v:textbox>
                <w10:wrap type="tight"/>
              </v:shape>
            </w:pict>
          </mc:Fallback>
        </mc:AlternateContent>
      </w:r>
      <w:r w:rsidR="00AE2FC7">
        <w:t>Powercor</w:t>
      </w:r>
      <w:bookmarkEnd w:id="556"/>
      <w:bookmarkEnd w:id="557"/>
    </w:p>
    <w:p w:rsidR="00AE2FC7" w:rsidRDefault="00AE2FC7" w:rsidP="00592413">
      <w:pPr>
        <w:pStyle w:val="Heading3"/>
      </w:pPr>
      <w:bookmarkStart w:id="560" w:name="_Toc409771728"/>
      <w:bookmarkStart w:id="561" w:name="_Toc412790677"/>
      <w:bookmarkStart w:id="562" w:name="_Toc413062158"/>
      <w:bookmarkStart w:id="563" w:name="_Toc413311151"/>
      <w:bookmarkStart w:id="564" w:name="_Toc423086567"/>
      <w:r>
        <w:t>Regulation</w:t>
      </w:r>
      <w:bookmarkEnd w:id="560"/>
      <w:bookmarkEnd w:id="561"/>
      <w:bookmarkEnd w:id="562"/>
      <w:bookmarkEnd w:id="563"/>
      <w:bookmarkEnd w:id="564"/>
    </w:p>
    <w:p w:rsidR="00AE2FC7" w:rsidRPr="006E45AF" w:rsidRDefault="00D30B61" w:rsidP="00AE2FC7">
      <w:r>
        <w:t>From</w:t>
      </w:r>
      <w:r w:rsidR="00AE2FC7" w:rsidRPr="006E45AF">
        <w:t xml:space="preserve"> 1 January 2011 </w:t>
      </w:r>
      <w:r w:rsidR="002767AE">
        <w:t>we have</w:t>
      </w:r>
      <w:r w:rsidR="00AE2FC7" w:rsidRPr="006E45AF">
        <w:t xml:space="preserve"> been responsible for the economic regulation of electricity distribution services provided by Powercor. Previously ESCV was the responsible regulator.</w:t>
      </w:r>
    </w:p>
    <w:p w:rsidR="00AE2FC7" w:rsidRDefault="00AE2FC7" w:rsidP="00592413">
      <w:pPr>
        <w:pStyle w:val="Heading3"/>
      </w:pPr>
      <w:bookmarkStart w:id="565" w:name="_Toc409771729"/>
      <w:bookmarkStart w:id="566" w:name="_Toc412790678"/>
      <w:bookmarkStart w:id="567" w:name="_Toc413062159"/>
      <w:bookmarkStart w:id="568" w:name="_Toc413311152"/>
      <w:bookmarkStart w:id="569" w:name="_Toc423086568"/>
      <w:r>
        <w:t>Energy delivered</w:t>
      </w:r>
      <w:bookmarkEnd w:id="565"/>
      <w:bookmarkEnd w:id="566"/>
      <w:bookmarkEnd w:id="567"/>
      <w:bookmarkEnd w:id="568"/>
      <w:bookmarkEnd w:id="569"/>
    </w:p>
    <w:p w:rsidR="00AE2FC7" w:rsidRPr="006E45AF" w:rsidRDefault="00AE2FC7" w:rsidP="00AE2FC7">
      <w:r w:rsidRPr="006E45AF">
        <w:t>Total energy delivered by Powercor over the first three years of the 2011</w:t>
      </w:r>
      <w:r w:rsidR="007A3240">
        <w:t>–</w:t>
      </w:r>
      <w:r w:rsidRPr="006E45AF">
        <w:t xml:space="preserve">15 regulatory control period was approximately 2 per cent less than </w:t>
      </w:r>
      <w:r w:rsidR="00DD4FC1">
        <w:t>our approved</w:t>
      </w:r>
      <w:r w:rsidRPr="006E45AF">
        <w:t xml:space="preserve"> forecast (</w:t>
      </w:r>
      <w:r>
        <w:t>Figure 9</w:t>
      </w:r>
      <w:r w:rsidRPr="006E45AF">
        <w:t>–1</w:t>
      </w:r>
      <w:r w:rsidR="007A2C08">
        <w:t>11</w:t>
      </w:r>
      <w:r w:rsidRPr="006E45AF">
        <w:t>). The forecasts for the 2011</w:t>
      </w:r>
      <w:r w:rsidR="007A3240">
        <w:t>–</w:t>
      </w:r>
      <w:r w:rsidRPr="006E45AF">
        <w:t xml:space="preserve">15 regulatory control period are those submitted by Powercor and </w:t>
      </w:r>
      <w:r w:rsidR="00DD4FC1">
        <w:t xml:space="preserve">accepted by us in our </w:t>
      </w:r>
      <w:r w:rsidRPr="006E45AF">
        <w:t>201</w:t>
      </w:r>
      <w:r w:rsidR="00561823">
        <w:t>0</w:t>
      </w:r>
      <w:r w:rsidRPr="006E45AF">
        <w:t xml:space="preserve"> distribution determination. </w:t>
      </w:r>
    </w:p>
    <w:p w:rsidR="00845737" w:rsidRPr="006E45AF" w:rsidRDefault="00845737" w:rsidP="00845737">
      <w:r w:rsidRPr="006E45AF">
        <w:t>Powercor indicated the energy volumes submitted as a part of the 2011</w:t>
      </w:r>
      <w:r>
        <w:t>–</w:t>
      </w:r>
      <w:r w:rsidRPr="006E45AF">
        <w:t>15 price reset were more accurate than those used by the AER in its processes to determine the final price path.</w:t>
      </w:r>
    </w:p>
    <w:p w:rsidR="00AE2FC7" w:rsidRDefault="00AE2FC7" w:rsidP="00972E3F">
      <w:pPr>
        <w:pStyle w:val="Caption"/>
      </w:pPr>
      <w:r>
        <w:t>Figure 9</w:t>
      </w:r>
      <w:r w:rsidRPr="006E45AF">
        <w:t>–1</w:t>
      </w:r>
      <w:r w:rsidR="007A2C08">
        <w:t>11</w:t>
      </w:r>
      <w:r w:rsidRPr="006E45AF">
        <w:tab/>
        <w:t xml:space="preserve">Energy delivered </w:t>
      </w:r>
      <w:r w:rsidR="007A3240">
        <w:t>–</w:t>
      </w:r>
      <w:r w:rsidRPr="006E45AF">
        <w:t xml:space="preserve"> Powercor</w:t>
      </w:r>
    </w:p>
    <w:p w:rsidR="007A2C08" w:rsidRDefault="007A2C08" w:rsidP="00AE2FC7">
      <w:r w:rsidRPr="007A2C08">
        <w:rPr>
          <w:noProof/>
          <w:lang w:eastAsia="en-AU"/>
        </w:rPr>
        <w:drawing>
          <wp:inline distT="0" distB="0" distL="0" distR="0" wp14:anchorId="7A4E7D2F" wp14:editId="30255EC6">
            <wp:extent cx="4572000" cy="2743200"/>
            <wp:effectExtent l="0" t="0" r="0" b="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AE2FC7" w:rsidRPr="006E45AF" w:rsidRDefault="00AE2FC7" w:rsidP="00AE2FC7">
      <w:r w:rsidRPr="006E45AF">
        <w:t xml:space="preserve">Chapter 4 </w:t>
      </w:r>
      <w:r w:rsidR="009E3ACF">
        <w:t xml:space="preserve">contains our </w:t>
      </w:r>
      <w:r w:rsidRPr="006E45AF">
        <w:t xml:space="preserve">assessment of energy delivered for all DNSPs in the NEM. </w:t>
      </w:r>
    </w:p>
    <w:p w:rsidR="00AE2FC7" w:rsidRDefault="00AE2FC7" w:rsidP="00592413">
      <w:pPr>
        <w:pStyle w:val="Heading3"/>
      </w:pPr>
      <w:bookmarkStart w:id="570" w:name="_Toc409771730"/>
      <w:bookmarkStart w:id="571" w:name="_Toc412790679"/>
      <w:bookmarkStart w:id="572" w:name="_Toc413062160"/>
      <w:bookmarkStart w:id="573" w:name="_Toc413311153"/>
      <w:bookmarkStart w:id="574" w:name="_Toc423086569"/>
      <w:r>
        <w:t>Demand</w:t>
      </w:r>
      <w:bookmarkEnd w:id="570"/>
      <w:bookmarkEnd w:id="571"/>
      <w:bookmarkEnd w:id="572"/>
      <w:bookmarkEnd w:id="573"/>
      <w:bookmarkEnd w:id="574"/>
    </w:p>
    <w:p w:rsidR="00AE2FC7" w:rsidRPr="006E45AF" w:rsidRDefault="00AE2FC7" w:rsidP="00AE2FC7">
      <w:r w:rsidRPr="006E45AF">
        <w:t>Powercor's actual maximum demand in each of first three years of the 2011</w:t>
      </w:r>
      <w:r w:rsidR="007A3240">
        <w:t>–</w:t>
      </w:r>
      <w:r w:rsidRPr="006E45AF">
        <w:t>15 regulatory control period was lower than the forecast maximum demand</w:t>
      </w:r>
      <w:r w:rsidR="00CC0E3F">
        <w:t xml:space="preserve"> </w:t>
      </w:r>
      <w:r w:rsidR="00DD4FC1">
        <w:t xml:space="preserve">accepted by us in our </w:t>
      </w:r>
      <w:r w:rsidRPr="006E45AF">
        <w:t>201</w:t>
      </w:r>
      <w:r w:rsidR="00561823">
        <w:t>0</w:t>
      </w:r>
      <w:r w:rsidRPr="006E45AF">
        <w:t xml:space="preserve"> distribution determination (</w:t>
      </w:r>
      <w:r>
        <w:t>Figure 9</w:t>
      </w:r>
      <w:r w:rsidRPr="006E45AF">
        <w:t>–1</w:t>
      </w:r>
      <w:r w:rsidR="007A2C08">
        <w:t>12</w:t>
      </w:r>
      <w:r w:rsidRPr="006E45AF">
        <w:t>).</w:t>
      </w:r>
    </w:p>
    <w:p w:rsidR="00845737" w:rsidRPr="006E45AF" w:rsidRDefault="00845737" w:rsidP="00845737">
      <w:r w:rsidRPr="006E45AF">
        <w:t>Powercor indicated the general economic slowdown associated with the global financial crisis was a significant factor in actual maximum demand being lower than forecast.</w:t>
      </w:r>
    </w:p>
    <w:p w:rsidR="002712DB" w:rsidRDefault="002712DB" w:rsidP="002712DB">
      <w:r w:rsidRPr="006E45AF">
        <w:t xml:space="preserve">Chapter 4 </w:t>
      </w:r>
      <w:r>
        <w:t xml:space="preserve">contains our </w:t>
      </w:r>
      <w:r w:rsidRPr="006E45AF">
        <w:t xml:space="preserve">assessment of maximum demand for all DNSPs in the NEM. </w:t>
      </w:r>
    </w:p>
    <w:p w:rsidR="00AE2FC7" w:rsidRDefault="00AE2FC7" w:rsidP="00972E3F">
      <w:pPr>
        <w:pStyle w:val="Caption"/>
      </w:pPr>
      <w:r>
        <w:t>Figure 9</w:t>
      </w:r>
      <w:r w:rsidRPr="006E45AF">
        <w:t>–1</w:t>
      </w:r>
      <w:r w:rsidR="007A2C08">
        <w:t>12</w:t>
      </w:r>
      <w:r w:rsidRPr="006E45AF">
        <w:tab/>
        <w:t xml:space="preserve">Maximum demand </w:t>
      </w:r>
      <w:r w:rsidR="007A3240">
        <w:t>–</w:t>
      </w:r>
      <w:r w:rsidRPr="006E45AF">
        <w:t xml:space="preserve"> Powercor</w:t>
      </w:r>
    </w:p>
    <w:p w:rsidR="007A2C08" w:rsidRDefault="007A2C08" w:rsidP="00AE2FC7">
      <w:r w:rsidRPr="007A2C08">
        <w:rPr>
          <w:noProof/>
          <w:lang w:eastAsia="en-AU"/>
        </w:rPr>
        <w:drawing>
          <wp:inline distT="0" distB="0" distL="0" distR="0" wp14:anchorId="24B19E95" wp14:editId="4D1D8D00">
            <wp:extent cx="4572000" cy="2743200"/>
            <wp:effectExtent l="0" t="0" r="0" b="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AE2FC7" w:rsidRDefault="00AE2FC7" w:rsidP="00592413">
      <w:pPr>
        <w:pStyle w:val="Heading3"/>
      </w:pPr>
      <w:bookmarkStart w:id="575" w:name="_Toc409771731"/>
      <w:bookmarkStart w:id="576" w:name="_Toc412790680"/>
      <w:bookmarkStart w:id="577" w:name="_Toc413062161"/>
      <w:bookmarkStart w:id="578" w:name="_Toc413311154"/>
      <w:bookmarkStart w:id="579" w:name="_Toc423086570"/>
      <w:r>
        <w:t>Expenditure and revenue</w:t>
      </w:r>
      <w:bookmarkEnd w:id="575"/>
      <w:bookmarkEnd w:id="576"/>
      <w:bookmarkEnd w:id="577"/>
      <w:bookmarkEnd w:id="578"/>
      <w:bookmarkEnd w:id="579"/>
    </w:p>
    <w:p w:rsidR="00AE2FC7" w:rsidRPr="006E45AF" w:rsidRDefault="00AE2FC7" w:rsidP="00AE2FC7">
      <w:r w:rsidRPr="006E45AF">
        <w:t xml:space="preserve">Amendments made to </w:t>
      </w:r>
      <w:r w:rsidR="00DD4FC1">
        <w:t>our approved</w:t>
      </w:r>
      <w:r w:rsidRPr="006E45AF">
        <w:t xml:space="preserve"> forecasts as the result of Tribunal orders or as a result of approved pass throughs </w:t>
      </w:r>
      <w:r w:rsidR="00D30B61">
        <w:t>are included</w:t>
      </w:r>
      <w:r w:rsidRPr="006E45AF">
        <w:t xml:space="preserve"> in the following analysis of Powercor's financial performance.</w:t>
      </w:r>
      <w:r w:rsidR="00B10A39">
        <w:rPr>
          <w:rStyle w:val="FootnoteReference"/>
        </w:rPr>
        <w:footnoteReference w:id="25"/>
      </w:r>
      <w:r w:rsidRPr="006E45AF">
        <w:t xml:space="preserve"> </w:t>
      </w:r>
    </w:p>
    <w:p w:rsidR="00AE2FC7" w:rsidRPr="006E45AF" w:rsidRDefault="00AE2FC7" w:rsidP="00AE2FC7">
      <w:pPr>
        <w:pStyle w:val="Heading4notnumbered"/>
      </w:pPr>
      <w:r w:rsidRPr="006E45AF">
        <w:t>Capital expenditure</w:t>
      </w:r>
    </w:p>
    <w:p w:rsidR="00AE2FC7" w:rsidRPr="006E45AF" w:rsidRDefault="00AE2FC7" w:rsidP="00AE2FC7">
      <w:r w:rsidRPr="006E45AF">
        <w:t>Powercor's total capital expenditure over the first three years of the 2011</w:t>
      </w:r>
      <w:r w:rsidR="007A3240">
        <w:t>–</w:t>
      </w:r>
      <w:r w:rsidRPr="006E45AF">
        <w:t xml:space="preserve">15 regulatory control period was approximately </w:t>
      </w:r>
      <w:r w:rsidR="00962359">
        <w:t>11</w:t>
      </w:r>
      <w:r w:rsidRPr="006E45AF">
        <w:t xml:space="preserve"> per cent lower than </w:t>
      </w:r>
      <w:r w:rsidR="00DD4FC1">
        <w:t>our approved</w:t>
      </w:r>
      <w:r w:rsidRPr="006E45AF">
        <w:t xml:space="preserve"> forecast (</w:t>
      </w:r>
      <w:r>
        <w:t>Figure 9</w:t>
      </w:r>
      <w:r w:rsidRPr="006E45AF">
        <w:t>–1</w:t>
      </w:r>
      <w:r w:rsidR="007A2C08">
        <w:t>13</w:t>
      </w:r>
      <w:r w:rsidRPr="006E45AF">
        <w:t>).</w:t>
      </w:r>
    </w:p>
    <w:p w:rsidR="007A2C08" w:rsidRDefault="00AE2FC7" w:rsidP="00972E3F">
      <w:pPr>
        <w:pStyle w:val="Caption"/>
      </w:pPr>
      <w:r>
        <w:t>Figure 9</w:t>
      </w:r>
      <w:r w:rsidRPr="006E45AF">
        <w:t>–1</w:t>
      </w:r>
      <w:r w:rsidR="007A2C08">
        <w:t>13</w:t>
      </w:r>
      <w:r w:rsidRPr="006E45AF">
        <w:tab/>
        <w:t xml:space="preserve">Capital expenditure (excluding customer contributions) </w:t>
      </w:r>
      <w:r w:rsidR="007A3240">
        <w:t>–</w:t>
      </w:r>
      <w:r w:rsidRPr="006E45AF">
        <w:t xml:space="preserve"> Powercor</w:t>
      </w:r>
    </w:p>
    <w:p w:rsidR="00AE2FC7" w:rsidRDefault="007A2C08" w:rsidP="00592413">
      <w:pPr>
        <w:pStyle w:val="Caption"/>
        <w:keepNext w:val="0"/>
      </w:pPr>
      <w:r w:rsidRPr="007A2C08">
        <w:rPr>
          <w:noProof/>
          <w:lang w:eastAsia="en-AU"/>
        </w:rPr>
        <w:drawing>
          <wp:inline distT="0" distB="0" distL="0" distR="0" wp14:anchorId="01B70ECC" wp14:editId="66BF5AC2">
            <wp:extent cx="4572000" cy="2743200"/>
            <wp:effectExtent l="0" t="0" r="0" b="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BE5060" w:rsidRPr="006E45AF" w:rsidRDefault="00BE5060" w:rsidP="00BE5060">
      <w:r w:rsidRPr="006E45AF">
        <w:t xml:space="preserve">Powercor indicated expenditure on capital projects </w:t>
      </w:r>
      <w:r>
        <w:t xml:space="preserve">(Figure 9–114) </w:t>
      </w:r>
      <w:r w:rsidRPr="006E45AF">
        <w:t>was less than forecast due to:</w:t>
      </w:r>
    </w:p>
    <w:p w:rsidR="00BE5060" w:rsidRPr="006E45AF" w:rsidRDefault="00BE5060" w:rsidP="00BC155F">
      <w:pPr>
        <w:pStyle w:val="ListBullet"/>
      </w:pPr>
      <w:r w:rsidRPr="006E45AF">
        <w:t>Waurn Ponds to Torquay 66kV line project being deferred until later in the regulatory control period due to lower than expected growth in peak demand in the area</w:t>
      </w:r>
    </w:p>
    <w:p w:rsidR="00BE5060" w:rsidRPr="006E45AF" w:rsidRDefault="00BE5060" w:rsidP="00BC155F">
      <w:pPr>
        <w:pStyle w:val="ListBullet"/>
      </w:pPr>
      <w:r w:rsidRPr="006E45AF">
        <w:t xml:space="preserve">land purchase negotiations for Wyndham Vale, Rockbank East and Tarneit zone substation sites not being completed in 2011. </w:t>
      </w:r>
    </w:p>
    <w:p w:rsidR="00BE5060" w:rsidRPr="006E45AF" w:rsidRDefault="00BE5060" w:rsidP="00BC155F">
      <w:pPr>
        <w:pStyle w:val="ListBullet"/>
      </w:pPr>
      <w:r w:rsidRPr="006E45AF">
        <w:t xml:space="preserve">slower than anticipated housing developments in key growth areas of Geelong and Western Melbourne resulting in lower than forecast demand growth. </w:t>
      </w:r>
    </w:p>
    <w:p w:rsidR="00AE2FC7" w:rsidRDefault="00AE2FC7" w:rsidP="00972E3F">
      <w:pPr>
        <w:pStyle w:val="Caption"/>
      </w:pPr>
      <w:r>
        <w:t>Figure 9</w:t>
      </w:r>
      <w:r w:rsidRPr="006E45AF">
        <w:t>–1</w:t>
      </w:r>
      <w:r w:rsidR="007A2C08">
        <w:t>14</w:t>
      </w:r>
      <w:r w:rsidRPr="006E45AF">
        <w:tab/>
        <w:t xml:space="preserve">Capital expenditure by purpose (excluding customer contributions) </w:t>
      </w:r>
      <w:r w:rsidR="007A3240">
        <w:t>–</w:t>
      </w:r>
      <w:r w:rsidRPr="006E45AF">
        <w:t xml:space="preserve"> Powercor</w:t>
      </w:r>
    </w:p>
    <w:p w:rsidR="007A2C08" w:rsidRDefault="007A2C08" w:rsidP="00AE2FC7">
      <w:r w:rsidRPr="007A2C08">
        <w:rPr>
          <w:noProof/>
          <w:lang w:eastAsia="en-AU"/>
        </w:rPr>
        <w:drawing>
          <wp:inline distT="0" distB="0" distL="0" distR="0" wp14:anchorId="5609BC97" wp14:editId="4E94BDDA">
            <wp:extent cx="4572000" cy="2743200"/>
            <wp:effectExtent l="0" t="0" r="0" b="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AE2FC7" w:rsidRPr="006E45AF" w:rsidRDefault="00AE2FC7" w:rsidP="00AE2FC7">
      <w:r w:rsidRPr="006E45AF">
        <w:t xml:space="preserve">Chapter 5 provides a description of how DNSPs fund their expenditure on investment projects (capital expenditure) and a comparative assessment of capital expenditure for all DNSPs in the NEM. </w:t>
      </w:r>
    </w:p>
    <w:p w:rsidR="00AE2FC7" w:rsidRPr="006E45AF" w:rsidRDefault="00AE2FC7" w:rsidP="00AE2FC7">
      <w:pPr>
        <w:pStyle w:val="Heading4notnumbered"/>
      </w:pPr>
      <w:r w:rsidRPr="006E45AF">
        <w:t>Regulatory asset base</w:t>
      </w:r>
    </w:p>
    <w:p w:rsidR="00AE2FC7" w:rsidRPr="006E45AF" w:rsidRDefault="00AE2FC7" w:rsidP="00AE2FC7">
      <w:r w:rsidRPr="006E45AF">
        <w:t>Powercor's RAB increased by approximately 20 per cent over the first three years of the 2011</w:t>
      </w:r>
      <w:r w:rsidR="007A3240">
        <w:t>–</w:t>
      </w:r>
      <w:r w:rsidRPr="006E45AF">
        <w:t>15 regulatory control period. Powercor's RAB was forecast to increase by 16 per cent over this period.</w:t>
      </w:r>
    </w:p>
    <w:p w:rsidR="00AE2FC7" w:rsidRPr="006E45AF" w:rsidRDefault="00AE2FC7" w:rsidP="00AE2FC7">
      <w:r w:rsidRPr="006E45AF">
        <w:t>Powercor's RAB grew from approximately $2.</w:t>
      </w:r>
      <w:r w:rsidR="00466605">
        <w:t>3</w:t>
      </w:r>
      <w:r w:rsidRPr="006E45AF">
        <w:t xml:space="preserve"> billion at the end of 2010 to approximately $2.8 billion at the end of 2013 (</w:t>
      </w:r>
      <w:r>
        <w:t>Figure 9</w:t>
      </w:r>
      <w:r w:rsidRPr="006E45AF">
        <w:t>–1</w:t>
      </w:r>
      <w:r w:rsidR="007A2C08">
        <w:t>15</w:t>
      </w:r>
      <w:r w:rsidRPr="006E45AF">
        <w:t xml:space="preserve">). </w:t>
      </w:r>
    </w:p>
    <w:p w:rsidR="00AE2FC7" w:rsidRDefault="00AE2FC7" w:rsidP="00972E3F">
      <w:pPr>
        <w:pStyle w:val="Caption"/>
      </w:pPr>
      <w:r>
        <w:t>Figure 9</w:t>
      </w:r>
      <w:r w:rsidRPr="006E45AF">
        <w:t>–1</w:t>
      </w:r>
      <w:r w:rsidR="007A2C08">
        <w:t>15</w:t>
      </w:r>
      <w:r w:rsidRPr="006E45AF">
        <w:tab/>
        <w:t xml:space="preserve">Regulatory asset base </w:t>
      </w:r>
      <w:r w:rsidR="007A3240">
        <w:t>–</w:t>
      </w:r>
      <w:r w:rsidRPr="006E45AF">
        <w:t xml:space="preserve"> Powercor</w:t>
      </w:r>
    </w:p>
    <w:p w:rsidR="007A2C08" w:rsidRDefault="007A2C08" w:rsidP="00AE2FC7">
      <w:r w:rsidRPr="007A2C08">
        <w:rPr>
          <w:noProof/>
          <w:lang w:eastAsia="en-AU"/>
        </w:rPr>
        <w:drawing>
          <wp:inline distT="0" distB="0" distL="0" distR="0" wp14:anchorId="3B443B99" wp14:editId="43AF2989">
            <wp:extent cx="4733925" cy="2743200"/>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AE2FC7" w:rsidRPr="006E45AF" w:rsidRDefault="00AE2FC7" w:rsidP="00AE2FC7">
      <w:pPr>
        <w:pStyle w:val="Heading4notnumbered"/>
      </w:pPr>
      <w:r w:rsidRPr="006E45AF">
        <w:t>Operating expenditure</w:t>
      </w:r>
    </w:p>
    <w:p w:rsidR="00AE2FC7" w:rsidRPr="006E45AF" w:rsidRDefault="00AE2FC7" w:rsidP="00AE2FC7">
      <w:r w:rsidRPr="006E45AF">
        <w:t>Powercor's total operating expenditure over the first three years of the 2011</w:t>
      </w:r>
      <w:r w:rsidR="007A3240">
        <w:t>–</w:t>
      </w:r>
      <w:r w:rsidRPr="006E45AF">
        <w:t xml:space="preserve">15 regulatory control period was approximately 6 per cent lower than </w:t>
      </w:r>
      <w:r w:rsidR="00DD4FC1">
        <w:t>our approved</w:t>
      </w:r>
      <w:r w:rsidRPr="006E45AF">
        <w:t xml:space="preserve"> forecast (</w:t>
      </w:r>
      <w:r>
        <w:t>Figure 9</w:t>
      </w:r>
      <w:r w:rsidRPr="006E45AF">
        <w:t>–1</w:t>
      </w:r>
      <w:r w:rsidR="007A2C08">
        <w:t>16</w:t>
      </w:r>
      <w:r w:rsidRPr="006E45AF">
        <w:t xml:space="preserve">). </w:t>
      </w:r>
    </w:p>
    <w:p w:rsidR="00AE2FC7" w:rsidRDefault="00AE2FC7" w:rsidP="00972E3F">
      <w:pPr>
        <w:pStyle w:val="Caption"/>
      </w:pPr>
      <w:r>
        <w:t>Figure 9</w:t>
      </w:r>
      <w:r w:rsidRPr="006E45AF">
        <w:t>–1</w:t>
      </w:r>
      <w:r w:rsidR="007A2C08">
        <w:t>16</w:t>
      </w:r>
      <w:r w:rsidRPr="006E45AF">
        <w:tab/>
        <w:t xml:space="preserve">Operating expenditure </w:t>
      </w:r>
      <w:r w:rsidR="007A3240">
        <w:t>–</w:t>
      </w:r>
      <w:r w:rsidRPr="006E45AF">
        <w:t xml:space="preserve"> Powercor</w:t>
      </w:r>
    </w:p>
    <w:p w:rsidR="007A2C08" w:rsidRDefault="007A2C08" w:rsidP="00AE2FC7">
      <w:r w:rsidRPr="007A2C08">
        <w:rPr>
          <w:noProof/>
          <w:lang w:eastAsia="en-AU"/>
        </w:rPr>
        <w:drawing>
          <wp:inline distT="0" distB="0" distL="0" distR="0" wp14:anchorId="31D93527" wp14:editId="74D8DE79">
            <wp:extent cx="4572000" cy="2743200"/>
            <wp:effectExtent l="0" t="0" r="0" b="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2712DB" w:rsidRPr="006E45AF" w:rsidRDefault="002712DB" w:rsidP="002712DB">
      <w:r w:rsidRPr="006E45AF">
        <w:t>Powercor indicated there were no material differences between actual operating expenditure and forecasts in 2013.</w:t>
      </w:r>
      <w:r>
        <w:t xml:space="preserve"> </w:t>
      </w:r>
      <w:r w:rsidRPr="006E45AF">
        <w:t xml:space="preserve">However, Powercor </w:t>
      </w:r>
      <w:r>
        <w:t>noted</w:t>
      </w:r>
      <w:r w:rsidRPr="006E45AF">
        <w:t xml:space="preserve"> the following factors were drivers behind its underspending on operating and maintenance in 2011:</w:t>
      </w:r>
    </w:p>
    <w:p w:rsidR="002712DB" w:rsidRPr="006E45AF" w:rsidRDefault="002712DB" w:rsidP="00BC155F">
      <w:pPr>
        <w:pStyle w:val="ListBullet"/>
      </w:pPr>
      <w:r>
        <w:t>r</w:t>
      </w:r>
      <w:r w:rsidRPr="006E45AF">
        <w:t>outine maintenance: actual expenditure is below the regulatory allowance as a consequence of time taken to ramp up the vegetation management program wit</w:t>
      </w:r>
      <w:r>
        <w:t>h Powercor’s contractor</w:t>
      </w:r>
    </w:p>
    <w:p w:rsidR="002712DB" w:rsidRPr="006E45AF" w:rsidRDefault="002712DB" w:rsidP="00BC155F">
      <w:pPr>
        <w:pStyle w:val="ListBullet"/>
      </w:pPr>
      <w:r>
        <w:t>c</w:t>
      </w:r>
      <w:r w:rsidRPr="006E45AF">
        <w:t>ondition based maintenance: increased expenditure related to safety compliance and property maintenance costs was not included in regulatory allowance. Overhead line mai</w:t>
      </w:r>
      <w:r>
        <w:t>ntenance costs were also higher</w:t>
      </w:r>
    </w:p>
    <w:p w:rsidR="002712DB" w:rsidRPr="006E45AF" w:rsidRDefault="002712DB" w:rsidP="00BC155F">
      <w:pPr>
        <w:pStyle w:val="ListBullet"/>
      </w:pPr>
      <w:r>
        <w:t>e</w:t>
      </w:r>
      <w:r w:rsidRPr="006E45AF">
        <w:t>mergency maintenance: increased expenditure due to increased storm and flood activity and higher than anticipated fault rates compared to th</w:t>
      </w:r>
      <w:r>
        <w:t>e regulatory benchmark for 2011</w:t>
      </w:r>
    </w:p>
    <w:p w:rsidR="002712DB" w:rsidRPr="006E45AF" w:rsidRDefault="00012BED" w:rsidP="00BC155F">
      <w:pPr>
        <w:pStyle w:val="ListBullet"/>
      </w:pPr>
      <w:r>
        <w:t>o</w:t>
      </w:r>
      <w:r w:rsidRPr="006E45AF">
        <w:t>perating</w:t>
      </w:r>
      <w:r w:rsidR="002712DB" w:rsidRPr="006E45AF">
        <w:t>: actual expenditure is lower than the regulatory benchmark due to expenditure being reallocated to maintenance activities.</w:t>
      </w:r>
    </w:p>
    <w:p w:rsidR="00AE2FC7" w:rsidRPr="006E45AF" w:rsidRDefault="00AE2FC7" w:rsidP="00AE2FC7">
      <w:r w:rsidRPr="006E45AF">
        <w:t xml:space="preserve">Chapter 6 </w:t>
      </w:r>
      <w:r w:rsidR="009E3ACF">
        <w:t xml:space="preserve">contains our </w:t>
      </w:r>
      <w:r w:rsidRPr="006E45AF">
        <w:t xml:space="preserve">assessment of operating expenditure for all DNSPs in the NEM. </w:t>
      </w:r>
    </w:p>
    <w:p w:rsidR="00AE2FC7" w:rsidRPr="006E45AF" w:rsidRDefault="00AE2FC7" w:rsidP="00AE2FC7">
      <w:pPr>
        <w:pStyle w:val="Heading4notnumbered"/>
      </w:pPr>
      <w:r w:rsidRPr="006E45AF">
        <w:t>Revenue</w:t>
      </w:r>
    </w:p>
    <w:p w:rsidR="00AE2FC7" w:rsidRPr="006E45AF" w:rsidRDefault="00AE2FC7" w:rsidP="00AE2FC7">
      <w:r w:rsidRPr="006E45AF">
        <w:t>The AER’s 201</w:t>
      </w:r>
      <w:r w:rsidR="00561823">
        <w:t>0</w:t>
      </w:r>
      <w:r w:rsidRPr="006E45AF">
        <w:t xml:space="preserve"> distribution determination applied a weighted average price cap (WAPC) form of control to Powercor's distribution services over the 2011</w:t>
      </w:r>
      <w:r w:rsidR="007A3240">
        <w:t>–</w:t>
      </w:r>
      <w:r w:rsidRPr="006E45AF">
        <w:t xml:space="preserve">15 regulatory control period. A WAPC imposes controls over the </w:t>
      </w:r>
      <w:r w:rsidR="00A75C74">
        <w:t xml:space="preserve">prices </w:t>
      </w:r>
      <w:r w:rsidR="00A75C74" w:rsidRPr="0015769E">
        <w:t>a DNSP may charge for its services</w:t>
      </w:r>
      <w:r w:rsidRPr="006E45AF">
        <w:t>.</w:t>
      </w:r>
    </w:p>
    <w:p w:rsidR="00AE2FC7" w:rsidRPr="006E45AF" w:rsidRDefault="00AE2FC7" w:rsidP="00AE2FC7">
      <w:r w:rsidRPr="006E45AF">
        <w:t>Powercor's total revenue earned for standard control services over the first three years of the 2011</w:t>
      </w:r>
      <w:r w:rsidR="007A3240">
        <w:t>–</w:t>
      </w:r>
      <w:r w:rsidRPr="006E45AF">
        <w:t xml:space="preserve">15 regulatory control period was within 1 per cent of </w:t>
      </w:r>
      <w:r w:rsidR="00DD4FC1">
        <w:t>our approved</w:t>
      </w:r>
      <w:r w:rsidRPr="006E45AF">
        <w:t xml:space="preserve"> forecast (</w:t>
      </w:r>
      <w:r>
        <w:t>Figure 9</w:t>
      </w:r>
      <w:r w:rsidRPr="006E45AF">
        <w:t>–1</w:t>
      </w:r>
      <w:r w:rsidR="007A2C08">
        <w:t>17</w:t>
      </w:r>
      <w:r w:rsidRPr="006E45AF">
        <w:t xml:space="preserve">). </w:t>
      </w:r>
    </w:p>
    <w:p w:rsidR="00AE2FC7" w:rsidRDefault="00AE2FC7" w:rsidP="00972E3F">
      <w:pPr>
        <w:pStyle w:val="Caption"/>
      </w:pPr>
      <w:r>
        <w:t>Figure 9</w:t>
      </w:r>
      <w:r w:rsidRPr="006E45AF">
        <w:t>–1</w:t>
      </w:r>
      <w:r w:rsidR="007A2C08">
        <w:t>17</w:t>
      </w:r>
      <w:r w:rsidRPr="006E45AF">
        <w:tab/>
        <w:t xml:space="preserve">Revenue </w:t>
      </w:r>
      <w:r w:rsidR="007A3240">
        <w:t>–</w:t>
      </w:r>
      <w:r w:rsidRPr="006E45AF">
        <w:t xml:space="preserve"> Powercor</w:t>
      </w:r>
    </w:p>
    <w:p w:rsidR="00AE2FC7" w:rsidRDefault="007A2C08" w:rsidP="00AE2FC7">
      <w:r w:rsidRPr="007A2C08">
        <w:rPr>
          <w:noProof/>
          <w:lang w:eastAsia="en-AU"/>
        </w:rPr>
        <w:drawing>
          <wp:inline distT="0" distB="0" distL="0" distR="0" wp14:anchorId="3EDBC8D6" wp14:editId="10B47D68">
            <wp:extent cx="4572000" cy="2743200"/>
            <wp:effectExtent l="0" t="0" r="0"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AE2FC7" w:rsidRPr="006E45AF" w:rsidRDefault="00AE2FC7" w:rsidP="00AE2FC7">
      <w:r w:rsidRPr="006E45AF">
        <w:t xml:space="preserve">Chapter 7 provides further information on the WAPC control mechanism </w:t>
      </w:r>
      <w:r w:rsidR="00AB11E6">
        <w:t xml:space="preserve">as well as our comparative </w:t>
      </w:r>
      <w:r w:rsidRPr="006E45AF">
        <w:t xml:space="preserve">assessment of revenue for all DNSPs in the NEM. </w:t>
      </w:r>
    </w:p>
    <w:p w:rsidR="00AE2FC7" w:rsidRDefault="00AE2FC7" w:rsidP="00633936">
      <w:pPr>
        <w:pStyle w:val="Heading3"/>
      </w:pPr>
      <w:bookmarkStart w:id="580" w:name="_Toc409771732"/>
      <w:bookmarkStart w:id="581" w:name="_Toc412790681"/>
      <w:bookmarkStart w:id="582" w:name="_Toc413062162"/>
      <w:bookmarkStart w:id="583" w:name="_Toc413311155"/>
      <w:bookmarkStart w:id="584" w:name="_Toc423086571"/>
      <w:r>
        <w:t>Financial performance</w:t>
      </w:r>
      <w:bookmarkEnd w:id="580"/>
      <w:bookmarkEnd w:id="581"/>
      <w:bookmarkEnd w:id="582"/>
      <w:bookmarkEnd w:id="583"/>
      <w:bookmarkEnd w:id="584"/>
    </w:p>
    <w:p w:rsidR="00AE2FC7" w:rsidRPr="006E45AF" w:rsidRDefault="00AE2FC7" w:rsidP="00AE2FC7">
      <w:r w:rsidRPr="006E45AF">
        <w:t>Powercor's average EBIT for standard control services was approximately 42 per cent of its total revenue earned for standard control services over 2011</w:t>
      </w:r>
      <w:r w:rsidR="00AB11E6">
        <w:t>–</w:t>
      </w:r>
      <w:r w:rsidRPr="006E45AF">
        <w:t xml:space="preserve">13. </w:t>
      </w:r>
      <w:r w:rsidR="00AB11E6" w:rsidRPr="00CB73C1">
        <w:t xml:space="preserve">The EBIT in </w:t>
      </w:r>
      <w:r w:rsidR="00AB11E6">
        <w:t>Figure 9</w:t>
      </w:r>
      <w:r w:rsidR="00AB11E6" w:rsidRPr="00CB73C1">
        <w:t>–</w:t>
      </w:r>
      <w:r w:rsidR="00AB11E6">
        <w:t>118</w:t>
      </w:r>
      <w:r w:rsidR="00AB11E6" w:rsidRPr="00CB73C1">
        <w:t xml:space="preserve"> includes depreciation and amortisation</w:t>
      </w:r>
      <w:r w:rsidR="00AB11E6">
        <w:t xml:space="preserve"> and should not be used as a definitive measure of core profitability</w:t>
      </w:r>
      <w:r w:rsidR="00AB11E6" w:rsidRPr="00CB73C1">
        <w:t>.</w:t>
      </w:r>
    </w:p>
    <w:p w:rsidR="00BE5060" w:rsidRPr="006E45AF" w:rsidRDefault="00BE5060" w:rsidP="00BE5060">
      <w:r w:rsidRPr="006E45AF">
        <w:t xml:space="preserve">Powercor noted it only reports negligible financing charges (used in the calculation of EBIT in </w:t>
      </w:r>
      <w:r>
        <w:t>Figure 9</w:t>
      </w:r>
      <w:r w:rsidRPr="006E45AF">
        <w:t>–1</w:t>
      </w:r>
      <w:r>
        <w:t>18</w:t>
      </w:r>
      <w:r w:rsidRPr="006E45AF">
        <w:t xml:space="preserve">). This is because Powercor I Pty Ltd is the financing entity for Powercor, but it is not part of the licensed distribution business on which the AER's </w:t>
      </w:r>
      <w:r w:rsidR="00BC155F">
        <w:t>A</w:t>
      </w:r>
      <w:r w:rsidRPr="006E45AF">
        <w:t xml:space="preserve">nnual </w:t>
      </w:r>
      <w:r w:rsidR="00BC155F">
        <w:t xml:space="preserve">Reporting </w:t>
      </w:r>
      <w:r w:rsidRPr="006E45AF">
        <w:t>RIN is issued.</w:t>
      </w:r>
    </w:p>
    <w:p w:rsidR="00BE5060" w:rsidRPr="006E45AF" w:rsidRDefault="00BE5060" w:rsidP="00BE5060">
      <w:r w:rsidRPr="006E45AF">
        <w:t xml:space="preserve">Powercor also indicated it allocates 'other revenue' to standard control services in its RINs, but this revenue is not revenue from distribution customers. ‘Other revenue’ comprises largely intercompany interest revenue relating to an intercompany loan. </w:t>
      </w:r>
    </w:p>
    <w:p w:rsidR="00AE2FC7" w:rsidRDefault="00AE2FC7" w:rsidP="00972E3F">
      <w:pPr>
        <w:pStyle w:val="Caption"/>
      </w:pPr>
      <w:r>
        <w:t>Figure 9</w:t>
      </w:r>
      <w:r w:rsidRPr="006E45AF">
        <w:t>–1</w:t>
      </w:r>
      <w:r w:rsidR="007A2C08">
        <w:t>18</w:t>
      </w:r>
      <w:r w:rsidRPr="006E45AF">
        <w:tab/>
        <w:t>E</w:t>
      </w:r>
      <w:r w:rsidR="007A2C08">
        <w:t>arnings before interest and tax</w:t>
      </w:r>
      <w:r w:rsidRPr="006E45AF">
        <w:t xml:space="preserve"> </w:t>
      </w:r>
      <w:r w:rsidR="007A3240">
        <w:t>–</w:t>
      </w:r>
      <w:r w:rsidRPr="006E45AF">
        <w:t xml:space="preserve"> Powercor</w:t>
      </w:r>
    </w:p>
    <w:p w:rsidR="007A2C08" w:rsidRDefault="007A2C08" w:rsidP="00AE2FC7">
      <w:r w:rsidRPr="007A2C08">
        <w:rPr>
          <w:noProof/>
          <w:lang w:eastAsia="en-AU"/>
        </w:rPr>
        <w:drawing>
          <wp:inline distT="0" distB="0" distL="0" distR="0" wp14:anchorId="773BB314" wp14:editId="4851FE3A">
            <wp:extent cx="4572000" cy="2743200"/>
            <wp:effectExtent l="0" t="0" r="0" b="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AE2FC7" w:rsidRPr="006E45AF" w:rsidRDefault="002767AE" w:rsidP="00AE2FC7">
      <w:r>
        <w:t xml:space="preserve">We </w:t>
      </w:r>
      <w:r w:rsidR="00AE2FC7" w:rsidRPr="006E45AF">
        <w:t>considered Powercor's request and excluded</w:t>
      </w:r>
      <w:r w:rsidR="00BC155F">
        <w:t xml:space="preserve"> ‘</w:t>
      </w:r>
      <w:r w:rsidR="00AE2FC7" w:rsidRPr="006E45AF">
        <w:t>other revenue</w:t>
      </w:r>
      <w:r w:rsidR="00BC155F">
        <w:t>’</w:t>
      </w:r>
      <w:r w:rsidR="00AE2FC7" w:rsidRPr="006E45AF">
        <w:t xml:space="preserve"> in the calculation of EBIT.</w:t>
      </w:r>
    </w:p>
    <w:p w:rsidR="00AE2FC7" w:rsidRPr="00D741EC" w:rsidRDefault="00AE2FC7" w:rsidP="00633936">
      <w:pPr>
        <w:pStyle w:val="Heading3"/>
      </w:pPr>
      <w:bookmarkStart w:id="585" w:name="_Toc409771733"/>
      <w:bookmarkStart w:id="586" w:name="_Toc412790682"/>
      <w:bookmarkStart w:id="587" w:name="_Toc413062163"/>
      <w:bookmarkStart w:id="588" w:name="_Toc413311156"/>
      <w:bookmarkStart w:id="589" w:name="_Toc423086572"/>
      <w:r>
        <w:t>Service performance</w:t>
      </w:r>
      <w:bookmarkEnd w:id="585"/>
      <w:bookmarkEnd w:id="586"/>
      <w:bookmarkEnd w:id="587"/>
      <w:bookmarkEnd w:id="588"/>
      <w:bookmarkEnd w:id="589"/>
    </w:p>
    <w:p w:rsidR="00AE2FC7" w:rsidRPr="006E45AF" w:rsidRDefault="00AE2FC7" w:rsidP="00AE2FC7">
      <w:pPr>
        <w:pStyle w:val="Heading4notnumbered"/>
      </w:pPr>
      <w:r w:rsidRPr="006E45AF">
        <w:t>Total interruptions to supply</w:t>
      </w:r>
    </w:p>
    <w:p w:rsidR="00AE2FC7" w:rsidRDefault="00AE2FC7" w:rsidP="00AE2FC7">
      <w:r w:rsidRPr="006E45AF">
        <w:t>Total interruptions to supply reflect the total impact of both planned and unplanned interruptions (</w:t>
      </w:r>
      <w:r>
        <w:t>Figure 9</w:t>
      </w:r>
      <w:r w:rsidRPr="006E45AF">
        <w:t>–1</w:t>
      </w:r>
      <w:r w:rsidR="007A2C08">
        <w:t>19</w:t>
      </w:r>
      <w:r w:rsidRPr="006E45AF">
        <w:t xml:space="preserve">). This measure reflects </w:t>
      </w:r>
      <w:r w:rsidR="001368B1">
        <w:t>the actual experience of</w:t>
      </w:r>
      <w:r w:rsidR="001368B1" w:rsidRPr="00CB73C1">
        <w:t xml:space="preserve"> the average </w:t>
      </w:r>
      <w:r w:rsidRPr="006E45AF">
        <w:t xml:space="preserve">Powercor customer. Total interruptions to supply include the effect of any interruptions considered to be </w:t>
      </w:r>
      <w:r w:rsidR="00133534">
        <w:t xml:space="preserve">excluded </w:t>
      </w:r>
      <w:r w:rsidR="00460775">
        <w:t>events in the STPIS</w:t>
      </w:r>
      <w:r w:rsidRPr="006E45AF">
        <w:t xml:space="preserve">. </w:t>
      </w:r>
    </w:p>
    <w:p w:rsidR="00AE2FC7" w:rsidRDefault="00AE2FC7" w:rsidP="00972E3F">
      <w:pPr>
        <w:pStyle w:val="Caption"/>
      </w:pPr>
      <w:r>
        <w:t>Figure 9</w:t>
      </w:r>
      <w:r w:rsidRPr="006E45AF">
        <w:t>–1</w:t>
      </w:r>
      <w:r w:rsidR="007A2C08">
        <w:t>19</w:t>
      </w:r>
      <w:r w:rsidRPr="006E45AF">
        <w:tab/>
        <w:t xml:space="preserve">Total interruptions to supply </w:t>
      </w:r>
      <w:r w:rsidR="007A3240">
        <w:t>–</w:t>
      </w:r>
      <w:r w:rsidRPr="006E45AF">
        <w:t xml:space="preserve"> Powercor</w:t>
      </w:r>
    </w:p>
    <w:p w:rsidR="00466605" w:rsidRPr="00466605" w:rsidRDefault="00466605" w:rsidP="00466605">
      <w:r>
        <w:rPr>
          <w:noProof/>
          <w:lang w:eastAsia="en-AU"/>
        </w:rPr>
        <w:drawing>
          <wp:inline distT="0" distB="0" distL="0" distR="0" wp14:anchorId="0C92C992" wp14:editId="764B98FD">
            <wp:extent cx="2833200" cy="1699200"/>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Pr>
          <w:noProof/>
          <w:lang w:eastAsia="en-AU"/>
        </w:rPr>
        <w:drawing>
          <wp:inline distT="0" distB="0" distL="0" distR="0" wp14:anchorId="4D390F88" wp14:editId="2115A45B">
            <wp:extent cx="2833200" cy="1699200"/>
            <wp:effectExtent l="0" t="0" r="571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p>
    <w:p w:rsidR="007A2C08" w:rsidRDefault="007A2C08" w:rsidP="00466605">
      <w:r w:rsidRPr="007A2C08">
        <w:rPr>
          <w:noProof/>
          <w:lang w:eastAsia="en-AU"/>
        </w:rPr>
        <w:drawing>
          <wp:inline distT="0" distB="0" distL="0" distR="0" wp14:anchorId="564F09A1" wp14:editId="313145C6">
            <wp:extent cx="5731510" cy="1078937"/>
            <wp:effectExtent l="0" t="0" r="2540" b="698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31510" cy="1078937"/>
                    </a:xfrm>
                    <a:prstGeom prst="rect">
                      <a:avLst/>
                    </a:prstGeom>
                    <a:noFill/>
                    <a:ln>
                      <a:noFill/>
                    </a:ln>
                  </pic:spPr>
                </pic:pic>
              </a:graphicData>
            </a:graphic>
          </wp:inline>
        </w:drawing>
      </w:r>
    </w:p>
    <w:p w:rsidR="00AE2FC7" w:rsidRPr="006E45AF" w:rsidRDefault="00AE2FC7" w:rsidP="00AE2FC7">
      <w:pPr>
        <w:pStyle w:val="Heading4notnumbered"/>
      </w:pPr>
      <w:r w:rsidRPr="006E45AF">
        <w:t>Service Target Performance Incentive Scheme</w:t>
      </w:r>
    </w:p>
    <w:p w:rsidR="00AE2FC7" w:rsidRPr="006E45AF" w:rsidRDefault="00DD4FC1" w:rsidP="00AE2FC7">
      <w:r>
        <w:t>In our 2010 distribution determination we</w:t>
      </w:r>
      <w:r w:rsidR="00AE2FC7" w:rsidRPr="006E45AF">
        <w:t xml:space="preserve"> determined the STPIS would apply to Powercor in the 2011</w:t>
      </w:r>
      <w:r w:rsidR="007A3240">
        <w:t>–</w:t>
      </w:r>
      <w:r w:rsidR="00AE2FC7" w:rsidRPr="006E45AF">
        <w:t xml:space="preserve">15 regulatory control period with an overall revenue at risk of ±5 per cent. </w:t>
      </w:r>
    </w:p>
    <w:p w:rsidR="00AE2FC7" w:rsidRPr="006E45AF" w:rsidRDefault="00AE2FC7" w:rsidP="00AE2FC7">
      <w:r w:rsidRPr="006E45AF">
        <w:t>The following section shows the effect of (normalised) unplanned interruptions to supply to customers on Powercor's network.</w:t>
      </w:r>
    </w:p>
    <w:p w:rsidR="00AE2FC7" w:rsidRPr="006E45AF" w:rsidRDefault="00AE2FC7" w:rsidP="00AE2FC7">
      <w:pPr>
        <w:pStyle w:val="Heading4notnumbered"/>
      </w:pPr>
      <w:r w:rsidRPr="006E45AF">
        <w:t>Network reliability (normalised)</w:t>
      </w:r>
    </w:p>
    <w:p w:rsidR="00AE2FC7" w:rsidRPr="006E45AF" w:rsidRDefault="00AE2FC7" w:rsidP="00AE2FC7">
      <w:r w:rsidRPr="006E45AF">
        <w:t>In 2012</w:t>
      </w:r>
      <w:r w:rsidR="007A3240">
        <w:t>–</w:t>
      </w:r>
      <w:r w:rsidRPr="006E45AF">
        <w:t>13 the average Powercor customer experienced:</w:t>
      </w:r>
    </w:p>
    <w:p w:rsidR="00AE2FC7" w:rsidRPr="006E45AF" w:rsidRDefault="00AE2FC7" w:rsidP="00BC155F">
      <w:pPr>
        <w:pStyle w:val="ListBullet"/>
      </w:pPr>
      <w:r w:rsidRPr="006E45AF">
        <w:t xml:space="preserve">8 per cent fewer unplanned (normalised) minutes off supply than over the previous five years </w:t>
      </w:r>
    </w:p>
    <w:p w:rsidR="00AE2FC7" w:rsidRPr="006E45AF" w:rsidRDefault="00AE2FC7" w:rsidP="00BC155F">
      <w:pPr>
        <w:pStyle w:val="ListBullet"/>
      </w:pPr>
      <w:r w:rsidRPr="006E45AF">
        <w:t>11 per cent fewer unplanned (normalised) interruptions to supply than over the previous five years (</w:t>
      </w:r>
      <w:r>
        <w:t>Figure 9</w:t>
      </w:r>
      <w:r w:rsidRPr="006E45AF">
        <w:t>–1</w:t>
      </w:r>
      <w:r w:rsidR="007A2C08">
        <w:t>20</w:t>
      </w:r>
      <w:r w:rsidRPr="006E45AF">
        <w:t>).</w:t>
      </w:r>
    </w:p>
    <w:p w:rsidR="00AE2FC7" w:rsidRDefault="00AE2FC7" w:rsidP="00AE2FC7">
      <w:r w:rsidRPr="006E45AF">
        <w:t xml:space="preserve">It should be noted the reliability information presented in </w:t>
      </w:r>
      <w:r>
        <w:t>Figure 9</w:t>
      </w:r>
      <w:r w:rsidRPr="006E45AF">
        <w:t>–1</w:t>
      </w:r>
      <w:r w:rsidR="007A2C08">
        <w:t>20</w:t>
      </w:r>
      <w:r w:rsidRPr="006E45AF">
        <w:t xml:space="preserve"> combines information from the previous jurisdictional scheme and the AER's STPIS.</w:t>
      </w:r>
      <w:r w:rsidR="00633936">
        <w:rPr>
          <w:rStyle w:val="FootnoteReference"/>
        </w:rPr>
        <w:footnoteReference w:id="26"/>
      </w:r>
      <w:r w:rsidRPr="006E45AF">
        <w:t xml:space="preserve"> These schemes differ in detail and therefore the information is not directly comparable. However, the reliability outcomes are presented to provide broad trend information regarding Powercor's service performance.</w:t>
      </w:r>
    </w:p>
    <w:p w:rsidR="00AE2FC7" w:rsidRDefault="00AE2FC7" w:rsidP="00972E3F">
      <w:pPr>
        <w:pStyle w:val="Caption"/>
      </w:pPr>
      <w:r>
        <w:t>Figure 9</w:t>
      </w:r>
      <w:r w:rsidRPr="006E45AF">
        <w:t>–1</w:t>
      </w:r>
      <w:r w:rsidR="007A2C08">
        <w:t>20</w:t>
      </w:r>
      <w:r w:rsidRPr="006E45AF">
        <w:tab/>
        <w:t xml:space="preserve">Unplanned interruptions to supply (normalised) </w:t>
      </w:r>
      <w:r w:rsidR="007A3240">
        <w:t>–</w:t>
      </w:r>
      <w:r w:rsidRPr="006E45AF">
        <w:t xml:space="preserve"> Powercor</w:t>
      </w:r>
    </w:p>
    <w:p w:rsidR="007F1E36" w:rsidRPr="007F1E36" w:rsidRDefault="007F1E36" w:rsidP="007F1E36">
      <w:r>
        <w:rPr>
          <w:noProof/>
          <w:lang w:eastAsia="en-AU"/>
        </w:rPr>
        <w:drawing>
          <wp:inline distT="0" distB="0" distL="0" distR="0" wp14:anchorId="4A4E8011" wp14:editId="4093DC6D">
            <wp:extent cx="2833200" cy="1699200"/>
            <wp:effectExtent l="0" t="0" r="571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Pr>
          <w:noProof/>
          <w:lang w:eastAsia="en-AU"/>
        </w:rPr>
        <w:drawing>
          <wp:inline distT="0" distB="0" distL="0" distR="0" wp14:anchorId="037C09AF" wp14:editId="488C2802">
            <wp:extent cx="2833200" cy="1699200"/>
            <wp:effectExtent l="0" t="0" r="571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p>
    <w:p w:rsidR="007F1E36" w:rsidRDefault="007A2C08" w:rsidP="007F1E36">
      <w:r w:rsidRPr="007A2C08">
        <w:rPr>
          <w:noProof/>
          <w:lang w:eastAsia="en-AU"/>
        </w:rPr>
        <w:drawing>
          <wp:inline distT="0" distB="0" distL="0" distR="0" wp14:anchorId="483197F0" wp14:editId="319EA236">
            <wp:extent cx="5731510" cy="970376"/>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31510" cy="970376"/>
                    </a:xfrm>
                    <a:prstGeom prst="rect">
                      <a:avLst/>
                    </a:prstGeom>
                    <a:noFill/>
                    <a:ln>
                      <a:noFill/>
                    </a:ln>
                  </pic:spPr>
                </pic:pic>
              </a:graphicData>
            </a:graphic>
          </wp:inline>
        </w:drawing>
      </w:r>
    </w:p>
    <w:p w:rsidR="00AE2FC7" w:rsidRPr="006E45AF" w:rsidRDefault="00AE2FC7" w:rsidP="00AE2FC7">
      <w:pPr>
        <w:pStyle w:val="Heading4notnumbered"/>
      </w:pPr>
      <w:r w:rsidRPr="006E45AF">
        <w:t>S</w:t>
      </w:r>
      <w:r w:rsidR="007A3240">
        <w:t>–</w:t>
      </w:r>
      <w:r w:rsidRPr="006E45AF">
        <w:t>factor</w:t>
      </w:r>
    </w:p>
    <w:p w:rsidR="00AE2FC7" w:rsidRPr="006E45AF" w:rsidRDefault="00AE2FC7" w:rsidP="00AE2FC7">
      <w:r w:rsidRPr="006E45AF">
        <w:t>Note there is a two year lag between the regulatory year in which service performance outcomes are assessed and the regulatory year in which the s</w:t>
      </w:r>
      <w:r w:rsidR="007A3240">
        <w:t>–</w:t>
      </w:r>
      <w:r w:rsidRPr="006E45AF">
        <w:t xml:space="preserve">factor outcome is applied to the DNSP's allowed revenue. </w:t>
      </w:r>
    </w:p>
    <w:p w:rsidR="00AE2FC7" w:rsidRPr="006E45AF" w:rsidRDefault="00AE2FC7" w:rsidP="00AE2FC7">
      <w:r>
        <w:t>Table 9</w:t>
      </w:r>
      <w:r w:rsidRPr="006E45AF">
        <w:t>–8 compares Powercor's service performance against its STPIS targets over the first three years of the 2011</w:t>
      </w:r>
      <w:r w:rsidR="007A3240">
        <w:t>–</w:t>
      </w:r>
      <w:r w:rsidRPr="006E45AF">
        <w:t xml:space="preserve">15 regulatory control period. Powercor has generally outperformed its service performance targets in each year the STPIS was applied. </w:t>
      </w:r>
    </w:p>
    <w:p w:rsidR="00AE2FC7" w:rsidRPr="006E45AF" w:rsidRDefault="00AE2FC7" w:rsidP="00AE2FC7">
      <w:r w:rsidRPr="006E45AF">
        <w:t>It is important to note STPIS targets are applied to normalised network reliability. In each of the first three years of the 2011</w:t>
      </w:r>
      <w:r w:rsidR="007A3240">
        <w:t>–</w:t>
      </w:r>
      <w:r w:rsidRPr="006E45AF">
        <w:t xml:space="preserve">15 regulatory control period Powercor experienced between zero and three days where its daily unplanned SAIDI exceeded the major event day boundary. For any day in which unplanned SAIDI exceeds the major event day boundary the impact of that day's SAIDI, SAIFI, MAIFI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to be outside the DNSP's control.</w:t>
      </w:r>
    </w:p>
    <w:p w:rsidR="00AE2FC7" w:rsidRPr="006E45AF" w:rsidRDefault="00AE2FC7" w:rsidP="00AE2FC7">
      <w:r w:rsidRPr="006E45AF">
        <w:t>The s</w:t>
      </w:r>
      <w:r w:rsidR="007A3240">
        <w:t>–</w:t>
      </w:r>
      <w:r w:rsidRPr="006E45AF">
        <w:t>factor is incorporated into Powercor's control mechanism as a multiplier in its WAPC. Allowed revenue is incremented when service performance is better than performance targets and decremented when service performance is worse than performance targets. The way in which the s</w:t>
      </w:r>
      <w:r w:rsidR="007A3240">
        <w:t>–</w:t>
      </w:r>
      <w:r w:rsidRPr="006E45AF">
        <w:t>factor is incorporated into Powercor's control mechanism is set out in the 2011</w:t>
      </w:r>
      <w:r w:rsidR="007A3240">
        <w:t>–</w:t>
      </w:r>
      <w:r w:rsidRPr="006E45AF">
        <w:t>15 distribution determination.</w:t>
      </w:r>
    </w:p>
    <w:p w:rsidR="00AE2FC7" w:rsidRDefault="00AE2FC7" w:rsidP="00AE2FC7">
      <w:r w:rsidRPr="006E45AF">
        <w:t>Note there is a two year lag between the regulatory year in which service performance outcomes are assessed and the regulatory year in which the s</w:t>
      </w:r>
      <w:r w:rsidR="007A3240">
        <w:t>–</w:t>
      </w:r>
      <w:r w:rsidRPr="006E45AF">
        <w:t xml:space="preserve">factor outcome is applied to the DNSP's allowed revenue. </w:t>
      </w:r>
    </w:p>
    <w:p w:rsidR="00AE2FC7" w:rsidRDefault="00AE2FC7" w:rsidP="00972E3F">
      <w:pPr>
        <w:pStyle w:val="Caption"/>
      </w:pPr>
      <w:r>
        <w:t>Table 9</w:t>
      </w:r>
      <w:r w:rsidRPr="006E45AF">
        <w:t>–8</w:t>
      </w:r>
      <w:r w:rsidRPr="006E45AF">
        <w:tab/>
        <w:t>S</w:t>
      </w:r>
      <w:r w:rsidR="007A3240">
        <w:t>–</w:t>
      </w:r>
      <w:r w:rsidRPr="006E45AF">
        <w:t xml:space="preserve">factor </w:t>
      </w:r>
      <w:r w:rsidR="007A3240">
        <w:t>–</w:t>
      </w:r>
      <w:r w:rsidRPr="006E45AF">
        <w:t xml:space="preserve"> Powercor</w:t>
      </w:r>
    </w:p>
    <w:p w:rsidR="007F1E36" w:rsidRPr="007F1E36" w:rsidRDefault="007F1E36" w:rsidP="007F1E36">
      <w:r w:rsidRPr="007F1E36">
        <w:rPr>
          <w:noProof/>
          <w:lang w:eastAsia="en-AU"/>
        </w:rPr>
        <w:drawing>
          <wp:inline distT="0" distB="0" distL="0" distR="0" wp14:anchorId="6AC962AE" wp14:editId="4ADBAADE">
            <wp:extent cx="5731510" cy="3452990"/>
            <wp:effectExtent l="0" t="0" r="254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731510" cy="3452990"/>
                    </a:xfrm>
                    <a:prstGeom prst="rect">
                      <a:avLst/>
                    </a:prstGeom>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Pr="00AE2FC7" w:rsidRDefault="00AE2FC7" w:rsidP="00AE2FC7"/>
    <w:p w:rsidR="00AE2FC7" w:rsidRPr="00AE2FC7" w:rsidRDefault="00AE2FC7" w:rsidP="00AE2FC7">
      <w:r>
        <w:br w:type="page"/>
      </w:r>
    </w:p>
    <w:bookmarkStart w:id="590" w:name="_Toc409771734"/>
    <w:bookmarkStart w:id="591" w:name="_Toc423086574"/>
    <w:p w:rsidR="00AE2FC7" w:rsidRDefault="005A6C5F" w:rsidP="00592413">
      <w:pPr>
        <w:pStyle w:val="Heading2"/>
      </w:pPr>
      <w:r w:rsidRPr="00513EA8">
        <w:rPr>
          <w:noProof/>
          <w:lang w:eastAsia="en-AU"/>
        </w:rPr>
        <mc:AlternateContent>
          <mc:Choice Requires="wps">
            <w:drawing>
              <wp:anchor distT="0" distB="0" distL="114300" distR="114300" simplePos="0" relativeHeight="251685888" behindDoc="1" locked="0" layoutInCell="1" allowOverlap="1" wp14:anchorId="6836D1A6" wp14:editId="1A15C6B1">
                <wp:simplePos x="0" y="0"/>
                <wp:positionH relativeFrom="column">
                  <wp:posOffset>-226060</wp:posOffset>
                </wp:positionH>
                <wp:positionV relativeFrom="paragraph">
                  <wp:posOffset>360680</wp:posOffset>
                </wp:positionV>
                <wp:extent cx="6040755" cy="8376285"/>
                <wp:effectExtent l="19050" t="19050" r="17145" b="24765"/>
                <wp:wrapTight wrapText="bothSides">
                  <wp:wrapPolygon edited="0">
                    <wp:start x="-68" y="-49"/>
                    <wp:lineTo x="-68" y="21615"/>
                    <wp:lineTo x="21593" y="21615"/>
                    <wp:lineTo x="21593" y="-49"/>
                    <wp:lineTo x="-68" y="-49"/>
                  </wp:wrapPolygon>
                </wp:wrapTight>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8376285"/>
                        </a:xfrm>
                        <a:prstGeom prst="rect">
                          <a:avLst/>
                        </a:prstGeom>
                        <a:noFill/>
                        <a:ln w="44450">
                          <a:solidFill>
                            <a:srgbClr val="238B45"/>
                          </a:solidFill>
                          <a:miter lim="800000"/>
                          <a:headEnd/>
                          <a:tailEnd/>
                        </a:ln>
                      </wps:spPr>
                      <wps:txbx>
                        <w:txbxContent>
                          <w:p w:rsidR="00AD3D0C" w:rsidRDefault="00AD3D0C" w:rsidP="00513EA8">
                            <w:pPr>
                              <w:pStyle w:val="Heading3notnumbered"/>
                            </w:pPr>
                            <w:bookmarkStart w:id="592" w:name="_Toc413311157"/>
                            <w:bookmarkStart w:id="593" w:name="_Toc423086573"/>
                            <w:r>
                              <w:t>Network characteristics</w:t>
                            </w:r>
                            <w:bookmarkEnd w:id="592"/>
                            <w:bookmarkEnd w:id="593"/>
                          </w:p>
                          <w:p w:rsidR="00AD3D0C" w:rsidRPr="00C312BC" w:rsidRDefault="00AD3D0C" w:rsidP="00513EA8">
                            <w:r w:rsidRPr="00E96856">
                              <w:rPr>
                                <w:rStyle w:val="Strong"/>
                              </w:rPr>
                              <w:t>Ownership:</w:t>
                            </w:r>
                            <w:r>
                              <w:t xml:space="preserve">  </w:t>
                            </w:r>
                            <w:r w:rsidRPr="005A6C5F">
                              <w:t>DUET Group (66 per cent); Singapore Power International (34 per cent)</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Default="00AD3D0C" w:rsidP="00513EA8">
                            <w:pPr>
                              <w:pStyle w:val="TableofFigures"/>
                            </w:pPr>
                            <w:r>
                              <w:t xml:space="preserve">  Total distribution customers:</w:t>
                            </w:r>
                            <w:r w:rsidRPr="00C312BC">
                              <w:t xml:space="preserve"> </w:t>
                            </w:r>
                            <w:r w:rsidRPr="00C312BC">
                              <w:tab/>
                            </w:r>
                            <w:r>
                              <w:tab/>
                            </w:r>
                            <w:r>
                              <w:tab/>
                              <w:t>647,271</w:t>
                            </w:r>
                          </w:p>
                          <w:p w:rsidR="00AD3D0C" w:rsidRPr="00C312BC" w:rsidRDefault="00AD3D0C" w:rsidP="00513EA8">
                            <w:pPr>
                              <w:pStyle w:val="TableofFigures"/>
                            </w:pPr>
                            <w:r w:rsidRPr="00E96856">
                              <w:t xml:space="preserve"> </w:t>
                            </w:r>
                            <w:r w:rsidRPr="005A6C5F">
                              <w:rPr>
                                <w:noProof/>
                                <w:lang w:eastAsia="en-AU"/>
                              </w:rPr>
                              <w:drawing>
                                <wp:inline distT="0" distB="0" distL="0" distR="0" wp14:anchorId="414A911C" wp14:editId="64ADAB99">
                                  <wp:extent cx="4572000" cy="957264"/>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AD3D0C" w:rsidRDefault="00AD3D0C" w:rsidP="005A6C5F">
                            <w:pPr>
                              <w:pStyle w:val="TableofFigures"/>
                            </w:pPr>
                            <w:r>
                              <w:t xml:space="preserve">  </w:t>
                            </w:r>
                            <w:r w:rsidRPr="0075338F">
                              <w:t xml:space="preserve">Total line </w:t>
                            </w:r>
                            <w:r>
                              <w:t xml:space="preserve">(circuit) </w:t>
                            </w:r>
                            <w:r w:rsidRPr="0075338F">
                              <w:t>length:</w:t>
                            </w:r>
                            <w:r>
                              <w:t xml:space="preserve"> </w:t>
                            </w:r>
                            <w:r>
                              <w:tab/>
                            </w:r>
                            <w:r>
                              <w:tab/>
                            </w:r>
                            <w:r>
                              <w:tab/>
                            </w:r>
                            <w:r>
                              <w:tab/>
                              <w:t>12,835 km</w:t>
                            </w:r>
                            <w:r w:rsidRPr="005A6C5F">
                              <w:rPr>
                                <w:noProof/>
                                <w:lang w:eastAsia="en-AU"/>
                              </w:rPr>
                              <w:drawing>
                                <wp:inline distT="0" distB="0" distL="0" distR="0" wp14:anchorId="759CF0E8" wp14:editId="20D2FCCE">
                                  <wp:extent cx="4572000" cy="947737"/>
                                  <wp:effectExtent l="0" t="0" r="0" b="50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50.4</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23,999 </w:t>
                            </w:r>
                            <w:proofErr w:type="spellStart"/>
                            <w:r>
                              <w:t>GWh</w:t>
                            </w:r>
                            <w:proofErr w:type="spellEnd"/>
                            <w:r>
                              <w:t>, 1</w:t>
                            </w:r>
                            <w:r w:rsidRPr="00474352">
                              <w:t xml:space="preserve"> per cent </w:t>
                            </w:r>
                            <w:r w:rsidRPr="00AE2FC7">
                              <w:t>▲</w:t>
                            </w:r>
                            <w:r w:rsidRPr="00474352">
                              <w:t xml:space="preserve">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$542 m, 6</w:t>
                            </w:r>
                            <w:r w:rsidRPr="00474352">
                              <w:t xml:space="preserve"> per cent </w:t>
                            </w:r>
                            <w:r w:rsidRPr="00AE2FC7">
                              <w:t>▲</w:t>
                            </w:r>
                            <w:r w:rsidRPr="00474352">
                              <w:t xml:space="preserve"> than forecast</w:t>
                            </w:r>
                          </w:p>
                          <w:p w:rsidR="00AD3D0C" w:rsidRPr="00474352" w:rsidRDefault="00AD3D0C" w:rsidP="00513EA8">
                            <w:r w:rsidRPr="00474352">
                              <w:t xml:space="preserve">  Regulatory Asset Base: </w:t>
                            </w:r>
                            <w:r w:rsidRPr="00474352">
                              <w:tab/>
                            </w:r>
                            <w:r w:rsidRPr="00474352">
                              <w:tab/>
                            </w:r>
                            <w:r>
                              <w:tab/>
                            </w:r>
                            <w:r w:rsidRPr="00474352">
                              <w:tab/>
                            </w:r>
                            <w:r>
                              <w:t>20</w:t>
                            </w:r>
                            <w:r w:rsidRPr="00474352">
                              <w:t xml:space="preserve"> per cent </w:t>
                            </w:r>
                            <w:r w:rsidRPr="00AE2FC7">
                              <w:t>▲</w:t>
                            </w:r>
                            <w:r w:rsidRPr="00474352">
                              <w:t xml:space="preserve"> (from $</w:t>
                            </w:r>
                            <w:r>
                              <w:t>1.5bn</w:t>
                            </w:r>
                            <w:r w:rsidRPr="00474352">
                              <w:t xml:space="preserve"> to $</w:t>
                            </w:r>
                            <w:r>
                              <w:t>1.8</w:t>
                            </w:r>
                            <w:r w:rsidRPr="00474352">
                              <w:t>bn)</w:t>
                            </w:r>
                          </w:p>
                          <w:p w:rsidR="00AD3D0C" w:rsidRPr="00474352" w:rsidRDefault="00AD3D0C" w:rsidP="00513EA8">
                            <w:r w:rsidRPr="00474352">
                              <w:t xml:space="preserve">  Operating expenditure: </w:t>
                            </w:r>
                            <w:r w:rsidRPr="00474352">
                              <w:tab/>
                            </w:r>
                            <w:r w:rsidRPr="00474352">
                              <w:tab/>
                            </w:r>
                            <w:r w:rsidRPr="00474352">
                              <w:tab/>
                            </w:r>
                            <w:r>
                              <w:tab/>
                              <w:t>$369 m, 8</w:t>
                            </w:r>
                            <w:r w:rsidRPr="00474352">
                              <w:t xml:space="preserve"> per cent </w:t>
                            </w:r>
                            <w:r w:rsidRPr="00AE2FC7">
                              <w:t>▲</w:t>
                            </w:r>
                            <w:r w:rsidRPr="00474352">
                              <w:t xml:space="preserve">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$942 m, 1</w:t>
                            </w:r>
                            <w:r w:rsidRPr="00474352">
                              <w:t xml:space="preserve"> per cent ▼ than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73.6</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77.4</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1.01</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1.09</w:t>
                            </w:r>
                            <w:r w:rsidRPr="00E96856">
                              <w:t xml:space="preserve">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8pt;margin-top:28.4pt;width:475.65pt;height:659.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" filled="f" strokecolor="#238b45" strokeweight="3.5pt">
                <v:textbox>
                  <w:txbxContent>
                    <w:p w:rsidR="00AD3D0C" w:rsidRDefault="00AD3D0C" w:rsidP="00513EA8">
                      <w:pPr>
                        <w:pStyle w:val="Heading3notnumbered"/>
                      </w:pPr>
                      <w:bookmarkStart w:id="622" w:name="_Toc413311157"/>
                      <w:bookmarkStart w:id="623" w:name="_Toc423086573"/>
                      <w:r>
                        <w:t>Network characteristics</w:t>
                      </w:r>
                      <w:bookmarkEnd w:id="622"/>
                      <w:bookmarkEnd w:id="623"/>
                    </w:p>
                    <w:p w:rsidR="00AD3D0C" w:rsidRPr="00C312BC" w:rsidRDefault="00AD3D0C" w:rsidP="00513EA8">
                      <w:r w:rsidRPr="00E96856">
                        <w:rPr>
                          <w:rStyle w:val="Strong"/>
                        </w:rPr>
                        <w:t>Ownership:</w:t>
                      </w:r>
                      <w:r>
                        <w:t xml:space="preserve">  </w:t>
                      </w:r>
                      <w:r w:rsidRPr="005A6C5F">
                        <w:t>DUET Group (66 per cent); Singapore Power International (34 per cent)</w:t>
                      </w:r>
                    </w:p>
                    <w:p w:rsidR="00AD3D0C" w:rsidRPr="00C312BC" w:rsidRDefault="00AD3D0C" w:rsidP="00513EA8">
                      <w:r w:rsidRPr="00E96856">
                        <w:rPr>
                          <w:rStyle w:val="Strong"/>
                        </w:rPr>
                        <w:t>Relevant regulatory control period</w:t>
                      </w:r>
                      <w:r w:rsidRPr="00C312BC">
                        <w:t>:</w:t>
                      </w:r>
                      <w:r w:rsidRPr="00E96856">
                        <w:t xml:space="preserve"> </w:t>
                      </w:r>
                      <w:r w:rsidRPr="00513EA8">
                        <w:t>1 January 2011 – 30 December 2015</w:t>
                      </w:r>
                    </w:p>
                    <w:p w:rsidR="00AD3D0C" w:rsidRPr="00E96856" w:rsidRDefault="00AD3D0C" w:rsidP="00513EA8">
                      <w:pPr>
                        <w:rPr>
                          <w:rStyle w:val="Strong"/>
                        </w:rPr>
                      </w:pPr>
                      <w:r w:rsidRPr="00E96856">
                        <w:rPr>
                          <w:rStyle w:val="Strong"/>
                        </w:rPr>
                        <w:t>Network profile</w:t>
                      </w:r>
                      <w:r>
                        <w:rPr>
                          <w:rStyle w:val="Strong"/>
                        </w:rPr>
                        <w:t xml:space="preserve"> 2013</w:t>
                      </w:r>
                    </w:p>
                    <w:p w:rsidR="00AD3D0C" w:rsidRDefault="00AD3D0C" w:rsidP="00513EA8">
                      <w:pPr>
                        <w:pStyle w:val="TableofFigures"/>
                      </w:pPr>
                      <w:r>
                        <w:t xml:space="preserve">  Total distribution customers:</w:t>
                      </w:r>
                      <w:r w:rsidRPr="00C312BC">
                        <w:t xml:space="preserve"> </w:t>
                      </w:r>
                      <w:r w:rsidRPr="00C312BC">
                        <w:tab/>
                      </w:r>
                      <w:r>
                        <w:tab/>
                      </w:r>
                      <w:r>
                        <w:tab/>
                        <w:t>647,271</w:t>
                      </w:r>
                    </w:p>
                    <w:p w:rsidR="00AD3D0C" w:rsidRPr="00C312BC" w:rsidRDefault="00AD3D0C" w:rsidP="00513EA8">
                      <w:pPr>
                        <w:pStyle w:val="TableofFigures"/>
                      </w:pPr>
                      <w:r w:rsidRPr="00E96856">
                        <w:t xml:space="preserve"> </w:t>
                      </w:r>
                      <w:r w:rsidRPr="005A6C5F">
                        <w:rPr>
                          <w:noProof/>
                          <w:lang w:eastAsia="en-AU"/>
                        </w:rPr>
                        <w:drawing>
                          <wp:inline distT="0" distB="0" distL="0" distR="0" wp14:anchorId="414A911C" wp14:editId="64ADAB99">
                            <wp:extent cx="4572000" cy="957264"/>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AD3D0C" w:rsidRDefault="00AD3D0C" w:rsidP="005A6C5F">
                      <w:pPr>
                        <w:pStyle w:val="TableofFigures"/>
                      </w:pPr>
                      <w:r>
                        <w:t xml:space="preserve">  </w:t>
                      </w:r>
                      <w:r w:rsidRPr="0075338F">
                        <w:t xml:space="preserve">Total line </w:t>
                      </w:r>
                      <w:r>
                        <w:t xml:space="preserve">(circuit) </w:t>
                      </w:r>
                      <w:r w:rsidRPr="0075338F">
                        <w:t>length:</w:t>
                      </w:r>
                      <w:r>
                        <w:t xml:space="preserve"> </w:t>
                      </w:r>
                      <w:r>
                        <w:tab/>
                      </w:r>
                      <w:r>
                        <w:tab/>
                      </w:r>
                      <w:r>
                        <w:tab/>
                      </w:r>
                      <w:r>
                        <w:tab/>
                        <w:t>12,835 km</w:t>
                      </w:r>
                      <w:r w:rsidRPr="005A6C5F">
                        <w:rPr>
                          <w:noProof/>
                          <w:lang w:eastAsia="en-AU"/>
                        </w:rPr>
                        <w:drawing>
                          <wp:inline distT="0" distB="0" distL="0" distR="0" wp14:anchorId="759CF0E8" wp14:editId="20D2FCCE">
                            <wp:extent cx="4572000" cy="947737"/>
                            <wp:effectExtent l="0" t="0" r="0" b="50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AD3D0C" w:rsidRPr="00C312BC" w:rsidRDefault="00AD3D0C" w:rsidP="00513EA8">
                      <w:r>
                        <w:t xml:space="preserve">  </w:t>
                      </w:r>
                      <w:r w:rsidRPr="000D7CD6">
                        <w:t xml:space="preserve">Customer density: </w:t>
                      </w:r>
                      <w:r w:rsidRPr="00C312BC">
                        <w:tab/>
                      </w:r>
                      <w:r w:rsidRPr="00C312BC">
                        <w:tab/>
                      </w:r>
                      <w:r>
                        <w:tab/>
                      </w:r>
                      <w:r>
                        <w:tab/>
                      </w:r>
                      <w:r>
                        <w:tab/>
                      </w:r>
                      <w:r>
                        <w:tab/>
                        <w:t>50.4</w:t>
                      </w:r>
                      <w:r w:rsidRPr="00C312BC">
                        <w:t xml:space="preserve"> customers/</w:t>
                      </w:r>
                      <w:r>
                        <w:t>km line (circuit)</w:t>
                      </w:r>
                    </w:p>
                    <w:p w:rsidR="00AD3D0C" w:rsidRPr="00E96856" w:rsidRDefault="00AD3D0C" w:rsidP="00513EA8">
                      <w:pPr>
                        <w:rPr>
                          <w:rStyle w:val="Strong"/>
                        </w:rPr>
                      </w:pPr>
                      <w:r w:rsidRPr="00E96856">
                        <w:rPr>
                          <w:rStyle w:val="Strong"/>
                        </w:rPr>
                        <w:t xml:space="preserve">Network performance: </w:t>
                      </w:r>
                      <w:r>
                        <w:rPr>
                          <w:rStyle w:val="Strong"/>
                        </w:rPr>
                        <w:t>2011–20</w:t>
                      </w:r>
                      <w:r w:rsidRPr="00E96856">
                        <w:rPr>
                          <w:rStyle w:val="Strong"/>
                        </w:rPr>
                        <w:t>13</w:t>
                      </w:r>
                    </w:p>
                    <w:p w:rsidR="00AD3D0C" w:rsidRPr="00474352" w:rsidRDefault="00AD3D0C" w:rsidP="00513EA8">
                      <w:r w:rsidRPr="00474352">
                        <w:t xml:space="preserve">  Energy delivered:</w:t>
                      </w:r>
                      <w:r w:rsidRPr="00474352">
                        <w:tab/>
                      </w:r>
                      <w:r w:rsidRPr="00474352">
                        <w:tab/>
                      </w:r>
                      <w:r w:rsidRPr="00474352">
                        <w:tab/>
                      </w:r>
                      <w:r w:rsidRPr="00474352">
                        <w:tab/>
                      </w:r>
                      <w:r>
                        <w:tab/>
                      </w:r>
                      <w:r>
                        <w:tab/>
                        <w:t xml:space="preserve">23,999 </w:t>
                      </w:r>
                      <w:proofErr w:type="spellStart"/>
                      <w:r>
                        <w:t>GWh</w:t>
                      </w:r>
                      <w:proofErr w:type="spellEnd"/>
                      <w:r>
                        <w:t>, 1</w:t>
                      </w:r>
                      <w:r w:rsidRPr="00474352">
                        <w:t xml:space="preserve"> per cent </w:t>
                      </w:r>
                      <w:r w:rsidRPr="00AE2FC7">
                        <w:t>▲</w:t>
                      </w:r>
                      <w:r w:rsidRPr="00474352">
                        <w:t xml:space="preserve"> than forecast</w:t>
                      </w:r>
                    </w:p>
                    <w:p w:rsidR="00AD3D0C" w:rsidRPr="00474352" w:rsidRDefault="00AD3D0C" w:rsidP="00513EA8">
                      <w:r w:rsidRPr="00474352">
                        <w:t xml:space="preserve">  Capital expenditure: </w:t>
                      </w:r>
                      <w:r w:rsidRPr="00474352">
                        <w:tab/>
                      </w:r>
                      <w:r w:rsidRPr="00474352">
                        <w:tab/>
                      </w:r>
                      <w:r w:rsidRPr="00474352">
                        <w:tab/>
                      </w:r>
                      <w:r>
                        <w:tab/>
                      </w:r>
                      <w:r w:rsidRPr="00474352">
                        <w:tab/>
                      </w:r>
                      <w:r>
                        <w:t>$542 m, 6</w:t>
                      </w:r>
                      <w:r w:rsidRPr="00474352">
                        <w:t xml:space="preserve"> per cent </w:t>
                      </w:r>
                      <w:r w:rsidRPr="00AE2FC7">
                        <w:t>▲</w:t>
                      </w:r>
                      <w:r w:rsidRPr="00474352">
                        <w:t xml:space="preserve"> than forecast</w:t>
                      </w:r>
                    </w:p>
                    <w:p w:rsidR="00AD3D0C" w:rsidRPr="00474352" w:rsidRDefault="00AD3D0C" w:rsidP="00513EA8">
                      <w:r w:rsidRPr="00474352">
                        <w:t xml:space="preserve">  Regulatory Asset Base: </w:t>
                      </w:r>
                      <w:r w:rsidRPr="00474352">
                        <w:tab/>
                      </w:r>
                      <w:r w:rsidRPr="00474352">
                        <w:tab/>
                      </w:r>
                      <w:r>
                        <w:tab/>
                      </w:r>
                      <w:r w:rsidRPr="00474352">
                        <w:tab/>
                      </w:r>
                      <w:r>
                        <w:t>20</w:t>
                      </w:r>
                      <w:r w:rsidRPr="00474352">
                        <w:t xml:space="preserve"> per cent </w:t>
                      </w:r>
                      <w:r w:rsidRPr="00AE2FC7">
                        <w:t>▲</w:t>
                      </w:r>
                      <w:r w:rsidRPr="00474352">
                        <w:t xml:space="preserve"> (from $</w:t>
                      </w:r>
                      <w:r>
                        <w:t>1.5bn</w:t>
                      </w:r>
                      <w:r w:rsidRPr="00474352">
                        <w:t xml:space="preserve"> to $</w:t>
                      </w:r>
                      <w:r>
                        <w:t>1.8</w:t>
                      </w:r>
                      <w:r w:rsidRPr="00474352">
                        <w:t>bn)</w:t>
                      </w:r>
                    </w:p>
                    <w:p w:rsidR="00AD3D0C" w:rsidRPr="00474352" w:rsidRDefault="00AD3D0C" w:rsidP="00513EA8">
                      <w:r w:rsidRPr="00474352">
                        <w:t xml:space="preserve">  Operating expenditure: </w:t>
                      </w:r>
                      <w:r w:rsidRPr="00474352">
                        <w:tab/>
                      </w:r>
                      <w:r w:rsidRPr="00474352">
                        <w:tab/>
                      </w:r>
                      <w:r w:rsidRPr="00474352">
                        <w:tab/>
                      </w:r>
                      <w:r>
                        <w:tab/>
                        <w:t>$369 m, 8</w:t>
                      </w:r>
                      <w:r w:rsidRPr="00474352">
                        <w:t xml:space="preserve"> per cent </w:t>
                      </w:r>
                      <w:r w:rsidRPr="00AE2FC7">
                        <w:t>▲</w:t>
                      </w:r>
                      <w:r w:rsidRPr="00474352">
                        <w:t xml:space="preserve"> than forecast</w:t>
                      </w:r>
                    </w:p>
                    <w:p w:rsidR="00AD3D0C" w:rsidRPr="00474352" w:rsidRDefault="00AD3D0C" w:rsidP="00513EA8">
                      <w:r w:rsidRPr="00474352">
                        <w:t xml:space="preserve">  Revenue (</w:t>
                      </w:r>
                      <w:r>
                        <w:t>WAPC</w:t>
                      </w:r>
                      <w:r w:rsidRPr="00474352">
                        <w:t xml:space="preserve">): </w:t>
                      </w:r>
                      <w:r w:rsidRPr="00474352">
                        <w:tab/>
                      </w:r>
                      <w:r w:rsidRPr="00474352">
                        <w:tab/>
                      </w:r>
                      <w:r>
                        <w:tab/>
                      </w:r>
                      <w:r>
                        <w:tab/>
                      </w:r>
                      <w:r>
                        <w:tab/>
                      </w:r>
                      <w:r>
                        <w:tab/>
                        <w:t>$942 m, 1</w:t>
                      </w:r>
                      <w:r w:rsidRPr="00474352">
                        <w:t xml:space="preserve"> per cent ▼ than forecast</w:t>
                      </w:r>
                    </w:p>
                    <w:p w:rsidR="00AD3D0C" w:rsidRDefault="00AD3D0C" w:rsidP="00513EA8">
                      <w:pPr>
                        <w:rPr>
                          <w:rStyle w:val="Strong"/>
                        </w:rPr>
                      </w:pPr>
                      <w:r w:rsidRPr="00D503C8">
                        <w:rPr>
                          <w:rStyle w:val="Strong"/>
                        </w:rPr>
                        <w:t xml:space="preserve">Network reliability (normalised): </w:t>
                      </w:r>
                    </w:p>
                    <w:p w:rsidR="00AD3D0C" w:rsidRDefault="00AD3D0C" w:rsidP="00513EA8">
                      <w:r>
                        <w:t xml:space="preserve">  </w:t>
                      </w:r>
                      <w:r w:rsidRPr="00CB73C1">
                        <w:t>Unplanned minutes off supply</w:t>
                      </w:r>
                      <w:r w:rsidRPr="00E96856">
                        <w:t xml:space="preserve">: </w:t>
                      </w:r>
                      <w:r w:rsidRPr="00E96856">
                        <w:tab/>
                      </w:r>
                      <w:r>
                        <w:tab/>
                      </w:r>
                      <w:r w:rsidRPr="00E96856">
                        <w:t>2012</w:t>
                      </w:r>
                      <w:r>
                        <w:t>–</w:t>
                      </w:r>
                      <w:r w:rsidRPr="00E96856">
                        <w:t xml:space="preserve">13:  </w:t>
                      </w:r>
                      <w:r w:rsidRPr="00E96856">
                        <w:tab/>
                      </w:r>
                      <w:r w:rsidRPr="00E96856">
                        <w:tab/>
                      </w:r>
                      <w:r>
                        <w:tab/>
                      </w:r>
                      <w:r>
                        <w:tab/>
                        <w:t xml:space="preserve"> 73.6</w:t>
                      </w:r>
                      <w:r w:rsidRPr="00E96856">
                        <w:t xml:space="preserve"> minutes</w:t>
                      </w:r>
                    </w:p>
                    <w:p w:rsidR="00AD3D0C" w:rsidRDefault="00AD3D0C" w:rsidP="00513EA8">
                      <w:r>
                        <w:tab/>
                      </w:r>
                      <w:r>
                        <w:tab/>
                      </w:r>
                      <w:r>
                        <w:tab/>
                      </w:r>
                      <w:r w:rsidRPr="00E96856">
                        <w:tab/>
                      </w:r>
                      <w:r w:rsidRPr="00E96856">
                        <w:tab/>
                      </w:r>
                      <w:r>
                        <w:tab/>
                      </w:r>
                      <w:r>
                        <w:tab/>
                      </w:r>
                      <w:r>
                        <w:tab/>
                      </w:r>
                      <w:r>
                        <w:tab/>
                      </w:r>
                      <w:r>
                        <w:tab/>
                      </w:r>
                      <w:r>
                        <w:tab/>
                      </w:r>
                      <w:r w:rsidRPr="00E96856">
                        <w:t xml:space="preserve">Avg. prev. </w:t>
                      </w:r>
                      <w:r>
                        <w:t>five</w:t>
                      </w:r>
                      <w:r w:rsidRPr="00E96856">
                        <w:t xml:space="preserve"> years: </w:t>
                      </w:r>
                      <w:r w:rsidRPr="00E96856">
                        <w:tab/>
                      </w:r>
                      <w:r>
                        <w:t xml:space="preserve"> 77.4</w:t>
                      </w:r>
                      <w:r w:rsidRPr="00E96856">
                        <w:t xml:space="preserve"> minutes</w:t>
                      </w:r>
                    </w:p>
                    <w:p w:rsidR="00AD3D0C" w:rsidRDefault="00AD3D0C" w:rsidP="00513EA8">
                      <w:r>
                        <w:t xml:space="preserve">  </w:t>
                      </w:r>
                      <w:r w:rsidRPr="00CB73C1">
                        <w:t>Unplanned interruptions to supply</w:t>
                      </w:r>
                      <w:r w:rsidRPr="00E96856">
                        <w:t>:</w:t>
                      </w:r>
                      <w:r w:rsidRPr="00E96856">
                        <w:tab/>
                        <w:t>2012</w:t>
                      </w:r>
                      <w:r>
                        <w:t>–</w:t>
                      </w:r>
                      <w:r w:rsidRPr="00E96856">
                        <w:t xml:space="preserve">13:     </w:t>
                      </w:r>
                      <w:r w:rsidRPr="00E96856">
                        <w:tab/>
                      </w:r>
                      <w:r w:rsidRPr="00E96856">
                        <w:tab/>
                      </w:r>
                      <w:r>
                        <w:tab/>
                      </w:r>
                      <w:r>
                        <w:tab/>
                        <w:t xml:space="preserve"> 1.01</w:t>
                      </w:r>
                      <w:r w:rsidRPr="00E96856">
                        <w:t xml:space="preserve"> interruptions</w:t>
                      </w:r>
                    </w:p>
                    <w:p w:rsidR="00AD3D0C" w:rsidRPr="00D503C8" w:rsidRDefault="00AD3D0C" w:rsidP="00513EA8">
                      <w:pPr>
                        <w:rPr>
                          <w:rStyle w:val="Strong"/>
                        </w:rPr>
                      </w:pPr>
                      <w:r>
                        <w:tab/>
                      </w:r>
                      <w:r>
                        <w:tab/>
                      </w:r>
                      <w:r w:rsidRPr="00E96856">
                        <w:tab/>
                      </w:r>
                      <w:r w:rsidRPr="00E96856">
                        <w:tab/>
                      </w:r>
                      <w:r>
                        <w:tab/>
                      </w:r>
                      <w:r>
                        <w:tab/>
                      </w:r>
                      <w:r>
                        <w:tab/>
                      </w:r>
                      <w:r>
                        <w:tab/>
                      </w:r>
                      <w:r>
                        <w:tab/>
                      </w:r>
                      <w:r>
                        <w:tab/>
                      </w:r>
                      <w:r>
                        <w:tab/>
                      </w:r>
                      <w:r w:rsidRPr="00E96856">
                        <w:t xml:space="preserve">Avg. prev. </w:t>
                      </w:r>
                      <w:r>
                        <w:t>five</w:t>
                      </w:r>
                      <w:r w:rsidRPr="00E96856">
                        <w:t xml:space="preserve"> years: </w:t>
                      </w:r>
                      <w:r w:rsidRPr="00E96856">
                        <w:tab/>
                      </w:r>
                      <w:r>
                        <w:t xml:space="preserve"> 1.09</w:t>
                      </w:r>
                      <w:r w:rsidRPr="00E96856">
                        <w:t xml:space="preserve"> interruptions</w:t>
                      </w:r>
                    </w:p>
                  </w:txbxContent>
                </v:textbox>
                <w10:wrap type="tight"/>
              </v:shape>
            </w:pict>
          </mc:Fallback>
        </mc:AlternateContent>
      </w:r>
      <w:r w:rsidR="00AE2FC7">
        <w:t>United Energy</w:t>
      </w:r>
      <w:bookmarkEnd w:id="590"/>
      <w:bookmarkEnd w:id="591"/>
    </w:p>
    <w:p w:rsidR="00AE2FC7" w:rsidRDefault="00AE2FC7" w:rsidP="00592413">
      <w:pPr>
        <w:pStyle w:val="Heading3"/>
      </w:pPr>
      <w:bookmarkStart w:id="594" w:name="_Toc409771737"/>
      <w:bookmarkStart w:id="595" w:name="_Toc412790686"/>
      <w:bookmarkStart w:id="596" w:name="_Toc413062167"/>
      <w:bookmarkStart w:id="597" w:name="_Toc413311159"/>
      <w:bookmarkStart w:id="598" w:name="_Toc423086575"/>
      <w:r>
        <w:t>Regulation</w:t>
      </w:r>
      <w:bookmarkEnd w:id="594"/>
      <w:bookmarkEnd w:id="595"/>
      <w:bookmarkEnd w:id="596"/>
      <w:bookmarkEnd w:id="597"/>
      <w:bookmarkEnd w:id="598"/>
    </w:p>
    <w:p w:rsidR="00AE2FC7" w:rsidRDefault="00D30B61" w:rsidP="00AE2FC7">
      <w:r>
        <w:t>From</w:t>
      </w:r>
      <w:r w:rsidR="00AE2FC7" w:rsidRPr="00C312BC">
        <w:t xml:space="preserve"> 1 January 2011 </w:t>
      </w:r>
      <w:r w:rsidR="002767AE">
        <w:t>we have</w:t>
      </w:r>
      <w:r w:rsidR="00AE2FC7" w:rsidRPr="00C312BC">
        <w:t xml:space="preserve"> been responsible for the economic regulation of electricity distribution services provided by United Energy. Previously ESCV was the responsible regulator.</w:t>
      </w:r>
    </w:p>
    <w:p w:rsidR="00AE2FC7" w:rsidRDefault="00AE2FC7" w:rsidP="00592413">
      <w:pPr>
        <w:pStyle w:val="Heading3"/>
      </w:pPr>
      <w:bookmarkStart w:id="599" w:name="_Toc409771738"/>
      <w:bookmarkStart w:id="600" w:name="_Toc412790687"/>
      <w:bookmarkStart w:id="601" w:name="_Toc413062168"/>
      <w:bookmarkStart w:id="602" w:name="_Toc413311160"/>
      <w:bookmarkStart w:id="603" w:name="_Toc423086576"/>
      <w:r>
        <w:t>Energy delivered</w:t>
      </w:r>
      <w:bookmarkEnd w:id="599"/>
      <w:bookmarkEnd w:id="600"/>
      <w:bookmarkEnd w:id="601"/>
      <w:bookmarkEnd w:id="602"/>
      <w:bookmarkEnd w:id="603"/>
    </w:p>
    <w:p w:rsidR="00AE2FC7" w:rsidRPr="00C312BC" w:rsidRDefault="00AE2FC7" w:rsidP="00AE2FC7">
      <w:r w:rsidRPr="00C312BC">
        <w:t>Total energy delivered by United Energy over the first three years of the 2011</w:t>
      </w:r>
      <w:r w:rsidR="007A3240">
        <w:t>–</w:t>
      </w:r>
      <w:r w:rsidRPr="00C312BC">
        <w:t xml:space="preserve">15 regulatory control period was 1 per cent more than </w:t>
      </w:r>
      <w:r w:rsidR="00DD4FC1">
        <w:t>our approved</w:t>
      </w:r>
      <w:r w:rsidRPr="00C312BC">
        <w:t xml:space="preserve"> forecast (</w:t>
      </w:r>
      <w:r>
        <w:t>Figure 9</w:t>
      </w:r>
      <w:r w:rsidRPr="00C312BC">
        <w:t>–1</w:t>
      </w:r>
      <w:r w:rsidR="007A2C08">
        <w:t>21</w:t>
      </w:r>
      <w:r w:rsidRPr="00C312BC">
        <w:t>). The forecasts for the 2011</w:t>
      </w:r>
      <w:r w:rsidR="007A3240">
        <w:t>–</w:t>
      </w:r>
      <w:r w:rsidRPr="00C312BC">
        <w:t xml:space="preserve">15 regulatory control period are those submitted by United Energy and </w:t>
      </w:r>
      <w:r w:rsidR="00DD4FC1">
        <w:t xml:space="preserve">accepted by us in our </w:t>
      </w:r>
      <w:r w:rsidRPr="00C312BC">
        <w:t>201</w:t>
      </w:r>
      <w:r w:rsidR="00561823">
        <w:t>0</w:t>
      </w:r>
      <w:r w:rsidRPr="00C312BC">
        <w:t xml:space="preserve"> distribution determination. </w:t>
      </w:r>
    </w:p>
    <w:p w:rsidR="00BE5060" w:rsidRPr="00C312BC" w:rsidRDefault="00BE5060" w:rsidP="00BE5060">
      <w:r w:rsidRPr="00C312BC">
        <w:t>United Energy indicated higher than expected energy usage by large customers was the main reason for it delivering more energy than forecast in 2011 and 2012.</w:t>
      </w:r>
    </w:p>
    <w:p w:rsidR="00AE2FC7" w:rsidRPr="00C312BC" w:rsidRDefault="00AE2FC7" w:rsidP="00972E3F">
      <w:pPr>
        <w:pStyle w:val="Caption"/>
      </w:pPr>
      <w:r>
        <w:t>Figure 9</w:t>
      </w:r>
      <w:r w:rsidRPr="00C312BC">
        <w:t>–1</w:t>
      </w:r>
      <w:r w:rsidR="007A2C08">
        <w:t>21</w:t>
      </w:r>
      <w:r w:rsidRPr="00C312BC">
        <w:tab/>
        <w:t>Energy delivered, United Energy</w:t>
      </w:r>
    </w:p>
    <w:p w:rsidR="007A2C08" w:rsidRDefault="007A2C08" w:rsidP="00AE2FC7">
      <w:r w:rsidRPr="007A2C08">
        <w:rPr>
          <w:noProof/>
          <w:lang w:eastAsia="en-AU"/>
        </w:rPr>
        <w:drawing>
          <wp:inline distT="0" distB="0" distL="0" distR="0" wp14:anchorId="507431AB" wp14:editId="14A23DE6">
            <wp:extent cx="4572000" cy="2743200"/>
            <wp:effectExtent l="0" t="0" r="0" b="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AE2FC7" w:rsidRDefault="00AE2FC7" w:rsidP="00AE2FC7">
      <w:r w:rsidRPr="00C312BC">
        <w:t xml:space="preserve">Chapter 4 </w:t>
      </w:r>
      <w:r w:rsidR="009E3ACF">
        <w:t xml:space="preserve">contains our </w:t>
      </w:r>
      <w:r w:rsidRPr="00C312BC">
        <w:t>assessment of energy delivered for all DNSPs in the NEM.</w:t>
      </w:r>
    </w:p>
    <w:p w:rsidR="00AE2FC7" w:rsidRDefault="00AE2FC7" w:rsidP="00592413">
      <w:pPr>
        <w:pStyle w:val="Heading3"/>
      </w:pPr>
      <w:bookmarkStart w:id="604" w:name="_Toc409771739"/>
      <w:bookmarkStart w:id="605" w:name="_Toc412790688"/>
      <w:bookmarkStart w:id="606" w:name="_Toc413062169"/>
      <w:bookmarkStart w:id="607" w:name="_Toc413311161"/>
      <w:bookmarkStart w:id="608" w:name="_Toc423086577"/>
      <w:r>
        <w:t>Demand</w:t>
      </w:r>
      <w:bookmarkEnd w:id="604"/>
      <w:bookmarkEnd w:id="605"/>
      <w:bookmarkEnd w:id="606"/>
      <w:bookmarkEnd w:id="607"/>
      <w:bookmarkEnd w:id="608"/>
    </w:p>
    <w:p w:rsidR="00AE2FC7" w:rsidRPr="00C312BC" w:rsidRDefault="00AE2FC7" w:rsidP="00AE2FC7">
      <w:r w:rsidRPr="00C312BC">
        <w:t>United Energy's actual maximum demand in each of the three years of the 2011</w:t>
      </w:r>
      <w:r w:rsidR="007A3240">
        <w:t>–</w:t>
      </w:r>
      <w:r w:rsidRPr="00C312BC">
        <w:t>15 regulatory control period was lower than the forecast maximum demand</w:t>
      </w:r>
      <w:r w:rsidR="00CC0E3F">
        <w:t xml:space="preserve"> </w:t>
      </w:r>
      <w:r w:rsidR="00DD4FC1">
        <w:t xml:space="preserve">accepted by us in our </w:t>
      </w:r>
      <w:r w:rsidRPr="00C312BC">
        <w:t>201</w:t>
      </w:r>
      <w:r w:rsidR="00561823">
        <w:t>0</w:t>
      </w:r>
      <w:r w:rsidRPr="00C312BC">
        <w:t xml:space="preserve"> distribution determination (</w:t>
      </w:r>
      <w:r>
        <w:t>Figure 9</w:t>
      </w:r>
      <w:r w:rsidRPr="00C312BC">
        <w:t>–1</w:t>
      </w:r>
      <w:r w:rsidR="007A2C08">
        <w:t>22</w:t>
      </w:r>
      <w:r w:rsidRPr="00C312BC">
        <w:t>).</w:t>
      </w:r>
    </w:p>
    <w:p w:rsidR="00BE5060" w:rsidRPr="00C312BC" w:rsidRDefault="00BE5060" w:rsidP="00BE5060">
      <w:r w:rsidRPr="00C312BC">
        <w:t xml:space="preserve">United Energy reported an increase in actual maximum demand in each year since 2010. However, actual maximum demand has been consistently below forecast in each of these years. </w:t>
      </w:r>
    </w:p>
    <w:p w:rsidR="00BE5060" w:rsidRPr="00C312BC" w:rsidRDefault="00BE5060" w:rsidP="00BE5060">
      <w:r w:rsidRPr="00C312BC">
        <w:t>United Energy indicated the growth in maximum demand could be explained by an increase in the number of customers and therefore the number of appliances connected to its network.</w:t>
      </w:r>
    </w:p>
    <w:p w:rsidR="00AE2FC7" w:rsidRPr="00C312BC" w:rsidRDefault="00AE2FC7" w:rsidP="00972E3F">
      <w:pPr>
        <w:pStyle w:val="Caption"/>
      </w:pPr>
      <w:r>
        <w:t>Figure 9</w:t>
      </w:r>
      <w:r w:rsidRPr="00C312BC">
        <w:t>–1</w:t>
      </w:r>
      <w:r w:rsidR="007A2C08">
        <w:t>22</w:t>
      </w:r>
      <w:r w:rsidRPr="00C312BC">
        <w:tab/>
        <w:t xml:space="preserve">Maximum demand </w:t>
      </w:r>
      <w:r w:rsidR="007A3240">
        <w:t>–</w:t>
      </w:r>
      <w:r w:rsidRPr="00C312BC">
        <w:t xml:space="preserve"> United Energy</w:t>
      </w:r>
    </w:p>
    <w:p w:rsidR="007A2C08" w:rsidRDefault="007A2C08" w:rsidP="00AE2FC7">
      <w:r w:rsidRPr="007A2C08">
        <w:rPr>
          <w:noProof/>
          <w:lang w:eastAsia="en-AU"/>
        </w:rPr>
        <w:drawing>
          <wp:inline distT="0" distB="0" distL="0" distR="0" wp14:anchorId="2F2D4CB0" wp14:editId="77E3D540">
            <wp:extent cx="4572000" cy="2743200"/>
            <wp:effectExtent l="0" t="0" r="0" b="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AE2FC7" w:rsidRPr="00C312BC" w:rsidRDefault="00AE2FC7" w:rsidP="00AE2FC7">
      <w:r w:rsidRPr="00C312BC">
        <w:t xml:space="preserve">Chapter 4 </w:t>
      </w:r>
      <w:r w:rsidR="009E3ACF">
        <w:t xml:space="preserve">contains our </w:t>
      </w:r>
      <w:r w:rsidRPr="00C312BC">
        <w:t xml:space="preserve">assessment of maximum demand for all DNSPs in the NEM. </w:t>
      </w:r>
    </w:p>
    <w:p w:rsidR="00AE2FC7" w:rsidRDefault="00AE2FC7" w:rsidP="00592413">
      <w:pPr>
        <w:pStyle w:val="Heading3"/>
      </w:pPr>
      <w:bookmarkStart w:id="609" w:name="_Toc409771740"/>
      <w:bookmarkStart w:id="610" w:name="_Toc412790689"/>
      <w:bookmarkStart w:id="611" w:name="_Toc413062170"/>
      <w:bookmarkStart w:id="612" w:name="_Toc413311162"/>
      <w:bookmarkStart w:id="613" w:name="_Toc423086578"/>
      <w:r>
        <w:t>Expenditure and revenue</w:t>
      </w:r>
      <w:bookmarkEnd w:id="609"/>
      <w:bookmarkEnd w:id="610"/>
      <w:bookmarkEnd w:id="611"/>
      <w:bookmarkEnd w:id="612"/>
      <w:bookmarkEnd w:id="613"/>
    </w:p>
    <w:p w:rsidR="00AE2FC7" w:rsidRPr="00C312BC" w:rsidRDefault="00AE2FC7" w:rsidP="00AE2FC7">
      <w:r w:rsidRPr="00C312BC">
        <w:t xml:space="preserve">Amendments made to </w:t>
      </w:r>
      <w:r w:rsidR="00DD4FC1">
        <w:t>our approved</w:t>
      </w:r>
      <w:r w:rsidRPr="00C312BC">
        <w:t xml:space="preserve"> forecasts as the result of Tribunal orders or as a result of approved pass throughs </w:t>
      </w:r>
      <w:r w:rsidR="00D30B61">
        <w:t>are included</w:t>
      </w:r>
      <w:r w:rsidRPr="00C312BC">
        <w:t xml:space="preserve"> in the following analysis of United Energy's financial performance. </w:t>
      </w:r>
      <w:r w:rsidR="00BC155F">
        <w:rPr>
          <w:rStyle w:val="FootnoteReference"/>
        </w:rPr>
        <w:footnoteReference w:id="27"/>
      </w:r>
    </w:p>
    <w:p w:rsidR="00AE2FC7" w:rsidRPr="004E48C7" w:rsidRDefault="00AE2FC7" w:rsidP="00AE2FC7">
      <w:pPr>
        <w:pStyle w:val="Heading4notnumbered"/>
      </w:pPr>
      <w:r w:rsidRPr="004E48C7">
        <w:t>Capital expenditure</w:t>
      </w:r>
    </w:p>
    <w:p w:rsidR="00AE2FC7" w:rsidRPr="00C312BC" w:rsidRDefault="00AE2FC7" w:rsidP="00AE2FC7">
      <w:r w:rsidRPr="00C312BC">
        <w:t>United Energy's total capital expenditure over the first three years of the 2011</w:t>
      </w:r>
      <w:r w:rsidR="007A3240">
        <w:t>–</w:t>
      </w:r>
      <w:r w:rsidRPr="00C312BC">
        <w:t xml:space="preserve">15 regulatory control period was approximately 6 per cent higher than </w:t>
      </w:r>
      <w:r w:rsidR="00DD4FC1">
        <w:t>our approved</w:t>
      </w:r>
      <w:r w:rsidRPr="00C312BC">
        <w:t xml:space="preserve"> forecast (</w:t>
      </w:r>
      <w:r>
        <w:t>Figure 9</w:t>
      </w:r>
      <w:r w:rsidRPr="00C312BC">
        <w:t>–1</w:t>
      </w:r>
      <w:r w:rsidR="00F354F5">
        <w:t>23</w:t>
      </w:r>
      <w:r w:rsidRPr="00C312BC">
        <w:t>).</w:t>
      </w:r>
    </w:p>
    <w:p w:rsidR="002712DB" w:rsidRPr="00C312BC" w:rsidRDefault="002712DB" w:rsidP="002712DB">
      <w:r w:rsidRPr="00C312BC">
        <w:t>United Energy indicated its capital overspend in the first three years of the 2011</w:t>
      </w:r>
      <w:r>
        <w:t>–</w:t>
      </w:r>
      <w:r w:rsidRPr="00C312BC">
        <w:t>15 regulatory period is due to the impact of the AER applying a large tariff increase in 2011. The tariff increase impacted customer contributions and has caused the net capital overspend, whereas total capital expenditure was underspent.</w:t>
      </w:r>
    </w:p>
    <w:p w:rsidR="002712DB" w:rsidRDefault="002712DB" w:rsidP="002712DB">
      <w:r w:rsidRPr="00C312BC">
        <w:t xml:space="preserve">Chapter 5 provides a description of how DNSPs fund their expenditure on investment projects (capital expenditure) and a comparative assessment of capital expenditure for all DNSPs in the NEM. </w:t>
      </w:r>
    </w:p>
    <w:p w:rsidR="00AE2FC7" w:rsidRDefault="00AE2FC7" w:rsidP="001040D5">
      <w:pPr>
        <w:pStyle w:val="Caption"/>
        <w:ind w:left="1701" w:hanging="1701"/>
      </w:pPr>
      <w:r>
        <w:t>Figure 9</w:t>
      </w:r>
      <w:r w:rsidRPr="00C312BC">
        <w:t>–1</w:t>
      </w:r>
      <w:r w:rsidR="00F354F5">
        <w:t>23</w:t>
      </w:r>
      <w:r w:rsidRPr="00C312BC">
        <w:tab/>
        <w:t xml:space="preserve">Capital expenditure (excluding customer contributions) </w:t>
      </w:r>
      <w:r w:rsidR="007A3240">
        <w:t>–</w:t>
      </w:r>
      <w:r w:rsidRPr="00C312BC">
        <w:t xml:space="preserve"> United Energy</w:t>
      </w:r>
    </w:p>
    <w:p w:rsidR="00F354F5" w:rsidRPr="00F354F5" w:rsidRDefault="00F354F5" w:rsidP="00F354F5">
      <w:r w:rsidRPr="00F354F5">
        <w:rPr>
          <w:noProof/>
          <w:lang w:eastAsia="en-AU"/>
        </w:rPr>
        <w:drawing>
          <wp:inline distT="0" distB="0" distL="0" distR="0" wp14:anchorId="7A78E5DE" wp14:editId="0B176BF7">
            <wp:extent cx="4572000" cy="2743200"/>
            <wp:effectExtent l="0" t="0" r="0" b="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AE2FC7" w:rsidRDefault="00AE2FC7" w:rsidP="001040D5">
      <w:pPr>
        <w:pStyle w:val="Caption"/>
        <w:ind w:left="1701" w:hanging="1701"/>
      </w:pPr>
      <w:r>
        <w:t>Figure 9</w:t>
      </w:r>
      <w:r w:rsidRPr="00C312BC">
        <w:t>–1</w:t>
      </w:r>
      <w:r w:rsidR="00F354F5">
        <w:t>24</w:t>
      </w:r>
      <w:r w:rsidRPr="00C312BC">
        <w:tab/>
        <w:t xml:space="preserve">Capital expenditure by purpose (excluding customer contributions) </w:t>
      </w:r>
      <w:r w:rsidR="007A3240">
        <w:t>–</w:t>
      </w:r>
      <w:r w:rsidRPr="00C312BC">
        <w:t xml:space="preserve"> United Energy</w:t>
      </w:r>
    </w:p>
    <w:p w:rsidR="00F354F5" w:rsidRPr="00F354F5" w:rsidRDefault="00F354F5" w:rsidP="00F354F5">
      <w:r w:rsidRPr="00F354F5">
        <w:rPr>
          <w:noProof/>
          <w:lang w:eastAsia="en-AU"/>
        </w:rPr>
        <w:drawing>
          <wp:inline distT="0" distB="0" distL="0" distR="0" wp14:anchorId="1C958F04" wp14:editId="309C4D58">
            <wp:extent cx="4572000" cy="2743200"/>
            <wp:effectExtent l="0" t="0" r="0" b="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AE2FC7" w:rsidRPr="00C312BC" w:rsidRDefault="00AE2FC7" w:rsidP="00AE2FC7">
      <w:pPr>
        <w:pStyle w:val="Heading4notnumbered"/>
      </w:pPr>
      <w:r w:rsidRPr="00C312BC">
        <w:t>Regulatory asset base</w:t>
      </w:r>
    </w:p>
    <w:p w:rsidR="00AE2FC7" w:rsidRPr="00C312BC" w:rsidRDefault="00AE2FC7" w:rsidP="00AE2FC7">
      <w:r w:rsidRPr="00C312BC">
        <w:t>United Energy's RAB increased by approximately 20 per cent over the first three years of the 2011</w:t>
      </w:r>
      <w:r w:rsidR="007A3240">
        <w:t>–</w:t>
      </w:r>
      <w:r w:rsidRPr="00C312BC">
        <w:t>15 regulatory control period. United Energy's RAB was forecast to increase by 6 per cent over this period.</w:t>
      </w:r>
    </w:p>
    <w:p w:rsidR="00AE2FC7" w:rsidRPr="00C312BC" w:rsidRDefault="00AE2FC7" w:rsidP="00AE2FC7">
      <w:r w:rsidRPr="00C312BC">
        <w:t>United Energy's RAB grew from approximately $1.5 billion at the end of 2010 to approximately $1.8 billion at the end of 2013 (</w:t>
      </w:r>
      <w:r>
        <w:t>Figure 9</w:t>
      </w:r>
      <w:r w:rsidRPr="00C312BC">
        <w:t>–1</w:t>
      </w:r>
      <w:r w:rsidR="00F354F5">
        <w:t>25</w:t>
      </w:r>
      <w:r w:rsidRPr="00C312BC">
        <w:t xml:space="preserve">). </w:t>
      </w:r>
    </w:p>
    <w:p w:rsidR="00AE2FC7" w:rsidRDefault="00AE2FC7" w:rsidP="00972E3F">
      <w:pPr>
        <w:pStyle w:val="Caption"/>
      </w:pPr>
      <w:r>
        <w:t>Figure 9</w:t>
      </w:r>
      <w:r w:rsidRPr="00C312BC">
        <w:t>–1</w:t>
      </w:r>
      <w:r w:rsidR="00F354F5">
        <w:t>25</w:t>
      </w:r>
      <w:r w:rsidRPr="00C312BC">
        <w:tab/>
        <w:t>Regulatory asset base, United Energy</w:t>
      </w:r>
    </w:p>
    <w:p w:rsidR="00F354F5" w:rsidRDefault="00F354F5" w:rsidP="00AE2FC7">
      <w:r w:rsidRPr="00F354F5">
        <w:rPr>
          <w:noProof/>
          <w:lang w:eastAsia="en-AU"/>
        </w:rPr>
        <w:drawing>
          <wp:inline distT="0" distB="0" distL="0" distR="0" wp14:anchorId="774FE7FB" wp14:editId="4F837F2B">
            <wp:extent cx="4733925" cy="2743200"/>
            <wp:effectExtent l="0" t="0" r="0" b="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AE2FC7" w:rsidRPr="00C312BC" w:rsidRDefault="00AE2FC7" w:rsidP="00AE2FC7">
      <w:r w:rsidRPr="00C312BC">
        <w:t>The increasing difference between the forecast RAB and the actual value of United Energy's RAB is consistent with its overspending on capital over the first three years of the 2011</w:t>
      </w:r>
      <w:r w:rsidR="007A3240">
        <w:t>–</w:t>
      </w:r>
      <w:r w:rsidRPr="00C312BC">
        <w:t>15 regulatory control period.</w:t>
      </w:r>
    </w:p>
    <w:p w:rsidR="00AE2FC7" w:rsidRPr="00C312BC" w:rsidRDefault="00AE2FC7" w:rsidP="00AE2FC7">
      <w:pPr>
        <w:pStyle w:val="Heading4notnumbered"/>
      </w:pPr>
      <w:r w:rsidRPr="00C312BC">
        <w:t>Operating expenditure</w:t>
      </w:r>
    </w:p>
    <w:p w:rsidR="00AE2FC7" w:rsidRPr="00C312BC" w:rsidRDefault="00AE2FC7" w:rsidP="00AE2FC7">
      <w:r w:rsidRPr="00C312BC">
        <w:t>United Energy's total operating expenditure over the first three years of the 2011</w:t>
      </w:r>
      <w:r w:rsidR="007A3240">
        <w:t>–</w:t>
      </w:r>
      <w:r w:rsidRPr="00C312BC">
        <w:t xml:space="preserve">15 regulatory control period was approximately 8 per cent higher than </w:t>
      </w:r>
      <w:r w:rsidR="00DD4FC1">
        <w:t>our approved</w:t>
      </w:r>
      <w:r w:rsidRPr="00C312BC">
        <w:t xml:space="preserve"> forecast (</w:t>
      </w:r>
      <w:r>
        <w:t>Figure 9</w:t>
      </w:r>
      <w:r w:rsidRPr="00C312BC">
        <w:t>–1</w:t>
      </w:r>
      <w:r w:rsidR="00F354F5">
        <w:t>26</w:t>
      </w:r>
      <w:r w:rsidRPr="00C312BC">
        <w:t xml:space="preserve">). </w:t>
      </w:r>
    </w:p>
    <w:p w:rsidR="00AE2FC7" w:rsidRDefault="00AE2FC7" w:rsidP="00972E3F">
      <w:pPr>
        <w:pStyle w:val="Caption"/>
      </w:pPr>
      <w:r>
        <w:t>Figure 9</w:t>
      </w:r>
      <w:r w:rsidRPr="00C312BC">
        <w:t>–1</w:t>
      </w:r>
      <w:r w:rsidR="00F354F5">
        <w:t>26</w:t>
      </w:r>
      <w:r w:rsidRPr="00C312BC">
        <w:tab/>
        <w:t xml:space="preserve">Operating expenditure </w:t>
      </w:r>
      <w:r w:rsidR="007A3240">
        <w:t>–</w:t>
      </w:r>
      <w:r w:rsidRPr="00C312BC">
        <w:t xml:space="preserve"> United Energy</w:t>
      </w:r>
    </w:p>
    <w:p w:rsidR="00F354F5" w:rsidRDefault="00F354F5" w:rsidP="00AE2FC7">
      <w:r w:rsidRPr="00F354F5">
        <w:rPr>
          <w:noProof/>
          <w:lang w:eastAsia="en-AU"/>
        </w:rPr>
        <w:drawing>
          <wp:inline distT="0" distB="0" distL="0" distR="0" wp14:anchorId="02B27F8C" wp14:editId="14D3D90E">
            <wp:extent cx="4572000" cy="2743200"/>
            <wp:effectExtent l="0" t="0" r="0" b="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2712DB" w:rsidRPr="00C312BC" w:rsidRDefault="002712DB" w:rsidP="002712DB">
      <w:r w:rsidRPr="00C312BC">
        <w:t xml:space="preserve">United Energy indicated its overspending on operating and maintenance in 2011 and 2012 was the result of a number of factors, including: </w:t>
      </w:r>
    </w:p>
    <w:p w:rsidR="002712DB" w:rsidRPr="002E2A83" w:rsidRDefault="002712DB" w:rsidP="002E2A83">
      <w:pPr>
        <w:pStyle w:val="ListBullet"/>
      </w:pPr>
      <w:r w:rsidRPr="002E2A83">
        <w:t>the transition from the Jemena fixed fee operational Services Agreement</w:t>
      </w:r>
    </w:p>
    <w:p w:rsidR="002712DB" w:rsidRPr="002E2A83" w:rsidRDefault="002712DB" w:rsidP="002E2A83">
      <w:pPr>
        <w:pStyle w:val="ListBullet"/>
      </w:pPr>
      <w:r w:rsidRPr="002E2A83">
        <w:t>increased tree clearing as a result of new regulations</w:t>
      </w:r>
    </w:p>
    <w:p w:rsidR="002712DB" w:rsidRPr="002E2A83" w:rsidRDefault="002712DB" w:rsidP="002E2A83">
      <w:pPr>
        <w:pStyle w:val="ListBullet"/>
      </w:pPr>
      <w:r w:rsidRPr="002E2A83">
        <w:t xml:space="preserve">the establishment of new contracting arrangements. </w:t>
      </w:r>
    </w:p>
    <w:p w:rsidR="00AE2FC7" w:rsidRPr="00C312BC" w:rsidRDefault="00AE2FC7" w:rsidP="00AE2FC7">
      <w:r w:rsidRPr="00C312BC">
        <w:t xml:space="preserve">Chapter 6 </w:t>
      </w:r>
      <w:r w:rsidR="009E3ACF">
        <w:t xml:space="preserve">contains our </w:t>
      </w:r>
      <w:r w:rsidRPr="00C312BC">
        <w:t xml:space="preserve">assessment of operating expenditure for all DNSPs in the NEM. </w:t>
      </w:r>
    </w:p>
    <w:p w:rsidR="00AE2FC7" w:rsidRDefault="00AE2FC7" w:rsidP="00AE2FC7">
      <w:pPr>
        <w:pStyle w:val="Heading4notnumbered"/>
      </w:pPr>
      <w:r w:rsidRPr="00C312BC">
        <w:t>Revenue</w:t>
      </w:r>
    </w:p>
    <w:p w:rsidR="00AE2FC7" w:rsidRPr="00C312BC" w:rsidRDefault="00AE2FC7" w:rsidP="00AE2FC7">
      <w:r w:rsidRPr="00C312BC">
        <w:t>The AER’s 201</w:t>
      </w:r>
      <w:r w:rsidR="002E2A83">
        <w:t>0</w:t>
      </w:r>
      <w:r w:rsidRPr="00C312BC">
        <w:t xml:space="preserve"> distribution determination applied a weighted average price cap (WAPC) form of control to United Energy's distribution services over the 2011</w:t>
      </w:r>
      <w:r w:rsidR="007A3240">
        <w:t>–</w:t>
      </w:r>
      <w:r w:rsidRPr="00C312BC">
        <w:t xml:space="preserve">15 regulatory control period. A WAPC imposes controls over the prices </w:t>
      </w:r>
      <w:r w:rsidR="00A75C74" w:rsidRPr="0015769E">
        <w:t>a DNSP may charge for its services</w:t>
      </w:r>
      <w:r w:rsidRPr="00C312BC">
        <w:t>.</w:t>
      </w:r>
    </w:p>
    <w:p w:rsidR="00AE2FC7" w:rsidRPr="00C312BC" w:rsidRDefault="00AE2FC7" w:rsidP="00AE2FC7">
      <w:r w:rsidRPr="00C312BC">
        <w:t xml:space="preserve">United Energy's total revenue earned for standard control services was approximately 1 per cent lower than </w:t>
      </w:r>
      <w:r w:rsidR="00DD4FC1">
        <w:t>our approved</w:t>
      </w:r>
      <w:r w:rsidRPr="00C312BC">
        <w:t xml:space="preserve"> forecast over the first three years of the 2011</w:t>
      </w:r>
      <w:r w:rsidR="007A3240">
        <w:t>–</w:t>
      </w:r>
      <w:r w:rsidRPr="00C312BC">
        <w:t>15 regulatory control period (</w:t>
      </w:r>
      <w:r>
        <w:t>Figure 9</w:t>
      </w:r>
      <w:r w:rsidRPr="00C312BC">
        <w:t>–1</w:t>
      </w:r>
      <w:r w:rsidR="00F354F5">
        <w:t>27</w:t>
      </w:r>
      <w:r w:rsidRPr="00C312BC">
        <w:t xml:space="preserve">). </w:t>
      </w:r>
    </w:p>
    <w:p w:rsidR="00AE2FC7" w:rsidRDefault="00AE2FC7" w:rsidP="00972E3F">
      <w:pPr>
        <w:pStyle w:val="Caption"/>
      </w:pPr>
      <w:r>
        <w:t>Figure 9</w:t>
      </w:r>
      <w:r w:rsidRPr="00C312BC">
        <w:t>–1</w:t>
      </w:r>
      <w:r w:rsidR="00F354F5">
        <w:t>27</w:t>
      </w:r>
      <w:r w:rsidRPr="00C312BC">
        <w:tab/>
        <w:t xml:space="preserve">Revenue </w:t>
      </w:r>
      <w:r w:rsidR="007A3240">
        <w:t>–</w:t>
      </w:r>
      <w:r w:rsidRPr="00C312BC">
        <w:t xml:space="preserve"> United Energy</w:t>
      </w:r>
    </w:p>
    <w:p w:rsidR="00F354F5" w:rsidRDefault="00F354F5" w:rsidP="00AE2FC7">
      <w:r w:rsidRPr="00F354F5">
        <w:rPr>
          <w:noProof/>
          <w:lang w:eastAsia="en-AU"/>
        </w:rPr>
        <w:drawing>
          <wp:inline distT="0" distB="0" distL="0" distR="0" wp14:anchorId="1E3AB499" wp14:editId="4D2F1923">
            <wp:extent cx="4572000" cy="2743200"/>
            <wp:effectExtent l="0" t="0" r="0"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AE2FC7" w:rsidRPr="00C312BC" w:rsidRDefault="00AE2FC7" w:rsidP="00AE2FC7">
      <w:r w:rsidRPr="00C312BC">
        <w:t xml:space="preserve">Chapter 7 provides further information on the WAPC control mechanism </w:t>
      </w:r>
      <w:r w:rsidR="00AB11E6">
        <w:t xml:space="preserve">as well as our comparative </w:t>
      </w:r>
      <w:r w:rsidRPr="00C312BC">
        <w:t>assessment of revenue for all DNSPs in the NEM.</w:t>
      </w:r>
    </w:p>
    <w:p w:rsidR="00AE2FC7" w:rsidRDefault="00AE2FC7" w:rsidP="00592413">
      <w:pPr>
        <w:pStyle w:val="Heading3"/>
      </w:pPr>
      <w:bookmarkStart w:id="614" w:name="_Toc409771741"/>
      <w:bookmarkStart w:id="615" w:name="_Toc412790690"/>
      <w:bookmarkStart w:id="616" w:name="_Toc413062171"/>
      <w:bookmarkStart w:id="617" w:name="_Toc413311163"/>
      <w:bookmarkStart w:id="618" w:name="_Toc423086579"/>
      <w:r>
        <w:t>Financial performance</w:t>
      </w:r>
      <w:bookmarkEnd w:id="614"/>
      <w:bookmarkEnd w:id="615"/>
      <w:bookmarkEnd w:id="616"/>
      <w:bookmarkEnd w:id="617"/>
      <w:bookmarkEnd w:id="618"/>
    </w:p>
    <w:p w:rsidR="00AE2FC7" w:rsidRDefault="00AE2FC7" w:rsidP="00AE2FC7">
      <w:r w:rsidRPr="00C312BC">
        <w:t xml:space="preserve">United Energy's average EBIT for standard control services was approximately </w:t>
      </w:r>
      <w:r w:rsidR="002B35EB">
        <w:t>26</w:t>
      </w:r>
      <w:r w:rsidRPr="00C312BC">
        <w:t xml:space="preserve"> per cent of its total revenue earned for standard control services over 2011</w:t>
      </w:r>
      <w:r w:rsidR="00AB11E6">
        <w:t>–</w:t>
      </w:r>
      <w:r w:rsidRPr="00C312BC">
        <w:t xml:space="preserve">13 period. </w:t>
      </w:r>
      <w:r w:rsidR="00AB11E6" w:rsidRPr="00CB73C1">
        <w:t xml:space="preserve">The EBIT in </w:t>
      </w:r>
      <w:r w:rsidR="00AB11E6">
        <w:t>Figure 9</w:t>
      </w:r>
      <w:r w:rsidR="00AB11E6" w:rsidRPr="00CB73C1">
        <w:t>–</w:t>
      </w:r>
      <w:r w:rsidR="00AB11E6">
        <w:t>128</w:t>
      </w:r>
      <w:r w:rsidR="00AB11E6" w:rsidRPr="00CB73C1">
        <w:t xml:space="preserve"> includes depreciation and amortisation</w:t>
      </w:r>
      <w:r w:rsidR="00AB11E6">
        <w:t xml:space="preserve"> and should not be used as a definitive measure of core profitability</w:t>
      </w:r>
      <w:r w:rsidR="00AB11E6" w:rsidRPr="00CB73C1">
        <w:t>.</w:t>
      </w:r>
    </w:p>
    <w:p w:rsidR="00AE2FC7" w:rsidRDefault="00AE2FC7" w:rsidP="00972E3F">
      <w:pPr>
        <w:pStyle w:val="Caption"/>
      </w:pPr>
      <w:r>
        <w:t>Figure 9</w:t>
      </w:r>
      <w:r w:rsidRPr="00C312BC">
        <w:t>–1</w:t>
      </w:r>
      <w:r w:rsidR="00F354F5">
        <w:t>28</w:t>
      </w:r>
      <w:r w:rsidRPr="00C312BC">
        <w:tab/>
        <w:t xml:space="preserve">EBIT </w:t>
      </w:r>
      <w:r w:rsidR="007A3240">
        <w:t>–</w:t>
      </w:r>
      <w:r w:rsidRPr="00C312BC">
        <w:t xml:space="preserve"> United Energy</w:t>
      </w:r>
    </w:p>
    <w:p w:rsidR="00F354F5" w:rsidRPr="00F354F5" w:rsidRDefault="00F354F5" w:rsidP="00F354F5">
      <w:r w:rsidRPr="00F354F5">
        <w:rPr>
          <w:noProof/>
          <w:lang w:eastAsia="en-AU"/>
        </w:rPr>
        <w:drawing>
          <wp:inline distT="0" distB="0" distL="0" distR="0" wp14:anchorId="22E43F77" wp14:editId="2963735A">
            <wp:extent cx="4572000" cy="2743200"/>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AE2FC7" w:rsidRPr="00D741EC" w:rsidRDefault="00AE2FC7" w:rsidP="00592413">
      <w:pPr>
        <w:pStyle w:val="Heading3"/>
      </w:pPr>
      <w:bookmarkStart w:id="619" w:name="_Toc409771742"/>
      <w:bookmarkStart w:id="620" w:name="_Toc412790691"/>
      <w:bookmarkStart w:id="621" w:name="_Toc413062172"/>
      <w:bookmarkStart w:id="622" w:name="_Toc413311164"/>
      <w:bookmarkStart w:id="623" w:name="_Toc423086580"/>
      <w:r>
        <w:t>Service performance</w:t>
      </w:r>
      <w:bookmarkEnd w:id="619"/>
      <w:bookmarkEnd w:id="620"/>
      <w:bookmarkEnd w:id="621"/>
      <w:bookmarkEnd w:id="622"/>
      <w:bookmarkEnd w:id="623"/>
    </w:p>
    <w:p w:rsidR="00AE2FC7" w:rsidRPr="00C312BC" w:rsidRDefault="00AE2FC7" w:rsidP="00AE2FC7">
      <w:pPr>
        <w:pStyle w:val="Heading4notnumbered"/>
      </w:pPr>
      <w:r w:rsidRPr="00C312BC">
        <w:t>Total interruptions to supply</w:t>
      </w:r>
    </w:p>
    <w:p w:rsidR="00AE2FC7" w:rsidRPr="00C312BC" w:rsidRDefault="00AE2FC7" w:rsidP="00AE2FC7">
      <w:r w:rsidRPr="00C312BC">
        <w:t>Total interruptions to supply reflect the total impact of both planned and unplanned interruptions (</w:t>
      </w:r>
      <w:r>
        <w:t>Figure 9</w:t>
      </w:r>
      <w:r w:rsidRPr="00C312BC">
        <w:t>–1</w:t>
      </w:r>
      <w:r w:rsidR="00F354F5">
        <w:t>29</w:t>
      </w:r>
      <w:r w:rsidRPr="00C312BC">
        <w:t xml:space="preserve">). This measure reflects </w:t>
      </w:r>
      <w:r w:rsidR="001368B1">
        <w:t>the actual experience of</w:t>
      </w:r>
      <w:r w:rsidR="001368B1" w:rsidRPr="00CB73C1">
        <w:t xml:space="preserve"> the average </w:t>
      </w:r>
      <w:r w:rsidRPr="00C312BC">
        <w:t>United Energy customer.</w:t>
      </w:r>
      <w:r w:rsidR="00CC0E3F">
        <w:t xml:space="preserve"> </w:t>
      </w:r>
      <w:r w:rsidRPr="00C312BC">
        <w:t xml:space="preserve">Total interruptions to supply include the effect of any interruptions considered to be </w:t>
      </w:r>
      <w:r w:rsidR="00133534">
        <w:t xml:space="preserve">excluded </w:t>
      </w:r>
      <w:r w:rsidR="00460775">
        <w:t>events in the STPIS</w:t>
      </w:r>
      <w:r w:rsidRPr="00C312BC">
        <w:t xml:space="preserve">. </w:t>
      </w:r>
    </w:p>
    <w:p w:rsidR="00AE2FC7" w:rsidRDefault="00AE2FC7" w:rsidP="00972E3F">
      <w:pPr>
        <w:pStyle w:val="Caption"/>
      </w:pPr>
      <w:r>
        <w:t>Figure 9</w:t>
      </w:r>
      <w:r w:rsidRPr="00C312BC">
        <w:t>–1</w:t>
      </w:r>
      <w:r w:rsidR="00F354F5">
        <w:t>29</w:t>
      </w:r>
      <w:r w:rsidRPr="00C312BC">
        <w:tab/>
        <w:t xml:space="preserve">Total interruptions to supply </w:t>
      </w:r>
      <w:r w:rsidR="007A3240">
        <w:t>–</w:t>
      </w:r>
      <w:r w:rsidRPr="00C312BC">
        <w:t xml:space="preserve"> United Energy</w:t>
      </w:r>
    </w:p>
    <w:p w:rsidR="00541EA1" w:rsidRPr="00541EA1" w:rsidRDefault="00541EA1" w:rsidP="00541EA1">
      <w:r>
        <w:rPr>
          <w:noProof/>
          <w:lang w:eastAsia="en-AU"/>
        </w:rPr>
        <w:drawing>
          <wp:inline distT="0" distB="0" distL="0" distR="0" wp14:anchorId="674D033C" wp14:editId="1081EFD7">
            <wp:extent cx="2833200" cy="1699200"/>
            <wp:effectExtent l="0" t="0" r="571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Pr>
          <w:noProof/>
          <w:lang w:eastAsia="en-AU"/>
        </w:rPr>
        <w:drawing>
          <wp:inline distT="0" distB="0" distL="0" distR="0" wp14:anchorId="63DAB2D1" wp14:editId="580AE01B">
            <wp:extent cx="2833200" cy="1699200"/>
            <wp:effectExtent l="0" t="0" r="571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p>
    <w:p w:rsidR="00F354F5" w:rsidRDefault="00F354F5" w:rsidP="0020160F">
      <w:r w:rsidRPr="00F354F5">
        <w:rPr>
          <w:noProof/>
          <w:lang w:eastAsia="en-AU"/>
        </w:rPr>
        <w:drawing>
          <wp:inline distT="0" distB="0" distL="0" distR="0" wp14:anchorId="34444007" wp14:editId="39592CAD">
            <wp:extent cx="5731510" cy="1078937"/>
            <wp:effectExtent l="0" t="0" r="2540" b="698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31510" cy="1078937"/>
                    </a:xfrm>
                    <a:prstGeom prst="rect">
                      <a:avLst/>
                    </a:prstGeom>
                    <a:noFill/>
                    <a:ln>
                      <a:noFill/>
                    </a:ln>
                  </pic:spPr>
                </pic:pic>
              </a:graphicData>
            </a:graphic>
          </wp:inline>
        </w:drawing>
      </w:r>
    </w:p>
    <w:p w:rsidR="00AE2FC7" w:rsidRPr="00C312BC" w:rsidRDefault="00AE2FC7" w:rsidP="00AE2FC7">
      <w:pPr>
        <w:pStyle w:val="Heading4notnumbered"/>
      </w:pPr>
      <w:r w:rsidRPr="00C312BC">
        <w:t>Service Target Performance Incentive Scheme</w:t>
      </w:r>
    </w:p>
    <w:p w:rsidR="00AE2FC7" w:rsidRPr="00C312BC" w:rsidRDefault="00DD4FC1" w:rsidP="00AE2FC7">
      <w:r>
        <w:t>In our 2010 distribution determination we</w:t>
      </w:r>
      <w:r w:rsidR="00AE2FC7" w:rsidRPr="00C312BC">
        <w:t xml:space="preserve"> determined the STPIS would apply to United Energy in the 2011</w:t>
      </w:r>
      <w:r w:rsidR="007A3240">
        <w:t>–</w:t>
      </w:r>
      <w:r w:rsidR="00AE2FC7" w:rsidRPr="00C312BC">
        <w:t xml:space="preserve">15 regulatory control period with an overall revenue at risk of ±5 per cent. </w:t>
      </w:r>
    </w:p>
    <w:p w:rsidR="00AE2FC7" w:rsidRPr="00C312BC" w:rsidRDefault="00AE2FC7" w:rsidP="00AE2FC7">
      <w:r w:rsidRPr="00C312BC">
        <w:t>The following section shows the effect of (normalised) unplanned interruptions to supply to customers on United Energy's network.</w:t>
      </w:r>
    </w:p>
    <w:p w:rsidR="00AE2FC7" w:rsidRPr="00C312BC" w:rsidRDefault="00AE2FC7" w:rsidP="00AE2FC7">
      <w:pPr>
        <w:pStyle w:val="Heading4notnumbered"/>
      </w:pPr>
      <w:r w:rsidRPr="00C312BC">
        <w:t>Network reliability (normalised)</w:t>
      </w:r>
    </w:p>
    <w:p w:rsidR="00AE2FC7" w:rsidRPr="00C312BC" w:rsidRDefault="00AE2FC7" w:rsidP="00AE2FC7">
      <w:r w:rsidRPr="00C312BC">
        <w:t>In 2012</w:t>
      </w:r>
      <w:r w:rsidR="007A3240">
        <w:t>–</w:t>
      </w:r>
      <w:r w:rsidRPr="00C312BC">
        <w:t>13 the average United Energy customer experienced:</w:t>
      </w:r>
    </w:p>
    <w:p w:rsidR="00AE2FC7" w:rsidRPr="00C312BC" w:rsidRDefault="00AE2FC7" w:rsidP="002E2A83">
      <w:pPr>
        <w:pStyle w:val="ListBullet"/>
      </w:pPr>
      <w:r w:rsidRPr="00C312BC">
        <w:t xml:space="preserve">5 per cent fewer unplanned (normalised) minutes off supply than over the previous five years </w:t>
      </w:r>
    </w:p>
    <w:p w:rsidR="00AE2FC7" w:rsidRPr="00C312BC" w:rsidRDefault="00AE2FC7" w:rsidP="002E2A83">
      <w:pPr>
        <w:pStyle w:val="ListBullet"/>
      </w:pPr>
      <w:r w:rsidRPr="00C312BC">
        <w:t>7 per cent more unplanned (normalised) interruptions to supply than over the previous five years (</w:t>
      </w:r>
      <w:r>
        <w:t>Figure 9</w:t>
      </w:r>
      <w:r w:rsidRPr="00C312BC">
        <w:t>–1</w:t>
      </w:r>
      <w:r w:rsidR="00F354F5">
        <w:t>30</w:t>
      </w:r>
      <w:r w:rsidRPr="00C312BC">
        <w:t>).</w:t>
      </w:r>
    </w:p>
    <w:p w:rsidR="00AE2FC7" w:rsidRPr="00C312BC" w:rsidRDefault="00AE2FC7" w:rsidP="00AE2FC7">
      <w:r w:rsidRPr="00C312BC">
        <w:t xml:space="preserve">It should be noted the reliability information presented in </w:t>
      </w:r>
      <w:r>
        <w:t>Figure 9</w:t>
      </w:r>
      <w:r w:rsidRPr="00C312BC">
        <w:t>–1</w:t>
      </w:r>
      <w:r w:rsidR="00F354F5">
        <w:t>30</w:t>
      </w:r>
      <w:r w:rsidRPr="00C312BC">
        <w:t xml:space="preserve"> combines information from the previous jurisdictional scheme and the AER's STPIS. These schemes differ in detail and therefore the information is not directly comparable. However, the reliability outcomes are presented to provide broad trend information regarding United Energy's service performance.</w:t>
      </w:r>
    </w:p>
    <w:p w:rsidR="00AE2FC7" w:rsidRDefault="00AE2FC7" w:rsidP="00972E3F">
      <w:pPr>
        <w:pStyle w:val="Caption"/>
      </w:pPr>
      <w:r>
        <w:t>Figure 9</w:t>
      </w:r>
      <w:r w:rsidRPr="00C312BC">
        <w:t>–1</w:t>
      </w:r>
      <w:r w:rsidR="00F354F5">
        <w:t>30</w:t>
      </w:r>
      <w:r w:rsidRPr="00C312BC">
        <w:tab/>
        <w:t xml:space="preserve">Unplanned interruptions to supply (normalised) </w:t>
      </w:r>
      <w:r w:rsidR="007A3240">
        <w:t>–</w:t>
      </w:r>
      <w:r w:rsidRPr="00C312BC">
        <w:t xml:space="preserve"> United Energy</w:t>
      </w:r>
    </w:p>
    <w:p w:rsidR="00541EA1" w:rsidRPr="00541EA1" w:rsidRDefault="00541EA1" w:rsidP="00541EA1">
      <w:r>
        <w:rPr>
          <w:noProof/>
          <w:lang w:eastAsia="en-AU"/>
        </w:rPr>
        <w:drawing>
          <wp:inline distT="0" distB="0" distL="0" distR="0" wp14:anchorId="2D13C469" wp14:editId="6A62C8A2">
            <wp:extent cx="2833200" cy="1699200"/>
            <wp:effectExtent l="0" t="0" r="571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33200" cy="1699200"/>
                    </a:xfrm>
                    <a:prstGeom prst="rect">
                      <a:avLst/>
                    </a:prstGeom>
                    <a:noFill/>
                  </pic:spPr>
                </pic:pic>
              </a:graphicData>
            </a:graphic>
          </wp:inline>
        </w:drawing>
      </w:r>
      <w:r w:rsidR="003423BA">
        <w:rPr>
          <w:noProof/>
          <w:lang w:eastAsia="en-AU"/>
        </w:rPr>
        <w:drawing>
          <wp:inline distT="0" distB="0" distL="0" distR="0" wp14:anchorId="6AB7DC8B" wp14:editId="2A94BDB4">
            <wp:extent cx="2840400" cy="1702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40400" cy="1702800"/>
                    </a:xfrm>
                    <a:prstGeom prst="rect">
                      <a:avLst/>
                    </a:prstGeom>
                    <a:noFill/>
                  </pic:spPr>
                </pic:pic>
              </a:graphicData>
            </a:graphic>
          </wp:inline>
        </w:drawing>
      </w:r>
    </w:p>
    <w:p w:rsidR="00F354F5" w:rsidRDefault="00F354F5" w:rsidP="0020160F">
      <w:r w:rsidRPr="00F354F5">
        <w:rPr>
          <w:noProof/>
          <w:lang w:eastAsia="en-AU"/>
        </w:rPr>
        <w:drawing>
          <wp:inline distT="0" distB="0" distL="0" distR="0" wp14:anchorId="273E69E0" wp14:editId="207074CB">
            <wp:extent cx="5731510" cy="893357"/>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31510" cy="893357"/>
                    </a:xfrm>
                    <a:prstGeom prst="rect">
                      <a:avLst/>
                    </a:prstGeom>
                    <a:noFill/>
                    <a:ln>
                      <a:noFill/>
                    </a:ln>
                  </pic:spPr>
                </pic:pic>
              </a:graphicData>
            </a:graphic>
          </wp:inline>
        </w:drawing>
      </w:r>
    </w:p>
    <w:p w:rsidR="00AE2FC7" w:rsidRPr="00C312BC" w:rsidRDefault="00AE2FC7" w:rsidP="00AE2FC7">
      <w:pPr>
        <w:pStyle w:val="Heading4notnumbered"/>
      </w:pPr>
      <w:r w:rsidRPr="00C312BC">
        <w:t>S</w:t>
      </w:r>
      <w:r w:rsidR="007A3240">
        <w:t>–</w:t>
      </w:r>
      <w:r w:rsidRPr="00C312BC">
        <w:t>factor</w:t>
      </w:r>
    </w:p>
    <w:p w:rsidR="00AE2FC7" w:rsidRPr="00C312BC" w:rsidRDefault="00AE2FC7" w:rsidP="00AE2FC7">
      <w:r w:rsidRPr="00C312BC">
        <w:t>Note there is a two year lag between the regulatory year in which service performance outcomes are assessed and the regulatory year in which the s</w:t>
      </w:r>
      <w:r w:rsidR="007A3240">
        <w:t>–</w:t>
      </w:r>
      <w:r w:rsidRPr="00C312BC">
        <w:t xml:space="preserve">factor outcome is applied to the DNSPs' allowed revenue. </w:t>
      </w:r>
    </w:p>
    <w:p w:rsidR="00AE2FC7" w:rsidRPr="00C312BC" w:rsidRDefault="00AE2FC7" w:rsidP="00AE2FC7">
      <w:r>
        <w:t>Table 9</w:t>
      </w:r>
      <w:r w:rsidRPr="00C312BC">
        <w:t>–9 compares United Energy's service performance against its STPIS targets over the first three years of the 2011</w:t>
      </w:r>
      <w:r w:rsidR="007A3240">
        <w:t>–</w:t>
      </w:r>
      <w:r w:rsidRPr="00C312BC">
        <w:t>15 regulatory control period. United Energy failed to meet any of its reliability targets in 2013 after failing to meet all but one of its reliability targets in 2012.</w:t>
      </w:r>
    </w:p>
    <w:p w:rsidR="00AE2FC7" w:rsidRPr="00C312BC" w:rsidRDefault="00AE2FC7" w:rsidP="00AE2FC7">
      <w:r w:rsidRPr="00C312BC">
        <w:t>It is important to note STPIS targets are applied to normalised network reliability. In each of the first three years of the 2011</w:t>
      </w:r>
      <w:r w:rsidR="007A3240">
        <w:t>–</w:t>
      </w:r>
      <w:r w:rsidRPr="00C312BC">
        <w:t xml:space="preserve">15 regulatory control period United Energy experienced between one and four days where its daily unplanned SAIDI exceeded the major event day boundary. For any day in which unplanned SAIDI exceeds the major event day boundary the impact of that day's SAIDI, SAIFI, MAIFI and telephone answering is removed from the calculation of the annual normalised service performance measures. </w:t>
      </w:r>
      <w:r w:rsidR="003C0E6F" w:rsidRPr="00DB416A">
        <w:t xml:space="preserve">By removing the impact of events occurring on major event days </w:t>
      </w:r>
      <w:r w:rsidR="003C0E6F">
        <w:t xml:space="preserve">we exclude from the operation of the scheme </w:t>
      </w:r>
      <w:r w:rsidR="003C0E6F" w:rsidRPr="00DB416A">
        <w:t xml:space="preserve">events </w:t>
      </w:r>
      <w:r w:rsidR="003C0E6F">
        <w:t xml:space="preserve">we </w:t>
      </w:r>
      <w:r w:rsidR="003C0E6F" w:rsidRPr="00DB416A">
        <w:t>consider to be outside the DNSP's control.</w:t>
      </w:r>
    </w:p>
    <w:p w:rsidR="00AE2FC7" w:rsidRPr="00C312BC" w:rsidRDefault="00AE2FC7" w:rsidP="00AE2FC7">
      <w:r w:rsidRPr="00C312BC">
        <w:t>The s</w:t>
      </w:r>
      <w:r w:rsidR="007A3240">
        <w:t>–</w:t>
      </w:r>
      <w:r w:rsidRPr="00C312BC">
        <w:t>factor is incorporated into United Energy's control mechanism as a multiplier in its WAPC. Allowed revenue is incremented when service performance is better than performance targets and decremented when service performance is worse than performance targets. The way in which the s</w:t>
      </w:r>
      <w:r w:rsidR="007A3240">
        <w:t>–</w:t>
      </w:r>
      <w:r w:rsidRPr="00C312BC">
        <w:t>factor is incorporated into United Energy's control mechanism is set out in the 2011</w:t>
      </w:r>
      <w:r w:rsidR="007A3240">
        <w:t>–</w:t>
      </w:r>
      <w:r w:rsidRPr="00C312BC">
        <w:t>15 distribution determination.</w:t>
      </w:r>
    </w:p>
    <w:p w:rsidR="00AE2FC7" w:rsidRPr="00C312BC" w:rsidRDefault="00AE2FC7" w:rsidP="00AE2FC7">
      <w:r w:rsidRPr="00C312BC">
        <w:t>Note there is a two year lag between the regulatory year in which service performance outcomes are assessed and the regulatory year in which the s</w:t>
      </w:r>
      <w:r w:rsidR="007A3240">
        <w:t>–</w:t>
      </w:r>
      <w:r w:rsidRPr="00C312BC">
        <w:t xml:space="preserve">factor outcome is applied to the DNSPs' allowed revenue. </w:t>
      </w:r>
    </w:p>
    <w:p w:rsidR="00AE2FC7" w:rsidRDefault="00AE2FC7" w:rsidP="00972E3F">
      <w:pPr>
        <w:pStyle w:val="Caption"/>
      </w:pPr>
      <w:r>
        <w:t>Table 9</w:t>
      </w:r>
      <w:r w:rsidRPr="00C312BC">
        <w:t>–9</w:t>
      </w:r>
      <w:r w:rsidRPr="00C312BC">
        <w:tab/>
        <w:t>S</w:t>
      </w:r>
      <w:r w:rsidR="007A3240">
        <w:t>–</w:t>
      </w:r>
      <w:r w:rsidRPr="00C312BC">
        <w:t xml:space="preserve">factor </w:t>
      </w:r>
      <w:r w:rsidR="007A3240">
        <w:t>–</w:t>
      </w:r>
      <w:r w:rsidRPr="00C312BC">
        <w:t xml:space="preserve"> United Energy</w:t>
      </w:r>
    </w:p>
    <w:p w:rsidR="00541EA1" w:rsidRPr="00541EA1" w:rsidRDefault="00541EA1" w:rsidP="00541EA1">
      <w:r w:rsidRPr="00541EA1">
        <w:rPr>
          <w:noProof/>
          <w:lang w:eastAsia="en-AU"/>
        </w:rPr>
        <w:drawing>
          <wp:inline distT="0" distB="0" distL="0" distR="0" wp14:anchorId="153D4EFD" wp14:editId="6C0BFF13">
            <wp:extent cx="5731510" cy="3082524"/>
            <wp:effectExtent l="0" t="0" r="2540" b="381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5731510" cy="3082524"/>
                    </a:xfrm>
                    <a:prstGeom prst="rect">
                      <a:avLst/>
                    </a:prstGeom>
                  </pic:spPr>
                </pic:pic>
              </a:graphicData>
            </a:graphic>
          </wp:inline>
        </w:drawing>
      </w:r>
    </w:p>
    <w:p w:rsidR="00AB11E6" w:rsidRPr="00CB73C1" w:rsidRDefault="00AB11E6" w:rsidP="00AB11E6">
      <w:r>
        <w:t>Chapter 8 contains</w:t>
      </w:r>
      <w:r w:rsidRPr="00CB73C1">
        <w:t xml:space="preserve"> information on </w:t>
      </w:r>
      <w:r>
        <w:t>our</w:t>
      </w:r>
      <w:r w:rsidRPr="00CB73C1">
        <w:t xml:space="preserve"> STPIS and a comparative assessment of the DNSPs' service performance.</w:t>
      </w:r>
    </w:p>
    <w:p w:rsidR="00AE2FC7" w:rsidRDefault="00AE2FC7" w:rsidP="00AE2FC7"/>
    <w:p w:rsidR="00AE2FC7" w:rsidRPr="00D741EC" w:rsidRDefault="00AE2FC7" w:rsidP="00AE2FC7">
      <w:pPr>
        <w:pStyle w:val="Heading1"/>
      </w:pPr>
      <w:bookmarkStart w:id="624" w:name="_Toc409771743"/>
      <w:bookmarkStart w:id="625" w:name="_Toc423086581"/>
      <w:r w:rsidRPr="00D741EC">
        <w:t>Glossary</w:t>
      </w:r>
      <w:bookmarkEnd w:id="624"/>
      <w:bookmarkEnd w:id="625"/>
    </w:p>
    <w:tbl>
      <w:tblPr>
        <w:tblStyle w:val="AERTable-Text"/>
        <w:tblW w:w="0" w:type="auto"/>
        <w:tblLook w:val="04A0" w:firstRow="1" w:lastRow="0" w:firstColumn="1" w:lastColumn="0" w:noHBand="0" w:noVBand="1"/>
      </w:tblPr>
      <w:tblGrid>
        <w:gridCol w:w="4346"/>
        <w:gridCol w:w="4347"/>
      </w:tblGrid>
      <w:tr w:rsidR="00AE2FC7" w:rsidRPr="00D741EC" w:rsidTr="00AE2FC7">
        <w:trPr>
          <w:cnfStyle w:val="100000000000" w:firstRow="1" w:lastRow="0" w:firstColumn="0" w:lastColumn="0" w:oddVBand="0" w:evenVBand="0" w:oddHBand="0" w:evenHBand="0" w:firstRowFirstColumn="0" w:firstRowLastColumn="0" w:lastRowFirstColumn="0" w:lastRowLastColumn="0"/>
        </w:trPr>
        <w:tc>
          <w:tcPr>
            <w:tcW w:w="4346" w:type="dxa"/>
          </w:tcPr>
          <w:p w:rsidR="00AE2FC7" w:rsidRPr="00AE2FC7" w:rsidRDefault="00AE2FC7" w:rsidP="00AE2FC7">
            <w:r w:rsidRPr="00AE2FC7">
              <w:t>Abbreviation</w:t>
            </w:r>
          </w:p>
        </w:tc>
        <w:tc>
          <w:tcPr>
            <w:tcW w:w="4347" w:type="dxa"/>
          </w:tcPr>
          <w:p w:rsidR="00AE2FC7" w:rsidRPr="00AE2FC7" w:rsidRDefault="00AE2FC7" w:rsidP="00AE2FC7">
            <w:r w:rsidRPr="00AE2FC7">
              <w:t>Extended Name</w:t>
            </w:r>
          </w:p>
        </w:tc>
      </w:tr>
      <w:tr w:rsidR="00AE2FC7" w:rsidRPr="00D741EC" w:rsidTr="00AE2FC7">
        <w:tc>
          <w:tcPr>
            <w:tcW w:w="4346" w:type="dxa"/>
          </w:tcPr>
          <w:p w:rsidR="00AE2FC7" w:rsidRPr="00AE2FC7" w:rsidRDefault="00AE2FC7" w:rsidP="00AE2FC7">
            <w:r w:rsidRPr="00AE2FC7">
              <w:t>AER</w:t>
            </w:r>
          </w:p>
        </w:tc>
        <w:tc>
          <w:tcPr>
            <w:tcW w:w="4347" w:type="dxa"/>
          </w:tcPr>
          <w:p w:rsidR="00AE2FC7" w:rsidRPr="00AE2FC7" w:rsidRDefault="00AE2FC7" w:rsidP="00AE2FC7">
            <w:r w:rsidRPr="00AE2FC7">
              <w:t>Australian Energy Regulator</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ARC</w:t>
            </w:r>
          </w:p>
        </w:tc>
        <w:tc>
          <w:tcPr>
            <w:tcW w:w="4347" w:type="dxa"/>
          </w:tcPr>
          <w:p w:rsidR="00AE2FC7" w:rsidRPr="00AE2FC7" w:rsidRDefault="00AE2FC7" w:rsidP="00AE2FC7">
            <w:r w:rsidRPr="00AE2FC7">
              <w:t xml:space="preserve">Average Revenue Cap </w:t>
            </w:r>
          </w:p>
        </w:tc>
      </w:tr>
      <w:tr w:rsidR="002E2A83" w:rsidRPr="00D741EC" w:rsidTr="00AE2FC7">
        <w:tc>
          <w:tcPr>
            <w:tcW w:w="4346" w:type="dxa"/>
          </w:tcPr>
          <w:p w:rsidR="002E2A83" w:rsidRPr="00AE2FC7" w:rsidRDefault="002E2A83" w:rsidP="00AE2FC7">
            <w:r>
              <w:t>CPI</w:t>
            </w:r>
          </w:p>
        </w:tc>
        <w:tc>
          <w:tcPr>
            <w:tcW w:w="4347" w:type="dxa"/>
          </w:tcPr>
          <w:p w:rsidR="002E2A83" w:rsidRPr="00AE2FC7" w:rsidRDefault="002E2A83" w:rsidP="00AE2FC7">
            <w:r>
              <w:t>Consumer Price Index</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DNSP</w:t>
            </w:r>
          </w:p>
        </w:tc>
        <w:tc>
          <w:tcPr>
            <w:tcW w:w="4347" w:type="dxa"/>
          </w:tcPr>
          <w:p w:rsidR="00AE2FC7" w:rsidRPr="00AE2FC7" w:rsidRDefault="00AE2FC7" w:rsidP="00AE2FC7">
            <w:r w:rsidRPr="00AE2FC7">
              <w:t xml:space="preserve">Distribution Network Service Providers </w:t>
            </w:r>
          </w:p>
        </w:tc>
      </w:tr>
      <w:tr w:rsidR="00AE2FC7" w:rsidRPr="00D741EC" w:rsidTr="00AE2FC7">
        <w:tc>
          <w:tcPr>
            <w:tcW w:w="4346" w:type="dxa"/>
          </w:tcPr>
          <w:p w:rsidR="00AE2FC7" w:rsidRPr="00AE2FC7" w:rsidRDefault="00AE2FC7" w:rsidP="00AE2FC7">
            <w:r w:rsidRPr="00AE2FC7">
              <w:t>EBIT</w:t>
            </w:r>
          </w:p>
        </w:tc>
        <w:tc>
          <w:tcPr>
            <w:tcW w:w="4347" w:type="dxa"/>
          </w:tcPr>
          <w:p w:rsidR="00AE2FC7" w:rsidRPr="00AE2FC7" w:rsidRDefault="00AE2FC7" w:rsidP="00AE2FC7">
            <w:r w:rsidRPr="00AE2FC7">
              <w:t xml:space="preserve">Earnings Before Interest and Tax </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EBSS</w:t>
            </w:r>
          </w:p>
        </w:tc>
        <w:tc>
          <w:tcPr>
            <w:tcW w:w="4347" w:type="dxa"/>
          </w:tcPr>
          <w:p w:rsidR="00AE2FC7" w:rsidRPr="00AE2FC7" w:rsidRDefault="00AE2FC7" w:rsidP="00AE2FC7">
            <w:r w:rsidRPr="00AE2FC7">
              <w:t xml:space="preserve">Efficiency Benefit Sharing Scheme </w:t>
            </w:r>
          </w:p>
        </w:tc>
      </w:tr>
      <w:tr w:rsidR="00BE5060" w:rsidRPr="00D741EC" w:rsidTr="00AE2FC7">
        <w:tc>
          <w:tcPr>
            <w:tcW w:w="4346" w:type="dxa"/>
          </w:tcPr>
          <w:p w:rsidR="00BE5060" w:rsidRPr="00AE2FC7" w:rsidRDefault="00BE5060" w:rsidP="00AE2FC7">
            <w:r>
              <w:t>GSL</w:t>
            </w:r>
          </w:p>
        </w:tc>
        <w:tc>
          <w:tcPr>
            <w:tcW w:w="4347" w:type="dxa"/>
          </w:tcPr>
          <w:p w:rsidR="00BE5060" w:rsidRPr="00AE2FC7" w:rsidRDefault="00BE5060" w:rsidP="00AE2FC7">
            <w:r>
              <w:t>Guaranteed service level</w:t>
            </w:r>
          </w:p>
        </w:tc>
      </w:tr>
      <w:tr w:rsidR="00BE5060"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BE5060" w:rsidRDefault="00BE5060" w:rsidP="00AE2FC7">
            <w:r>
              <w:t>GWh</w:t>
            </w:r>
          </w:p>
        </w:tc>
        <w:tc>
          <w:tcPr>
            <w:tcW w:w="4347" w:type="dxa"/>
          </w:tcPr>
          <w:p w:rsidR="00BE5060" w:rsidRDefault="00BE5060" w:rsidP="00AE2FC7">
            <w:r>
              <w:t>Gigawatt hour</w:t>
            </w:r>
          </w:p>
        </w:tc>
      </w:tr>
      <w:tr w:rsidR="00AE2FC7" w:rsidRPr="00D741EC" w:rsidTr="00AE2FC7">
        <w:tc>
          <w:tcPr>
            <w:tcW w:w="4346" w:type="dxa"/>
          </w:tcPr>
          <w:p w:rsidR="00AE2FC7" w:rsidRPr="00AE2FC7" w:rsidRDefault="00AE2FC7" w:rsidP="00AE2FC7">
            <w:r w:rsidRPr="00AE2FC7">
              <w:t>MAR</w:t>
            </w:r>
          </w:p>
        </w:tc>
        <w:tc>
          <w:tcPr>
            <w:tcW w:w="4347" w:type="dxa"/>
          </w:tcPr>
          <w:p w:rsidR="00AE2FC7" w:rsidRPr="00AE2FC7" w:rsidRDefault="00AE2FC7" w:rsidP="00AE2FC7">
            <w:r w:rsidRPr="00AE2FC7">
              <w:t xml:space="preserve">Maximum Allowable Revenue </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MAIFI</w:t>
            </w:r>
          </w:p>
        </w:tc>
        <w:tc>
          <w:tcPr>
            <w:tcW w:w="4347" w:type="dxa"/>
          </w:tcPr>
          <w:p w:rsidR="00AE2FC7" w:rsidRPr="00AE2FC7" w:rsidRDefault="00AE2FC7" w:rsidP="00AE2FC7">
            <w:r w:rsidRPr="00AE2FC7">
              <w:t xml:space="preserve">Momentary Average Interruption Frequency Index </w:t>
            </w:r>
          </w:p>
        </w:tc>
      </w:tr>
      <w:tr w:rsidR="00BE5060" w:rsidRPr="00D741EC" w:rsidTr="00AE2FC7">
        <w:tc>
          <w:tcPr>
            <w:tcW w:w="4346" w:type="dxa"/>
          </w:tcPr>
          <w:p w:rsidR="00BE5060" w:rsidRPr="00AE2FC7" w:rsidRDefault="00BE5060" w:rsidP="00AE2FC7">
            <w:r>
              <w:t>MVA</w:t>
            </w:r>
          </w:p>
        </w:tc>
        <w:tc>
          <w:tcPr>
            <w:tcW w:w="4347" w:type="dxa"/>
          </w:tcPr>
          <w:p w:rsidR="00BE5060" w:rsidRPr="00AE2FC7" w:rsidRDefault="00BE5060" w:rsidP="00BE5060">
            <w:r>
              <w:t>Megavolt ampere</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NEL</w:t>
            </w:r>
          </w:p>
        </w:tc>
        <w:tc>
          <w:tcPr>
            <w:tcW w:w="4347" w:type="dxa"/>
          </w:tcPr>
          <w:p w:rsidR="00AE2FC7" w:rsidRPr="00AE2FC7" w:rsidRDefault="00AE2FC7" w:rsidP="00AE2FC7">
            <w:r w:rsidRPr="00AE2FC7">
              <w:t>National Electricity Law</w:t>
            </w:r>
          </w:p>
        </w:tc>
      </w:tr>
      <w:tr w:rsidR="00AE2FC7" w:rsidRPr="00D741EC" w:rsidTr="00AE2FC7">
        <w:tc>
          <w:tcPr>
            <w:tcW w:w="4346" w:type="dxa"/>
          </w:tcPr>
          <w:p w:rsidR="00AE2FC7" w:rsidRPr="00AE2FC7" w:rsidRDefault="00AE2FC7" w:rsidP="00AE2FC7">
            <w:r w:rsidRPr="00AE2FC7">
              <w:t>NEM</w:t>
            </w:r>
          </w:p>
        </w:tc>
        <w:tc>
          <w:tcPr>
            <w:tcW w:w="4347" w:type="dxa"/>
          </w:tcPr>
          <w:p w:rsidR="00AE2FC7" w:rsidRPr="00AE2FC7" w:rsidRDefault="00AE2FC7" w:rsidP="00AE2FC7">
            <w:r w:rsidRPr="00AE2FC7">
              <w:t>National Electricity Market</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NEO</w:t>
            </w:r>
          </w:p>
        </w:tc>
        <w:tc>
          <w:tcPr>
            <w:tcW w:w="4347" w:type="dxa"/>
          </w:tcPr>
          <w:p w:rsidR="00AE2FC7" w:rsidRPr="00AE2FC7" w:rsidRDefault="00AE2FC7" w:rsidP="00AE2FC7">
            <w:r w:rsidRPr="00AE2FC7">
              <w:t>National Electricity Objective</w:t>
            </w:r>
          </w:p>
        </w:tc>
      </w:tr>
      <w:tr w:rsidR="00AE2FC7" w:rsidRPr="00D741EC" w:rsidTr="00AE2FC7">
        <w:tc>
          <w:tcPr>
            <w:tcW w:w="4346" w:type="dxa"/>
          </w:tcPr>
          <w:p w:rsidR="00AE2FC7" w:rsidRPr="00AE2FC7" w:rsidRDefault="00AE2FC7" w:rsidP="00AE2FC7">
            <w:r w:rsidRPr="00AE2FC7">
              <w:t>NER</w:t>
            </w:r>
          </w:p>
        </w:tc>
        <w:tc>
          <w:tcPr>
            <w:tcW w:w="4347" w:type="dxa"/>
          </w:tcPr>
          <w:p w:rsidR="00AE2FC7" w:rsidRPr="00AE2FC7" w:rsidRDefault="00AE2FC7" w:rsidP="00AE2FC7">
            <w:r w:rsidRPr="00AE2FC7">
              <w:t>National Electricity Rules</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NSP</w:t>
            </w:r>
          </w:p>
        </w:tc>
        <w:tc>
          <w:tcPr>
            <w:tcW w:w="4347" w:type="dxa"/>
          </w:tcPr>
          <w:p w:rsidR="00AE2FC7" w:rsidRPr="00AE2FC7" w:rsidRDefault="00AE2FC7" w:rsidP="00AE2FC7">
            <w:r w:rsidRPr="00AE2FC7">
              <w:t>Network Service Provider</w:t>
            </w:r>
          </w:p>
        </w:tc>
      </w:tr>
      <w:tr w:rsidR="00AE2FC7" w:rsidRPr="00D741EC" w:rsidTr="00AE2FC7">
        <w:tc>
          <w:tcPr>
            <w:tcW w:w="4346" w:type="dxa"/>
          </w:tcPr>
          <w:p w:rsidR="00AE2FC7" w:rsidRPr="00AE2FC7" w:rsidRDefault="00AE2FC7" w:rsidP="00AE2FC7">
            <w:r w:rsidRPr="00AE2FC7">
              <w:t>RAB</w:t>
            </w:r>
          </w:p>
        </w:tc>
        <w:tc>
          <w:tcPr>
            <w:tcW w:w="4347" w:type="dxa"/>
          </w:tcPr>
          <w:p w:rsidR="00AE2FC7" w:rsidRPr="00AE2FC7" w:rsidRDefault="00AE2FC7" w:rsidP="00AE2FC7">
            <w:r w:rsidRPr="00AE2FC7">
              <w:t xml:space="preserve">Regulatory Asset Base </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RIN</w:t>
            </w:r>
          </w:p>
        </w:tc>
        <w:tc>
          <w:tcPr>
            <w:tcW w:w="4347" w:type="dxa"/>
          </w:tcPr>
          <w:p w:rsidR="00AE2FC7" w:rsidRPr="00AE2FC7" w:rsidRDefault="00AE2FC7" w:rsidP="002E2A83">
            <w:r w:rsidRPr="00AE2FC7">
              <w:t xml:space="preserve">Regulatory Information Notice </w:t>
            </w:r>
          </w:p>
        </w:tc>
      </w:tr>
      <w:tr w:rsidR="00AE2FC7" w:rsidRPr="00D741EC" w:rsidTr="00AE2FC7">
        <w:tc>
          <w:tcPr>
            <w:tcW w:w="4346" w:type="dxa"/>
          </w:tcPr>
          <w:p w:rsidR="00AE2FC7" w:rsidRPr="00AE2FC7" w:rsidRDefault="00AE2FC7" w:rsidP="00AE2FC7">
            <w:r w:rsidRPr="00AE2FC7">
              <w:t>SAIDI</w:t>
            </w:r>
          </w:p>
        </w:tc>
        <w:tc>
          <w:tcPr>
            <w:tcW w:w="4347" w:type="dxa"/>
          </w:tcPr>
          <w:p w:rsidR="00AE2FC7" w:rsidRPr="00AE2FC7" w:rsidRDefault="00AE2FC7" w:rsidP="00AE2FC7">
            <w:r w:rsidRPr="00AE2FC7">
              <w:t xml:space="preserve">System Average Interruption Duration Index </w:t>
            </w:r>
          </w:p>
        </w:tc>
      </w:tr>
      <w:tr w:rsidR="00AE2FC7" w:rsidRPr="00D741EC" w:rsidTr="00AE2FC7">
        <w:trPr>
          <w:cnfStyle w:val="000000010000" w:firstRow="0" w:lastRow="0" w:firstColumn="0" w:lastColumn="0" w:oddVBand="0" w:evenVBand="0" w:oddHBand="0" w:evenHBand="1" w:firstRowFirstColumn="0" w:firstRowLastColumn="0" w:lastRowFirstColumn="0" w:lastRowLastColumn="0"/>
        </w:trPr>
        <w:tc>
          <w:tcPr>
            <w:tcW w:w="4346" w:type="dxa"/>
          </w:tcPr>
          <w:p w:rsidR="00AE2FC7" w:rsidRPr="00AE2FC7" w:rsidRDefault="00AE2FC7" w:rsidP="00AE2FC7">
            <w:r w:rsidRPr="00AE2FC7">
              <w:t>SAIFI</w:t>
            </w:r>
          </w:p>
        </w:tc>
        <w:tc>
          <w:tcPr>
            <w:tcW w:w="4347" w:type="dxa"/>
          </w:tcPr>
          <w:p w:rsidR="00AE2FC7" w:rsidRPr="00AE2FC7" w:rsidRDefault="00AE2FC7" w:rsidP="00AE2FC7">
            <w:r w:rsidRPr="00AE2FC7">
              <w:t xml:space="preserve">System Average Interruption Frequency Index </w:t>
            </w:r>
          </w:p>
        </w:tc>
      </w:tr>
      <w:tr w:rsidR="00EE56B5" w:rsidRPr="00D741EC" w:rsidTr="00B4372B">
        <w:tc>
          <w:tcPr>
            <w:tcW w:w="4346" w:type="dxa"/>
          </w:tcPr>
          <w:p w:rsidR="00EE56B5" w:rsidRPr="00AE2FC7" w:rsidRDefault="00EE56B5" w:rsidP="00B4372B">
            <w:r w:rsidRPr="00AE2FC7">
              <w:t>STPIS</w:t>
            </w:r>
          </w:p>
        </w:tc>
        <w:tc>
          <w:tcPr>
            <w:tcW w:w="4347" w:type="dxa"/>
          </w:tcPr>
          <w:p w:rsidR="00EE56B5" w:rsidRPr="00AE2FC7" w:rsidRDefault="00EE56B5" w:rsidP="00B4372B">
            <w:r w:rsidRPr="00AE2FC7">
              <w:t xml:space="preserve">Service Target Performance Incentive Scheme </w:t>
            </w:r>
          </w:p>
        </w:tc>
      </w:tr>
      <w:tr w:rsidR="00EE56B5" w:rsidRPr="00D741EC" w:rsidTr="00B4372B">
        <w:trPr>
          <w:cnfStyle w:val="000000010000" w:firstRow="0" w:lastRow="0" w:firstColumn="0" w:lastColumn="0" w:oddVBand="0" w:evenVBand="0" w:oddHBand="0" w:evenHBand="1" w:firstRowFirstColumn="0" w:firstRowLastColumn="0" w:lastRowFirstColumn="0" w:lastRowLastColumn="0"/>
        </w:trPr>
        <w:tc>
          <w:tcPr>
            <w:tcW w:w="4346" w:type="dxa"/>
          </w:tcPr>
          <w:p w:rsidR="00EE56B5" w:rsidRPr="00AE2FC7" w:rsidRDefault="00EE56B5" w:rsidP="00B4372B">
            <w:r w:rsidRPr="00AE2FC7">
              <w:t>the Tribunal</w:t>
            </w:r>
          </w:p>
        </w:tc>
        <w:tc>
          <w:tcPr>
            <w:tcW w:w="4347" w:type="dxa"/>
          </w:tcPr>
          <w:p w:rsidR="00EE56B5" w:rsidRPr="00AE2FC7" w:rsidRDefault="00EE56B5" w:rsidP="00B4372B">
            <w:r w:rsidRPr="00AE2FC7">
              <w:t xml:space="preserve">Australian Competition Tribunal </w:t>
            </w:r>
          </w:p>
        </w:tc>
      </w:tr>
      <w:tr w:rsidR="00EE56B5" w:rsidRPr="00D741EC" w:rsidTr="00B4372B">
        <w:tc>
          <w:tcPr>
            <w:tcW w:w="4346" w:type="dxa"/>
          </w:tcPr>
          <w:p w:rsidR="00EE56B5" w:rsidRPr="00AE2FC7" w:rsidRDefault="00EE56B5" w:rsidP="00B4372B">
            <w:r w:rsidRPr="00AE2FC7">
              <w:t>WAPC</w:t>
            </w:r>
          </w:p>
        </w:tc>
        <w:tc>
          <w:tcPr>
            <w:tcW w:w="4347" w:type="dxa"/>
          </w:tcPr>
          <w:p w:rsidR="00EE56B5" w:rsidRPr="00AE2FC7" w:rsidRDefault="00EE56B5" w:rsidP="00B4372B">
            <w:r w:rsidRPr="00AE2FC7">
              <w:t>Weighted Average Price Cap</w:t>
            </w:r>
          </w:p>
        </w:tc>
      </w:tr>
    </w:tbl>
    <w:p w:rsidR="00AE2FC7" w:rsidRPr="0053090B" w:rsidRDefault="00AE2FC7" w:rsidP="00EE56B5">
      <w:pPr>
        <w:rPr>
          <w:rStyle w:val="Strong"/>
        </w:rPr>
      </w:pPr>
      <w:bookmarkStart w:id="626" w:name="_GoBack"/>
      <w:bookmarkEnd w:id="0"/>
      <w:bookmarkEnd w:id="626"/>
    </w:p>
    <w:sectPr w:rsidR="00AE2FC7" w:rsidRPr="0053090B" w:rsidSect="007006D1">
      <w:footerReference w:type="even" r:id="rId295"/>
      <w:footerReference w:type="default" r:id="rId296"/>
      <w:footerReference w:type="first" r:id="rId297"/>
      <w:pgSz w:w="11906" w:h="16838"/>
      <w:pgMar w:top="1134" w:right="1440" w:bottom="993" w:left="1440" w:header="708" w:footer="8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D0C" w:rsidRDefault="00AD3D0C" w:rsidP="004B4412">
      <w:pPr>
        <w:spacing w:before="0"/>
      </w:pPr>
      <w:r>
        <w:separator/>
      </w:r>
    </w:p>
    <w:p w:rsidR="00AD3D0C" w:rsidRDefault="00AD3D0C"/>
    <w:p w:rsidR="00AD3D0C" w:rsidRDefault="00AD3D0C"/>
  </w:endnote>
  <w:endnote w:type="continuationSeparator" w:id="0">
    <w:p w:rsidR="00AD3D0C" w:rsidRDefault="00AD3D0C" w:rsidP="004B4412">
      <w:pPr>
        <w:spacing w:before="0"/>
      </w:pPr>
      <w:r>
        <w:continuationSeparator/>
      </w:r>
    </w:p>
    <w:p w:rsidR="00AD3D0C" w:rsidRDefault="00AD3D0C"/>
    <w:p w:rsidR="00AD3D0C" w:rsidRDefault="00AD3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0C" w:rsidRPr="007A4D1F" w:rsidRDefault="00AD3D0C" w:rsidP="007A4D1F">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2337B5" w:rsidRPr="002337B5">
      <w:rPr>
        <w:rFonts w:eastAsia="Arial" w:cs="Times New Roman"/>
        <w:b/>
        <w:bCs/>
        <w:noProof/>
        <w:color w:val="076A92" w:themeColor="text1"/>
        <w:sz w:val="18"/>
        <w:lang w:val="en-US"/>
      </w:rPr>
      <w:t>Electricity</w:t>
    </w:r>
    <w:r w:rsidR="002337B5">
      <w:rPr>
        <w:rFonts w:eastAsia="Arial" w:cs="Times New Roman"/>
        <w:noProof/>
        <w:color w:val="076A92" w:themeColor="text1"/>
        <w:sz w:val="18"/>
      </w:rPr>
      <w:t xml:space="preserve"> distributors 2011–13 performance report</w:t>
    </w:r>
    <w:r>
      <w:rPr>
        <w:rFonts w:eastAsia="Arial" w:cs="Times New Roman"/>
        <w:color w:val="076A92" w:themeColor="text1"/>
        <w:sz w:val="18"/>
      </w:rPr>
      <w:fldChar w:fldCharType="end"/>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2337B5">
      <w:rPr>
        <w:rFonts w:eastAsia="Arial" w:cs="Times New Roman"/>
        <w:noProof/>
        <w:color w:val="076A92" w:themeColor="text1"/>
        <w:sz w:val="18"/>
      </w:rPr>
      <w:t>iv</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AD3D0C" w:rsidRDefault="00AD3D0C" w:rsidP="00A60023">
    <w:pPr>
      <w:pStyle w:val="Footer"/>
      <w:tabs>
        <w:tab w:val="clear" w:pos="4513"/>
        <w:tab w:val="clear" w:pos="9026"/>
        <w:tab w:val="left" w:pos="8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0C" w:rsidRPr="00A91A9E" w:rsidRDefault="00AD3D0C" w:rsidP="00AE2FC7">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AD3D0C" w:rsidRDefault="00AD3D0C"/>
  <w:p w:rsidR="00AD3D0C" w:rsidRDefault="00AD3D0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0C" w:rsidRDefault="002337B5" w:rsidP="00CC7F1D">
    <w:pPr>
      <w:pStyle w:val="Footer"/>
      <w:tabs>
        <w:tab w:val="clear" w:pos="9026"/>
        <w:tab w:val="right" w:pos="8505"/>
      </w:tabs>
    </w:pPr>
    <w:r>
      <w:fldChar w:fldCharType="begin"/>
    </w:r>
    <w:r>
      <w:instrText xml:space="preserve"> STYLEREF  "Report Title"  \* MERGEFORMAT </w:instrText>
    </w:r>
    <w:r>
      <w:fldChar w:fldCharType="separate"/>
    </w:r>
    <w:r>
      <w:rPr>
        <w:noProof/>
      </w:rPr>
      <w:t>Electricity distributors 2011–13 performance report</w:t>
    </w:r>
    <w:r>
      <w:rPr>
        <w:noProof/>
      </w:rPr>
      <w:fldChar w:fldCharType="end"/>
    </w:r>
    <w:r w:rsidR="00AD3D0C">
      <w:tab/>
    </w:r>
    <w:r w:rsidR="00AD3D0C">
      <w:tab/>
    </w:r>
    <w:r w:rsidR="00AD3D0C">
      <w:fldChar w:fldCharType="begin"/>
    </w:r>
    <w:r w:rsidR="00AD3D0C">
      <w:instrText xml:space="preserve"> PAGE   \* MERGEFORMAT </w:instrText>
    </w:r>
    <w:r w:rsidR="00AD3D0C">
      <w:fldChar w:fldCharType="separate"/>
    </w:r>
    <w:r>
      <w:rPr>
        <w:noProof/>
      </w:rPr>
      <w:t>8</w:t>
    </w:r>
    <w:r w:rsidR="00AD3D0C">
      <w:rPr>
        <w:noProof/>
      </w:rPr>
      <w:fldChar w:fldCharType="end"/>
    </w:r>
  </w:p>
  <w:p w:rsidR="00AD3D0C" w:rsidRDefault="00AD3D0C"/>
  <w:p w:rsidR="00AD3D0C" w:rsidRDefault="00AD3D0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D0C" w:rsidRDefault="002337B5" w:rsidP="00CC7F1D">
    <w:pPr>
      <w:pStyle w:val="Footer"/>
      <w:tabs>
        <w:tab w:val="clear" w:pos="9026"/>
        <w:tab w:val="right" w:pos="8505"/>
      </w:tabs>
    </w:pPr>
    <w:r>
      <w:fldChar w:fldCharType="begin"/>
    </w:r>
    <w:r>
      <w:instrText xml:space="preserve"> STYLEREF  "Report Title"  \* MERGEFORMAT </w:instrText>
    </w:r>
    <w:r>
      <w:fldChar w:fldCharType="separate"/>
    </w:r>
    <w:r>
      <w:rPr>
        <w:noProof/>
      </w:rPr>
      <w:t>Electricity distributors 2011–13 performance report</w:t>
    </w:r>
    <w:r>
      <w:rPr>
        <w:noProof/>
      </w:rPr>
      <w:fldChar w:fldCharType="end"/>
    </w:r>
    <w:r w:rsidR="00AD3D0C">
      <w:tab/>
    </w:r>
    <w:r w:rsidR="00AD3D0C">
      <w:tab/>
    </w:r>
    <w:r w:rsidR="00AD3D0C">
      <w:fldChar w:fldCharType="begin"/>
    </w:r>
    <w:r w:rsidR="00AD3D0C">
      <w:instrText xml:space="preserve"> PAGE   \* MERGEFORMAT </w:instrText>
    </w:r>
    <w:r w:rsidR="00AD3D0C">
      <w:fldChar w:fldCharType="separate"/>
    </w:r>
    <w:r>
      <w:rPr>
        <w:noProof/>
      </w:rPr>
      <w:t>1</w:t>
    </w:r>
    <w:r w:rsidR="00AD3D0C">
      <w:fldChar w:fldCharType="end"/>
    </w:r>
  </w:p>
  <w:p w:rsidR="00AD3D0C" w:rsidRDefault="00AD3D0C">
    <w:pPr>
      <w:pStyle w:val="Footer"/>
    </w:pPr>
  </w:p>
  <w:p w:rsidR="00AD3D0C" w:rsidRDefault="00AD3D0C"/>
  <w:p w:rsidR="00AD3D0C" w:rsidRDefault="00AD3D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D0C" w:rsidRDefault="00AD3D0C" w:rsidP="00182906">
      <w:pPr>
        <w:spacing w:before="0"/>
      </w:pPr>
      <w:r>
        <w:separator/>
      </w:r>
    </w:p>
  </w:footnote>
  <w:footnote w:type="continuationSeparator" w:id="0">
    <w:p w:rsidR="00AD3D0C" w:rsidRDefault="00AD3D0C" w:rsidP="00182906">
      <w:pPr>
        <w:spacing w:before="0"/>
      </w:pPr>
      <w:r>
        <w:continuationSeparator/>
      </w:r>
    </w:p>
  </w:footnote>
  <w:footnote w:type="continuationNotice" w:id="1">
    <w:p w:rsidR="00AD3D0C" w:rsidRDefault="00AD3D0C">
      <w:pPr>
        <w:spacing w:before="0" w:line="240" w:lineRule="auto"/>
      </w:pPr>
    </w:p>
  </w:footnote>
  <w:footnote w:id="2">
    <w:p w:rsidR="00AD3D0C" w:rsidRDefault="00AD3D0C">
      <w:pPr>
        <w:pStyle w:val="FootnoteText"/>
      </w:pPr>
      <w:r>
        <w:rPr>
          <w:rStyle w:val="FootnoteReference"/>
        </w:rPr>
        <w:footnoteRef/>
      </w:r>
      <w:r>
        <w:t xml:space="preserve"> </w:t>
      </w:r>
      <w:r>
        <w:tab/>
        <w:t xml:space="preserve">AER, </w:t>
      </w:r>
      <w:r w:rsidRPr="00AD3D0C">
        <w:rPr>
          <w:rStyle w:val="Emphasis"/>
        </w:rPr>
        <w:t>Priorities and objectives of electricity network service provider performance reports</w:t>
      </w:r>
      <w:r>
        <w:t>, April 2011, p. 3.</w:t>
      </w:r>
    </w:p>
  </w:footnote>
  <w:footnote w:id="3">
    <w:p w:rsidR="00AD3D0C" w:rsidRDefault="00AD3D0C">
      <w:pPr>
        <w:pStyle w:val="FootnoteText"/>
      </w:pPr>
      <w:r>
        <w:rPr>
          <w:rStyle w:val="FootnoteReference"/>
        </w:rPr>
        <w:footnoteRef/>
      </w:r>
      <w:r>
        <w:t xml:space="preserve"> </w:t>
      </w:r>
      <w:r>
        <w:tab/>
        <w:t>The AER’s final decision may be amended after review by the Tribunal, and may also be amended if a regulated business seeks to pass through costs that were not included in the AER’s final decision.</w:t>
      </w:r>
    </w:p>
  </w:footnote>
  <w:footnote w:id="4">
    <w:p w:rsidR="00AD3D0C" w:rsidRDefault="00AD3D0C">
      <w:pPr>
        <w:pStyle w:val="FootnoteText"/>
      </w:pPr>
      <w:r>
        <w:rPr>
          <w:rStyle w:val="FootnoteReference"/>
        </w:rPr>
        <w:footnoteRef/>
      </w:r>
      <w:r>
        <w:t xml:space="preserve"> </w:t>
      </w:r>
      <w:r>
        <w:tab/>
      </w:r>
      <w:r w:rsidRPr="0076580C">
        <w:t xml:space="preserve">Standard control service </w:t>
      </w:r>
      <w:r>
        <w:t>is defined in the National Electricity Rules as</w:t>
      </w:r>
      <w:r w:rsidRPr="0076580C">
        <w:t xml:space="preserve"> a direct control service, which is not </w:t>
      </w:r>
      <w:r>
        <w:t xml:space="preserve">an alternative control </w:t>
      </w:r>
      <w:proofErr w:type="gramStart"/>
      <w:r>
        <w:t xml:space="preserve">service, </w:t>
      </w:r>
      <w:r w:rsidRPr="0076580C">
        <w:t>that</w:t>
      </w:r>
      <w:proofErr w:type="gramEnd"/>
      <w:r w:rsidRPr="0076580C">
        <w:t xml:space="preserve"> is subject to a control mechanism based on a NSP’s total revenue requirement.</w:t>
      </w:r>
    </w:p>
  </w:footnote>
  <w:footnote w:id="5">
    <w:p w:rsidR="00AD3D0C" w:rsidRDefault="00AD3D0C">
      <w:pPr>
        <w:pStyle w:val="FootnoteText"/>
      </w:pPr>
      <w:r>
        <w:rPr>
          <w:rStyle w:val="FootnoteReference"/>
        </w:rPr>
        <w:footnoteRef/>
      </w:r>
      <w:r>
        <w:tab/>
        <w:t xml:space="preserve"> The average energy per customer is based is derived by dividing average energy delivered by total customer numbers.</w:t>
      </w:r>
    </w:p>
  </w:footnote>
  <w:footnote w:id="6">
    <w:p w:rsidR="00AD3D0C" w:rsidRDefault="00AD3D0C">
      <w:pPr>
        <w:pStyle w:val="FootnoteText"/>
      </w:pPr>
      <w:r>
        <w:rPr>
          <w:rStyle w:val="FootnoteReference"/>
        </w:rPr>
        <w:footnoteRef/>
      </w:r>
      <w:r>
        <w:t xml:space="preserve"> </w:t>
      </w:r>
      <w:r>
        <w:tab/>
      </w:r>
      <w:r w:rsidRPr="00036A15">
        <w:t xml:space="preserve">Customers do not fund </w:t>
      </w:r>
      <w:r>
        <w:t>any</w:t>
      </w:r>
      <w:r w:rsidRPr="00036A15">
        <w:t xml:space="preserve"> additional capital expenditure in the current regulatory control period. However, through increased electricity prices, they will fund th</w:t>
      </w:r>
      <w:r>
        <w:t>e</w:t>
      </w:r>
      <w:r w:rsidRPr="00036A15">
        <w:t xml:space="preserve"> expenditure from the commencement of the next period</w:t>
      </w:r>
      <w:r>
        <w:t>,</w:t>
      </w:r>
      <w:r w:rsidRPr="00036A15">
        <w:t xml:space="preserve"> if it is considered efficient by the AER. Conversely, when a DNSP underspends on capital projects, customers do not benefit in that regulatory control period. </w:t>
      </w:r>
      <w:r w:rsidRPr="00C32EB3">
        <w:t xml:space="preserve"> </w:t>
      </w:r>
      <w:r>
        <w:t>However, the RAB will be lower in the next period and therefore prices will be lower compared to prices if the full capex forecast been spent during the current period.</w:t>
      </w:r>
    </w:p>
  </w:footnote>
  <w:footnote w:id="7">
    <w:p w:rsidR="00AD3D0C" w:rsidRDefault="00AD3D0C">
      <w:pPr>
        <w:pStyle w:val="FootnoteText"/>
      </w:pPr>
      <w:r>
        <w:rPr>
          <w:rStyle w:val="FootnoteReference"/>
        </w:rPr>
        <w:footnoteRef/>
      </w:r>
      <w:r>
        <w:t xml:space="preserve"> </w:t>
      </w:r>
      <w:r>
        <w:tab/>
      </w:r>
      <w:r w:rsidRPr="00036A15">
        <w:t>The less than forecast RAB will drive down prices in the next period.</w:t>
      </w:r>
    </w:p>
  </w:footnote>
  <w:footnote w:id="8">
    <w:p w:rsidR="00AD3D0C" w:rsidRDefault="00AD3D0C" w:rsidP="00C32EB3">
      <w:pPr>
        <w:pStyle w:val="FootnoteText"/>
      </w:pPr>
      <w:r>
        <w:rPr>
          <w:rStyle w:val="FootnoteReference"/>
        </w:rPr>
        <w:footnoteRef/>
      </w:r>
      <w:r>
        <w:t xml:space="preserve"> </w:t>
      </w:r>
      <w:r>
        <w:tab/>
        <w:t>Depreciation is also impacted by capital expenditure. For example, lower than forecast capital expenditure also leads to lower than forecast depreciation. The reduction in capital expenditure has a greater impact on the RAB than the reduction in actual depreciation. The net impact being the RAB is lower than otherwise forecast.</w:t>
      </w:r>
    </w:p>
  </w:footnote>
  <w:footnote w:id="9">
    <w:p w:rsidR="00AD3D0C" w:rsidRDefault="00AD3D0C">
      <w:pPr>
        <w:pStyle w:val="FootnoteText"/>
      </w:pPr>
      <w:r>
        <w:rPr>
          <w:rStyle w:val="FootnoteReference"/>
        </w:rPr>
        <w:footnoteRef/>
      </w:r>
      <w:r>
        <w:t xml:space="preserve"> </w:t>
      </w:r>
      <w:r>
        <w:tab/>
      </w:r>
      <w:r w:rsidRPr="00585864">
        <w:t xml:space="preserve">Efficiency gains (losses) are derived from </w:t>
      </w:r>
      <w:proofErr w:type="spellStart"/>
      <w:r w:rsidRPr="00585864">
        <w:t>opex</w:t>
      </w:r>
      <w:proofErr w:type="spellEnd"/>
      <w:r w:rsidRPr="00585864">
        <w:t xml:space="preserve"> being less (more) than the ope</w:t>
      </w:r>
      <w:r>
        <w:t>rating expenditure</w:t>
      </w:r>
      <w:r w:rsidRPr="00585864">
        <w:t xml:space="preserve"> forecast by the AER for that regulatory control period.</w:t>
      </w:r>
    </w:p>
  </w:footnote>
  <w:footnote w:id="10">
    <w:p w:rsidR="00AD3D0C" w:rsidRDefault="00AD3D0C" w:rsidP="006831E6">
      <w:pPr>
        <w:pStyle w:val="FootnoteText"/>
      </w:pPr>
      <w:r>
        <w:rPr>
          <w:rStyle w:val="FootnoteReference"/>
        </w:rPr>
        <w:footnoteRef/>
      </w:r>
      <w:r>
        <w:t xml:space="preserve"> </w:t>
      </w:r>
      <w:r>
        <w:tab/>
        <w:t>The X factors are largely set during the reset process that occurs (typically) every five years. However, from 2015 onwards a time varying weighted average cost of capital (WACC) will apply, and the X factors will be updated annually for changes in the cost of debt.</w:t>
      </w:r>
    </w:p>
  </w:footnote>
  <w:footnote w:id="11">
    <w:p w:rsidR="00AD3D0C" w:rsidRDefault="00AD3D0C" w:rsidP="006831E6">
      <w:pPr>
        <w:pStyle w:val="FootnoteText"/>
      </w:pPr>
      <w:r>
        <w:rPr>
          <w:rStyle w:val="FootnoteReference"/>
        </w:rPr>
        <w:footnoteRef/>
      </w:r>
      <w:r>
        <w:t xml:space="preserve"> </w:t>
      </w:r>
      <w:r>
        <w:tab/>
        <w:t>There are other constraints that are applied to groups of tariffs (side constraints). These constraints are wider than the overall price cap, but limit the rebalancing of tariffs.</w:t>
      </w:r>
    </w:p>
  </w:footnote>
  <w:footnote w:id="12">
    <w:p w:rsidR="00AD3D0C" w:rsidRDefault="00AD3D0C">
      <w:pPr>
        <w:pStyle w:val="FootnoteText"/>
      </w:pPr>
      <w:r>
        <w:rPr>
          <w:rStyle w:val="FootnoteReference"/>
        </w:rPr>
        <w:footnoteRef/>
      </w:r>
      <w:r>
        <w:t xml:space="preserve"> </w:t>
      </w:r>
      <w:r>
        <w:tab/>
      </w:r>
      <w:r w:rsidRPr="00CF205E">
        <w:t xml:space="preserve">JEN, </w:t>
      </w:r>
      <w:proofErr w:type="spellStart"/>
      <w:r w:rsidRPr="00CF205E">
        <w:t>Ausgrid</w:t>
      </w:r>
      <w:proofErr w:type="spellEnd"/>
      <w:r w:rsidRPr="00CF205E">
        <w:t xml:space="preserve"> and SA Power Networks’ revenue for the 2011-13 period was higher than forecast, although actual demand had mostly decreased, possibly because of tariff rebalancing. This is where prices are increased on services subject to the greatest demand growth and reduced on services subject to the weakest demand growth. This maximises revenue based on changes in demand under the weighted average price cap which is the mechanism that applies to these DNSPs.</w:t>
      </w:r>
    </w:p>
  </w:footnote>
  <w:footnote w:id="13">
    <w:p w:rsidR="00AD3D0C" w:rsidRDefault="00AD3D0C" w:rsidP="00226AA7">
      <w:pPr>
        <w:pStyle w:val="FootnoteText"/>
      </w:pPr>
      <w:r>
        <w:rPr>
          <w:rStyle w:val="FootnoteReference"/>
        </w:rPr>
        <w:footnoteRef/>
      </w:r>
      <w:r>
        <w:t xml:space="preserve"> </w:t>
      </w:r>
      <w:r>
        <w:tab/>
        <w:t>AER, Electricity Distribution Network Service Providers - service target performance incentive scheme, November 2009.</w:t>
      </w:r>
    </w:p>
  </w:footnote>
  <w:footnote w:id="14">
    <w:p w:rsidR="00AD3D0C" w:rsidRDefault="00AD3D0C">
      <w:pPr>
        <w:pStyle w:val="FootnoteText"/>
      </w:pPr>
      <w:r>
        <w:rPr>
          <w:rStyle w:val="FootnoteReference"/>
        </w:rPr>
        <w:footnoteRef/>
      </w:r>
      <w:r>
        <w:t xml:space="preserve"> </w:t>
      </w:r>
      <w:r>
        <w:tab/>
      </w:r>
      <w:r w:rsidRPr="00EB50AF">
        <w:t>The EBSS, which applies to all DNSPs, allows a DNSP to retain efficiency gains (and to bear the cost of efficiency losses</w:t>
      </w:r>
      <w:proofErr w:type="gramStart"/>
      <w:r w:rsidRPr="00EB50AF">
        <w:t>)  for</w:t>
      </w:r>
      <w:proofErr w:type="gramEnd"/>
      <w:r w:rsidRPr="00EB50AF">
        <w:t xml:space="preserve"> five years after the gain (loss) is made. In the longer term, the DNSP shares its efficiency gains or losses with customers through price adjustments, passing on 70 per cent of the gain or loss.</w:t>
      </w:r>
    </w:p>
  </w:footnote>
  <w:footnote w:id="15">
    <w:p w:rsidR="00AD3D0C" w:rsidRPr="006310E6" w:rsidRDefault="00AD3D0C" w:rsidP="006310E6">
      <w:pPr>
        <w:pStyle w:val="FootnoteText"/>
      </w:pPr>
      <w:r w:rsidRPr="006310E6">
        <w:rPr>
          <w:rStyle w:val="FootnoteReference"/>
          <w:sz w:val="16"/>
          <w:vertAlign w:val="baseline"/>
        </w:rPr>
        <w:footnoteRef/>
      </w:r>
      <w:r w:rsidRPr="006310E6">
        <w:t xml:space="preserve"> For more information see the AER website at</w:t>
      </w:r>
      <w:r>
        <w:t xml:space="preserve"> </w:t>
      </w:r>
      <w:hyperlink r:id="rId1" w:history="1">
        <w:r w:rsidRPr="006310E6">
          <w:rPr>
            <w:rStyle w:val="FollowedHyperlink"/>
          </w:rPr>
          <w:t>www.aer.gov.au/node/2696</w:t>
        </w:r>
      </w:hyperlink>
      <w:r w:rsidRPr="006310E6">
        <w:t>.</w:t>
      </w:r>
    </w:p>
  </w:footnote>
  <w:footnote w:id="16">
    <w:p w:rsidR="00AD3D0C" w:rsidRDefault="00AD3D0C">
      <w:pPr>
        <w:pStyle w:val="FootnoteText"/>
      </w:pPr>
      <w:r>
        <w:rPr>
          <w:rStyle w:val="FootnoteReference"/>
        </w:rPr>
        <w:footnoteRef/>
      </w:r>
      <w:r>
        <w:t xml:space="preserve"> For more information see the AER website at </w:t>
      </w:r>
      <w:hyperlink r:id="rId2" w:history="1">
        <w:r w:rsidRPr="006201B8">
          <w:rPr>
            <w:rStyle w:val="Hyperlink"/>
            <w:sz w:val="16"/>
          </w:rPr>
          <w:t>www.aer.gov.au/node/2697</w:t>
        </w:r>
      </w:hyperlink>
      <w:r>
        <w:t xml:space="preserve">. </w:t>
      </w:r>
    </w:p>
  </w:footnote>
  <w:footnote w:id="17">
    <w:p w:rsidR="00AD3D0C" w:rsidRDefault="00AD3D0C">
      <w:pPr>
        <w:pStyle w:val="FootnoteText"/>
      </w:pPr>
      <w:r>
        <w:rPr>
          <w:rStyle w:val="FootnoteReference"/>
        </w:rPr>
        <w:footnoteRef/>
      </w:r>
      <w:r>
        <w:t xml:space="preserve"> For more information see the AER website at </w:t>
      </w:r>
      <w:hyperlink r:id="rId3" w:history="1">
        <w:r w:rsidRPr="006201B8">
          <w:rPr>
            <w:rStyle w:val="Hyperlink"/>
            <w:sz w:val="16"/>
          </w:rPr>
          <w:t>www.aer.gov.au/node/2758</w:t>
        </w:r>
      </w:hyperlink>
      <w:r>
        <w:t xml:space="preserve">.  </w:t>
      </w:r>
    </w:p>
  </w:footnote>
  <w:footnote w:id="18">
    <w:p w:rsidR="00AD3D0C" w:rsidRDefault="00AD3D0C">
      <w:pPr>
        <w:pStyle w:val="FootnoteText"/>
      </w:pPr>
      <w:r>
        <w:rPr>
          <w:rStyle w:val="FootnoteReference"/>
        </w:rPr>
        <w:footnoteRef/>
      </w:r>
      <w:r>
        <w:t xml:space="preserve"> For more information see the AER website at </w:t>
      </w:r>
      <w:hyperlink r:id="rId4" w:history="1">
        <w:r w:rsidRPr="006201B8">
          <w:rPr>
            <w:rStyle w:val="Hyperlink"/>
            <w:sz w:val="16"/>
          </w:rPr>
          <w:t>www.aer.gov.au/node/4461</w:t>
        </w:r>
      </w:hyperlink>
      <w:r>
        <w:t>.</w:t>
      </w:r>
    </w:p>
  </w:footnote>
  <w:footnote w:id="19">
    <w:p w:rsidR="00AD3D0C" w:rsidRDefault="00AD3D0C">
      <w:pPr>
        <w:pStyle w:val="FootnoteText"/>
      </w:pPr>
      <w:r>
        <w:rPr>
          <w:rStyle w:val="FootnoteReference"/>
        </w:rPr>
        <w:footnoteRef/>
      </w:r>
      <w:r>
        <w:t xml:space="preserve"> </w:t>
      </w:r>
      <w:r>
        <w:tab/>
        <w:t xml:space="preserve">For more information see the AER website at </w:t>
      </w:r>
      <w:hyperlink r:id="rId5" w:history="1">
        <w:r w:rsidRPr="006201B8">
          <w:rPr>
            <w:rStyle w:val="Hyperlink"/>
            <w:sz w:val="16"/>
          </w:rPr>
          <w:t>www.aer.gov.au/node/3811</w:t>
        </w:r>
      </w:hyperlink>
      <w:r>
        <w:t>.</w:t>
      </w:r>
    </w:p>
  </w:footnote>
  <w:footnote w:id="20">
    <w:p w:rsidR="00AD3D0C" w:rsidRDefault="00AD3D0C">
      <w:pPr>
        <w:pStyle w:val="FootnoteText"/>
      </w:pPr>
      <w:r>
        <w:rPr>
          <w:rStyle w:val="FootnoteReference"/>
        </w:rPr>
        <w:footnoteRef/>
      </w:r>
      <w:r>
        <w:t xml:space="preserve"> For more information see the AER website at </w:t>
      </w:r>
      <w:hyperlink r:id="rId6" w:history="1">
        <w:r w:rsidRPr="006201B8">
          <w:rPr>
            <w:rStyle w:val="Hyperlink"/>
            <w:sz w:val="16"/>
          </w:rPr>
          <w:t>www.aer.gov.au/node/4</w:t>
        </w:r>
      </w:hyperlink>
      <w:r>
        <w:t xml:space="preserve">. </w:t>
      </w:r>
    </w:p>
  </w:footnote>
  <w:footnote w:id="21">
    <w:p w:rsidR="00AD3D0C" w:rsidRDefault="00AD3D0C">
      <w:pPr>
        <w:pStyle w:val="FootnoteText"/>
      </w:pPr>
      <w:r>
        <w:rPr>
          <w:rStyle w:val="FootnoteReference"/>
        </w:rPr>
        <w:footnoteRef/>
      </w:r>
      <w:r>
        <w:t xml:space="preserve"> </w:t>
      </w:r>
      <w:r>
        <w:tab/>
        <w:t xml:space="preserve">For more information see the AER’s website at </w:t>
      </w:r>
      <w:hyperlink r:id="rId7" w:history="1">
        <w:r w:rsidRPr="006201B8">
          <w:rPr>
            <w:rStyle w:val="Hyperlink"/>
            <w:sz w:val="16"/>
          </w:rPr>
          <w:t>www.aer.gov.au/node/7211</w:t>
        </w:r>
      </w:hyperlink>
      <w:r>
        <w:t>.</w:t>
      </w:r>
    </w:p>
  </w:footnote>
  <w:footnote w:id="22">
    <w:p w:rsidR="00AD3D0C" w:rsidRDefault="00AD3D0C">
      <w:pPr>
        <w:pStyle w:val="FootnoteText"/>
      </w:pPr>
      <w:r>
        <w:rPr>
          <w:rStyle w:val="FootnoteReference"/>
        </w:rPr>
        <w:footnoteRef/>
      </w:r>
      <w:r>
        <w:t xml:space="preserve"> </w:t>
      </w:r>
      <w:r>
        <w:tab/>
      </w:r>
      <w:proofErr w:type="spellStart"/>
      <w:r>
        <w:t>AusNet</w:t>
      </w:r>
      <w:proofErr w:type="spellEnd"/>
      <w:r>
        <w:t xml:space="preserve"> Services normalised data has a higher threshold for excluded events than all other DNSPs except </w:t>
      </w:r>
      <w:proofErr w:type="spellStart"/>
      <w:r>
        <w:t>Powercor</w:t>
      </w:r>
      <w:proofErr w:type="spellEnd"/>
      <w:r>
        <w:t>. That is it includes the impact of some events that would have been excluded from the data of other DNSPs.</w:t>
      </w:r>
    </w:p>
  </w:footnote>
  <w:footnote w:id="23">
    <w:p w:rsidR="00AD3D0C" w:rsidRDefault="00AD3D0C">
      <w:pPr>
        <w:pStyle w:val="FootnoteText"/>
      </w:pPr>
      <w:r>
        <w:rPr>
          <w:rStyle w:val="FootnoteReference"/>
        </w:rPr>
        <w:footnoteRef/>
      </w:r>
      <w:r>
        <w:t xml:space="preserve"> </w:t>
      </w:r>
      <w:r>
        <w:tab/>
        <w:t xml:space="preserve">For more information see the AER website at </w:t>
      </w:r>
      <w:hyperlink r:id="rId8" w:history="1">
        <w:r w:rsidRPr="006201B8">
          <w:rPr>
            <w:rStyle w:val="Hyperlink"/>
            <w:sz w:val="16"/>
          </w:rPr>
          <w:t>www.aer.gov.au/node/7208</w:t>
        </w:r>
      </w:hyperlink>
      <w:r>
        <w:t>.</w:t>
      </w:r>
    </w:p>
  </w:footnote>
  <w:footnote w:id="24">
    <w:p w:rsidR="00AD3D0C" w:rsidRDefault="00AD3D0C">
      <w:pPr>
        <w:pStyle w:val="FootnoteText"/>
      </w:pPr>
      <w:r>
        <w:rPr>
          <w:rStyle w:val="FootnoteReference"/>
        </w:rPr>
        <w:footnoteRef/>
      </w:r>
      <w:r>
        <w:t xml:space="preserve"> For more information see the AER website at </w:t>
      </w:r>
      <w:hyperlink r:id="rId9" w:history="1">
        <w:r w:rsidRPr="006201B8">
          <w:rPr>
            <w:rStyle w:val="Hyperlink"/>
            <w:sz w:val="16"/>
          </w:rPr>
          <w:t>www.aer.gov.au/node/7209</w:t>
        </w:r>
      </w:hyperlink>
      <w:r>
        <w:t>.</w:t>
      </w:r>
    </w:p>
  </w:footnote>
  <w:footnote w:id="25">
    <w:p w:rsidR="00AD3D0C" w:rsidRDefault="00AD3D0C">
      <w:pPr>
        <w:pStyle w:val="FootnoteText"/>
      </w:pPr>
      <w:r>
        <w:rPr>
          <w:rStyle w:val="FootnoteReference"/>
        </w:rPr>
        <w:footnoteRef/>
      </w:r>
      <w:r>
        <w:t xml:space="preserve"> For more information see the AER website at </w:t>
      </w:r>
      <w:hyperlink r:id="rId10" w:history="1">
        <w:r w:rsidRPr="006201B8">
          <w:rPr>
            <w:rStyle w:val="Hyperlink"/>
            <w:sz w:val="16"/>
          </w:rPr>
          <w:t>www.aer.gov.au/node/7210</w:t>
        </w:r>
      </w:hyperlink>
      <w:r>
        <w:t>.</w:t>
      </w:r>
    </w:p>
  </w:footnote>
  <w:footnote w:id="26">
    <w:p w:rsidR="00AD3D0C" w:rsidRDefault="00AD3D0C" w:rsidP="00633936">
      <w:pPr>
        <w:pStyle w:val="FootnoteText"/>
      </w:pPr>
      <w:r>
        <w:rPr>
          <w:rStyle w:val="FootnoteReference"/>
        </w:rPr>
        <w:footnoteRef/>
      </w:r>
      <w:r>
        <w:t xml:space="preserve"> </w:t>
      </w:r>
      <w:r>
        <w:tab/>
      </w:r>
      <w:proofErr w:type="spellStart"/>
      <w:r>
        <w:t>Powercor’s</w:t>
      </w:r>
      <w:proofErr w:type="spellEnd"/>
      <w:r>
        <w:t xml:space="preserve"> normalised data has a higher threshold for exclusions than all other DNSPs except </w:t>
      </w:r>
      <w:proofErr w:type="spellStart"/>
      <w:r>
        <w:t>AusNet</w:t>
      </w:r>
      <w:proofErr w:type="spellEnd"/>
      <w:r>
        <w:t xml:space="preserve"> Services. That is it includes the impact of some events that would have been excluded from the data of other DNSPs.</w:t>
      </w:r>
    </w:p>
  </w:footnote>
  <w:footnote w:id="27">
    <w:p w:rsidR="00AD3D0C" w:rsidRDefault="00AD3D0C">
      <w:pPr>
        <w:pStyle w:val="FootnoteText"/>
      </w:pPr>
      <w:r>
        <w:rPr>
          <w:rStyle w:val="FootnoteReference"/>
        </w:rPr>
        <w:footnoteRef/>
      </w:r>
      <w:r>
        <w:t xml:space="preserve"> </w:t>
      </w:r>
      <w:r>
        <w:tab/>
        <w:t xml:space="preserve">For more information see the AER website at </w:t>
      </w:r>
      <w:hyperlink r:id="rId11" w:history="1">
        <w:r w:rsidRPr="006201B8">
          <w:rPr>
            <w:rStyle w:val="Hyperlink"/>
            <w:sz w:val="16"/>
          </w:rPr>
          <w:t>www.aer.gov.au/node/7212</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5">
    <w:nsid w:val="630509EA"/>
    <w:multiLevelType w:val="hybridMultilevel"/>
    <w:tmpl w:val="006EC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7">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8"/>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19"/>
  </w:num>
  <w:num w:numId="14">
    <w:abstractNumId w:val="13"/>
  </w:num>
  <w:num w:numId="15">
    <w:abstractNumId w:val="16"/>
  </w:num>
  <w:num w:numId="16">
    <w:abstractNumId w:val="21"/>
  </w:num>
  <w:num w:numId="17">
    <w:abstractNumId w:val="12"/>
  </w:num>
  <w:num w:numId="18">
    <w:abstractNumId w:val="18"/>
  </w:num>
  <w:num w:numId="19">
    <w:abstractNumId w:val="11"/>
  </w:num>
  <w:num w:numId="20">
    <w:abstractNumId w:val="22"/>
  </w:num>
  <w:num w:numId="21">
    <w:abstractNumId w:val="27"/>
  </w:num>
  <w:num w:numId="22">
    <w:abstractNumId w:val="17"/>
  </w:num>
  <w:num w:numId="23">
    <w:abstractNumId w:val="2"/>
    <w:lvlOverride w:ilvl="0">
      <w:startOverride w:val="1"/>
    </w:lvlOverride>
  </w:num>
  <w:num w:numId="24">
    <w:abstractNumId w:val="18"/>
    <w:lvlOverride w:ilvl="0">
      <w:startOverride w:val="1"/>
    </w:lvlOverride>
  </w:num>
  <w:num w:numId="25">
    <w:abstractNumId w:val="24"/>
  </w:num>
  <w:num w:numId="26">
    <w:abstractNumId w:val="20"/>
  </w:num>
  <w:num w:numId="27">
    <w:abstractNumId w:val="9"/>
  </w:num>
  <w:num w:numId="28">
    <w:abstractNumId w:val="15"/>
  </w:num>
  <w:num w:numId="29">
    <w:abstractNumId w:val="10"/>
  </w:num>
  <w:num w:numId="30">
    <w:abstractNumId w:val="23"/>
  </w:num>
  <w:num w:numId="31">
    <w:abstractNumId w:val="23"/>
  </w:num>
  <w:num w:numId="32">
    <w:abstractNumId w:val="23"/>
  </w:num>
  <w:num w:numId="33">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Formatting/>
  <w:documentProtection w:edit="readOnly" w:enforcement="0"/>
  <w:styleLockTheme/>
  <w:defaultTabStop w:val="340"/>
  <w:characterSpacingControl w:val="doNotCompress"/>
  <w:hdrShapeDefaults>
    <o:shapedefaults v:ext="edit" spidmax="7168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jpick\Electricity distributors 2011-13 performance report - June 2015.docx"/>
  </w:docVars>
  <w:rsids>
    <w:rsidRoot w:val="00AE2FC7"/>
    <w:rsid w:val="000002AC"/>
    <w:rsid w:val="00004B71"/>
    <w:rsid w:val="00004FD2"/>
    <w:rsid w:val="00005219"/>
    <w:rsid w:val="00007483"/>
    <w:rsid w:val="00011E64"/>
    <w:rsid w:val="00012BED"/>
    <w:rsid w:val="00021202"/>
    <w:rsid w:val="0002517F"/>
    <w:rsid w:val="00034B9C"/>
    <w:rsid w:val="0003578C"/>
    <w:rsid w:val="00036A15"/>
    <w:rsid w:val="00041634"/>
    <w:rsid w:val="00044661"/>
    <w:rsid w:val="00046C3E"/>
    <w:rsid w:val="0004712E"/>
    <w:rsid w:val="00063247"/>
    <w:rsid w:val="00070F9F"/>
    <w:rsid w:val="0007137B"/>
    <w:rsid w:val="00071DFC"/>
    <w:rsid w:val="00073FDA"/>
    <w:rsid w:val="00074341"/>
    <w:rsid w:val="00076BAB"/>
    <w:rsid w:val="00082DB0"/>
    <w:rsid w:val="00083679"/>
    <w:rsid w:val="00085663"/>
    <w:rsid w:val="00085EBF"/>
    <w:rsid w:val="00094541"/>
    <w:rsid w:val="000A6C7B"/>
    <w:rsid w:val="000B4923"/>
    <w:rsid w:val="000B60CB"/>
    <w:rsid w:val="000C1C7E"/>
    <w:rsid w:val="000C3884"/>
    <w:rsid w:val="000D122C"/>
    <w:rsid w:val="000D3019"/>
    <w:rsid w:val="000D403C"/>
    <w:rsid w:val="000E1819"/>
    <w:rsid w:val="000E6C72"/>
    <w:rsid w:val="000F0958"/>
    <w:rsid w:val="000F2437"/>
    <w:rsid w:val="001020AF"/>
    <w:rsid w:val="00103372"/>
    <w:rsid w:val="001040D5"/>
    <w:rsid w:val="00107CC7"/>
    <w:rsid w:val="00116EB2"/>
    <w:rsid w:val="00122B3A"/>
    <w:rsid w:val="00124609"/>
    <w:rsid w:val="00124F43"/>
    <w:rsid w:val="00130C3C"/>
    <w:rsid w:val="00131CA0"/>
    <w:rsid w:val="00133534"/>
    <w:rsid w:val="001368B1"/>
    <w:rsid w:val="001438D3"/>
    <w:rsid w:val="0014573B"/>
    <w:rsid w:val="001566F8"/>
    <w:rsid w:val="001573E4"/>
    <w:rsid w:val="00160756"/>
    <w:rsid w:val="0016609C"/>
    <w:rsid w:val="00170114"/>
    <w:rsid w:val="0017232E"/>
    <w:rsid w:val="0017303B"/>
    <w:rsid w:val="00174102"/>
    <w:rsid w:val="00180157"/>
    <w:rsid w:val="00182906"/>
    <w:rsid w:val="00182EB2"/>
    <w:rsid w:val="00185CB9"/>
    <w:rsid w:val="00186F77"/>
    <w:rsid w:val="001926A4"/>
    <w:rsid w:val="00192AD5"/>
    <w:rsid w:val="001A1D04"/>
    <w:rsid w:val="001A249A"/>
    <w:rsid w:val="001B08A2"/>
    <w:rsid w:val="001B2B9A"/>
    <w:rsid w:val="001B45A0"/>
    <w:rsid w:val="001C421B"/>
    <w:rsid w:val="001C4C0D"/>
    <w:rsid w:val="001D055E"/>
    <w:rsid w:val="001D669A"/>
    <w:rsid w:val="001E2E25"/>
    <w:rsid w:val="001E4F65"/>
    <w:rsid w:val="001E6D36"/>
    <w:rsid w:val="001E7AFD"/>
    <w:rsid w:val="001F09F3"/>
    <w:rsid w:val="001F492E"/>
    <w:rsid w:val="001F51AB"/>
    <w:rsid w:val="001F6077"/>
    <w:rsid w:val="001F6DA3"/>
    <w:rsid w:val="002010BC"/>
    <w:rsid w:val="0020160F"/>
    <w:rsid w:val="00201EAD"/>
    <w:rsid w:val="00202E03"/>
    <w:rsid w:val="0020492C"/>
    <w:rsid w:val="00206259"/>
    <w:rsid w:val="00207FDC"/>
    <w:rsid w:val="0021301A"/>
    <w:rsid w:val="00216225"/>
    <w:rsid w:val="00222ACE"/>
    <w:rsid w:val="002247CC"/>
    <w:rsid w:val="00224DB9"/>
    <w:rsid w:val="00225409"/>
    <w:rsid w:val="00225CAE"/>
    <w:rsid w:val="00226AA7"/>
    <w:rsid w:val="00233775"/>
    <w:rsid w:val="002337B5"/>
    <w:rsid w:val="00236017"/>
    <w:rsid w:val="00236740"/>
    <w:rsid w:val="00237CCF"/>
    <w:rsid w:val="0024167A"/>
    <w:rsid w:val="002423AC"/>
    <w:rsid w:val="00245265"/>
    <w:rsid w:val="0024783F"/>
    <w:rsid w:val="00247A77"/>
    <w:rsid w:val="002512C7"/>
    <w:rsid w:val="00251745"/>
    <w:rsid w:val="002576DF"/>
    <w:rsid w:val="0025792C"/>
    <w:rsid w:val="00263AC0"/>
    <w:rsid w:val="0026772D"/>
    <w:rsid w:val="002712DB"/>
    <w:rsid w:val="00274327"/>
    <w:rsid w:val="002767AE"/>
    <w:rsid w:val="00286874"/>
    <w:rsid w:val="0029421E"/>
    <w:rsid w:val="00296B65"/>
    <w:rsid w:val="002979F9"/>
    <w:rsid w:val="002A745C"/>
    <w:rsid w:val="002A7C83"/>
    <w:rsid w:val="002A7DEF"/>
    <w:rsid w:val="002B35EB"/>
    <w:rsid w:val="002C4E46"/>
    <w:rsid w:val="002C78D6"/>
    <w:rsid w:val="002D3242"/>
    <w:rsid w:val="002E1BE5"/>
    <w:rsid w:val="002E2A83"/>
    <w:rsid w:val="002E2BFC"/>
    <w:rsid w:val="002E54A8"/>
    <w:rsid w:val="002F662A"/>
    <w:rsid w:val="002F7986"/>
    <w:rsid w:val="002F7B4C"/>
    <w:rsid w:val="00301B40"/>
    <w:rsid w:val="00305CC8"/>
    <w:rsid w:val="0030615E"/>
    <w:rsid w:val="0030675A"/>
    <w:rsid w:val="00307F6D"/>
    <w:rsid w:val="00310551"/>
    <w:rsid w:val="00312AF7"/>
    <w:rsid w:val="003177A2"/>
    <w:rsid w:val="0032158A"/>
    <w:rsid w:val="003271B5"/>
    <w:rsid w:val="00327A1E"/>
    <w:rsid w:val="00327E8D"/>
    <w:rsid w:val="00331264"/>
    <w:rsid w:val="00334A45"/>
    <w:rsid w:val="00334C8D"/>
    <w:rsid w:val="003423BA"/>
    <w:rsid w:val="00343CAA"/>
    <w:rsid w:val="00344E95"/>
    <w:rsid w:val="00346818"/>
    <w:rsid w:val="00350D0D"/>
    <w:rsid w:val="003518B3"/>
    <w:rsid w:val="00357044"/>
    <w:rsid w:val="00361BA6"/>
    <w:rsid w:val="00362D13"/>
    <w:rsid w:val="003639F9"/>
    <w:rsid w:val="003647D4"/>
    <w:rsid w:val="00377627"/>
    <w:rsid w:val="00377E3A"/>
    <w:rsid w:val="00380E4F"/>
    <w:rsid w:val="003846F1"/>
    <w:rsid w:val="00386662"/>
    <w:rsid w:val="0039199D"/>
    <w:rsid w:val="003A27FD"/>
    <w:rsid w:val="003A44B7"/>
    <w:rsid w:val="003A4E9B"/>
    <w:rsid w:val="003A59E3"/>
    <w:rsid w:val="003B75E0"/>
    <w:rsid w:val="003C05A0"/>
    <w:rsid w:val="003C0E6F"/>
    <w:rsid w:val="003C7575"/>
    <w:rsid w:val="003D0CE9"/>
    <w:rsid w:val="003D2729"/>
    <w:rsid w:val="003E095A"/>
    <w:rsid w:val="003F226B"/>
    <w:rsid w:val="003F5781"/>
    <w:rsid w:val="00403A00"/>
    <w:rsid w:val="0040444A"/>
    <w:rsid w:val="00430061"/>
    <w:rsid w:val="00431903"/>
    <w:rsid w:val="00433B4D"/>
    <w:rsid w:val="00435894"/>
    <w:rsid w:val="00437D01"/>
    <w:rsid w:val="00440805"/>
    <w:rsid w:val="00441943"/>
    <w:rsid w:val="00443A5D"/>
    <w:rsid w:val="00445E56"/>
    <w:rsid w:val="0045535D"/>
    <w:rsid w:val="00460775"/>
    <w:rsid w:val="0046270F"/>
    <w:rsid w:val="00466605"/>
    <w:rsid w:val="00467513"/>
    <w:rsid w:val="0047010E"/>
    <w:rsid w:val="00473B37"/>
    <w:rsid w:val="00474352"/>
    <w:rsid w:val="00480B4B"/>
    <w:rsid w:val="00483E95"/>
    <w:rsid w:val="00485DC4"/>
    <w:rsid w:val="00497DC8"/>
    <w:rsid w:val="004A43D1"/>
    <w:rsid w:val="004A454E"/>
    <w:rsid w:val="004A74C7"/>
    <w:rsid w:val="004B4412"/>
    <w:rsid w:val="004B6C11"/>
    <w:rsid w:val="004C348C"/>
    <w:rsid w:val="004C4652"/>
    <w:rsid w:val="004C50CC"/>
    <w:rsid w:val="004D05C2"/>
    <w:rsid w:val="004D2D1F"/>
    <w:rsid w:val="004D55BA"/>
    <w:rsid w:val="004D6BA6"/>
    <w:rsid w:val="004E22EC"/>
    <w:rsid w:val="004E45BC"/>
    <w:rsid w:val="004F4956"/>
    <w:rsid w:val="004F5241"/>
    <w:rsid w:val="004F7680"/>
    <w:rsid w:val="00502B99"/>
    <w:rsid w:val="0050453E"/>
    <w:rsid w:val="00512134"/>
    <w:rsid w:val="00513EA8"/>
    <w:rsid w:val="00520362"/>
    <w:rsid w:val="00520532"/>
    <w:rsid w:val="00525C94"/>
    <w:rsid w:val="00530128"/>
    <w:rsid w:val="00531D6C"/>
    <w:rsid w:val="00532467"/>
    <w:rsid w:val="00541AF5"/>
    <w:rsid w:val="00541EA1"/>
    <w:rsid w:val="0054452C"/>
    <w:rsid w:val="0056080A"/>
    <w:rsid w:val="00561823"/>
    <w:rsid w:val="00562632"/>
    <w:rsid w:val="005639BC"/>
    <w:rsid w:val="00564A4D"/>
    <w:rsid w:val="00566DA6"/>
    <w:rsid w:val="00567256"/>
    <w:rsid w:val="00567BA5"/>
    <w:rsid w:val="00570136"/>
    <w:rsid w:val="00571B35"/>
    <w:rsid w:val="00571D57"/>
    <w:rsid w:val="005767EB"/>
    <w:rsid w:val="00577A09"/>
    <w:rsid w:val="00577DBA"/>
    <w:rsid w:val="005829C2"/>
    <w:rsid w:val="00584D8F"/>
    <w:rsid w:val="00585864"/>
    <w:rsid w:val="00590454"/>
    <w:rsid w:val="00592413"/>
    <w:rsid w:val="005A404D"/>
    <w:rsid w:val="005A5431"/>
    <w:rsid w:val="005A6C5F"/>
    <w:rsid w:val="005A6FD9"/>
    <w:rsid w:val="005B1E3C"/>
    <w:rsid w:val="005C26CC"/>
    <w:rsid w:val="005C362C"/>
    <w:rsid w:val="005C4261"/>
    <w:rsid w:val="005D575F"/>
    <w:rsid w:val="005D7D10"/>
    <w:rsid w:val="00615C6B"/>
    <w:rsid w:val="00623D49"/>
    <w:rsid w:val="006261C0"/>
    <w:rsid w:val="006310E6"/>
    <w:rsid w:val="00632AB4"/>
    <w:rsid w:val="00632D6D"/>
    <w:rsid w:val="006332CD"/>
    <w:rsid w:val="00633936"/>
    <w:rsid w:val="00634226"/>
    <w:rsid w:val="00634322"/>
    <w:rsid w:val="00634805"/>
    <w:rsid w:val="00642C3E"/>
    <w:rsid w:val="0064483A"/>
    <w:rsid w:val="00644C56"/>
    <w:rsid w:val="00645FF5"/>
    <w:rsid w:val="00646C6E"/>
    <w:rsid w:val="006538A4"/>
    <w:rsid w:val="006567A6"/>
    <w:rsid w:val="00663DAD"/>
    <w:rsid w:val="006668E1"/>
    <w:rsid w:val="00670845"/>
    <w:rsid w:val="00670957"/>
    <w:rsid w:val="00674453"/>
    <w:rsid w:val="00675420"/>
    <w:rsid w:val="00676679"/>
    <w:rsid w:val="00681B8A"/>
    <w:rsid w:val="006831E6"/>
    <w:rsid w:val="00686534"/>
    <w:rsid w:val="006874D5"/>
    <w:rsid w:val="00690A11"/>
    <w:rsid w:val="00692668"/>
    <w:rsid w:val="006939A8"/>
    <w:rsid w:val="0069677A"/>
    <w:rsid w:val="006969EE"/>
    <w:rsid w:val="006A0C35"/>
    <w:rsid w:val="006A36E5"/>
    <w:rsid w:val="006B3238"/>
    <w:rsid w:val="006B385B"/>
    <w:rsid w:val="006B4CF9"/>
    <w:rsid w:val="006B643B"/>
    <w:rsid w:val="006B7AC8"/>
    <w:rsid w:val="006C1FEB"/>
    <w:rsid w:val="006C2D21"/>
    <w:rsid w:val="006C7491"/>
    <w:rsid w:val="006D0911"/>
    <w:rsid w:val="006D0B18"/>
    <w:rsid w:val="006D5095"/>
    <w:rsid w:val="006D550F"/>
    <w:rsid w:val="006E537B"/>
    <w:rsid w:val="006E684C"/>
    <w:rsid w:val="006F093C"/>
    <w:rsid w:val="007006D1"/>
    <w:rsid w:val="00701CAB"/>
    <w:rsid w:val="00707563"/>
    <w:rsid w:val="0071648E"/>
    <w:rsid w:val="007164E8"/>
    <w:rsid w:val="0072348C"/>
    <w:rsid w:val="0072418F"/>
    <w:rsid w:val="00724A37"/>
    <w:rsid w:val="007303C3"/>
    <w:rsid w:val="0073546D"/>
    <w:rsid w:val="00741D88"/>
    <w:rsid w:val="00743223"/>
    <w:rsid w:val="00746E01"/>
    <w:rsid w:val="007476EC"/>
    <w:rsid w:val="00757BDF"/>
    <w:rsid w:val="00763E5D"/>
    <w:rsid w:val="0076580C"/>
    <w:rsid w:val="00767740"/>
    <w:rsid w:val="00775D0A"/>
    <w:rsid w:val="00777EE6"/>
    <w:rsid w:val="00782EEA"/>
    <w:rsid w:val="0079034E"/>
    <w:rsid w:val="007A2C08"/>
    <w:rsid w:val="007A3240"/>
    <w:rsid w:val="007A4D1F"/>
    <w:rsid w:val="007A5290"/>
    <w:rsid w:val="007A66ED"/>
    <w:rsid w:val="007B123A"/>
    <w:rsid w:val="007B2C72"/>
    <w:rsid w:val="007C1C53"/>
    <w:rsid w:val="007C4BDB"/>
    <w:rsid w:val="007C74BB"/>
    <w:rsid w:val="007E3216"/>
    <w:rsid w:val="007E4904"/>
    <w:rsid w:val="007E4CB5"/>
    <w:rsid w:val="007E5214"/>
    <w:rsid w:val="007E5F8A"/>
    <w:rsid w:val="007E7502"/>
    <w:rsid w:val="007F066B"/>
    <w:rsid w:val="007F11D8"/>
    <w:rsid w:val="007F1E36"/>
    <w:rsid w:val="007F52B0"/>
    <w:rsid w:val="008033C4"/>
    <w:rsid w:val="008057D3"/>
    <w:rsid w:val="00806C88"/>
    <w:rsid w:val="0081034E"/>
    <w:rsid w:val="00816382"/>
    <w:rsid w:val="00825F89"/>
    <w:rsid w:val="008275AD"/>
    <w:rsid w:val="00827B81"/>
    <w:rsid w:val="008344F6"/>
    <w:rsid w:val="00834E17"/>
    <w:rsid w:val="0083510F"/>
    <w:rsid w:val="00843704"/>
    <w:rsid w:val="00845737"/>
    <w:rsid w:val="00847911"/>
    <w:rsid w:val="00851209"/>
    <w:rsid w:val="00854AF5"/>
    <w:rsid w:val="00855345"/>
    <w:rsid w:val="00861BC5"/>
    <w:rsid w:val="008663FE"/>
    <w:rsid w:val="008837AC"/>
    <w:rsid w:val="00884DFF"/>
    <w:rsid w:val="00885282"/>
    <w:rsid w:val="00890A7B"/>
    <w:rsid w:val="00896EA4"/>
    <w:rsid w:val="008A2B15"/>
    <w:rsid w:val="008A37E6"/>
    <w:rsid w:val="008A3E3C"/>
    <w:rsid w:val="008A587D"/>
    <w:rsid w:val="008B4F12"/>
    <w:rsid w:val="008B6E39"/>
    <w:rsid w:val="008C3E81"/>
    <w:rsid w:val="008C5486"/>
    <w:rsid w:val="008D0928"/>
    <w:rsid w:val="008D1661"/>
    <w:rsid w:val="008D3854"/>
    <w:rsid w:val="008E1ABF"/>
    <w:rsid w:val="008E7031"/>
    <w:rsid w:val="008F2354"/>
    <w:rsid w:val="00912AD8"/>
    <w:rsid w:val="0091374A"/>
    <w:rsid w:val="009213AA"/>
    <w:rsid w:val="009233EE"/>
    <w:rsid w:val="00931BA6"/>
    <w:rsid w:val="00943851"/>
    <w:rsid w:val="00944D13"/>
    <w:rsid w:val="00945C1E"/>
    <w:rsid w:val="00945CDE"/>
    <w:rsid w:val="009460AA"/>
    <w:rsid w:val="00951978"/>
    <w:rsid w:val="00953806"/>
    <w:rsid w:val="00957B4E"/>
    <w:rsid w:val="00962359"/>
    <w:rsid w:val="009661DE"/>
    <w:rsid w:val="009721A2"/>
    <w:rsid w:val="00972551"/>
    <w:rsid w:val="00972E3F"/>
    <w:rsid w:val="009768DA"/>
    <w:rsid w:val="00976912"/>
    <w:rsid w:val="00983DB6"/>
    <w:rsid w:val="0098408B"/>
    <w:rsid w:val="00985444"/>
    <w:rsid w:val="009856B7"/>
    <w:rsid w:val="00985B89"/>
    <w:rsid w:val="009A0325"/>
    <w:rsid w:val="009A1928"/>
    <w:rsid w:val="009A5FC3"/>
    <w:rsid w:val="009B2FA1"/>
    <w:rsid w:val="009B5E59"/>
    <w:rsid w:val="009B74B0"/>
    <w:rsid w:val="009D670D"/>
    <w:rsid w:val="009D6B46"/>
    <w:rsid w:val="009E3ACF"/>
    <w:rsid w:val="009E6E22"/>
    <w:rsid w:val="009F28A7"/>
    <w:rsid w:val="009F2A03"/>
    <w:rsid w:val="009F4940"/>
    <w:rsid w:val="009F5BA1"/>
    <w:rsid w:val="009F70BD"/>
    <w:rsid w:val="00A02A88"/>
    <w:rsid w:val="00A04D24"/>
    <w:rsid w:val="00A0562E"/>
    <w:rsid w:val="00A0726D"/>
    <w:rsid w:val="00A07C78"/>
    <w:rsid w:val="00A136C6"/>
    <w:rsid w:val="00A17D71"/>
    <w:rsid w:val="00A22495"/>
    <w:rsid w:val="00A238C5"/>
    <w:rsid w:val="00A325CA"/>
    <w:rsid w:val="00A32FBB"/>
    <w:rsid w:val="00A4478A"/>
    <w:rsid w:val="00A44852"/>
    <w:rsid w:val="00A46941"/>
    <w:rsid w:val="00A51A6F"/>
    <w:rsid w:val="00A571CE"/>
    <w:rsid w:val="00A57D04"/>
    <w:rsid w:val="00A60023"/>
    <w:rsid w:val="00A60A26"/>
    <w:rsid w:val="00A61598"/>
    <w:rsid w:val="00A67566"/>
    <w:rsid w:val="00A75077"/>
    <w:rsid w:val="00A75C74"/>
    <w:rsid w:val="00A77DC0"/>
    <w:rsid w:val="00A82B6B"/>
    <w:rsid w:val="00A84F46"/>
    <w:rsid w:val="00A871F4"/>
    <w:rsid w:val="00A95D61"/>
    <w:rsid w:val="00A96E6B"/>
    <w:rsid w:val="00A97337"/>
    <w:rsid w:val="00A97909"/>
    <w:rsid w:val="00AA1741"/>
    <w:rsid w:val="00AA3077"/>
    <w:rsid w:val="00AA6BB3"/>
    <w:rsid w:val="00AA7D24"/>
    <w:rsid w:val="00AB11E6"/>
    <w:rsid w:val="00AB2E1E"/>
    <w:rsid w:val="00AC1B2C"/>
    <w:rsid w:val="00AC3264"/>
    <w:rsid w:val="00AC6003"/>
    <w:rsid w:val="00AD0BEA"/>
    <w:rsid w:val="00AD3D0C"/>
    <w:rsid w:val="00AD6E8D"/>
    <w:rsid w:val="00AD7DF3"/>
    <w:rsid w:val="00AE1BF1"/>
    <w:rsid w:val="00AE2FC7"/>
    <w:rsid w:val="00AF0857"/>
    <w:rsid w:val="00AF0DD2"/>
    <w:rsid w:val="00AF1ED6"/>
    <w:rsid w:val="00B0045D"/>
    <w:rsid w:val="00B02A2D"/>
    <w:rsid w:val="00B10A39"/>
    <w:rsid w:val="00B12791"/>
    <w:rsid w:val="00B13048"/>
    <w:rsid w:val="00B1716D"/>
    <w:rsid w:val="00B17A1D"/>
    <w:rsid w:val="00B20599"/>
    <w:rsid w:val="00B207A0"/>
    <w:rsid w:val="00B24279"/>
    <w:rsid w:val="00B26296"/>
    <w:rsid w:val="00B3761C"/>
    <w:rsid w:val="00B37E38"/>
    <w:rsid w:val="00B4372B"/>
    <w:rsid w:val="00B45F56"/>
    <w:rsid w:val="00B514DD"/>
    <w:rsid w:val="00B52AF0"/>
    <w:rsid w:val="00B56E03"/>
    <w:rsid w:val="00B61D6B"/>
    <w:rsid w:val="00B66690"/>
    <w:rsid w:val="00B75F1F"/>
    <w:rsid w:val="00B8080B"/>
    <w:rsid w:val="00B8663F"/>
    <w:rsid w:val="00B87C39"/>
    <w:rsid w:val="00B902E5"/>
    <w:rsid w:val="00B9212B"/>
    <w:rsid w:val="00B927D8"/>
    <w:rsid w:val="00B92883"/>
    <w:rsid w:val="00BA3C98"/>
    <w:rsid w:val="00BA4665"/>
    <w:rsid w:val="00BB1D79"/>
    <w:rsid w:val="00BB2FB2"/>
    <w:rsid w:val="00BB3304"/>
    <w:rsid w:val="00BC155F"/>
    <w:rsid w:val="00BC41E5"/>
    <w:rsid w:val="00BC6F0E"/>
    <w:rsid w:val="00BD3446"/>
    <w:rsid w:val="00BE1F1B"/>
    <w:rsid w:val="00BE47B5"/>
    <w:rsid w:val="00BE5060"/>
    <w:rsid w:val="00BF4161"/>
    <w:rsid w:val="00BF6E19"/>
    <w:rsid w:val="00C13D7F"/>
    <w:rsid w:val="00C1436E"/>
    <w:rsid w:val="00C25FA6"/>
    <w:rsid w:val="00C32EB3"/>
    <w:rsid w:val="00C334FF"/>
    <w:rsid w:val="00C36BD8"/>
    <w:rsid w:val="00C41F7F"/>
    <w:rsid w:val="00C434CB"/>
    <w:rsid w:val="00C438F4"/>
    <w:rsid w:val="00C538A9"/>
    <w:rsid w:val="00C53B5A"/>
    <w:rsid w:val="00C53C0E"/>
    <w:rsid w:val="00C54E02"/>
    <w:rsid w:val="00C54F5A"/>
    <w:rsid w:val="00C5520B"/>
    <w:rsid w:val="00C569B4"/>
    <w:rsid w:val="00C57777"/>
    <w:rsid w:val="00C65C75"/>
    <w:rsid w:val="00C67A92"/>
    <w:rsid w:val="00C7507B"/>
    <w:rsid w:val="00C75977"/>
    <w:rsid w:val="00C86679"/>
    <w:rsid w:val="00CA2F8A"/>
    <w:rsid w:val="00CA489E"/>
    <w:rsid w:val="00CA4BC2"/>
    <w:rsid w:val="00CB0503"/>
    <w:rsid w:val="00CB0F66"/>
    <w:rsid w:val="00CB666B"/>
    <w:rsid w:val="00CC0E3F"/>
    <w:rsid w:val="00CC213C"/>
    <w:rsid w:val="00CC224F"/>
    <w:rsid w:val="00CC2809"/>
    <w:rsid w:val="00CC731B"/>
    <w:rsid w:val="00CC7F1D"/>
    <w:rsid w:val="00CE75B7"/>
    <w:rsid w:val="00CF205E"/>
    <w:rsid w:val="00D01CF0"/>
    <w:rsid w:val="00D0442A"/>
    <w:rsid w:val="00D04A5D"/>
    <w:rsid w:val="00D13195"/>
    <w:rsid w:val="00D167A7"/>
    <w:rsid w:val="00D22369"/>
    <w:rsid w:val="00D25785"/>
    <w:rsid w:val="00D25A2F"/>
    <w:rsid w:val="00D25C5D"/>
    <w:rsid w:val="00D30B61"/>
    <w:rsid w:val="00D35600"/>
    <w:rsid w:val="00D36DB0"/>
    <w:rsid w:val="00D375D6"/>
    <w:rsid w:val="00D4427D"/>
    <w:rsid w:val="00D44AB1"/>
    <w:rsid w:val="00D503C8"/>
    <w:rsid w:val="00D61388"/>
    <w:rsid w:val="00D61A54"/>
    <w:rsid w:val="00D64DEA"/>
    <w:rsid w:val="00D7168E"/>
    <w:rsid w:val="00D71E57"/>
    <w:rsid w:val="00D77E3D"/>
    <w:rsid w:val="00D80893"/>
    <w:rsid w:val="00D8790B"/>
    <w:rsid w:val="00D906AD"/>
    <w:rsid w:val="00D92CF1"/>
    <w:rsid w:val="00D92D38"/>
    <w:rsid w:val="00D950F5"/>
    <w:rsid w:val="00D95C32"/>
    <w:rsid w:val="00D9604E"/>
    <w:rsid w:val="00D96BB0"/>
    <w:rsid w:val="00DA46D7"/>
    <w:rsid w:val="00DA7519"/>
    <w:rsid w:val="00DA7A05"/>
    <w:rsid w:val="00DB0F93"/>
    <w:rsid w:val="00DB1A67"/>
    <w:rsid w:val="00DB1C30"/>
    <w:rsid w:val="00DB5074"/>
    <w:rsid w:val="00DB723B"/>
    <w:rsid w:val="00DC69C4"/>
    <w:rsid w:val="00DC7981"/>
    <w:rsid w:val="00DD4FC1"/>
    <w:rsid w:val="00DE459D"/>
    <w:rsid w:val="00DE4EFA"/>
    <w:rsid w:val="00DE5520"/>
    <w:rsid w:val="00E04818"/>
    <w:rsid w:val="00E05A53"/>
    <w:rsid w:val="00E06442"/>
    <w:rsid w:val="00E137FB"/>
    <w:rsid w:val="00E14414"/>
    <w:rsid w:val="00E16751"/>
    <w:rsid w:val="00E22820"/>
    <w:rsid w:val="00E23993"/>
    <w:rsid w:val="00E25B8C"/>
    <w:rsid w:val="00E51D9A"/>
    <w:rsid w:val="00E54A93"/>
    <w:rsid w:val="00E65C85"/>
    <w:rsid w:val="00E65E2E"/>
    <w:rsid w:val="00E66199"/>
    <w:rsid w:val="00E72215"/>
    <w:rsid w:val="00E7281C"/>
    <w:rsid w:val="00E73B59"/>
    <w:rsid w:val="00E755EC"/>
    <w:rsid w:val="00E7624D"/>
    <w:rsid w:val="00E7742D"/>
    <w:rsid w:val="00E80E59"/>
    <w:rsid w:val="00E81945"/>
    <w:rsid w:val="00E84144"/>
    <w:rsid w:val="00E922A1"/>
    <w:rsid w:val="00E96856"/>
    <w:rsid w:val="00E9693C"/>
    <w:rsid w:val="00E96C0F"/>
    <w:rsid w:val="00E97FA7"/>
    <w:rsid w:val="00EA1400"/>
    <w:rsid w:val="00EA3D42"/>
    <w:rsid w:val="00EA6B1B"/>
    <w:rsid w:val="00EB01E8"/>
    <w:rsid w:val="00EB3CD7"/>
    <w:rsid w:val="00EB505D"/>
    <w:rsid w:val="00EB50AF"/>
    <w:rsid w:val="00EB7E14"/>
    <w:rsid w:val="00EC56EF"/>
    <w:rsid w:val="00ED7FA7"/>
    <w:rsid w:val="00EE28F3"/>
    <w:rsid w:val="00EE2BF7"/>
    <w:rsid w:val="00EE35A5"/>
    <w:rsid w:val="00EE56B5"/>
    <w:rsid w:val="00EF1100"/>
    <w:rsid w:val="00EF5110"/>
    <w:rsid w:val="00F05E0B"/>
    <w:rsid w:val="00F078ED"/>
    <w:rsid w:val="00F14117"/>
    <w:rsid w:val="00F15882"/>
    <w:rsid w:val="00F171E0"/>
    <w:rsid w:val="00F20BD3"/>
    <w:rsid w:val="00F354F5"/>
    <w:rsid w:val="00F373A5"/>
    <w:rsid w:val="00F47559"/>
    <w:rsid w:val="00F5379B"/>
    <w:rsid w:val="00F5427B"/>
    <w:rsid w:val="00F55EE1"/>
    <w:rsid w:val="00F56FEA"/>
    <w:rsid w:val="00F61EF6"/>
    <w:rsid w:val="00F64C7B"/>
    <w:rsid w:val="00F676DD"/>
    <w:rsid w:val="00F71778"/>
    <w:rsid w:val="00F72773"/>
    <w:rsid w:val="00F75A26"/>
    <w:rsid w:val="00F7649C"/>
    <w:rsid w:val="00F77B3E"/>
    <w:rsid w:val="00F835C9"/>
    <w:rsid w:val="00F83FAD"/>
    <w:rsid w:val="00F8482F"/>
    <w:rsid w:val="00F9395B"/>
    <w:rsid w:val="00F952A0"/>
    <w:rsid w:val="00F95889"/>
    <w:rsid w:val="00FA3C7F"/>
    <w:rsid w:val="00FB74E2"/>
    <w:rsid w:val="00FB7576"/>
    <w:rsid w:val="00FC08F7"/>
    <w:rsid w:val="00FC6881"/>
    <w:rsid w:val="00FC69C9"/>
    <w:rsid w:val="00FD0DFE"/>
    <w:rsid w:val="00FD12CC"/>
    <w:rsid w:val="00FD2BC4"/>
    <w:rsid w:val="00FD328C"/>
    <w:rsid w:val="00FD5614"/>
    <w:rsid w:val="00FE0BE1"/>
    <w:rsid w:val="00FE0E88"/>
    <w:rsid w:val="00FE1DE9"/>
    <w:rsid w:val="00FE39C2"/>
    <w:rsid w:val="00FE3C32"/>
    <w:rsid w:val="00FE64AE"/>
    <w:rsid w:val="00FF1DAB"/>
    <w:rsid w:val="00FF59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autoRedefine/>
    <w:qFormat/>
    <w:rsid w:val="00692668"/>
    <w:pPr>
      <w:keepNext/>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qFormat/>
    <w:rsid w:val="00692668"/>
    <w:pPr>
      <w:keepNext/>
      <w:numPr>
        <w:ilvl w:val="1"/>
        <w:numId w:val="29"/>
      </w:numPr>
      <w:tabs>
        <w:tab w:val="left" w:pos="680"/>
      </w:tabs>
      <w:spacing w:line="240" w:lineRule="atLeast"/>
      <w:ind w:left="680" w:hanging="680"/>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692668"/>
    <w:pPr>
      <w:keepNext/>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972E3F"/>
    <w:pPr>
      <w:keepNext/>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266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69266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69266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972E3F"/>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972E3F"/>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basedOn w:val="Normal"/>
    <w:link w:val="FootnoteTextChar"/>
    <w:unhideWhenUsed/>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basedOn w:val="DefaultParagraphFont"/>
    <w:link w:val="FootnoteText"/>
    <w:rsid w:val="00182906"/>
    <w:rPr>
      <w:rFonts w:ascii="Arial" w:hAnsi="Arial"/>
      <w:sz w:val="16"/>
      <w:szCs w:val="20"/>
    </w:rPr>
  </w:style>
  <w:style w:type="character" w:styleId="FootnoteReference">
    <w:name w:val="footnote reference"/>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972E3F"/>
    <w:pPr>
      <w:keepNext/>
      <w:spacing w:before="240" w:after="120"/>
      <w:ind w:left="1418" w:hanging="1418"/>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972E3F"/>
    <w:pPr>
      <w:keepNext/>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972E3F"/>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A7D24"/>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AE2FC7"/>
    <w:pPr>
      <w:spacing w:line="240" w:lineRule="auto"/>
    </w:pPr>
    <w:rPr>
      <w:sz w:val="20"/>
      <w:szCs w:val="20"/>
    </w:rPr>
  </w:style>
  <w:style w:type="character" w:customStyle="1" w:styleId="CommentTextChar">
    <w:name w:val="Comment Text Char"/>
    <w:basedOn w:val="DefaultParagraphFont"/>
    <w:link w:val="CommentText"/>
    <w:uiPriority w:val="99"/>
    <w:semiHidden/>
    <w:rsid w:val="00AE2F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E2FC7"/>
    <w:rPr>
      <w:b/>
      <w:bCs/>
    </w:rPr>
  </w:style>
  <w:style w:type="character" w:customStyle="1" w:styleId="CommentSubjectChar">
    <w:name w:val="Comment Subject Char"/>
    <w:basedOn w:val="CommentTextChar"/>
    <w:link w:val="CommentSubject"/>
    <w:uiPriority w:val="99"/>
    <w:semiHidden/>
    <w:rsid w:val="00AE2FC7"/>
    <w:rPr>
      <w:rFonts w:ascii="Arial" w:hAnsi="Arial"/>
      <w:b/>
      <w:bCs/>
      <w:sz w:val="20"/>
      <w:szCs w:val="20"/>
    </w:rPr>
  </w:style>
  <w:style w:type="character" w:styleId="HTMLCite">
    <w:name w:val="HTML Cite"/>
    <w:basedOn w:val="DefaultParagraphFont"/>
    <w:uiPriority w:val="99"/>
    <w:unhideWhenUsed/>
    <w:rsid w:val="00A04D24"/>
    <w:rPr>
      <w:i/>
      <w:iCs/>
    </w:rPr>
  </w:style>
  <w:style w:type="paragraph" w:styleId="Title">
    <w:name w:val="Title"/>
    <w:basedOn w:val="Normal"/>
    <w:next w:val="Normal"/>
    <w:link w:val="TitleChar"/>
    <w:uiPriority w:val="10"/>
    <w:rsid w:val="00DE459D"/>
    <w:pPr>
      <w:pBdr>
        <w:bottom w:val="single" w:sz="8" w:space="4" w:color="2F002F" w:themeColor="accent1"/>
      </w:pBdr>
      <w:spacing w:before="0" w:after="300" w:line="240" w:lineRule="auto"/>
      <w:contextualSpacing/>
    </w:pPr>
    <w:rPr>
      <w:rFonts w:asciiTheme="majorHAnsi" w:eastAsiaTheme="majorEastAsia" w:hAnsiTheme="majorHAnsi" w:cstheme="majorBidi"/>
      <w:color w:val="534943" w:themeColor="text2" w:themeShade="BF"/>
      <w:spacing w:val="5"/>
      <w:kern w:val="28"/>
      <w:sz w:val="52"/>
      <w:szCs w:val="52"/>
    </w:rPr>
  </w:style>
  <w:style w:type="character" w:customStyle="1" w:styleId="TitleChar">
    <w:name w:val="Title Char"/>
    <w:basedOn w:val="DefaultParagraphFont"/>
    <w:link w:val="Title"/>
    <w:uiPriority w:val="10"/>
    <w:rsid w:val="00DE459D"/>
    <w:rPr>
      <w:rFonts w:asciiTheme="majorHAnsi" w:eastAsiaTheme="majorEastAsia" w:hAnsiTheme="majorHAnsi" w:cstheme="majorBidi"/>
      <w:color w:val="534943" w:themeColor="text2" w:themeShade="BF"/>
      <w:spacing w:val="5"/>
      <w:kern w:val="28"/>
      <w:sz w:val="52"/>
      <w:szCs w:val="52"/>
    </w:rPr>
  </w:style>
  <w:style w:type="paragraph" w:styleId="TOAHeading">
    <w:name w:val="toa heading"/>
    <w:basedOn w:val="Normal"/>
    <w:next w:val="Normal"/>
    <w:uiPriority w:val="99"/>
    <w:unhideWhenUsed/>
    <w:rsid w:val="00DE459D"/>
    <w:pPr>
      <w:spacing w:before="120"/>
    </w:pPr>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autoRedefine/>
    <w:qFormat/>
    <w:rsid w:val="00692668"/>
    <w:pPr>
      <w:keepNext/>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qFormat/>
    <w:rsid w:val="00692668"/>
    <w:pPr>
      <w:keepNext/>
      <w:numPr>
        <w:ilvl w:val="1"/>
        <w:numId w:val="29"/>
      </w:numPr>
      <w:tabs>
        <w:tab w:val="left" w:pos="680"/>
      </w:tabs>
      <w:spacing w:line="240" w:lineRule="atLeast"/>
      <w:ind w:left="680" w:hanging="680"/>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692668"/>
    <w:pPr>
      <w:keepNext/>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972E3F"/>
    <w:pPr>
      <w:keepNext/>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266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69266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69266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972E3F"/>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972E3F"/>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basedOn w:val="Normal"/>
    <w:link w:val="FootnoteTextChar"/>
    <w:unhideWhenUsed/>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basedOn w:val="DefaultParagraphFont"/>
    <w:link w:val="FootnoteText"/>
    <w:rsid w:val="00182906"/>
    <w:rPr>
      <w:rFonts w:ascii="Arial" w:hAnsi="Arial"/>
      <w:sz w:val="16"/>
      <w:szCs w:val="20"/>
    </w:rPr>
  </w:style>
  <w:style w:type="character" w:styleId="FootnoteReference">
    <w:name w:val="footnote reference"/>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972E3F"/>
    <w:pPr>
      <w:keepNext/>
      <w:spacing w:before="240" w:after="120"/>
      <w:ind w:left="1418" w:hanging="1418"/>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972E3F"/>
    <w:pPr>
      <w:keepNext/>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972E3F"/>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A7D24"/>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AE2FC7"/>
    <w:pPr>
      <w:spacing w:line="240" w:lineRule="auto"/>
    </w:pPr>
    <w:rPr>
      <w:sz w:val="20"/>
      <w:szCs w:val="20"/>
    </w:rPr>
  </w:style>
  <w:style w:type="character" w:customStyle="1" w:styleId="CommentTextChar">
    <w:name w:val="Comment Text Char"/>
    <w:basedOn w:val="DefaultParagraphFont"/>
    <w:link w:val="CommentText"/>
    <w:uiPriority w:val="99"/>
    <w:semiHidden/>
    <w:rsid w:val="00AE2F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E2FC7"/>
    <w:rPr>
      <w:b/>
      <w:bCs/>
    </w:rPr>
  </w:style>
  <w:style w:type="character" w:customStyle="1" w:styleId="CommentSubjectChar">
    <w:name w:val="Comment Subject Char"/>
    <w:basedOn w:val="CommentTextChar"/>
    <w:link w:val="CommentSubject"/>
    <w:uiPriority w:val="99"/>
    <w:semiHidden/>
    <w:rsid w:val="00AE2FC7"/>
    <w:rPr>
      <w:rFonts w:ascii="Arial" w:hAnsi="Arial"/>
      <w:b/>
      <w:bCs/>
      <w:sz w:val="20"/>
      <w:szCs w:val="20"/>
    </w:rPr>
  </w:style>
  <w:style w:type="character" w:styleId="HTMLCite">
    <w:name w:val="HTML Cite"/>
    <w:basedOn w:val="DefaultParagraphFont"/>
    <w:uiPriority w:val="99"/>
    <w:unhideWhenUsed/>
    <w:rsid w:val="00A04D24"/>
    <w:rPr>
      <w:i/>
      <w:iCs/>
    </w:rPr>
  </w:style>
  <w:style w:type="paragraph" w:styleId="Title">
    <w:name w:val="Title"/>
    <w:basedOn w:val="Normal"/>
    <w:next w:val="Normal"/>
    <w:link w:val="TitleChar"/>
    <w:uiPriority w:val="10"/>
    <w:rsid w:val="00DE459D"/>
    <w:pPr>
      <w:pBdr>
        <w:bottom w:val="single" w:sz="8" w:space="4" w:color="2F002F" w:themeColor="accent1"/>
      </w:pBdr>
      <w:spacing w:before="0" w:after="300" w:line="240" w:lineRule="auto"/>
      <w:contextualSpacing/>
    </w:pPr>
    <w:rPr>
      <w:rFonts w:asciiTheme="majorHAnsi" w:eastAsiaTheme="majorEastAsia" w:hAnsiTheme="majorHAnsi" w:cstheme="majorBidi"/>
      <w:color w:val="534943" w:themeColor="text2" w:themeShade="BF"/>
      <w:spacing w:val="5"/>
      <w:kern w:val="28"/>
      <w:sz w:val="52"/>
      <w:szCs w:val="52"/>
    </w:rPr>
  </w:style>
  <w:style w:type="character" w:customStyle="1" w:styleId="TitleChar">
    <w:name w:val="Title Char"/>
    <w:basedOn w:val="DefaultParagraphFont"/>
    <w:link w:val="Title"/>
    <w:uiPriority w:val="10"/>
    <w:rsid w:val="00DE459D"/>
    <w:rPr>
      <w:rFonts w:asciiTheme="majorHAnsi" w:eastAsiaTheme="majorEastAsia" w:hAnsiTheme="majorHAnsi" w:cstheme="majorBidi"/>
      <w:color w:val="534943" w:themeColor="text2" w:themeShade="BF"/>
      <w:spacing w:val="5"/>
      <w:kern w:val="28"/>
      <w:sz w:val="52"/>
      <w:szCs w:val="52"/>
    </w:rPr>
  </w:style>
  <w:style w:type="paragraph" w:styleId="TOAHeading">
    <w:name w:val="toa heading"/>
    <w:basedOn w:val="Normal"/>
    <w:next w:val="Normal"/>
    <w:uiPriority w:val="99"/>
    <w:unhideWhenUsed/>
    <w:rsid w:val="00DE459D"/>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1389">
      <w:bodyDiv w:val="1"/>
      <w:marLeft w:val="0"/>
      <w:marRight w:val="0"/>
      <w:marTop w:val="0"/>
      <w:marBottom w:val="0"/>
      <w:divBdr>
        <w:top w:val="none" w:sz="0" w:space="0" w:color="auto"/>
        <w:left w:val="none" w:sz="0" w:space="0" w:color="auto"/>
        <w:bottom w:val="none" w:sz="0" w:space="0" w:color="auto"/>
        <w:right w:val="none" w:sz="0" w:space="0" w:color="auto"/>
      </w:divBdr>
    </w:div>
    <w:div w:id="249855858">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455023089">
      <w:bodyDiv w:val="1"/>
      <w:marLeft w:val="0"/>
      <w:marRight w:val="0"/>
      <w:marTop w:val="0"/>
      <w:marBottom w:val="0"/>
      <w:divBdr>
        <w:top w:val="none" w:sz="0" w:space="0" w:color="auto"/>
        <w:left w:val="none" w:sz="0" w:space="0" w:color="auto"/>
        <w:bottom w:val="none" w:sz="0" w:space="0" w:color="auto"/>
        <w:right w:val="none" w:sz="0" w:space="0" w:color="auto"/>
      </w:divBdr>
    </w:div>
    <w:div w:id="576356227">
      <w:bodyDiv w:val="1"/>
      <w:marLeft w:val="0"/>
      <w:marRight w:val="0"/>
      <w:marTop w:val="0"/>
      <w:marBottom w:val="0"/>
      <w:divBdr>
        <w:top w:val="none" w:sz="0" w:space="0" w:color="auto"/>
        <w:left w:val="none" w:sz="0" w:space="0" w:color="auto"/>
        <w:bottom w:val="none" w:sz="0" w:space="0" w:color="auto"/>
        <w:right w:val="none" w:sz="0" w:space="0" w:color="auto"/>
      </w:divBdr>
    </w:div>
    <w:div w:id="680085803">
      <w:bodyDiv w:val="1"/>
      <w:marLeft w:val="0"/>
      <w:marRight w:val="0"/>
      <w:marTop w:val="0"/>
      <w:marBottom w:val="0"/>
      <w:divBdr>
        <w:top w:val="none" w:sz="0" w:space="0" w:color="auto"/>
        <w:left w:val="none" w:sz="0" w:space="0" w:color="auto"/>
        <w:bottom w:val="none" w:sz="0" w:space="0" w:color="auto"/>
        <w:right w:val="none" w:sz="0" w:space="0" w:color="auto"/>
      </w:divBdr>
    </w:div>
    <w:div w:id="711418987">
      <w:bodyDiv w:val="1"/>
      <w:marLeft w:val="0"/>
      <w:marRight w:val="0"/>
      <w:marTop w:val="0"/>
      <w:marBottom w:val="0"/>
      <w:divBdr>
        <w:top w:val="none" w:sz="0" w:space="0" w:color="auto"/>
        <w:left w:val="none" w:sz="0" w:space="0" w:color="auto"/>
        <w:bottom w:val="none" w:sz="0" w:space="0" w:color="auto"/>
        <w:right w:val="none" w:sz="0" w:space="0" w:color="auto"/>
      </w:divBdr>
    </w:div>
    <w:div w:id="785344512">
      <w:bodyDiv w:val="1"/>
      <w:marLeft w:val="0"/>
      <w:marRight w:val="0"/>
      <w:marTop w:val="0"/>
      <w:marBottom w:val="0"/>
      <w:divBdr>
        <w:top w:val="none" w:sz="0" w:space="0" w:color="auto"/>
        <w:left w:val="none" w:sz="0" w:space="0" w:color="auto"/>
        <w:bottom w:val="none" w:sz="0" w:space="0" w:color="auto"/>
        <w:right w:val="none" w:sz="0" w:space="0" w:color="auto"/>
      </w:divBdr>
    </w:div>
    <w:div w:id="838934149">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307003965">
      <w:bodyDiv w:val="1"/>
      <w:marLeft w:val="0"/>
      <w:marRight w:val="0"/>
      <w:marTop w:val="0"/>
      <w:marBottom w:val="0"/>
      <w:divBdr>
        <w:top w:val="none" w:sz="0" w:space="0" w:color="auto"/>
        <w:left w:val="none" w:sz="0" w:space="0" w:color="auto"/>
        <w:bottom w:val="none" w:sz="0" w:space="0" w:color="auto"/>
        <w:right w:val="none" w:sz="0" w:space="0" w:color="auto"/>
      </w:divBdr>
    </w:div>
    <w:div w:id="1441073076">
      <w:bodyDiv w:val="1"/>
      <w:marLeft w:val="0"/>
      <w:marRight w:val="0"/>
      <w:marTop w:val="0"/>
      <w:marBottom w:val="0"/>
      <w:divBdr>
        <w:top w:val="none" w:sz="0" w:space="0" w:color="auto"/>
        <w:left w:val="none" w:sz="0" w:space="0" w:color="auto"/>
        <w:bottom w:val="none" w:sz="0" w:space="0" w:color="auto"/>
        <w:right w:val="none" w:sz="0" w:space="0" w:color="auto"/>
      </w:divBdr>
    </w:div>
    <w:div w:id="1583836360">
      <w:bodyDiv w:val="1"/>
      <w:marLeft w:val="0"/>
      <w:marRight w:val="0"/>
      <w:marTop w:val="0"/>
      <w:marBottom w:val="0"/>
      <w:divBdr>
        <w:top w:val="none" w:sz="0" w:space="0" w:color="auto"/>
        <w:left w:val="none" w:sz="0" w:space="0" w:color="auto"/>
        <w:bottom w:val="none" w:sz="0" w:space="0" w:color="auto"/>
        <w:right w:val="none" w:sz="0" w:space="0" w:color="auto"/>
      </w:divBdr>
    </w:div>
    <w:div w:id="1740636168">
      <w:bodyDiv w:val="1"/>
      <w:marLeft w:val="0"/>
      <w:marRight w:val="0"/>
      <w:marTop w:val="0"/>
      <w:marBottom w:val="0"/>
      <w:divBdr>
        <w:top w:val="none" w:sz="0" w:space="0" w:color="auto"/>
        <w:left w:val="none" w:sz="0" w:space="0" w:color="auto"/>
        <w:bottom w:val="none" w:sz="0" w:space="0" w:color="auto"/>
        <w:right w:val="none" w:sz="0" w:space="0" w:color="auto"/>
      </w:divBdr>
    </w:div>
    <w:div w:id="20867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99" Type="http://schemas.openxmlformats.org/officeDocument/2006/relationships/theme" Target="theme/theme1.xml"/><Relationship Id="rId21" Type="http://schemas.openxmlformats.org/officeDocument/2006/relationships/chart" Target="charts/chart8.xml"/><Relationship Id="rId42" Type="http://schemas.openxmlformats.org/officeDocument/2006/relationships/chart" Target="charts/chart28.xml"/><Relationship Id="rId63" Type="http://schemas.openxmlformats.org/officeDocument/2006/relationships/image" Target="media/image6.jpeg"/><Relationship Id="rId84" Type="http://schemas.openxmlformats.org/officeDocument/2006/relationships/image" Target="media/image17.jpeg"/><Relationship Id="rId138" Type="http://schemas.openxmlformats.org/officeDocument/2006/relationships/image" Target="media/image41.png"/><Relationship Id="rId159" Type="http://schemas.openxmlformats.org/officeDocument/2006/relationships/image" Target="media/image52.emf"/><Relationship Id="rId170" Type="http://schemas.openxmlformats.org/officeDocument/2006/relationships/chart" Target="charts/chart89.xml"/><Relationship Id="rId191" Type="http://schemas.openxmlformats.org/officeDocument/2006/relationships/chart" Target="charts/chart101.xml"/><Relationship Id="rId205" Type="http://schemas.openxmlformats.org/officeDocument/2006/relationships/chart" Target="charts/chart104.xml"/><Relationship Id="rId226" Type="http://schemas.openxmlformats.org/officeDocument/2006/relationships/chart" Target="charts/chart116.xml"/><Relationship Id="rId247" Type="http://schemas.openxmlformats.org/officeDocument/2006/relationships/chart" Target="charts/chart126.xml"/><Relationship Id="rId107" Type="http://schemas.openxmlformats.org/officeDocument/2006/relationships/image" Target="media/image280.png"/><Relationship Id="rId268" Type="http://schemas.openxmlformats.org/officeDocument/2006/relationships/chart" Target="charts/chart138.xml"/><Relationship Id="rId289" Type="http://schemas.openxmlformats.org/officeDocument/2006/relationships/image" Target="media/image100.jpeg"/><Relationship Id="rId11" Type="http://schemas.openxmlformats.org/officeDocument/2006/relationships/footer" Target="footer1.xml"/><Relationship Id="rId32" Type="http://schemas.openxmlformats.org/officeDocument/2006/relationships/chart" Target="charts/chart18.xml"/><Relationship Id="rId53" Type="http://schemas.openxmlformats.org/officeDocument/2006/relationships/image" Target="media/image52.png"/><Relationship Id="rId74" Type="http://schemas.openxmlformats.org/officeDocument/2006/relationships/chart" Target="charts/chart43.xml"/><Relationship Id="rId128" Type="http://schemas.openxmlformats.org/officeDocument/2006/relationships/chart" Target="charts/chart67.xml"/><Relationship Id="rId149" Type="http://schemas.openxmlformats.org/officeDocument/2006/relationships/chart" Target="charts/chart77.xml"/><Relationship Id="rId5" Type="http://schemas.openxmlformats.org/officeDocument/2006/relationships/settings" Target="settings.xml"/><Relationship Id="rId95" Type="http://schemas.openxmlformats.org/officeDocument/2006/relationships/chart" Target="charts/chart54.xml"/><Relationship Id="rId160" Type="http://schemas.openxmlformats.org/officeDocument/2006/relationships/image" Target="media/image53.png"/><Relationship Id="rId181" Type="http://schemas.openxmlformats.org/officeDocument/2006/relationships/chart" Target="charts/chart93.xml"/><Relationship Id="rId216" Type="http://schemas.openxmlformats.org/officeDocument/2006/relationships/image" Target="media/image73.png"/><Relationship Id="rId237" Type="http://schemas.openxmlformats.org/officeDocument/2006/relationships/image" Target="media/image82.png"/><Relationship Id="rId258" Type="http://schemas.openxmlformats.org/officeDocument/2006/relationships/chart" Target="charts/chart130.xml"/><Relationship Id="rId279" Type="http://schemas.openxmlformats.org/officeDocument/2006/relationships/chart" Target="charts/chart140.xml"/><Relationship Id="rId22" Type="http://schemas.openxmlformats.org/officeDocument/2006/relationships/chart" Target="charts/chart9.xml"/><Relationship Id="rId43" Type="http://schemas.openxmlformats.org/officeDocument/2006/relationships/chart" Target="charts/chart29.xml"/><Relationship Id="rId64" Type="http://schemas.openxmlformats.org/officeDocument/2006/relationships/image" Target="media/image7.jpeg"/><Relationship Id="rId118" Type="http://schemas.openxmlformats.org/officeDocument/2006/relationships/image" Target="media/image31.jpeg"/><Relationship Id="rId139" Type="http://schemas.openxmlformats.org/officeDocument/2006/relationships/image" Target="media/image42.png"/><Relationship Id="rId290" Type="http://schemas.openxmlformats.org/officeDocument/2006/relationships/image" Target="media/image101.emf"/><Relationship Id="rId85" Type="http://schemas.openxmlformats.org/officeDocument/2006/relationships/image" Target="media/image18.jpeg"/><Relationship Id="rId150" Type="http://schemas.openxmlformats.org/officeDocument/2006/relationships/chart" Target="charts/chart78.xml"/><Relationship Id="rId171" Type="http://schemas.openxmlformats.org/officeDocument/2006/relationships/chart" Target="charts/chart90.xml"/><Relationship Id="rId192" Type="http://schemas.openxmlformats.org/officeDocument/2006/relationships/image" Target="media/image61.jpeg"/><Relationship Id="rId206" Type="http://schemas.openxmlformats.org/officeDocument/2006/relationships/chart" Target="charts/chart105.xml"/><Relationship Id="rId227" Type="http://schemas.openxmlformats.org/officeDocument/2006/relationships/chart" Target="charts/chart117.xml"/><Relationship Id="rId248" Type="http://schemas.openxmlformats.org/officeDocument/2006/relationships/chart" Target="charts/chart127.xml"/><Relationship Id="rId269" Type="http://schemas.openxmlformats.org/officeDocument/2006/relationships/image" Target="media/image92.jpeg"/><Relationship Id="rId12" Type="http://schemas.openxmlformats.org/officeDocument/2006/relationships/image" Target="media/image2.png"/><Relationship Id="rId33" Type="http://schemas.openxmlformats.org/officeDocument/2006/relationships/chart" Target="charts/chart19.xml"/><Relationship Id="rId108" Type="http://schemas.openxmlformats.org/officeDocument/2006/relationships/image" Target="media/image290.png"/><Relationship Id="rId129" Type="http://schemas.openxmlformats.org/officeDocument/2006/relationships/chart" Target="charts/chart68.xml"/><Relationship Id="rId280" Type="http://schemas.openxmlformats.org/officeDocument/2006/relationships/chart" Target="charts/chart141.xml"/><Relationship Id="rId54" Type="http://schemas.microsoft.com/office/2007/relationships/hdphoto" Target="media/hdphoto10.wdp"/><Relationship Id="rId75" Type="http://schemas.openxmlformats.org/officeDocument/2006/relationships/chart" Target="charts/chart44.xml"/><Relationship Id="rId96" Type="http://schemas.openxmlformats.org/officeDocument/2006/relationships/chart" Target="charts/chart55.xml"/><Relationship Id="rId140" Type="http://schemas.openxmlformats.org/officeDocument/2006/relationships/image" Target="media/image43.emf"/><Relationship Id="rId161" Type="http://schemas.openxmlformats.org/officeDocument/2006/relationships/chart" Target="charts/chart82.xml"/><Relationship Id="rId182" Type="http://schemas.openxmlformats.org/officeDocument/2006/relationships/chart" Target="charts/chart92.xml"/><Relationship Id="rId217" Type="http://schemas.openxmlformats.org/officeDocument/2006/relationships/image" Target="media/image74.emf"/><Relationship Id="rId6" Type="http://schemas.openxmlformats.org/officeDocument/2006/relationships/webSettings" Target="webSettings.xml"/><Relationship Id="rId238" Type="http://schemas.openxmlformats.org/officeDocument/2006/relationships/image" Target="media/image83.emf"/><Relationship Id="rId259" Type="http://schemas.openxmlformats.org/officeDocument/2006/relationships/chart" Target="charts/chart129.xml"/><Relationship Id="rId23" Type="http://schemas.openxmlformats.org/officeDocument/2006/relationships/image" Target="media/image3.png"/><Relationship Id="rId119" Type="http://schemas.openxmlformats.org/officeDocument/2006/relationships/image" Target="media/image32.emf"/><Relationship Id="rId270" Type="http://schemas.openxmlformats.org/officeDocument/2006/relationships/image" Target="media/image93.jpeg"/><Relationship Id="rId291" Type="http://schemas.openxmlformats.org/officeDocument/2006/relationships/image" Target="media/image102.jpeg"/><Relationship Id="rId44" Type="http://schemas.openxmlformats.org/officeDocument/2006/relationships/chart" Target="charts/chart30.xml"/><Relationship Id="rId65" Type="http://schemas.openxmlformats.org/officeDocument/2006/relationships/image" Target="media/image8.emf"/><Relationship Id="rId86" Type="http://schemas.openxmlformats.org/officeDocument/2006/relationships/image" Target="media/image19.emf"/><Relationship Id="rId130" Type="http://schemas.openxmlformats.org/officeDocument/2006/relationships/chart" Target="charts/chart69.xml"/><Relationship Id="rId151" Type="http://schemas.openxmlformats.org/officeDocument/2006/relationships/chart" Target="charts/chart79.xml"/><Relationship Id="rId172" Type="http://schemas.openxmlformats.org/officeDocument/2006/relationships/chart" Target="charts/chart91.xml"/><Relationship Id="rId193" Type="http://schemas.openxmlformats.org/officeDocument/2006/relationships/image" Target="media/image62.jpeg"/><Relationship Id="rId207" Type="http://schemas.openxmlformats.org/officeDocument/2006/relationships/chart" Target="charts/chart106.xml"/><Relationship Id="rId228" Type="http://schemas.openxmlformats.org/officeDocument/2006/relationships/chart" Target="charts/chart118.xml"/><Relationship Id="rId249" Type="http://schemas.openxmlformats.org/officeDocument/2006/relationships/chart" Target="charts/chart128.xml"/><Relationship Id="rId13" Type="http://schemas.openxmlformats.org/officeDocument/2006/relationships/hyperlink" Target="mailto:AERinquiry@aer.gov.au" TargetMode="External"/><Relationship Id="rId109" Type="http://schemas.openxmlformats.org/officeDocument/2006/relationships/chart" Target="charts/chart58.xml"/><Relationship Id="rId260" Type="http://schemas.openxmlformats.org/officeDocument/2006/relationships/chart" Target="charts/chart130.xml"/><Relationship Id="rId281" Type="http://schemas.openxmlformats.org/officeDocument/2006/relationships/chart" Target="charts/chart142.xml"/><Relationship Id="rId34" Type="http://schemas.openxmlformats.org/officeDocument/2006/relationships/chart" Target="charts/chart20.xml"/><Relationship Id="rId55" Type="http://schemas.openxmlformats.org/officeDocument/2006/relationships/chart" Target="charts/chart34.xml"/><Relationship Id="rId76" Type="http://schemas.openxmlformats.org/officeDocument/2006/relationships/chart" Target="charts/chart45.xml"/><Relationship Id="rId97" Type="http://schemas.openxmlformats.org/officeDocument/2006/relationships/chart" Target="charts/chart56.xml"/><Relationship Id="rId120" Type="http://schemas.openxmlformats.org/officeDocument/2006/relationships/image" Target="media/image33.jpeg"/><Relationship Id="rId141"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image" Target="media/image120.png"/><Relationship Id="rId92" Type="http://schemas.openxmlformats.org/officeDocument/2006/relationships/chart" Target="charts/chart51.xml"/><Relationship Id="rId162" Type="http://schemas.openxmlformats.org/officeDocument/2006/relationships/chart" Target="charts/chart83.xml"/><Relationship Id="rId183" Type="http://schemas.openxmlformats.org/officeDocument/2006/relationships/chart" Target="charts/chart93.xml"/><Relationship Id="rId213" Type="http://schemas.openxmlformats.org/officeDocument/2006/relationships/image" Target="media/image70.png"/><Relationship Id="rId218" Type="http://schemas.openxmlformats.org/officeDocument/2006/relationships/image" Target="media/image75.png"/><Relationship Id="rId234" Type="http://schemas.openxmlformats.org/officeDocument/2006/relationships/image" Target="media/image79.jpeg"/><Relationship Id="rId239"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chart" Target="charts/chart15.xml"/><Relationship Id="rId250" Type="http://schemas.openxmlformats.org/officeDocument/2006/relationships/image" Target="media/image85.jpeg"/><Relationship Id="rId255" Type="http://schemas.openxmlformats.org/officeDocument/2006/relationships/image" Target="media/image90.emf"/><Relationship Id="rId271" Type="http://schemas.openxmlformats.org/officeDocument/2006/relationships/image" Target="media/image94.emf"/><Relationship Id="rId276" Type="http://schemas.openxmlformats.org/officeDocument/2006/relationships/chart" Target="charts/chart139.xml"/><Relationship Id="rId292" Type="http://schemas.openxmlformats.org/officeDocument/2006/relationships/image" Target="media/image103.jpeg"/><Relationship Id="rId297" Type="http://schemas.openxmlformats.org/officeDocument/2006/relationships/footer" Target="footer4.xml"/><Relationship Id="rId24" Type="http://schemas.openxmlformats.org/officeDocument/2006/relationships/chart" Target="charts/chart10.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image" Target="media/image9.jpeg"/><Relationship Id="rId87" Type="http://schemas.openxmlformats.org/officeDocument/2006/relationships/image" Target="media/image20.png"/><Relationship Id="rId110" Type="http://schemas.openxmlformats.org/officeDocument/2006/relationships/chart" Target="charts/chart59.xml"/><Relationship Id="rId115" Type="http://schemas.openxmlformats.org/officeDocument/2006/relationships/chart" Target="charts/chart64.xml"/><Relationship Id="rId131" Type="http://schemas.openxmlformats.org/officeDocument/2006/relationships/chart" Target="charts/chart70.xml"/><Relationship Id="rId136" Type="http://schemas.openxmlformats.org/officeDocument/2006/relationships/image" Target="media/image39.png"/><Relationship Id="rId157" Type="http://schemas.openxmlformats.org/officeDocument/2006/relationships/image" Target="media/image50.png"/><Relationship Id="rId178" Type="http://schemas.openxmlformats.org/officeDocument/2006/relationships/image" Target="media/image59.emf"/><Relationship Id="rId61" Type="http://schemas.openxmlformats.org/officeDocument/2006/relationships/chart" Target="charts/chart40.xml"/><Relationship Id="rId82" Type="http://schemas.openxmlformats.org/officeDocument/2006/relationships/image" Target="media/image15.png"/><Relationship Id="rId152" Type="http://schemas.openxmlformats.org/officeDocument/2006/relationships/chart" Target="charts/chart80.xml"/><Relationship Id="rId173" Type="http://schemas.openxmlformats.org/officeDocument/2006/relationships/image" Target="media/image54.jpeg"/><Relationship Id="rId194" Type="http://schemas.openxmlformats.org/officeDocument/2006/relationships/image" Target="media/image63.emf"/><Relationship Id="rId199" Type="http://schemas.openxmlformats.org/officeDocument/2006/relationships/image" Target="media/image67.emf"/><Relationship Id="rId203" Type="http://schemas.openxmlformats.org/officeDocument/2006/relationships/chart" Target="charts/chart102.xml"/><Relationship Id="rId208" Type="http://schemas.openxmlformats.org/officeDocument/2006/relationships/chart" Target="charts/chart107.xml"/><Relationship Id="rId229" Type="http://schemas.openxmlformats.org/officeDocument/2006/relationships/chart" Target="charts/chart119.xml"/><Relationship Id="rId19" Type="http://schemas.openxmlformats.org/officeDocument/2006/relationships/chart" Target="charts/chart6.xml"/><Relationship Id="rId224" Type="http://schemas.openxmlformats.org/officeDocument/2006/relationships/chart" Target="charts/chart114.xml"/><Relationship Id="rId240" Type="http://schemas.openxmlformats.org/officeDocument/2006/relationships/image" Target="media/image830.emf"/><Relationship Id="rId245" Type="http://schemas.openxmlformats.org/officeDocument/2006/relationships/chart" Target="charts/chart124.xml"/><Relationship Id="rId261" Type="http://schemas.openxmlformats.org/officeDocument/2006/relationships/chart" Target="charts/chart131.xml"/><Relationship Id="rId266" Type="http://schemas.openxmlformats.org/officeDocument/2006/relationships/chart" Target="charts/chart136.xml"/><Relationship Id="rId287" Type="http://schemas.openxmlformats.org/officeDocument/2006/relationships/chart" Target="charts/chart148.xml"/><Relationship Id="rId14" Type="http://schemas.openxmlformats.org/officeDocument/2006/relationships/chart" Target="charts/chart1.xm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35.xml"/><Relationship Id="rId77" Type="http://schemas.openxmlformats.org/officeDocument/2006/relationships/chart" Target="charts/chart46.xml"/><Relationship Id="rId100" Type="http://schemas.openxmlformats.org/officeDocument/2006/relationships/image" Target="media/image23.png"/><Relationship Id="rId105" Type="http://schemas.openxmlformats.org/officeDocument/2006/relationships/image" Target="media/image28.png"/><Relationship Id="rId126" Type="http://schemas.openxmlformats.org/officeDocument/2006/relationships/image" Target="media/image370.png"/><Relationship Id="rId147" Type="http://schemas.openxmlformats.org/officeDocument/2006/relationships/chart" Target="charts/chart75.xml"/><Relationship Id="rId168" Type="http://schemas.openxmlformats.org/officeDocument/2006/relationships/chart" Target="charts/chart87.xml"/><Relationship Id="rId282" Type="http://schemas.openxmlformats.org/officeDocument/2006/relationships/chart" Target="charts/chart143.xml"/><Relationship Id="rId8" Type="http://schemas.openxmlformats.org/officeDocument/2006/relationships/endnotes" Target="endnotes.xml"/><Relationship Id="rId72" Type="http://schemas.openxmlformats.org/officeDocument/2006/relationships/image" Target="media/image130.png"/><Relationship Id="rId93" Type="http://schemas.openxmlformats.org/officeDocument/2006/relationships/chart" Target="charts/chart52.xml"/><Relationship Id="rId98" Type="http://schemas.openxmlformats.org/officeDocument/2006/relationships/chart" Target="charts/chart57.xml"/><Relationship Id="rId121" Type="http://schemas.openxmlformats.org/officeDocument/2006/relationships/image" Target="media/image34.jpeg"/><Relationship Id="rId142" Type="http://schemas.openxmlformats.org/officeDocument/2006/relationships/image" Target="media/image45.png"/><Relationship Id="rId163" Type="http://schemas.openxmlformats.org/officeDocument/2006/relationships/chart" Target="charts/chart82.xml"/><Relationship Id="rId184" Type="http://schemas.openxmlformats.org/officeDocument/2006/relationships/chart" Target="charts/chart94.xml"/><Relationship Id="rId189" Type="http://schemas.openxmlformats.org/officeDocument/2006/relationships/chart" Target="charts/chart99.xml"/><Relationship Id="rId219" Type="http://schemas.openxmlformats.org/officeDocument/2006/relationships/chart" Target="charts/chart111.xml"/><Relationship Id="rId3" Type="http://schemas.openxmlformats.org/officeDocument/2006/relationships/styles" Target="styles.xml"/><Relationship Id="rId214" Type="http://schemas.openxmlformats.org/officeDocument/2006/relationships/image" Target="media/image71.emf"/><Relationship Id="rId230" Type="http://schemas.openxmlformats.org/officeDocument/2006/relationships/chart" Target="charts/chart120.xml"/><Relationship Id="rId235" Type="http://schemas.openxmlformats.org/officeDocument/2006/relationships/image" Target="media/image80.jpeg"/><Relationship Id="rId251" Type="http://schemas.openxmlformats.org/officeDocument/2006/relationships/image" Target="media/image86.jpeg"/><Relationship Id="rId256" Type="http://schemas.openxmlformats.org/officeDocument/2006/relationships/image" Target="media/image91.png"/><Relationship Id="rId277" Type="http://schemas.openxmlformats.org/officeDocument/2006/relationships/chart" Target="charts/chart140.xml"/><Relationship Id="rId298" Type="http://schemas.openxmlformats.org/officeDocument/2006/relationships/fontTable" Target="fontTable.xm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image" Target="media/image10.jpeg"/><Relationship Id="rId116" Type="http://schemas.openxmlformats.org/officeDocument/2006/relationships/chart" Target="charts/chart65.xml"/><Relationship Id="rId137" Type="http://schemas.openxmlformats.org/officeDocument/2006/relationships/image" Target="media/image40.emf"/><Relationship Id="rId158" Type="http://schemas.openxmlformats.org/officeDocument/2006/relationships/image" Target="media/image51.png"/><Relationship Id="rId272" Type="http://schemas.openxmlformats.org/officeDocument/2006/relationships/image" Target="media/image95.jpeg"/><Relationship Id="rId293" Type="http://schemas.openxmlformats.org/officeDocument/2006/relationships/image" Target="media/image104.emf"/><Relationship Id="rId20" Type="http://schemas.openxmlformats.org/officeDocument/2006/relationships/chart" Target="charts/chart7.xml"/><Relationship Id="rId41" Type="http://schemas.openxmlformats.org/officeDocument/2006/relationships/chart" Target="charts/chart27.xml"/><Relationship Id="rId62" Type="http://schemas.openxmlformats.org/officeDocument/2006/relationships/chart" Target="charts/chart41.xml"/><Relationship Id="rId83" Type="http://schemas.openxmlformats.org/officeDocument/2006/relationships/image" Target="media/image16.emf"/><Relationship Id="rId88" Type="http://schemas.openxmlformats.org/officeDocument/2006/relationships/image" Target="media/image21.png"/><Relationship Id="rId111" Type="http://schemas.openxmlformats.org/officeDocument/2006/relationships/chart" Target="charts/chart60.xml"/><Relationship Id="rId132" Type="http://schemas.openxmlformats.org/officeDocument/2006/relationships/chart" Target="charts/chart71.xml"/><Relationship Id="rId153" Type="http://schemas.openxmlformats.org/officeDocument/2006/relationships/chart" Target="charts/chart81.xml"/><Relationship Id="rId174" Type="http://schemas.openxmlformats.org/officeDocument/2006/relationships/image" Target="media/image55.jpeg"/><Relationship Id="rId179" Type="http://schemas.openxmlformats.org/officeDocument/2006/relationships/image" Target="media/image60.emf"/><Relationship Id="rId195" Type="http://schemas.openxmlformats.org/officeDocument/2006/relationships/image" Target="media/image64.png"/><Relationship Id="rId209" Type="http://schemas.openxmlformats.org/officeDocument/2006/relationships/chart" Target="charts/chart108.xml"/><Relationship Id="rId190" Type="http://schemas.openxmlformats.org/officeDocument/2006/relationships/chart" Target="charts/chart100.xml"/><Relationship Id="rId204" Type="http://schemas.openxmlformats.org/officeDocument/2006/relationships/chart" Target="charts/chart103.xml"/><Relationship Id="rId220" Type="http://schemas.openxmlformats.org/officeDocument/2006/relationships/chart" Target="charts/chart112.xml"/><Relationship Id="rId225" Type="http://schemas.openxmlformats.org/officeDocument/2006/relationships/chart" Target="charts/chart115.xml"/><Relationship Id="rId241" Type="http://schemas.openxmlformats.org/officeDocument/2006/relationships/image" Target="media/image840.emf"/><Relationship Id="rId246" Type="http://schemas.openxmlformats.org/officeDocument/2006/relationships/chart" Target="charts/chart125.xml"/><Relationship Id="rId267" Type="http://schemas.openxmlformats.org/officeDocument/2006/relationships/chart" Target="charts/chart137.xml"/><Relationship Id="rId288" Type="http://schemas.openxmlformats.org/officeDocument/2006/relationships/image" Target="media/image99.jpeg"/><Relationship Id="rId15" Type="http://schemas.openxmlformats.org/officeDocument/2006/relationships/chart" Target="charts/chart2.xml"/><Relationship Id="rId36" Type="http://schemas.openxmlformats.org/officeDocument/2006/relationships/chart" Target="charts/chart22.xml"/><Relationship Id="rId57" Type="http://schemas.openxmlformats.org/officeDocument/2006/relationships/chart" Target="charts/chart36.xml"/><Relationship Id="rId106" Type="http://schemas.openxmlformats.org/officeDocument/2006/relationships/image" Target="media/image29.png"/><Relationship Id="rId127" Type="http://schemas.openxmlformats.org/officeDocument/2006/relationships/chart" Target="charts/chart66.xml"/><Relationship Id="rId262" Type="http://schemas.openxmlformats.org/officeDocument/2006/relationships/chart" Target="charts/chart132.xml"/><Relationship Id="rId283" Type="http://schemas.openxmlformats.org/officeDocument/2006/relationships/chart" Target="charts/chart144.xml"/><Relationship Id="rId10" Type="http://schemas.openxmlformats.org/officeDocument/2006/relationships/hyperlink" Target="mailto:AERInquiry@aer.gov.au" TargetMode="External"/><Relationship Id="rId31" Type="http://schemas.openxmlformats.org/officeDocument/2006/relationships/chart" Target="charts/chart17.xml"/><Relationship Id="rId52" Type="http://schemas.openxmlformats.org/officeDocument/2006/relationships/image" Target="media/image40.png"/><Relationship Id="rId73" Type="http://schemas.openxmlformats.org/officeDocument/2006/relationships/chart" Target="charts/chart42.xml"/><Relationship Id="rId78" Type="http://schemas.openxmlformats.org/officeDocument/2006/relationships/chart" Target="charts/chart47.xml"/><Relationship Id="rId94" Type="http://schemas.openxmlformats.org/officeDocument/2006/relationships/chart" Target="charts/chart53.xml"/><Relationship Id="rId99" Type="http://schemas.openxmlformats.org/officeDocument/2006/relationships/image" Target="media/image22.png"/><Relationship Id="rId101" Type="http://schemas.openxmlformats.org/officeDocument/2006/relationships/image" Target="media/image24.emf"/><Relationship Id="rId122" Type="http://schemas.openxmlformats.org/officeDocument/2006/relationships/image" Target="media/image35.emf"/><Relationship Id="rId143" Type="http://schemas.openxmlformats.org/officeDocument/2006/relationships/image" Target="media/image46.png"/><Relationship Id="rId148" Type="http://schemas.openxmlformats.org/officeDocument/2006/relationships/chart" Target="charts/chart76.xml"/><Relationship Id="rId164" Type="http://schemas.openxmlformats.org/officeDocument/2006/relationships/chart" Target="charts/chart83.xml"/><Relationship Id="rId169" Type="http://schemas.openxmlformats.org/officeDocument/2006/relationships/chart" Target="charts/chart88.xml"/><Relationship Id="rId185" Type="http://schemas.openxmlformats.org/officeDocument/2006/relationships/chart" Target="charts/chart95.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chart" Target="charts/chart92.xml"/><Relationship Id="rId210" Type="http://schemas.openxmlformats.org/officeDocument/2006/relationships/chart" Target="charts/chart109.xml"/><Relationship Id="rId215" Type="http://schemas.openxmlformats.org/officeDocument/2006/relationships/image" Target="media/image72.png"/><Relationship Id="rId236" Type="http://schemas.openxmlformats.org/officeDocument/2006/relationships/image" Target="media/image81.emf"/><Relationship Id="rId257" Type="http://schemas.openxmlformats.org/officeDocument/2006/relationships/chart" Target="charts/chart129.xml"/><Relationship Id="rId278" Type="http://schemas.openxmlformats.org/officeDocument/2006/relationships/chart" Target="charts/chart139.xml"/><Relationship Id="rId26" Type="http://schemas.openxmlformats.org/officeDocument/2006/relationships/chart" Target="charts/chart12.xml"/><Relationship Id="rId231" Type="http://schemas.openxmlformats.org/officeDocument/2006/relationships/image" Target="media/image76.jpeg"/><Relationship Id="rId252" Type="http://schemas.openxmlformats.org/officeDocument/2006/relationships/image" Target="media/image87.emf"/><Relationship Id="rId273" Type="http://schemas.openxmlformats.org/officeDocument/2006/relationships/image" Target="media/image96.jpeg"/><Relationship Id="rId294" Type="http://schemas.openxmlformats.org/officeDocument/2006/relationships/image" Target="media/image105.png"/><Relationship Id="rId47" Type="http://schemas.openxmlformats.org/officeDocument/2006/relationships/chart" Target="charts/chart33.xml"/><Relationship Id="rId68" Type="http://schemas.openxmlformats.org/officeDocument/2006/relationships/image" Target="media/image11.emf"/><Relationship Id="rId89" Type="http://schemas.openxmlformats.org/officeDocument/2006/relationships/image" Target="media/image200.png"/><Relationship Id="rId112" Type="http://schemas.openxmlformats.org/officeDocument/2006/relationships/chart" Target="charts/chart61.xml"/><Relationship Id="rId133" Type="http://schemas.openxmlformats.org/officeDocument/2006/relationships/chart" Target="charts/chart72.xml"/><Relationship Id="rId154" Type="http://schemas.openxmlformats.org/officeDocument/2006/relationships/image" Target="media/image47.png"/><Relationship Id="rId175" Type="http://schemas.openxmlformats.org/officeDocument/2006/relationships/image" Target="media/image56.emf"/><Relationship Id="rId196" Type="http://schemas.openxmlformats.org/officeDocument/2006/relationships/image" Target="media/image65.png"/><Relationship Id="rId200" Type="http://schemas.openxmlformats.org/officeDocument/2006/relationships/image" Target="media/image68.png"/><Relationship Id="rId16" Type="http://schemas.openxmlformats.org/officeDocument/2006/relationships/chart" Target="charts/chart3.xml"/><Relationship Id="rId221" Type="http://schemas.openxmlformats.org/officeDocument/2006/relationships/chart" Target="charts/chart111.xml"/><Relationship Id="rId242" Type="http://schemas.openxmlformats.org/officeDocument/2006/relationships/chart" Target="charts/chart121.xml"/><Relationship Id="rId263" Type="http://schemas.openxmlformats.org/officeDocument/2006/relationships/chart" Target="charts/chart133.xml"/><Relationship Id="rId284" Type="http://schemas.openxmlformats.org/officeDocument/2006/relationships/chart" Target="charts/chart145.xml"/><Relationship Id="rId37" Type="http://schemas.openxmlformats.org/officeDocument/2006/relationships/chart" Target="charts/chart23.xml"/><Relationship Id="rId58" Type="http://schemas.openxmlformats.org/officeDocument/2006/relationships/chart" Target="charts/chart37.xml"/><Relationship Id="rId79" Type="http://schemas.openxmlformats.org/officeDocument/2006/relationships/chart" Target="charts/chart48.xml"/><Relationship Id="rId102" Type="http://schemas.openxmlformats.org/officeDocument/2006/relationships/image" Target="media/image25.png"/><Relationship Id="rId123" Type="http://schemas.openxmlformats.org/officeDocument/2006/relationships/image" Target="media/image36.png"/><Relationship Id="rId144" Type="http://schemas.openxmlformats.org/officeDocument/2006/relationships/image" Target="media/image450.png"/><Relationship Id="rId90" Type="http://schemas.openxmlformats.org/officeDocument/2006/relationships/image" Target="media/image210.png"/><Relationship Id="rId165" Type="http://schemas.openxmlformats.org/officeDocument/2006/relationships/chart" Target="charts/chart84.xml"/><Relationship Id="rId186" Type="http://schemas.openxmlformats.org/officeDocument/2006/relationships/chart" Target="charts/chart96.xml"/><Relationship Id="rId211" Type="http://schemas.openxmlformats.org/officeDocument/2006/relationships/chart" Target="charts/chart110.xml"/><Relationship Id="rId232" Type="http://schemas.openxmlformats.org/officeDocument/2006/relationships/image" Target="media/image77.jpeg"/><Relationship Id="rId253" Type="http://schemas.openxmlformats.org/officeDocument/2006/relationships/image" Target="media/image88.jpeg"/><Relationship Id="rId274" Type="http://schemas.openxmlformats.org/officeDocument/2006/relationships/image" Target="media/image97.emf"/><Relationship Id="rId295" Type="http://schemas.openxmlformats.org/officeDocument/2006/relationships/footer" Target="footer2.xml"/><Relationship Id="rId27" Type="http://schemas.openxmlformats.org/officeDocument/2006/relationships/chart" Target="charts/chart13.xml"/><Relationship Id="rId48" Type="http://schemas.openxmlformats.org/officeDocument/2006/relationships/image" Target="media/image4.png"/><Relationship Id="rId69" Type="http://schemas.openxmlformats.org/officeDocument/2006/relationships/image" Target="media/image12.png"/><Relationship Id="rId113" Type="http://schemas.openxmlformats.org/officeDocument/2006/relationships/chart" Target="charts/chart62.xml"/><Relationship Id="rId134" Type="http://schemas.openxmlformats.org/officeDocument/2006/relationships/chart" Target="charts/chart73.xml"/><Relationship Id="rId80" Type="http://schemas.openxmlformats.org/officeDocument/2006/relationships/chart" Target="charts/chart49.xml"/><Relationship Id="rId155" Type="http://schemas.openxmlformats.org/officeDocument/2006/relationships/image" Target="media/image48.png"/><Relationship Id="rId176" Type="http://schemas.openxmlformats.org/officeDocument/2006/relationships/image" Target="media/image57.jpeg"/><Relationship Id="rId197" Type="http://schemas.openxmlformats.org/officeDocument/2006/relationships/image" Target="media/image66.emf"/><Relationship Id="rId201" Type="http://schemas.openxmlformats.org/officeDocument/2006/relationships/chart" Target="charts/chart102.xml"/><Relationship Id="rId222" Type="http://schemas.openxmlformats.org/officeDocument/2006/relationships/chart" Target="charts/chart112.xml"/><Relationship Id="rId243" Type="http://schemas.openxmlformats.org/officeDocument/2006/relationships/chart" Target="charts/chart122.xml"/><Relationship Id="rId264" Type="http://schemas.openxmlformats.org/officeDocument/2006/relationships/chart" Target="charts/chart134.xml"/><Relationship Id="rId285" Type="http://schemas.openxmlformats.org/officeDocument/2006/relationships/chart" Target="charts/chart146.xml"/><Relationship Id="rId17" Type="http://schemas.openxmlformats.org/officeDocument/2006/relationships/chart" Target="charts/chart4.xml"/><Relationship Id="rId38" Type="http://schemas.openxmlformats.org/officeDocument/2006/relationships/chart" Target="charts/chart24.xml"/><Relationship Id="rId59" Type="http://schemas.openxmlformats.org/officeDocument/2006/relationships/chart" Target="charts/chart38.xml"/><Relationship Id="rId103" Type="http://schemas.openxmlformats.org/officeDocument/2006/relationships/image" Target="media/image26.png"/><Relationship Id="rId124" Type="http://schemas.openxmlformats.org/officeDocument/2006/relationships/image" Target="media/image37.png"/><Relationship Id="rId70" Type="http://schemas.openxmlformats.org/officeDocument/2006/relationships/image" Target="media/image13.png"/><Relationship Id="rId91" Type="http://schemas.openxmlformats.org/officeDocument/2006/relationships/chart" Target="charts/chart50.xml"/><Relationship Id="rId145" Type="http://schemas.openxmlformats.org/officeDocument/2006/relationships/image" Target="media/image460.png"/><Relationship Id="rId166" Type="http://schemas.openxmlformats.org/officeDocument/2006/relationships/chart" Target="charts/chart85.xml"/><Relationship Id="rId187" Type="http://schemas.openxmlformats.org/officeDocument/2006/relationships/chart" Target="charts/chart97.xml"/><Relationship Id="rId1" Type="http://schemas.openxmlformats.org/officeDocument/2006/relationships/customXml" Target="../customXml/item1.xml"/><Relationship Id="rId212" Type="http://schemas.openxmlformats.org/officeDocument/2006/relationships/image" Target="media/image69.png"/><Relationship Id="rId233" Type="http://schemas.openxmlformats.org/officeDocument/2006/relationships/image" Target="media/image78.emf"/><Relationship Id="rId254" Type="http://schemas.openxmlformats.org/officeDocument/2006/relationships/image" Target="media/image89.jpeg"/><Relationship Id="rId28" Type="http://schemas.openxmlformats.org/officeDocument/2006/relationships/chart" Target="charts/chart14.xml"/><Relationship Id="rId49" Type="http://schemas.openxmlformats.org/officeDocument/2006/relationships/image" Target="media/image5.png"/><Relationship Id="rId114" Type="http://schemas.openxmlformats.org/officeDocument/2006/relationships/chart" Target="charts/chart63.xml"/><Relationship Id="rId275" Type="http://schemas.openxmlformats.org/officeDocument/2006/relationships/image" Target="media/image98.png"/><Relationship Id="rId296" Type="http://schemas.openxmlformats.org/officeDocument/2006/relationships/footer" Target="footer3.xml"/><Relationship Id="rId60" Type="http://schemas.openxmlformats.org/officeDocument/2006/relationships/chart" Target="charts/chart39.xml"/><Relationship Id="rId81" Type="http://schemas.openxmlformats.org/officeDocument/2006/relationships/image" Target="media/image14.png"/><Relationship Id="rId135" Type="http://schemas.openxmlformats.org/officeDocument/2006/relationships/image" Target="media/image38.png"/><Relationship Id="rId156" Type="http://schemas.openxmlformats.org/officeDocument/2006/relationships/image" Target="media/image49.emf"/><Relationship Id="rId177" Type="http://schemas.openxmlformats.org/officeDocument/2006/relationships/image" Target="media/image58.jpeg"/><Relationship Id="rId198" Type="http://schemas.openxmlformats.org/officeDocument/2006/relationships/package" Target="embeddings/Microsoft_Excel_Worksheet2.xlsx"/><Relationship Id="rId202" Type="http://schemas.openxmlformats.org/officeDocument/2006/relationships/image" Target="media/image680.png"/><Relationship Id="rId223" Type="http://schemas.openxmlformats.org/officeDocument/2006/relationships/chart" Target="charts/chart113.xml"/><Relationship Id="rId244" Type="http://schemas.openxmlformats.org/officeDocument/2006/relationships/chart" Target="charts/chart123.xml"/><Relationship Id="rId18" Type="http://schemas.openxmlformats.org/officeDocument/2006/relationships/chart" Target="charts/chart5.xml"/><Relationship Id="rId39" Type="http://schemas.openxmlformats.org/officeDocument/2006/relationships/chart" Target="charts/chart25.xml"/><Relationship Id="rId265" Type="http://schemas.openxmlformats.org/officeDocument/2006/relationships/chart" Target="charts/chart135.xml"/><Relationship Id="rId286" Type="http://schemas.openxmlformats.org/officeDocument/2006/relationships/chart" Target="charts/chart147.xml"/><Relationship Id="rId50" Type="http://schemas.microsoft.com/office/2007/relationships/hdphoto" Target="media/hdphoto1.wdp"/><Relationship Id="rId104" Type="http://schemas.openxmlformats.org/officeDocument/2006/relationships/image" Target="media/image27.emf"/><Relationship Id="rId125" Type="http://schemas.openxmlformats.org/officeDocument/2006/relationships/image" Target="media/image360.png"/><Relationship Id="rId146" Type="http://schemas.openxmlformats.org/officeDocument/2006/relationships/chart" Target="charts/chart74.xml"/><Relationship Id="rId167" Type="http://schemas.openxmlformats.org/officeDocument/2006/relationships/chart" Target="charts/chart86.xml"/><Relationship Id="rId188" Type="http://schemas.openxmlformats.org/officeDocument/2006/relationships/chart" Target="charts/chart98.xml"/></Relationships>
</file>

<file path=word/_rels/footnotes.xml.rels><?xml version="1.0" encoding="UTF-8" standalone="yes"?>
<Relationships xmlns="http://schemas.openxmlformats.org/package/2006/relationships"><Relationship Id="rId8" Type="http://schemas.openxmlformats.org/officeDocument/2006/relationships/hyperlink" Target="http://www.aer.gov.au/node/7208" TargetMode="External"/><Relationship Id="rId3" Type="http://schemas.openxmlformats.org/officeDocument/2006/relationships/hyperlink" Target="http://www.aer.gov.au/node/2758" TargetMode="External"/><Relationship Id="rId7" Type="http://schemas.openxmlformats.org/officeDocument/2006/relationships/hyperlink" Target="http://www.aer.gov.au/node/7211" TargetMode="External"/><Relationship Id="rId2" Type="http://schemas.openxmlformats.org/officeDocument/2006/relationships/hyperlink" Target="http://www.aer.gov.au/node/2697" TargetMode="External"/><Relationship Id="rId1" Type="http://schemas.openxmlformats.org/officeDocument/2006/relationships/hyperlink" Target="http://www.aer.gov.au/node/2696" TargetMode="External"/><Relationship Id="rId6" Type="http://schemas.openxmlformats.org/officeDocument/2006/relationships/hyperlink" Target="http://www.aer.gov.au/node/4" TargetMode="External"/><Relationship Id="rId11" Type="http://schemas.openxmlformats.org/officeDocument/2006/relationships/hyperlink" Target="http://www.aer.gov.au/node/7212" TargetMode="External"/><Relationship Id="rId5" Type="http://schemas.openxmlformats.org/officeDocument/2006/relationships/hyperlink" Target="http://www.aer.gov.au/node/3811" TargetMode="External"/><Relationship Id="rId10" Type="http://schemas.openxmlformats.org/officeDocument/2006/relationships/hyperlink" Target="http://www.aer.gov.au/node/7210" TargetMode="External"/><Relationship Id="rId4" Type="http://schemas.openxmlformats.org/officeDocument/2006/relationships/hyperlink" Target="http://www.aer.gov.au/node/4461" TargetMode="External"/><Relationship Id="rId9" Type="http://schemas.openxmlformats.org/officeDocument/2006/relationships/hyperlink" Target="http://www.aer.gov.au/node/720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chnas-evs02\home$\kjo\trimdata\TRIM\TEMP\HPTRIM.8020\D14%20140706%20%20MASTER%20SHEET%20-%20Data%20used%20in%202011-13%20DNSP%20Performance%20Report%20-%20DO%20NOT%20AMEND%20THIS%20SHEET%20-%2016%20October%202014.XLSX"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99.xml"/></Relationships>
</file>

<file path=word/charts/_rels/chart101.xml.rels><?xml version="1.0" encoding="UTF-8" standalone="yes"?>
<Relationships xmlns="http://schemas.openxmlformats.org/package/2006/relationships"><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100.xml"/></Relationships>
</file>

<file path=word/charts/_rels/chart102.xml.rels><?xml version="1.0" encoding="UTF-8" standalone="yes"?>
<Relationships xmlns="http://schemas.openxmlformats.org/package/2006/relationships"><Relationship Id="rId2" Type="http://schemas.openxmlformats.org/officeDocument/2006/relationships/oleObject" Target="file:///C:\Users\kjo\AppData\Local\Microsoft\Windows\Temporary%20Internet%20Files\Content.Outlook\96CBN094\AusNet%20Services%20-%20DNSP%20performance%20report%20-%20FINAL%20charts%20and%20data%20February%202015%20(D2015-00019843).xlsx" TargetMode="External"/><Relationship Id="rId1" Type="http://schemas.openxmlformats.org/officeDocument/2006/relationships/themeOverride" Target="../theme/themeOverride101.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2.xml"/></Relationships>
</file>

<file path=word/charts/_rels/chart104.xml.rels><?xml version="1.0" encoding="UTF-8" standalone="yes"?>
<Relationships xmlns="http://schemas.openxmlformats.org/package/2006/relationships"><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3.xml"/></Relationships>
</file>

<file path=word/charts/_rels/chart105.xml.rels><?xml version="1.0" encoding="UTF-8" standalone="yes"?>
<Relationships xmlns="http://schemas.openxmlformats.org/package/2006/relationships"><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4.xml"/></Relationships>
</file>

<file path=word/charts/_rels/chart106.xml.rels><?xml version="1.0" encoding="UTF-8" standalone="yes"?>
<Relationships xmlns="http://schemas.openxmlformats.org/package/2006/relationships"><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5.xml"/></Relationships>
</file>

<file path=word/charts/_rels/chart10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6.xml"/></Relationships>
</file>

<file path=word/charts/_rels/chart108.xml.rels><?xml version="1.0" encoding="UTF-8" standalone="yes"?>
<Relationships xmlns="http://schemas.openxmlformats.org/package/2006/relationships"><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7.xml"/></Relationships>
</file>

<file path=word/charts/_rels/chart109.xml.rels><?xml version="1.0" encoding="UTF-8" standalone="yes"?>
<Relationships xmlns="http://schemas.openxmlformats.org/package/2006/relationships"><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8.xml"/></Relationships>
</file>

<file path=word/charts/_rels/chart11.xml.rels><?xml version="1.0" encoding="UTF-8" standalone="yes"?>
<Relationships xmlns="http://schemas.openxmlformats.org/package/2006/relationships"><Relationship Id="rId2" Type="http://schemas.openxmlformats.org/officeDocument/2006/relationships/oleObject" Target="file:///\\cdchnas-evs02\home$\kjo\trimdata\TRIM\TEMP\HPTRIM.8020\D14%20140706%20%20MASTER%20SHEET%20-%20Data%20used%20in%202011-13%20DNSP%20Performance%20Report%20-%20DO%20NOT%20AMEND%20THIS%20SHEET%20-%2016%20October%202014.XLSX" TargetMode="External"/><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oleObject" Target="file:///\\cdchnas-evs02\home$\shoga\trimdata\TRIM\TEMP\HPTRIM.2600\D15%2019843%20%20AusNet%20Services%20-%20DNSP%20performance%20report%20-%20FINAL%20charts%20and%20data%20February%202015.XLSX" TargetMode="External"/><Relationship Id="rId1" Type="http://schemas.openxmlformats.org/officeDocument/2006/relationships/themeOverride" Target="../theme/themeOverride109.xml"/></Relationships>
</file>

<file path=word/charts/_rels/chart111.xml.rels><?xml version="1.0" encoding="UTF-8" standalone="yes"?>
<Relationships xmlns="http://schemas.openxmlformats.org/package/2006/relationships"><Relationship Id="rId2" Type="http://schemas.openxmlformats.org/officeDocument/2006/relationships/oleObject" Target="file:///\\cdchnas-evs02\home$\kjo\trimdata\TRIM\TEMP\HPTRIM.7696\D15%2021015%20%20CitiPower%20-%20DNSP%20performance%20report%20-%20FINAL%20charts%20and%20data%20February%202015.XLSX" TargetMode="External"/><Relationship Id="rId1" Type="http://schemas.openxmlformats.org/officeDocument/2006/relationships/themeOverride" Target="../theme/themeOverride110.xml"/></Relationships>
</file>

<file path=word/charts/_rels/chart112.xml.rels><?xml version="1.0" encoding="UTF-8" standalone="yes"?>
<Relationships xmlns="http://schemas.openxmlformats.org/package/2006/relationships"><Relationship Id="rId2" Type="http://schemas.openxmlformats.org/officeDocument/2006/relationships/oleObject" Target="file:///\\cdchnas-evs02\home$\kjo\trimdata\TRIM\TEMP\HPTRIM.7696\D15%2021015%20%20CitiPower%20-%20DNSP%20performance%20report%20-%20FINAL%20charts%20and%20data%20February%202015.XLSX" TargetMode="External"/><Relationship Id="rId1" Type="http://schemas.openxmlformats.org/officeDocument/2006/relationships/themeOverride" Target="../theme/themeOverride111.xml"/></Relationships>
</file>

<file path=word/charts/_rels/chart113.xml.rels><?xml version="1.0" encoding="UTF-8" standalone="yes"?>
<Relationships xmlns="http://schemas.openxmlformats.org/package/2006/relationships"><Relationship Id="rId2" Type="http://schemas.openxmlformats.org/officeDocument/2006/relationships/oleObject" Target="file:///\\cdchnas-evs02\home$\shoga\trimdata\TRIM\TEMP\HPTRIM.1256\D15%2021015%20%20CitiPower%20-%20DNSP%20performance%20report%20-%20FINAL%20charts%20and%20data%20February%202015.XLSX" TargetMode="External"/><Relationship Id="rId1" Type="http://schemas.openxmlformats.org/officeDocument/2006/relationships/themeOverride" Target="../theme/themeOverride112.xml"/></Relationships>
</file>

<file path=word/charts/_rels/chart114.xml.rels><?xml version="1.0" encoding="UTF-8" standalone="yes"?>
<Relationships xmlns="http://schemas.openxmlformats.org/package/2006/relationships"><Relationship Id="rId1" Type="http://schemas.openxmlformats.org/officeDocument/2006/relationships/oleObject" Target="file:///\\cdchnas-evs02\home$\shoga\trimdata\TRIM\TEMP\HPTRIM.1256\D15%2021015%20%20CitiPower%20-%20DNSP%20performance%20report%20-%20FINAL%20charts%20and%20data%20February%202015.XLSX" TargetMode="External"/></Relationships>
</file>

<file path=word/charts/_rels/chart115.xml.rels><?xml version="1.0" encoding="UTF-8" standalone="yes"?>
<Relationships xmlns="http://schemas.openxmlformats.org/package/2006/relationships"><Relationship Id="rId2" Type="http://schemas.openxmlformats.org/officeDocument/2006/relationships/oleObject" Target="file:///\\cdchnas-evs02\home$\shoga\trimdata\TRIM\TEMP\HPTRIM.1256\D15%2021015%20%20CitiPower%20-%20DNSP%20performance%20report%20-%20FINAL%20charts%20and%20data%20February%202015.XLSX" TargetMode="External"/><Relationship Id="rId1" Type="http://schemas.openxmlformats.org/officeDocument/2006/relationships/themeOverride" Target="../theme/themeOverride113.xml"/></Relationships>
</file>

<file path=word/charts/_rels/chart116.xml.rels><?xml version="1.0" encoding="UTF-8" standalone="yes"?>
<Relationships xmlns="http://schemas.openxmlformats.org/package/2006/relationships"><Relationship Id="rId2" Type="http://schemas.openxmlformats.org/officeDocument/2006/relationships/oleObject" Target="file:///\\cdchnas-evs02\home$\shoga\trimdata\TRIM\TEMP\HPTRIM.1256\D15%2021015%20%20CitiPower%20-%20DNSP%20performance%20report%20-%20FINAL%20charts%20and%20data%20February%202015.XLSX" TargetMode="External"/><Relationship Id="rId1" Type="http://schemas.openxmlformats.org/officeDocument/2006/relationships/themeOverride" Target="../theme/themeOverride114.xml"/></Relationships>
</file>

<file path=word/charts/_rels/chart1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dchnas-evs02\home$\shoga\trimdata\TRIM\TEMP\HPTRIM.1256\D15%2021015%20%20CitiPower%20-%20DNSP%20performance%20report%20-%20FINAL%20charts%20and%20data%20February%202015.XLSX" TargetMode="External"/><Relationship Id="rId1" Type="http://schemas.openxmlformats.org/officeDocument/2006/relationships/themeOverride" Target="../theme/themeOverride115.xml"/></Relationships>
</file>

<file path=word/charts/_rels/chart118.xml.rels><?xml version="1.0" encoding="UTF-8" standalone="yes"?>
<Relationships xmlns="http://schemas.openxmlformats.org/package/2006/relationships"><Relationship Id="rId2" Type="http://schemas.openxmlformats.org/officeDocument/2006/relationships/oleObject" Target="file:///\\cdchnas-evs02\home$\shoga\trimdata\TRIM\TEMP\HPTRIM.1256\D15%2021015%20%20CitiPower%20-%20DNSP%20performance%20report%20-%20FINAL%20charts%20and%20data%20February%202015.XLSX" TargetMode="External"/><Relationship Id="rId1" Type="http://schemas.openxmlformats.org/officeDocument/2006/relationships/themeOverride" Target="../theme/themeOverride116.xml"/></Relationships>
</file>

<file path=word/charts/_rels/chart119.xml.rels><?xml version="1.0" encoding="UTF-8" standalone="yes"?>
<Relationships xmlns="http://schemas.openxmlformats.org/package/2006/relationships"><Relationship Id="rId2" Type="http://schemas.openxmlformats.org/officeDocument/2006/relationships/oleObject" Target="file:///\\cdchnas-evs02\home$\shoga\trimdata\TRIM\TEMP\HPTRIM.1256\D15%2021015%20%20CitiPower%20-%20DNSP%20performance%20report%20-%20FINAL%20charts%20and%20data%20February%202015.XLSX" TargetMode="External"/><Relationship Id="rId1" Type="http://schemas.openxmlformats.org/officeDocument/2006/relationships/themeOverride" Target="../theme/themeOverride117.xml"/></Relationships>
</file>

<file path=word/charts/_rels/chart12.xml.rels><?xml version="1.0" encoding="UTF-8" standalone="yes"?>
<Relationships xmlns="http://schemas.openxmlformats.org/package/2006/relationships"><Relationship Id="rId2" Type="http://schemas.openxmlformats.org/officeDocument/2006/relationships/oleObject" Target="file:///\\cdchnas-evs02\home$\kjo\trimdata\TRIM\TEMP\HPTRIM.8020\D14%20140706%20%20MASTER%20SHEET%20-%20Data%20used%20in%202011-13%20DNSP%20Performance%20Report%20-%20DO%20NOT%20AMEND%20THIS%20SHEET%20-%2016%20October%202014.XLSX" TargetMode="External"/><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oleObject" Target="file:///\\cdchnas-evs02\home$\shoga\trimdata\TRIM\TEMP\HPTRIM.1256\D15%2021015%20%20CitiPower%20-%20DNSP%20performance%20report%20-%20FINAL%20charts%20and%20data%20February%202015.XLSX" TargetMode="External"/><Relationship Id="rId1" Type="http://schemas.openxmlformats.org/officeDocument/2006/relationships/themeOverride" Target="../theme/themeOverride118.xml"/></Relationships>
</file>

<file path=word/charts/_rels/chart121.xml.rels><?xml version="1.0" encoding="UTF-8" standalone="yes"?>
<Relationships xmlns="http://schemas.openxmlformats.org/package/2006/relationships"><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19.xml"/></Relationships>
</file>

<file path=word/charts/_rels/chart122.xml.rels><?xml version="1.0" encoding="UTF-8" standalone="yes"?>
<Relationships xmlns="http://schemas.openxmlformats.org/package/2006/relationships"><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20.xml"/></Relationships>
</file>

<file path=word/charts/_rels/chart123.xml.rels><?xml version="1.0" encoding="UTF-8" standalone="yes"?>
<Relationships xmlns="http://schemas.openxmlformats.org/package/2006/relationships"><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21.xml"/></Relationships>
</file>

<file path=word/charts/_rels/chart124.xml.rels><?xml version="1.0" encoding="UTF-8" standalone="yes"?>
<Relationships xmlns="http://schemas.openxmlformats.org/package/2006/relationships"><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22.xml"/></Relationships>
</file>

<file path=word/charts/_rels/chart125.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23.xml"/></Relationships>
</file>

<file path=word/charts/_rels/chart126.xml.rels><?xml version="1.0" encoding="UTF-8" standalone="yes"?>
<Relationships xmlns="http://schemas.openxmlformats.org/package/2006/relationships"><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24.xml"/></Relationships>
</file>

<file path=word/charts/_rels/chart127.xml.rels><?xml version="1.0" encoding="UTF-8" standalone="yes"?>
<Relationships xmlns="http://schemas.openxmlformats.org/package/2006/relationships"><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25.xml"/></Relationships>
</file>

<file path=word/charts/_rels/chart128.xml.rels><?xml version="1.0" encoding="UTF-8" standalone="yes"?>
<Relationships xmlns="http://schemas.openxmlformats.org/package/2006/relationships"><Relationship Id="rId2" Type="http://schemas.openxmlformats.org/officeDocument/2006/relationships/oleObject" Target="file:///\\cdchnas-evs02\home$\kjo\trimdata\TRIM\TEMP\HPTRIM.8800\D15%2021014%20%20Jemena%20-%20DNSP%20performance%20report%20-%20FINAL%20charts%20and%20data%20February%202015.XLSX" TargetMode="External"/><Relationship Id="rId1" Type="http://schemas.openxmlformats.org/officeDocument/2006/relationships/themeOverride" Target="../theme/themeOverride126.xml"/></Relationships>
</file>

<file path=word/charts/_rels/chart129.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2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chnas-evs02\home$\kjo\trimdata\TRIM\TEMP\HPTRIM.8020\D14%20140706%20%20MASTER%20SHEET%20-%20Data%20used%20in%202011-13%20DNSP%20Performance%20Report%20-%20DO%20NOT%20AMEND%20THIS%20SHEET%20-%2016%20October%202014.XLSX" TargetMode="External"/><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28.xml"/></Relationships>
</file>

<file path=word/charts/_rels/chart131.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29.xml"/></Relationships>
</file>

<file path=word/charts/_rels/chart132.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30.xml"/></Relationships>
</file>

<file path=word/charts/_rels/chart133.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31.xml"/></Relationships>
</file>

<file path=word/charts/_rels/chart134.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32.xml"/></Relationships>
</file>

<file path=word/charts/_rels/chart13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33.xml"/></Relationships>
</file>

<file path=word/charts/_rels/chart136.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34.xml"/></Relationships>
</file>

<file path=word/charts/_rels/chart137.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35.xml"/></Relationships>
</file>

<file path=word/charts/_rels/chart138.xml.rels><?xml version="1.0" encoding="UTF-8" standalone="yes"?>
<Relationships xmlns="http://schemas.openxmlformats.org/package/2006/relationships"><Relationship Id="rId2" Type="http://schemas.openxmlformats.org/officeDocument/2006/relationships/oleObject" Target="file:///\\cdchnas-evs02\home$\kjo\trimdata\TRIM\TEMP\HPTRIM.7672\D15%2021016%20%20Powercor%20-%20DNSP%20performance%20report%20-%20FINAL%20charts%20and%20data%20February%202015.XLSX" TargetMode="External"/><Relationship Id="rId1" Type="http://schemas.openxmlformats.org/officeDocument/2006/relationships/themeOverride" Target="../theme/themeOverride136.xml"/></Relationships>
</file>

<file path=word/charts/_rels/chart139.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37.xml"/></Relationships>
</file>

<file path=word/charts/_rels/chart14.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38.xml"/></Relationships>
</file>

<file path=word/charts/_rels/chart141.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39.xml"/></Relationships>
</file>

<file path=word/charts/_rels/chart142.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40.xml"/></Relationships>
</file>

<file path=word/charts/_rels/chart143.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41.xml"/></Relationships>
</file>

<file path=word/charts/_rels/chart144.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42.xml"/></Relationships>
</file>

<file path=word/charts/_rels/chart145.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43.xml"/></Relationships>
</file>

<file path=word/charts/_rels/chart146.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44.xml"/></Relationships>
</file>

<file path=word/charts/_rels/chart147.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45.xml"/></Relationships>
</file>

<file path=word/charts/_rels/chart148.xml.rels><?xml version="1.0" encoding="UTF-8" standalone="yes"?>
<Relationships xmlns="http://schemas.openxmlformats.org/package/2006/relationships"><Relationship Id="rId2" Type="http://schemas.openxmlformats.org/officeDocument/2006/relationships/oleObject" Target="file:///\\cdchnas-evs02\home$\kjo\trimdata\TRIM\TEMP\HPTRIM.5008\D15%2021018%20%20United%20Energy%20-%20DNSP%20performance%20report%20-%20FINAL%20charts%20and%20data%20February%202015.XLSX" TargetMode="External"/><Relationship Id="rId1" Type="http://schemas.openxmlformats.org/officeDocument/2006/relationships/themeOverride" Target="../theme/themeOverride146.xml"/></Relationships>
</file>

<file path=word/charts/_rels/chart15.xml.rels><?xml version="1.0" encoding="UTF-8" standalone="yes"?>
<Relationships xmlns="http://schemas.openxmlformats.org/package/2006/relationships"><Relationship Id="rId2" Type="http://schemas.openxmlformats.org/officeDocument/2006/relationships/oleObject" Target="file:///\\cdchnas-evs02\home$\kjo\trimdata\TRIM\TEMP\HPTRIM.6756\D15%205759%20%20master%20sheet%20-%20data%20used%20in%202011-13%20dnsp%20performance%20report%20-%20updated%20for%20final%20publication.xlsx.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1" Type="http://schemas.openxmlformats.org/officeDocument/2006/relationships/oleObject" Target="file:///\\cdchnas-evs02\home$\kjo\master%20sheet%20-%20data%20used%20in%202011-13%20dnsp%20performance%20report%20-%20updated%20for%20final%20publication%20(D2015-00005759).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dchnas-evs02\home$\kjo\trimdata\TRIM\TEMP\HPTRIM.6548\D15%205759%20%20master%20sheet%20-%20data%20used%20in%202011-13%20dnsp%20performance%20report%20-%20updated%20for%20final%20publication.xlsx.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dchnas-evs02\home$\kjo\trimdata\TRIM\TEMP\HPTRIM.7684\D15%2024907%20%20DNSP%20performance%20report%20-%20Network%20SAIDI%20and%20SAIFI%20summary%20data%20and%20charts%20-%20February%202015.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dchnas-evs02\home$\kjo\trimdata\Offline%20Records%20(AC)\DNSP%20performance%20report%20-%20Network%20SAIDI%20and%20SAIFI%20summary%20data%20and%20charts%20-%20February%202015.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file:///\\cdchnas-evs02\home$\shoga\trimdata\TRIM\TEMP\HPTRIM.8420\D15%208444(V2)%20%20ActewAGL%20-%20DNSP%20performance%20report%20-%20FINAL%20charts%20and%20data%20January%202015.XLSX" TargetMode="External"/><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file:///\\cdchnas-evs02\home$\shoga\trimdata\TRIM\TEMP\HPTRIM.684\D15%2014153%20%20Ausgrid%20-%20DNSP%20performance%20report%20-%20FINAL%20charts%20and%20data%20February%202015.XLSX" TargetMode="External"/><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oleObject" Target="file:///\\cdchnas-evs02\home$\shoga\trimdata\TRIM\TEMP\HPTRIM.684\D15%2014153%20%20Ausgrid%20-%20DNSP%20performance%20report%20-%20FINAL%20charts%20and%20data%20February%202015.XLSX" TargetMode="External"/><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oleObject" Target="file:///\\cdchnas-evs02\home$\kjo\ausgrid%20-%20dnsp%20performance%20report%20-%20final%20charts%20and%20data%20february%202015%20(D2015-00014153%5bV03%5d).xlsx" TargetMode="External"/><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oleObject" Target="file:///\\cdchnas-evs02\home$\kjo\ausgrid%20-%20dnsp%20performance%20report%20-%20final%20charts%20and%20data%20february%202015%20(D2015-00014153%5bV03%5d).xlsx" TargetMode="External"/><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dchnas-evs02\home$\shoga\trimdata\TRIM\TEMP\HPTRIM.684\D15%2014153%20%20Ausgrid%20-%20DNSP%20performance%20report%20-%20FINAL%20charts%20and%20data%20February%202015.XLSX" TargetMode="External"/><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oleObject" Target="file:///\\cdchnas-evs02\home$\kjo\ausgrid%20-%20dnsp%20performance%20report%20-%20final%20charts%20and%20data%20february%202015%20(D2015-00014153%5bV03%5d).xlsx" TargetMode="External"/><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oleObject" Target="file:///\\cdchnas-evs02\home$\kjo\ausgrid%20-%20dnsp%20performance%20report%20-%20final%20charts%20and%20data%20february%202015%20(D2015-00014153%5bV03%5d).xlsx" TargetMode="External"/><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oleObject" Target="file:///\\cdchnas-evs02\home$\shoga\trimdata\TRIM\TEMP\HPTRIM.684\D15%2014153%20%20Ausgrid%20-%20DNSP%20performance%20report%20-%20FINAL%20charts%20and%20data%20February%202015.XLSX" TargetMode="External"/><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53.xml"/></Relationships>
</file>

<file path=word/charts/_rels/chart55.xml.rels><?xml version="1.0" encoding="UTF-8" standalone="yes"?>
<Relationships xmlns="http://schemas.openxmlformats.org/package/2006/relationships"><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54.xml"/></Relationships>
</file>

<file path=word/charts/_rels/chart56.xml.rels><?xml version="1.0" encoding="UTF-8" standalone="yes"?>
<Relationships xmlns="http://schemas.openxmlformats.org/package/2006/relationships"><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2" Type="http://schemas.openxmlformats.org/officeDocument/2006/relationships/oleObject" Target="file:///\\cdchnas-evs02\home$\shoga\trimdata\TRIM\TEMP\HPTRIM.3128\D15%2014155%20%20Endeavour%20Energy%20-%20DNSP%20performance%20report%20-%20FINAL%20charts%20and%20data%20February%202015.XLSX" TargetMode="External"/><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oleObject" Target="file:///\\cdchnas-evs02\home$\shoga\trimdata\TRIM\TEMP\HPTRIM.1404\D15%2014160%20%20Essential%20Energy%20-%20DNSP%20performance%20report%20-%20FINAL%20charts%20and%20data%20February%202015.XLSX" TargetMode="External"/><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dchnas-evs02\home$\shoga\trimdata\TRIM\TEMP\HPTRIM.1404\D15%2014160%20%20Essential%20Energy%20-%20DNSP%20performance%20report%20-%20FINAL%20charts%20and%20data%20February%202015.XLSX" TargetMode="External"/><Relationship Id="rId1" Type="http://schemas.openxmlformats.org/officeDocument/2006/relationships/themeOverride" Target="../theme/themeOverride59.xml"/></Relationships>
</file>

<file path=word/charts/_rels/chart61.xml.rels><?xml version="1.0" encoding="UTF-8" standalone="yes"?>
<Relationships xmlns="http://schemas.openxmlformats.org/package/2006/relationships"><Relationship Id="rId2" Type="http://schemas.openxmlformats.org/officeDocument/2006/relationships/oleObject" Target="file:///\\cdchnas-evs02\home$\shoga\trimdata\TRIM\TEMP\HPTRIM.1404\D15%2014160%20%20Essential%20Energy%20-%20DNSP%20performance%20report%20-%20FINAL%20charts%20and%20data%20February%202015.XLSX" TargetMode="External"/><Relationship Id="rId1" Type="http://schemas.openxmlformats.org/officeDocument/2006/relationships/themeOverride" Target="../theme/themeOverride60.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dchnas-evs02\home$\shoga\trimdata\TRIM\TEMP\HPTRIM.1404\D15%2014160%20%20Essential%20Energy%20-%20DNSP%20performance%20report%20-%20FINAL%20charts%20and%20data%20February%202015.XLSX" TargetMode="External"/><Relationship Id="rId1" Type="http://schemas.openxmlformats.org/officeDocument/2006/relationships/themeOverride" Target="../theme/themeOverride61.xml"/></Relationships>
</file>

<file path=word/charts/_rels/chart63.xml.rels><?xml version="1.0" encoding="UTF-8" standalone="yes"?>
<Relationships xmlns="http://schemas.openxmlformats.org/package/2006/relationships"><Relationship Id="rId2" Type="http://schemas.openxmlformats.org/officeDocument/2006/relationships/oleObject" Target="file:///\\cdchnas-evs02\home$\shoga\trimdata\TRIM\TEMP\HPTRIM.1404\D15%2014160%20%20Essential%20Energy%20-%20DNSP%20performance%20report%20-%20FINAL%20charts%20and%20data%20February%202015.XLSX" TargetMode="External"/><Relationship Id="rId1" Type="http://schemas.openxmlformats.org/officeDocument/2006/relationships/themeOverride" Target="../theme/themeOverride62.xml"/></Relationships>
</file>

<file path=word/charts/_rels/chart64.xml.rels><?xml version="1.0" encoding="UTF-8" standalone="yes"?>
<Relationships xmlns="http://schemas.openxmlformats.org/package/2006/relationships"><Relationship Id="rId2" Type="http://schemas.openxmlformats.org/officeDocument/2006/relationships/oleObject" Target="file:///\\cdchnas-evs02\home$\shoga\trimdata\TRIM\TEMP\HPTRIM.1404\D15%2014160%20%20Essential%20Energy%20-%20DNSP%20performance%20report%20-%20FINAL%20charts%20and%20data%20February%202015.XLSX" TargetMode="External"/><Relationship Id="rId1" Type="http://schemas.openxmlformats.org/officeDocument/2006/relationships/themeOverride" Target="../theme/themeOverride63.xml"/></Relationships>
</file>

<file path=word/charts/_rels/chart65.xml.rels><?xml version="1.0" encoding="UTF-8" standalone="yes"?>
<Relationships xmlns="http://schemas.openxmlformats.org/package/2006/relationships"><Relationship Id="rId2" Type="http://schemas.openxmlformats.org/officeDocument/2006/relationships/oleObject" Target="file:///\\cdchnas-evs02\home$\shoga\trimdata\TRIM\TEMP\HPTRIM.1404\D15%2014160%20%20Essential%20Energy%20-%20DNSP%20performance%20report%20-%20FINAL%20charts%20and%20data%20February%202015.XLSX" TargetMode="External"/><Relationship Id="rId1" Type="http://schemas.openxmlformats.org/officeDocument/2006/relationships/themeOverride" Target="../theme/themeOverride64.xml"/></Relationships>
</file>

<file path=word/charts/_rels/chart66.xml.rels><?xml version="1.0" encoding="UTF-8" standalone="yes"?>
<Relationships xmlns="http://schemas.openxmlformats.org/package/2006/relationships"><Relationship Id="rId2" Type="http://schemas.openxmlformats.org/officeDocument/2006/relationships/oleObject" Target="file:///\\cdchnas-evs02\home$\shoga\trimdata\TRIM\TEMP\HPTRIM.5372\D15%2014156(V1)%20%20Energex%20-%20DNSP%20performance%20report%20-%20FINAL%20charts%20and%20data%20February%202015.XLSX" TargetMode="External"/><Relationship Id="rId1" Type="http://schemas.openxmlformats.org/officeDocument/2006/relationships/themeOverride" Target="../theme/themeOverride65.xml"/></Relationships>
</file>

<file path=word/charts/_rels/chart67.xml.rels><?xml version="1.0" encoding="UTF-8" standalone="yes"?>
<Relationships xmlns="http://schemas.openxmlformats.org/package/2006/relationships"><Relationship Id="rId2" Type="http://schemas.openxmlformats.org/officeDocument/2006/relationships/oleObject" Target="file:///\\cdchnas-evs02\home$\shoga\trimdata\TRIM\TEMP\HPTRIM.5372\D15%2014156(V1)%20%20Energex%20-%20DNSP%20performance%20report%20-%20FINAL%20charts%20and%20data%20February%202015.XLSX" TargetMode="External"/><Relationship Id="rId1" Type="http://schemas.openxmlformats.org/officeDocument/2006/relationships/themeOverride" Target="../theme/themeOverride66.xml"/></Relationships>
</file>

<file path=word/charts/_rels/chart68.xml.rels><?xml version="1.0" encoding="UTF-8" standalone="yes"?>
<Relationships xmlns="http://schemas.openxmlformats.org/package/2006/relationships"><Relationship Id="rId2" Type="http://schemas.openxmlformats.org/officeDocument/2006/relationships/oleObject" Target="file:///\\cdchnas-evs02\home$\shoga\trimdata\TRIM\TEMP\HPTRIM.5372\D15%2014156(V1)%20%20Energex%20-%20DNSP%20performance%20report%20-%20FINAL%20charts%20and%20data%20February%202015.XLSX" TargetMode="External"/><Relationship Id="rId1" Type="http://schemas.openxmlformats.org/officeDocument/2006/relationships/themeOverride" Target="../theme/themeOverride67.xml"/></Relationships>
</file>

<file path=word/charts/_rels/chart69.xml.rels><?xml version="1.0" encoding="UTF-8" standalone="yes"?>
<Relationships xmlns="http://schemas.openxmlformats.org/package/2006/relationships"><Relationship Id="rId2" Type="http://schemas.openxmlformats.org/officeDocument/2006/relationships/oleObject" Target="file:///\\cdchnas-evs02\home$\shoga\trimdata\TRIM\TEMP\HPTRIM.5372\D15%2014156(V1)%20%20Energex%20-%20DNSP%20performance%20report%20-%20FINAL%20charts%20and%20data%20February%202015.XLSX" TargetMode="External"/><Relationship Id="rId1" Type="http://schemas.openxmlformats.org/officeDocument/2006/relationships/themeOverride" Target="../theme/themeOverride68.xml"/></Relationships>
</file>

<file path=word/charts/_rels/chart7.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dchnas-evs02\home$\shoga\trimdata\TRIM\TEMP\HPTRIM.8308\D15%2014156(V1)%20%20Energex%20-%20DNSP%20performance%20report%20-%20FINAL%20charts%20and%20data%20February%202015.XLSX" TargetMode="External"/><Relationship Id="rId1" Type="http://schemas.openxmlformats.org/officeDocument/2006/relationships/themeOverride" Target="../theme/themeOverride69.xml"/></Relationships>
</file>

<file path=word/charts/_rels/chart71.xml.rels><?xml version="1.0" encoding="UTF-8" standalone="yes"?>
<Relationships xmlns="http://schemas.openxmlformats.org/package/2006/relationships"><Relationship Id="rId2" Type="http://schemas.openxmlformats.org/officeDocument/2006/relationships/oleObject" Target="file:///\\cdchnas-evs02\home$\shoga\trimdata\TRIM\TEMP\HPTRIM.8308\D15%2014156(V1)%20%20Energex%20-%20DNSP%20performance%20report%20-%20FINAL%20charts%20and%20data%20February%202015.XLSX" TargetMode="External"/><Relationship Id="rId1" Type="http://schemas.openxmlformats.org/officeDocument/2006/relationships/themeOverride" Target="../theme/themeOverride70.xml"/></Relationships>
</file>

<file path=word/charts/_rels/chart72.xml.rels><?xml version="1.0" encoding="UTF-8" standalone="yes"?>
<Relationships xmlns="http://schemas.openxmlformats.org/package/2006/relationships"><Relationship Id="rId2" Type="http://schemas.openxmlformats.org/officeDocument/2006/relationships/oleObject" Target="file:///\\cdchnas-evs02\home$\shoga\trimdata\TRIM\TEMP\HPTRIM.8308\D15%2014156(V1)%20%20Energex%20-%20DNSP%20performance%20report%20-%20FINAL%20charts%20and%20data%20February%202015.XLSX" TargetMode="External"/><Relationship Id="rId1" Type="http://schemas.openxmlformats.org/officeDocument/2006/relationships/themeOverride" Target="../theme/themeOverride71.xml"/></Relationships>
</file>

<file path=word/charts/_rels/chart73.xml.rels><?xml version="1.0" encoding="UTF-8" standalone="yes"?>
<Relationships xmlns="http://schemas.openxmlformats.org/package/2006/relationships"><Relationship Id="rId2" Type="http://schemas.openxmlformats.org/officeDocument/2006/relationships/oleObject" Target="file:///\\cdchnas-evs02\home$\shoga\trimdata\TRIM\TEMP\HPTRIM.8308\D15%2014156(V1)%20%20Energex%20-%20DNSP%20performance%20report%20-%20FINAL%20charts%20and%20data%20February%202015.XLSX" TargetMode="External"/><Relationship Id="rId1" Type="http://schemas.openxmlformats.org/officeDocument/2006/relationships/themeOverride" Target="../theme/themeOverride72.xml"/></Relationships>
</file>

<file path=word/charts/_rels/chart74.xml.rels><?xml version="1.0" encoding="UTF-8" standalone="yes"?>
<Relationships xmlns="http://schemas.openxmlformats.org/package/2006/relationships"><Relationship Id="rId2" Type="http://schemas.openxmlformats.org/officeDocument/2006/relationships/oleObject" Target="file:///\\cdchnas-evs02\home$\shoga\trimdata\TRIM\TEMP\HPTRIM.3904\D15%2014159(V1)%20%20Ergon%20Energy%20-%20DNSP%20performance%20report%20-%20FINAL%20charts%20and%20data%20February%202015.XLSX" TargetMode="External"/><Relationship Id="rId1" Type="http://schemas.openxmlformats.org/officeDocument/2006/relationships/themeOverride" Target="../theme/themeOverride73.xml"/></Relationships>
</file>

<file path=word/charts/_rels/chart75.xml.rels><?xml version="1.0" encoding="UTF-8" standalone="yes"?>
<Relationships xmlns="http://schemas.openxmlformats.org/package/2006/relationships"><Relationship Id="rId2" Type="http://schemas.openxmlformats.org/officeDocument/2006/relationships/oleObject" Target="file:///\\cdchnas-evs02\home$\kjo\ergon%20energy%20-%20dnsp%20performance%20report%20-%20final%20charts%20and%20data%20february%202015%20(D2015-00014159%5bV02%5d).xlsx" TargetMode="External"/><Relationship Id="rId1" Type="http://schemas.openxmlformats.org/officeDocument/2006/relationships/themeOverride" Target="../theme/themeOverride74.xml"/></Relationships>
</file>

<file path=word/charts/_rels/chart76.xml.rels><?xml version="1.0" encoding="UTF-8" standalone="yes"?>
<Relationships xmlns="http://schemas.openxmlformats.org/package/2006/relationships"><Relationship Id="rId2" Type="http://schemas.openxmlformats.org/officeDocument/2006/relationships/oleObject" Target="file:///\\cdchnas-evs02\home$\shoga\trimdata\TRIM\TEMP\HPTRIM.3904\D15%2014159(V1)%20%20Ergon%20Energy%20-%20DNSP%20performance%20report%20-%20FINAL%20charts%20and%20data%20February%202015.XLSX" TargetMode="External"/><Relationship Id="rId1" Type="http://schemas.openxmlformats.org/officeDocument/2006/relationships/themeOverride" Target="../theme/themeOverride75.xml"/></Relationships>
</file>

<file path=word/charts/_rels/chart77.xml.rels><?xml version="1.0" encoding="UTF-8" standalone="yes"?>
<Relationships xmlns="http://schemas.openxmlformats.org/package/2006/relationships"><Relationship Id="rId2" Type="http://schemas.openxmlformats.org/officeDocument/2006/relationships/oleObject" Target="file:///\\cdchnas-evs02\home$\shoga\trimdata\TRIM\TEMP\HPTRIM.3904\D15%2014159(V1)%20%20Ergon%20Energy%20-%20DNSP%20performance%20report%20-%20FINAL%20charts%20and%20data%20February%202015.XLSX" TargetMode="External"/><Relationship Id="rId1" Type="http://schemas.openxmlformats.org/officeDocument/2006/relationships/themeOverride" Target="../theme/themeOverride76.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dchnas-evs02\home$\shoga\trimdata\TRIM\TEMP\HPTRIM.3904\D15%2014159(V1)%20%20Ergon%20Energy%20-%20DNSP%20performance%20report%20-%20FINAL%20charts%20and%20data%20February%202015.XLSX" TargetMode="External"/><Relationship Id="rId1" Type="http://schemas.openxmlformats.org/officeDocument/2006/relationships/themeOverride" Target="../theme/themeOverride77.xml"/></Relationships>
</file>

<file path=word/charts/_rels/chart79.xml.rels><?xml version="1.0" encoding="UTF-8" standalone="yes"?>
<Relationships xmlns="http://schemas.openxmlformats.org/package/2006/relationships"><Relationship Id="rId2" Type="http://schemas.openxmlformats.org/officeDocument/2006/relationships/oleObject" Target="file:///\\cdchnas-evs02\home$\shoga\trimdata\TRIM\TEMP\HPTRIM.3904\D15%2014159(V1)%20%20Ergon%20Energy%20-%20DNSP%20performance%20report%20-%20FINAL%20charts%20and%20data%20February%202015.XLSX" TargetMode="External"/><Relationship Id="rId1" Type="http://schemas.openxmlformats.org/officeDocument/2006/relationships/themeOverride" Target="../theme/themeOverride78.xml"/></Relationships>
</file>

<file path=word/charts/_rels/chart8.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dchnas-evs02\home$\shoga\trimdata\TRIM\TEMP\HPTRIM.3904\D15%2014159(V1)%20%20Ergon%20Energy%20-%20DNSP%20performance%20report%20-%20FINAL%20charts%20and%20data%20February%202015.XLSX" TargetMode="External"/><Relationship Id="rId1" Type="http://schemas.openxmlformats.org/officeDocument/2006/relationships/themeOverride" Target="../theme/themeOverride79.xml"/></Relationships>
</file>

<file path=word/charts/_rels/chart81.xml.rels><?xml version="1.0" encoding="UTF-8" standalone="yes"?>
<Relationships xmlns="http://schemas.openxmlformats.org/package/2006/relationships"><Relationship Id="rId2" Type="http://schemas.openxmlformats.org/officeDocument/2006/relationships/oleObject" Target="file:///\\cdchnas-evs02\home$\shoga\trimdata\TRIM\TEMP\HPTRIM.3904\D15%2014159(V1)%20%20Ergon%20Energy%20-%20DNSP%20performance%20report%20-%20FINAL%20charts%20and%20data%20February%202015.XLSX" TargetMode="External"/><Relationship Id="rId1" Type="http://schemas.openxmlformats.org/officeDocument/2006/relationships/themeOverride" Target="../theme/themeOverride80.xml"/></Relationships>
</file>

<file path=word/charts/_rels/chart82.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1.xml"/></Relationships>
</file>

<file path=word/charts/_rels/chart83.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2.xml"/></Relationships>
</file>

<file path=word/charts/_rels/chart84.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3.xml"/></Relationships>
</file>

<file path=word/charts/_rels/chart85.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4.xml"/></Relationships>
</file>

<file path=word/charts/_rels/chart86.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5.xml"/></Relationships>
</file>

<file path=word/charts/_rels/chart87.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6.xml"/></Relationships>
</file>

<file path=word/charts/_rels/chart88.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7.xml"/></Relationships>
</file>

<file path=word/charts/_rels/chart89.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8.xml"/></Relationships>
</file>

<file path=word/charts/_rels/chart9.xml.rels><?xml version="1.0" encoding="UTF-8" standalone="yes"?>
<Relationships xmlns="http://schemas.openxmlformats.org/package/2006/relationships"><Relationship Id="rId2" Type="http://schemas.openxmlformats.org/officeDocument/2006/relationships/oleObject" Target="file:///\\cdchnas-evs02\home$\kjo\master%20sheet%20-%20data%20used%20in%202011-13%20dnsp%20performance%20report%20-%20updated%20for%20final%20publication%20(D2015-00005759).xlsx"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89.xml"/></Relationships>
</file>

<file path=word/charts/_rels/chart91.xml.rels><?xml version="1.0" encoding="UTF-8" standalone="yes"?>
<Relationships xmlns="http://schemas.openxmlformats.org/package/2006/relationships"><Relationship Id="rId2" Type="http://schemas.openxmlformats.org/officeDocument/2006/relationships/oleObject" Target="file:///\\cdchnas-evs02\home$\jpick\trimdata\TRIM\TEMP\HPTRIM.1208\D15%2014162(V2)%20%20SA%20Power%20Networks%20-%20DNSP%20performance%20report%20-%20FINAL%20charts%20and%20data%20February%202015.XLSX" TargetMode="External"/><Relationship Id="rId1" Type="http://schemas.openxmlformats.org/officeDocument/2006/relationships/themeOverride" Target="../theme/themeOverride90.xml"/></Relationships>
</file>

<file path=word/charts/_rels/chart92.xml.rels><?xml version="1.0" encoding="UTF-8" standalone="yes"?>
<Relationships xmlns="http://schemas.openxmlformats.org/package/2006/relationships"><Relationship Id="rId2" Type="http://schemas.openxmlformats.org/officeDocument/2006/relationships/oleObject" Target="file:///\\cdchnas-evs02\home$\jpick\trimdata\TRIM\TEMP\HPTRIM.1796\D15%2014163(V2)%20%20TasNetworks%20-%20DNSP%20performance%20report%20-%20FINAL%20charts%20and%20data%20February%202015.XLSX" TargetMode="External"/><Relationship Id="rId1" Type="http://schemas.openxmlformats.org/officeDocument/2006/relationships/themeOverride" Target="../theme/themeOverride91.xml"/></Relationships>
</file>

<file path=word/charts/_rels/chart93.xml.rels><?xml version="1.0" encoding="UTF-8" standalone="yes"?>
<Relationships xmlns="http://schemas.openxmlformats.org/package/2006/relationships"><Relationship Id="rId2" Type="http://schemas.openxmlformats.org/officeDocument/2006/relationships/oleObject" Target="file:///\\cdchnas-evs02\home$\jpick\trimdata\TRIM\TEMP\HPTRIM.1796\D15%2014163(V2)%20%20TasNetworks%20-%20DNSP%20performance%20report%20-%20FINAL%20charts%20and%20data%20February%202015.XLSX" TargetMode="External"/><Relationship Id="rId1" Type="http://schemas.openxmlformats.org/officeDocument/2006/relationships/themeOverride" Target="../theme/themeOverride92.xml"/></Relationships>
</file>

<file path=word/charts/_rels/chart94.xml.rels><?xml version="1.0" encoding="UTF-8" standalone="yes"?>
<Relationships xmlns="http://schemas.openxmlformats.org/package/2006/relationships"><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93.xml"/></Relationships>
</file>

<file path=word/charts/_rels/chart95.xml.rels><?xml version="1.0" encoding="UTF-8" standalone="yes"?>
<Relationships xmlns="http://schemas.openxmlformats.org/package/2006/relationships"><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94.xml"/></Relationships>
</file>

<file path=word/charts/_rels/chart96.xml.rels><?xml version="1.0" encoding="UTF-8" standalone="yes"?>
<Relationships xmlns="http://schemas.openxmlformats.org/package/2006/relationships"><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95.xml"/></Relationships>
</file>

<file path=word/charts/_rels/chart97.xml.rels><?xml version="1.0" encoding="UTF-8" standalone="yes"?>
<Relationships xmlns="http://schemas.openxmlformats.org/package/2006/relationships"><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96.xm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97.xml"/></Relationships>
</file>

<file path=word/charts/_rels/chart99.xml.rels><?xml version="1.0" encoding="UTF-8" standalone="yes"?>
<Relationships xmlns="http://schemas.openxmlformats.org/package/2006/relationships"><Relationship Id="rId2" Type="http://schemas.openxmlformats.org/officeDocument/2006/relationships/oleObject" Target="file:///\\cdchnas-evs02\home$\jpick\trimdata\TRIM\TEMP\HPTRIM.7808\D15%2014163(V2)%20%20TasNetworks%20-%20DNSP%20performance%20report%20-%20FINAL%20charts%20and%20data%20February%202015.XLSX" TargetMode="External"/><Relationship Id="rId1" Type="http://schemas.openxmlformats.org/officeDocument/2006/relationships/themeOverride" Target="../theme/themeOverride9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'Energy Delivered'!$D$61</c:f>
              <c:strCache>
                <c:ptCount val="1"/>
                <c:pt idx="0">
                  <c:v>Forecast</c:v>
                </c:pt>
              </c:strCache>
            </c:strRef>
          </c:tx>
          <c:spPr>
            <a:pattFill prst="dkUpDiag">
              <a:fgClr>
                <a:sysClr val="windowText" lastClr="000000"/>
              </a:fgClr>
              <a:bgClr>
                <a:sysClr val="window" lastClr="FFFFFF"/>
              </a:bgClr>
            </a:pattFill>
            <a:ln>
              <a:solidFill>
                <a:schemeClr val="tx1"/>
              </a:solidFill>
            </a:ln>
          </c:spPr>
          <c:invertIfNegative val="0"/>
          <c:cat>
            <c:strRef>
              <c:f>'Energy Delivered'!$E$60:$L$60</c:f>
              <c:strCache>
                <c:ptCount val="8"/>
                <c:pt idx="0">
                  <c:v>2006</c:v>
                </c:pt>
                <c:pt idx="1">
                  <c:v>2007</c:v>
                </c:pt>
                <c:pt idx="2">
                  <c:v>2008</c:v>
                </c:pt>
                <c:pt idx="3">
                  <c:v>2009</c:v>
                </c:pt>
                <c:pt idx="4">
                  <c:v>2010</c:v>
                </c:pt>
                <c:pt idx="5">
                  <c:v>2011</c:v>
                </c:pt>
                <c:pt idx="6">
                  <c:v>2012</c:v>
                </c:pt>
                <c:pt idx="7">
                  <c:v>2013</c:v>
                </c:pt>
              </c:strCache>
            </c:strRef>
          </c:cat>
          <c:val>
            <c:numRef>
              <c:f>'Energy Delivered'!$E$61:$L$61</c:f>
              <c:numCache>
                <c:formatCode>General</c:formatCode>
                <c:ptCount val="8"/>
                <c:pt idx="2" formatCode="#,##0">
                  <c:v>148036.16999999998</c:v>
                </c:pt>
                <c:pt idx="3" formatCode="#,##0">
                  <c:v>152210.864</c:v>
                </c:pt>
                <c:pt idx="4" formatCode="#,##0">
                  <c:v>152572.9</c:v>
                </c:pt>
                <c:pt idx="5" formatCode="#,##0">
                  <c:v>152074.13</c:v>
                </c:pt>
                <c:pt idx="6" formatCode="#,##0">
                  <c:v>153480.75</c:v>
                </c:pt>
                <c:pt idx="7" formatCode="#,##0">
                  <c:v>154462</c:v>
                </c:pt>
              </c:numCache>
            </c:numRef>
          </c:val>
        </c:ser>
        <c:ser>
          <c:idx val="1"/>
          <c:order val="1"/>
          <c:tx>
            <c:strRef>
              <c:f>'Energy Delivered'!$D$62</c:f>
              <c:strCache>
                <c:ptCount val="1"/>
                <c:pt idx="0">
                  <c:v>Actual</c:v>
                </c:pt>
              </c:strCache>
            </c:strRef>
          </c:tx>
          <c:spPr>
            <a:solidFill>
              <a:sysClr val="windowText" lastClr="000000"/>
            </a:solidFill>
            <a:ln>
              <a:solidFill>
                <a:schemeClr val="tx1"/>
              </a:solidFill>
            </a:ln>
          </c:spPr>
          <c:invertIfNegative val="0"/>
          <c:cat>
            <c:strRef>
              <c:f>'Energy Delivered'!$E$60:$L$60</c:f>
              <c:strCache>
                <c:ptCount val="8"/>
                <c:pt idx="0">
                  <c:v>2006</c:v>
                </c:pt>
                <c:pt idx="1">
                  <c:v>2007</c:v>
                </c:pt>
                <c:pt idx="2">
                  <c:v>2008</c:v>
                </c:pt>
                <c:pt idx="3">
                  <c:v>2009</c:v>
                </c:pt>
                <c:pt idx="4">
                  <c:v>2010</c:v>
                </c:pt>
                <c:pt idx="5">
                  <c:v>2011</c:v>
                </c:pt>
                <c:pt idx="6">
                  <c:v>2012</c:v>
                </c:pt>
                <c:pt idx="7">
                  <c:v>2013</c:v>
                </c:pt>
              </c:strCache>
            </c:strRef>
          </c:cat>
          <c:val>
            <c:numRef>
              <c:f>'Energy Delivered'!$E$62:$L$62</c:f>
              <c:numCache>
                <c:formatCode>#,##0</c:formatCode>
                <c:ptCount val="8"/>
                <c:pt idx="0">
                  <c:v>144377.56535521595</c:v>
                </c:pt>
                <c:pt idx="1">
                  <c:v>146762.41272621171</c:v>
                </c:pt>
                <c:pt idx="2">
                  <c:v>147533.19545222612</c:v>
                </c:pt>
                <c:pt idx="3">
                  <c:v>149041.40723187508</c:v>
                </c:pt>
                <c:pt idx="4">
                  <c:v>149283.30681500823</c:v>
                </c:pt>
                <c:pt idx="5">
                  <c:v>147161.60528081149</c:v>
                </c:pt>
                <c:pt idx="6">
                  <c:v>145106.69361996307</c:v>
                </c:pt>
                <c:pt idx="7">
                  <c:v>143148.49385837888</c:v>
                </c:pt>
              </c:numCache>
            </c:numRef>
          </c:val>
        </c:ser>
        <c:dLbls>
          <c:showLegendKey val="0"/>
          <c:showVal val="0"/>
          <c:showCatName val="0"/>
          <c:showSerName val="0"/>
          <c:showPercent val="0"/>
          <c:showBubbleSize val="0"/>
        </c:dLbls>
        <c:gapWidth val="50"/>
        <c:axId val="338907520"/>
        <c:axId val="338909056"/>
      </c:barChart>
      <c:catAx>
        <c:axId val="338907520"/>
        <c:scaling>
          <c:orientation val="minMax"/>
        </c:scaling>
        <c:delete val="0"/>
        <c:axPos val="b"/>
        <c:majorTickMark val="out"/>
        <c:minorTickMark val="none"/>
        <c:tickLblPos val="nextTo"/>
        <c:txPr>
          <a:bodyPr/>
          <a:lstStyle/>
          <a:p>
            <a:pPr>
              <a:defRPr sz="800"/>
            </a:pPr>
            <a:endParaRPr lang="en-US"/>
          </a:p>
        </c:txPr>
        <c:crossAx val="338909056"/>
        <c:crosses val="autoZero"/>
        <c:auto val="1"/>
        <c:lblAlgn val="ctr"/>
        <c:lblOffset val="100"/>
        <c:noMultiLvlLbl val="0"/>
      </c:catAx>
      <c:valAx>
        <c:axId val="338909056"/>
        <c:scaling>
          <c:orientation val="minMax"/>
          <c:max val="160000"/>
          <c:min val="0"/>
        </c:scaling>
        <c:delete val="0"/>
        <c:axPos val="l"/>
        <c:title>
          <c:tx>
            <c:rich>
              <a:bodyPr rot="0" vert="horz"/>
              <a:lstStyle/>
              <a:p>
                <a:pPr>
                  <a:defRPr sz="800"/>
                </a:pPr>
                <a:r>
                  <a:rPr lang="en-AU"/>
                  <a:t>Energy</a:t>
                </a:r>
              </a:p>
              <a:p>
                <a:pPr>
                  <a:defRPr sz="800"/>
                </a:pPr>
                <a:r>
                  <a:rPr lang="en-AU"/>
                  <a:t>delivered</a:t>
                </a:r>
              </a:p>
              <a:p>
                <a:pPr>
                  <a:defRPr sz="800"/>
                </a:pPr>
                <a:r>
                  <a:rPr lang="en-AU"/>
                  <a:t>(TWh)</a:t>
                </a:r>
              </a:p>
            </c:rich>
          </c:tx>
          <c:layout/>
          <c:overlay val="0"/>
        </c:title>
        <c:numFmt formatCode="0," sourceLinked="0"/>
        <c:majorTickMark val="out"/>
        <c:minorTickMark val="none"/>
        <c:tickLblPos val="nextTo"/>
        <c:txPr>
          <a:bodyPr/>
          <a:lstStyle/>
          <a:p>
            <a:pPr>
              <a:defRPr sz="800"/>
            </a:pPr>
            <a:endParaRPr lang="en-US"/>
          </a:p>
        </c:txPr>
        <c:crossAx val="338907520"/>
        <c:crosses val="autoZero"/>
        <c:crossBetween val="between"/>
      </c:valAx>
    </c:plotArea>
    <c:legend>
      <c:legendPos val="b"/>
      <c:layout>
        <c:manualLayout>
          <c:xMode val="edge"/>
          <c:yMode val="edge"/>
          <c:x val="0.2198077427821522"/>
          <c:y val="0.89838181685622631"/>
          <c:w val="0.7353845144356956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diamond"/>
            <c:size val="9"/>
            <c:spPr>
              <a:solidFill>
                <a:srgbClr val="EEECE1">
                  <a:lumMod val="50000"/>
                </a:srgbClr>
              </a:solidFill>
              <a:ln>
                <a:solidFill>
                  <a:sysClr val="windowText" lastClr="000000"/>
                </a:solidFill>
              </a:ln>
            </c:spPr>
          </c:marker>
          <c:dPt>
            <c:idx val="0"/>
            <c:marker>
              <c:spPr>
                <a:solidFill>
                  <a:srgbClr val="FCC0C0"/>
                </a:solidFill>
                <a:ln>
                  <a:solidFill>
                    <a:sysClr val="windowText" lastClr="000000"/>
                  </a:solidFill>
                </a:ln>
              </c:spPr>
            </c:marker>
            <c:bubble3D val="0"/>
          </c:dPt>
          <c:dPt>
            <c:idx val="1"/>
            <c:marker>
              <c:spPr>
                <a:solidFill>
                  <a:srgbClr val="9ECAE1"/>
                </a:solidFill>
                <a:ln>
                  <a:solidFill>
                    <a:sysClr val="windowText" lastClr="000000"/>
                  </a:solidFill>
                </a:ln>
              </c:spPr>
            </c:marker>
            <c:bubble3D val="0"/>
          </c:dPt>
          <c:dPt>
            <c:idx val="2"/>
            <c:marker>
              <c:spPr>
                <a:solidFill>
                  <a:srgbClr val="DEEBF7"/>
                </a:solidFill>
                <a:ln>
                  <a:solidFill>
                    <a:sysClr val="windowText" lastClr="000000"/>
                  </a:solidFill>
                </a:ln>
              </c:spPr>
            </c:marker>
            <c:bubble3D val="0"/>
          </c:dPt>
          <c:dPt>
            <c:idx val="3"/>
            <c:marker>
              <c:spPr>
                <a:solidFill>
                  <a:srgbClr val="C6DBEF"/>
                </a:solidFill>
                <a:ln>
                  <a:solidFill>
                    <a:sysClr val="windowText" lastClr="000000"/>
                  </a:solidFill>
                </a:ln>
              </c:spPr>
            </c:marker>
            <c:bubble3D val="0"/>
          </c:dPt>
          <c:dPt>
            <c:idx val="4"/>
            <c:marker>
              <c:spPr>
                <a:solidFill>
                  <a:srgbClr val="BD0026"/>
                </a:solidFill>
                <a:ln>
                  <a:solidFill>
                    <a:sysClr val="windowText" lastClr="000000"/>
                  </a:solidFill>
                </a:ln>
              </c:spPr>
            </c:marker>
            <c:bubble3D val="0"/>
          </c:dPt>
          <c:dPt>
            <c:idx val="5"/>
            <c:marker>
              <c:spPr>
                <a:solidFill>
                  <a:srgbClr val="800026"/>
                </a:solidFill>
                <a:ln>
                  <a:solidFill>
                    <a:sysClr val="windowText" lastClr="000000"/>
                  </a:solidFill>
                </a:ln>
              </c:spPr>
            </c:marker>
            <c:bubble3D val="0"/>
          </c:dPt>
          <c:dPt>
            <c:idx val="6"/>
            <c:marker>
              <c:spPr>
                <a:solidFill>
                  <a:srgbClr val="FD8D3C"/>
                </a:solidFill>
                <a:ln>
                  <a:solidFill>
                    <a:sysClr val="windowText" lastClr="000000"/>
                  </a:solidFill>
                </a:ln>
              </c:spPr>
            </c:marker>
            <c:bubble3D val="0"/>
          </c:dPt>
          <c:dPt>
            <c:idx val="7"/>
            <c:marker>
              <c:spPr>
                <a:solidFill>
                  <a:srgbClr val="A1D99B"/>
                </a:solidFill>
                <a:ln>
                  <a:solidFill>
                    <a:sysClr val="windowText" lastClr="000000"/>
                  </a:solidFill>
                </a:ln>
              </c:spPr>
            </c:marker>
            <c:bubble3D val="0"/>
          </c:dPt>
          <c:dPt>
            <c:idx val="8"/>
            <c:marker>
              <c:spPr>
                <a:solidFill>
                  <a:srgbClr val="E7E1EF"/>
                </a:solidFill>
                <a:ln>
                  <a:solidFill>
                    <a:sysClr val="windowText" lastClr="000000"/>
                  </a:solidFill>
                </a:ln>
              </c:spPr>
            </c:marker>
            <c:bubble3D val="0"/>
          </c:dPt>
          <c:dPt>
            <c:idx val="9"/>
            <c:marker>
              <c:spPr>
                <a:solidFill>
                  <a:srgbClr val="238B45"/>
                </a:solidFill>
                <a:ln>
                  <a:solidFill>
                    <a:sysClr val="windowText" lastClr="000000"/>
                  </a:solidFill>
                </a:ln>
              </c:spPr>
            </c:marker>
            <c:bubble3D val="0"/>
          </c:dPt>
          <c:dPt>
            <c:idx val="10"/>
            <c:marker>
              <c:spPr>
                <a:solidFill>
                  <a:srgbClr val="41AB5D"/>
                </a:solidFill>
                <a:ln>
                  <a:solidFill>
                    <a:sysClr val="windowText" lastClr="000000"/>
                  </a:solidFill>
                </a:ln>
              </c:spPr>
            </c:marker>
            <c:bubble3D val="0"/>
          </c:dPt>
          <c:dPt>
            <c:idx val="11"/>
            <c:marker>
              <c:spPr>
                <a:solidFill>
                  <a:srgbClr val="74C476"/>
                </a:solidFill>
                <a:ln>
                  <a:solidFill>
                    <a:sysClr val="windowText" lastClr="000000"/>
                  </a:solidFill>
                </a:ln>
              </c:spPr>
            </c:marker>
            <c:bubble3D val="0"/>
          </c:dPt>
          <c:dPt>
            <c:idx val="12"/>
            <c:marker>
              <c:spPr>
                <a:solidFill>
                  <a:srgbClr val="006D2C"/>
                </a:solidFill>
                <a:ln>
                  <a:solidFill>
                    <a:sysClr val="windowText" lastClr="000000"/>
                  </a:solidFill>
                </a:ln>
              </c:spPr>
            </c:marker>
            <c:bubble3D val="0"/>
          </c:dPt>
          <c:dPt>
            <c:idx val="13"/>
            <c:marker>
              <c:spPr>
                <a:solidFill>
                  <a:schemeClr val="tx1"/>
                </a:solidFill>
                <a:ln>
                  <a:solidFill>
                    <a:sysClr val="windowText" lastClr="000000"/>
                  </a:solidFill>
                </a:ln>
              </c:spPr>
            </c:marker>
            <c:bubble3D val="0"/>
          </c:dPt>
          <c:dLbls>
            <c:dLbl>
              <c:idx val="0"/>
              <c:layout/>
              <c:tx>
                <c:rich>
                  <a:bodyPr/>
                  <a:lstStyle/>
                  <a:p>
                    <a:r>
                      <a:rPr lang="en-US" sz="700"/>
                      <a:t>ActewAGL</a:t>
                    </a:r>
                    <a:endParaRPr lang="en-US"/>
                  </a:p>
                </c:rich>
              </c:tx>
              <c:showLegendKey val="0"/>
              <c:showVal val="1"/>
              <c:showCatName val="0"/>
              <c:showSerName val="0"/>
              <c:showPercent val="0"/>
              <c:showBubbleSize val="0"/>
            </c:dLbl>
            <c:dLbl>
              <c:idx val="1"/>
              <c:layout/>
              <c:tx>
                <c:rich>
                  <a:bodyPr/>
                  <a:lstStyle/>
                  <a:p>
                    <a:r>
                      <a:rPr lang="en-US" sz="700"/>
                      <a:t>Ausgrid</a:t>
                    </a:r>
                    <a:endParaRPr lang="en-US"/>
                  </a:p>
                </c:rich>
              </c:tx>
              <c:showLegendKey val="0"/>
              <c:showVal val="1"/>
              <c:showCatName val="0"/>
              <c:showSerName val="0"/>
              <c:showPercent val="0"/>
              <c:showBubbleSize val="0"/>
            </c:dLbl>
            <c:dLbl>
              <c:idx val="2"/>
              <c:layout/>
              <c:tx>
                <c:rich>
                  <a:bodyPr/>
                  <a:lstStyle/>
                  <a:p>
                    <a:r>
                      <a:rPr lang="en-US" sz="700"/>
                      <a:t>Endeavour Energy</a:t>
                    </a:r>
                    <a:endParaRPr lang="en-US"/>
                  </a:p>
                </c:rich>
              </c:tx>
              <c:showLegendKey val="0"/>
              <c:showVal val="1"/>
              <c:showCatName val="0"/>
              <c:showSerName val="0"/>
              <c:showPercent val="0"/>
              <c:showBubbleSize val="0"/>
            </c:dLbl>
            <c:dLbl>
              <c:idx val="3"/>
              <c:layout/>
              <c:tx>
                <c:rich>
                  <a:bodyPr/>
                  <a:lstStyle/>
                  <a:p>
                    <a:r>
                      <a:rPr lang="en-US" sz="700"/>
                      <a:t>Essential Energy</a:t>
                    </a:r>
                    <a:endParaRPr lang="en-US"/>
                  </a:p>
                </c:rich>
              </c:tx>
              <c:dLblPos val="t"/>
              <c:showLegendKey val="0"/>
              <c:showVal val="1"/>
              <c:showCatName val="0"/>
              <c:showSerName val="0"/>
              <c:showPercent val="0"/>
              <c:showBubbleSize val="0"/>
            </c:dLbl>
            <c:dLbl>
              <c:idx val="4"/>
              <c:layout/>
              <c:tx>
                <c:rich>
                  <a:bodyPr/>
                  <a:lstStyle/>
                  <a:p>
                    <a:r>
                      <a:rPr lang="en-US" sz="700"/>
                      <a:t>Energex</a:t>
                    </a:r>
                    <a:endParaRPr lang="en-US"/>
                  </a:p>
                </c:rich>
              </c:tx>
              <c:showLegendKey val="0"/>
              <c:showVal val="1"/>
              <c:showCatName val="0"/>
              <c:showSerName val="0"/>
              <c:showPercent val="0"/>
              <c:showBubbleSize val="0"/>
            </c:dLbl>
            <c:dLbl>
              <c:idx val="5"/>
              <c:layout/>
              <c:tx>
                <c:rich>
                  <a:bodyPr/>
                  <a:lstStyle/>
                  <a:p>
                    <a:r>
                      <a:rPr lang="en-US" sz="700"/>
                      <a:t>Ergon Energy</a:t>
                    </a:r>
                    <a:endParaRPr lang="en-US"/>
                  </a:p>
                </c:rich>
              </c:tx>
              <c:showLegendKey val="0"/>
              <c:showVal val="1"/>
              <c:showCatName val="0"/>
              <c:showSerName val="0"/>
              <c:showPercent val="0"/>
              <c:showBubbleSize val="0"/>
            </c:dLbl>
            <c:dLbl>
              <c:idx val="6"/>
              <c:layout/>
              <c:tx>
                <c:rich>
                  <a:bodyPr/>
                  <a:lstStyle/>
                  <a:p>
                    <a:r>
                      <a:rPr lang="en-US" sz="700"/>
                      <a:t>SA Power Networks</a:t>
                    </a:r>
                  </a:p>
                </c:rich>
              </c:tx>
              <c:showLegendKey val="0"/>
              <c:showVal val="1"/>
              <c:showCatName val="0"/>
              <c:showSerName val="0"/>
              <c:showPercent val="0"/>
              <c:showBubbleSize val="0"/>
            </c:dLbl>
            <c:dLbl>
              <c:idx val="7"/>
              <c:layout>
                <c:manualLayout>
                  <c:x val="-7.077099737532809E-2"/>
                  <c:y val="-4.6411854768154064E-2"/>
                </c:manualLayout>
              </c:layout>
              <c:tx>
                <c:rich>
                  <a:bodyPr/>
                  <a:lstStyle/>
                  <a:p>
                    <a:r>
                      <a:rPr lang="en-US" sz="700"/>
                      <a:t>CitiPower</a:t>
                    </a:r>
                    <a:endParaRPr lang="en-US"/>
                  </a:p>
                </c:rich>
              </c:tx>
              <c:dLblPos val="r"/>
              <c:showLegendKey val="0"/>
              <c:showVal val="1"/>
              <c:showCatName val="0"/>
              <c:showSerName val="0"/>
              <c:showPercent val="0"/>
              <c:showBubbleSize val="0"/>
            </c:dLbl>
            <c:dLbl>
              <c:idx val="8"/>
              <c:layout/>
              <c:tx>
                <c:rich>
                  <a:bodyPr/>
                  <a:lstStyle/>
                  <a:p>
                    <a:r>
                      <a:rPr lang="en-US" sz="700"/>
                      <a:t>TasNetworks</a:t>
                    </a:r>
                    <a:endParaRPr lang="en-US"/>
                  </a:p>
                </c:rich>
              </c:tx>
              <c:showLegendKey val="0"/>
              <c:showVal val="1"/>
              <c:showCatName val="0"/>
              <c:showSerName val="0"/>
              <c:showPercent val="0"/>
              <c:showBubbleSize val="0"/>
            </c:dLbl>
            <c:dLbl>
              <c:idx val="9"/>
              <c:layout/>
              <c:tx>
                <c:rich>
                  <a:bodyPr/>
                  <a:lstStyle/>
                  <a:p>
                    <a:r>
                      <a:rPr lang="en-US" sz="700"/>
                      <a:t>AusNet Services</a:t>
                    </a:r>
                    <a:endParaRPr lang="en-US"/>
                  </a:p>
                </c:rich>
              </c:tx>
              <c:dLblPos val="r"/>
              <c:showLegendKey val="0"/>
              <c:showVal val="1"/>
              <c:showCatName val="0"/>
              <c:showSerName val="0"/>
              <c:showPercent val="0"/>
              <c:showBubbleSize val="0"/>
            </c:dLbl>
            <c:dLbl>
              <c:idx val="10"/>
              <c:layout>
                <c:manualLayout>
                  <c:x val="-1.1111111111111112E-2"/>
                  <c:y val="-9.2596237970253726E-3"/>
                </c:manualLayout>
              </c:layout>
              <c:tx>
                <c:rich>
                  <a:bodyPr/>
                  <a:lstStyle/>
                  <a:p>
                    <a:r>
                      <a:rPr lang="en-US" sz="700"/>
                      <a:t>JEN</a:t>
                    </a:r>
                    <a:endParaRPr lang="en-US"/>
                  </a:p>
                </c:rich>
              </c:tx>
              <c:dLblPos val="r"/>
              <c:showLegendKey val="0"/>
              <c:showVal val="1"/>
              <c:showCatName val="0"/>
              <c:showSerName val="0"/>
              <c:showPercent val="0"/>
              <c:showBubbleSize val="0"/>
            </c:dLbl>
            <c:dLbl>
              <c:idx val="11"/>
              <c:layout/>
              <c:tx>
                <c:rich>
                  <a:bodyPr/>
                  <a:lstStyle/>
                  <a:p>
                    <a:r>
                      <a:rPr lang="en-US" sz="700"/>
                      <a:t>Powercor</a:t>
                    </a:r>
                    <a:endParaRPr lang="en-US"/>
                  </a:p>
                </c:rich>
              </c:tx>
              <c:showLegendKey val="0"/>
              <c:showVal val="1"/>
              <c:showCatName val="0"/>
              <c:showSerName val="0"/>
              <c:showPercent val="0"/>
              <c:showBubbleSize val="0"/>
            </c:dLbl>
            <c:dLbl>
              <c:idx val="12"/>
              <c:layout>
                <c:manualLayout>
                  <c:x val="-9.0791776027996499E-2"/>
                  <c:y val="-4.641185476815398E-2"/>
                </c:manualLayout>
              </c:layout>
              <c:tx>
                <c:rich>
                  <a:bodyPr/>
                  <a:lstStyle/>
                  <a:p>
                    <a:r>
                      <a:rPr lang="en-US" sz="700"/>
                      <a:t>United Energy</a:t>
                    </a:r>
                    <a:endParaRPr lang="en-US"/>
                  </a:p>
                </c:rich>
              </c:tx>
              <c:dLblPos val="r"/>
              <c:showLegendKey val="0"/>
              <c:showVal val="1"/>
              <c:showCatName val="0"/>
              <c:showSerName val="0"/>
              <c:showPercent val="0"/>
              <c:showBubbleSize val="0"/>
            </c:dLbl>
            <c:dLbl>
              <c:idx val="13"/>
              <c:tx>
                <c:rich>
                  <a:bodyPr/>
                  <a:lstStyle/>
                  <a:p>
                    <a:r>
                      <a:rPr lang="en-US"/>
                      <a:t>NEM</a:t>
                    </a:r>
                  </a:p>
                </c:rich>
              </c:tx>
              <c:showLegendKey val="0"/>
              <c:showVal val="1"/>
              <c:showCatName val="0"/>
              <c:showSerName val="0"/>
              <c:showPercent val="0"/>
              <c:showBubbleSize val="0"/>
            </c:dLbl>
            <c:txPr>
              <a:bodyPr/>
              <a:lstStyle/>
              <a:p>
                <a:pPr>
                  <a:defRPr sz="700"/>
                </a:pPr>
                <a:endParaRPr lang="en-US"/>
              </a:p>
            </c:txPr>
            <c:showLegendKey val="0"/>
            <c:showVal val="1"/>
            <c:showCatName val="0"/>
            <c:showSerName val="0"/>
            <c:showPercent val="0"/>
            <c:showBubbleSize val="0"/>
            <c:showLeaderLines val="0"/>
          </c:dLbls>
          <c:xVal>
            <c:numRef>
              <c:f>'Customer density'!$B$3:$B$15</c:f>
              <c:numCache>
                <c:formatCode>_-* #,##0_-;\-* #,##0_-;_-* "-"??_-;_-@_-</c:formatCode>
                <c:ptCount val="13"/>
                <c:pt idx="0">
                  <c:v>5088.2</c:v>
                </c:pt>
                <c:pt idx="1">
                  <c:v>40963.505999999994</c:v>
                </c:pt>
                <c:pt idx="2">
                  <c:v>35029</c:v>
                </c:pt>
                <c:pt idx="3">
                  <c:v>191107</c:v>
                </c:pt>
                <c:pt idx="4">
                  <c:v>51781</c:v>
                </c:pt>
                <c:pt idx="5">
                  <c:v>160109.80300000001</c:v>
                </c:pt>
                <c:pt idx="6">
                  <c:v>87882.26999999999</c:v>
                </c:pt>
                <c:pt idx="7">
                  <c:v>4318</c:v>
                </c:pt>
                <c:pt idx="8">
                  <c:v>22335.899999999998</c:v>
                </c:pt>
                <c:pt idx="9">
                  <c:v>43821.926999999996</c:v>
                </c:pt>
                <c:pt idx="10">
                  <c:v>6135</c:v>
                </c:pt>
                <c:pt idx="11">
                  <c:v>73889</c:v>
                </c:pt>
                <c:pt idx="12">
                  <c:v>12834.7</c:v>
                </c:pt>
              </c:numCache>
            </c:numRef>
          </c:xVal>
          <c:yVal>
            <c:numRef>
              <c:f>'Customer density'!$C$3:$C$15</c:f>
              <c:numCache>
                <c:formatCode>#,##0</c:formatCode>
                <c:ptCount val="13"/>
                <c:pt idx="0">
                  <c:v>175221</c:v>
                </c:pt>
                <c:pt idx="1">
                  <c:v>1635151</c:v>
                </c:pt>
                <c:pt idx="2">
                  <c:v>919384.82389900391</c:v>
                </c:pt>
                <c:pt idx="3">
                  <c:v>839206</c:v>
                </c:pt>
                <c:pt idx="4">
                  <c:v>1342594.4350000001</c:v>
                </c:pt>
                <c:pt idx="5">
                  <c:v>674044.5</c:v>
                </c:pt>
                <c:pt idx="6">
                  <c:v>847765.5</c:v>
                </c:pt>
                <c:pt idx="7">
                  <c:v>319812</c:v>
                </c:pt>
                <c:pt idx="8">
                  <c:v>279130</c:v>
                </c:pt>
                <c:pt idx="9">
                  <c:v>660229</c:v>
                </c:pt>
                <c:pt idx="10">
                  <c:v>318830</c:v>
                </c:pt>
                <c:pt idx="11">
                  <c:v>744799</c:v>
                </c:pt>
                <c:pt idx="12">
                  <c:v>647270.5</c:v>
                </c:pt>
              </c:numCache>
            </c:numRef>
          </c:yVal>
          <c:smooth val="0"/>
        </c:ser>
        <c:dLbls>
          <c:showLegendKey val="0"/>
          <c:showVal val="0"/>
          <c:showCatName val="0"/>
          <c:showSerName val="0"/>
          <c:showPercent val="0"/>
          <c:showBubbleSize val="0"/>
        </c:dLbls>
        <c:axId val="451166592"/>
        <c:axId val="451168896"/>
      </c:scatterChart>
      <c:valAx>
        <c:axId val="451166592"/>
        <c:scaling>
          <c:orientation val="minMax"/>
          <c:max val="191107"/>
          <c:min val="0"/>
        </c:scaling>
        <c:delete val="0"/>
        <c:axPos val="b"/>
        <c:title>
          <c:tx>
            <c:rich>
              <a:bodyPr/>
              <a:lstStyle/>
              <a:p>
                <a:pPr>
                  <a:defRPr sz="800"/>
                </a:pPr>
                <a:r>
                  <a:rPr lang="en-US" sz="800"/>
                  <a:t>Total line (circuit) length</a:t>
                </a:r>
              </a:p>
            </c:rich>
          </c:tx>
          <c:layout/>
          <c:overlay val="0"/>
        </c:title>
        <c:numFmt formatCode="0,000\ &quot;km&quot;" sourceLinked="0"/>
        <c:majorTickMark val="out"/>
        <c:minorTickMark val="none"/>
        <c:tickLblPos val="nextTo"/>
        <c:crossAx val="451168896"/>
        <c:crosses val="autoZero"/>
        <c:crossBetween val="midCat"/>
        <c:majorUnit val="50000"/>
      </c:valAx>
      <c:valAx>
        <c:axId val="451168896"/>
        <c:scaling>
          <c:orientation val="minMax"/>
          <c:max val="1635151"/>
          <c:min val="0"/>
        </c:scaling>
        <c:delete val="0"/>
        <c:axPos val="l"/>
        <c:title>
          <c:tx>
            <c:rich>
              <a:bodyPr rot="0" vert="horz"/>
              <a:lstStyle/>
              <a:p>
                <a:pPr>
                  <a:defRPr sz="800"/>
                </a:pPr>
                <a:r>
                  <a:rPr lang="en-US" sz="800"/>
                  <a:t>Total
network
customers</a:t>
                </a:r>
              </a:p>
            </c:rich>
          </c:tx>
          <c:layout/>
          <c:overlay val="0"/>
        </c:title>
        <c:numFmt formatCode="#,##0" sourceLinked="1"/>
        <c:majorTickMark val="out"/>
        <c:minorTickMark val="none"/>
        <c:tickLblPos val="nextTo"/>
        <c:crossAx val="451166592"/>
        <c:crosses val="autoZero"/>
        <c:crossBetween val="midCat"/>
        <c:majorUnit val="30000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TasNetworks!$T$39</c:f>
              <c:strCache>
                <c:ptCount val="1"/>
                <c:pt idx="0">
                  <c:v>Forecast (inc. amendments)
</c:v>
                </c:pt>
              </c:strCache>
            </c:strRef>
          </c:tx>
          <c:spPr>
            <a:pattFill prst="dkUpDiag">
              <a:fgClr>
                <a:srgbClr val="E7E1EF"/>
              </a:fgClr>
              <a:bgClr>
                <a:sysClr val="windowText" lastClr="000000"/>
              </a:bgClr>
            </a:pattFill>
            <a:ln>
              <a:solidFill>
                <a:schemeClr val="tx1"/>
              </a:solidFill>
            </a:ln>
          </c:spPr>
          <c:invertIfNegative val="0"/>
          <c:cat>
            <c:multiLvlStrRef>
              <c:f>TasNetworks!$B$40:$C$47</c:f>
              <c:multiLvlStrCache>
                <c:ptCount val="8"/>
                <c:lvl>
                  <c:pt idx="0">
                    <c:v>2007-08</c:v>
                  </c:pt>
                  <c:pt idx="1">
                    <c:v>2008-09</c:v>
                  </c:pt>
                  <c:pt idx="2">
                    <c:v>2009-10</c:v>
                  </c:pt>
                  <c:pt idx="3">
                    <c:v>2010-11</c:v>
                  </c:pt>
                  <c:pt idx="4">
                    <c:v>2011-12</c:v>
                  </c:pt>
                  <c:pt idx="5">
                    <c:v>2012-13</c:v>
                  </c:pt>
                  <c:pt idx="6">
                    <c:v>2013-14</c:v>
                  </c:pt>
                  <c:pt idx="7">
                    <c:v>2014-15</c:v>
                  </c:pt>
                </c:lvl>
                <c:lvl>
                  <c:pt idx="0">
                    <c:v>OTTER</c:v>
                  </c:pt>
                  <c:pt idx="5">
                    <c:v>AER</c:v>
                  </c:pt>
                </c:lvl>
              </c:multiLvlStrCache>
            </c:multiLvlStrRef>
          </c:cat>
          <c:val>
            <c:numRef>
              <c:f>TasNetworks!$T$40:$T$47</c:f>
              <c:numCache>
                <c:formatCode>"$"#,##0</c:formatCode>
                <c:ptCount val="8"/>
                <c:pt idx="0">
                  <c:v>170250798.59133071</c:v>
                </c:pt>
                <c:pt idx="1">
                  <c:v>233977409.50837496</c:v>
                </c:pt>
                <c:pt idx="2">
                  <c:v>247146108.77287334</c:v>
                </c:pt>
                <c:pt idx="3">
                  <c:v>250880051.75502101</c:v>
                </c:pt>
                <c:pt idx="4">
                  <c:v>258424506.88011655</c:v>
                </c:pt>
                <c:pt idx="5">
                  <c:v>279837088.02772343</c:v>
                </c:pt>
                <c:pt idx="6">
                  <c:v>284241181.12801504</c:v>
                </c:pt>
                <c:pt idx="7">
                  <c:v>287258238.01051366</c:v>
                </c:pt>
              </c:numCache>
            </c:numRef>
          </c:val>
        </c:ser>
        <c:ser>
          <c:idx val="1"/>
          <c:order val="1"/>
          <c:tx>
            <c:strRef>
              <c:f>TasNetworks!$Z$39</c:f>
              <c:strCache>
                <c:ptCount val="1"/>
                <c:pt idx="0">
                  <c:v>Actual</c:v>
                </c:pt>
              </c:strCache>
            </c:strRef>
          </c:tx>
          <c:spPr>
            <a:solidFill>
              <a:srgbClr val="E7E1EF"/>
            </a:solidFill>
            <a:ln>
              <a:solidFill>
                <a:sysClr val="windowText" lastClr="000000"/>
              </a:solidFill>
            </a:ln>
          </c:spPr>
          <c:invertIfNegative val="0"/>
          <c:cat>
            <c:multiLvlStrRef>
              <c:f>TasNetworks!$B$40:$C$47</c:f>
              <c:multiLvlStrCache>
                <c:ptCount val="8"/>
                <c:lvl>
                  <c:pt idx="0">
                    <c:v>2007-08</c:v>
                  </c:pt>
                  <c:pt idx="1">
                    <c:v>2008-09</c:v>
                  </c:pt>
                  <c:pt idx="2">
                    <c:v>2009-10</c:v>
                  </c:pt>
                  <c:pt idx="3">
                    <c:v>2010-11</c:v>
                  </c:pt>
                  <c:pt idx="4">
                    <c:v>2011-12</c:v>
                  </c:pt>
                  <c:pt idx="5">
                    <c:v>2012-13</c:v>
                  </c:pt>
                  <c:pt idx="6">
                    <c:v>2013-14</c:v>
                  </c:pt>
                  <c:pt idx="7">
                    <c:v>2014-15</c:v>
                  </c:pt>
                </c:lvl>
                <c:lvl>
                  <c:pt idx="0">
                    <c:v>OTTER</c:v>
                  </c:pt>
                  <c:pt idx="5">
                    <c:v>AER</c:v>
                  </c:pt>
                </c:lvl>
              </c:multiLvlStrCache>
            </c:multiLvlStrRef>
          </c:cat>
          <c:val>
            <c:numRef>
              <c:f>TasNetworks!$Z$40:$Z$47</c:f>
              <c:numCache>
                <c:formatCode>"$"#,##0</c:formatCode>
                <c:ptCount val="8"/>
                <c:pt idx="0">
                  <c:v>208845981.78781801</c:v>
                </c:pt>
                <c:pt idx="1">
                  <c:v>208430838.29555327</c:v>
                </c:pt>
                <c:pt idx="2">
                  <c:v>235512422.65797755</c:v>
                </c:pt>
                <c:pt idx="3">
                  <c:v>233547285.99961996</c:v>
                </c:pt>
                <c:pt idx="4">
                  <c:v>249359240.05756438</c:v>
                </c:pt>
                <c:pt idx="5">
                  <c:v>266204002.53796729</c:v>
                </c:pt>
                <c:pt idx="6">
                  <c:v>#N/A</c:v>
                </c:pt>
                <c:pt idx="7">
                  <c:v>#N/A</c:v>
                </c:pt>
              </c:numCache>
            </c:numRef>
          </c:val>
        </c:ser>
        <c:dLbls>
          <c:showLegendKey val="0"/>
          <c:showVal val="0"/>
          <c:showCatName val="0"/>
          <c:showSerName val="0"/>
          <c:showPercent val="0"/>
          <c:showBubbleSize val="0"/>
        </c:dLbls>
        <c:gapWidth val="50"/>
        <c:axId val="355379840"/>
        <c:axId val="355598720"/>
      </c:barChart>
      <c:catAx>
        <c:axId val="355379840"/>
        <c:scaling>
          <c:orientation val="minMax"/>
        </c:scaling>
        <c:delete val="0"/>
        <c:axPos val="b"/>
        <c:majorTickMark val="out"/>
        <c:minorTickMark val="none"/>
        <c:tickLblPos val="nextTo"/>
        <c:txPr>
          <a:bodyPr/>
          <a:lstStyle/>
          <a:p>
            <a:pPr>
              <a:defRPr sz="750"/>
            </a:pPr>
            <a:endParaRPr lang="en-US"/>
          </a:p>
        </c:txPr>
        <c:crossAx val="355598720"/>
        <c:crosses val="autoZero"/>
        <c:auto val="1"/>
        <c:lblAlgn val="ctr"/>
        <c:lblOffset val="100"/>
        <c:noMultiLvlLbl val="0"/>
      </c:catAx>
      <c:valAx>
        <c:axId val="355598720"/>
        <c:scaling>
          <c:orientation val="minMax"/>
          <c:max val="30000000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5379840"/>
        <c:crosses val="autoZero"/>
        <c:crossBetween val="between"/>
      </c:valAx>
    </c:plotArea>
    <c:legend>
      <c:legendPos val="b"/>
      <c:layout>
        <c:manualLayout>
          <c:xMode val="edge"/>
          <c:yMode val="edge"/>
          <c:x val="0.2656373578302712"/>
          <c:y val="0.88850503062117236"/>
          <c:w val="0.7059914698162729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TasNetworks!$K$87</c:f>
              <c:strCache>
                <c:ptCount val="1"/>
                <c:pt idx="0">
                  <c:v>EBIT ($Dec 2012)</c:v>
                </c:pt>
              </c:strCache>
            </c:strRef>
          </c:tx>
          <c:spPr>
            <a:solidFill>
              <a:srgbClr val="E7E1EF"/>
            </a:solidFill>
            <a:ln>
              <a:solidFill>
                <a:schemeClr val="tx1"/>
              </a:solidFill>
            </a:ln>
          </c:spPr>
          <c:invertIfNegative val="0"/>
          <c:cat>
            <c:strRef>
              <c:f>TasNetworks!$C$88:$C$90</c:f>
              <c:strCache>
                <c:ptCount val="3"/>
                <c:pt idx="0">
                  <c:v>2010-11</c:v>
                </c:pt>
                <c:pt idx="1">
                  <c:v>2011-12</c:v>
                </c:pt>
                <c:pt idx="2">
                  <c:v>2012-13</c:v>
                </c:pt>
              </c:strCache>
            </c:strRef>
          </c:cat>
          <c:val>
            <c:numRef>
              <c:f>TasNetworks!$K$88:$K$90</c:f>
              <c:numCache>
                <c:formatCode>"$"#,##0</c:formatCode>
                <c:ptCount val="3"/>
                <c:pt idx="0">
                  <c:v>96922253.920517653</c:v>
                </c:pt>
                <c:pt idx="1">
                  <c:v>92408865.963677317</c:v>
                </c:pt>
                <c:pt idx="2">
                  <c:v>115291956.926295</c:v>
                </c:pt>
              </c:numCache>
            </c:numRef>
          </c:val>
        </c:ser>
        <c:dLbls>
          <c:showLegendKey val="0"/>
          <c:showVal val="0"/>
          <c:showCatName val="0"/>
          <c:showSerName val="0"/>
          <c:showPercent val="0"/>
          <c:showBubbleSize val="0"/>
        </c:dLbls>
        <c:gapWidth val="50"/>
        <c:axId val="355623296"/>
        <c:axId val="355624832"/>
      </c:barChart>
      <c:catAx>
        <c:axId val="355623296"/>
        <c:scaling>
          <c:orientation val="minMax"/>
        </c:scaling>
        <c:delete val="0"/>
        <c:axPos val="b"/>
        <c:majorTickMark val="out"/>
        <c:minorTickMark val="none"/>
        <c:tickLblPos val="nextTo"/>
        <c:crossAx val="355624832"/>
        <c:crosses val="autoZero"/>
        <c:auto val="1"/>
        <c:lblAlgn val="ctr"/>
        <c:lblOffset val="100"/>
        <c:noMultiLvlLbl val="0"/>
      </c:catAx>
      <c:valAx>
        <c:axId val="355624832"/>
        <c:scaling>
          <c:orientation val="minMax"/>
          <c:max val="120000000"/>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562329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'AusNet Services'!$D$17</c:f>
              <c:strCache>
                <c:ptCount val="1"/>
                <c:pt idx="0">
                  <c:v>Overhead (81.9%)</c:v>
                </c:pt>
              </c:strCache>
            </c:strRef>
          </c:tx>
          <c:spPr>
            <a:solidFill>
              <a:srgbClr val="4BACC6">
                <a:lumMod val="60000"/>
                <a:lumOff val="40000"/>
              </a:srgbClr>
            </a:solidFill>
            <a:ln>
              <a:solidFill>
                <a:schemeClr val="tx1"/>
              </a:solidFill>
            </a:ln>
          </c:spPr>
          <c:invertIfNegative val="0"/>
          <c:dPt>
            <c:idx val="0"/>
            <c:invertIfNegative val="0"/>
            <c:bubble3D val="0"/>
          </c:dPt>
          <c:val>
            <c:numRef>
              <c:f>'AusNet Services'!$D$18</c:f>
              <c:numCache>
                <c:formatCode>#,##0</c:formatCode>
                <c:ptCount val="1"/>
                <c:pt idx="0">
                  <c:v>35888.483999999997</c:v>
                </c:pt>
              </c:numCache>
            </c:numRef>
          </c:val>
        </c:ser>
        <c:ser>
          <c:idx val="1"/>
          <c:order val="1"/>
          <c:tx>
            <c:strRef>
              <c:f>'AusNet Services'!$C$17</c:f>
              <c:strCache>
                <c:ptCount val="1"/>
                <c:pt idx="0">
                  <c:v>Underground (12.5%)</c:v>
                </c:pt>
              </c:strCache>
            </c:strRef>
          </c:tx>
          <c:spPr>
            <a:solidFill>
              <a:srgbClr val="EEECE1">
                <a:lumMod val="50000"/>
              </a:srgbClr>
            </a:solidFill>
            <a:ln>
              <a:solidFill>
                <a:sysClr val="windowText" lastClr="000000"/>
              </a:solidFill>
            </a:ln>
          </c:spPr>
          <c:invertIfNegative val="0"/>
          <c:dPt>
            <c:idx val="0"/>
            <c:invertIfNegative val="0"/>
            <c:bubble3D val="0"/>
          </c:dPt>
          <c:val>
            <c:numRef>
              <c:f>'AusNet Services'!$C$18</c:f>
              <c:numCache>
                <c:formatCode>#,##0</c:formatCode>
                <c:ptCount val="1"/>
                <c:pt idx="0">
                  <c:v>5491.9960000000001</c:v>
                </c:pt>
              </c:numCache>
            </c:numRef>
          </c:val>
        </c:ser>
        <c:ser>
          <c:idx val="2"/>
          <c:order val="2"/>
          <c:tx>
            <c:strRef>
              <c:f>'AusNet Services'!$E$17</c:f>
              <c:strCache>
                <c:ptCount val="1"/>
                <c:pt idx="0">
                  <c:v>Subtransmission (5.6%)</c:v>
                </c:pt>
              </c:strCache>
            </c:strRef>
          </c:tx>
          <c:spPr>
            <a:solidFill>
              <a:srgbClr val="C0504D">
                <a:lumMod val="60000"/>
                <a:lumOff val="40000"/>
              </a:srgbClr>
            </a:solidFill>
            <a:ln>
              <a:solidFill>
                <a:sysClr val="windowText" lastClr="000000"/>
              </a:solidFill>
            </a:ln>
          </c:spPr>
          <c:invertIfNegative val="0"/>
          <c:val>
            <c:numRef>
              <c:f>'AusNet Services'!$E$18</c:f>
              <c:numCache>
                <c:formatCode>#,##0</c:formatCode>
                <c:ptCount val="1"/>
                <c:pt idx="0">
                  <c:v>2441.4469999999997</c:v>
                </c:pt>
              </c:numCache>
            </c:numRef>
          </c:val>
        </c:ser>
        <c:dLbls>
          <c:showLegendKey val="0"/>
          <c:showVal val="0"/>
          <c:showCatName val="0"/>
          <c:showSerName val="0"/>
          <c:showPercent val="0"/>
          <c:showBubbleSize val="0"/>
        </c:dLbls>
        <c:gapWidth val="30"/>
        <c:overlap val="100"/>
        <c:axId val="334974976"/>
        <c:axId val="334976512"/>
      </c:barChart>
      <c:catAx>
        <c:axId val="334974976"/>
        <c:scaling>
          <c:orientation val="minMax"/>
        </c:scaling>
        <c:delete val="1"/>
        <c:axPos val="l"/>
        <c:majorTickMark val="out"/>
        <c:minorTickMark val="none"/>
        <c:tickLblPos val="nextTo"/>
        <c:crossAx val="334976512"/>
        <c:crosses val="autoZero"/>
        <c:auto val="1"/>
        <c:lblAlgn val="ctr"/>
        <c:lblOffset val="100"/>
        <c:noMultiLvlLbl val="0"/>
      </c:catAx>
      <c:valAx>
        <c:axId val="334976512"/>
        <c:scaling>
          <c:orientation val="minMax"/>
          <c:max val="43822"/>
          <c:min val="0"/>
        </c:scaling>
        <c:delete val="0"/>
        <c:axPos val="b"/>
        <c:numFmt formatCode="0,000\ &quot;km&quot;" sourceLinked="0"/>
        <c:majorTickMark val="out"/>
        <c:minorTickMark val="none"/>
        <c:tickLblPos val="nextTo"/>
        <c:txPr>
          <a:bodyPr/>
          <a:lstStyle/>
          <a:p>
            <a:pPr>
              <a:defRPr sz="800"/>
            </a:pPr>
            <a:endParaRPr lang="en-US"/>
          </a:p>
        </c:txPr>
        <c:crossAx val="334974976"/>
        <c:crosses val="autoZero"/>
        <c:crossBetween val="between"/>
        <c:majorUnit val="10000"/>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72462817147856"/>
          <c:y val="5.0925925925925923E-2"/>
          <c:w val="0.74571981627296591"/>
          <c:h val="0.65753317293671631"/>
        </c:manualLayout>
      </c:layout>
      <c:barChart>
        <c:barDir val="col"/>
        <c:grouping val="clustered"/>
        <c:varyColors val="0"/>
        <c:ser>
          <c:idx val="1"/>
          <c:order val="0"/>
          <c:tx>
            <c:strRef>
              <c:f>'AusNet Services'!$B$25</c:f>
              <c:strCache>
                <c:ptCount val="1"/>
                <c:pt idx="0">
                  <c:v>Forecast</c:v>
                </c:pt>
              </c:strCache>
            </c:strRef>
          </c:tx>
          <c:spPr>
            <a:pattFill prst="dkUpDiag">
              <a:fgClr>
                <a:srgbClr val="238B45"/>
              </a:fgClr>
              <a:bgClr>
                <a:sysClr val="window" lastClr="FFFFFF"/>
              </a:bgClr>
            </a:pattFill>
            <a:ln>
              <a:solidFill>
                <a:sysClr val="windowText" lastClr="000000"/>
              </a:solidFill>
            </a:ln>
          </c:spPr>
          <c:invertIfNegative val="0"/>
          <c:cat>
            <c:multiLvlStrRef>
              <c:f>'AusNet Services'!$C$21:$L$22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Services'!$C$25:$L$25</c:f>
              <c:numCache>
                <c:formatCode>#,##0</c:formatCode>
                <c:ptCount val="10"/>
                <c:pt idx="0">
                  <c:v>7374</c:v>
                </c:pt>
                <c:pt idx="1">
                  <c:v>7588</c:v>
                </c:pt>
                <c:pt idx="2">
                  <c:v>7785</c:v>
                </c:pt>
                <c:pt idx="3">
                  <c:v>7967</c:v>
                </c:pt>
                <c:pt idx="4">
                  <c:v>8173</c:v>
                </c:pt>
                <c:pt idx="5">
                  <c:v>7975</c:v>
                </c:pt>
                <c:pt idx="6">
                  <c:v>7978</c:v>
                </c:pt>
                <c:pt idx="7">
                  <c:v>7961</c:v>
                </c:pt>
                <c:pt idx="8">
                  <c:v>7974</c:v>
                </c:pt>
                <c:pt idx="9">
                  <c:v>8042</c:v>
                </c:pt>
              </c:numCache>
            </c:numRef>
          </c:val>
        </c:ser>
        <c:ser>
          <c:idx val="0"/>
          <c:order val="1"/>
          <c:tx>
            <c:strRef>
              <c:f>'AusNet Services'!$B$23</c:f>
              <c:strCache>
                <c:ptCount val="1"/>
                <c:pt idx="0">
                  <c:v>Actual</c:v>
                </c:pt>
              </c:strCache>
            </c:strRef>
          </c:tx>
          <c:spPr>
            <a:solidFill>
              <a:srgbClr val="238B45"/>
            </a:solidFill>
            <a:ln>
              <a:solidFill>
                <a:sysClr val="windowText" lastClr="000000"/>
              </a:solidFill>
            </a:ln>
          </c:spPr>
          <c:invertIfNegative val="0"/>
          <c:cat>
            <c:multiLvlStrRef>
              <c:f>'AusNet Services'!$C$21:$L$22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Services'!$C$23:$L$23</c:f>
              <c:numCache>
                <c:formatCode>#,##0</c:formatCode>
                <c:ptCount val="10"/>
                <c:pt idx="0">
                  <c:v>7398</c:v>
                </c:pt>
                <c:pt idx="1">
                  <c:v>7500</c:v>
                </c:pt>
                <c:pt idx="2">
                  <c:v>7886</c:v>
                </c:pt>
                <c:pt idx="3">
                  <c:v>7750</c:v>
                </c:pt>
                <c:pt idx="4">
                  <c:v>7909</c:v>
                </c:pt>
                <c:pt idx="5">
                  <c:v>7630</c:v>
                </c:pt>
                <c:pt idx="6">
                  <c:v>7595</c:v>
                </c:pt>
                <c:pt idx="7">
                  <c:v>7430.5897601739398</c:v>
                </c:pt>
              </c:numCache>
            </c:numRef>
          </c:val>
        </c:ser>
        <c:dLbls>
          <c:showLegendKey val="0"/>
          <c:showVal val="0"/>
          <c:showCatName val="0"/>
          <c:showSerName val="0"/>
          <c:showPercent val="0"/>
          <c:showBubbleSize val="0"/>
        </c:dLbls>
        <c:gapWidth val="50"/>
        <c:axId val="355854208"/>
        <c:axId val="355855744"/>
      </c:barChart>
      <c:catAx>
        <c:axId val="355854208"/>
        <c:scaling>
          <c:orientation val="minMax"/>
        </c:scaling>
        <c:delete val="0"/>
        <c:axPos val="b"/>
        <c:majorTickMark val="out"/>
        <c:minorTickMark val="none"/>
        <c:tickLblPos val="nextTo"/>
        <c:txPr>
          <a:bodyPr/>
          <a:lstStyle/>
          <a:p>
            <a:pPr>
              <a:defRPr sz="800"/>
            </a:pPr>
            <a:endParaRPr lang="en-US"/>
          </a:p>
        </c:txPr>
        <c:crossAx val="355855744"/>
        <c:crosses val="autoZero"/>
        <c:auto val="1"/>
        <c:lblAlgn val="ctr"/>
        <c:lblOffset val="100"/>
        <c:noMultiLvlLbl val="0"/>
      </c:catAx>
      <c:valAx>
        <c:axId val="355855744"/>
        <c:scaling>
          <c:orientation val="minMax"/>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55854208"/>
        <c:crosses val="autoZero"/>
        <c:crossBetween val="between"/>
      </c:valAx>
    </c:plotArea>
    <c:legend>
      <c:legendPos val="b"/>
      <c:layout>
        <c:manualLayout>
          <c:xMode val="edge"/>
          <c:yMode val="edge"/>
          <c:x val="0.22258552055993"/>
          <c:y val="0.84282626130067073"/>
          <c:w val="0.74094006999125117"/>
          <c:h val="6.9210775736366276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'AusNet Services'!$B$33</c:f>
              <c:strCache>
                <c:ptCount val="1"/>
                <c:pt idx="0">
                  <c:v>Forecast</c:v>
                </c:pt>
              </c:strCache>
            </c:strRef>
          </c:tx>
          <c:spPr>
            <a:pattFill prst="dkUpDiag">
              <a:fgClr>
                <a:srgbClr val="238B45"/>
              </a:fgClr>
              <a:bgClr>
                <a:schemeClr val="bg1"/>
              </a:bgClr>
            </a:pattFill>
            <a:ln>
              <a:solidFill>
                <a:sysClr val="windowText" lastClr="000000"/>
              </a:solidFill>
            </a:ln>
          </c:spPr>
          <c:invertIfNegative val="0"/>
          <c:cat>
            <c:multiLvlStrRef>
              <c:f>'AusNet Services'!$C$29:$L$30</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Services'!$C$33:$L$33</c:f>
              <c:numCache>
                <c:formatCode>General</c:formatCode>
                <c:ptCount val="10"/>
                <c:pt idx="5" formatCode="#,##0">
                  <c:v>1874</c:v>
                </c:pt>
                <c:pt idx="6" formatCode="#,##0">
                  <c:v>1959</c:v>
                </c:pt>
                <c:pt idx="7" formatCode="#,##0">
                  <c:v>2046</c:v>
                </c:pt>
                <c:pt idx="8" formatCode="#,##0">
                  <c:v>2130</c:v>
                </c:pt>
                <c:pt idx="9" formatCode="#,##0">
                  <c:v>2219</c:v>
                </c:pt>
              </c:numCache>
            </c:numRef>
          </c:val>
        </c:ser>
        <c:ser>
          <c:idx val="1"/>
          <c:order val="1"/>
          <c:tx>
            <c:strRef>
              <c:f>'AusNet Services'!$B$31</c:f>
              <c:strCache>
                <c:ptCount val="1"/>
                <c:pt idx="0">
                  <c:v>Actual</c:v>
                </c:pt>
              </c:strCache>
            </c:strRef>
          </c:tx>
          <c:spPr>
            <a:solidFill>
              <a:srgbClr val="238B45"/>
            </a:solidFill>
            <a:ln>
              <a:solidFill>
                <a:sysClr val="windowText" lastClr="000000"/>
              </a:solidFill>
            </a:ln>
          </c:spPr>
          <c:invertIfNegative val="0"/>
          <c:cat>
            <c:multiLvlStrRef>
              <c:f>'AusNet Services'!$C$29:$L$30</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Services'!$C$31:$L$31</c:f>
              <c:numCache>
                <c:formatCode>#,##0</c:formatCode>
                <c:ptCount val="10"/>
                <c:pt idx="0">
                  <c:v>1616.768</c:v>
                </c:pt>
                <c:pt idx="1">
                  <c:v>1689.1969999999999</c:v>
                </c:pt>
                <c:pt idx="2">
                  <c:v>1801.394</c:v>
                </c:pt>
                <c:pt idx="3">
                  <c:v>1952.364</c:v>
                </c:pt>
                <c:pt idx="4">
                  <c:v>1966.1110000000001</c:v>
                </c:pt>
                <c:pt idx="5">
                  <c:v>1728.18</c:v>
                </c:pt>
                <c:pt idx="6">
                  <c:v>1785.981</c:v>
                </c:pt>
                <c:pt idx="7">
                  <c:v>1908.3620000000001</c:v>
                </c:pt>
              </c:numCache>
            </c:numRef>
          </c:val>
        </c:ser>
        <c:dLbls>
          <c:showLegendKey val="0"/>
          <c:showVal val="0"/>
          <c:showCatName val="0"/>
          <c:showSerName val="0"/>
          <c:showPercent val="0"/>
          <c:showBubbleSize val="0"/>
        </c:dLbls>
        <c:gapWidth val="50"/>
        <c:axId val="356045568"/>
        <c:axId val="356047104"/>
      </c:barChart>
      <c:catAx>
        <c:axId val="356045568"/>
        <c:scaling>
          <c:orientation val="minMax"/>
        </c:scaling>
        <c:delete val="0"/>
        <c:axPos val="b"/>
        <c:majorTickMark val="out"/>
        <c:minorTickMark val="none"/>
        <c:tickLblPos val="nextTo"/>
        <c:txPr>
          <a:bodyPr/>
          <a:lstStyle/>
          <a:p>
            <a:pPr>
              <a:defRPr sz="800"/>
            </a:pPr>
            <a:endParaRPr lang="en-US"/>
          </a:p>
        </c:txPr>
        <c:crossAx val="356047104"/>
        <c:crosses val="autoZero"/>
        <c:auto val="1"/>
        <c:lblAlgn val="ctr"/>
        <c:lblOffset val="100"/>
        <c:noMultiLvlLbl val="0"/>
      </c:catAx>
      <c:valAx>
        <c:axId val="356047104"/>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General" sourceLinked="1"/>
        <c:majorTickMark val="out"/>
        <c:minorTickMark val="none"/>
        <c:tickLblPos val="nextTo"/>
        <c:crossAx val="356045568"/>
        <c:crosses val="autoZero"/>
        <c:crossBetween val="between"/>
      </c:valAx>
    </c:plotArea>
    <c:legend>
      <c:legendPos val="b"/>
      <c:layout>
        <c:manualLayout>
          <c:xMode val="edge"/>
          <c:yMode val="edge"/>
          <c:x val="0.23055555555555557"/>
          <c:y val="0.89838181685622631"/>
          <c:w val="0.738162292213473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'AusNet Services'!$T$68</c:f>
              <c:strCache>
                <c:ptCount val="1"/>
                <c:pt idx="0">
                  <c:v>Forecast (inc. amendments)
</c:v>
                </c:pt>
              </c:strCache>
            </c:strRef>
          </c:tx>
          <c:spPr>
            <a:pattFill prst="dkUpDiag">
              <a:fgClr>
                <a:srgbClr val="238B45"/>
              </a:fgClr>
              <a:bgClr>
                <a:sysClr val="window" lastClr="FFFFFF"/>
              </a:bgClr>
            </a:pattFill>
            <a:ln>
              <a:solidFill>
                <a:schemeClr val="tx1"/>
              </a:solidFill>
            </a:ln>
          </c:spPr>
          <c:invertIfNegative val="0"/>
          <c:cat>
            <c:multiLvlStrRef>
              <c:f>'AusNet Services'!$B$69:$C$78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Services'!$T$69:$T$78</c:f>
              <c:numCache>
                <c:formatCode>"$"#,##0</c:formatCode>
                <c:ptCount val="10"/>
                <c:pt idx="0">
                  <c:v>159082476.36952031</c:v>
                </c:pt>
                <c:pt idx="1">
                  <c:v>150146672.71268809</c:v>
                </c:pt>
                <c:pt idx="2">
                  <c:v>151027667.43941802</c:v>
                </c:pt>
                <c:pt idx="3">
                  <c:v>161222034.99157873</c:v>
                </c:pt>
                <c:pt idx="4">
                  <c:v>168773418.36354962</c:v>
                </c:pt>
                <c:pt idx="5">
                  <c:v>294186151.41419595</c:v>
                </c:pt>
                <c:pt idx="6">
                  <c:v>305365035.09791654</c:v>
                </c:pt>
                <c:pt idx="7">
                  <c:v>338141752.42344815</c:v>
                </c:pt>
                <c:pt idx="8">
                  <c:v>334818252.48626971</c:v>
                </c:pt>
                <c:pt idx="9">
                  <c:v>326455312.09702957</c:v>
                </c:pt>
              </c:numCache>
            </c:numRef>
          </c:val>
        </c:ser>
        <c:ser>
          <c:idx val="1"/>
          <c:order val="1"/>
          <c:tx>
            <c:strRef>
              <c:f>'AusNet Services'!$AB$68</c:f>
              <c:strCache>
                <c:ptCount val="1"/>
                <c:pt idx="0">
                  <c:v>Actual</c:v>
                </c:pt>
              </c:strCache>
            </c:strRef>
          </c:tx>
          <c:spPr>
            <a:solidFill>
              <a:srgbClr val="238B45"/>
            </a:solidFill>
            <a:ln>
              <a:solidFill>
                <a:sysClr val="windowText" lastClr="000000"/>
              </a:solidFill>
            </a:ln>
          </c:spPr>
          <c:invertIfNegative val="0"/>
          <c:cat>
            <c:multiLvlStrRef>
              <c:f>'AusNet Services'!$B$69:$C$78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Services'!$AB$69:$AB$78</c:f>
              <c:numCache>
                <c:formatCode>"$"#,##0</c:formatCode>
                <c:ptCount val="10"/>
                <c:pt idx="0">
                  <c:v>143777599.08190095</c:v>
                </c:pt>
                <c:pt idx="1">
                  <c:v>151031931.64757544</c:v>
                </c:pt>
                <c:pt idx="2">
                  <c:v>211955974.66796249</c:v>
                </c:pt>
                <c:pt idx="3">
                  <c:v>261537596.07012203</c:v>
                </c:pt>
                <c:pt idx="4">
                  <c:v>255620416.25994527</c:v>
                </c:pt>
                <c:pt idx="5">
                  <c:v>269568596.60332745</c:v>
                </c:pt>
                <c:pt idx="6">
                  <c:v>309465440.18271965</c:v>
                </c:pt>
                <c:pt idx="7">
                  <c:v>335289667.80241281</c:v>
                </c:pt>
                <c:pt idx="8">
                  <c:v>#N/A</c:v>
                </c:pt>
                <c:pt idx="9">
                  <c:v>#N/A</c:v>
                </c:pt>
              </c:numCache>
            </c:numRef>
          </c:val>
        </c:ser>
        <c:dLbls>
          <c:showLegendKey val="0"/>
          <c:showVal val="0"/>
          <c:showCatName val="0"/>
          <c:showSerName val="0"/>
          <c:showPercent val="0"/>
          <c:showBubbleSize val="0"/>
        </c:dLbls>
        <c:gapWidth val="50"/>
        <c:axId val="356269440"/>
        <c:axId val="356283520"/>
      </c:barChart>
      <c:catAx>
        <c:axId val="356269440"/>
        <c:scaling>
          <c:orientation val="minMax"/>
        </c:scaling>
        <c:delete val="0"/>
        <c:axPos val="b"/>
        <c:majorTickMark val="out"/>
        <c:minorTickMark val="none"/>
        <c:tickLblPos val="nextTo"/>
        <c:txPr>
          <a:bodyPr/>
          <a:lstStyle/>
          <a:p>
            <a:pPr>
              <a:defRPr sz="750"/>
            </a:pPr>
            <a:endParaRPr lang="en-US"/>
          </a:p>
        </c:txPr>
        <c:crossAx val="356283520"/>
        <c:crosses val="autoZero"/>
        <c:auto val="1"/>
        <c:lblAlgn val="ctr"/>
        <c:lblOffset val="100"/>
        <c:noMultiLvlLbl val="0"/>
      </c:catAx>
      <c:valAx>
        <c:axId val="356283520"/>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56269440"/>
        <c:crosses val="autoZero"/>
        <c:crossBetween val="between"/>
      </c:valAx>
    </c:plotArea>
    <c:legend>
      <c:legendPos val="b"/>
      <c:layout>
        <c:manualLayout>
          <c:xMode val="edge"/>
          <c:yMode val="edge"/>
          <c:x val="0.2656373578302712"/>
          <c:y val="0.88850503062117236"/>
          <c:w val="0.7004359142607173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'AusNet Services'!$H$81</c:f>
              <c:strCache>
                <c:ptCount val="1"/>
                <c:pt idx="0">
                  <c:v>Actual</c:v>
                </c:pt>
              </c:strCache>
            </c:strRef>
          </c:tx>
          <c:spPr>
            <a:solidFill>
              <a:srgbClr val="238B45"/>
            </a:solidFill>
            <a:ln>
              <a:solidFill>
                <a:schemeClr val="tx1"/>
              </a:solidFill>
            </a:ln>
          </c:spPr>
          <c:invertIfNegative val="0"/>
          <c:cat>
            <c:multiLvlStrRef>
              <c:f>'AusNet Services'!$B$82:$C$90</c:f>
              <c:multiLvlStrCache>
                <c:ptCount val="9"/>
                <c:lvl>
                  <c:pt idx="0">
                    <c:v>2011</c:v>
                  </c:pt>
                  <c:pt idx="1">
                    <c:v>2012</c:v>
                  </c:pt>
                  <c:pt idx="2">
                    <c:v>2013</c:v>
                  </c:pt>
                  <c:pt idx="3">
                    <c:v>2011</c:v>
                  </c:pt>
                  <c:pt idx="4">
                    <c:v>2012</c:v>
                  </c:pt>
                  <c:pt idx="5">
                    <c:v>2013</c:v>
                  </c:pt>
                  <c:pt idx="6">
                    <c:v>2011</c:v>
                  </c:pt>
                  <c:pt idx="7">
                    <c:v>2012</c:v>
                  </c:pt>
                  <c:pt idx="8">
                    <c:v>2013</c:v>
                  </c:pt>
                </c:lvl>
                <c:lvl>
                  <c:pt idx="0">
                    <c:v>Demand related</c:v>
                  </c:pt>
                  <c:pt idx="3">
                    <c:v>Non-demand related</c:v>
                  </c:pt>
                  <c:pt idx="6">
                    <c:v>Non-system</c:v>
                  </c:pt>
                </c:lvl>
              </c:multiLvlStrCache>
            </c:multiLvlStrRef>
          </c:cat>
          <c:val>
            <c:numRef>
              <c:f>'AusNet Services'!$H$82:$H$90</c:f>
              <c:numCache>
                <c:formatCode>"$"#,##0</c:formatCode>
                <c:ptCount val="9"/>
                <c:pt idx="0">
                  <c:v>109421328.81141277</c:v>
                </c:pt>
                <c:pt idx="1">
                  <c:v>88028046.170887768</c:v>
                </c:pt>
                <c:pt idx="2">
                  <c:v>94157287.663158089</c:v>
                </c:pt>
                <c:pt idx="3">
                  <c:v>105230392.03521216</c:v>
                </c:pt>
                <c:pt idx="4">
                  <c:v>162874812.35099292</c:v>
                </c:pt>
                <c:pt idx="5">
                  <c:v>207809917.43796548</c:v>
                </c:pt>
                <c:pt idx="6">
                  <c:v>54916875.756702535</c:v>
                </c:pt>
                <c:pt idx="7">
                  <c:v>58562581.660838969</c:v>
                </c:pt>
                <c:pt idx="8">
                  <c:v>57674634.780378871</c:v>
                </c:pt>
              </c:numCache>
            </c:numRef>
          </c:val>
        </c:ser>
        <c:dLbls>
          <c:showLegendKey val="0"/>
          <c:showVal val="0"/>
          <c:showCatName val="0"/>
          <c:showSerName val="0"/>
          <c:showPercent val="0"/>
          <c:showBubbleSize val="0"/>
        </c:dLbls>
        <c:gapWidth val="50"/>
        <c:axId val="356308096"/>
        <c:axId val="356309632"/>
      </c:barChart>
      <c:catAx>
        <c:axId val="356308096"/>
        <c:scaling>
          <c:orientation val="minMax"/>
        </c:scaling>
        <c:delete val="0"/>
        <c:axPos val="b"/>
        <c:majorTickMark val="out"/>
        <c:minorTickMark val="none"/>
        <c:tickLblPos val="nextTo"/>
        <c:txPr>
          <a:bodyPr/>
          <a:lstStyle/>
          <a:p>
            <a:pPr>
              <a:defRPr sz="800"/>
            </a:pPr>
            <a:endParaRPr lang="en-US"/>
          </a:p>
        </c:txPr>
        <c:crossAx val="356309632"/>
        <c:crosses val="autoZero"/>
        <c:auto val="1"/>
        <c:lblAlgn val="ctr"/>
        <c:lblOffset val="100"/>
        <c:noMultiLvlLbl val="0"/>
      </c:catAx>
      <c:valAx>
        <c:axId val="356309632"/>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6308096"/>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'AusNet Services'!$K$93</c:f>
              <c:strCache>
                <c:ptCount val="1"/>
                <c:pt idx="0">
                  <c:v>Forecast (inc. amendments)
</c:v>
                </c:pt>
              </c:strCache>
            </c:strRef>
          </c:tx>
          <c:spPr>
            <a:pattFill prst="dkUpDiag">
              <a:fgClr>
                <a:srgbClr val="238B45"/>
              </a:fgClr>
              <a:bgClr>
                <a:sysClr val="window" lastClr="FFFFFF"/>
              </a:bgClr>
            </a:pattFill>
            <a:ln>
              <a:solidFill>
                <a:schemeClr val="tx1"/>
              </a:solidFill>
            </a:ln>
          </c:spPr>
          <c:invertIfNegative val="0"/>
          <c:cat>
            <c:multiLvlStrRef>
              <c:f>'AusNet Services'!$B$94:$C$101</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'AusNet Services'!$K$94:$K$101</c:f>
              <c:numCache>
                <c:formatCode>"$"#,##0</c:formatCode>
                <c:ptCount val="8"/>
                <c:pt idx="0">
                  <c:v>1715296732.9431901</c:v>
                </c:pt>
                <c:pt idx="1">
                  <c:v>1767275421.8202565</c:v>
                </c:pt>
                <c:pt idx="2">
                  <c:v>1813842285.9474103</c:v>
                </c:pt>
                <c:pt idx="3">
                  <c:v>1864939980.0977468</c:v>
                </c:pt>
                <c:pt idx="4">
                  <c:v>1917799663.7015431</c:v>
                </c:pt>
                <c:pt idx="5">
                  <c:v>2325283366.7334671</c:v>
                </c:pt>
                <c:pt idx="6">
                  <c:v>2536500000</c:v>
                </c:pt>
                <c:pt idx="7">
                  <c:v>2741552307.6923079</c:v>
                </c:pt>
              </c:numCache>
            </c:numRef>
          </c:val>
        </c:ser>
        <c:ser>
          <c:idx val="1"/>
          <c:order val="1"/>
          <c:tx>
            <c:strRef>
              <c:f>'AusNet Services'!$Q$93</c:f>
              <c:strCache>
                <c:ptCount val="1"/>
                <c:pt idx="0">
                  <c:v>Actual</c:v>
                </c:pt>
              </c:strCache>
            </c:strRef>
          </c:tx>
          <c:spPr>
            <a:solidFill>
              <a:srgbClr val="238B45"/>
            </a:solidFill>
            <a:ln>
              <a:solidFill>
                <a:sysClr val="windowText" lastClr="000000"/>
              </a:solidFill>
            </a:ln>
          </c:spPr>
          <c:invertIfNegative val="0"/>
          <c:cat>
            <c:multiLvlStrRef>
              <c:f>'AusNet Services'!$B$94:$C$101</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'AusNet Services'!$Q$94:$Q$101</c:f>
              <c:numCache>
                <c:formatCode>"$"#,##0</c:formatCode>
                <c:ptCount val="8"/>
                <c:pt idx="0">
                  <c:v>1724357448.8850753</c:v>
                </c:pt>
                <c:pt idx="1">
                  <c:v>1774409220.5183592</c:v>
                </c:pt>
                <c:pt idx="2">
                  <c:v>1882326753.4491949</c:v>
                </c:pt>
                <c:pt idx="3">
                  <c:v>2024668078.6847787</c:v>
                </c:pt>
                <c:pt idx="4">
                  <c:v>2190979345.1877789</c:v>
                </c:pt>
                <c:pt idx="5">
                  <c:v>2309433375.7833405</c:v>
                </c:pt>
                <c:pt idx="6">
                  <c:v>2533398813.8639312</c:v>
                </c:pt>
                <c:pt idx="7">
                  <c:v>2749155212.3226719</c:v>
                </c:pt>
              </c:numCache>
            </c:numRef>
          </c:val>
        </c:ser>
        <c:dLbls>
          <c:showLegendKey val="0"/>
          <c:showVal val="0"/>
          <c:showCatName val="0"/>
          <c:showSerName val="0"/>
          <c:showPercent val="0"/>
          <c:showBubbleSize val="0"/>
        </c:dLbls>
        <c:gapWidth val="50"/>
        <c:axId val="356334592"/>
        <c:axId val="356369152"/>
      </c:barChart>
      <c:catAx>
        <c:axId val="356334592"/>
        <c:scaling>
          <c:orientation val="minMax"/>
        </c:scaling>
        <c:delete val="0"/>
        <c:axPos val="b"/>
        <c:majorTickMark val="out"/>
        <c:minorTickMark val="none"/>
        <c:tickLblPos val="nextTo"/>
        <c:txPr>
          <a:bodyPr/>
          <a:lstStyle/>
          <a:p>
            <a:pPr>
              <a:defRPr sz="800"/>
            </a:pPr>
            <a:endParaRPr lang="en-US"/>
          </a:p>
        </c:txPr>
        <c:crossAx val="356369152"/>
        <c:crosses val="autoZero"/>
        <c:auto val="1"/>
        <c:lblAlgn val="ctr"/>
        <c:lblOffset val="100"/>
        <c:noMultiLvlLbl val="0"/>
      </c:catAx>
      <c:valAx>
        <c:axId val="356369152"/>
        <c:scaling>
          <c:orientation val="minMax"/>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bn&quot;" sourceLinked="0"/>
        <c:majorTickMark val="out"/>
        <c:minorTickMark val="none"/>
        <c:tickLblPos val="nextTo"/>
        <c:txPr>
          <a:bodyPr/>
          <a:lstStyle/>
          <a:p>
            <a:pPr>
              <a:defRPr sz="800"/>
            </a:pPr>
            <a:endParaRPr lang="en-US"/>
          </a:p>
        </c:txPr>
        <c:crossAx val="356334592"/>
        <c:crosses val="autoZero"/>
        <c:crossBetween val="between"/>
        <c:majorUnit val="1000000000"/>
      </c:valAx>
    </c:plotArea>
    <c:legend>
      <c:legendPos val="b"/>
      <c:layout>
        <c:manualLayout>
          <c:xMode val="edge"/>
          <c:yMode val="edge"/>
          <c:x val="0.23641206820978364"/>
          <c:y val="0.88850503062117236"/>
          <c:w val="0.7367602993287811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'AusNet Services'!$T$54</c:f>
              <c:strCache>
                <c:ptCount val="1"/>
                <c:pt idx="0">
                  <c:v>Forecast (inc. amendments)
</c:v>
                </c:pt>
              </c:strCache>
            </c:strRef>
          </c:tx>
          <c:spPr>
            <a:pattFill prst="dkUpDiag">
              <a:fgClr>
                <a:srgbClr val="238B45"/>
              </a:fgClr>
              <a:bgClr>
                <a:sysClr val="window" lastClr="FFFFFF"/>
              </a:bgClr>
            </a:pattFill>
            <a:ln>
              <a:solidFill>
                <a:schemeClr val="tx1"/>
              </a:solidFill>
            </a:ln>
          </c:spPr>
          <c:invertIfNegative val="0"/>
          <c:cat>
            <c:multiLvlStrRef>
              <c:f>'AusNet Services'!$B$55:$C$64</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Services'!$T$55:$T$64</c:f>
              <c:numCache>
                <c:formatCode>"$"#,##0</c:formatCode>
                <c:ptCount val="10"/>
                <c:pt idx="0">
                  <c:v>134288767.63154918</c:v>
                </c:pt>
                <c:pt idx="1">
                  <c:v>137686890.14893609</c:v>
                </c:pt>
                <c:pt idx="2">
                  <c:v>141336725.4453887</c:v>
                </c:pt>
                <c:pt idx="3">
                  <c:v>144860704.35230845</c:v>
                </c:pt>
                <c:pt idx="4">
                  <c:v>148888108.8173596</c:v>
                </c:pt>
                <c:pt idx="5">
                  <c:v>167703389.94717497</c:v>
                </c:pt>
                <c:pt idx="6">
                  <c:v>174843121.87701714</c:v>
                </c:pt>
                <c:pt idx="7">
                  <c:v>186637562.9423891</c:v>
                </c:pt>
                <c:pt idx="8">
                  <c:v>193619344.86270794</c:v>
                </c:pt>
                <c:pt idx="9">
                  <c:v>195418370.47382125</c:v>
                </c:pt>
              </c:numCache>
            </c:numRef>
          </c:val>
        </c:ser>
        <c:ser>
          <c:idx val="1"/>
          <c:order val="1"/>
          <c:tx>
            <c:strRef>
              <c:f>'AusNet Services'!$Z$54</c:f>
              <c:strCache>
                <c:ptCount val="1"/>
                <c:pt idx="0">
                  <c:v>Actual</c:v>
                </c:pt>
              </c:strCache>
            </c:strRef>
          </c:tx>
          <c:spPr>
            <a:solidFill>
              <a:srgbClr val="238B45"/>
            </a:solidFill>
            <a:ln>
              <a:solidFill>
                <a:sysClr val="windowText" lastClr="000000"/>
              </a:solidFill>
            </a:ln>
          </c:spPr>
          <c:invertIfNegative val="0"/>
          <c:cat>
            <c:multiLvlStrRef>
              <c:f>'AusNet Services'!$B$55:$C$64</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Services'!$Z$55:$Z$64</c:f>
              <c:numCache>
                <c:formatCode>"$"#,##0</c:formatCode>
                <c:ptCount val="10"/>
                <c:pt idx="0">
                  <c:v>98901787.459542558</c:v>
                </c:pt>
                <c:pt idx="1">
                  <c:v>121718075.47580647</c:v>
                </c:pt>
                <c:pt idx="2">
                  <c:v>132154643.22936077</c:v>
                </c:pt>
                <c:pt idx="3">
                  <c:v>152083208.20510456</c:v>
                </c:pt>
                <c:pt idx="4">
                  <c:v>149061852.75254589</c:v>
                </c:pt>
                <c:pt idx="5">
                  <c:v>154441557.47694418</c:v>
                </c:pt>
                <c:pt idx="6">
                  <c:v>163632435.34278792</c:v>
                </c:pt>
                <c:pt idx="7">
                  <c:v>187822015.3541162</c:v>
                </c:pt>
                <c:pt idx="8">
                  <c:v>#N/A</c:v>
                </c:pt>
                <c:pt idx="9">
                  <c:v>#N/A</c:v>
                </c:pt>
              </c:numCache>
            </c:numRef>
          </c:val>
        </c:ser>
        <c:dLbls>
          <c:showLegendKey val="0"/>
          <c:showVal val="0"/>
          <c:showCatName val="0"/>
          <c:showSerName val="0"/>
          <c:showPercent val="0"/>
          <c:showBubbleSize val="0"/>
        </c:dLbls>
        <c:gapWidth val="50"/>
        <c:axId val="356722944"/>
        <c:axId val="356732928"/>
      </c:barChart>
      <c:catAx>
        <c:axId val="356722944"/>
        <c:scaling>
          <c:orientation val="minMax"/>
        </c:scaling>
        <c:delete val="0"/>
        <c:axPos val="b"/>
        <c:majorTickMark val="out"/>
        <c:minorTickMark val="none"/>
        <c:tickLblPos val="nextTo"/>
        <c:txPr>
          <a:bodyPr/>
          <a:lstStyle/>
          <a:p>
            <a:pPr>
              <a:defRPr sz="750"/>
            </a:pPr>
            <a:endParaRPr lang="en-US"/>
          </a:p>
        </c:txPr>
        <c:crossAx val="356732928"/>
        <c:crosses val="autoZero"/>
        <c:auto val="1"/>
        <c:lblAlgn val="ctr"/>
        <c:lblOffset val="100"/>
        <c:noMultiLvlLbl val="0"/>
      </c:catAx>
      <c:valAx>
        <c:axId val="356732928"/>
        <c:scaling>
          <c:orientation val="minMax"/>
          <c:min val="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6722944"/>
        <c:crosses val="autoZero"/>
        <c:crossBetween val="between"/>
      </c:valAx>
    </c:plotArea>
    <c:legend>
      <c:legendPos val="b"/>
      <c:layout>
        <c:manualLayout>
          <c:xMode val="edge"/>
          <c:yMode val="edge"/>
          <c:x val="0.2656373578302712"/>
          <c:y val="0.88850503062117236"/>
          <c:w val="0.6982515310586177"/>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'AusNet Services'!$T$40</c:f>
              <c:strCache>
                <c:ptCount val="1"/>
                <c:pt idx="0">
                  <c:v>Forecast (inc. amendments)
</c:v>
                </c:pt>
              </c:strCache>
            </c:strRef>
          </c:tx>
          <c:spPr>
            <a:pattFill prst="dkUpDiag">
              <a:fgClr>
                <a:srgbClr val="238B45"/>
              </a:fgClr>
              <a:bgClr>
                <a:sysClr val="window" lastClr="FFFFFF"/>
              </a:bgClr>
            </a:pattFill>
            <a:ln>
              <a:solidFill>
                <a:schemeClr val="tx1"/>
              </a:solidFill>
            </a:ln>
          </c:spPr>
          <c:invertIfNegative val="0"/>
          <c:cat>
            <c:multiLvlStrRef>
              <c:f>'AusNet Services'!$B$41:$C$50</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Services'!$T$41:$T$50</c:f>
              <c:numCache>
                <c:formatCode>"$"#,##0</c:formatCode>
                <c:ptCount val="10"/>
                <c:pt idx="0">
                  <c:v>364605960.47666168</c:v>
                </c:pt>
                <c:pt idx="1">
                  <c:v>351768608.74431115</c:v>
                </c:pt>
                <c:pt idx="2">
                  <c:v>365990380.76152301</c:v>
                </c:pt>
                <c:pt idx="3">
                  <c:v>364102534.91853029</c:v>
                </c:pt>
                <c:pt idx="4">
                  <c:v>387134254.20304149</c:v>
                </c:pt>
                <c:pt idx="5">
                  <c:v>442679298.20310152</c:v>
                </c:pt>
                <c:pt idx="6">
                  <c:v>460092348.26879823</c:v>
                </c:pt>
                <c:pt idx="7">
                  <c:v>489164008.4898594</c:v>
                </c:pt>
                <c:pt idx="8">
                  <c:v>520830790.54396731</c:v>
                </c:pt>
                <c:pt idx="9">
                  <c:v>560258236.33939195</c:v>
                </c:pt>
              </c:numCache>
            </c:numRef>
          </c:val>
        </c:ser>
        <c:ser>
          <c:idx val="1"/>
          <c:order val="1"/>
          <c:tx>
            <c:strRef>
              <c:f>'AusNet Services'!$Z$40</c:f>
              <c:strCache>
                <c:ptCount val="1"/>
                <c:pt idx="0">
                  <c:v>Actual</c:v>
                </c:pt>
              </c:strCache>
            </c:strRef>
          </c:tx>
          <c:spPr>
            <a:solidFill>
              <a:srgbClr val="238B45"/>
            </a:solidFill>
            <a:ln>
              <a:solidFill>
                <a:sysClr val="windowText" lastClr="000000"/>
              </a:solidFill>
            </a:ln>
          </c:spPr>
          <c:invertIfNegative val="0"/>
          <c:cat>
            <c:multiLvlStrRef>
              <c:f>'AusNet Services'!$B$41:$C$50</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'AusNet Services'!$Z$41:$Z$50</c:f>
              <c:numCache>
                <c:formatCode>"$"#,##0</c:formatCode>
                <c:ptCount val="10"/>
                <c:pt idx="0">
                  <c:v>363889122.0040226</c:v>
                </c:pt>
                <c:pt idx="1">
                  <c:v>379134165.1363827</c:v>
                </c:pt>
                <c:pt idx="2">
                  <c:v>378398193.87685686</c:v>
                </c:pt>
                <c:pt idx="3">
                  <c:v>365624163.86829835</c:v>
                </c:pt>
                <c:pt idx="4">
                  <c:v>412100404.61775881</c:v>
                </c:pt>
                <c:pt idx="5">
                  <c:v>433046917.03157395</c:v>
                </c:pt>
                <c:pt idx="6">
                  <c:v>453835615.35634065</c:v>
                </c:pt>
                <c:pt idx="7">
                  <c:v>498607946.44424289</c:v>
                </c:pt>
                <c:pt idx="8">
                  <c:v>#N/A</c:v>
                </c:pt>
                <c:pt idx="9">
                  <c:v>#N/A</c:v>
                </c:pt>
              </c:numCache>
            </c:numRef>
          </c:val>
        </c:ser>
        <c:dLbls>
          <c:showLegendKey val="0"/>
          <c:showVal val="0"/>
          <c:showCatName val="0"/>
          <c:showSerName val="0"/>
          <c:showPercent val="0"/>
          <c:showBubbleSize val="0"/>
        </c:dLbls>
        <c:gapWidth val="50"/>
        <c:axId val="356766464"/>
        <c:axId val="356768000"/>
      </c:barChart>
      <c:catAx>
        <c:axId val="356766464"/>
        <c:scaling>
          <c:orientation val="minMax"/>
        </c:scaling>
        <c:delete val="0"/>
        <c:axPos val="b"/>
        <c:majorTickMark val="out"/>
        <c:minorTickMark val="none"/>
        <c:tickLblPos val="nextTo"/>
        <c:txPr>
          <a:bodyPr/>
          <a:lstStyle/>
          <a:p>
            <a:pPr>
              <a:defRPr sz="750"/>
            </a:pPr>
            <a:endParaRPr lang="en-US"/>
          </a:p>
        </c:txPr>
        <c:crossAx val="356768000"/>
        <c:crosses val="autoZero"/>
        <c:auto val="1"/>
        <c:lblAlgn val="ctr"/>
        <c:lblOffset val="100"/>
        <c:noMultiLvlLbl val="0"/>
      </c:catAx>
      <c:valAx>
        <c:axId val="356768000"/>
        <c:scaling>
          <c:orientation val="minMax"/>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6766464"/>
        <c:crosses val="autoZero"/>
        <c:crossBetween val="between"/>
      </c:valAx>
    </c:plotArea>
    <c:legend>
      <c:legendPos val="b"/>
      <c:layout>
        <c:manualLayout>
          <c:xMode val="edge"/>
          <c:yMode val="edge"/>
          <c:x val="0.27674846894138233"/>
          <c:y val="0.88850503062117236"/>
          <c:w val="0.6865470253718285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76727909011375"/>
          <c:y val="5.0925925925925923E-2"/>
          <c:w val="0.70625349956255468"/>
          <c:h val="0.70693387284922715"/>
        </c:manualLayout>
      </c:layout>
      <c:barChart>
        <c:barDir val="bar"/>
        <c:grouping val="percentStacked"/>
        <c:varyColors val="0"/>
        <c:ser>
          <c:idx val="1"/>
          <c:order val="0"/>
          <c:tx>
            <c:strRef>
              <c:f>'Customer density'!$V$9</c:f>
              <c:strCache>
                <c:ptCount val="1"/>
                <c:pt idx="0">
                  <c:v>Overhead</c:v>
                </c:pt>
              </c:strCache>
            </c:strRef>
          </c:tx>
          <c:spPr>
            <a:solidFill>
              <a:schemeClr val="accent5">
                <a:lumMod val="60000"/>
                <a:lumOff val="40000"/>
              </a:schemeClr>
            </a:solidFill>
            <a:ln>
              <a:solidFill>
                <a:sysClr val="windowText" lastClr="000000"/>
              </a:solidFill>
            </a:ln>
          </c:spPr>
          <c:invertIfNegative val="0"/>
          <c:cat>
            <c:strRef>
              <c:f>'Customer density'!$U$10:$U$23</c:f>
              <c:strCache>
                <c:ptCount val="14"/>
                <c:pt idx="0">
                  <c:v>NEM</c:v>
                </c:pt>
                <c:pt idx="1">
                  <c:v>United Energy</c:v>
                </c:pt>
                <c:pt idx="2">
                  <c:v>TasNetworks</c:v>
                </c:pt>
                <c:pt idx="3">
                  <c:v>SA Power Networks</c:v>
                </c:pt>
                <c:pt idx="4">
                  <c:v>Powercor</c:v>
                </c:pt>
                <c:pt idx="5">
                  <c:v>JEN</c:v>
                </c:pt>
                <c:pt idx="6">
                  <c:v>Essential Energy</c:v>
                </c:pt>
                <c:pt idx="7">
                  <c:v>Ergon Energy</c:v>
                </c:pt>
                <c:pt idx="8">
                  <c:v>Energex</c:v>
                </c:pt>
                <c:pt idx="9">
                  <c:v>Endeavour Energy</c:v>
                </c:pt>
                <c:pt idx="10">
                  <c:v>CitiPower</c:v>
                </c:pt>
                <c:pt idx="11">
                  <c:v>AusNet Services</c:v>
                </c:pt>
                <c:pt idx="12">
                  <c:v>Ausgrid</c:v>
                </c:pt>
                <c:pt idx="13">
                  <c:v>ActewAGL</c:v>
                </c:pt>
              </c:strCache>
            </c:strRef>
          </c:cat>
          <c:val>
            <c:numRef>
              <c:f>'Customer density'!$V$10:$V$23</c:f>
              <c:numCache>
                <c:formatCode>0%</c:formatCode>
                <c:ptCount val="14"/>
                <c:pt idx="0">
                  <c:v>0.86690727844585169</c:v>
                </c:pt>
                <c:pt idx="1">
                  <c:v>0.7903495991335987</c:v>
                </c:pt>
                <c:pt idx="2">
                  <c:v>0.89372713882135935</c:v>
                </c:pt>
                <c:pt idx="3">
                  <c:v>0.80963793948426688</c:v>
                </c:pt>
                <c:pt idx="4">
                  <c:v>0.93145123090040471</c:v>
                </c:pt>
                <c:pt idx="5">
                  <c:v>0.72627184128109623</c:v>
                </c:pt>
                <c:pt idx="6">
                  <c:v>0.96019507396380044</c:v>
                </c:pt>
                <c:pt idx="7">
                  <c:v>0.94891427728507038</c:v>
                </c:pt>
                <c:pt idx="8">
                  <c:v>0.67656090071647901</c:v>
                </c:pt>
                <c:pt idx="9">
                  <c:v>0.66836050129892377</c:v>
                </c:pt>
                <c:pt idx="10">
                  <c:v>0.51713756368689212</c:v>
                </c:pt>
                <c:pt idx="11">
                  <c:v>0.87444020889359797</c:v>
                </c:pt>
                <c:pt idx="12">
                  <c:v>0.63646651729468662</c:v>
                </c:pt>
                <c:pt idx="13">
                  <c:v>0.47053968004402341</c:v>
                </c:pt>
              </c:numCache>
            </c:numRef>
          </c:val>
        </c:ser>
        <c:ser>
          <c:idx val="0"/>
          <c:order val="1"/>
          <c:tx>
            <c:strRef>
              <c:f>'Customer density'!$W$9</c:f>
              <c:strCache>
                <c:ptCount val="1"/>
                <c:pt idx="0">
                  <c:v>Underground</c:v>
                </c:pt>
              </c:strCache>
            </c:strRef>
          </c:tx>
          <c:spPr>
            <a:solidFill>
              <a:schemeClr val="bg2">
                <a:lumMod val="50000"/>
              </a:schemeClr>
            </a:solidFill>
            <a:ln>
              <a:solidFill>
                <a:sysClr val="windowText" lastClr="000000"/>
              </a:solidFill>
            </a:ln>
          </c:spPr>
          <c:invertIfNegative val="0"/>
          <c:cat>
            <c:strRef>
              <c:f>'Customer density'!$U$10:$U$23</c:f>
              <c:strCache>
                <c:ptCount val="14"/>
                <c:pt idx="0">
                  <c:v>NEM</c:v>
                </c:pt>
                <c:pt idx="1">
                  <c:v>United Energy</c:v>
                </c:pt>
                <c:pt idx="2">
                  <c:v>TasNetworks</c:v>
                </c:pt>
                <c:pt idx="3">
                  <c:v>SA Power Networks</c:v>
                </c:pt>
                <c:pt idx="4">
                  <c:v>Powercor</c:v>
                </c:pt>
                <c:pt idx="5">
                  <c:v>JEN</c:v>
                </c:pt>
                <c:pt idx="6">
                  <c:v>Essential Energy</c:v>
                </c:pt>
                <c:pt idx="7">
                  <c:v>Ergon Energy</c:v>
                </c:pt>
                <c:pt idx="8">
                  <c:v>Energex</c:v>
                </c:pt>
                <c:pt idx="9">
                  <c:v>Endeavour Energy</c:v>
                </c:pt>
                <c:pt idx="10">
                  <c:v>CitiPower</c:v>
                </c:pt>
                <c:pt idx="11">
                  <c:v>AusNet Services</c:v>
                </c:pt>
                <c:pt idx="12">
                  <c:v>Ausgrid</c:v>
                </c:pt>
                <c:pt idx="13">
                  <c:v>ActewAGL</c:v>
                </c:pt>
              </c:strCache>
            </c:strRef>
          </c:cat>
          <c:val>
            <c:numRef>
              <c:f>'Customer density'!$W$10:$W$23</c:f>
              <c:numCache>
                <c:formatCode>0%</c:formatCode>
                <c:ptCount val="14"/>
                <c:pt idx="0">
                  <c:v>0.13309272155414834</c:v>
                </c:pt>
                <c:pt idx="1">
                  <c:v>0.20965040086640124</c:v>
                </c:pt>
                <c:pt idx="2">
                  <c:v>0.10627286117864067</c:v>
                </c:pt>
                <c:pt idx="3">
                  <c:v>0.19036206051573323</c:v>
                </c:pt>
                <c:pt idx="4">
                  <c:v>6.8548769099595341E-2</c:v>
                </c:pt>
                <c:pt idx="5">
                  <c:v>0.27372815871890377</c:v>
                </c:pt>
                <c:pt idx="6">
                  <c:v>3.9804926036199617E-2</c:v>
                </c:pt>
                <c:pt idx="7">
                  <c:v>5.1085722714929574E-2</c:v>
                </c:pt>
                <c:pt idx="8">
                  <c:v>0.32343909928352099</c:v>
                </c:pt>
                <c:pt idx="9">
                  <c:v>0.33163949870107623</c:v>
                </c:pt>
                <c:pt idx="10">
                  <c:v>0.48286243631310793</c:v>
                </c:pt>
                <c:pt idx="11">
                  <c:v>0.12555979110640206</c:v>
                </c:pt>
                <c:pt idx="12">
                  <c:v>0.36353348270531338</c:v>
                </c:pt>
                <c:pt idx="13">
                  <c:v>0.52946031995597664</c:v>
                </c:pt>
              </c:numCache>
            </c:numRef>
          </c:val>
        </c:ser>
        <c:dLbls>
          <c:showLegendKey val="0"/>
          <c:showVal val="0"/>
          <c:showCatName val="0"/>
          <c:showSerName val="0"/>
          <c:showPercent val="0"/>
          <c:showBubbleSize val="0"/>
        </c:dLbls>
        <c:gapWidth val="50"/>
        <c:overlap val="100"/>
        <c:axId val="667902720"/>
        <c:axId val="667905024"/>
      </c:barChart>
      <c:catAx>
        <c:axId val="667902720"/>
        <c:scaling>
          <c:orientation val="minMax"/>
        </c:scaling>
        <c:delete val="0"/>
        <c:axPos val="l"/>
        <c:majorTickMark val="out"/>
        <c:minorTickMark val="none"/>
        <c:tickLblPos val="nextTo"/>
        <c:txPr>
          <a:bodyPr/>
          <a:lstStyle/>
          <a:p>
            <a:pPr>
              <a:defRPr sz="800"/>
            </a:pPr>
            <a:endParaRPr lang="en-US"/>
          </a:p>
        </c:txPr>
        <c:crossAx val="667905024"/>
        <c:crosses val="autoZero"/>
        <c:auto val="1"/>
        <c:lblAlgn val="ctr"/>
        <c:lblOffset val="100"/>
        <c:noMultiLvlLbl val="0"/>
      </c:catAx>
      <c:valAx>
        <c:axId val="667905024"/>
        <c:scaling>
          <c:orientation val="minMax"/>
        </c:scaling>
        <c:delete val="0"/>
        <c:axPos val="b"/>
        <c:title>
          <c:tx>
            <c:rich>
              <a:bodyPr/>
              <a:lstStyle/>
              <a:p>
                <a:pPr>
                  <a:defRPr/>
                </a:pPr>
                <a:r>
                  <a:rPr lang="en-US"/>
                  <a:t>Proportion of line (circuit</a:t>
                </a:r>
                <a:r>
                  <a:rPr lang="en-US" baseline="0"/>
                  <a:t> )</a:t>
                </a:r>
                <a:endParaRPr lang="en-US"/>
              </a:p>
            </c:rich>
          </c:tx>
          <c:layout/>
          <c:overlay val="0"/>
        </c:title>
        <c:numFmt formatCode="0%" sourceLinked="1"/>
        <c:majorTickMark val="out"/>
        <c:minorTickMark val="none"/>
        <c:tickLblPos val="nextTo"/>
        <c:crossAx val="667902720"/>
        <c:crosses val="autoZero"/>
        <c:crossBetween val="between"/>
      </c:valAx>
    </c:plotArea>
    <c:legend>
      <c:legendPos val="b"/>
      <c:layout>
        <c:manualLayout>
          <c:xMode val="edge"/>
          <c:yMode val="edge"/>
          <c:x val="0.22011964129483816"/>
          <c:y val="0.90349263633712451"/>
          <c:w val="0.71809383202099741"/>
          <c:h val="6.8729585885097699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238B45"/>
            </a:solidFill>
            <a:ln>
              <a:solidFill>
                <a:schemeClr val="tx1"/>
              </a:solidFill>
            </a:ln>
          </c:spPr>
          <c:invertIfNegative val="0"/>
          <c:cat>
            <c:strRef>
              <c:f>'AusNet Services'!$C$106:$C$108</c:f>
              <c:strCache>
                <c:ptCount val="3"/>
                <c:pt idx="0">
                  <c:v>2011</c:v>
                </c:pt>
                <c:pt idx="1">
                  <c:v>2012</c:v>
                </c:pt>
                <c:pt idx="2">
                  <c:v>2013</c:v>
                </c:pt>
              </c:strCache>
            </c:strRef>
          </c:cat>
          <c:val>
            <c:numRef>
              <c:f>'AusNet Services'!$K$106:$K$108</c:f>
              <c:numCache>
                <c:formatCode>"$"#,##0</c:formatCode>
                <c:ptCount val="3"/>
                <c:pt idx="0">
                  <c:v>177526126.9814373</c:v>
                </c:pt>
                <c:pt idx="1">
                  <c:v>211913406.52412415</c:v>
                </c:pt>
                <c:pt idx="2">
                  <c:v>285941203.74857169</c:v>
                </c:pt>
              </c:numCache>
            </c:numRef>
          </c:val>
        </c:ser>
        <c:dLbls>
          <c:showLegendKey val="0"/>
          <c:showVal val="0"/>
          <c:showCatName val="0"/>
          <c:showSerName val="0"/>
          <c:showPercent val="0"/>
          <c:showBubbleSize val="0"/>
        </c:dLbls>
        <c:gapWidth val="50"/>
        <c:axId val="356788480"/>
        <c:axId val="356807040"/>
      </c:barChart>
      <c:catAx>
        <c:axId val="356788480"/>
        <c:scaling>
          <c:orientation val="minMax"/>
        </c:scaling>
        <c:delete val="0"/>
        <c:axPos val="b"/>
        <c:title>
          <c:tx>
            <c:rich>
              <a:bodyPr/>
              <a:lstStyle/>
              <a:p>
                <a:pPr algn="l">
                  <a:defRPr/>
                </a:pPr>
                <a:r>
                  <a:rPr lang="en-AU" b="0"/>
                  <a:t>* For the purposes of this analysis EBIT is the sum of </a:t>
                </a:r>
                <a:r>
                  <a:rPr lang="en-AU" b="0" i="1"/>
                  <a:t>profit before tax </a:t>
                </a:r>
                <a:r>
                  <a:rPr lang="en-AU" b="0" i="0"/>
                  <a:t>and </a:t>
                </a:r>
                <a:r>
                  <a:rPr lang="en-AU" b="0" i="1"/>
                  <a:t>finance charges</a:t>
                </a:r>
                <a:r>
                  <a:rPr lang="en-AU" b="0" i="0"/>
                  <a:t>.</a:t>
                </a:r>
                <a:endParaRPr lang="en-AU"/>
              </a:p>
            </c:rich>
          </c:tx>
          <c:layout>
            <c:manualLayout>
              <c:xMode val="edge"/>
              <c:yMode val="edge"/>
              <c:x val="0.19082174103237096"/>
              <c:y val="0.83525444736074661"/>
            </c:manualLayout>
          </c:layout>
          <c:overlay val="0"/>
        </c:title>
        <c:majorTickMark val="out"/>
        <c:minorTickMark val="none"/>
        <c:tickLblPos val="nextTo"/>
        <c:crossAx val="356807040"/>
        <c:crosses val="autoZero"/>
        <c:auto val="1"/>
        <c:lblAlgn val="ctr"/>
        <c:lblOffset val="100"/>
        <c:noMultiLvlLbl val="0"/>
      </c:catAx>
      <c:valAx>
        <c:axId val="356807040"/>
        <c:scaling>
          <c:orientation val="minMax"/>
          <c:max val="300000000"/>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678848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CitiPower!$C$13</c:f>
              <c:strCache>
                <c:ptCount val="1"/>
                <c:pt idx="0">
                  <c:v>Urban (82.1%)</c:v>
                </c:pt>
              </c:strCache>
            </c:strRef>
          </c:tx>
          <c:spPr>
            <a:solidFill>
              <a:srgbClr val="1F497D">
                <a:lumMod val="60000"/>
                <a:lumOff val="40000"/>
              </a:srgbClr>
            </a:solidFill>
            <a:ln>
              <a:solidFill>
                <a:sysClr val="windowText" lastClr="000000"/>
              </a:solidFill>
            </a:ln>
          </c:spPr>
          <c:invertIfNegative val="0"/>
          <c:val>
            <c:numRef>
              <c:f>CitiPower!$C$14</c:f>
              <c:numCache>
                <c:formatCode>#,##0</c:formatCode>
                <c:ptCount val="1"/>
                <c:pt idx="0">
                  <c:v>262492</c:v>
                </c:pt>
              </c:numCache>
            </c:numRef>
          </c:val>
        </c:ser>
        <c:ser>
          <c:idx val="1"/>
          <c:order val="1"/>
          <c:tx>
            <c:strRef>
              <c:f>CitiPower!$D$13</c:f>
              <c:strCache>
                <c:ptCount val="1"/>
                <c:pt idx="0">
                  <c:v>CBD (17.9%)</c:v>
                </c:pt>
              </c:strCache>
            </c:strRef>
          </c:tx>
          <c:spPr>
            <a:solidFill>
              <a:sysClr val="window" lastClr="FFFFFF">
                <a:lumMod val="75000"/>
              </a:sysClr>
            </a:solidFill>
            <a:ln>
              <a:solidFill>
                <a:sysClr val="windowText" lastClr="000000"/>
              </a:solidFill>
            </a:ln>
          </c:spPr>
          <c:invertIfNegative val="0"/>
          <c:val>
            <c:numRef>
              <c:f>CitiPower!$D$14</c:f>
              <c:numCache>
                <c:formatCode>#,##0</c:formatCode>
                <c:ptCount val="1"/>
                <c:pt idx="0">
                  <c:v>57320</c:v>
                </c:pt>
              </c:numCache>
            </c:numRef>
          </c:val>
        </c:ser>
        <c:dLbls>
          <c:showLegendKey val="0"/>
          <c:showVal val="0"/>
          <c:showCatName val="0"/>
          <c:showSerName val="0"/>
          <c:showPercent val="0"/>
          <c:showBubbleSize val="0"/>
        </c:dLbls>
        <c:gapWidth val="30"/>
        <c:overlap val="100"/>
        <c:axId val="356857728"/>
        <c:axId val="356859264"/>
      </c:barChart>
      <c:catAx>
        <c:axId val="356857728"/>
        <c:scaling>
          <c:orientation val="minMax"/>
        </c:scaling>
        <c:delete val="1"/>
        <c:axPos val="l"/>
        <c:majorTickMark val="out"/>
        <c:minorTickMark val="none"/>
        <c:tickLblPos val="nextTo"/>
        <c:crossAx val="356859264"/>
        <c:crosses val="autoZero"/>
        <c:auto val="1"/>
        <c:lblAlgn val="ctr"/>
        <c:lblOffset val="100"/>
        <c:noMultiLvlLbl val="0"/>
      </c:catAx>
      <c:valAx>
        <c:axId val="356859264"/>
        <c:scaling>
          <c:orientation val="minMax"/>
          <c:max val="319812"/>
          <c:min val="0"/>
        </c:scaling>
        <c:delete val="0"/>
        <c:axPos val="b"/>
        <c:numFmt formatCode="#,##0" sourceLinked="0"/>
        <c:majorTickMark val="out"/>
        <c:minorTickMark val="none"/>
        <c:tickLblPos val="nextTo"/>
        <c:txPr>
          <a:bodyPr/>
          <a:lstStyle/>
          <a:p>
            <a:pPr>
              <a:defRPr sz="800"/>
            </a:pPr>
            <a:endParaRPr lang="en-US"/>
          </a:p>
        </c:txPr>
        <c:crossAx val="356857728"/>
        <c:crosses val="autoZero"/>
        <c:crossBetween val="between"/>
        <c:majorUnit val="100000"/>
      </c:valAx>
    </c:plotArea>
    <c:legend>
      <c:legendPos val="b"/>
      <c:layout/>
      <c:overlay val="0"/>
      <c:txPr>
        <a:bodyPr/>
        <a:lstStyle/>
        <a:p>
          <a:pPr>
            <a:defRPr sz="9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CitiPower!$D$17</c:f>
              <c:strCache>
                <c:ptCount val="1"/>
                <c:pt idx="0">
                  <c:v>Overhead (48.5%)</c:v>
                </c:pt>
              </c:strCache>
            </c:strRef>
          </c:tx>
          <c:spPr>
            <a:solidFill>
              <a:srgbClr val="4BACC6">
                <a:lumMod val="60000"/>
                <a:lumOff val="40000"/>
              </a:srgbClr>
            </a:solidFill>
            <a:ln>
              <a:solidFill>
                <a:schemeClr val="tx1"/>
              </a:solidFill>
            </a:ln>
          </c:spPr>
          <c:invertIfNegative val="0"/>
          <c:dPt>
            <c:idx val="0"/>
            <c:invertIfNegative val="0"/>
            <c:bubble3D val="0"/>
          </c:dPt>
          <c:val>
            <c:numRef>
              <c:f>CitiPower!$D$18</c:f>
              <c:numCache>
                <c:formatCode>#,##0</c:formatCode>
                <c:ptCount val="1"/>
                <c:pt idx="0">
                  <c:v>2095</c:v>
                </c:pt>
              </c:numCache>
            </c:numRef>
          </c:val>
        </c:ser>
        <c:ser>
          <c:idx val="1"/>
          <c:order val="1"/>
          <c:tx>
            <c:strRef>
              <c:f>CitiPower!$C$17</c:f>
              <c:strCache>
                <c:ptCount val="1"/>
                <c:pt idx="0">
                  <c:v>Underground (46.9%)</c:v>
                </c:pt>
              </c:strCache>
            </c:strRef>
          </c:tx>
          <c:spPr>
            <a:solidFill>
              <a:srgbClr val="EEECE1">
                <a:lumMod val="50000"/>
              </a:srgbClr>
            </a:solidFill>
            <a:ln>
              <a:solidFill>
                <a:sysClr val="windowText" lastClr="000000"/>
              </a:solidFill>
            </a:ln>
          </c:spPr>
          <c:invertIfNegative val="0"/>
          <c:dPt>
            <c:idx val="0"/>
            <c:invertIfNegative val="0"/>
            <c:bubble3D val="0"/>
          </c:dPt>
          <c:val>
            <c:numRef>
              <c:f>CitiPower!$C$18</c:f>
              <c:numCache>
                <c:formatCode>#,##0</c:formatCode>
                <c:ptCount val="1"/>
                <c:pt idx="0">
                  <c:v>2027</c:v>
                </c:pt>
              </c:numCache>
            </c:numRef>
          </c:val>
        </c:ser>
        <c:ser>
          <c:idx val="2"/>
          <c:order val="2"/>
          <c:tx>
            <c:strRef>
              <c:f>CitiPower!$E$17</c:f>
              <c:strCache>
                <c:ptCount val="1"/>
                <c:pt idx="0">
                  <c:v>Subtransmission (4.5%)</c:v>
                </c:pt>
              </c:strCache>
            </c:strRef>
          </c:tx>
          <c:spPr>
            <a:solidFill>
              <a:srgbClr val="C0504D">
                <a:lumMod val="60000"/>
                <a:lumOff val="40000"/>
              </a:srgbClr>
            </a:solidFill>
            <a:ln>
              <a:solidFill>
                <a:sysClr val="windowText" lastClr="000000"/>
              </a:solidFill>
            </a:ln>
          </c:spPr>
          <c:invertIfNegative val="0"/>
          <c:val>
            <c:numRef>
              <c:f>CitiPower!$E$18</c:f>
              <c:numCache>
                <c:formatCode>#,##0</c:formatCode>
                <c:ptCount val="1"/>
                <c:pt idx="0">
                  <c:v>196</c:v>
                </c:pt>
              </c:numCache>
            </c:numRef>
          </c:val>
        </c:ser>
        <c:dLbls>
          <c:showLegendKey val="0"/>
          <c:showVal val="0"/>
          <c:showCatName val="0"/>
          <c:showSerName val="0"/>
          <c:showPercent val="0"/>
          <c:showBubbleSize val="0"/>
        </c:dLbls>
        <c:gapWidth val="30"/>
        <c:overlap val="100"/>
        <c:axId val="356922112"/>
        <c:axId val="356923648"/>
      </c:barChart>
      <c:catAx>
        <c:axId val="356922112"/>
        <c:scaling>
          <c:orientation val="minMax"/>
        </c:scaling>
        <c:delete val="1"/>
        <c:axPos val="l"/>
        <c:majorTickMark val="out"/>
        <c:minorTickMark val="none"/>
        <c:tickLblPos val="nextTo"/>
        <c:crossAx val="356923648"/>
        <c:crosses val="autoZero"/>
        <c:auto val="1"/>
        <c:lblAlgn val="ctr"/>
        <c:lblOffset val="100"/>
        <c:noMultiLvlLbl val="0"/>
      </c:catAx>
      <c:valAx>
        <c:axId val="356923648"/>
        <c:scaling>
          <c:orientation val="minMax"/>
          <c:max val="4318"/>
          <c:min val="0"/>
        </c:scaling>
        <c:delete val="0"/>
        <c:axPos val="b"/>
        <c:numFmt formatCode="0,000\ &quot;km&quot;" sourceLinked="0"/>
        <c:majorTickMark val="out"/>
        <c:minorTickMark val="none"/>
        <c:tickLblPos val="nextTo"/>
        <c:txPr>
          <a:bodyPr/>
          <a:lstStyle/>
          <a:p>
            <a:pPr>
              <a:defRPr sz="800"/>
            </a:pPr>
            <a:endParaRPr lang="en-US"/>
          </a:p>
        </c:txPr>
        <c:crossAx val="356922112"/>
        <c:crosses val="autoZero"/>
        <c:crossBetween val="between"/>
        <c:majorUnit val="1000"/>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CitiPower!$B$26</c:f>
              <c:strCache>
                <c:ptCount val="1"/>
                <c:pt idx="0">
                  <c:v>Forecast</c:v>
                </c:pt>
              </c:strCache>
            </c:strRef>
          </c:tx>
          <c:spPr>
            <a:pattFill prst="dkUpDiag">
              <a:fgClr>
                <a:srgbClr val="A1D99B"/>
              </a:fgClr>
              <a:bgClr>
                <a:sysClr val="windowText" lastClr="000000"/>
              </a:bgClr>
            </a:pattFill>
            <a:ln>
              <a:solidFill>
                <a:sysClr val="windowText" lastClr="000000"/>
              </a:solidFill>
            </a:ln>
          </c:spPr>
          <c:invertIfNegative val="0"/>
          <c:cat>
            <c:multiLvlStrRef>
              <c:f>CitiPower!$C$22:$L$23</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CitiPower!$C$26:$L$26</c:f>
              <c:numCache>
                <c:formatCode>#,##0</c:formatCode>
                <c:ptCount val="10"/>
                <c:pt idx="0">
                  <c:v>5702</c:v>
                </c:pt>
                <c:pt idx="1">
                  <c:v>5803</c:v>
                </c:pt>
                <c:pt idx="2">
                  <c:v>5900</c:v>
                </c:pt>
                <c:pt idx="3">
                  <c:v>5960</c:v>
                </c:pt>
                <c:pt idx="4">
                  <c:v>6014</c:v>
                </c:pt>
                <c:pt idx="5">
                  <c:v>6180</c:v>
                </c:pt>
                <c:pt idx="6">
                  <c:v>6227</c:v>
                </c:pt>
                <c:pt idx="7">
                  <c:v>6218</c:v>
                </c:pt>
                <c:pt idx="8">
                  <c:v>6201</c:v>
                </c:pt>
                <c:pt idx="9">
                  <c:v>6237</c:v>
                </c:pt>
              </c:numCache>
            </c:numRef>
          </c:val>
        </c:ser>
        <c:ser>
          <c:idx val="0"/>
          <c:order val="1"/>
          <c:tx>
            <c:strRef>
              <c:f>CitiPower!$B$24</c:f>
              <c:strCache>
                <c:ptCount val="1"/>
                <c:pt idx="0">
                  <c:v>Actual</c:v>
                </c:pt>
              </c:strCache>
            </c:strRef>
          </c:tx>
          <c:spPr>
            <a:solidFill>
              <a:srgbClr val="A1D99B"/>
            </a:solidFill>
            <a:ln>
              <a:solidFill>
                <a:sysClr val="windowText" lastClr="000000"/>
              </a:solidFill>
            </a:ln>
          </c:spPr>
          <c:invertIfNegative val="0"/>
          <c:cat>
            <c:multiLvlStrRef>
              <c:f>CitiPower!$C$22:$L$23</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CitiPower!$C$24:$L$24</c:f>
              <c:numCache>
                <c:formatCode>#,##0</c:formatCode>
                <c:ptCount val="10"/>
                <c:pt idx="0">
                  <c:v>5974.9926469298298</c:v>
                </c:pt>
                <c:pt idx="1">
                  <c:v>6079.29824292583</c:v>
                </c:pt>
                <c:pt idx="2">
                  <c:v>6099.5968409551097</c:v>
                </c:pt>
                <c:pt idx="3">
                  <c:v>6096.4719590412997</c:v>
                </c:pt>
                <c:pt idx="4">
                  <c:v>6210</c:v>
                </c:pt>
                <c:pt idx="5">
                  <c:v>6105</c:v>
                </c:pt>
                <c:pt idx="6">
                  <c:v>6085.1301230161098</c:v>
                </c:pt>
                <c:pt idx="7">
                  <c:v>5981.3549492096299</c:v>
                </c:pt>
              </c:numCache>
            </c:numRef>
          </c:val>
        </c:ser>
        <c:dLbls>
          <c:showLegendKey val="0"/>
          <c:showVal val="0"/>
          <c:showCatName val="0"/>
          <c:showSerName val="0"/>
          <c:showPercent val="0"/>
          <c:showBubbleSize val="0"/>
        </c:dLbls>
        <c:gapWidth val="50"/>
        <c:axId val="356952704"/>
        <c:axId val="357015936"/>
      </c:barChart>
      <c:catAx>
        <c:axId val="356952704"/>
        <c:scaling>
          <c:orientation val="minMax"/>
        </c:scaling>
        <c:delete val="0"/>
        <c:axPos val="b"/>
        <c:majorTickMark val="out"/>
        <c:minorTickMark val="none"/>
        <c:tickLblPos val="nextTo"/>
        <c:txPr>
          <a:bodyPr/>
          <a:lstStyle/>
          <a:p>
            <a:pPr>
              <a:defRPr sz="800"/>
            </a:pPr>
            <a:endParaRPr lang="en-US"/>
          </a:p>
        </c:txPr>
        <c:crossAx val="357015936"/>
        <c:crosses val="autoZero"/>
        <c:auto val="1"/>
        <c:lblAlgn val="ctr"/>
        <c:lblOffset val="100"/>
        <c:noMultiLvlLbl val="0"/>
      </c:catAx>
      <c:valAx>
        <c:axId val="357015936"/>
        <c:scaling>
          <c:orientation val="minMax"/>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56952704"/>
        <c:crosses val="autoZero"/>
        <c:crossBetween val="between"/>
      </c:valAx>
    </c:plotArea>
    <c:legend>
      <c:legendPos val="b"/>
      <c:layout>
        <c:manualLayout>
          <c:xMode val="edge"/>
          <c:yMode val="edge"/>
          <c:x val="0.23091885389326333"/>
          <c:y val="0.89838181685622631"/>
          <c:w val="0.7353845144356956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CitiPower!$B$33</c:f>
              <c:strCache>
                <c:ptCount val="1"/>
                <c:pt idx="0">
                  <c:v>Forecast</c:v>
                </c:pt>
              </c:strCache>
            </c:strRef>
          </c:tx>
          <c:spPr>
            <a:pattFill prst="dkUpDiag">
              <a:fgClr>
                <a:srgbClr val="A1D99B"/>
              </a:fgClr>
              <a:bgClr>
                <a:schemeClr val="tx1"/>
              </a:bgClr>
            </a:pattFill>
            <a:ln>
              <a:solidFill>
                <a:schemeClr val="tx1"/>
              </a:solidFill>
            </a:ln>
          </c:spPr>
          <c:invertIfNegative val="0"/>
          <c:cat>
            <c:multiLvlStrRef>
              <c:f>CitiPower!$C$29:$L$30</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CitiPower!$C$33:$L$33</c:f>
              <c:numCache>
                <c:formatCode>General</c:formatCode>
                <c:ptCount val="10"/>
                <c:pt idx="5" formatCode="#,##0">
                  <c:v>1510</c:v>
                </c:pt>
                <c:pt idx="6" formatCode="#,##0">
                  <c:v>1552</c:v>
                </c:pt>
                <c:pt idx="7" formatCode="#,##0">
                  <c:v>1593</c:v>
                </c:pt>
                <c:pt idx="8" formatCode="#,##0">
                  <c:v>1634</c:v>
                </c:pt>
                <c:pt idx="9" formatCode="#,##0">
                  <c:v>1677</c:v>
                </c:pt>
              </c:numCache>
            </c:numRef>
          </c:val>
        </c:ser>
        <c:ser>
          <c:idx val="1"/>
          <c:order val="1"/>
          <c:tx>
            <c:strRef>
              <c:f>CitiPower!$B$31</c:f>
              <c:strCache>
                <c:ptCount val="1"/>
                <c:pt idx="0">
                  <c:v>Actual</c:v>
                </c:pt>
              </c:strCache>
            </c:strRef>
          </c:tx>
          <c:spPr>
            <a:solidFill>
              <a:srgbClr val="A1D99B"/>
            </a:solidFill>
            <a:ln>
              <a:solidFill>
                <a:sysClr val="windowText" lastClr="000000"/>
              </a:solidFill>
            </a:ln>
          </c:spPr>
          <c:invertIfNegative val="0"/>
          <c:cat>
            <c:multiLvlStrRef>
              <c:f>CitiPower!$C$29:$L$30</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CitiPower!$C$31:$L$31</c:f>
              <c:numCache>
                <c:formatCode>#,##0</c:formatCode>
                <c:ptCount val="10"/>
                <c:pt idx="0">
                  <c:v>1346.6459757013986</c:v>
                </c:pt>
                <c:pt idx="1">
                  <c:v>1393.414044268822</c:v>
                </c:pt>
                <c:pt idx="2">
                  <c:v>1453.8160796881609</c:v>
                </c:pt>
                <c:pt idx="3">
                  <c:v>1416.7422590113065</c:v>
                </c:pt>
                <c:pt idx="4">
                  <c:v>1433.2</c:v>
                </c:pt>
                <c:pt idx="5">
                  <c:v>1421.3544524460685</c:v>
                </c:pt>
                <c:pt idx="6">
                  <c:v>1396.8701228155151</c:v>
                </c:pt>
                <c:pt idx="7">
                  <c:v>1494.8650192755283</c:v>
                </c:pt>
              </c:numCache>
            </c:numRef>
          </c:val>
        </c:ser>
        <c:dLbls>
          <c:showLegendKey val="0"/>
          <c:showVal val="0"/>
          <c:showCatName val="0"/>
          <c:showSerName val="0"/>
          <c:showPercent val="0"/>
          <c:showBubbleSize val="0"/>
        </c:dLbls>
        <c:gapWidth val="50"/>
        <c:axId val="357033088"/>
        <c:axId val="357034624"/>
      </c:barChart>
      <c:catAx>
        <c:axId val="357033088"/>
        <c:scaling>
          <c:orientation val="minMax"/>
        </c:scaling>
        <c:delete val="0"/>
        <c:axPos val="b"/>
        <c:majorTickMark val="out"/>
        <c:minorTickMark val="none"/>
        <c:tickLblPos val="nextTo"/>
        <c:txPr>
          <a:bodyPr/>
          <a:lstStyle/>
          <a:p>
            <a:pPr>
              <a:defRPr sz="800"/>
            </a:pPr>
            <a:endParaRPr lang="en-US"/>
          </a:p>
        </c:txPr>
        <c:crossAx val="357034624"/>
        <c:crosses val="autoZero"/>
        <c:auto val="1"/>
        <c:lblAlgn val="ctr"/>
        <c:lblOffset val="100"/>
        <c:noMultiLvlLbl val="0"/>
      </c:catAx>
      <c:valAx>
        <c:axId val="357034624"/>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General" sourceLinked="1"/>
        <c:majorTickMark val="out"/>
        <c:minorTickMark val="none"/>
        <c:tickLblPos val="nextTo"/>
        <c:crossAx val="357033088"/>
        <c:crosses val="autoZero"/>
        <c:crossBetween val="between"/>
      </c:valAx>
    </c:plotArea>
    <c:legend>
      <c:legendPos val="b"/>
      <c:layout>
        <c:manualLayout>
          <c:xMode val="edge"/>
          <c:yMode val="edge"/>
          <c:x val="0.23055555555555557"/>
          <c:y val="0.89838181685622631"/>
          <c:w val="0.7409400699912511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CitiPower!$T$68</c:f>
              <c:strCache>
                <c:ptCount val="1"/>
                <c:pt idx="0">
                  <c:v>Forecast (inc. amendments)
</c:v>
                </c:pt>
              </c:strCache>
            </c:strRef>
          </c:tx>
          <c:spPr>
            <a:pattFill prst="dkUpDiag">
              <a:fgClr>
                <a:srgbClr val="A1D99B"/>
              </a:fgClr>
              <a:bgClr>
                <a:sysClr val="windowText" lastClr="000000"/>
              </a:bgClr>
            </a:pattFill>
            <a:ln>
              <a:solidFill>
                <a:schemeClr val="tx1"/>
              </a:solidFill>
            </a:ln>
          </c:spPr>
          <c:invertIfNegative val="0"/>
          <c:cat>
            <c:multiLvlStrRef>
              <c:f>CitiPower!$B$69:$C$78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CitiPower!$T$69:$T$78</c:f>
              <c:numCache>
                <c:formatCode>"$"#,##0</c:formatCode>
                <c:ptCount val="10"/>
                <c:pt idx="0">
                  <c:v>120318708.39340302</c:v>
                </c:pt>
                <c:pt idx="1">
                  <c:v>114655170.86442484</c:v>
                </c:pt>
                <c:pt idx="2">
                  <c:v>113019037.80049782</c:v>
                </c:pt>
                <c:pt idx="3">
                  <c:v>124094400.07938847</c:v>
                </c:pt>
                <c:pt idx="4">
                  <c:v>104083234.14366558</c:v>
                </c:pt>
                <c:pt idx="5">
                  <c:v>153217554.09260526</c:v>
                </c:pt>
                <c:pt idx="6">
                  <c:v>154379093.09675321</c:v>
                </c:pt>
                <c:pt idx="7">
                  <c:v>170429450.24497926</c:v>
                </c:pt>
                <c:pt idx="8">
                  <c:v>169162316.78590879</c:v>
                </c:pt>
                <c:pt idx="9">
                  <c:v>171168611.42943707</c:v>
                </c:pt>
              </c:numCache>
            </c:numRef>
          </c:val>
        </c:ser>
        <c:ser>
          <c:idx val="1"/>
          <c:order val="1"/>
          <c:tx>
            <c:strRef>
              <c:f>CitiPower!$AB$68</c:f>
              <c:strCache>
                <c:ptCount val="1"/>
                <c:pt idx="0">
                  <c:v>Actual</c:v>
                </c:pt>
              </c:strCache>
            </c:strRef>
          </c:tx>
          <c:spPr>
            <a:solidFill>
              <a:srgbClr val="A1D99B"/>
            </a:solidFill>
            <a:ln>
              <a:solidFill>
                <a:sysClr val="windowText" lastClr="000000"/>
              </a:solidFill>
            </a:ln>
          </c:spPr>
          <c:invertIfNegative val="0"/>
          <c:cat>
            <c:multiLvlStrRef>
              <c:f>CitiPower!$B$69:$C$78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CitiPower!$AB$69:$AB$78</c:f>
              <c:numCache>
                <c:formatCode>"$"#,##0</c:formatCode>
                <c:ptCount val="10"/>
                <c:pt idx="0">
                  <c:v>121581457.99646501</c:v>
                </c:pt>
                <c:pt idx="1">
                  <c:v>103544517.20533887</c:v>
                </c:pt>
                <c:pt idx="2">
                  <c:v>105133204.12210143</c:v>
                </c:pt>
                <c:pt idx="3">
                  <c:v>124780221.34710045</c:v>
                </c:pt>
                <c:pt idx="4">
                  <c:v>131789328.656497</c:v>
                </c:pt>
                <c:pt idx="5">
                  <c:v>131612004.02234326</c:v>
                </c:pt>
                <c:pt idx="6">
                  <c:v>107976603.49834488</c:v>
                </c:pt>
                <c:pt idx="7">
                  <c:v>128080468.9524013</c:v>
                </c:pt>
                <c:pt idx="8">
                  <c:v>#N/A</c:v>
                </c:pt>
                <c:pt idx="9">
                  <c:v>0</c:v>
                </c:pt>
              </c:numCache>
            </c:numRef>
          </c:val>
        </c:ser>
        <c:dLbls>
          <c:showLegendKey val="0"/>
          <c:showVal val="0"/>
          <c:showCatName val="0"/>
          <c:showSerName val="0"/>
          <c:showPercent val="0"/>
          <c:showBubbleSize val="0"/>
        </c:dLbls>
        <c:gapWidth val="50"/>
        <c:axId val="357170560"/>
        <c:axId val="358356096"/>
      </c:barChart>
      <c:catAx>
        <c:axId val="357170560"/>
        <c:scaling>
          <c:orientation val="minMax"/>
        </c:scaling>
        <c:delete val="0"/>
        <c:axPos val="b"/>
        <c:majorTickMark val="out"/>
        <c:minorTickMark val="none"/>
        <c:tickLblPos val="nextTo"/>
        <c:txPr>
          <a:bodyPr/>
          <a:lstStyle/>
          <a:p>
            <a:pPr>
              <a:defRPr sz="750"/>
            </a:pPr>
            <a:endParaRPr lang="en-US"/>
          </a:p>
        </c:txPr>
        <c:crossAx val="358356096"/>
        <c:crosses val="autoZero"/>
        <c:auto val="1"/>
        <c:lblAlgn val="ctr"/>
        <c:lblOffset val="100"/>
        <c:noMultiLvlLbl val="0"/>
      </c:catAx>
      <c:valAx>
        <c:axId val="358356096"/>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57170560"/>
        <c:crosses val="autoZero"/>
        <c:crossBetween val="between"/>
        <c:majorUnit val="50000000"/>
      </c:valAx>
    </c:plotArea>
    <c:legend>
      <c:legendPos val="b"/>
      <c:layout>
        <c:manualLayout>
          <c:xMode val="edge"/>
          <c:yMode val="edge"/>
          <c:x val="0.27397069116360456"/>
          <c:y val="0.88850503062117236"/>
          <c:w val="0.6976581364829396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A1D99B"/>
            </a:solidFill>
            <a:ln>
              <a:solidFill>
                <a:schemeClr val="tx1"/>
              </a:solidFill>
            </a:ln>
          </c:spPr>
          <c:invertIfNegative val="0"/>
          <c:cat>
            <c:multiLvlStrRef>
              <c:f>CitiPower!$B$82:$C$90</c:f>
              <c:multiLvlStrCache>
                <c:ptCount val="9"/>
                <c:lvl>
                  <c:pt idx="0">
                    <c:v>2011</c:v>
                  </c:pt>
                  <c:pt idx="1">
                    <c:v>2012</c:v>
                  </c:pt>
                  <c:pt idx="2">
                    <c:v>2013</c:v>
                  </c:pt>
                  <c:pt idx="3">
                    <c:v>2011</c:v>
                  </c:pt>
                  <c:pt idx="4">
                    <c:v>2012</c:v>
                  </c:pt>
                  <c:pt idx="5">
                    <c:v>2013</c:v>
                  </c:pt>
                  <c:pt idx="6">
                    <c:v>2011</c:v>
                  </c:pt>
                  <c:pt idx="7">
                    <c:v>2012</c:v>
                  </c:pt>
                  <c:pt idx="8">
                    <c:v>2013</c:v>
                  </c:pt>
                </c:lvl>
                <c:lvl>
                  <c:pt idx="0">
                    <c:v>Demand related</c:v>
                  </c:pt>
                  <c:pt idx="3">
                    <c:v>Non-demand related</c:v>
                  </c:pt>
                  <c:pt idx="6">
                    <c:v>Non-system</c:v>
                  </c:pt>
                </c:lvl>
              </c:multiLvlStrCache>
            </c:multiLvlStrRef>
          </c:cat>
          <c:val>
            <c:numRef>
              <c:f>CitiPower!$H$82:$H$90</c:f>
              <c:numCache>
                <c:formatCode>"$"#,##0</c:formatCode>
                <c:ptCount val="9"/>
                <c:pt idx="0">
                  <c:v>96449773.078897536</c:v>
                </c:pt>
                <c:pt idx="1">
                  <c:v>72547039.85415718</c:v>
                </c:pt>
                <c:pt idx="2">
                  <c:v>78194139.394903556</c:v>
                </c:pt>
                <c:pt idx="3">
                  <c:v>29120544.668696485</c:v>
                </c:pt>
                <c:pt idx="4">
                  <c:v>26205353.557188872</c:v>
                </c:pt>
                <c:pt idx="5">
                  <c:v>40493240.217861988</c:v>
                </c:pt>
                <c:pt idx="6">
                  <c:v>6041686.2747492548</c:v>
                </c:pt>
                <c:pt idx="7">
                  <c:v>9224210.0869985707</c:v>
                </c:pt>
                <c:pt idx="8">
                  <c:v>9393089.3396355137</c:v>
                </c:pt>
              </c:numCache>
            </c:numRef>
          </c:val>
        </c:ser>
        <c:dLbls>
          <c:showLegendKey val="0"/>
          <c:showVal val="0"/>
          <c:showCatName val="0"/>
          <c:showSerName val="0"/>
          <c:showPercent val="0"/>
          <c:showBubbleSize val="0"/>
        </c:dLbls>
        <c:gapWidth val="50"/>
        <c:axId val="358368384"/>
        <c:axId val="358369920"/>
      </c:barChart>
      <c:catAx>
        <c:axId val="358368384"/>
        <c:scaling>
          <c:orientation val="minMax"/>
        </c:scaling>
        <c:delete val="0"/>
        <c:axPos val="b"/>
        <c:majorTickMark val="out"/>
        <c:minorTickMark val="none"/>
        <c:tickLblPos val="nextTo"/>
        <c:txPr>
          <a:bodyPr/>
          <a:lstStyle/>
          <a:p>
            <a:pPr>
              <a:defRPr sz="800"/>
            </a:pPr>
            <a:endParaRPr lang="en-US"/>
          </a:p>
        </c:txPr>
        <c:crossAx val="358369920"/>
        <c:crosses val="autoZero"/>
        <c:auto val="1"/>
        <c:lblAlgn val="ctr"/>
        <c:lblOffset val="100"/>
        <c:noMultiLvlLbl val="0"/>
      </c:catAx>
      <c:valAx>
        <c:axId val="358369920"/>
        <c:scaling>
          <c:orientation val="minMax"/>
          <c:max val="100000000"/>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8368384"/>
        <c:crosses val="autoZero"/>
        <c:crossBetween val="between"/>
        <c:majorUnit val="20000000"/>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CitiPower!$K$93</c:f>
              <c:strCache>
                <c:ptCount val="1"/>
                <c:pt idx="0">
                  <c:v>Forecast (inc. amendments)
</c:v>
                </c:pt>
              </c:strCache>
            </c:strRef>
          </c:tx>
          <c:spPr>
            <a:pattFill prst="dkUpDiag">
              <a:fgClr>
                <a:srgbClr val="A1D99B"/>
              </a:fgClr>
              <a:bgClr>
                <a:sysClr val="windowText" lastClr="000000"/>
              </a:bgClr>
            </a:pattFill>
            <a:ln>
              <a:solidFill>
                <a:schemeClr val="tx1"/>
              </a:solidFill>
            </a:ln>
          </c:spPr>
          <c:invertIfNegative val="0"/>
          <c:cat>
            <c:multiLvlStrRef>
              <c:f>CitiPower!$B$94:$C$101</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CitiPower!$K$94:$K$101</c:f>
              <c:numCache>
                <c:formatCode>"$"#,##0</c:formatCode>
                <c:ptCount val="8"/>
                <c:pt idx="0">
                  <c:v>1286378157.4152429</c:v>
                </c:pt>
                <c:pt idx="1">
                  <c:v>1320862808.1472435</c:v>
                </c:pt>
                <c:pt idx="2">
                  <c:v>1353585469.4257839</c:v>
                </c:pt>
                <c:pt idx="3">
                  <c:v>1402921174.1226604</c:v>
                </c:pt>
                <c:pt idx="4">
                  <c:v>1430861292.5989528</c:v>
                </c:pt>
                <c:pt idx="5">
                  <c:v>1437440480.9619238</c:v>
                </c:pt>
                <c:pt idx="6">
                  <c:v>1529700000</c:v>
                </c:pt>
                <c:pt idx="7">
                  <c:v>1632030192.3076925</c:v>
                </c:pt>
              </c:numCache>
            </c:numRef>
          </c:val>
        </c:ser>
        <c:ser>
          <c:idx val="1"/>
          <c:order val="1"/>
          <c:tx>
            <c:strRef>
              <c:f>CitiPower!$Q$93</c:f>
              <c:strCache>
                <c:ptCount val="1"/>
                <c:pt idx="0">
                  <c:v>Actual</c:v>
                </c:pt>
              </c:strCache>
            </c:strRef>
          </c:tx>
          <c:spPr>
            <a:solidFill>
              <a:srgbClr val="A1D99B"/>
            </a:solidFill>
            <a:ln>
              <a:solidFill>
                <a:sysClr val="windowText" lastClr="000000"/>
              </a:solidFill>
            </a:ln>
          </c:spPr>
          <c:invertIfNegative val="0"/>
          <c:cat>
            <c:multiLvlStrRef>
              <c:f>CitiPower!$B$94:$C$101</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CitiPower!$Q$94:$Q$101</c:f>
              <c:numCache>
                <c:formatCode>"$"#,##0</c:formatCode>
                <c:ptCount val="8"/>
                <c:pt idx="0">
                  <c:v>1260903386.2300482</c:v>
                </c:pt>
                <c:pt idx="1">
                  <c:v>1264599192.1523371</c:v>
                </c:pt>
                <c:pt idx="2">
                  <c:v>1273997098.6404431</c:v>
                </c:pt>
                <c:pt idx="3">
                  <c:v>1302085223.6498387</c:v>
                </c:pt>
                <c:pt idx="4">
                  <c:v>1359317418.2178552</c:v>
                </c:pt>
                <c:pt idx="5">
                  <c:v>1443607780.3689053</c:v>
                </c:pt>
                <c:pt idx="6">
                  <c:v>1509564742.5707402</c:v>
                </c:pt>
                <c:pt idx="7">
                  <c:v>1567069544.3047273</c:v>
                </c:pt>
              </c:numCache>
            </c:numRef>
          </c:val>
        </c:ser>
        <c:dLbls>
          <c:showLegendKey val="0"/>
          <c:showVal val="0"/>
          <c:showCatName val="0"/>
          <c:showSerName val="0"/>
          <c:showPercent val="0"/>
          <c:showBubbleSize val="0"/>
        </c:dLbls>
        <c:gapWidth val="50"/>
        <c:axId val="358403072"/>
        <c:axId val="358413056"/>
      </c:barChart>
      <c:catAx>
        <c:axId val="358403072"/>
        <c:scaling>
          <c:orientation val="minMax"/>
        </c:scaling>
        <c:delete val="0"/>
        <c:axPos val="b"/>
        <c:majorTickMark val="out"/>
        <c:minorTickMark val="none"/>
        <c:tickLblPos val="nextTo"/>
        <c:txPr>
          <a:bodyPr/>
          <a:lstStyle/>
          <a:p>
            <a:pPr>
              <a:defRPr sz="800"/>
            </a:pPr>
            <a:endParaRPr lang="en-US"/>
          </a:p>
        </c:txPr>
        <c:crossAx val="358413056"/>
        <c:crosses val="autoZero"/>
        <c:auto val="1"/>
        <c:lblAlgn val="ctr"/>
        <c:lblOffset val="100"/>
        <c:noMultiLvlLbl val="0"/>
      </c:catAx>
      <c:valAx>
        <c:axId val="358413056"/>
        <c:scaling>
          <c:orientation val="minMax"/>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8403072"/>
        <c:crosses val="autoZero"/>
        <c:crossBetween val="between"/>
      </c:valAx>
    </c:plotArea>
    <c:legend>
      <c:legendPos val="b"/>
      <c:layout>
        <c:manualLayout>
          <c:xMode val="edge"/>
          <c:yMode val="edge"/>
          <c:x val="0.26592246391736246"/>
          <c:y val="0.88850503062117236"/>
          <c:w val="0.70062221095602484"/>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CitiPower!$T$55</c:f>
              <c:strCache>
                <c:ptCount val="1"/>
                <c:pt idx="0">
                  <c:v>Forecast (inc. amendments)
</c:v>
                </c:pt>
              </c:strCache>
            </c:strRef>
          </c:tx>
          <c:spPr>
            <a:pattFill prst="dkUpDiag">
              <a:fgClr>
                <a:srgbClr val="A1D99B"/>
              </a:fgClr>
              <a:bgClr>
                <a:sysClr val="windowText" lastClr="000000"/>
              </a:bgClr>
            </a:pattFill>
            <a:ln>
              <a:solidFill>
                <a:schemeClr val="tx1"/>
              </a:solidFill>
            </a:ln>
          </c:spPr>
          <c:invertIfNegative val="0"/>
          <c:cat>
            <c:multiLvlStrRef>
              <c:f>CitiPower!$B$56:$C$65</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CitiPower!$T$56:$T$65</c:f>
              <c:numCache>
                <c:formatCode>"$"#,##0</c:formatCode>
                <c:ptCount val="10"/>
                <c:pt idx="0">
                  <c:v>42791172.441168435</c:v>
                </c:pt>
                <c:pt idx="1">
                  <c:v>44196988.312250353</c:v>
                </c:pt>
                <c:pt idx="2">
                  <c:v>44427305.505095467</c:v>
                </c:pt>
                <c:pt idx="3">
                  <c:v>45308300.231825404</c:v>
                </c:pt>
                <c:pt idx="4">
                  <c:v>46189294.958555341</c:v>
                </c:pt>
                <c:pt idx="5">
                  <c:v>46223954.626323856</c:v>
                </c:pt>
                <c:pt idx="6">
                  <c:v>50184592.961256348</c:v>
                </c:pt>
                <c:pt idx="7">
                  <c:v>52743483.681616798</c:v>
                </c:pt>
                <c:pt idx="8">
                  <c:v>50372512.484606951</c:v>
                </c:pt>
                <c:pt idx="9">
                  <c:v>51249653.560721323</c:v>
                </c:pt>
              </c:numCache>
            </c:numRef>
          </c:val>
        </c:ser>
        <c:ser>
          <c:idx val="1"/>
          <c:order val="1"/>
          <c:tx>
            <c:strRef>
              <c:f>CitiPower!$Z$55</c:f>
              <c:strCache>
                <c:ptCount val="1"/>
                <c:pt idx="0">
                  <c:v>Actual</c:v>
                </c:pt>
              </c:strCache>
            </c:strRef>
          </c:tx>
          <c:spPr>
            <a:solidFill>
              <a:srgbClr val="A1D99B"/>
            </a:solidFill>
            <a:ln>
              <a:solidFill>
                <a:sysClr val="windowText" lastClr="000000"/>
              </a:solidFill>
            </a:ln>
          </c:spPr>
          <c:invertIfNegative val="0"/>
          <c:cat>
            <c:multiLvlStrRef>
              <c:f>CitiPower!$B$56:$C$65</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CitiPower!$Z$56:$Z$65</c:f>
              <c:numCache>
                <c:formatCode>"$"#,##0</c:formatCode>
                <c:ptCount val="10"/>
                <c:pt idx="0">
                  <c:v>32096134.726933595</c:v>
                </c:pt>
                <c:pt idx="1">
                  <c:v>37524124.75386294</c:v>
                </c:pt>
                <c:pt idx="2">
                  <c:v>35737884.700346231</c:v>
                </c:pt>
                <c:pt idx="3">
                  <c:v>39462433.294203393</c:v>
                </c:pt>
                <c:pt idx="4">
                  <c:v>44164942.888435923</c:v>
                </c:pt>
                <c:pt idx="5">
                  <c:v>39909645.197530635</c:v>
                </c:pt>
                <c:pt idx="6">
                  <c:v>53138900.762101434</c:v>
                </c:pt>
                <c:pt idx="7">
                  <c:v>53957669.426603116</c:v>
                </c:pt>
                <c:pt idx="8">
                  <c:v>#N/A</c:v>
                </c:pt>
                <c:pt idx="9">
                  <c:v>#N/A</c:v>
                </c:pt>
              </c:numCache>
            </c:numRef>
          </c:val>
        </c:ser>
        <c:dLbls>
          <c:showLegendKey val="0"/>
          <c:showVal val="0"/>
          <c:showCatName val="0"/>
          <c:showSerName val="0"/>
          <c:showPercent val="0"/>
          <c:showBubbleSize val="0"/>
        </c:dLbls>
        <c:gapWidth val="50"/>
        <c:axId val="358459264"/>
        <c:axId val="358460800"/>
      </c:barChart>
      <c:catAx>
        <c:axId val="358459264"/>
        <c:scaling>
          <c:orientation val="minMax"/>
        </c:scaling>
        <c:delete val="0"/>
        <c:axPos val="b"/>
        <c:majorTickMark val="out"/>
        <c:minorTickMark val="none"/>
        <c:tickLblPos val="nextTo"/>
        <c:txPr>
          <a:bodyPr/>
          <a:lstStyle/>
          <a:p>
            <a:pPr>
              <a:defRPr sz="750"/>
            </a:pPr>
            <a:endParaRPr lang="en-US"/>
          </a:p>
        </c:txPr>
        <c:crossAx val="358460800"/>
        <c:crosses val="autoZero"/>
        <c:auto val="1"/>
        <c:lblAlgn val="ctr"/>
        <c:lblOffset val="100"/>
        <c:noMultiLvlLbl val="0"/>
      </c:catAx>
      <c:valAx>
        <c:axId val="358460800"/>
        <c:scaling>
          <c:orientation val="minMax"/>
          <c:min val="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8459264"/>
        <c:crosses val="autoZero"/>
        <c:crossBetween val="between"/>
      </c:valAx>
    </c:plotArea>
    <c:legend>
      <c:legendPos val="b"/>
      <c:layout>
        <c:manualLayout>
          <c:xMode val="edge"/>
          <c:yMode val="edge"/>
          <c:x val="0.24897069116360454"/>
          <c:y val="0.88850503062117236"/>
          <c:w val="0.71988035870516187"/>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CitiPower!$T$41</c:f>
              <c:strCache>
                <c:ptCount val="1"/>
                <c:pt idx="0">
                  <c:v>Forecast (inc. amendments)
</c:v>
                </c:pt>
              </c:strCache>
            </c:strRef>
          </c:tx>
          <c:spPr>
            <a:pattFill prst="dkUpDiag">
              <a:fgClr>
                <a:srgbClr val="A1D99B"/>
              </a:fgClr>
              <a:bgClr>
                <a:sysClr val="windowText" lastClr="000000"/>
              </a:bgClr>
            </a:pattFill>
            <a:ln>
              <a:solidFill>
                <a:schemeClr val="tx1"/>
              </a:solidFill>
            </a:ln>
          </c:spPr>
          <c:invertIfNegative val="0"/>
          <c:cat>
            <c:multiLvlStrRef>
              <c:f>CitiPower!$B$42:$C$51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CitiPower!$T$42:$T$51</c:f>
              <c:numCache>
                <c:formatCode>"$"#,##0</c:formatCode>
                <c:ptCount val="10"/>
                <c:pt idx="0">
                  <c:v>229939623.67651394</c:v>
                </c:pt>
                <c:pt idx="1">
                  <c:v>215591995.26976922</c:v>
                </c:pt>
                <c:pt idx="2">
                  <c:v>201496079.6420902</c:v>
                </c:pt>
                <c:pt idx="3">
                  <c:v>202754643.53741869</c:v>
                </c:pt>
                <c:pt idx="4">
                  <c:v>213200723.8686451</c:v>
                </c:pt>
                <c:pt idx="5">
                  <c:v>211868371.0934844</c:v>
                </c:pt>
                <c:pt idx="6">
                  <c:v>221815900.88875306</c:v>
                </c:pt>
                <c:pt idx="7">
                  <c:v>236416060.4355959</c:v>
                </c:pt>
                <c:pt idx="8">
                  <c:v>254152222.08142596</c:v>
                </c:pt>
                <c:pt idx="9">
                  <c:v>275687791.5680182</c:v>
                </c:pt>
              </c:numCache>
            </c:numRef>
          </c:val>
        </c:ser>
        <c:ser>
          <c:idx val="1"/>
          <c:order val="1"/>
          <c:tx>
            <c:strRef>
              <c:f>CitiPower!$Z$41</c:f>
              <c:strCache>
                <c:ptCount val="1"/>
                <c:pt idx="0">
                  <c:v>Actual</c:v>
                </c:pt>
              </c:strCache>
            </c:strRef>
          </c:tx>
          <c:spPr>
            <a:solidFill>
              <a:srgbClr val="A1D99B"/>
            </a:solidFill>
            <a:ln>
              <a:solidFill>
                <a:sysClr val="windowText" lastClr="000000"/>
              </a:solidFill>
            </a:ln>
          </c:spPr>
          <c:invertIfNegative val="0"/>
          <c:cat>
            <c:multiLvlStrRef>
              <c:f>CitiPower!$B$42:$C$51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CitiPower!$Z$42:$Z$51</c:f>
              <c:numCache>
                <c:formatCode>"$"#,##0</c:formatCode>
                <c:ptCount val="10"/>
                <c:pt idx="0">
                  <c:v>239733107.43290049</c:v>
                </c:pt>
                <c:pt idx="1">
                  <c:v>240536807.0430367</c:v>
                </c:pt>
                <c:pt idx="2">
                  <c:v>229564561.7708374</c:v>
                </c:pt>
                <c:pt idx="3">
                  <c:v>229022576.44062942</c:v>
                </c:pt>
                <c:pt idx="4">
                  <c:v>231587068.90132165</c:v>
                </c:pt>
                <c:pt idx="5">
                  <c:v>208762334.81408912</c:v>
                </c:pt>
                <c:pt idx="6">
                  <c:v>219301092.78352848</c:v>
                </c:pt>
                <c:pt idx="7">
                  <c:v>232174985.76609614</c:v>
                </c:pt>
                <c:pt idx="8">
                  <c:v>#N/A</c:v>
                </c:pt>
                <c:pt idx="9">
                  <c:v>#N/A</c:v>
                </c:pt>
              </c:numCache>
            </c:numRef>
          </c:val>
        </c:ser>
        <c:dLbls>
          <c:showLegendKey val="0"/>
          <c:showVal val="0"/>
          <c:showCatName val="0"/>
          <c:showSerName val="0"/>
          <c:showPercent val="0"/>
          <c:showBubbleSize val="0"/>
        </c:dLbls>
        <c:gapWidth val="50"/>
        <c:axId val="358478208"/>
        <c:axId val="358479744"/>
      </c:barChart>
      <c:catAx>
        <c:axId val="358478208"/>
        <c:scaling>
          <c:orientation val="minMax"/>
        </c:scaling>
        <c:delete val="0"/>
        <c:axPos val="b"/>
        <c:majorTickMark val="out"/>
        <c:minorTickMark val="none"/>
        <c:tickLblPos val="nextTo"/>
        <c:txPr>
          <a:bodyPr/>
          <a:lstStyle/>
          <a:p>
            <a:pPr>
              <a:defRPr sz="750"/>
            </a:pPr>
            <a:endParaRPr lang="en-US"/>
          </a:p>
        </c:txPr>
        <c:crossAx val="358479744"/>
        <c:crosses val="autoZero"/>
        <c:auto val="1"/>
        <c:lblAlgn val="ctr"/>
        <c:lblOffset val="100"/>
        <c:noMultiLvlLbl val="0"/>
      </c:catAx>
      <c:valAx>
        <c:axId val="358479744"/>
        <c:scaling>
          <c:orientation val="minMax"/>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8478208"/>
        <c:crosses val="autoZero"/>
        <c:crossBetween val="between"/>
      </c:valAx>
    </c:plotArea>
    <c:legend>
      <c:legendPos val="b"/>
      <c:layout>
        <c:manualLayout>
          <c:xMode val="edge"/>
          <c:yMode val="edge"/>
          <c:x val="0.2656373578302712"/>
          <c:y val="0.88850503062117236"/>
          <c:w val="0.7004359142607173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597112860892387E-2"/>
          <c:y val="7.2072053480868661E-2"/>
          <c:w val="0.8861321084864392"/>
          <c:h val="0.82830445464103775"/>
        </c:manualLayout>
      </c:layout>
      <c:scatterChart>
        <c:scatterStyle val="lineMarker"/>
        <c:varyColors val="0"/>
        <c:ser>
          <c:idx val="0"/>
          <c:order val="0"/>
          <c:spPr>
            <a:ln w="28575">
              <a:noFill/>
            </a:ln>
          </c:spPr>
          <c:marker>
            <c:symbol val="triangle"/>
            <c:size val="8"/>
            <c:spPr>
              <a:ln>
                <a:solidFill>
                  <a:sysClr val="windowText" lastClr="000000"/>
                </a:solidFill>
              </a:ln>
            </c:spPr>
          </c:marker>
          <c:dPt>
            <c:idx val="0"/>
            <c:marker>
              <c:spPr>
                <a:solidFill>
                  <a:srgbClr val="FCC0C0"/>
                </a:solidFill>
                <a:ln>
                  <a:solidFill>
                    <a:sysClr val="windowText" lastClr="000000"/>
                  </a:solidFill>
                </a:ln>
              </c:spPr>
            </c:marker>
            <c:bubble3D val="0"/>
          </c:dPt>
          <c:dPt>
            <c:idx val="1"/>
            <c:marker>
              <c:spPr>
                <a:solidFill>
                  <a:srgbClr val="9ECAE1"/>
                </a:solidFill>
                <a:ln>
                  <a:solidFill>
                    <a:sysClr val="windowText" lastClr="000000"/>
                  </a:solidFill>
                </a:ln>
              </c:spPr>
            </c:marker>
            <c:bubble3D val="0"/>
          </c:dPt>
          <c:dPt>
            <c:idx val="2"/>
            <c:marker>
              <c:spPr>
                <a:solidFill>
                  <a:srgbClr val="DEEBF7"/>
                </a:solidFill>
                <a:ln>
                  <a:solidFill>
                    <a:sysClr val="windowText" lastClr="000000"/>
                  </a:solidFill>
                </a:ln>
              </c:spPr>
            </c:marker>
            <c:bubble3D val="0"/>
          </c:dPt>
          <c:dPt>
            <c:idx val="3"/>
            <c:marker>
              <c:spPr>
                <a:solidFill>
                  <a:srgbClr val="C6DBEF"/>
                </a:solidFill>
                <a:ln>
                  <a:solidFill>
                    <a:sysClr val="windowText" lastClr="000000"/>
                  </a:solidFill>
                </a:ln>
              </c:spPr>
            </c:marker>
            <c:bubble3D val="0"/>
          </c:dPt>
          <c:dPt>
            <c:idx val="4"/>
            <c:marker>
              <c:spPr>
                <a:solidFill>
                  <a:srgbClr val="BD0026"/>
                </a:solidFill>
                <a:ln>
                  <a:solidFill>
                    <a:sysClr val="windowText" lastClr="000000"/>
                  </a:solidFill>
                </a:ln>
              </c:spPr>
            </c:marker>
            <c:bubble3D val="0"/>
          </c:dPt>
          <c:dPt>
            <c:idx val="5"/>
            <c:marker>
              <c:spPr>
                <a:solidFill>
                  <a:srgbClr val="800026"/>
                </a:solidFill>
                <a:ln>
                  <a:solidFill>
                    <a:sysClr val="windowText" lastClr="000000"/>
                  </a:solidFill>
                </a:ln>
              </c:spPr>
            </c:marker>
            <c:bubble3D val="0"/>
          </c:dPt>
          <c:dPt>
            <c:idx val="6"/>
            <c:marker>
              <c:spPr>
                <a:solidFill>
                  <a:srgbClr val="FD8D3C"/>
                </a:solidFill>
                <a:ln>
                  <a:solidFill>
                    <a:sysClr val="windowText" lastClr="000000"/>
                  </a:solidFill>
                </a:ln>
              </c:spPr>
            </c:marker>
            <c:bubble3D val="0"/>
          </c:dPt>
          <c:dPt>
            <c:idx val="7"/>
            <c:marker>
              <c:spPr>
                <a:solidFill>
                  <a:srgbClr val="E7E1EF"/>
                </a:solidFill>
                <a:ln>
                  <a:solidFill>
                    <a:sysClr val="windowText" lastClr="000000"/>
                  </a:solidFill>
                </a:ln>
              </c:spPr>
            </c:marker>
            <c:bubble3D val="0"/>
          </c:dPt>
          <c:dPt>
            <c:idx val="8"/>
            <c:marker>
              <c:spPr>
                <a:solidFill>
                  <a:srgbClr val="A1D99B"/>
                </a:solidFill>
                <a:ln>
                  <a:solidFill>
                    <a:sysClr val="windowText" lastClr="000000"/>
                  </a:solidFill>
                </a:ln>
              </c:spPr>
            </c:marker>
            <c:bubble3D val="0"/>
          </c:dPt>
          <c:dPt>
            <c:idx val="9"/>
            <c:marker>
              <c:spPr>
                <a:solidFill>
                  <a:srgbClr val="41AB5D"/>
                </a:solidFill>
                <a:ln>
                  <a:solidFill>
                    <a:sysClr val="windowText" lastClr="000000"/>
                  </a:solidFill>
                </a:ln>
              </c:spPr>
            </c:marker>
            <c:bubble3D val="0"/>
          </c:dPt>
          <c:dPt>
            <c:idx val="10"/>
            <c:marker>
              <c:spPr>
                <a:solidFill>
                  <a:srgbClr val="74C476"/>
                </a:solidFill>
                <a:ln>
                  <a:solidFill>
                    <a:sysClr val="windowText" lastClr="000000"/>
                  </a:solidFill>
                </a:ln>
              </c:spPr>
            </c:marker>
            <c:bubble3D val="0"/>
          </c:dPt>
          <c:dPt>
            <c:idx val="11"/>
            <c:marker>
              <c:spPr>
                <a:solidFill>
                  <a:srgbClr val="238B45"/>
                </a:solidFill>
                <a:ln>
                  <a:solidFill>
                    <a:sysClr val="windowText" lastClr="000000"/>
                  </a:solidFill>
                </a:ln>
              </c:spPr>
            </c:marker>
            <c:bubble3D val="0"/>
          </c:dPt>
          <c:dPt>
            <c:idx val="12"/>
            <c:marker>
              <c:spPr>
                <a:solidFill>
                  <a:srgbClr val="006D2C"/>
                </a:solidFill>
                <a:ln>
                  <a:solidFill>
                    <a:sysClr val="windowText" lastClr="000000"/>
                  </a:solidFill>
                </a:ln>
              </c:spPr>
            </c:marker>
            <c:bubble3D val="0"/>
          </c:dPt>
          <c:dLbls>
            <c:dLbl>
              <c:idx val="0"/>
              <c:layout/>
              <c:tx>
                <c:rich>
                  <a:bodyPr/>
                  <a:lstStyle/>
                  <a:p>
                    <a:r>
                      <a:rPr lang="en-US"/>
                      <a:t>ActewAGL</a:t>
                    </a:r>
                  </a:p>
                </c:rich>
              </c:tx>
              <c:dLblPos val="t"/>
              <c:showLegendKey val="0"/>
              <c:showVal val="0"/>
              <c:showCatName val="1"/>
              <c:showSerName val="0"/>
              <c:showPercent val="0"/>
              <c:showBubbleSize val="0"/>
            </c:dLbl>
            <c:dLbl>
              <c:idx val="1"/>
              <c:layout/>
              <c:tx>
                <c:rich>
                  <a:bodyPr/>
                  <a:lstStyle/>
                  <a:p>
                    <a:r>
                      <a:rPr lang="en-US"/>
                      <a:t>Ausgrid</a:t>
                    </a:r>
                  </a:p>
                </c:rich>
              </c:tx>
              <c:dLblPos val="t"/>
              <c:showLegendKey val="0"/>
              <c:showVal val="0"/>
              <c:showCatName val="1"/>
              <c:showSerName val="0"/>
              <c:showPercent val="0"/>
              <c:showBubbleSize val="0"/>
            </c:dLbl>
            <c:dLbl>
              <c:idx val="2"/>
              <c:layout>
                <c:manualLayout>
                  <c:x val="-2.8048775153105863E-2"/>
                  <c:y val="-0.2494508181751583"/>
                </c:manualLayout>
              </c:layout>
              <c:tx>
                <c:rich>
                  <a:bodyPr/>
                  <a:lstStyle/>
                  <a:p>
                    <a:r>
                      <a:rPr lang="en-US"/>
                      <a:t>Endeavour</a:t>
                    </a:r>
                    <a:r>
                      <a:rPr lang="en-US" baseline="0"/>
                      <a:t> Energy</a:t>
                    </a:r>
                    <a:endParaRPr lang="en-US"/>
                  </a:p>
                </c:rich>
              </c:tx>
              <c:dLblPos val="r"/>
              <c:showLegendKey val="0"/>
              <c:showVal val="0"/>
              <c:showCatName val="1"/>
              <c:showSerName val="0"/>
              <c:showPercent val="0"/>
              <c:showBubbleSize val="0"/>
            </c:dLbl>
            <c:dLbl>
              <c:idx val="3"/>
              <c:layout/>
              <c:tx>
                <c:rich>
                  <a:bodyPr/>
                  <a:lstStyle/>
                  <a:p>
                    <a:r>
                      <a:rPr lang="en-US"/>
                      <a:t>Essential Energy</a:t>
                    </a:r>
                  </a:p>
                </c:rich>
              </c:tx>
              <c:dLblPos val="b"/>
              <c:showLegendKey val="0"/>
              <c:showVal val="0"/>
              <c:showCatName val="1"/>
              <c:showSerName val="0"/>
              <c:showPercent val="0"/>
              <c:showBubbleSize val="0"/>
            </c:dLbl>
            <c:dLbl>
              <c:idx val="4"/>
              <c:layout>
                <c:manualLayout>
                  <c:x val="-4.1937664041994747E-2"/>
                  <c:y val="-0.16314492106123907"/>
                </c:manualLayout>
              </c:layout>
              <c:tx>
                <c:rich>
                  <a:bodyPr/>
                  <a:lstStyle/>
                  <a:p>
                    <a:r>
                      <a:rPr lang="en-US"/>
                      <a:t>Energex</a:t>
                    </a:r>
                  </a:p>
                </c:rich>
              </c:tx>
              <c:dLblPos val="r"/>
              <c:showLegendKey val="0"/>
              <c:showVal val="0"/>
              <c:showCatName val="1"/>
              <c:showSerName val="0"/>
              <c:showPercent val="0"/>
              <c:showBubbleSize val="0"/>
            </c:dLbl>
            <c:dLbl>
              <c:idx val="5"/>
              <c:layout/>
              <c:tx>
                <c:rich>
                  <a:bodyPr/>
                  <a:lstStyle/>
                  <a:p>
                    <a:r>
                      <a:rPr lang="en-US"/>
                      <a:t>Ergon Energy</a:t>
                    </a:r>
                  </a:p>
                </c:rich>
              </c:tx>
              <c:dLblPos val="t"/>
              <c:showLegendKey val="0"/>
              <c:showVal val="0"/>
              <c:showCatName val="1"/>
              <c:showSerName val="0"/>
              <c:showPercent val="0"/>
              <c:showBubbleSize val="0"/>
            </c:dLbl>
            <c:dLbl>
              <c:idx val="6"/>
              <c:layout>
                <c:manualLayout>
                  <c:x val="-5.470844269466317E-2"/>
                  <c:y val="0.20170321172055647"/>
                </c:manualLayout>
              </c:layout>
              <c:tx>
                <c:rich>
                  <a:bodyPr/>
                  <a:lstStyle/>
                  <a:p>
                    <a:r>
                      <a:rPr lang="en-US"/>
                      <a:t>SA Power Networks</a:t>
                    </a:r>
                  </a:p>
                </c:rich>
              </c:tx>
              <c:dLblPos val="r"/>
              <c:showLegendKey val="0"/>
              <c:showVal val="0"/>
              <c:showCatName val="1"/>
              <c:showSerName val="0"/>
              <c:showPercent val="0"/>
              <c:showBubbleSize val="0"/>
            </c:dLbl>
            <c:dLbl>
              <c:idx val="7"/>
              <c:layout>
                <c:manualLayout>
                  <c:x val="-3.0826552930883641E-2"/>
                  <c:y val="0.2184278490129172"/>
                </c:manualLayout>
              </c:layout>
              <c:tx>
                <c:rich>
                  <a:bodyPr/>
                  <a:lstStyle/>
                  <a:p>
                    <a:r>
                      <a:rPr lang="en-US"/>
                      <a:t>TasNetworks</a:t>
                    </a:r>
                  </a:p>
                </c:rich>
              </c:tx>
              <c:dLblPos val="r"/>
              <c:showLegendKey val="0"/>
              <c:showVal val="0"/>
              <c:showCatName val="1"/>
              <c:showSerName val="0"/>
              <c:showPercent val="0"/>
              <c:showBubbleSize val="0"/>
            </c:dLbl>
            <c:dLbl>
              <c:idx val="8"/>
              <c:layout/>
              <c:tx>
                <c:rich>
                  <a:bodyPr/>
                  <a:lstStyle/>
                  <a:p>
                    <a:r>
                      <a:rPr lang="en-US"/>
                      <a:t>CitiPower</a:t>
                    </a:r>
                  </a:p>
                </c:rich>
              </c:tx>
              <c:dLblPos val="t"/>
              <c:showLegendKey val="0"/>
              <c:showVal val="0"/>
              <c:showCatName val="1"/>
              <c:showSerName val="0"/>
              <c:showPercent val="0"/>
              <c:showBubbleSize val="0"/>
            </c:dLbl>
            <c:dLbl>
              <c:idx val="9"/>
              <c:layout>
                <c:manualLayout>
                  <c:x val="-3.0826552930883641E-2"/>
                  <c:y val="-0.11502018739765717"/>
                </c:manualLayout>
              </c:layout>
              <c:tx>
                <c:rich>
                  <a:bodyPr/>
                  <a:lstStyle/>
                  <a:p>
                    <a:r>
                      <a:rPr lang="en-US"/>
                      <a:t>JEN</a:t>
                    </a:r>
                  </a:p>
                </c:rich>
              </c:tx>
              <c:dLblPos val="r"/>
              <c:showLegendKey val="0"/>
              <c:showVal val="0"/>
              <c:showCatName val="1"/>
              <c:showSerName val="0"/>
              <c:showPercent val="0"/>
              <c:showBubbleSize val="0"/>
            </c:dLbl>
            <c:dLbl>
              <c:idx val="10"/>
              <c:layout/>
              <c:tx>
                <c:rich>
                  <a:bodyPr/>
                  <a:lstStyle/>
                  <a:p>
                    <a:r>
                      <a:rPr lang="en-US"/>
                      <a:t>Powercor</a:t>
                    </a:r>
                  </a:p>
                </c:rich>
              </c:tx>
              <c:dLblPos val="t"/>
              <c:showLegendKey val="0"/>
              <c:showVal val="0"/>
              <c:showCatName val="1"/>
              <c:showSerName val="0"/>
              <c:showPercent val="0"/>
              <c:showBubbleSize val="0"/>
            </c:dLbl>
            <c:dLbl>
              <c:idx val="11"/>
              <c:layout/>
              <c:tx>
                <c:rich>
                  <a:bodyPr/>
                  <a:lstStyle/>
                  <a:p>
                    <a:r>
                      <a:rPr lang="en-US"/>
                      <a:t>AusNet Services</a:t>
                    </a:r>
                  </a:p>
                </c:rich>
              </c:tx>
              <c:dLblPos val="t"/>
              <c:showLegendKey val="0"/>
              <c:showVal val="0"/>
              <c:showCatName val="1"/>
              <c:showSerName val="0"/>
              <c:showPercent val="0"/>
              <c:showBubbleSize val="0"/>
            </c:dLbl>
            <c:dLbl>
              <c:idx val="12"/>
              <c:layout/>
              <c:tx>
                <c:rich>
                  <a:bodyPr/>
                  <a:lstStyle/>
                  <a:p>
                    <a:r>
                      <a:rPr lang="en-US"/>
                      <a:t>United</a:t>
                    </a:r>
                    <a:r>
                      <a:rPr lang="en-US" baseline="0"/>
                      <a:t> Energy</a:t>
                    </a:r>
                    <a:endParaRPr lang="en-US"/>
                  </a:p>
                </c:rich>
              </c:tx>
              <c:dLblPos val="t"/>
              <c:showLegendKey val="0"/>
              <c:showVal val="0"/>
              <c:showCatName val="1"/>
              <c:showSerName val="0"/>
              <c:showPercent val="0"/>
              <c:showBubbleSize val="0"/>
            </c:dLbl>
            <c:txPr>
              <a:bodyPr rot="-5400000" vert="horz"/>
              <a:lstStyle/>
              <a:p>
                <a:pPr>
                  <a:defRPr/>
                </a:pPr>
                <a:endParaRPr lang="en-US"/>
              </a:p>
            </c:txPr>
            <c:dLblPos val="t"/>
            <c:showLegendKey val="0"/>
            <c:showVal val="0"/>
            <c:showCatName val="1"/>
            <c:showSerName val="0"/>
            <c:showPercent val="0"/>
            <c:showBubbleSize val="0"/>
            <c:showLeaderLines val="0"/>
          </c:dLbls>
          <c:xVal>
            <c:numRef>
              <c:f>'[2]Network summary data &amp; charts'!$D$98:$D$110</c:f>
              <c:numCache>
                <c:formatCode>General</c:formatCode>
                <c:ptCount val="13"/>
                <c:pt idx="0">
                  <c:v>34.436735977359383</c:v>
                </c:pt>
                <c:pt idx="1">
                  <c:v>39.917261964832804</c:v>
                </c:pt>
                <c:pt idx="2">
                  <c:v>26.246390816152442</c:v>
                </c:pt>
                <c:pt idx="3">
                  <c:v>4.3912886498139789</c:v>
                </c:pt>
                <c:pt idx="4">
                  <c:v>25.928321874818948</c:v>
                </c:pt>
                <c:pt idx="5">
                  <c:v>4.2098890097316524</c:v>
                </c:pt>
                <c:pt idx="6">
                  <c:v>9.6466044857512223</c:v>
                </c:pt>
                <c:pt idx="7">
                  <c:v>12.496921995531858</c:v>
                </c:pt>
                <c:pt idx="8">
                  <c:v>74.064844835572018</c:v>
                </c:pt>
                <c:pt idx="9">
                  <c:v>51.969030154849229</c:v>
                </c:pt>
                <c:pt idx="10">
                  <c:v>10.079971308313823</c:v>
                </c:pt>
                <c:pt idx="11">
                  <c:v>15.06617908427441</c:v>
                </c:pt>
                <c:pt idx="12">
                  <c:v>50.431291732568738</c:v>
                </c:pt>
              </c:numCache>
            </c:numRef>
          </c:xVal>
          <c:yVal>
            <c:numRef>
              <c:f>'[2]Network summary data &amp; charts'!$E$98:$E$110</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yVal>
          <c:smooth val="0"/>
        </c:ser>
        <c:dLbls>
          <c:showLegendKey val="0"/>
          <c:showVal val="0"/>
          <c:showCatName val="0"/>
          <c:showSerName val="0"/>
          <c:showPercent val="0"/>
          <c:showBubbleSize val="0"/>
        </c:dLbls>
        <c:axId val="96486528"/>
        <c:axId val="96488448"/>
      </c:scatterChart>
      <c:valAx>
        <c:axId val="96486528"/>
        <c:scaling>
          <c:orientation val="minMax"/>
          <c:max val="74.069999999999993"/>
          <c:min val="0"/>
        </c:scaling>
        <c:delete val="0"/>
        <c:axPos val="b"/>
        <c:title>
          <c:tx>
            <c:rich>
              <a:bodyPr/>
              <a:lstStyle/>
              <a:p>
                <a:pPr>
                  <a:defRPr/>
                </a:pPr>
                <a:r>
                  <a:rPr lang="en-US" sz="900"/>
                  <a:t>Customer density</a:t>
                </a:r>
                <a:endParaRPr lang="en-US" sz="900" b="0"/>
              </a:p>
              <a:p>
                <a:pPr>
                  <a:defRPr/>
                </a:pPr>
                <a:r>
                  <a:rPr lang="en-US" b="0" i="0"/>
                  <a:t>network customers / line</a:t>
                </a:r>
                <a:r>
                  <a:rPr lang="en-US" b="0" i="0" baseline="0"/>
                  <a:t> len</a:t>
                </a:r>
                <a:r>
                  <a:rPr lang="en-US" b="0" i="0"/>
                  <a:t>gth (circuit) (km)</a:t>
                </a:r>
              </a:p>
            </c:rich>
          </c:tx>
          <c:layout>
            <c:manualLayout>
              <c:xMode val="edge"/>
              <c:yMode val="edge"/>
              <c:x val="0.28244094488188976"/>
              <c:y val="0.62405060417739322"/>
            </c:manualLayout>
          </c:layout>
          <c:overlay val="0"/>
        </c:title>
        <c:numFmt formatCode="#,##0" sourceLinked="0"/>
        <c:majorTickMark val="out"/>
        <c:minorTickMark val="none"/>
        <c:tickLblPos val="nextTo"/>
        <c:crossAx val="96488448"/>
        <c:crosses val="autoZero"/>
        <c:crossBetween val="midCat"/>
        <c:majorUnit val="10"/>
      </c:valAx>
      <c:valAx>
        <c:axId val="96488448"/>
        <c:scaling>
          <c:orientation val="minMax"/>
          <c:max val="0.5"/>
          <c:min val="-0.5"/>
        </c:scaling>
        <c:delete val="1"/>
        <c:axPos val="l"/>
        <c:numFmt formatCode="General" sourceLinked="1"/>
        <c:majorTickMark val="out"/>
        <c:minorTickMark val="none"/>
        <c:tickLblPos val="nextTo"/>
        <c:crossAx val="9648652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CitiPower!$K$105</c:f>
              <c:strCache>
                <c:ptCount val="1"/>
                <c:pt idx="0">
                  <c:v>EBIT ($Dec 2012)</c:v>
                </c:pt>
              </c:strCache>
            </c:strRef>
          </c:tx>
          <c:spPr>
            <a:solidFill>
              <a:srgbClr val="A1D99B"/>
            </a:solidFill>
            <a:ln>
              <a:solidFill>
                <a:schemeClr val="tx1"/>
              </a:solidFill>
            </a:ln>
          </c:spPr>
          <c:invertIfNegative val="0"/>
          <c:cat>
            <c:strRef>
              <c:f>CitiPower!$C$106:$C$108</c:f>
              <c:strCache>
                <c:ptCount val="3"/>
                <c:pt idx="0">
                  <c:v>2011</c:v>
                </c:pt>
                <c:pt idx="1">
                  <c:v>2012</c:v>
                </c:pt>
                <c:pt idx="2">
                  <c:v>2013</c:v>
                </c:pt>
              </c:strCache>
            </c:strRef>
          </c:cat>
          <c:val>
            <c:numRef>
              <c:f>CitiPower!$K$106:$K$108</c:f>
              <c:numCache>
                <c:formatCode>"$"#,##0</c:formatCode>
                <c:ptCount val="3"/>
                <c:pt idx="0">
                  <c:v>119177699.62183237</c:v>
                </c:pt>
                <c:pt idx="1">
                  <c:v>120238892.90917377</c:v>
                </c:pt>
                <c:pt idx="2">
                  <c:v>131534241.01601802</c:v>
                </c:pt>
              </c:numCache>
            </c:numRef>
          </c:val>
        </c:ser>
        <c:dLbls>
          <c:showLegendKey val="0"/>
          <c:showVal val="0"/>
          <c:showCatName val="0"/>
          <c:showSerName val="0"/>
          <c:showPercent val="0"/>
          <c:showBubbleSize val="0"/>
        </c:dLbls>
        <c:gapWidth val="50"/>
        <c:axId val="358516992"/>
        <c:axId val="358531456"/>
      </c:barChart>
      <c:catAx>
        <c:axId val="358516992"/>
        <c:scaling>
          <c:orientation val="minMax"/>
        </c:scaling>
        <c:delete val="0"/>
        <c:axPos val="b"/>
        <c:title>
          <c:tx>
            <c:rich>
              <a:bodyPr/>
              <a:lstStyle/>
              <a:p>
                <a:pPr algn="l">
                  <a:defRPr sz="100"/>
                </a:pPr>
                <a:r>
                  <a:rPr lang="en-AU" sz="800" b="0" i="0" baseline="0">
                    <a:effectLst/>
                  </a:rPr>
                  <a:t>* For the purposes of this analysis EBIT is the sum of </a:t>
                </a:r>
                <a:r>
                  <a:rPr lang="en-AU" sz="800" b="0" i="1" baseline="0">
                    <a:effectLst/>
                  </a:rPr>
                  <a:t>profit before tax </a:t>
                </a:r>
                <a:r>
                  <a:rPr lang="en-AU" sz="800" b="0" i="0" baseline="0">
                    <a:effectLst/>
                  </a:rPr>
                  <a:t>and </a:t>
                </a:r>
                <a:r>
                  <a:rPr lang="en-AU" sz="800" b="0" i="1" baseline="0">
                    <a:effectLst/>
                  </a:rPr>
                  <a:t>finance charges</a:t>
                </a:r>
                <a:r>
                  <a:rPr lang="en-AU" sz="800" b="0" i="0" baseline="0">
                    <a:effectLst/>
                  </a:rPr>
                  <a:t>.</a:t>
                </a:r>
                <a:endParaRPr lang="en-AU" sz="100">
                  <a:effectLst/>
                </a:endParaRPr>
              </a:p>
            </c:rich>
          </c:tx>
          <c:layout>
            <c:manualLayout>
              <c:xMode val="edge"/>
              <c:yMode val="edge"/>
              <c:x val="0.19082174103237096"/>
              <c:y val="0.85840259550889475"/>
            </c:manualLayout>
          </c:layout>
          <c:overlay val="0"/>
        </c:title>
        <c:majorTickMark val="out"/>
        <c:minorTickMark val="none"/>
        <c:tickLblPos val="nextTo"/>
        <c:crossAx val="358531456"/>
        <c:crosses val="autoZero"/>
        <c:auto val="1"/>
        <c:lblAlgn val="ctr"/>
        <c:lblOffset val="100"/>
        <c:noMultiLvlLbl val="0"/>
      </c:catAx>
      <c:valAx>
        <c:axId val="358531456"/>
        <c:scaling>
          <c:orientation val="minMax"/>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8516992"/>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JEN!$B$25</c:f>
              <c:strCache>
                <c:ptCount val="1"/>
                <c:pt idx="0">
                  <c:v>Forecast</c:v>
                </c:pt>
              </c:strCache>
            </c:strRef>
          </c:tx>
          <c:spPr>
            <a:pattFill prst="dkUpDiag">
              <a:fgClr>
                <a:srgbClr val="41AB5D"/>
              </a:fgClr>
              <a:bgClr>
                <a:sysClr val="window" lastClr="FFFFFF"/>
              </a:bgClr>
            </a:pattFill>
            <a:ln>
              <a:solidFill>
                <a:sysClr val="windowText" lastClr="000000"/>
              </a:solidFill>
            </a:ln>
          </c:spPr>
          <c:invertIfNegative val="0"/>
          <c:cat>
            <c:multiLvlStrRef>
              <c:f>JEN!$C$21:$L$22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JEN!$C$25:$L$25</c:f>
              <c:numCache>
                <c:formatCode>#,##0</c:formatCode>
                <c:ptCount val="10"/>
                <c:pt idx="0">
                  <c:v>4213</c:v>
                </c:pt>
                <c:pt idx="1">
                  <c:v>4264</c:v>
                </c:pt>
                <c:pt idx="2">
                  <c:v>4302</c:v>
                </c:pt>
                <c:pt idx="3">
                  <c:v>4326</c:v>
                </c:pt>
                <c:pt idx="4">
                  <c:v>4357</c:v>
                </c:pt>
                <c:pt idx="5">
                  <c:v>4334</c:v>
                </c:pt>
                <c:pt idx="6">
                  <c:v>4322</c:v>
                </c:pt>
                <c:pt idx="7">
                  <c:v>4271</c:v>
                </c:pt>
                <c:pt idx="8">
                  <c:v>4222</c:v>
                </c:pt>
                <c:pt idx="9">
                  <c:v>4205</c:v>
                </c:pt>
              </c:numCache>
            </c:numRef>
          </c:val>
        </c:ser>
        <c:ser>
          <c:idx val="1"/>
          <c:order val="1"/>
          <c:tx>
            <c:strRef>
              <c:f>JEN!$B$23</c:f>
              <c:strCache>
                <c:ptCount val="1"/>
                <c:pt idx="0">
                  <c:v>Actual</c:v>
                </c:pt>
              </c:strCache>
            </c:strRef>
          </c:tx>
          <c:spPr>
            <a:solidFill>
              <a:srgbClr val="41AB5D"/>
            </a:solidFill>
            <a:ln>
              <a:solidFill>
                <a:sysClr val="windowText" lastClr="000000"/>
              </a:solidFill>
            </a:ln>
          </c:spPr>
          <c:invertIfNegative val="0"/>
          <c:cat>
            <c:multiLvlStrRef>
              <c:f>JEN!$C$21:$L$22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JEN!$C$23:$L$23</c:f>
              <c:numCache>
                <c:formatCode>#,##0</c:formatCode>
                <c:ptCount val="10"/>
                <c:pt idx="0">
                  <c:v>4278.375</c:v>
                </c:pt>
                <c:pt idx="1">
                  <c:v>4378.9870000000001</c:v>
                </c:pt>
                <c:pt idx="2">
                  <c:v>4489.5619999999999</c:v>
                </c:pt>
                <c:pt idx="3">
                  <c:v>4375.8980000000001</c:v>
                </c:pt>
                <c:pt idx="4">
                  <c:v>4450</c:v>
                </c:pt>
                <c:pt idx="5">
                  <c:v>4414.6348790000002</c:v>
                </c:pt>
                <c:pt idx="6">
                  <c:v>4364.682476</c:v>
                </c:pt>
                <c:pt idx="7">
                  <c:v>4253.6434920000002</c:v>
                </c:pt>
              </c:numCache>
            </c:numRef>
          </c:val>
        </c:ser>
        <c:dLbls>
          <c:showLegendKey val="0"/>
          <c:showVal val="0"/>
          <c:showCatName val="0"/>
          <c:showSerName val="0"/>
          <c:showPercent val="0"/>
          <c:showBubbleSize val="0"/>
        </c:dLbls>
        <c:gapWidth val="50"/>
        <c:axId val="358761216"/>
        <c:axId val="358762752"/>
      </c:barChart>
      <c:catAx>
        <c:axId val="358761216"/>
        <c:scaling>
          <c:orientation val="minMax"/>
        </c:scaling>
        <c:delete val="0"/>
        <c:axPos val="b"/>
        <c:majorTickMark val="out"/>
        <c:minorTickMark val="none"/>
        <c:tickLblPos val="nextTo"/>
        <c:txPr>
          <a:bodyPr/>
          <a:lstStyle/>
          <a:p>
            <a:pPr>
              <a:defRPr sz="800"/>
            </a:pPr>
            <a:endParaRPr lang="en-US"/>
          </a:p>
        </c:txPr>
        <c:crossAx val="358762752"/>
        <c:crosses val="autoZero"/>
        <c:auto val="1"/>
        <c:lblAlgn val="ctr"/>
        <c:lblOffset val="100"/>
        <c:noMultiLvlLbl val="0"/>
      </c:catAx>
      <c:valAx>
        <c:axId val="358762752"/>
        <c:scaling>
          <c:orientation val="minMax"/>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58761216"/>
        <c:crosses val="autoZero"/>
        <c:crossBetween val="between"/>
        <c:majorUnit val="1000"/>
      </c:valAx>
    </c:plotArea>
    <c:legend>
      <c:legendPos val="b"/>
      <c:layout>
        <c:manualLayout>
          <c:xMode val="edge"/>
          <c:yMode val="edge"/>
          <c:x val="0.23091885389326333"/>
          <c:y val="0.89838181685622631"/>
          <c:w val="0.7353845144356956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JEN!$B$32</c:f>
              <c:strCache>
                <c:ptCount val="1"/>
                <c:pt idx="0">
                  <c:v>Forecast</c:v>
                </c:pt>
              </c:strCache>
            </c:strRef>
          </c:tx>
          <c:spPr>
            <a:pattFill prst="dkUpDiag">
              <a:fgClr>
                <a:srgbClr val="41AB5D"/>
              </a:fgClr>
              <a:bgClr>
                <a:schemeClr val="bg1"/>
              </a:bgClr>
            </a:pattFill>
            <a:ln>
              <a:solidFill>
                <a:sysClr val="windowText" lastClr="000000"/>
              </a:solidFill>
            </a:ln>
          </c:spPr>
          <c:invertIfNegative val="0"/>
          <c:cat>
            <c:multiLvlStrRef>
              <c:f>JEN!$C$28:$M$29</c:f>
              <c:multiLvlStrCache>
                <c:ptCount val="11"/>
                <c:lvl>
                  <c:pt idx="0">
                    <c:v>2005</c:v>
                  </c:pt>
                  <c:pt idx="1">
                    <c:v>2006</c:v>
                  </c:pt>
                  <c:pt idx="2">
                    <c:v>2007</c:v>
                  </c:pt>
                  <c:pt idx="3">
                    <c:v>2008</c:v>
                  </c:pt>
                  <c:pt idx="4">
                    <c:v>2009</c:v>
                  </c:pt>
                  <c:pt idx="5">
                    <c:v>2010</c:v>
                  </c:pt>
                  <c:pt idx="6">
                    <c:v>2011</c:v>
                  </c:pt>
                  <c:pt idx="7">
                    <c:v>2012</c:v>
                  </c:pt>
                  <c:pt idx="8">
                    <c:v>2013</c:v>
                  </c:pt>
                  <c:pt idx="9">
                    <c:v>2014</c:v>
                  </c:pt>
                  <c:pt idx="10">
                    <c:v>2015</c:v>
                  </c:pt>
                </c:lvl>
                <c:lvl>
                  <c:pt idx="0">
                    <c:v>ESCV</c:v>
                  </c:pt>
                  <c:pt idx="6">
                    <c:v>AER</c:v>
                  </c:pt>
                </c:lvl>
              </c:multiLvlStrCache>
            </c:multiLvlStrRef>
          </c:cat>
          <c:val>
            <c:numRef>
              <c:f>JEN!$C$32:$M$32</c:f>
              <c:numCache>
                <c:formatCode>General</c:formatCode>
                <c:ptCount val="11"/>
                <c:pt idx="6" formatCode="#,##0">
                  <c:v>1099</c:v>
                </c:pt>
                <c:pt idx="7" formatCode="#,##0">
                  <c:v>1130</c:v>
                </c:pt>
                <c:pt idx="8" formatCode="#,##0">
                  <c:v>1161.7</c:v>
                </c:pt>
                <c:pt idx="9" formatCode="#,##0">
                  <c:v>1192.0999999999999</c:v>
                </c:pt>
                <c:pt idx="10" formatCode="#,##0">
                  <c:v>1212.7</c:v>
                </c:pt>
              </c:numCache>
            </c:numRef>
          </c:val>
        </c:ser>
        <c:ser>
          <c:idx val="0"/>
          <c:order val="1"/>
          <c:tx>
            <c:strRef>
              <c:f>JEN!$B$30</c:f>
              <c:strCache>
                <c:ptCount val="1"/>
                <c:pt idx="0">
                  <c:v>Actual</c:v>
                </c:pt>
              </c:strCache>
            </c:strRef>
          </c:tx>
          <c:spPr>
            <a:solidFill>
              <a:srgbClr val="41AB5D"/>
            </a:solidFill>
            <a:ln>
              <a:solidFill>
                <a:schemeClr val="tx1"/>
              </a:solidFill>
            </a:ln>
          </c:spPr>
          <c:invertIfNegative val="0"/>
          <c:cat>
            <c:multiLvlStrRef>
              <c:f>JEN!$C$28:$M$29</c:f>
              <c:multiLvlStrCache>
                <c:ptCount val="11"/>
                <c:lvl>
                  <c:pt idx="0">
                    <c:v>2005</c:v>
                  </c:pt>
                  <c:pt idx="1">
                    <c:v>2006</c:v>
                  </c:pt>
                  <c:pt idx="2">
                    <c:v>2007</c:v>
                  </c:pt>
                  <c:pt idx="3">
                    <c:v>2008</c:v>
                  </c:pt>
                  <c:pt idx="4">
                    <c:v>2009</c:v>
                  </c:pt>
                  <c:pt idx="5">
                    <c:v>2010</c:v>
                  </c:pt>
                  <c:pt idx="6">
                    <c:v>2011</c:v>
                  </c:pt>
                  <c:pt idx="7">
                    <c:v>2012</c:v>
                  </c:pt>
                  <c:pt idx="8">
                    <c:v>2013</c:v>
                  </c:pt>
                  <c:pt idx="9">
                    <c:v>2014</c:v>
                  </c:pt>
                  <c:pt idx="10">
                    <c:v>2015</c:v>
                  </c:pt>
                </c:lvl>
                <c:lvl>
                  <c:pt idx="0">
                    <c:v>ESCV</c:v>
                  </c:pt>
                  <c:pt idx="6">
                    <c:v>AER</c:v>
                  </c:pt>
                </c:lvl>
              </c:multiLvlStrCache>
            </c:multiLvlStrRef>
          </c:cat>
          <c:val>
            <c:numRef>
              <c:f>JEN!$C$30:$M$30</c:f>
              <c:numCache>
                <c:formatCode>#,##0</c:formatCode>
                <c:ptCount val="11"/>
                <c:pt idx="0">
                  <c:v>886.3</c:v>
                </c:pt>
                <c:pt idx="1">
                  <c:v>914.5</c:v>
                </c:pt>
                <c:pt idx="2">
                  <c:v>958.5</c:v>
                </c:pt>
                <c:pt idx="3">
                  <c:v>1040.2</c:v>
                </c:pt>
                <c:pt idx="4">
                  <c:v>1122.2</c:v>
                </c:pt>
                <c:pt idx="5">
                  <c:v>1090.5999999999999</c:v>
                </c:pt>
                <c:pt idx="6">
                  <c:v>1078.5999999999999</c:v>
                </c:pt>
                <c:pt idx="7">
                  <c:v>996.2</c:v>
                </c:pt>
                <c:pt idx="8">
                  <c:v>959</c:v>
                </c:pt>
              </c:numCache>
            </c:numRef>
          </c:val>
        </c:ser>
        <c:dLbls>
          <c:showLegendKey val="0"/>
          <c:showVal val="0"/>
          <c:showCatName val="0"/>
          <c:showSerName val="0"/>
          <c:showPercent val="0"/>
          <c:showBubbleSize val="0"/>
        </c:dLbls>
        <c:gapWidth val="50"/>
        <c:axId val="358800384"/>
        <c:axId val="358826752"/>
      </c:barChart>
      <c:catAx>
        <c:axId val="358800384"/>
        <c:scaling>
          <c:orientation val="minMax"/>
        </c:scaling>
        <c:delete val="0"/>
        <c:axPos val="b"/>
        <c:majorTickMark val="out"/>
        <c:minorTickMark val="none"/>
        <c:tickLblPos val="nextTo"/>
        <c:txPr>
          <a:bodyPr/>
          <a:lstStyle/>
          <a:p>
            <a:pPr>
              <a:defRPr sz="800"/>
            </a:pPr>
            <a:endParaRPr lang="en-US"/>
          </a:p>
        </c:txPr>
        <c:crossAx val="358826752"/>
        <c:crosses val="autoZero"/>
        <c:auto val="1"/>
        <c:lblAlgn val="ctr"/>
        <c:lblOffset val="100"/>
        <c:noMultiLvlLbl val="0"/>
      </c:catAx>
      <c:valAx>
        <c:axId val="358826752"/>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General" sourceLinked="1"/>
        <c:majorTickMark val="out"/>
        <c:minorTickMark val="none"/>
        <c:tickLblPos val="nextTo"/>
        <c:crossAx val="358800384"/>
        <c:crosses val="autoZero"/>
        <c:crossBetween val="between"/>
      </c:valAx>
    </c:plotArea>
    <c:legend>
      <c:legendPos val="b"/>
      <c:layout>
        <c:manualLayout>
          <c:xMode val="edge"/>
          <c:yMode val="edge"/>
          <c:x val="0.23055555555555557"/>
          <c:y val="0.89838181685622631"/>
          <c:w val="0.738162292213473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JEN!$T$65</c:f>
              <c:strCache>
                <c:ptCount val="1"/>
                <c:pt idx="0">
                  <c:v>Forecast (inc. amendments)
</c:v>
                </c:pt>
              </c:strCache>
            </c:strRef>
          </c:tx>
          <c:spPr>
            <a:pattFill prst="dkUpDiag">
              <a:fgClr>
                <a:srgbClr val="41AB5D"/>
              </a:fgClr>
              <a:bgClr>
                <a:sysClr val="window" lastClr="FFFFFF"/>
              </a:bgClr>
            </a:pattFill>
            <a:ln>
              <a:solidFill>
                <a:schemeClr val="tx1"/>
              </a:solidFill>
            </a:ln>
          </c:spPr>
          <c:invertIfNegative val="0"/>
          <c:cat>
            <c:multiLvlStrRef>
              <c:f>JEN!$B$66:$C$75</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JEN!$T$66:$T$75</c:f>
              <c:numCache>
                <c:formatCode>"$"#,##0</c:formatCode>
                <c:ptCount val="10"/>
                <c:pt idx="0">
                  <c:v>58904394.35916315</c:v>
                </c:pt>
                <c:pt idx="1">
                  <c:v>50753872.854258917</c:v>
                </c:pt>
                <c:pt idx="2">
                  <c:v>53947754.763424084</c:v>
                </c:pt>
                <c:pt idx="3">
                  <c:v>47721729.498063341</c:v>
                </c:pt>
                <c:pt idx="4">
                  <c:v>56333332.750965908</c:v>
                </c:pt>
                <c:pt idx="5">
                  <c:v>96361780.578744814</c:v>
                </c:pt>
                <c:pt idx="6">
                  <c:v>94554280.515381709</c:v>
                </c:pt>
                <c:pt idx="7">
                  <c:v>93605913.049084291</c:v>
                </c:pt>
                <c:pt idx="8">
                  <c:v>98952675.511313245</c:v>
                </c:pt>
                <c:pt idx="9">
                  <c:v>89447183.253396049</c:v>
                </c:pt>
              </c:numCache>
            </c:numRef>
          </c:val>
        </c:ser>
        <c:ser>
          <c:idx val="1"/>
          <c:order val="1"/>
          <c:tx>
            <c:strRef>
              <c:f>JEN!$AB$65</c:f>
              <c:strCache>
                <c:ptCount val="1"/>
                <c:pt idx="0">
                  <c:v>Actual</c:v>
                </c:pt>
              </c:strCache>
            </c:strRef>
          </c:tx>
          <c:spPr>
            <a:solidFill>
              <a:srgbClr val="41AB5D"/>
            </a:solidFill>
            <a:ln>
              <a:solidFill>
                <a:sysClr val="windowText" lastClr="000000"/>
              </a:solidFill>
            </a:ln>
          </c:spPr>
          <c:invertIfNegative val="0"/>
          <c:cat>
            <c:multiLvlStrRef>
              <c:f>JEN!$B$66:$C$75</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JEN!$AB$66:$AB$75</c:f>
              <c:numCache>
                <c:formatCode>"$"#,##0</c:formatCode>
                <c:ptCount val="10"/>
                <c:pt idx="0">
                  <c:v>68681639.547554791</c:v>
                </c:pt>
                <c:pt idx="1">
                  <c:v>71383396.313949957</c:v>
                </c:pt>
                <c:pt idx="2">
                  <c:v>44937491.297113188</c:v>
                </c:pt>
                <c:pt idx="3">
                  <c:v>79122123.95248203</c:v>
                </c:pt>
                <c:pt idx="4">
                  <c:v>88167069.453928724</c:v>
                </c:pt>
                <c:pt idx="5">
                  <c:v>123606657.23372145</c:v>
                </c:pt>
                <c:pt idx="6">
                  <c:v>112223045.68561448</c:v>
                </c:pt>
                <c:pt idx="7">
                  <c:v>115389803.70669004</c:v>
                </c:pt>
              </c:numCache>
            </c:numRef>
          </c:val>
        </c:ser>
        <c:dLbls>
          <c:showLegendKey val="0"/>
          <c:showVal val="0"/>
          <c:showCatName val="0"/>
          <c:showSerName val="0"/>
          <c:showPercent val="0"/>
          <c:showBubbleSize val="0"/>
        </c:dLbls>
        <c:gapWidth val="50"/>
        <c:axId val="358852096"/>
        <c:axId val="358853632"/>
      </c:barChart>
      <c:catAx>
        <c:axId val="358852096"/>
        <c:scaling>
          <c:orientation val="minMax"/>
        </c:scaling>
        <c:delete val="0"/>
        <c:axPos val="b"/>
        <c:majorTickMark val="out"/>
        <c:minorTickMark val="none"/>
        <c:tickLblPos val="nextTo"/>
        <c:txPr>
          <a:bodyPr/>
          <a:lstStyle/>
          <a:p>
            <a:pPr>
              <a:defRPr sz="750"/>
            </a:pPr>
            <a:endParaRPr lang="en-US"/>
          </a:p>
        </c:txPr>
        <c:crossAx val="358853632"/>
        <c:crosses val="autoZero"/>
        <c:auto val="1"/>
        <c:lblAlgn val="ctr"/>
        <c:lblOffset val="100"/>
        <c:noMultiLvlLbl val="0"/>
      </c:catAx>
      <c:valAx>
        <c:axId val="358853632"/>
        <c:scaling>
          <c:orientation val="minMax"/>
          <c:max val="140000000"/>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58852096"/>
        <c:crosses val="autoZero"/>
        <c:crossBetween val="between"/>
        <c:majorUnit val="20000000"/>
      </c:valAx>
    </c:plotArea>
    <c:legend>
      <c:legendPos val="b"/>
      <c:layout>
        <c:manualLayout>
          <c:xMode val="edge"/>
          <c:yMode val="edge"/>
          <c:x val="0.26008180227471567"/>
          <c:y val="0.88850503062117236"/>
          <c:w val="0.70876924759405069"/>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1AB5D"/>
            </a:solidFill>
            <a:ln>
              <a:solidFill>
                <a:schemeClr val="tx1"/>
              </a:solidFill>
            </a:ln>
          </c:spPr>
          <c:invertIfNegative val="0"/>
          <c:cat>
            <c:multiLvlStrRef>
              <c:f>JEN!$B$79:$C$87</c:f>
              <c:multiLvlStrCache>
                <c:ptCount val="9"/>
                <c:lvl>
                  <c:pt idx="0">
                    <c:v>2011</c:v>
                  </c:pt>
                  <c:pt idx="1">
                    <c:v>2012</c:v>
                  </c:pt>
                  <c:pt idx="2">
                    <c:v>2013</c:v>
                  </c:pt>
                  <c:pt idx="3">
                    <c:v>2011</c:v>
                  </c:pt>
                  <c:pt idx="4">
                    <c:v>2012</c:v>
                  </c:pt>
                  <c:pt idx="5">
                    <c:v>2013</c:v>
                  </c:pt>
                  <c:pt idx="6">
                    <c:v>2011</c:v>
                  </c:pt>
                  <c:pt idx="7">
                    <c:v>2012</c:v>
                  </c:pt>
                  <c:pt idx="8">
                    <c:v>2013</c:v>
                  </c:pt>
                </c:lvl>
                <c:lvl>
                  <c:pt idx="0">
                    <c:v>Demand related</c:v>
                  </c:pt>
                  <c:pt idx="3">
                    <c:v>Non-demand related</c:v>
                  </c:pt>
                  <c:pt idx="6">
                    <c:v>Non-system</c:v>
                  </c:pt>
                </c:lvl>
              </c:multiLvlStrCache>
            </c:multiLvlStrRef>
          </c:cat>
          <c:val>
            <c:numRef>
              <c:f>JEN!$H$79:$H$87</c:f>
              <c:numCache>
                <c:formatCode>"$"#,##0</c:formatCode>
                <c:ptCount val="9"/>
                <c:pt idx="0">
                  <c:v>61099288.06227608</c:v>
                </c:pt>
                <c:pt idx="1">
                  <c:v>43532575.789456449</c:v>
                </c:pt>
                <c:pt idx="2">
                  <c:v>43716294.977378286</c:v>
                </c:pt>
                <c:pt idx="3">
                  <c:v>37002578.473509282</c:v>
                </c:pt>
                <c:pt idx="4">
                  <c:v>31209692.597175144</c:v>
                </c:pt>
                <c:pt idx="5">
                  <c:v>49157726.981332511</c:v>
                </c:pt>
                <c:pt idx="6">
                  <c:v>25504790.69793611</c:v>
                </c:pt>
                <c:pt idx="7">
                  <c:v>37480777.298982918</c:v>
                </c:pt>
                <c:pt idx="8">
                  <c:v>22515781.747979138</c:v>
                </c:pt>
              </c:numCache>
            </c:numRef>
          </c:val>
        </c:ser>
        <c:dLbls>
          <c:showLegendKey val="0"/>
          <c:showVal val="0"/>
          <c:showCatName val="0"/>
          <c:showSerName val="0"/>
          <c:showPercent val="0"/>
          <c:showBubbleSize val="0"/>
        </c:dLbls>
        <c:gapWidth val="50"/>
        <c:axId val="358865920"/>
        <c:axId val="358904576"/>
      </c:barChart>
      <c:catAx>
        <c:axId val="358865920"/>
        <c:scaling>
          <c:orientation val="minMax"/>
        </c:scaling>
        <c:delete val="0"/>
        <c:axPos val="b"/>
        <c:majorTickMark val="out"/>
        <c:minorTickMark val="none"/>
        <c:tickLblPos val="nextTo"/>
        <c:txPr>
          <a:bodyPr/>
          <a:lstStyle/>
          <a:p>
            <a:pPr>
              <a:defRPr sz="800"/>
            </a:pPr>
            <a:endParaRPr lang="en-US"/>
          </a:p>
        </c:txPr>
        <c:crossAx val="358904576"/>
        <c:crosses val="autoZero"/>
        <c:auto val="1"/>
        <c:lblAlgn val="ctr"/>
        <c:lblOffset val="100"/>
        <c:noMultiLvlLbl val="0"/>
      </c:catAx>
      <c:valAx>
        <c:axId val="358904576"/>
        <c:scaling>
          <c:orientation val="minMax"/>
          <c:max val="70000000"/>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8865920"/>
        <c:crosses val="autoZero"/>
        <c:crossBetween val="between"/>
        <c:majorUnit val="20000000"/>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JEN!$K$90</c:f>
              <c:strCache>
                <c:ptCount val="1"/>
                <c:pt idx="0">
                  <c:v>Forecast (inc. amendments)
</c:v>
                </c:pt>
              </c:strCache>
            </c:strRef>
          </c:tx>
          <c:spPr>
            <a:pattFill prst="dkUpDiag">
              <a:fgClr>
                <a:srgbClr val="41AB5D"/>
              </a:fgClr>
              <a:bgClr>
                <a:sysClr val="window" lastClr="FFFFFF"/>
              </a:bgClr>
            </a:pattFill>
            <a:ln>
              <a:solidFill>
                <a:schemeClr val="tx1"/>
              </a:solidFill>
            </a:ln>
          </c:spPr>
          <c:invertIfNegative val="0"/>
          <c:cat>
            <c:multiLvlStrRef>
              <c:f>JEN!$B$91:$C$98</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JEN!$K$91:$K$98</c:f>
              <c:numCache>
                <c:formatCode>"$"#,##0</c:formatCode>
                <c:ptCount val="8"/>
                <c:pt idx="0">
                  <c:v>740790708.79034531</c:v>
                </c:pt>
                <c:pt idx="1">
                  <c:v>743937118.52866662</c:v>
                </c:pt>
                <c:pt idx="2">
                  <c:v>749474799.66811192</c:v>
                </c:pt>
                <c:pt idx="3">
                  <c:v>747461097.43558633</c:v>
                </c:pt>
                <c:pt idx="4">
                  <c:v>753502204.13316309</c:v>
                </c:pt>
                <c:pt idx="5">
                  <c:v>851835470.9418838</c:v>
                </c:pt>
                <c:pt idx="6">
                  <c:v>898500000</c:v>
                </c:pt>
                <c:pt idx="7">
                  <c:v>939398653.84615397</c:v>
                </c:pt>
              </c:numCache>
            </c:numRef>
          </c:val>
        </c:ser>
        <c:ser>
          <c:idx val="1"/>
          <c:order val="1"/>
          <c:tx>
            <c:strRef>
              <c:f>JEN!$Q$90</c:f>
              <c:strCache>
                <c:ptCount val="1"/>
                <c:pt idx="0">
                  <c:v>Actual</c:v>
                </c:pt>
              </c:strCache>
            </c:strRef>
          </c:tx>
          <c:spPr>
            <a:solidFill>
              <a:srgbClr val="41AB5D"/>
            </a:solidFill>
            <a:ln>
              <a:solidFill>
                <a:sysClr val="windowText" lastClr="000000"/>
              </a:solidFill>
            </a:ln>
          </c:spPr>
          <c:invertIfNegative val="0"/>
          <c:cat>
            <c:multiLvlStrRef>
              <c:f>JEN!$B$91:$C$98</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JEN!$Q$91:$Q$98</c:f>
              <c:numCache>
                <c:formatCode>"$"#,##0</c:formatCode>
                <c:ptCount val="8"/>
                <c:pt idx="0">
                  <c:v>713924109.73129177</c:v>
                </c:pt>
                <c:pt idx="1">
                  <c:v>737154889.81425059</c:v>
                </c:pt>
                <c:pt idx="2">
                  <c:v>733987056.16657436</c:v>
                </c:pt>
                <c:pt idx="3">
                  <c:v>762497558.99566007</c:v>
                </c:pt>
                <c:pt idx="4">
                  <c:v>798822051.48901379</c:v>
                </c:pt>
                <c:pt idx="5">
                  <c:v>879789984.23464775</c:v>
                </c:pt>
                <c:pt idx="6">
                  <c:v>954586821.19376528</c:v>
                </c:pt>
                <c:pt idx="7">
                  <c:v>1009054373.0569632</c:v>
                </c:pt>
              </c:numCache>
            </c:numRef>
          </c:val>
        </c:ser>
        <c:dLbls>
          <c:showLegendKey val="0"/>
          <c:showVal val="0"/>
          <c:showCatName val="0"/>
          <c:showSerName val="0"/>
          <c:showPercent val="0"/>
          <c:showBubbleSize val="0"/>
        </c:dLbls>
        <c:gapWidth val="50"/>
        <c:axId val="358929536"/>
        <c:axId val="358931072"/>
      </c:barChart>
      <c:catAx>
        <c:axId val="358929536"/>
        <c:scaling>
          <c:orientation val="minMax"/>
        </c:scaling>
        <c:delete val="0"/>
        <c:axPos val="b"/>
        <c:majorTickMark val="out"/>
        <c:minorTickMark val="none"/>
        <c:tickLblPos val="nextTo"/>
        <c:txPr>
          <a:bodyPr/>
          <a:lstStyle/>
          <a:p>
            <a:pPr>
              <a:defRPr sz="800"/>
            </a:pPr>
            <a:endParaRPr lang="en-US"/>
          </a:p>
        </c:txPr>
        <c:crossAx val="358931072"/>
        <c:crosses val="autoZero"/>
        <c:auto val="1"/>
        <c:lblAlgn val="ctr"/>
        <c:lblOffset val="100"/>
        <c:noMultiLvlLbl val="0"/>
      </c:catAx>
      <c:valAx>
        <c:axId val="358931072"/>
        <c:scaling>
          <c:orientation val="minMax"/>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8929536"/>
        <c:crosses val="autoZero"/>
        <c:crossBetween val="between"/>
      </c:valAx>
    </c:plotArea>
    <c:legend>
      <c:legendPos val="b"/>
      <c:layout>
        <c:manualLayout>
          <c:xMode val="edge"/>
          <c:yMode val="edge"/>
          <c:x val="0.26592246391736246"/>
          <c:y val="0.88850503062117236"/>
          <c:w val="0.7033049742021684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JEN!$T$52</c:f>
              <c:strCache>
                <c:ptCount val="1"/>
                <c:pt idx="0">
                  <c:v>Forecast (inc. amendments)
</c:v>
                </c:pt>
              </c:strCache>
            </c:strRef>
          </c:tx>
          <c:spPr>
            <a:pattFill prst="dkUpDiag">
              <a:fgClr>
                <a:srgbClr val="41AB5D"/>
              </a:fgClr>
              <a:bgClr>
                <a:sysClr val="window" lastClr="FFFFFF"/>
              </a:bgClr>
            </a:pattFill>
            <a:ln>
              <a:solidFill>
                <a:schemeClr val="tx1"/>
              </a:solidFill>
            </a:ln>
          </c:spPr>
          <c:invertIfNegative val="0"/>
          <c:cat>
            <c:multiLvlStrRef>
              <c:f>JEN!$B$53:$C$62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JEN!$T$53:$T$62</c:f>
              <c:numCache>
                <c:formatCode>"$"#,##0</c:formatCode>
                <c:ptCount val="10"/>
                <c:pt idx="0">
                  <c:v>63742902.513455771</c:v>
                </c:pt>
                <c:pt idx="1">
                  <c:v>64756277.382618956</c:v>
                </c:pt>
                <c:pt idx="2">
                  <c:v>66062466.11814677</c:v>
                </c:pt>
                <c:pt idx="3">
                  <c:v>67516665.611461446</c:v>
                </c:pt>
                <c:pt idx="4">
                  <c:v>69081018.217987418</c:v>
                </c:pt>
                <c:pt idx="5">
                  <c:v>61498066.565861553</c:v>
                </c:pt>
                <c:pt idx="6">
                  <c:v>60342245.002534069</c:v>
                </c:pt>
                <c:pt idx="7">
                  <c:v>60575403.222502269</c:v>
                </c:pt>
                <c:pt idx="8">
                  <c:v>65832167.941699058</c:v>
                </c:pt>
                <c:pt idx="9">
                  <c:v>64805335.191909775</c:v>
                </c:pt>
              </c:numCache>
            </c:numRef>
          </c:val>
        </c:ser>
        <c:ser>
          <c:idx val="1"/>
          <c:order val="1"/>
          <c:tx>
            <c:strRef>
              <c:f>JEN!$Z$52</c:f>
              <c:strCache>
                <c:ptCount val="1"/>
                <c:pt idx="0">
                  <c:v>Actual</c:v>
                </c:pt>
              </c:strCache>
            </c:strRef>
          </c:tx>
          <c:spPr>
            <a:solidFill>
              <a:srgbClr val="41AB5D"/>
            </a:solidFill>
            <a:ln>
              <a:solidFill>
                <a:sysClr val="windowText" lastClr="000000"/>
              </a:solidFill>
            </a:ln>
          </c:spPr>
          <c:invertIfNegative val="0"/>
          <c:cat>
            <c:multiLvlStrRef>
              <c:f>JEN!$B$53:$C$62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JEN!$Z$53:$Z$62</c:f>
              <c:numCache>
                <c:formatCode>"$"#,##0</c:formatCode>
                <c:ptCount val="10"/>
                <c:pt idx="0">
                  <c:v>57938323.041173629</c:v>
                </c:pt>
                <c:pt idx="1">
                  <c:v>61703824.743136376</c:v>
                </c:pt>
                <c:pt idx="2">
                  <c:v>51157568.72428894</c:v>
                </c:pt>
                <c:pt idx="3">
                  <c:v>55095705.727466002</c:v>
                </c:pt>
                <c:pt idx="4">
                  <c:v>62228592.744708151</c:v>
                </c:pt>
                <c:pt idx="5">
                  <c:v>64990253.285203561</c:v>
                </c:pt>
                <c:pt idx="6">
                  <c:v>74376468.088681966</c:v>
                </c:pt>
                <c:pt idx="7">
                  <c:v>71848011.899182454</c:v>
                </c:pt>
                <c:pt idx="8">
                  <c:v>#N/A</c:v>
                </c:pt>
                <c:pt idx="9">
                  <c:v>#N/A</c:v>
                </c:pt>
              </c:numCache>
            </c:numRef>
          </c:val>
        </c:ser>
        <c:dLbls>
          <c:showLegendKey val="0"/>
          <c:showVal val="0"/>
          <c:showCatName val="0"/>
          <c:showSerName val="0"/>
          <c:showPercent val="0"/>
          <c:showBubbleSize val="0"/>
        </c:dLbls>
        <c:gapWidth val="50"/>
        <c:axId val="358973440"/>
        <c:axId val="358974976"/>
      </c:barChart>
      <c:catAx>
        <c:axId val="358973440"/>
        <c:scaling>
          <c:orientation val="minMax"/>
        </c:scaling>
        <c:delete val="0"/>
        <c:axPos val="b"/>
        <c:majorTickMark val="out"/>
        <c:minorTickMark val="none"/>
        <c:tickLblPos val="nextTo"/>
        <c:txPr>
          <a:bodyPr/>
          <a:lstStyle/>
          <a:p>
            <a:pPr>
              <a:defRPr sz="750"/>
            </a:pPr>
            <a:endParaRPr lang="en-US"/>
          </a:p>
        </c:txPr>
        <c:crossAx val="358974976"/>
        <c:crosses val="autoZero"/>
        <c:auto val="1"/>
        <c:lblAlgn val="ctr"/>
        <c:lblOffset val="100"/>
        <c:noMultiLvlLbl val="0"/>
      </c:catAx>
      <c:valAx>
        <c:axId val="358974976"/>
        <c:scaling>
          <c:orientation val="minMax"/>
          <c:min val="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8973440"/>
        <c:crosses val="autoZero"/>
        <c:crossBetween val="between"/>
      </c:valAx>
    </c:plotArea>
    <c:legend>
      <c:legendPos val="b"/>
      <c:layout>
        <c:manualLayout>
          <c:xMode val="edge"/>
          <c:yMode val="edge"/>
          <c:x val="0.24897069116360454"/>
          <c:y val="0.88850503062117236"/>
          <c:w val="0.5254359142607174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JEN!$T$39</c:f>
              <c:strCache>
                <c:ptCount val="1"/>
                <c:pt idx="0">
                  <c:v>Forecast (inc. amendments)
</c:v>
                </c:pt>
              </c:strCache>
            </c:strRef>
          </c:tx>
          <c:spPr>
            <a:pattFill prst="dkUpDiag">
              <a:fgClr>
                <a:srgbClr val="41AB5D"/>
              </a:fgClr>
              <a:bgClr>
                <a:sysClr val="window" lastClr="FFFFFF"/>
              </a:bgClr>
            </a:pattFill>
            <a:ln>
              <a:solidFill>
                <a:schemeClr val="tx1"/>
              </a:solidFill>
            </a:ln>
          </c:spPr>
          <c:invertIfNegative val="0"/>
          <c:cat>
            <c:multiLvlStrRef>
              <c:f>JEN!$B$40:$C$49</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JEN!$T$40:$T$49</c:f>
              <c:numCache>
                <c:formatCode>"$"#,##0</c:formatCode>
                <c:ptCount val="10"/>
                <c:pt idx="0">
                  <c:v>163235737.22410432</c:v>
                </c:pt>
                <c:pt idx="1">
                  <c:v>155055071.90446916</c:v>
                </c:pt>
                <c:pt idx="2">
                  <c:v>160215183.87531593</c:v>
                </c:pt>
                <c:pt idx="3">
                  <c:v>169906125.86934528</c:v>
                </c:pt>
                <c:pt idx="4">
                  <c:v>166759716.13102406</c:v>
                </c:pt>
                <c:pt idx="5">
                  <c:v>185101715.85329688</c:v>
                </c:pt>
                <c:pt idx="6">
                  <c:v>190801822.43869665</c:v>
                </c:pt>
                <c:pt idx="7">
                  <c:v>204515548.96953452</c:v>
                </c:pt>
                <c:pt idx="8">
                  <c:v>218185484.94753051</c:v>
                </c:pt>
                <c:pt idx="9">
                  <c:v>225554282.91243052</c:v>
                </c:pt>
              </c:numCache>
            </c:numRef>
          </c:val>
        </c:ser>
        <c:ser>
          <c:idx val="1"/>
          <c:order val="1"/>
          <c:tx>
            <c:strRef>
              <c:f>JEN!$Z$39</c:f>
              <c:strCache>
                <c:ptCount val="1"/>
                <c:pt idx="0">
                  <c:v>Actual</c:v>
                </c:pt>
              </c:strCache>
            </c:strRef>
          </c:tx>
          <c:spPr>
            <a:solidFill>
              <a:srgbClr val="41AB5D"/>
            </a:solidFill>
            <a:ln>
              <a:solidFill>
                <a:sysClr val="windowText" lastClr="000000"/>
              </a:solidFill>
            </a:ln>
          </c:spPr>
          <c:invertIfNegative val="0"/>
          <c:cat>
            <c:multiLvlStrRef>
              <c:f>JEN!$B$40:$C$49</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JEN!$Z$40:$Z$49</c:f>
              <c:numCache>
                <c:formatCode>"$"#,##0</c:formatCode>
                <c:ptCount val="10"/>
                <c:pt idx="0">
                  <c:v>175668729.23940504</c:v>
                </c:pt>
                <c:pt idx="1">
                  <c:v>180741385.07575026</c:v>
                </c:pt>
                <c:pt idx="2">
                  <c:v>178211161.86012924</c:v>
                </c:pt>
                <c:pt idx="3">
                  <c:v>183475295.22469762</c:v>
                </c:pt>
                <c:pt idx="4">
                  <c:v>185657618.29817346</c:v>
                </c:pt>
                <c:pt idx="5">
                  <c:v>195348876.76231921</c:v>
                </c:pt>
                <c:pt idx="6">
                  <c:v>201687945.62024695</c:v>
                </c:pt>
                <c:pt idx="7">
                  <c:v>223873281.13456076</c:v>
                </c:pt>
                <c:pt idx="8">
                  <c:v>#N/A</c:v>
                </c:pt>
                <c:pt idx="9">
                  <c:v>#N/A</c:v>
                </c:pt>
              </c:numCache>
            </c:numRef>
          </c:val>
        </c:ser>
        <c:dLbls>
          <c:showLegendKey val="0"/>
          <c:showVal val="0"/>
          <c:showCatName val="0"/>
          <c:showSerName val="0"/>
          <c:showPercent val="0"/>
          <c:showBubbleSize val="0"/>
        </c:dLbls>
        <c:gapWidth val="50"/>
        <c:axId val="359008512"/>
        <c:axId val="359022592"/>
      </c:barChart>
      <c:catAx>
        <c:axId val="359008512"/>
        <c:scaling>
          <c:orientation val="minMax"/>
        </c:scaling>
        <c:delete val="0"/>
        <c:axPos val="b"/>
        <c:majorTickMark val="out"/>
        <c:minorTickMark val="none"/>
        <c:tickLblPos val="nextTo"/>
        <c:txPr>
          <a:bodyPr/>
          <a:lstStyle/>
          <a:p>
            <a:pPr>
              <a:defRPr sz="750"/>
            </a:pPr>
            <a:endParaRPr lang="en-US"/>
          </a:p>
        </c:txPr>
        <c:crossAx val="359022592"/>
        <c:crosses val="autoZero"/>
        <c:auto val="1"/>
        <c:lblAlgn val="ctr"/>
        <c:lblOffset val="100"/>
        <c:noMultiLvlLbl val="0"/>
      </c:catAx>
      <c:valAx>
        <c:axId val="359022592"/>
        <c:scaling>
          <c:orientation val="minMax"/>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9008512"/>
        <c:crosses val="autoZero"/>
        <c:crossBetween val="between"/>
      </c:valAx>
    </c:plotArea>
    <c:legend>
      <c:legendPos val="b"/>
      <c:layout>
        <c:manualLayout>
          <c:xMode val="edge"/>
          <c:yMode val="edge"/>
          <c:x val="0.2656373578302712"/>
          <c:y val="0.88850503062117236"/>
          <c:w val="0.6976581364829396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41AB5D"/>
            </a:solidFill>
            <a:ln>
              <a:solidFill>
                <a:schemeClr val="tx1"/>
              </a:solidFill>
            </a:ln>
          </c:spPr>
          <c:invertIfNegative val="0"/>
          <c:cat>
            <c:strRef>
              <c:f>JEN!$C$103:$C$105</c:f>
              <c:strCache>
                <c:ptCount val="3"/>
                <c:pt idx="0">
                  <c:v>2011</c:v>
                </c:pt>
                <c:pt idx="1">
                  <c:v>2012</c:v>
                </c:pt>
                <c:pt idx="2">
                  <c:v>2013</c:v>
                </c:pt>
              </c:strCache>
            </c:strRef>
          </c:cat>
          <c:val>
            <c:numRef>
              <c:f>JEN!$K$103:$K$105</c:f>
              <c:numCache>
                <c:formatCode>"$"#,##0</c:formatCode>
                <c:ptCount val="3"/>
                <c:pt idx="0">
                  <c:v>98779452.98064056</c:v>
                </c:pt>
                <c:pt idx="1">
                  <c:v>76252775.173165664</c:v>
                </c:pt>
                <c:pt idx="2">
                  <c:v>117618488.55605261</c:v>
                </c:pt>
              </c:numCache>
            </c:numRef>
          </c:val>
        </c:ser>
        <c:dLbls>
          <c:showLegendKey val="0"/>
          <c:showVal val="0"/>
          <c:showCatName val="0"/>
          <c:showSerName val="0"/>
          <c:showPercent val="0"/>
          <c:showBubbleSize val="0"/>
        </c:dLbls>
        <c:gapWidth val="50"/>
        <c:axId val="359051264"/>
        <c:axId val="359053184"/>
      </c:barChart>
      <c:catAx>
        <c:axId val="359051264"/>
        <c:scaling>
          <c:orientation val="minMax"/>
        </c:scaling>
        <c:delete val="0"/>
        <c:axPos val="b"/>
        <c:title>
          <c:tx>
            <c:rich>
              <a:bodyPr/>
              <a:lstStyle/>
              <a:p>
                <a:pPr algn="l">
                  <a:defRPr sz="100"/>
                </a:pPr>
                <a:r>
                  <a:rPr lang="en-AU" sz="800" b="0" i="0" baseline="0">
                    <a:effectLst/>
                  </a:rPr>
                  <a:t>* For the purposes of this analysis EBIT is the sum of </a:t>
                </a:r>
                <a:r>
                  <a:rPr lang="en-AU" sz="800" b="0" i="1" baseline="0">
                    <a:effectLst/>
                  </a:rPr>
                  <a:t>profit before tax </a:t>
                </a:r>
                <a:r>
                  <a:rPr lang="en-AU" sz="800" b="0" i="0" baseline="0">
                    <a:effectLst/>
                  </a:rPr>
                  <a:t>and </a:t>
                </a:r>
                <a:r>
                  <a:rPr lang="en-AU" sz="800" b="0" i="1" baseline="0">
                    <a:effectLst/>
                  </a:rPr>
                  <a:t>finance charges</a:t>
                </a:r>
                <a:r>
                  <a:rPr lang="en-AU" sz="800" b="0" i="0" baseline="0">
                    <a:effectLst/>
                  </a:rPr>
                  <a:t>.</a:t>
                </a:r>
                <a:endParaRPr lang="en-AU" sz="100">
                  <a:effectLst/>
                </a:endParaRPr>
              </a:p>
            </c:rich>
          </c:tx>
          <c:layout>
            <c:manualLayout>
              <c:xMode val="edge"/>
              <c:yMode val="edge"/>
              <c:x val="0.19082174103237096"/>
              <c:y val="0.85840259550889475"/>
            </c:manualLayout>
          </c:layout>
          <c:overlay val="0"/>
        </c:title>
        <c:majorTickMark val="out"/>
        <c:minorTickMark val="none"/>
        <c:tickLblPos val="nextTo"/>
        <c:crossAx val="359053184"/>
        <c:crosses val="autoZero"/>
        <c:auto val="1"/>
        <c:lblAlgn val="ctr"/>
        <c:lblOffset val="100"/>
        <c:noMultiLvlLbl val="0"/>
      </c:catAx>
      <c:valAx>
        <c:axId val="359053184"/>
        <c:scaling>
          <c:orientation val="minMax"/>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9051264"/>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Powercor!$C$12</c:f>
              <c:strCache>
                <c:ptCount val="1"/>
                <c:pt idx="0">
                  <c:v>Urban (40.6%)</c:v>
                </c:pt>
              </c:strCache>
            </c:strRef>
          </c:tx>
          <c:spPr>
            <a:solidFill>
              <a:srgbClr val="1F497D">
                <a:lumMod val="60000"/>
                <a:lumOff val="40000"/>
              </a:srgbClr>
            </a:solidFill>
            <a:ln>
              <a:solidFill>
                <a:sysClr val="windowText" lastClr="000000"/>
              </a:solidFill>
            </a:ln>
          </c:spPr>
          <c:invertIfNegative val="0"/>
          <c:val>
            <c:numRef>
              <c:f>Powercor!$C$13</c:f>
              <c:numCache>
                <c:formatCode>#,##0</c:formatCode>
                <c:ptCount val="1"/>
                <c:pt idx="0">
                  <c:v>302376.5</c:v>
                </c:pt>
              </c:numCache>
            </c:numRef>
          </c:val>
        </c:ser>
        <c:ser>
          <c:idx val="1"/>
          <c:order val="1"/>
          <c:tx>
            <c:strRef>
              <c:f>Powercor!$D$12</c:f>
              <c:strCache>
                <c:ptCount val="1"/>
                <c:pt idx="0">
                  <c:v>Short rural (32.1%)</c:v>
                </c:pt>
              </c:strCache>
            </c:strRef>
          </c:tx>
          <c:spPr>
            <a:solidFill>
              <a:srgbClr val="9BBB59">
                <a:lumMod val="60000"/>
                <a:lumOff val="40000"/>
              </a:srgbClr>
            </a:solidFill>
            <a:ln>
              <a:solidFill>
                <a:sysClr val="windowText" lastClr="000000"/>
              </a:solidFill>
            </a:ln>
          </c:spPr>
          <c:invertIfNegative val="0"/>
          <c:val>
            <c:numRef>
              <c:f>Powercor!$D$13</c:f>
              <c:numCache>
                <c:formatCode>#,##0</c:formatCode>
                <c:ptCount val="1"/>
                <c:pt idx="0">
                  <c:v>238879</c:v>
                </c:pt>
              </c:numCache>
            </c:numRef>
          </c:val>
        </c:ser>
        <c:ser>
          <c:idx val="2"/>
          <c:order val="2"/>
          <c:tx>
            <c:strRef>
              <c:f>Powercor!$E$12</c:f>
              <c:strCache>
                <c:ptCount val="1"/>
                <c:pt idx="0">
                  <c:v>Long rural (27.3%)</c:v>
                </c:pt>
              </c:strCache>
            </c:strRef>
          </c:tx>
          <c:spPr>
            <a:solidFill>
              <a:srgbClr val="F79646">
                <a:lumMod val="60000"/>
                <a:lumOff val="40000"/>
              </a:srgbClr>
            </a:solidFill>
            <a:ln>
              <a:solidFill>
                <a:sysClr val="windowText" lastClr="000000"/>
              </a:solidFill>
            </a:ln>
          </c:spPr>
          <c:invertIfNegative val="0"/>
          <c:val>
            <c:numRef>
              <c:f>Powercor!$E$13</c:f>
              <c:numCache>
                <c:formatCode>#,##0</c:formatCode>
                <c:ptCount val="1"/>
                <c:pt idx="0">
                  <c:v>203543.5</c:v>
                </c:pt>
              </c:numCache>
            </c:numRef>
          </c:val>
        </c:ser>
        <c:dLbls>
          <c:showLegendKey val="0"/>
          <c:showVal val="0"/>
          <c:showCatName val="0"/>
          <c:showSerName val="0"/>
          <c:showPercent val="0"/>
          <c:showBubbleSize val="0"/>
        </c:dLbls>
        <c:gapWidth val="30"/>
        <c:overlap val="100"/>
        <c:axId val="359170816"/>
        <c:axId val="359172352"/>
      </c:barChart>
      <c:catAx>
        <c:axId val="359170816"/>
        <c:scaling>
          <c:orientation val="minMax"/>
        </c:scaling>
        <c:delete val="1"/>
        <c:axPos val="l"/>
        <c:majorTickMark val="out"/>
        <c:minorTickMark val="none"/>
        <c:tickLblPos val="nextTo"/>
        <c:crossAx val="359172352"/>
        <c:crosses val="autoZero"/>
        <c:auto val="1"/>
        <c:lblAlgn val="ctr"/>
        <c:lblOffset val="100"/>
        <c:noMultiLvlLbl val="0"/>
      </c:catAx>
      <c:valAx>
        <c:axId val="359172352"/>
        <c:scaling>
          <c:orientation val="minMax"/>
          <c:max val="744799"/>
          <c:min val="0"/>
        </c:scaling>
        <c:delete val="0"/>
        <c:axPos val="b"/>
        <c:numFmt formatCode="#,##0" sourceLinked="0"/>
        <c:majorTickMark val="out"/>
        <c:minorTickMark val="none"/>
        <c:tickLblPos val="nextTo"/>
        <c:txPr>
          <a:bodyPr/>
          <a:lstStyle/>
          <a:p>
            <a:pPr>
              <a:defRPr sz="800"/>
            </a:pPr>
            <a:endParaRPr lang="en-US"/>
          </a:p>
        </c:txPr>
        <c:crossAx val="359170816"/>
        <c:crosses val="autoZero"/>
        <c:crossBetween val="between"/>
        <c:majorUnit val="200000"/>
      </c:valAx>
    </c:plotArea>
    <c:legend>
      <c:legendPos val="b"/>
      <c:layout/>
      <c:overlay val="0"/>
      <c:txPr>
        <a:bodyPr/>
        <a:lstStyle/>
        <a:p>
          <a:pPr>
            <a:defRPr sz="9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323753280839894"/>
          <c:y val="5.0925925925925923E-2"/>
          <c:w val="0.62424168853893258"/>
          <c:h val="0.72717811315252256"/>
        </c:manualLayout>
      </c:layout>
      <c:barChart>
        <c:barDir val="bar"/>
        <c:grouping val="stacked"/>
        <c:varyColors val="0"/>
        <c:ser>
          <c:idx val="0"/>
          <c:order val="0"/>
          <c:tx>
            <c:strRef>
              <c:f>'[3]Density chart'!$N$3</c:f>
              <c:strCache>
                <c:ptCount val="1"/>
                <c:pt idx="0">
                  <c:v>CBD (1% of total NEM customers)</c:v>
                </c:pt>
              </c:strCache>
            </c:strRef>
          </c:tx>
          <c:spPr>
            <a:solidFill>
              <a:schemeClr val="bg1">
                <a:lumMod val="75000"/>
              </a:schemeClr>
            </a:solidFill>
            <a:ln>
              <a:solidFill>
                <a:schemeClr val="tx1"/>
              </a:solidFill>
            </a:ln>
          </c:spPr>
          <c:invertIfNegative val="0"/>
          <c:cat>
            <c:strRef>
              <c:f>'[3]Density chart'!$A$4:$A$16</c:f>
              <c:strCache>
                <c:ptCount val="13"/>
                <c:pt idx="0">
                  <c:v>Ergon Energy (4)</c:v>
                </c:pt>
                <c:pt idx="1">
                  <c:v>Essential Energy (4)</c:v>
                </c:pt>
                <c:pt idx="2">
                  <c:v>SA Power Networks (10)</c:v>
                </c:pt>
                <c:pt idx="3">
                  <c:v>Powercor (10)</c:v>
                </c:pt>
                <c:pt idx="4">
                  <c:v>TasNetworks (12)</c:v>
                </c:pt>
                <c:pt idx="5">
                  <c:v>AusNet Services (13)</c:v>
                </c:pt>
                <c:pt idx="6">
                  <c:v>Energex (26)</c:v>
                </c:pt>
                <c:pt idx="7">
                  <c:v>Endeavour Energy (26)</c:v>
                </c:pt>
                <c:pt idx="8">
                  <c:v>ActewAGL (34)</c:v>
                </c:pt>
                <c:pt idx="9">
                  <c:v>Ausgrid (40)</c:v>
                </c:pt>
                <c:pt idx="10">
                  <c:v>United Energy (50)</c:v>
                </c:pt>
                <c:pt idx="11">
                  <c:v>JEN (52)</c:v>
                </c:pt>
                <c:pt idx="12">
                  <c:v>CitiPower (density = 74)</c:v>
                </c:pt>
              </c:strCache>
            </c:strRef>
          </c:cat>
          <c:val>
            <c:numRef>
              <c:f>'[3]Density chart'!$N$4:$N$16</c:f>
              <c:numCache>
                <c:formatCode>General</c:formatCode>
                <c:ptCount val="13"/>
                <c:pt idx="0">
                  <c:v>0</c:v>
                </c:pt>
                <c:pt idx="1">
                  <c:v>0</c:v>
                </c:pt>
                <c:pt idx="2">
                  <c:v>6.0217123721123351E-3</c:v>
                </c:pt>
                <c:pt idx="3">
                  <c:v>0</c:v>
                </c:pt>
                <c:pt idx="4">
                  <c:v>0</c:v>
                </c:pt>
                <c:pt idx="5">
                  <c:v>0</c:v>
                </c:pt>
                <c:pt idx="6">
                  <c:v>2.8045960133895533E-3</c:v>
                </c:pt>
                <c:pt idx="7">
                  <c:v>0</c:v>
                </c:pt>
                <c:pt idx="8">
                  <c:v>0</c:v>
                </c:pt>
                <c:pt idx="9">
                  <c:v>1.8480862012132213E-2</c:v>
                </c:pt>
                <c:pt idx="10">
                  <c:v>0</c:v>
                </c:pt>
                <c:pt idx="11">
                  <c:v>0</c:v>
                </c:pt>
                <c:pt idx="12">
                  <c:v>0.17923029779995747</c:v>
                </c:pt>
              </c:numCache>
            </c:numRef>
          </c:val>
        </c:ser>
        <c:ser>
          <c:idx val="1"/>
          <c:order val="1"/>
          <c:tx>
            <c:strRef>
              <c:f>'[3]Density chart'!$O$3</c:f>
              <c:strCache>
                <c:ptCount val="1"/>
                <c:pt idx="0">
                  <c:v>Urban (67%)</c:v>
                </c:pt>
              </c:strCache>
            </c:strRef>
          </c:tx>
          <c:spPr>
            <a:solidFill>
              <a:schemeClr val="tx2">
                <a:lumMod val="60000"/>
                <a:lumOff val="40000"/>
              </a:schemeClr>
            </a:solidFill>
            <a:ln>
              <a:solidFill>
                <a:schemeClr val="tx1"/>
              </a:solidFill>
            </a:ln>
          </c:spPr>
          <c:invertIfNegative val="0"/>
          <c:cat>
            <c:strRef>
              <c:f>'[3]Density chart'!$A$4:$A$16</c:f>
              <c:strCache>
                <c:ptCount val="13"/>
                <c:pt idx="0">
                  <c:v>Ergon Energy (4)</c:v>
                </c:pt>
                <c:pt idx="1">
                  <c:v>Essential Energy (4)</c:v>
                </c:pt>
                <c:pt idx="2">
                  <c:v>SA Power Networks (10)</c:v>
                </c:pt>
                <c:pt idx="3">
                  <c:v>Powercor (10)</c:v>
                </c:pt>
                <c:pt idx="4">
                  <c:v>TasNetworks (12)</c:v>
                </c:pt>
                <c:pt idx="5">
                  <c:v>AusNet Services (13)</c:v>
                </c:pt>
                <c:pt idx="6">
                  <c:v>Energex (26)</c:v>
                </c:pt>
                <c:pt idx="7">
                  <c:v>Endeavour Energy (26)</c:v>
                </c:pt>
                <c:pt idx="8">
                  <c:v>ActewAGL (34)</c:v>
                </c:pt>
                <c:pt idx="9">
                  <c:v>Ausgrid (40)</c:v>
                </c:pt>
                <c:pt idx="10">
                  <c:v>United Energy (50)</c:v>
                </c:pt>
                <c:pt idx="11">
                  <c:v>JEN (52)</c:v>
                </c:pt>
                <c:pt idx="12">
                  <c:v>CitiPower (density = 74)</c:v>
                </c:pt>
              </c:strCache>
            </c:strRef>
          </c:cat>
          <c:val>
            <c:numRef>
              <c:f>'[3]Density chart'!$O$4:$O$16</c:f>
              <c:numCache>
                <c:formatCode>General</c:formatCode>
                <c:ptCount val="13"/>
                <c:pt idx="0">
                  <c:v>0.33867496878915265</c:v>
                </c:pt>
                <c:pt idx="1">
                  <c:v>0.23294697607023782</c:v>
                </c:pt>
                <c:pt idx="2">
                  <c:v>0.68860079821601605</c:v>
                </c:pt>
                <c:pt idx="3">
                  <c:v>0.40598403059080368</c:v>
                </c:pt>
                <c:pt idx="4">
                  <c:v>0.67269014437717189</c:v>
                </c:pt>
                <c:pt idx="5">
                  <c:v>0.43480216712686054</c:v>
                </c:pt>
                <c:pt idx="6">
                  <c:v>0.74358642787015572</c:v>
                </c:pt>
                <c:pt idx="7">
                  <c:v>0.83250806861150373</c:v>
                </c:pt>
                <c:pt idx="8">
                  <c:v>0.97368180754589917</c:v>
                </c:pt>
                <c:pt idx="9">
                  <c:v>0.86270197675933291</c:v>
                </c:pt>
                <c:pt idx="10">
                  <c:v>0.93313691879979077</c:v>
                </c:pt>
                <c:pt idx="11">
                  <c:v>0.95995985321331112</c:v>
                </c:pt>
                <c:pt idx="12">
                  <c:v>0.82076970220004253</c:v>
                </c:pt>
              </c:numCache>
            </c:numRef>
          </c:val>
        </c:ser>
        <c:ser>
          <c:idx val="2"/>
          <c:order val="2"/>
          <c:tx>
            <c:strRef>
              <c:f>'[3]Density chart'!$P$3</c:f>
              <c:strCache>
                <c:ptCount val="1"/>
                <c:pt idx="0">
                  <c:v>Short rural (24%)</c:v>
                </c:pt>
              </c:strCache>
            </c:strRef>
          </c:tx>
          <c:spPr>
            <a:solidFill>
              <a:schemeClr val="accent3">
                <a:lumMod val="60000"/>
                <a:lumOff val="40000"/>
              </a:schemeClr>
            </a:solidFill>
            <a:ln>
              <a:solidFill>
                <a:schemeClr val="tx1"/>
              </a:solidFill>
            </a:ln>
          </c:spPr>
          <c:invertIfNegative val="0"/>
          <c:cat>
            <c:strRef>
              <c:f>'[3]Density chart'!$A$4:$A$16</c:f>
              <c:strCache>
                <c:ptCount val="13"/>
                <c:pt idx="0">
                  <c:v>Ergon Energy (4)</c:v>
                </c:pt>
                <c:pt idx="1">
                  <c:v>Essential Energy (4)</c:v>
                </c:pt>
                <c:pt idx="2">
                  <c:v>SA Power Networks (10)</c:v>
                </c:pt>
                <c:pt idx="3">
                  <c:v>Powercor (10)</c:v>
                </c:pt>
                <c:pt idx="4">
                  <c:v>TasNetworks (12)</c:v>
                </c:pt>
                <c:pt idx="5">
                  <c:v>AusNet Services (13)</c:v>
                </c:pt>
                <c:pt idx="6">
                  <c:v>Energex (26)</c:v>
                </c:pt>
                <c:pt idx="7">
                  <c:v>Endeavour Energy (26)</c:v>
                </c:pt>
                <c:pt idx="8">
                  <c:v>ActewAGL (34)</c:v>
                </c:pt>
                <c:pt idx="9">
                  <c:v>Ausgrid (40)</c:v>
                </c:pt>
                <c:pt idx="10">
                  <c:v>United Energy (50)</c:v>
                </c:pt>
                <c:pt idx="11">
                  <c:v>JEN (52)</c:v>
                </c:pt>
                <c:pt idx="12">
                  <c:v>CitiPower (density = 74)</c:v>
                </c:pt>
              </c:strCache>
            </c:strRef>
          </c:cat>
          <c:val>
            <c:numRef>
              <c:f>'[3]Density chart'!$P$4:$P$16</c:f>
              <c:numCache>
                <c:formatCode>General</c:formatCode>
                <c:ptCount val="13"/>
                <c:pt idx="0">
                  <c:v>0.55781406123779664</c:v>
                </c:pt>
                <c:pt idx="1">
                  <c:v>0.60842987299900142</c:v>
                </c:pt>
                <c:pt idx="2">
                  <c:v>0.14251582542578106</c:v>
                </c:pt>
                <c:pt idx="3">
                  <c:v>0.32072948540478707</c:v>
                </c:pt>
                <c:pt idx="4">
                  <c:v>0</c:v>
                </c:pt>
                <c:pt idx="5">
                  <c:v>0.39114231577225478</c:v>
                </c:pt>
                <c:pt idx="6">
                  <c:v>0.25360897611645472</c:v>
                </c:pt>
                <c:pt idx="7">
                  <c:v>0.16716571173617234</c:v>
                </c:pt>
                <c:pt idx="8">
                  <c:v>2.631819245410082E-2</c:v>
                </c:pt>
                <c:pt idx="9">
                  <c:v>0.11722220149698713</c:v>
                </c:pt>
                <c:pt idx="10">
                  <c:v>6.6863081200209187E-2</c:v>
                </c:pt>
                <c:pt idx="11">
                  <c:v>4.0040146786688831E-2</c:v>
                </c:pt>
                <c:pt idx="12">
                  <c:v>0</c:v>
                </c:pt>
              </c:numCache>
            </c:numRef>
          </c:val>
        </c:ser>
        <c:ser>
          <c:idx val="3"/>
          <c:order val="3"/>
          <c:tx>
            <c:strRef>
              <c:f>'[3]Density chart'!$Q$3</c:f>
              <c:strCache>
                <c:ptCount val="1"/>
                <c:pt idx="0">
                  <c:v>Long rural (7%)</c:v>
                </c:pt>
              </c:strCache>
            </c:strRef>
          </c:tx>
          <c:spPr>
            <a:solidFill>
              <a:schemeClr val="accent6">
                <a:lumMod val="60000"/>
                <a:lumOff val="40000"/>
              </a:schemeClr>
            </a:solidFill>
            <a:ln>
              <a:solidFill>
                <a:schemeClr val="tx1"/>
              </a:solidFill>
            </a:ln>
          </c:spPr>
          <c:invertIfNegative val="0"/>
          <c:cat>
            <c:strRef>
              <c:f>'[3]Density chart'!$A$4:$A$16</c:f>
              <c:strCache>
                <c:ptCount val="13"/>
                <c:pt idx="0">
                  <c:v>Ergon Energy (4)</c:v>
                </c:pt>
                <c:pt idx="1">
                  <c:v>Essential Energy (4)</c:v>
                </c:pt>
                <c:pt idx="2">
                  <c:v>SA Power Networks (10)</c:v>
                </c:pt>
                <c:pt idx="3">
                  <c:v>Powercor (10)</c:v>
                </c:pt>
                <c:pt idx="4">
                  <c:v>TasNetworks (12)</c:v>
                </c:pt>
                <c:pt idx="5">
                  <c:v>AusNet Services (13)</c:v>
                </c:pt>
                <c:pt idx="6">
                  <c:v>Energex (26)</c:v>
                </c:pt>
                <c:pt idx="7">
                  <c:v>Endeavour Energy (26)</c:v>
                </c:pt>
                <c:pt idx="8">
                  <c:v>ActewAGL (34)</c:v>
                </c:pt>
                <c:pt idx="9">
                  <c:v>Ausgrid (40)</c:v>
                </c:pt>
                <c:pt idx="10">
                  <c:v>United Energy (50)</c:v>
                </c:pt>
                <c:pt idx="11">
                  <c:v>JEN (52)</c:v>
                </c:pt>
                <c:pt idx="12">
                  <c:v>CitiPower (density = 74)</c:v>
                </c:pt>
              </c:strCache>
            </c:strRef>
          </c:cat>
          <c:val>
            <c:numRef>
              <c:f>'[3]Density chart'!$Q$4:$Q$16</c:f>
              <c:numCache>
                <c:formatCode>General</c:formatCode>
                <c:ptCount val="13"/>
                <c:pt idx="0">
                  <c:v>0.10351096997305075</c:v>
                </c:pt>
                <c:pt idx="1">
                  <c:v>0.15862315093076074</c:v>
                </c:pt>
                <c:pt idx="2">
                  <c:v>0.1628616639860905</c:v>
                </c:pt>
                <c:pt idx="3">
                  <c:v>0.27328648400440925</c:v>
                </c:pt>
                <c:pt idx="4">
                  <c:v>0</c:v>
                </c:pt>
                <c:pt idx="5">
                  <c:v>0.17405551710088468</c:v>
                </c:pt>
                <c:pt idx="6">
                  <c:v>0</c:v>
                </c:pt>
                <c:pt idx="7">
                  <c:v>3.262196523238386E-4</c:v>
                </c:pt>
                <c:pt idx="8">
                  <c:v>0</c:v>
                </c:pt>
                <c:pt idx="9">
                  <c:v>1.5949597315477286E-3</c:v>
                </c:pt>
                <c:pt idx="10">
                  <c:v>0</c:v>
                </c:pt>
                <c:pt idx="11">
                  <c:v>0</c:v>
                </c:pt>
                <c:pt idx="12">
                  <c:v>0</c:v>
                </c:pt>
              </c:numCache>
            </c:numRef>
          </c:val>
        </c:ser>
        <c:dLbls>
          <c:showLegendKey val="0"/>
          <c:showVal val="0"/>
          <c:showCatName val="0"/>
          <c:showSerName val="0"/>
          <c:showPercent val="0"/>
          <c:showBubbleSize val="0"/>
        </c:dLbls>
        <c:gapWidth val="50"/>
        <c:overlap val="100"/>
        <c:axId val="101717120"/>
        <c:axId val="101718656"/>
      </c:barChart>
      <c:catAx>
        <c:axId val="101717120"/>
        <c:scaling>
          <c:orientation val="minMax"/>
        </c:scaling>
        <c:delete val="0"/>
        <c:axPos val="l"/>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01718656"/>
        <c:crosses val="autoZero"/>
        <c:auto val="1"/>
        <c:lblAlgn val="ctr"/>
        <c:lblOffset val="100"/>
        <c:noMultiLvlLbl val="0"/>
      </c:catAx>
      <c:valAx>
        <c:axId val="101718656"/>
        <c:scaling>
          <c:orientation val="minMax"/>
          <c:max val="1"/>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01717120"/>
        <c:crosses val="autoZero"/>
        <c:crossBetween val="between"/>
      </c:valAx>
    </c:plotArea>
    <c:legend>
      <c:legendPos val="b"/>
      <c:layout>
        <c:manualLayout>
          <c:xMode val="edge"/>
          <c:yMode val="edge"/>
          <c:x val="0.13233552055992998"/>
          <c:y val="0.86072725284339457"/>
          <c:w val="0.86766447944006997"/>
          <c:h val="0.13927274715660543"/>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Powercor!$D$16</c:f>
              <c:strCache>
                <c:ptCount val="1"/>
                <c:pt idx="0">
                  <c:v>Overhead (88.9%)</c:v>
                </c:pt>
              </c:strCache>
            </c:strRef>
          </c:tx>
          <c:spPr>
            <a:solidFill>
              <a:srgbClr val="4BACC6">
                <a:lumMod val="60000"/>
                <a:lumOff val="40000"/>
              </a:srgbClr>
            </a:solidFill>
            <a:ln>
              <a:solidFill>
                <a:schemeClr val="tx1"/>
              </a:solidFill>
            </a:ln>
          </c:spPr>
          <c:invertIfNegative val="0"/>
          <c:dPt>
            <c:idx val="0"/>
            <c:invertIfNegative val="0"/>
            <c:bubble3D val="0"/>
          </c:dPt>
          <c:val>
            <c:numRef>
              <c:f>Powercor!$D$17</c:f>
              <c:numCache>
                <c:formatCode>_-* #,##0_-;\-* #,##0_-;_-* "-"??_-;_-@_-</c:formatCode>
                <c:ptCount val="1"/>
                <c:pt idx="0">
                  <c:v>65653</c:v>
                </c:pt>
              </c:numCache>
            </c:numRef>
          </c:val>
        </c:ser>
        <c:ser>
          <c:idx val="1"/>
          <c:order val="1"/>
          <c:tx>
            <c:strRef>
              <c:f>Powercor!$C$16</c:f>
              <c:strCache>
                <c:ptCount val="1"/>
                <c:pt idx="0">
                  <c:v>Underground (6.9%)</c:v>
                </c:pt>
              </c:strCache>
            </c:strRef>
          </c:tx>
          <c:spPr>
            <a:solidFill>
              <a:srgbClr val="EEECE1">
                <a:lumMod val="50000"/>
              </a:srgbClr>
            </a:solidFill>
            <a:ln>
              <a:solidFill>
                <a:sysClr val="windowText" lastClr="000000"/>
              </a:solidFill>
            </a:ln>
          </c:spPr>
          <c:invertIfNegative val="0"/>
          <c:dPt>
            <c:idx val="0"/>
            <c:invertIfNegative val="0"/>
            <c:bubble3D val="0"/>
          </c:dPt>
          <c:val>
            <c:numRef>
              <c:f>Powercor!$C$17</c:f>
              <c:numCache>
                <c:formatCode>_-* #,##0_-;\-* #,##0_-;_-* "-"??_-;_-@_-</c:formatCode>
                <c:ptCount val="1"/>
                <c:pt idx="0">
                  <c:v>5062</c:v>
                </c:pt>
              </c:numCache>
            </c:numRef>
          </c:val>
        </c:ser>
        <c:ser>
          <c:idx val="2"/>
          <c:order val="2"/>
          <c:tx>
            <c:strRef>
              <c:f>Powercor!$E$16</c:f>
              <c:strCache>
                <c:ptCount val="1"/>
                <c:pt idx="0">
                  <c:v>Subtransmission (4.3%)</c:v>
                </c:pt>
              </c:strCache>
            </c:strRef>
          </c:tx>
          <c:spPr>
            <a:solidFill>
              <a:srgbClr val="C0504D">
                <a:lumMod val="60000"/>
                <a:lumOff val="40000"/>
              </a:srgbClr>
            </a:solidFill>
            <a:ln>
              <a:solidFill>
                <a:sysClr val="windowText" lastClr="000000"/>
              </a:solidFill>
            </a:ln>
          </c:spPr>
          <c:invertIfNegative val="0"/>
          <c:val>
            <c:numRef>
              <c:f>Powercor!$E$17</c:f>
              <c:numCache>
                <c:formatCode>_-* #,##0_-;\-* #,##0_-;_-* "-"??_-;_-@_-</c:formatCode>
                <c:ptCount val="1"/>
                <c:pt idx="0">
                  <c:v>3174</c:v>
                </c:pt>
              </c:numCache>
            </c:numRef>
          </c:val>
        </c:ser>
        <c:dLbls>
          <c:showLegendKey val="0"/>
          <c:showVal val="0"/>
          <c:showCatName val="0"/>
          <c:showSerName val="0"/>
          <c:showPercent val="0"/>
          <c:showBubbleSize val="0"/>
        </c:dLbls>
        <c:gapWidth val="30"/>
        <c:overlap val="100"/>
        <c:axId val="359189888"/>
        <c:axId val="359216256"/>
      </c:barChart>
      <c:catAx>
        <c:axId val="359189888"/>
        <c:scaling>
          <c:orientation val="minMax"/>
        </c:scaling>
        <c:delete val="1"/>
        <c:axPos val="l"/>
        <c:majorTickMark val="out"/>
        <c:minorTickMark val="none"/>
        <c:tickLblPos val="nextTo"/>
        <c:crossAx val="359216256"/>
        <c:crosses val="autoZero"/>
        <c:auto val="1"/>
        <c:lblAlgn val="ctr"/>
        <c:lblOffset val="100"/>
        <c:noMultiLvlLbl val="0"/>
      </c:catAx>
      <c:valAx>
        <c:axId val="359216256"/>
        <c:scaling>
          <c:orientation val="minMax"/>
          <c:max val="73887"/>
          <c:min val="0"/>
        </c:scaling>
        <c:delete val="0"/>
        <c:axPos val="b"/>
        <c:numFmt formatCode="0,000\ &quot;km&quot;" sourceLinked="0"/>
        <c:majorTickMark val="out"/>
        <c:minorTickMark val="none"/>
        <c:tickLblPos val="nextTo"/>
        <c:txPr>
          <a:bodyPr/>
          <a:lstStyle/>
          <a:p>
            <a:pPr>
              <a:defRPr sz="800"/>
            </a:pPr>
            <a:endParaRPr lang="en-US"/>
          </a:p>
        </c:txPr>
        <c:crossAx val="359189888"/>
        <c:crosses val="autoZero"/>
        <c:crossBetween val="between"/>
        <c:majorUnit val="20000"/>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Powercor!$B$24</c:f>
              <c:strCache>
                <c:ptCount val="1"/>
                <c:pt idx="0">
                  <c:v>Forecast</c:v>
                </c:pt>
              </c:strCache>
            </c:strRef>
          </c:tx>
          <c:spPr>
            <a:pattFill prst="dkUpDiag">
              <a:fgClr>
                <a:srgbClr val="74C476"/>
              </a:fgClr>
              <a:bgClr>
                <a:sysClr val="windowText" lastClr="000000"/>
              </a:bgClr>
            </a:pattFill>
            <a:ln>
              <a:solidFill>
                <a:sysClr val="windowText" lastClr="000000"/>
              </a:solidFill>
            </a:ln>
          </c:spPr>
          <c:invertIfNegative val="0"/>
          <c:cat>
            <c:multiLvlStrRef>
              <c:f>Powercor!$C$20:$L$21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Powercor!$C$24:$L$24</c:f>
              <c:numCache>
                <c:formatCode>#,##0</c:formatCode>
                <c:ptCount val="10"/>
                <c:pt idx="0">
                  <c:v>10024</c:v>
                </c:pt>
                <c:pt idx="1">
                  <c:v>10228</c:v>
                </c:pt>
                <c:pt idx="2">
                  <c:v>10419</c:v>
                </c:pt>
                <c:pt idx="3">
                  <c:v>10605</c:v>
                </c:pt>
                <c:pt idx="4">
                  <c:v>10804</c:v>
                </c:pt>
                <c:pt idx="5">
                  <c:v>10726</c:v>
                </c:pt>
                <c:pt idx="6">
                  <c:v>10795</c:v>
                </c:pt>
                <c:pt idx="7">
                  <c:v>10781</c:v>
                </c:pt>
                <c:pt idx="8">
                  <c:v>10761</c:v>
                </c:pt>
                <c:pt idx="9">
                  <c:v>10797</c:v>
                </c:pt>
              </c:numCache>
            </c:numRef>
          </c:val>
        </c:ser>
        <c:ser>
          <c:idx val="0"/>
          <c:order val="1"/>
          <c:tx>
            <c:strRef>
              <c:f>Powercor!$B$22</c:f>
              <c:strCache>
                <c:ptCount val="1"/>
                <c:pt idx="0">
                  <c:v>Actual</c:v>
                </c:pt>
              </c:strCache>
            </c:strRef>
          </c:tx>
          <c:spPr>
            <a:solidFill>
              <a:srgbClr val="74C476"/>
            </a:solidFill>
            <a:ln>
              <a:solidFill>
                <a:sysClr val="windowText" lastClr="000000"/>
              </a:solidFill>
            </a:ln>
          </c:spPr>
          <c:invertIfNegative val="0"/>
          <c:cat>
            <c:multiLvlStrRef>
              <c:f>Powercor!$C$20:$L$21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Powercor!$C$22:$L$22</c:f>
              <c:numCache>
                <c:formatCode>#,##0</c:formatCode>
                <c:ptCount val="10"/>
                <c:pt idx="0">
                  <c:v>10147.7995905515</c:v>
                </c:pt>
                <c:pt idx="1">
                  <c:v>10299.2012442499</c:v>
                </c:pt>
                <c:pt idx="2">
                  <c:v>10510.327419061599</c:v>
                </c:pt>
                <c:pt idx="3">
                  <c:v>10490.717127596499</c:v>
                </c:pt>
                <c:pt idx="4">
                  <c:v>10678</c:v>
                </c:pt>
                <c:pt idx="5">
                  <c:v>10470.6765865871</c:v>
                </c:pt>
                <c:pt idx="6">
                  <c:v>10743.806137023699</c:v>
                </c:pt>
                <c:pt idx="7">
                  <c:v>10555.881312208894</c:v>
                </c:pt>
              </c:numCache>
            </c:numRef>
          </c:val>
        </c:ser>
        <c:dLbls>
          <c:showLegendKey val="0"/>
          <c:showVal val="0"/>
          <c:showCatName val="0"/>
          <c:showSerName val="0"/>
          <c:showPercent val="0"/>
          <c:showBubbleSize val="0"/>
        </c:dLbls>
        <c:gapWidth val="50"/>
        <c:axId val="359384576"/>
        <c:axId val="359386112"/>
      </c:barChart>
      <c:catAx>
        <c:axId val="359384576"/>
        <c:scaling>
          <c:orientation val="minMax"/>
        </c:scaling>
        <c:delete val="0"/>
        <c:axPos val="b"/>
        <c:majorTickMark val="out"/>
        <c:minorTickMark val="none"/>
        <c:tickLblPos val="nextTo"/>
        <c:txPr>
          <a:bodyPr/>
          <a:lstStyle/>
          <a:p>
            <a:pPr>
              <a:defRPr sz="800"/>
            </a:pPr>
            <a:endParaRPr lang="en-US"/>
          </a:p>
        </c:txPr>
        <c:crossAx val="359386112"/>
        <c:crosses val="autoZero"/>
        <c:auto val="1"/>
        <c:lblAlgn val="ctr"/>
        <c:lblOffset val="100"/>
        <c:noMultiLvlLbl val="0"/>
      </c:catAx>
      <c:valAx>
        <c:axId val="359386112"/>
        <c:scaling>
          <c:orientation val="minMax"/>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59384576"/>
        <c:crosses val="autoZero"/>
        <c:crossBetween val="between"/>
      </c:valAx>
    </c:plotArea>
    <c:legend>
      <c:legendPos val="b"/>
      <c:layout>
        <c:manualLayout>
          <c:xMode val="edge"/>
          <c:yMode val="edge"/>
          <c:x val="0.23091885389326333"/>
          <c:y val="0.89838181685622631"/>
          <c:w val="0.7409400699912511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Powercor!$B$31</c:f>
              <c:strCache>
                <c:ptCount val="1"/>
                <c:pt idx="0">
                  <c:v>Forecast</c:v>
                </c:pt>
              </c:strCache>
            </c:strRef>
          </c:tx>
          <c:spPr>
            <a:pattFill prst="dkUpDiag">
              <a:fgClr>
                <a:srgbClr val="74C476"/>
              </a:fgClr>
              <a:bgClr>
                <a:schemeClr val="tx1"/>
              </a:bgClr>
            </a:pattFill>
            <a:ln>
              <a:solidFill>
                <a:sysClr val="windowText" lastClr="000000"/>
              </a:solidFill>
            </a:ln>
          </c:spPr>
          <c:invertIfNegative val="0"/>
          <c:cat>
            <c:multiLvlStrRef>
              <c:f>Powercor!$C$27:$L$28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Powercor!$C$31:$L$31</c:f>
              <c:numCache>
                <c:formatCode>General</c:formatCode>
                <c:ptCount val="10"/>
                <c:pt idx="5" formatCode="#,##0">
                  <c:v>2481</c:v>
                </c:pt>
                <c:pt idx="6" formatCode="#,##0">
                  <c:v>2557</c:v>
                </c:pt>
                <c:pt idx="7" formatCode="#,##0">
                  <c:v>2652</c:v>
                </c:pt>
                <c:pt idx="8" formatCode="#,##0">
                  <c:v>2747</c:v>
                </c:pt>
                <c:pt idx="9" formatCode="#,##0">
                  <c:v>2848</c:v>
                </c:pt>
              </c:numCache>
            </c:numRef>
          </c:val>
        </c:ser>
        <c:ser>
          <c:idx val="1"/>
          <c:order val="1"/>
          <c:tx>
            <c:strRef>
              <c:f>Powercor!$B$29</c:f>
              <c:strCache>
                <c:ptCount val="1"/>
                <c:pt idx="0">
                  <c:v>Actual</c:v>
                </c:pt>
              </c:strCache>
            </c:strRef>
          </c:tx>
          <c:spPr>
            <a:solidFill>
              <a:srgbClr val="74C476"/>
            </a:solidFill>
            <a:ln>
              <a:solidFill>
                <a:sysClr val="windowText" lastClr="000000"/>
              </a:solidFill>
            </a:ln>
          </c:spPr>
          <c:invertIfNegative val="0"/>
          <c:cat>
            <c:multiLvlStrRef>
              <c:f>Powercor!$C$27:$L$28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Powercor!$C$29:$L$29</c:f>
              <c:numCache>
                <c:formatCode>#,##0</c:formatCode>
                <c:ptCount val="10"/>
                <c:pt idx="0">
                  <c:v>2479.0899999999979</c:v>
                </c:pt>
                <c:pt idx="1">
                  <c:v>2549.7000000000007</c:v>
                </c:pt>
                <c:pt idx="2">
                  <c:v>2626.2300000000009</c:v>
                </c:pt>
                <c:pt idx="3">
                  <c:v>2781.6499999999996</c:v>
                </c:pt>
                <c:pt idx="4">
                  <c:v>2739.3450464999232</c:v>
                </c:pt>
                <c:pt idx="5">
                  <c:v>2263</c:v>
                </c:pt>
                <c:pt idx="6">
                  <c:v>2161</c:v>
                </c:pt>
                <c:pt idx="7">
                  <c:v>2321</c:v>
                </c:pt>
              </c:numCache>
            </c:numRef>
          </c:val>
        </c:ser>
        <c:dLbls>
          <c:showLegendKey val="0"/>
          <c:showVal val="0"/>
          <c:showCatName val="0"/>
          <c:showSerName val="0"/>
          <c:showPercent val="0"/>
          <c:showBubbleSize val="0"/>
        </c:dLbls>
        <c:gapWidth val="50"/>
        <c:axId val="359432576"/>
        <c:axId val="359434112"/>
      </c:barChart>
      <c:catAx>
        <c:axId val="359432576"/>
        <c:scaling>
          <c:orientation val="minMax"/>
        </c:scaling>
        <c:delete val="0"/>
        <c:axPos val="b"/>
        <c:majorTickMark val="out"/>
        <c:minorTickMark val="none"/>
        <c:tickLblPos val="nextTo"/>
        <c:txPr>
          <a:bodyPr/>
          <a:lstStyle/>
          <a:p>
            <a:pPr>
              <a:defRPr sz="800"/>
            </a:pPr>
            <a:endParaRPr lang="en-US"/>
          </a:p>
        </c:txPr>
        <c:crossAx val="359434112"/>
        <c:crosses val="autoZero"/>
        <c:auto val="1"/>
        <c:lblAlgn val="ctr"/>
        <c:lblOffset val="100"/>
        <c:noMultiLvlLbl val="0"/>
      </c:catAx>
      <c:valAx>
        <c:axId val="359434112"/>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General" sourceLinked="1"/>
        <c:majorTickMark val="out"/>
        <c:minorTickMark val="none"/>
        <c:tickLblPos val="nextTo"/>
        <c:crossAx val="359432576"/>
        <c:crosses val="autoZero"/>
        <c:crossBetween val="between"/>
      </c:valAx>
    </c:plotArea>
    <c:legend>
      <c:legendPos val="b"/>
      <c:layout>
        <c:manualLayout>
          <c:xMode val="edge"/>
          <c:yMode val="edge"/>
          <c:x val="0.23055555555555557"/>
          <c:y val="0.89838181685622631"/>
          <c:w val="0.7437178477690289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Powercor!$T$64</c:f>
              <c:strCache>
                <c:ptCount val="1"/>
                <c:pt idx="0">
                  <c:v>Forecast (inc. amendments)
</c:v>
                </c:pt>
              </c:strCache>
            </c:strRef>
          </c:tx>
          <c:spPr>
            <a:pattFill prst="dkUpDiag">
              <a:fgClr>
                <a:srgbClr val="74C476"/>
              </a:fgClr>
              <a:bgClr>
                <a:sysClr val="windowText" lastClr="000000"/>
              </a:bgClr>
            </a:pattFill>
            <a:ln>
              <a:solidFill>
                <a:schemeClr val="tx1"/>
              </a:solidFill>
            </a:ln>
          </c:spPr>
          <c:invertIfNegative val="0"/>
          <c:cat>
            <c:multiLvlStrRef>
              <c:f>Powercor!$B$65:$C$74</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Powercor!$T$65:$T$74</c:f>
              <c:numCache>
                <c:formatCode>"$"#,##0</c:formatCode>
                <c:ptCount val="10"/>
                <c:pt idx="0">
                  <c:v>183624472.32842574</c:v>
                </c:pt>
                <c:pt idx="1">
                  <c:v>201496079.6420902</c:v>
                </c:pt>
                <c:pt idx="2">
                  <c:v>206907904.39200267</c:v>
                </c:pt>
                <c:pt idx="3">
                  <c:v>203383925.48508292</c:v>
                </c:pt>
                <c:pt idx="4">
                  <c:v>206152766.05480558</c:v>
                </c:pt>
                <c:pt idx="5">
                  <c:v>267893132.13848352</c:v>
                </c:pt>
                <c:pt idx="6">
                  <c:v>286896910.22583193</c:v>
                </c:pt>
                <c:pt idx="7">
                  <c:v>294805305.55657881</c:v>
                </c:pt>
                <c:pt idx="8">
                  <c:v>310416501.70244932</c:v>
                </c:pt>
                <c:pt idx="9">
                  <c:v>315005874.30090648</c:v>
                </c:pt>
              </c:numCache>
            </c:numRef>
          </c:val>
        </c:ser>
        <c:ser>
          <c:idx val="1"/>
          <c:order val="1"/>
          <c:tx>
            <c:strRef>
              <c:f>Powercor!$AB$64</c:f>
              <c:strCache>
                <c:ptCount val="1"/>
                <c:pt idx="0">
                  <c:v>Actual</c:v>
                </c:pt>
              </c:strCache>
            </c:strRef>
          </c:tx>
          <c:spPr>
            <a:solidFill>
              <a:srgbClr val="74C476"/>
            </a:solidFill>
            <a:ln>
              <a:solidFill>
                <a:sysClr val="windowText" lastClr="000000"/>
              </a:solidFill>
            </a:ln>
          </c:spPr>
          <c:invertIfNegative val="0"/>
          <c:cat>
            <c:multiLvlStrRef>
              <c:f>Powercor!$B$65:$C$74</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Powercor!$AB$65:$AB$74</c:f>
              <c:numCache>
                <c:formatCode>"$"#,##0</c:formatCode>
                <c:ptCount val="10"/>
                <c:pt idx="0">
                  <c:v>242067586.38995805</c:v>
                </c:pt>
                <c:pt idx="1">
                  <c:v>240869614.32364848</c:v>
                </c:pt>
                <c:pt idx="2">
                  <c:v>229032167.30127531</c:v>
                </c:pt>
                <c:pt idx="3">
                  <c:v>217463271.74431381</c:v>
                </c:pt>
                <c:pt idx="4">
                  <c:v>255245406.82956001</c:v>
                </c:pt>
                <c:pt idx="5">
                  <c:v>231589356.14322084</c:v>
                </c:pt>
                <c:pt idx="6">
                  <c:v>249550549.06208614</c:v>
                </c:pt>
                <c:pt idx="7">
                  <c:v>279019468.80183935</c:v>
                </c:pt>
              </c:numCache>
            </c:numRef>
          </c:val>
        </c:ser>
        <c:dLbls>
          <c:showLegendKey val="0"/>
          <c:showVal val="0"/>
          <c:showCatName val="0"/>
          <c:showSerName val="0"/>
          <c:showPercent val="0"/>
          <c:showBubbleSize val="0"/>
        </c:dLbls>
        <c:gapWidth val="50"/>
        <c:axId val="359443072"/>
        <c:axId val="359477632"/>
      </c:barChart>
      <c:catAx>
        <c:axId val="359443072"/>
        <c:scaling>
          <c:orientation val="minMax"/>
        </c:scaling>
        <c:delete val="0"/>
        <c:axPos val="b"/>
        <c:majorTickMark val="out"/>
        <c:minorTickMark val="none"/>
        <c:tickLblPos val="nextTo"/>
        <c:txPr>
          <a:bodyPr/>
          <a:lstStyle/>
          <a:p>
            <a:pPr>
              <a:defRPr sz="800"/>
            </a:pPr>
            <a:endParaRPr lang="en-US"/>
          </a:p>
        </c:txPr>
        <c:crossAx val="359477632"/>
        <c:crosses val="autoZero"/>
        <c:auto val="1"/>
        <c:lblAlgn val="ctr"/>
        <c:lblOffset val="100"/>
        <c:noMultiLvlLbl val="0"/>
      </c:catAx>
      <c:valAx>
        <c:axId val="359477632"/>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59443072"/>
        <c:crosses val="autoZero"/>
        <c:crossBetween val="between"/>
      </c:valAx>
    </c:plotArea>
    <c:legend>
      <c:legendPos val="b"/>
      <c:layout>
        <c:manualLayout>
          <c:xMode val="edge"/>
          <c:yMode val="edge"/>
          <c:x val="0.26008180227471567"/>
          <c:y val="0.88850503062117236"/>
          <c:w val="0.7059914698162729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4C476"/>
            </a:solidFill>
            <a:ln>
              <a:solidFill>
                <a:schemeClr val="tx1"/>
              </a:solidFill>
            </a:ln>
          </c:spPr>
          <c:invertIfNegative val="0"/>
          <c:cat>
            <c:multiLvlStrRef>
              <c:f>Powercor!$B$78:$C$86</c:f>
              <c:multiLvlStrCache>
                <c:ptCount val="9"/>
                <c:lvl>
                  <c:pt idx="0">
                    <c:v>2011</c:v>
                  </c:pt>
                  <c:pt idx="1">
                    <c:v>2012</c:v>
                  </c:pt>
                  <c:pt idx="2">
                    <c:v>2013</c:v>
                  </c:pt>
                  <c:pt idx="3">
                    <c:v>2011</c:v>
                  </c:pt>
                  <c:pt idx="4">
                    <c:v>2012</c:v>
                  </c:pt>
                  <c:pt idx="5">
                    <c:v>2013</c:v>
                  </c:pt>
                  <c:pt idx="6">
                    <c:v>2011</c:v>
                  </c:pt>
                  <c:pt idx="7">
                    <c:v>2012</c:v>
                  </c:pt>
                  <c:pt idx="8">
                    <c:v>2013</c:v>
                  </c:pt>
                </c:lvl>
                <c:lvl>
                  <c:pt idx="0">
                    <c:v>Demand related</c:v>
                  </c:pt>
                  <c:pt idx="3">
                    <c:v>Non-demand related</c:v>
                  </c:pt>
                  <c:pt idx="6">
                    <c:v>Non-system</c:v>
                  </c:pt>
                </c:lvl>
              </c:multiLvlStrCache>
            </c:multiLvlStrRef>
          </c:cat>
          <c:val>
            <c:numRef>
              <c:f>Powercor!$H$78:$H$86</c:f>
              <c:numCache>
                <c:formatCode>"$"#,##0</c:formatCode>
                <c:ptCount val="9"/>
                <c:pt idx="0">
                  <c:v>110275808.27053875</c:v>
                </c:pt>
                <c:pt idx="1">
                  <c:v>125544859.4516519</c:v>
                </c:pt>
                <c:pt idx="2">
                  <c:v>121887362.06093502</c:v>
                </c:pt>
                <c:pt idx="3">
                  <c:v>83882608.137359396</c:v>
                </c:pt>
                <c:pt idx="4">
                  <c:v>100674975.2583499</c:v>
                </c:pt>
                <c:pt idx="5">
                  <c:v>131860288.70438597</c:v>
                </c:pt>
                <c:pt idx="6">
                  <c:v>4340814.018216134</c:v>
                </c:pt>
                <c:pt idx="7">
                  <c:v>2587694.2306910828</c:v>
                </c:pt>
                <c:pt idx="8">
                  <c:v>2920540.6773061035</c:v>
                </c:pt>
              </c:numCache>
            </c:numRef>
          </c:val>
        </c:ser>
        <c:dLbls>
          <c:showLegendKey val="0"/>
          <c:showVal val="0"/>
          <c:showCatName val="0"/>
          <c:showSerName val="0"/>
          <c:showPercent val="0"/>
          <c:showBubbleSize val="0"/>
        </c:dLbls>
        <c:gapWidth val="50"/>
        <c:axId val="359506304"/>
        <c:axId val="359507840"/>
      </c:barChart>
      <c:catAx>
        <c:axId val="359506304"/>
        <c:scaling>
          <c:orientation val="minMax"/>
        </c:scaling>
        <c:delete val="0"/>
        <c:axPos val="b"/>
        <c:majorTickMark val="out"/>
        <c:minorTickMark val="none"/>
        <c:tickLblPos val="nextTo"/>
        <c:txPr>
          <a:bodyPr/>
          <a:lstStyle/>
          <a:p>
            <a:pPr>
              <a:defRPr sz="800"/>
            </a:pPr>
            <a:endParaRPr lang="en-US"/>
          </a:p>
        </c:txPr>
        <c:crossAx val="359507840"/>
        <c:crosses val="autoZero"/>
        <c:auto val="1"/>
        <c:lblAlgn val="ctr"/>
        <c:lblOffset val="100"/>
        <c:noMultiLvlLbl val="0"/>
      </c:catAx>
      <c:valAx>
        <c:axId val="359507840"/>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9506304"/>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Powercor!$K$89</c:f>
              <c:strCache>
                <c:ptCount val="1"/>
                <c:pt idx="0">
                  <c:v>Forecast (inc. amendments)
</c:v>
                </c:pt>
              </c:strCache>
            </c:strRef>
          </c:tx>
          <c:spPr>
            <a:pattFill prst="dkUpDiag">
              <a:fgClr>
                <a:srgbClr val="74C476"/>
              </a:fgClr>
              <a:bgClr>
                <a:sysClr val="windowText" lastClr="000000"/>
              </a:bgClr>
            </a:pattFill>
            <a:ln>
              <a:solidFill>
                <a:schemeClr val="tx1"/>
              </a:solidFill>
            </a:ln>
          </c:spPr>
          <c:invertIfNegative val="0"/>
          <c:cat>
            <c:multiLvlStrRef>
              <c:f>Powercor!$B$90:$C$97</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Powercor!$K$90:$K$97</c:f>
              <c:numCache>
                <c:formatCode>"$"#,##0</c:formatCode>
                <c:ptCount val="8"/>
                <c:pt idx="0">
                  <c:v>2103437838.2624943</c:v>
                </c:pt>
                <c:pt idx="1">
                  <c:v>2176686256.970612</c:v>
                </c:pt>
                <c:pt idx="2">
                  <c:v>2253710367.3647151</c:v>
                </c:pt>
                <c:pt idx="3">
                  <c:v>2324693371.0612416</c:v>
                </c:pt>
                <c:pt idx="4">
                  <c:v>2397060795.0426297</c:v>
                </c:pt>
                <c:pt idx="5">
                  <c:v>2473597194.3887777</c:v>
                </c:pt>
                <c:pt idx="6">
                  <c:v>2635300000</c:v>
                </c:pt>
                <c:pt idx="7">
                  <c:v>2792550192.3076925</c:v>
                </c:pt>
              </c:numCache>
            </c:numRef>
          </c:val>
        </c:ser>
        <c:ser>
          <c:idx val="1"/>
          <c:order val="1"/>
          <c:tx>
            <c:strRef>
              <c:f>Powercor!$Q$89</c:f>
              <c:strCache>
                <c:ptCount val="1"/>
                <c:pt idx="0">
                  <c:v>Actual</c:v>
                </c:pt>
              </c:strCache>
            </c:strRef>
          </c:tx>
          <c:spPr>
            <a:solidFill>
              <a:srgbClr val="74C476"/>
            </a:solidFill>
            <a:ln>
              <a:solidFill>
                <a:sysClr val="windowText" lastClr="000000"/>
              </a:solidFill>
            </a:ln>
          </c:spPr>
          <c:invertIfNegative val="0"/>
          <c:cat>
            <c:multiLvlStrRef>
              <c:f>Powercor!$B$90:$C$97</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Powercor!$Q$90:$Q$97</c:f>
              <c:numCache>
                <c:formatCode>"$"#,##0</c:formatCode>
                <c:ptCount val="8"/>
                <c:pt idx="0">
                  <c:v>2089397479.5522954</c:v>
                </c:pt>
                <c:pt idx="1">
                  <c:v>2148213590.9441504</c:v>
                </c:pt>
                <c:pt idx="2">
                  <c:v>2210091941.5287585</c:v>
                </c:pt>
                <c:pt idx="3">
                  <c:v>2255603151.6003733</c:v>
                </c:pt>
                <c:pt idx="4">
                  <c:v>2336594098.5259614</c:v>
                </c:pt>
                <c:pt idx="5">
                  <c:v>2480264981.3073139</c:v>
                </c:pt>
                <c:pt idx="6">
                  <c:v>2657162821.7153454</c:v>
                </c:pt>
                <c:pt idx="7">
                  <c:v>2808095196.3131871</c:v>
                </c:pt>
              </c:numCache>
            </c:numRef>
          </c:val>
        </c:ser>
        <c:dLbls>
          <c:showLegendKey val="0"/>
          <c:showVal val="0"/>
          <c:showCatName val="0"/>
          <c:showSerName val="0"/>
          <c:showPercent val="0"/>
          <c:showBubbleSize val="0"/>
        </c:dLbls>
        <c:gapWidth val="50"/>
        <c:axId val="359532800"/>
        <c:axId val="359538688"/>
      </c:barChart>
      <c:catAx>
        <c:axId val="359532800"/>
        <c:scaling>
          <c:orientation val="minMax"/>
        </c:scaling>
        <c:delete val="0"/>
        <c:axPos val="b"/>
        <c:majorTickMark val="out"/>
        <c:minorTickMark val="none"/>
        <c:tickLblPos val="nextTo"/>
        <c:txPr>
          <a:bodyPr/>
          <a:lstStyle/>
          <a:p>
            <a:pPr>
              <a:defRPr sz="800"/>
            </a:pPr>
            <a:endParaRPr lang="en-US"/>
          </a:p>
        </c:txPr>
        <c:crossAx val="359538688"/>
        <c:crosses val="autoZero"/>
        <c:auto val="1"/>
        <c:lblAlgn val="ctr"/>
        <c:lblOffset val="100"/>
        <c:noMultiLvlLbl val="0"/>
      </c:catAx>
      <c:valAx>
        <c:axId val="359538688"/>
        <c:scaling>
          <c:orientation val="minMax"/>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9532800"/>
        <c:crosses val="autoZero"/>
        <c:crossBetween val="between"/>
      </c:valAx>
    </c:plotArea>
    <c:legend>
      <c:legendPos val="b"/>
      <c:layout>
        <c:manualLayout>
          <c:xMode val="edge"/>
          <c:yMode val="edge"/>
          <c:x val="0.26592246391736246"/>
          <c:y val="0.88850503062117236"/>
          <c:w val="0.70062221095602484"/>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Powercor!$T$51</c:f>
              <c:strCache>
                <c:ptCount val="1"/>
                <c:pt idx="0">
                  <c:v>Forecast (inc. amendments)
</c:v>
                </c:pt>
              </c:strCache>
            </c:strRef>
          </c:tx>
          <c:spPr>
            <a:pattFill prst="dkUpDiag">
              <a:fgClr>
                <a:srgbClr val="74C476"/>
              </a:fgClr>
              <a:bgClr>
                <a:sysClr val="windowText" lastClr="000000"/>
              </a:bgClr>
            </a:pattFill>
            <a:ln>
              <a:solidFill>
                <a:schemeClr val="tx1"/>
              </a:solidFill>
            </a:ln>
          </c:spPr>
          <c:invertIfNegative val="0"/>
          <c:cat>
            <c:multiLvlStrRef>
              <c:f>Powercor!$B$52:$C$61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Powercor!$T$52:$T$61</c:f>
              <c:numCache>
                <c:formatCode>"$"#,##0</c:formatCode>
                <c:ptCount val="10"/>
                <c:pt idx="0">
                  <c:v>143476284.06744713</c:v>
                </c:pt>
                <c:pt idx="1">
                  <c:v>146748550.19530118</c:v>
                </c:pt>
                <c:pt idx="2">
                  <c:v>149643247.15455669</c:v>
                </c:pt>
                <c:pt idx="3">
                  <c:v>152915513.28241074</c:v>
                </c:pt>
                <c:pt idx="4">
                  <c:v>156817061.35792905</c:v>
                </c:pt>
                <c:pt idx="5">
                  <c:v>157614419.89510429</c:v>
                </c:pt>
                <c:pt idx="6">
                  <c:v>177984677.39639175</c:v>
                </c:pt>
                <c:pt idx="7">
                  <c:v>187205118.05436194</c:v>
                </c:pt>
                <c:pt idx="8">
                  <c:v>176818967.11926234</c:v>
                </c:pt>
                <c:pt idx="9">
                  <c:v>178629690.85910219</c:v>
                </c:pt>
              </c:numCache>
            </c:numRef>
          </c:val>
        </c:ser>
        <c:ser>
          <c:idx val="1"/>
          <c:order val="1"/>
          <c:tx>
            <c:strRef>
              <c:f>Powercor!$Z$51</c:f>
              <c:strCache>
                <c:ptCount val="1"/>
                <c:pt idx="0">
                  <c:v>Actual</c:v>
                </c:pt>
              </c:strCache>
            </c:strRef>
          </c:tx>
          <c:spPr>
            <a:solidFill>
              <a:srgbClr val="74C476"/>
            </a:solidFill>
            <a:ln>
              <a:solidFill>
                <a:sysClr val="windowText" lastClr="000000"/>
              </a:solidFill>
            </a:ln>
          </c:spPr>
          <c:invertIfNegative val="0"/>
          <c:cat>
            <c:multiLvlStrRef>
              <c:f>Powercor!$B$52:$C$61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Powercor!$Z$52:$Z$61</c:f>
              <c:numCache>
                <c:formatCode>"$"#,##0</c:formatCode>
                <c:ptCount val="10"/>
                <c:pt idx="0">
                  <c:v>142424272.98208773</c:v>
                </c:pt>
                <c:pt idx="1">
                  <c:v>122316725.06620774</c:v>
                </c:pt>
                <c:pt idx="2">
                  <c:v>126417592.11460651</c:v>
                </c:pt>
                <c:pt idx="3">
                  <c:v>136537852.92789188</c:v>
                </c:pt>
                <c:pt idx="4">
                  <c:v>132676824.11522859</c:v>
                </c:pt>
                <c:pt idx="5">
                  <c:v>138740271.90574601</c:v>
                </c:pt>
                <c:pt idx="6">
                  <c:v>166393088.96827838</c:v>
                </c:pt>
                <c:pt idx="7">
                  <c:v>186293401.70828262</c:v>
                </c:pt>
                <c:pt idx="8">
                  <c:v>#N/A</c:v>
                </c:pt>
                <c:pt idx="9">
                  <c:v>#N/A</c:v>
                </c:pt>
              </c:numCache>
            </c:numRef>
          </c:val>
        </c:ser>
        <c:dLbls>
          <c:showLegendKey val="0"/>
          <c:showVal val="0"/>
          <c:showCatName val="0"/>
          <c:showSerName val="0"/>
          <c:showPercent val="0"/>
          <c:showBubbleSize val="0"/>
        </c:dLbls>
        <c:gapWidth val="50"/>
        <c:axId val="359588992"/>
        <c:axId val="359590528"/>
      </c:barChart>
      <c:catAx>
        <c:axId val="359588992"/>
        <c:scaling>
          <c:orientation val="minMax"/>
        </c:scaling>
        <c:delete val="0"/>
        <c:axPos val="b"/>
        <c:majorTickMark val="out"/>
        <c:minorTickMark val="none"/>
        <c:tickLblPos val="nextTo"/>
        <c:txPr>
          <a:bodyPr/>
          <a:lstStyle/>
          <a:p>
            <a:pPr>
              <a:defRPr sz="800"/>
            </a:pPr>
            <a:endParaRPr lang="en-US"/>
          </a:p>
        </c:txPr>
        <c:crossAx val="359590528"/>
        <c:crosses val="autoZero"/>
        <c:auto val="1"/>
        <c:lblAlgn val="ctr"/>
        <c:lblOffset val="100"/>
        <c:noMultiLvlLbl val="0"/>
      </c:catAx>
      <c:valAx>
        <c:axId val="359590528"/>
        <c:scaling>
          <c:orientation val="minMax"/>
          <c:min val="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9588992"/>
        <c:crosses val="autoZero"/>
        <c:crossBetween val="between"/>
        <c:majorUnit val="40000000"/>
      </c:valAx>
    </c:plotArea>
    <c:legend>
      <c:legendPos val="b"/>
      <c:layout>
        <c:manualLayout>
          <c:xMode val="edge"/>
          <c:yMode val="edge"/>
          <c:x val="0.26285958005249344"/>
          <c:y val="0.88850503062117236"/>
          <c:w val="0.7059914698162729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Powercor!$T$37</c:f>
              <c:strCache>
                <c:ptCount val="1"/>
                <c:pt idx="0">
                  <c:v>Forecast (inc. amendments)
</c:v>
                </c:pt>
              </c:strCache>
            </c:strRef>
          </c:tx>
          <c:spPr>
            <a:pattFill prst="dkUpDiag">
              <a:fgClr>
                <a:srgbClr val="74C476"/>
              </a:fgClr>
              <a:bgClr>
                <a:sysClr val="windowText" lastClr="000000"/>
              </a:bgClr>
            </a:pattFill>
            <a:ln>
              <a:solidFill>
                <a:schemeClr val="tx1"/>
              </a:solidFill>
            </a:ln>
          </c:spPr>
          <c:invertIfNegative val="0"/>
          <c:cat>
            <c:multiLvlStrRef>
              <c:f>Powercor!$B$38:$C$47</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Powercor!$T$38:$T$47</c:f>
              <c:numCache>
                <c:formatCode>"$"#,##0</c:formatCode>
                <c:ptCount val="10"/>
                <c:pt idx="0">
                  <c:v>402740446.50511467</c:v>
                </c:pt>
                <c:pt idx="1">
                  <c:v>410291829.87708563</c:v>
                </c:pt>
                <c:pt idx="2">
                  <c:v>417465644.08045799</c:v>
                </c:pt>
                <c:pt idx="3">
                  <c:v>428163437.19075006</c:v>
                </c:pt>
                <c:pt idx="4">
                  <c:v>437980235.57431227</c:v>
                </c:pt>
                <c:pt idx="5">
                  <c:v>453694806.32117873</c:v>
                </c:pt>
                <c:pt idx="6">
                  <c:v>471735173.83580965</c:v>
                </c:pt>
                <c:pt idx="7">
                  <c:v>512319405.23815429</c:v>
                </c:pt>
                <c:pt idx="8">
                  <c:v>544799151.71361113</c:v>
                </c:pt>
                <c:pt idx="9">
                  <c:v>590471419.56639779</c:v>
                </c:pt>
              </c:numCache>
            </c:numRef>
          </c:val>
        </c:ser>
        <c:ser>
          <c:idx val="1"/>
          <c:order val="1"/>
          <c:tx>
            <c:strRef>
              <c:f>Powercor!$Z$37</c:f>
              <c:strCache>
                <c:ptCount val="1"/>
                <c:pt idx="0">
                  <c:v>Actual</c:v>
                </c:pt>
              </c:strCache>
            </c:strRef>
          </c:tx>
          <c:spPr>
            <a:solidFill>
              <a:srgbClr val="74C476"/>
            </a:solidFill>
            <a:ln>
              <a:solidFill>
                <a:sysClr val="windowText" lastClr="000000"/>
              </a:solidFill>
            </a:ln>
          </c:spPr>
          <c:invertIfNegative val="0"/>
          <c:cat>
            <c:multiLvlStrRef>
              <c:f>Powercor!$B$38:$C$47</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Powercor!$Z$38:$Z$47</c:f>
              <c:numCache>
                <c:formatCode>"$"#,##0</c:formatCode>
                <c:ptCount val="10"/>
                <c:pt idx="0">
                  <c:v>468902785.75894761</c:v>
                </c:pt>
                <c:pt idx="1">
                  <c:v>467397232.33852977</c:v>
                </c:pt>
                <c:pt idx="2">
                  <c:v>451984273.18971908</c:v>
                </c:pt>
                <c:pt idx="3">
                  <c:v>447568563.56218082</c:v>
                </c:pt>
                <c:pt idx="4">
                  <c:v>462702020.19431925</c:v>
                </c:pt>
                <c:pt idx="5">
                  <c:v>444673066.26699668</c:v>
                </c:pt>
                <c:pt idx="6">
                  <c:v>472424060.2402792</c:v>
                </c:pt>
                <c:pt idx="7">
                  <c:v>527055468.66993576</c:v>
                </c:pt>
                <c:pt idx="8">
                  <c:v>#N/A</c:v>
                </c:pt>
                <c:pt idx="9">
                  <c:v>#N/A</c:v>
                </c:pt>
              </c:numCache>
            </c:numRef>
          </c:val>
        </c:ser>
        <c:dLbls>
          <c:showLegendKey val="0"/>
          <c:showVal val="0"/>
          <c:showCatName val="0"/>
          <c:showSerName val="0"/>
          <c:showPercent val="0"/>
          <c:showBubbleSize val="0"/>
        </c:dLbls>
        <c:gapWidth val="50"/>
        <c:axId val="359628160"/>
        <c:axId val="359638144"/>
      </c:barChart>
      <c:catAx>
        <c:axId val="359628160"/>
        <c:scaling>
          <c:orientation val="minMax"/>
        </c:scaling>
        <c:delete val="0"/>
        <c:axPos val="b"/>
        <c:majorTickMark val="out"/>
        <c:minorTickMark val="none"/>
        <c:tickLblPos val="nextTo"/>
        <c:txPr>
          <a:bodyPr/>
          <a:lstStyle/>
          <a:p>
            <a:pPr>
              <a:defRPr sz="800"/>
            </a:pPr>
            <a:endParaRPr lang="en-US"/>
          </a:p>
        </c:txPr>
        <c:crossAx val="359638144"/>
        <c:crosses val="autoZero"/>
        <c:auto val="1"/>
        <c:lblAlgn val="ctr"/>
        <c:lblOffset val="100"/>
        <c:noMultiLvlLbl val="0"/>
      </c:catAx>
      <c:valAx>
        <c:axId val="359638144"/>
        <c:scaling>
          <c:orientation val="minMax"/>
          <c:max val="600000000"/>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9628160"/>
        <c:crosses val="autoZero"/>
        <c:crossBetween val="between"/>
      </c:valAx>
    </c:plotArea>
    <c:legend>
      <c:legendPos val="b"/>
      <c:layout>
        <c:manualLayout>
          <c:xMode val="edge"/>
          <c:yMode val="edge"/>
          <c:x val="0.2656373578302712"/>
          <c:y val="0.88850503062117236"/>
          <c:w val="0.7004359142607173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74C476"/>
            </a:solidFill>
            <a:ln>
              <a:solidFill>
                <a:schemeClr val="tx1"/>
              </a:solidFill>
            </a:ln>
          </c:spPr>
          <c:invertIfNegative val="0"/>
          <c:cat>
            <c:strRef>
              <c:f>Powercor!$C$102:$C$104</c:f>
              <c:strCache>
                <c:ptCount val="3"/>
                <c:pt idx="0">
                  <c:v>2011</c:v>
                </c:pt>
                <c:pt idx="1">
                  <c:v>2012</c:v>
                </c:pt>
                <c:pt idx="2">
                  <c:v>2013</c:v>
                </c:pt>
              </c:strCache>
            </c:strRef>
          </c:cat>
          <c:val>
            <c:numRef>
              <c:f>Powercor!$K$102:$K$104</c:f>
              <c:numCache>
                <c:formatCode>"$"#,##0</c:formatCode>
                <c:ptCount val="3"/>
                <c:pt idx="0">
                  <c:v>180954871.59930271</c:v>
                </c:pt>
                <c:pt idx="1">
                  <c:v>191735835.82916343</c:v>
                </c:pt>
                <c:pt idx="2">
                  <c:v>227631838.2168237</c:v>
                </c:pt>
              </c:numCache>
            </c:numRef>
          </c:val>
        </c:ser>
        <c:dLbls>
          <c:showLegendKey val="0"/>
          <c:showVal val="0"/>
          <c:showCatName val="0"/>
          <c:showSerName val="0"/>
          <c:showPercent val="0"/>
          <c:showBubbleSize val="0"/>
        </c:dLbls>
        <c:gapWidth val="50"/>
        <c:axId val="359687296"/>
        <c:axId val="359689216"/>
      </c:barChart>
      <c:catAx>
        <c:axId val="359687296"/>
        <c:scaling>
          <c:orientation val="minMax"/>
        </c:scaling>
        <c:delete val="0"/>
        <c:axPos val="b"/>
        <c:title>
          <c:tx>
            <c:rich>
              <a:bodyPr/>
              <a:lstStyle/>
              <a:p>
                <a:pPr algn="l">
                  <a:defRPr sz="100"/>
                </a:pPr>
                <a:r>
                  <a:rPr lang="en-AU" sz="800" b="0" i="0" baseline="0">
                    <a:effectLst/>
                  </a:rPr>
                  <a:t>* For the purposes of this analysis EBIT is the sum of </a:t>
                </a:r>
                <a:r>
                  <a:rPr lang="en-AU" sz="800" b="0" i="1" baseline="0">
                    <a:effectLst/>
                  </a:rPr>
                  <a:t>profit before tax </a:t>
                </a:r>
                <a:r>
                  <a:rPr lang="en-AU" sz="800" b="0" i="0" baseline="0">
                    <a:effectLst/>
                  </a:rPr>
                  <a:t>and </a:t>
                </a:r>
                <a:r>
                  <a:rPr lang="en-AU" sz="800" b="0" i="1" baseline="0">
                    <a:effectLst/>
                  </a:rPr>
                  <a:t>finance charges</a:t>
                </a:r>
                <a:r>
                  <a:rPr lang="en-AU" sz="800" b="0" i="0" baseline="0">
                    <a:effectLst/>
                  </a:rPr>
                  <a:t>.</a:t>
                </a:r>
                <a:endParaRPr lang="en-AU" sz="100">
                  <a:effectLst/>
                </a:endParaRPr>
              </a:p>
            </c:rich>
          </c:tx>
          <c:layout>
            <c:manualLayout>
              <c:xMode val="edge"/>
              <c:yMode val="edge"/>
              <c:x val="0.19082174103237096"/>
              <c:y val="0.85840259550889475"/>
            </c:manualLayout>
          </c:layout>
          <c:overlay val="0"/>
        </c:title>
        <c:majorTickMark val="out"/>
        <c:minorTickMark val="none"/>
        <c:tickLblPos val="nextTo"/>
        <c:crossAx val="359689216"/>
        <c:crosses val="autoZero"/>
        <c:auto val="1"/>
        <c:lblAlgn val="ctr"/>
        <c:lblOffset val="100"/>
        <c:noMultiLvlLbl val="0"/>
      </c:catAx>
      <c:valAx>
        <c:axId val="359689216"/>
        <c:scaling>
          <c:orientation val="minMax"/>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968729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'United Energy'!$C$12</c:f>
              <c:strCache>
                <c:ptCount val="1"/>
                <c:pt idx="0">
                  <c:v>Urban (93.3%)</c:v>
                </c:pt>
              </c:strCache>
            </c:strRef>
          </c:tx>
          <c:spPr>
            <a:solidFill>
              <a:srgbClr val="1F497D">
                <a:lumMod val="60000"/>
                <a:lumOff val="40000"/>
              </a:srgbClr>
            </a:solidFill>
            <a:ln>
              <a:solidFill>
                <a:sysClr val="windowText" lastClr="000000"/>
              </a:solidFill>
            </a:ln>
          </c:spPr>
          <c:invertIfNegative val="0"/>
          <c:val>
            <c:numRef>
              <c:f>'United Energy'!$C$13</c:f>
              <c:numCache>
                <c:formatCode>#,##0</c:formatCode>
                <c:ptCount val="1"/>
                <c:pt idx="0">
                  <c:v>603992</c:v>
                </c:pt>
              </c:numCache>
            </c:numRef>
          </c:val>
        </c:ser>
        <c:ser>
          <c:idx val="1"/>
          <c:order val="1"/>
          <c:tx>
            <c:strRef>
              <c:f>'United Energy'!$D$12</c:f>
              <c:strCache>
                <c:ptCount val="1"/>
                <c:pt idx="0">
                  <c:v>Short rural (6.7%)</c:v>
                </c:pt>
              </c:strCache>
            </c:strRef>
          </c:tx>
          <c:spPr>
            <a:solidFill>
              <a:srgbClr val="9BBB59">
                <a:lumMod val="60000"/>
                <a:lumOff val="40000"/>
              </a:srgbClr>
            </a:solidFill>
            <a:ln>
              <a:solidFill>
                <a:sysClr val="windowText" lastClr="000000"/>
              </a:solidFill>
            </a:ln>
          </c:spPr>
          <c:invertIfNegative val="0"/>
          <c:val>
            <c:numRef>
              <c:f>'United Energy'!$D$13</c:f>
              <c:numCache>
                <c:formatCode>#,##0</c:formatCode>
                <c:ptCount val="1"/>
                <c:pt idx="0">
                  <c:v>43278.5</c:v>
                </c:pt>
              </c:numCache>
            </c:numRef>
          </c:val>
        </c:ser>
        <c:dLbls>
          <c:showLegendKey val="0"/>
          <c:showVal val="0"/>
          <c:showCatName val="0"/>
          <c:showSerName val="0"/>
          <c:showPercent val="0"/>
          <c:showBubbleSize val="0"/>
        </c:dLbls>
        <c:gapWidth val="30"/>
        <c:overlap val="100"/>
        <c:axId val="359743488"/>
        <c:axId val="359745024"/>
      </c:barChart>
      <c:catAx>
        <c:axId val="359743488"/>
        <c:scaling>
          <c:orientation val="minMax"/>
        </c:scaling>
        <c:delete val="1"/>
        <c:axPos val="l"/>
        <c:majorTickMark val="out"/>
        <c:minorTickMark val="none"/>
        <c:tickLblPos val="nextTo"/>
        <c:crossAx val="359745024"/>
        <c:crosses val="autoZero"/>
        <c:auto val="1"/>
        <c:lblAlgn val="ctr"/>
        <c:lblOffset val="100"/>
        <c:noMultiLvlLbl val="0"/>
      </c:catAx>
      <c:valAx>
        <c:axId val="359745024"/>
        <c:scaling>
          <c:orientation val="minMax"/>
          <c:max val="647271"/>
          <c:min val="0"/>
        </c:scaling>
        <c:delete val="0"/>
        <c:axPos val="b"/>
        <c:numFmt formatCode="#,##0" sourceLinked="0"/>
        <c:majorTickMark val="out"/>
        <c:minorTickMark val="none"/>
        <c:tickLblPos val="nextTo"/>
        <c:txPr>
          <a:bodyPr/>
          <a:lstStyle/>
          <a:p>
            <a:pPr>
              <a:defRPr sz="800"/>
            </a:pPr>
            <a:endParaRPr lang="en-US"/>
          </a:p>
        </c:txPr>
        <c:crossAx val="359743488"/>
        <c:crosses val="autoZero"/>
        <c:crossBetween val="between"/>
        <c:majorUnit val="150000"/>
      </c:valAx>
    </c:plotArea>
    <c:legend>
      <c:legendPos val="b"/>
      <c:layout/>
      <c:overlay val="0"/>
      <c:txPr>
        <a:bodyPr/>
        <a:lstStyle/>
        <a:p>
          <a:pPr>
            <a:defRPr sz="9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'Energy Delivered'!$P$3</c:f>
              <c:strCache>
                <c:ptCount val="1"/>
                <c:pt idx="0">
                  <c:v>Forecast</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pattFill prst="dkUpDiag">
                <a:fgClr>
                  <a:srgbClr val="FCC0C0"/>
                </a:fgClr>
                <a:bgClr>
                  <a:sysClr val="window" lastClr="FFFFFF"/>
                </a:bgClr>
              </a:pattFill>
              <a:ln>
                <a:solidFill>
                  <a:schemeClr val="tx1"/>
                </a:solidFill>
              </a:ln>
            </c:spPr>
          </c:dPt>
          <c:dPt>
            <c:idx val="1"/>
            <c:invertIfNegative val="0"/>
            <c:bubble3D val="0"/>
            <c:spPr>
              <a:pattFill prst="dkUpDiag">
                <a:fgClr>
                  <a:srgbClr val="9ECAE1"/>
                </a:fgClr>
                <a:bgClr>
                  <a:sysClr val="windowText" lastClr="000000"/>
                </a:bgClr>
              </a:pattFill>
              <a:ln>
                <a:solidFill>
                  <a:schemeClr val="tx1"/>
                </a:solidFill>
              </a:ln>
            </c:spPr>
          </c:dPt>
          <c:dPt>
            <c:idx val="2"/>
            <c:invertIfNegative val="0"/>
            <c:bubble3D val="0"/>
            <c:spPr>
              <a:pattFill prst="dkUpDiag">
                <a:fgClr>
                  <a:srgbClr val="DEEBF7"/>
                </a:fgClr>
                <a:bgClr>
                  <a:sysClr val="windowText" lastClr="000000"/>
                </a:bgClr>
              </a:pattFill>
              <a:ln>
                <a:solidFill>
                  <a:schemeClr val="tx1"/>
                </a:solidFill>
              </a:ln>
            </c:spPr>
          </c:dPt>
          <c:dPt>
            <c:idx val="3"/>
            <c:invertIfNegative val="0"/>
            <c:bubble3D val="0"/>
            <c:spPr>
              <a:pattFill prst="dkUpDiag">
                <a:fgClr>
                  <a:srgbClr val="C6DBEF"/>
                </a:fgClr>
                <a:bgClr>
                  <a:sysClr val="windowText" lastClr="000000"/>
                </a:bgClr>
              </a:pattFill>
              <a:ln>
                <a:solidFill>
                  <a:schemeClr val="tx1"/>
                </a:solidFill>
              </a:ln>
            </c:spPr>
          </c:dPt>
          <c:dPt>
            <c:idx val="4"/>
            <c:invertIfNegative val="0"/>
            <c:bubble3D val="0"/>
            <c:spPr>
              <a:pattFill prst="dkUpDiag">
                <a:fgClr>
                  <a:srgbClr val="BD0026"/>
                </a:fgClr>
                <a:bgClr>
                  <a:sysClr val="window" lastClr="FFFFFF"/>
                </a:bgClr>
              </a:pattFill>
              <a:ln>
                <a:solidFill>
                  <a:schemeClr val="tx1"/>
                </a:solidFill>
              </a:ln>
            </c:spPr>
          </c:dPt>
          <c:dPt>
            <c:idx val="5"/>
            <c:invertIfNegative val="0"/>
            <c:bubble3D val="0"/>
            <c:spPr>
              <a:pattFill prst="dkUpDiag">
                <a:fgClr>
                  <a:srgbClr val="800026"/>
                </a:fgClr>
                <a:bgClr>
                  <a:sysClr val="window" lastClr="FFFFFF"/>
                </a:bgClr>
              </a:pattFill>
              <a:ln>
                <a:solidFill>
                  <a:schemeClr val="tx1"/>
                </a:solidFill>
              </a:ln>
            </c:spPr>
          </c:dPt>
          <c:dPt>
            <c:idx val="6"/>
            <c:invertIfNegative val="0"/>
            <c:bubble3D val="0"/>
            <c:spPr>
              <a:pattFill prst="dkUpDiag">
                <a:fgClr>
                  <a:srgbClr val="FD8D3C"/>
                </a:fgClr>
                <a:bgClr>
                  <a:sysClr val="window" lastClr="FFFFFF"/>
                </a:bgClr>
              </a:pattFill>
              <a:ln>
                <a:solidFill>
                  <a:schemeClr val="tx1"/>
                </a:solidFill>
              </a:ln>
            </c:spPr>
          </c:dPt>
          <c:dPt>
            <c:idx val="7"/>
            <c:invertIfNegative val="0"/>
            <c:bubble3D val="0"/>
            <c:spPr>
              <a:pattFill prst="dkUpDiag">
                <a:fgClr>
                  <a:srgbClr val="DEEBF7"/>
                </a:fgClr>
                <a:bgClr>
                  <a:sysClr val="windowText" lastClr="000000"/>
                </a:bgClr>
              </a:pattFill>
              <a:ln>
                <a:solidFill>
                  <a:schemeClr val="tx1"/>
                </a:solidFill>
              </a:ln>
            </c:spPr>
          </c:dPt>
          <c:dPt>
            <c:idx val="8"/>
            <c:invertIfNegative val="0"/>
            <c:bubble3D val="0"/>
            <c:spPr>
              <a:pattFill prst="dkUpDiag">
                <a:fgClr>
                  <a:srgbClr val="238B45"/>
                </a:fgClr>
                <a:bgClr>
                  <a:sysClr val="window" lastClr="FFFFFF"/>
                </a:bgClr>
              </a:pattFill>
              <a:ln>
                <a:solidFill>
                  <a:schemeClr val="tx1"/>
                </a:solidFill>
              </a:ln>
            </c:spPr>
          </c:dPt>
          <c:dPt>
            <c:idx val="9"/>
            <c:invertIfNegative val="0"/>
            <c:bubble3D val="0"/>
            <c:spPr>
              <a:pattFill prst="dkUpDiag">
                <a:fgClr>
                  <a:srgbClr val="A1D99B"/>
                </a:fgClr>
                <a:bgClr>
                  <a:sysClr val="windowText" lastClr="000000"/>
                </a:bgClr>
              </a:pattFill>
              <a:ln>
                <a:solidFill>
                  <a:schemeClr val="tx1"/>
                </a:solidFill>
              </a:ln>
            </c:spPr>
          </c:dPt>
          <c:dPt>
            <c:idx val="10"/>
            <c:invertIfNegative val="0"/>
            <c:bubble3D val="0"/>
            <c:spPr>
              <a:pattFill prst="dkUpDiag">
                <a:fgClr>
                  <a:srgbClr val="41AB5D"/>
                </a:fgClr>
                <a:bgClr>
                  <a:sysClr val="window" lastClr="FFFFFF"/>
                </a:bgClr>
              </a:pattFill>
              <a:ln>
                <a:solidFill>
                  <a:schemeClr val="tx1"/>
                </a:solidFill>
              </a:ln>
            </c:spPr>
          </c:dPt>
          <c:dPt>
            <c:idx val="11"/>
            <c:invertIfNegative val="0"/>
            <c:bubble3D val="0"/>
            <c:spPr>
              <a:pattFill prst="dkUpDiag">
                <a:fgClr>
                  <a:srgbClr val="74C476"/>
                </a:fgClr>
                <a:bgClr>
                  <a:sysClr val="windowText" lastClr="000000"/>
                </a:bgClr>
              </a:pattFill>
              <a:ln>
                <a:solidFill>
                  <a:schemeClr val="tx1"/>
                </a:solidFill>
              </a:ln>
            </c:spPr>
          </c:dPt>
          <c:dPt>
            <c:idx val="12"/>
            <c:invertIfNegative val="0"/>
            <c:bubble3D val="0"/>
            <c:spPr>
              <a:pattFill prst="dkUpDiag">
                <a:fgClr>
                  <a:srgbClr val="006D2C"/>
                </a:fgClr>
                <a:bgClr>
                  <a:sysClr val="window" lastClr="FFFFFF"/>
                </a:bgClr>
              </a:pattFill>
              <a:ln>
                <a:solidFill>
                  <a:schemeClr val="tx1"/>
                </a:solidFill>
              </a:ln>
            </c:spPr>
          </c:dPt>
          <c:cat>
            <c:strRef>
              <c:f>'Energy Delivered'!$B$4:$B$16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'Energy Delivered'!$P$4:$P$16</c:f>
              <c:numCache>
                <c:formatCode>_-* #,##0_-;\-* #,##0_-;_-* "-"??_-;_-@_-</c:formatCode>
                <c:ptCount val="13"/>
                <c:pt idx="0">
                  <c:v>2907.3333333333335</c:v>
                </c:pt>
                <c:pt idx="1">
                  <c:v>27901</c:v>
                </c:pt>
                <c:pt idx="2">
                  <c:v>17602</c:v>
                </c:pt>
                <c:pt idx="3">
                  <c:v>12202.333333333334</c:v>
                </c:pt>
                <c:pt idx="4">
                  <c:v>23198.666666666668</c:v>
                </c:pt>
                <c:pt idx="5">
                  <c:v>16398.333333333332</c:v>
                </c:pt>
                <c:pt idx="6">
                  <c:v>11434.666666666666</c:v>
                </c:pt>
                <c:pt idx="7">
                  <c:v>4503.626666666667</c:v>
                </c:pt>
                <c:pt idx="8">
                  <c:v>7971.333333333333</c:v>
                </c:pt>
                <c:pt idx="9">
                  <c:v>6208.333333333333</c:v>
                </c:pt>
                <c:pt idx="10">
                  <c:v>4309</c:v>
                </c:pt>
                <c:pt idx="11">
                  <c:v>10767.333333333334</c:v>
                </c:pt>
                <c:pt idx="12">
                  <c:v>7935</c:v>
                </c:pt>
              </c:numCache>
            </c:numRef>
          </c:val>
        </c:ser>
        <c:ser>
          <c:idx val="1"/>
          <c:order val="1"/>
          <c:tx>
            <c:strRef>
              <c:f>'Energy Delivered'!$Q$3</c:f>
              <c:strCache>
                <c:ptCount val="1"/>
                <c:pt idx="0">
                  <c:v>Actual</c:v>
                </c:pt>
              </c:strCache>
            </c:strRef>
          </c:tx>
          <c:spPr>
            <a:solidFill>
              <a:sysClr val="windowText" lastClr="000000"/>
            </a:solidFill>
            <a:ln>
              <a:solidFill>
                <a:sysClr val="windowText" lastClr="000000"/>
              </a:solidFill>
            </a:ln>
          </c:spPr>
          <c:invertIfNegative val="0"/>
          <c:dPt>
            <c:idx val="0"/>
            <c:invertIfNegative val="0"/>
            <c:bubble3D val="0"/>
            <c:spPr>
              <a:solidFill>
                <a:srgbClr val="FCC0C0"/>
              </a:solidFill>
              <a:ln>
                <a:solidFill>
                  <a:sysClr val="windowText" lastClr="000000"/>
                </a:solidFill>
              </a:ln>
            </c:spPr>
          </c:dPt>
          <c:dPt>
            <c:idx val="1"/>
            <c:invertIfNegative val="0"/>
            <c:bubble3D val="0"/>
            <c:spPr>
              <a:solidFill>
                <a:srgbClr val="9ECAE1"/>
              </a:solidFill>
              <a:ln>
                <a:solidFill>
                  <a:sysClr val="windowText" lastClr="000000"/>
                </a:solidFill>
              </a:ln>
            </c:spPr>
          </c:dPt>
          <c:dPt>
            <c:idx val="2"/>
            <c:invertIfNegative val="0"/>
            <c:bubble3D val="0"/>
            <c:spPr>
              <a:solidFill>
                <a:srgbClr val="DEEBF7"/>
              </a:solidFill>
              <a:ln>
                <a:solidFill>
                  <a:sysClr val="windowText" lastClr="000000"/>
                </a:solidFill>
              </a:ln>
            </c:spPr>
          </c:dPt>
          <c:dPt>
            <c:idx val="3"/>
            <c:invertIfNegative val="0"/>
            <c:bubble3D val="0"/>
            <c:spPr>
              <a:solidFill>
                <a:srgbClr val="C6DBEF"/>
              </a:solidFill>
              <a:ln>
                <a:solidFill>
                  <a:sysClr val="windowText" lastClr="000000"/>
                </a:solidFill>
              </a:ln>
            </c:spPr>
          </c:dPt>
          <c:dPt>
            <c:idx val="4"/>
            <c:invertIfNegative val="0"/>
            <c:bubble3D val="0"/>
            <c:spPr>
              <a:solidFill>
                <a:srgbClr val="BD0026"/>
              </a:solidFill>
              <a:ln>
                <a:solidFill>
                  <a:sysClr val="windowText" lastClr="000000"/>
                </a:solidFill>
              </a:ln>
            </c:spPr>
          </c:dPt>
          <c:dPt>
            <c:idx val="5"/>
            <c:invertIfNegative val="0"/>
            <c:bubble3D val="0"/>
            <c:spPr>
              <a:solidFill>
                <a:srgbClr val="800026"/>
              </a:solidFill>
              <a:ln>
                <a:solidFill>
                  <a:sysClr val="windowText" lastClr="000000"/>
                </a:solidFill>
              </a:ln>
            </c:spPr>
          </c:dPt>
          <c:dPt>
            <c:idx val="6"/>
            <c:invertIfNegative val="0"/>
            <c:bubble3D val="0"/>
            <c:spPr>
              <a:solidFill>
                <a:srgbClr val="FD8D3C"/>
              </a:solidFill>
              <a:ln>
                <a:solidFill>
                  <a:sysClr val="windowText" lastClr="000000"/>
                </a:solidFill>
              </a:ln>
            </c:spPr>
          </c:dPt>
          <c:dPt>
            <c:idx val="7"/>
            <c:invertIfNegative val="0"/>
            <c:bubble3D val="0"/>
            <c:spPr>
              <a:solidFill>
                <a:srgbClr val="E7E1EF"/>
              </a:solidFill>
              <a:ln>
                <a:solidFill>
                  <a:sysClr val="windowText" lastClr="000000"/>
                </a:solidFill>
              </a:ln>
            </c:spPr>
          </c:dPt>
          <c:dPt>
            <c:idx val="8"/>
            <c:invertIfNegative val="0"/>
            <c:bubble3D val="0"/>
            <c:spPr>
              <a:solidFill>
                <a:srgbClr val="238B45"/>
              </a:solidFill>
              <a:ln>
                <a:solidFill>
                  <a:sysClr val="windowText" lastClr="000000"/>
                </a:solidFill>
              </a:ln>
            </c:spPr>
          </c:dPt>
          <c:dPt>
            <c:idx val="9"/>
            <c:invertIfNegative val="0"/>
            <c:bubble3D val="0"/>
            <c:spPr>
              <a:solidFill>
                <a:srgbClr val="A1D99B"/>
              </a:solidFill>
              <a:ln>
                <a:solidFill>
                  <a:sysClr val="windowText" lastClr="000000"/>
                </a:solidFill>
              </a:ln>
            </c:spPr>
          </c:dPt>
          <c:dPt>
            <c:idx val="10"/>
            <c:invertIfNegative val="0"/>
            <c:bubble3D val="0"/>
            <c:spPr>
              <a:solidFill>
                <a:srgbClr val="41AB5D"/>
              </a:solidFill>
              <a:ln>
                <a:solidFill>
                  <a:sysClr val="windowText" lastClr="000000"/>
                </a:solidFill>
              </a:ln>
            </c:spPr>
          </c:dPt>
          <c:dPt>
            <c:idx val="11"/>
            <c:invertIfNegative val="0"/>
            <c:bubble3D val="0"/>
            <c:spPr>
              <a:solidFill>
                <a:srgbClr val="74C476"/>
              </a:solidFill>
              <a:ln>
                <a:solidFill>
                  <a:sysClr val="windowText" lastClr="000000"/>
                </a:solidFill>
              </a:ln>
            </c:spPr>
          </c:dPt>
          <c:dPt>
            <c:idx val="12"/>
            <c:invertIfNegative val="0"/>
            <c:bubble3D val="0"/>
            <c:spPr>
              <a:solidFill>
                <a:srgbClr val="006D2C"/>
              </a:solidFill>
              <a:ln>
                <a:solidFill>
                  <a:sysClr val="windowText" lastClr="000000"/>
                </a:solidFill>
              </a:ln>
            </c:spPr>
          </c:dPt>
          <c:cat>
            <c:strRef>
              <c:f>'Energy Delivered'!$B$4:$B$16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'Energy Delivered'!$Q$4:$Q$16</c:f>
              <c:numCache>
                <c:formatCode>_-* #,##0_-;\-* #,##0_-;_-* "-"??_-;_-@_-</c:formatCode>
                <c:ptCount val="13"/>
                <c:pt idx="0">
                  <c:v>2896.7967904791167</c:v>
                </c:pt>
                <c:pt idx="1">
                  <c:v>26838.006666666668</c:v>
                </c:pt>
                <c:pt idx="2">
                  <c:v>16669.264635981537</c:v>
                </c:pt>
                <c:pt idx="3">
                  <c:v>12029.246111866158</c:v>
                </c:pt>
                <c:pt idx="4">
                  <c:v>21306.666666666668</c:v>
                </c:pt>
                <c:pt idx="5">
                  <c:v>13412.775594686267</c:v>
                </c:pt>
                <c:pt idx="6">
                  <c:v>11106.074885513161</c:v>
                </c:pt>
                <c:pt idx="7">
                  <c:v>4336.8240411842044</c:v>
                </c:pt>
                <c:pt idx="8">
                  <c:v>7551.8632533913142</c:v>
                </c:pt>
                <c:pt idx="9">
                  <c:v>6057.1616907419129</c:v>
                </c:pt>
                <c:pt idx="10">
                  <c:v>4344.3202823333331</c:v>
                </c:pt>
                <c:pt idx="11">
                  <c:v>10590.121345273232</c:v>
                </c:pt>
                <c:pt idx="12">
                  <c:v>7999.8089549342358</c:v>
                </c:pt>
              </c:numCache>
            </c:numRef>
          </c:val>
        </c:ser>
        <c:dLbls>
          <c:showLegendKey val="0"/>
          <c:showVal val="0"/>
          <c:showCatName val="0"/>
          <c:showSerName val="0"/>
          <c:showPercent val="0"/>
          <c:showBubbleSize val="0"/>
        </c:dLbls>
        <c:gapWidth val="50"/>
        <c:axId val="101743232"/>
        <c:axId val="101745024"/>
      </c:barChart>
      <c:catAx>
        <c:axId val="101743232"/>
        <c:scaling>
          <c:orientation val="minMax"/>
        </c:scaling>
        <c:delete val="0"/>
        <c:axPos val="b"/>
        <c:majorTickMark val="out"/>
        <c:minorTickMark val="none"/>
        <c:tickLblPos val="nextTo"/>
        <c:txPr>
          <a:bodyPr/>
          <a:lstStyle/>
          <a:p>
            <a:pPr>
              <a:defRPr sz="700"/>
            </a:pPr>
            <a:endParaRPr lang="en-US"/>
          </a:p>
        </c:txPr>
        <c:crossAx val="101745024"/>
        <c:crosses val="autoZero"/>
        <c:auto val="1"/>
        <c:lblAlgn val="ctr"/>
        <c:lblOffset val="100"/>
        <c:noMultiLvlLbl val="0"/>
      </c:catAx>
      <c:valAx>
        <c:axId val="101745024"/>
        <c:scaling>
          <c:orientation val="minMax"/>
          <c:min val="0"/>
        </c:scaling>
        <c:delete val="0"/>
        <c:axPos val="l"/>
        <c:title>
          <c:tx>
            <c:rich>
              <a:bodyPr rot="0" vert="horz"/>
              <a:lstStyle/>
              <a:p>
                <a:pPr>
                  <a:defRPr sz="800"/>
                </a:pPr>
                <a:r>
                  <a:rPr lang="en-AU"/>
                  <a:t>Average </a:t>
                </a:r>
              </a:p>
              <a:p>
                <a:pPr>
                  <a:defRPr sz="800"/>
                </a:pPr>
                <a:r>
                  <a:rPr lang="en-AU"/>
                  <a:t>annual</a:t>
                </a:r>
              </a:p>
              <a:p>
                <a:pPr>
                  <a:defRPr sz="800"/>
                </a:pPr>
                <a:r>
                  <a:rPr lang="en-AU"/>
                  <a:t>energy</a:t>
                </a:r>
              </a:p>
              <a:p>
                <a:pPr>
                  <a:defRPr sz="800"/>
                </a:pPr>
                <a:r>
                  <a:rPr lang="en-AU"/>
                  <a:t>delivered</a:t>
                </a:r>
              </a:p>
              <a:p>
                <a:pPr>
                  <a:defRPr sz="800"/>
                </a:pPr>
                <a:r>
                  <a:rPr lang="en-AU"/>
                  <a:t>(2011-13)</a:t>
                </a:r>
              </a:p>
              <a:p>
                <a:pPr>
                  <a:defRPr sz="800"/>
                </a:pPr>
                <a:r>
                  <a:rPr lang="en-AU"/>
                  <a:t>(GWh)</a:t>
                </a:r>
              </a:p>
            </c:rich>
          </c:tx>
          <c:layout/>
          <c:overlay val="0"/>
        </c:title>
        <c:numFmt formatCode="#,##0" sourceLinked="0"/>
        <c:majorTickMark val="out"/>
        <c:minorTickMark val="none"/>
        <c:tickLblPos val="nextTo"/>
        <c:txPr>
          <a:bodyPr/>
          <a:lstStyle/>
          <a:p>
            <a:pPr>
              <a:defRPr sz="800"/>
            </a:pPr>
            <a:endParaRPr lang="en-US"/>
          </a:p>
        </c:txPr>
        <c:crossAx val="101743232"/>
        <c:crosses val="autoZero"/>
        <c:crossBetween val="between"/>
      </c:valAx>
    </c:plotArea>
    <c:legend>
      <c:legendPos val="b"/>
      <c:layout>
        <c:manualLayout>
          <c:xMode val="edge"/>
          <c:yMode val="edge"/>
          <c:x val="0.22536329833770777"/>
          <c:y val="0.89838181685622631"/>
          <c:w val="0.74094006999125095"/>
          <c:h val="7.3840405365995912E-2"/>
        </c:manualLayout>
      </c:layout>
      <c:overlay val="0"/>
      <c:txPr>
        <a:bodyPr/>
        <a:lstStyle/>
        <a:p>
          <a:pPr rtl="0">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'United Energy'!$D$16</c:f>
              <c:strCache>
                <c:ptCount val="1"/>
                <c:pt idx="0">
                  <c:v>Overhead (74.3%)</c:v>
                </c:pt>
              </c:strCache>
            </c:strRef>
          </c:tx>
          <c:spPr>
            <a:solidFill>
              <a:srgbClr val="4BACC6">
                <a:lumMod val="60000"/>
                <a:lumOff val="40000"/>
              </a:srgbClr>
            </a:solidFill>
            <a:ln>
              <a:solidFill>
                <a:sysClr val="windowText" lastClr="000000"/>
              </a:solidFill>
            </a:ln>
          </c:spPr>
          <c:invertIfNegative val="0"/>
          <c:dPt>
            <c:idx val="0"/>
            <c:invertIfNegative val="0"/>
            <c:bubble3D val="0"/>
          </c:dPt>
          <c:val>
            <c:numRef>
              <c:f>'United Energy'!$D$17</c:f>
              <c:numCache>
                <c:formatCode>#,##0</c:formatCode>
                <c:ptCount val="1"/>
                <c:pt idx="0">
                  <c:v>9540.9</c:v>
                </c:pt>
              </c:numCache>
            </c:numRef>
          </c:val>
        </c:ser>
        <c:ser>
          <c:idx val="0"/>
          <c:order val="1"/>
          <c:tx>
            <c:strRef>
              <c:f>'United Energy'!$C$16</c:f>
              <c:strCache>
                <c:ptCount val="1"/>
                <c:pt idx="0">
                  <c:v>Underground (20.9%)</c:v>
                </c:pt>
              </c:strCache>
            </c:strRef>
          </c:tx>
          <c:spPr>
            <a:solidFill>
              <a:srgbClr val="EEECE1">
                <a:lumMod val="50000"/>
              </a:srgbClr>
            </a:solidFill>
            <a:ln>
              <a:solidFill>
                <a:schemeClr val="tx1"/>
              </a:solidFill>
            </a:ln>
          </c:spPr>
          <c:invertIfNegative val="0"/>
          <c:dPt>
            <c:idx val="0"/>
            <c:invertIfNegative val="0"/>
            <c:bubble3D val="0"/>
          </c:dPt>
          <c:val>
            <c:numRef>
              <c:f>'United Energy'!$C$17</c:f>
              <c:numCache>
                <c:formatCode>#,##0</c:formatCode>
                <c:ptCount val="1"/>
                <c:pt idx="0">
                  <c:v>2686.3</c:v>
                </c:pt>
              </c:numCache>
            </c:numRef>
          </c:val>
        </c:ser>
        <c:ser>
          <c:idx val="2"/>
          <c:order val="2"/>
          <c:tx>
            <c:strRef>
              <c:f>'United Energy'!$E$16</c:f>
              <c:strCache>
                <c:ptCount val="1"/>
                <c:pt idx="0">
                  <c:v>Subtransmission (4.7%)</c:v>
                </c:pt>
              </c:strCache>
            </c:strRef>
          </c:tx>
          <c:spPr>
            <a:solidFill>
              <a:srgbClr val="C0504D">
                <a:lumMod val="60000"/>
                <a:lumOff val="40000"/>
              </a:srgbClr>
            </a:solidFill>
            <a:ln>
              <a:solidFill>
                <a:sysClr val="windowText" lastClr="000000"/>
              </a:solidFill>
            </a:ln>
          </c:spPr>
          <c:invertIfNegative val="0"/>
          <c:val>
            <c:numRef>
              <c:f>'United Energy'!$E$17</c:f>
              <c:numCache>
                <c:formatCode>#,##0</c:formatCode>
                <c:ptCount val="1"/>
                <c:pt idx="0">
                  <c:v>607.5</c:v>
                </c:pt>
              </c:numCache>
            </c:numRef>
          </c:val>
        </c:ser>
        <c:dLbls>
          <c:showLegendKey val="0"/>
          <c:showVal val="0"/>
          <c:showCatName val="0"/>
          <c:showSerName val="0"/>
          <c:showPercent val="0"/>
          <c:showBubbleSize val="0"/>
        </c:dLbls>
        <c:gapWidth val="30"/>
        <c:overlap val="100"/>
        <c:axId val="359770752"/>
        <c:axId val="359776640"/>
      </c:barChart>
      <c:catAx>
        <c:axId val="359770752"/>
        <c:scaling>
          <c:orientation val="minMax"/>
        </c:scaling>
        <c:delete val="1"/>
        <c:axPos val="l"/>
        <c:majorTickMark val="out"/>
        <c:minorTickMark val="none"/>
        <c:tickLblPos val="nextTo"/>
        <c:crossAx val="359776640"/>
        <c:crosses val="autoZero"/>
        <c:auto val="1"/>
        <c:lblAlgn val="ctr"/>
        <c:lblOffset val="100"/>
        <c:noMultiLvlLbl val="0"/>
      </c:catAx>
      <c:valAx>
        <c:axId val="359776640"/>
        <c:scaling>
          <c:orientation val="minMax"/>
          <c:max val="12835"/>
          <c:min val="0"/>
        </c:scaling>
        <c:delete val="0"/>
        <c:axPos val="b"/>
        <c:numFmt formatCode="0,000\ &quot;km&quot;" sourceLinked="0"/>
        <c:majorTickMark val="out"/>
        <c:minorTickMark val="none"/>
        <c:tickLblPos val="nextTo"/>
        <c:txPr>
          <a:bodyPr/>
          <a:lstStyle/>
          <a:p>
            <a:pPr>
              <a:defRPr sz="800"/>
            </a:pPr>
            <a:endParaRPr lang="en-US"/>
          </a:p>
        </c:txPr>
        <c:crossAx val="359770752"/>
        <c:crosses val="autoZero"/>
        <c:crossBetween val="between"/>
        <c:majorUnit val="3000"/>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'United Energy'!$B$25</c:f>
              <c:strCache>
                <c:ptCount val="1"/>
                <c:pt idx="0">
                  <c:v>Forecast</c:v>
                </c:pt>
              </c:strCache>
            </c:strRef>
          </c:tx>
          <c:spPr>
            <a:pattFill prst="dkUpDiag">
              <a:fgClr>
                <a:srgbClr val="006D2C"/>
              </a:fgClr>
              <a:bgClr>
                <a:schemeClr val="bg1"/>
              </a:bgClr>
            </a:pattFill>
            <a:ln>
              <a:solidFill>
                <a:schemeClr val="tx1"/>
              </a:solidFill>
            </a:ln>
          </c:spPr>
          <c:invertIfNegative val="0"/>
          <c:cat>
            <c:multiLvlStrRef>
              <c:f>'United Energy'!$C$21:$L$22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Energy'!$C$25:$L$25</c:f>
              <c:numCache>
                <c:formatCode>#,##0</c:formatCode>
                <c:ptCount val="10"/>
                <c:pt idx="0">
                  <c:v>7665</c:v>
                </c:pt>
                <c:pt idx="1">
                  <c:v>7817</c:v>
                </c:pt>
                <c:pt idx="2">
                  <c:v>7943</c:v>
                </c:pt>
                <c:pt idx="3">
                  <c:v>8045</c:v>
                </c:pt>
                <c:pt idx="4">
                  <c:v>8161</c:v>
                </c:pt>
                <c:pt idx="5">
                  <c:v>7936</c:v>
                </c:pt>
                <c:pt idx="6">
                  <c:v>7964</c:v>
                </c:pt>
                <c:pt idx="7">
                  <c:v>7905</c:v>
                </c:pt>
                <c:pt idx="8">
                  <c:v>7842</c:v>
                </c:pt>
                <c:pt idx="9">
                  <c:v>7836</c:v>
                </c:pt>
              </c:numCache>
            </c:numRef>
          </c:val>
        </c:ser>
        <c:ser>
          <c:idx val="0"/>
          <c:order val="1"/>
          <c:tx>
            <c:strRef>
              <c:f>'United Energy'!$B$23</c:f>
              <c:strCache>
                <c:ptCount val="1"/>
                <c:pt idx="0">
                  <c:v>Actual</c:v>
                </c:pt>
              </c:strCache>
            </c:strRef>
          </c:tx>
          <c:spPr>
            <a:solidFill>
              <a:srgbClr val="006D2C"/>
            </a:solidFill>
            <a:ln>
              <a:solidFill>
                <a:sysClr val="windowText" lastClr="000000"/>
              </a:solidFill>
            </a:ln>
          </c:spPr>
          <c:invertIfNegative val="0"/>
          <c:cat>
            <c:multiLvlStrRef>
              <c:f>'United Energy'!$C$21:$L$22</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Energy'!$C$23:$L$23</c:f>
              <c:numCache>
                <c:formatCode>#,##0</c:formatCode>
                <c:ptCount val="10"/>
                <c:pt idx="0">
                  <c:v>7915.3399999999983</c:v>
                </c:pt>
                <c:pt idx="1">
                  <c:v>7972.7465784395063</c:v>
                </c:pt>
                <c:pt idx="2">
                  <c:v>7895.8596747079464</c:v>
                </c:pt>
                <c:pt idx="3">
                  <c:v>8013.4135843710746</c:v>
                </c:pt>
                <c:pt idx="4">
                  <c:v>8163.2832633727876</c:v>
                </c:pt>
                <c:pt idx="5">
                  <c:v>8022.5268351517052</c:v>
                </c:pt>
                <c:pt idx="6">
                  <c:v>8120.6288165099468</c:v>
                </c:pt>
                <c:pt idx="7">
                  <c:v>7856.2712131410535</c:v>
                </c:pt>
              </c:numCache>
            </c:numRef>
          </c:val>
        </c:ser>
        <c:dLbls>
          <c:showLegendKey val="0"/>
          <c:showVal val="0"/>
          <c:showCatName val="0"/>
          <c:showSerName val="0"/>
          <c:showPercent val="0"/>
          <c:showBubbleSize val="0"/>
        </c:dLbls>
        <c:gapWidth val="50"/>
        <c:axId val="359936768"/>
        <c:axId val="359938304"/>
      </c:barChart>
      <c:catAx>
        <c:axId val="359936768"/>
        <c:scaling>
          <c:orientation val="minMax"/>
        </c:scaling>
        <c:delete val="0"/>
        <c:axPos val="b"/>
        <c:majorTickMark val="out"/>
        <c:minorTickMark val="none"/>
        <c:tickLblPos val="nextTo"/>
        <c:txPr>
          <a:bodyPr/>
          <a:lstStyle/>
          <a:p>
            <a:pPr>
              <a:defRPr sz="800"/>
            </a:pPr>
            <a:endParaRPr lang="en-US"/>
          </a:p>
        </c:txPr>
        <c:crossAx val="359938304"/>
        <c:crosses val="autoZero"/>
        <c:auto val="1"/>
        <c:lblAlgn val="ctr"/>
        <c:lblOffset val="100"/>
        <c:noMultiLvlLbl val="0"/>
      </c:catAx>
      <c:valAx>
        <c:axId val="359938304"/>
        <c:scaling>
          <c:orientation val="minMax"/>
          <c:min val="0"/>
        </c:scaling>
        <c:delete val="0"/>
        <c:axPos val="l"/>
        <c:title>
          <c:tx>
            <c:rich>
              <a:bodyPr rot="0" vert="horz"/>
              <a:lstStyle/>
              <a:p>
                <a:pPr>
                  <a:defRPr/>
                </a:pPr>
                <a:r>
                  <a:rPr lang="en-US"/>
                  <a:t>Energy</a:t>
                </a:r>
              </a:p>
              <a:p>
                <a:pPr>
                  <a:defRPr/>
                </a:pPr>
                <a:r>
                  <a:rPr lang="en-US"/>
                  <a:t>delivered</a:t>
                </a:r>
              </a:p>
              <a:p>
                <a:pPr>
                  <a:defRPr/>
                </a:pPr>
                <a:r>
                  <a:rPr lang="en-US"/>
                  <a:t>(GWh)</a:t>
                </a:r>
              </a:p>
            </c:rich>
          </c:tx>
          <c:layout/>
          <c:overlay val="0"/>
        </c:title>
        <c:numFmt formatCode="#,##0" sourceLinked="1"/>
        <c:majorTickMark val="out"/>
        <c:minorTickMark val="none"/>
        <c:tickLblPos val="nextTo"/>
        <c:crossAx val="359936768"/>
        <c:crosses val="autoZero"/>
        <c:crossBetween val="between"/>
      </c:valAx>
    </c:plotArea>
    <c:legend>
      <c:legendPos val="b"/>
      <c:layout>
        <c:manualLayout>
          <c:xMode val="edge"/>
          <c:yMode val="edge"/>
          <c:x val="0.23055555555555557"/>
          <c:y val="0.89838181685622631"/>
          <c:w val="0.738162292213473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'United Energy'!$B$32</c:f>
              <c:strCache>
                <c:ptCount val="1"/>
                <c:pt idx="0">
                  <c:v>Forecast</c:v>
                </c:pt>
              </c:strCache>
            </c:strRef>
          </c:tx>
          <c:spPr>
            <a:pattFill prst="dkUpDiag">
              <a:fgClr>
                <a:srgbClr val="006D2C"/>
              </a:fgClr>
              <a:bgClr>
                <a:schemeClr val="bg1"/>
              </a:bgClr>
            </a:pattFill>
            <a:ln>
              <a:solidFill>
                <a:schemeClr val="tx1"/>
              </a:solidFill>
            </a:ln>
          </c:spPr>
          <c:invertIfNegative val="0"/>
          <c:cat>
            <c:multiLvlStrRef>
              <c:f>'United Energy'!$C$28:$L$29</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Energy'!$C$32:$L$32</c:f>
              <c:numCache>
                <c:formatCode>General</c:formatCode>
                <c:ptCount val="10"/>
                <c:pt idx="5" formatCode="#,##0">
                  <c:v>2359</c:v>
                </c:pt>
                <c:pt idx="6" formatCode="#,##0">
                  <c:v>2424</c:v>
                </c:pt>
                <c:pt idx="7" formatCode="#,##0">
                  <c:v>2495</c:v>
                </c:pt>
                <c:pt idx="8" formatCode="#,##0">
                  <c:v>2576</c:v>
                </c:pt>
                <c:pt idx="9" formatCode="#,##0">
                  <c:v>2591</c:v>
                </c:pt>
              </c:numCache>
            </c:numRef>
          </c:val>
        </c:ser>
        <c:ser>
          <c:idx val="0"/>
          <c:order val="1"/>
          <c:tx>
            <c:strRef>
              <c:f>'United Energy'!$B$30</c:f>
              <c:strCache>
                <c:ptCount val="1"/>
                <c:pt idx="0">
                  <c:v>Actual</c:v>
                </c:pt>
              </c:strCache>
            </c:strRef>
          </c:tx>
          <c:spPr>
            <a:solidFill>
              <a:srgbClr val="238B45"/>
            </a:solidFill>
            <a:ln>
              <a:solidFill>
                <a:sysClr val="windowText" lastClr="000000"/>
              </a:solidFill>
            </a:ln>
          </c:spPr>
          <c:invertIfNegative val="0"/>
          <c:cat>
            <c:multiLvlStrRef>
              <c:f>'United Energy'!$C$28:$L$29</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Energy'!$C$30:$L$30</c:f>
              <c:numCache>
                <c:formatCode>_-* #,##0_-;\-* #,##0_-;_-* "-"??_-;_-@_-</c:formatCode>
                <c:ptCount val="10"/>
                <c:pt idx="0">
                  <c:v>1891.0191023616701</c:v>
                </c:pt>
                <c:pt idx="1">
                  <c:v>1921.6073631401885</c:v>
                </c:pt>
                <c:pt idx="2">
                  <c:v>1997.3058507655569</c:v>
                </c:pt>
                <c:pt idx="3">
                  <c:v>1969.46004236216</c:v>
                </c:pt>
                <c:pt idx="4">
                  <c:v>1988.1186606946064</c:v>
                </c:pt>
                <c:pt idx="5" formatCode="#,##0">
                  <c:v>2052</c:v>
                </c:pt>
                <c:pt idx="6" formatCode="#,##0">
                  <c:v>2142</c:v>
                </c:pt>
                <c:pt idx="7" formatCode="#,##0">
                  <c:v>2205</c:v>
                </c:pt>
              </c:numCache>
            </c:numRef>
          </c:val>
        </c:ser>
        <c:dLbls>
          <c:showLegendKey val="0"/>
          <c:showVal val="0"/>
          <c:showCatName val="0"/>
          <c:showSerName val="0"/>
          <c:showPercent val="0"/>
          <c:showBubbleSize val="0"/>
        </c:dLbls>
        <c:gapWidth val="50"/>
        <c:axId val="359975936"/>
        <c:axId val="359985920"/>
      </c:barChart>
      <c:catAx>
        <c:axId val="359975936"/>
        <c:scaling>
          <c:orientation val="minMax"/>
        </c:scaling>
        <c:delete val="0"/>
        <c:axPos val="b"/>
        <c:majorTickMark val="out"/>
        <c:minorTickMark val="none"/>
        <c:tickLblPos val="nextTo"/>
        <c:txPr>
          <a:bodyPr/>
          <a:lstStyle/>
          <a:p>
            <a:pPr>
              <a:defRPr sz="800"/>
            </a:pPr>
            <a:endParaRPr lang="en-US"/>
          </a:p>
        </c:txPr>
        <c:crossAx val="359985920"/>
        <c:crosses val="autoZero"/>
        <c:auto val="1"/>
        <c:lblAlgn val="ctr"/>
        <c:lblOffset val="100"/>
        <c:noMultiLvlLbl val="0"/>
      </c:catAx>
      <c:valAx>
        <c:axId val="359985920"/>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General" sourceLinked="1"/>
        <c:majorTickMark val="out"/>
        <c:minorTickMark val="none"/>
        <c:tickLblPos val="nextTo"/>
        <c:crossAx val="359975936"/>
        <c:crosses val="autoZero"/>
        <c:crossBetween val="between"/>
      </c:valAx>
    </c:plotArea>
    <c:legend>
      <c:legendPos val="b"/>
      <c:layout>
        <c:manualLayout>
          <c:xMode val="edge"/>
          <c:yMode val="edge"/>
          <c:x val="0.23055555555555557"/>
          <c:y val="0.89838181685622631"/>
          <c:w val="0.7409400699912511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'United Energy'!$T$64</c:f>
              <c:strCache>
                <c:ptCount val="1"/>
                <c:pt idx="0">
                  <c:v>Forecast (inc. amendments)
</c:v>
                </c:pt>
              </c:strCache>
            </c:strRef>
          </c:tx>
          <c:spPr>
            <a:pattFill prst="dkUpDiag">
              <a:fgClr>
                <a:srgbClr val="006D2C"/>
              </a:fgClr>
              <a:bgClr>
                <a:sysClr val="window" lastClr="FFFFFF"/>
              </a:bgClr>
            </a:pattFill>
            <a:ln>
              <a:solidFill>
                <a:schemeClr val="tx1"/>
              </a:solidFill>
            </a:ln>
          </c:spPr>
          <c:invertIfNegative val="0"/>
          <c:cat>
            <c:multiLvlStrRef>
              <c:f>'United Energy'!$B$65:$C$74</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Energy'!$T$65:$T$74</c:f>
              <c:numCache>
                <c:formatCode>"$"#,##0</c:formatCode>
                <c:ptCount val="10"/>
                <c:pt idx="0">
                  <c:v>121954841.45733005</c:v>
                </c:pt>
                <c:pt idx="1">
                  <c:v>114277601.69582629</c:v>
                </c:pt>
                <c:pt idx="2">
                  <c:v>115284452.81208909</c:v>
                </c:pt>
                <c:pt idx="3">
                  <c:v>123716830.91078992</c:v>
                </c:pt>
                <c:pt idx="4">
                  <c:v>132526778.17808931</c:v>
                </c:pt>
                <c:pt idx="5">
                  <c:v>174653228.44188088</c:v>
                </c:pt>
                <c:pt idx="6">
                  <c:v>180883301.28231072</c:v>
                </c:pt>
                <c:pt idx="7">
                  <c:v>153534337.4573729</c:v>
                </c:pt>
                <c:pt idx="8">
                  <c:v>142130136.32573861</c:v>
                </c:pt>
                <c:pt idx="9">
                  <c:v>143608458.69465417</c:v>
                </c:pt>
              </c:numCache>
            </c:numRef>
          </c:val>
        </c:ser>
        <c:ser>
          <c:idx val="1"/>
          <c:order val="1"/>
          <c:tx>
            <c:strRef>
              <c:f>'United Energy'!$AB$64</c:f>
              <c:strCache>
                <c:ptCount val="1"/>
                <c:pt idx="0">
                  <c:v>Actual</c:v>
                </c:pt>
              </c:strCache>
            </c:strRef>
          </c:tx>
          <c:spPr>
            <a:solidFill>
              <a:srgbClr val="006D2C"/>
            </a:solidFill>
            <a:ln>
              <a:solidFill>
                <a:sysClr val="windowText" lastClr="000000"/>
              </a:solidFill>
            </a:ln>
          </c:spPr>
          <c:invertIfNegative val="0"/>
          <c:cat>
            <c:multiLvlStrRef>
              <c:f>'United Energy'!$B$65:$C$74</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Energy'!$AB$65:$AB$74</c:f>
              <c:numCache>
                <c:formatCode>"$"#,##0</c:formatCode>
                <c:ptCount val="10"/>
                <c:pt idx="0">
                  <c:v>107830933.81817392</c:v>
                </c:pt>
                <c:pt idx="1">
                  <c:v>90780813.826026618</c:v>
                </c:pt>
                <c:pt idx="2">
                  <c:v>90748205.234829307</c:v>
                </c:pt>
                <c:pt idx="3">
                  <c:v>126351471.74883084</c:v>
                </c:pt>
                <c:pt idx="4">
                  <c:v>137440683.52120438</c:v>
                </c:pt>
                <c:pt idx="5">
                  <c:v>177773920.54531029</c:v>
                </c:pt>
                <c:pt idx="6">
                  <c:v>189019646.09731513</c:v>
                </c:pt>
                <c:pt idx="7">
                  <c:v>175314476.16385818</c:v>
                </c:pt>
                <c:pt idx="8">
                  <c:v>#N/A</c:v>
                </c:pt>
                <c:pt idx="9">
                  <c:v>#N/A</c:v>
                </c:pt>
              </c:numCache>
            </c:numRef>
          </c:val>
        </c:ser>
        <c:dLbls>
          <c:showLegendKey val="0"/>
          <c:showVal val="0"/>
          <c:showCatName val="0"/>
          <c:showSerName val="0"/>
          <c:showPercent val="0"/>
          <c:showBubbleSize val="0"/>
        </c:dLbls>
        <c:gapWidth val="50"/>
        <c:axId val="360023552"/>
        <c:axId val="360025088"/>
      </c:barChart>
      <c:catAx>
        <c:axId val="360023552"/>
        <c:scaling>
          <c:orientation val="minMax"/>
        </c:scaling>
        <c:delete val="0"/>
        <c:axPos val="b"/>
        <c:majorTickMark val="out"/>
        <c:minorTickMark val="none"/>
        <c:tickLblPos val="nextTo"/>
        <c:txPr>
          <a:bodyPr/>
          <a:lstStyle/>
          <a:p>
            <a:pPr>
              <a:defRPr sz="750"/>
            </a:pPr>
            <a:endParaRPr lang="en-US"/>
          </a:p>
        </c:txPr>
        <c:crossAx val="360025088"/>
        <c:crosses val="autoZero"/>
        <c:auto val="1"/>
        <c:lblAlgn val="ctr"/>
        <c:lblOffset val="100"/>
        <c:noMultiLvlLbl val="0"/>
      </c:catAx>
      <c:valAx>
        <c:axId val="360025088"/>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60023552"/>
        <c:crosses val="autoZero"/>
        <c:crossBetween val="between"/>
        <c:majorUnit val="40000000"/>
      </c:valAx>
    </c:plotArea>
    <c:legend>
      <c:legendPos val="b"/>
      <c:layout>
        <c:manualLayout>
          <c:xMode val="edge"/>
          <c:yMode val="edge"/>
          <c:x val="0.2656373578302712"/>
          <c:y val="0.88850503062117236"/>
          <c:w val="0.7004359142607173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6D2C"/>
            </a:solidFill>
            <a:ln>
              <a:solidFill>
                <a:schemeClr val="tx1"/>
              </a:solidFill>
            </a:ln>
          </c:spPr>
          <c:invertIfNegative val="0"/>
          <c:cat>
            <c:multiLvlStrRef>
              <c:f>'United Energy'!$B$78:$C$86</c:f>
              <c:multiLvlStrCache>
                <c:ptCount val="9"/>
                <c:lvl>
                  <c:pt idx="0">
                    <c:v>2011</c:v>
                  </c:pt>
                  <c:pt idx="1">
                    <c:v>2012</c:v>
                  </c:pt>
                  <c:pt idx="2">
                    <c:v>2013</c:v>
                  </c:pt>
                  <c:pt idx="3">
                    <c:v>2011</c:v>
                  </c:pt>
                  <c:pt idx="4">
                    <c:v>2012</c:v>
                  </c:pt>
                  <c:pt idx="5">
                    <c:v>2013</c:v>
                  </c:pt>
                  <c:pt idx="6">
                    <c:v>2011</c:v>
                  </c:pt>
                  <c:pt idx="7">
                    <c:v>2012</c:v>
                  </c:pt>
                  <c:pt idx="8">
                    <c:v>2013</c:v>
                  </c:pt>
                </c:lvl>
                <c:lvl>
                  <c:pt idx="0">
                    <c:v>Demand related</c:v>
                  </c:pt>
                  <c:pt idx="3">
                    <c:v>Non-demand related</c:v>
                  </c:pt>
                  <c:pt idx="6">
                    <c:v>Non-system</c:v>
                  </c:pt>
                </c:lvl>
              </c:multiLvlStrCache>
            </c:multiLvlStrRef>
          </c:cat>
          <c:val>
            <c:numRef>
              <c:f>'United Energy'!$H$78:$H$86</c:f>
              <c:numCache>
                <c:formatCode>"$"#,##0</c:formatCode>
                <c:ptCount val="9"/>
                <c:pt idx="0">
                  <c:v>74761463.387501344</c:v>
                </c:pt>
                <c:pt idx="1">
                  <c:v>97709337.937026769</c:v>
                </c:pt>
                <c:pt idx="2">
                  <c:v>81864906.737477884</c:v>
                </c:pt>
                <c:pt idx="3">
                  <c:v>55646325.683509566</c:v>
                </c:pt>
                <c:pt idx="4">
                  <c:v>72925188.360916376</c:v>
                </c:pt>
                <c:pt idx="5">
                  <c:v>83051445.555042163</c:v>
                </c:pt>
                <c:pt idx="6">
                  <c:v>62501266.872582063</c:v>
                </c:pt>
                <c:pt idx="7">
                  <c:v>28881216.628375255</c:v>
                </c:pt>
                <c:pt idx="8">
                  <c:v>18625938.399161916</c:v>
                </c:pt>
              </c:numCache>
            </c:numRef>
          </c:val>
        </c:ser>
        <c:dLbls>
          <c:showLegendKey val="0"/>
          <c:showVal val="0"/>
          <c:showCatName val="0"/>
          <c:showSerName val="0"/>
          <c:showPercent val="0"/>
          <c:showBubbleSize val="0"/>
        </c:dLbls>
        <c:gapWidth val="50"/>
        <c:axId val="360045952"/>
        <c:axId val="360064128"/>
      </c:barChart>
      <c:catAx>
        <c:axId val="360045952"/>
        <c:scaling>
          <c:orientation val="minMax"/>
        </c:scaling>
        <c:delete val="0"/>
        <c:axPos val="b"/>
        <c:majorTickMark val="out"/>
        <c:minorTickMark val="none"/>
        <c:tickLblPos val="nextTo"/>
        <c:txPr>
          <a:bodyPr/>
          <a:lstStyle/>
          <a:p>
            <a:pPr>
              <a:defRPr sz="800"/>
            </a:pPr>
            <a:endParaRPr lang="en-US"/>
          </a:p>
        </c:txPr>
        <c:crossAx val="360064128"/>
        <c:crosses val="autoZero"/>
        <c:auto val="1"/>
        <c:lblAlgn val="ctr"/>
        <c:lblOffset val="100"/>
        <c:noMultiLvlLbl val="0"/>
      </c:catAx>
      <c:valAx>
        <c:axId val="360064128"/>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60045952"/>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'United Energy'!$K$89</c:f>
              <c:strCache>
                <c:ptCount val="1"/>
                <c:pt idx="0">
                  <c:v>Forecast (inc. amendments)
</c:v>
                </c:pt>
              </c:strCache>
            </c:strRef>
          </c:tx>
          <c:spPr>
            <a:pattFill prst="dkUpDiag">
              <a:fgClr>
                <a:srgbClr val="006D2C"/>
              </a:fgClr>
              <a:bgClr>
                <a:sysClr val="window" lastClr="FFFFFF"/>
              </a:bgClr>
            </a:pattFill>
            <a:ln>
              <a:solidFill>
                <a:schemeClr val="tx1"/>
              </a:solidFill>
            </a:ln>
          </c:spPr>
          <c:invertIfNegative val="0"/>
          <c:cat>
            <c:multiLvlStrRef>
              <c:f>'United Energy'!$B$90:$C$97</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'United Energy'!$K$90:$K$97</c:f>
              <c:numCache>
                <c:formatCode>"$"#,##0</c:formatCode>
                <c:ptCount val="8"/>
                <c:pt idx="0">
                  <c:v>1546523314.5796404</c:v>
                </c:pt>
                <c:pt idx="1">
                  <c:v>1547907734.8645017</c:v>
                </c:pt>
                <c:pt idx="2">
                  <c:v>1546397458.1901076</c:v>
                </c:pt>
                <c:pt idx="3">
                  <c:v>1570939454.149013</c:v>
                </c:pt>
                <c:pt idx="4">
                  <c:v>1615744328.8227069</c:v>
                </c:pt>
                <c:pt idx="5">
                  <c:v>1547604809.6192386</c:v>
                </c:pt>
                <c:pt idx="6">
                  <c:v>1654300000</c:v>
                </c:pt>
                <c:pt idx="7">
                  <c:v>1719441153.846154</c:v>
                </c:pt>
              </c:numCache>
            </c:numRef>
          </c:val>
        </c:ser>
        <c:ser>
          <c:idx val="1"/>
          <c:order val="1"/>
          <c:tx>
            <c:strRef>
              <c:f>'United Energy'!$Q$89</c:f>
              <c:strCache>
                <c:ptCount val="1"/>
                <c:pt idx="0">
                  <c:v>Actual</c:v>
                </c:pt>
              </c:strCache>
            </c:strRef>
          </c:tx>
          <c:spPr>
            <a:solidFill>
              <a:srgbClr val="006D2C"/>
            </a:solidFill>
            <a:ln>
              <a:solidFill>
                <a:sysClr val="windowText" lastClr="000000"/>
              </a:solidFill>
            </a:ln>
          </c:spPr>
          <c:invertIfNegative val="0"/>
          <c:cat>
            <c:multiLvlStrRef>
              <c:f>'United Energy'!$B$90:$C$97</c:f>
              <c:multiLvlStrCache>
                <c:ptCount val="8"/>
                <c:lvl>
                  <c:pt idx="0">
                    <c:v>2006</c:v>
                  </c:pt>
                  <c:pt idx="1">
                    <c:v>2007</c:v>
                  </c:pt>
                  <c:pt idx="2">
                    <c:v>2008</c:v>
                  </c:pt>
                  <c:pt idx="3">
                    <c:v>2009</c:v>
                  </c:pt>
                  <c:pt idx="4">
                    <c:v>2010</c:v>
                  </c:pt>
                  <c:pt idx="5">
                    <c:v>2011</c:v>
                  </c:pt>
                  <c:pt idx="6">
                    <c:v>2012</c:v>
                  </c:pt>
                  <c:pt idx="7">
                    <c:v>2013</c:v>
                  </c:pt>
                </c:lvl>
                <c:lvl>
                  <c:pt idx="0">
                    <c:v>ESCV</c:v>
                  </c:pt>
                  <c:pt idx="5">
                    <c:v>AER</c:v>
                  </c:pt>
                </c:lvl>
              </c:multiLvlStrCache>
            </c:multiLvlStrRef>
          </c:cat>
          <c:val>
            <c:numRef>
              <c:f>'United Energy'!$Q$90:$Q$97</c:f>
              <c:numCache>
                <c:formatCode>"$"#,##0</c:formatCode>
                <c:ptCount val="8"/>
                <c:pt idx="0">
                  <c:v>1458787394.7548878</c:v>
                </c:pt>
                <c:pt idx="1">
                  <c:v>1435028642.3973162</c:v>
                </c:pt>
                <c:pt idx="2">
                  <c:v>1408946812.0314488</c:v>
                </c:pt>
                <c:pt idx="3">
                  <c:v>1433550320.0284007</c:v>
                </c:pt>
                <c:pt idx="4">
                  <c:v>1457414666.8408947</c:v>
                </c:pt>
                <c:pt idx="5">
                  <c:v>1551651423.3781295</c:v>
                </c:pt>
                <c:pt idx="6">
                  <c:v>1676279986.3708868</c:v>
                </c:pt>
                <c:pt idx="7">
                  <c:v>1750868470.754586</c:v>
                </c:pt>
              </c:numCache>
            </c:numRef>
          </c:val>
        </c:ser>
        <c:dLbls>
          <c:showLegendKey val="0"/>
          <c:showVal val="0"/>
          <c:showCatName val="0"/>
          <c:showSerName val="0"/>
          <c:showPercent val="0"/>
          <c:showBubbleSize val="0"/>
        </c:dLbls>
        <c:gapWidth val="50"/>
        <c:axId val="360093184"/>
        <c:axId val="360094720"/>
      </c:barChart>
      <c:catAx>
        <c:axId val="360093184"/>
        <c:scaling>
          <c:orientation val="minMax"/>
        </c:scaling>
        <c:delete val="0"/>
        <c:axPos val="b"/>
        <c:majorTickMark val="out"/>
        <c:minorTickMark val="none"/>
        <c:tickLblPos val="nextTo"/>
        <c:txPr>
          <a:bodyPr/>
          <a:lstStyle/>
          <a:p>
            <a:pPr>
              <a:defRPr sz="800"/>
            </a:pPr>
            <a:endParaRPr lang="en-US"/>
          </a:p>
        </c:txPr>
        <c:crossAx val="360094720"/>
        <c:crosses val="autoZero"/>
        <c:auto val="1"/>
        <c:lblAlgn val="ctr"/>
        <c:lblOffset val="100"/>
        <c:noMultiLvlLbl val="0"/>
      </c:catAx>
      <c:valAx>
        <c:axId val="360094720"/>
        <c:scaling>
          <c:orientation val="minMax"/>
          <c:max val="2000000000"/>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60093184"/>
        <c:crosses val="autoZero"/>
        <c:crossBetween val="between"/>
        <c:majorUnit val="300000000"/>
      </c:valAx>
    </c:plotArea>
    <c:legend>
      <c:legendPos val="b"/>
      <c:layout>
        <c:manualLayout>
          <c:xMode val="edge"/>
          <c:yMode val="edge"/>
          <c:x val="0.26323970067121893"/>
          <c:y val="0.88850503062117236"/>
          <c:w val="0.7033049742021684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'United Energy'!$T$51</c:f>
              <c:strCache>
                <c:ptCount val="1"/>
                <c:pt idx="0">
                  <c:v>Forecast (inc. amendments)
</c:v>
                </c:pt>
              </c:strCache>
            </c:strRef>
          </c:tx>
          <c:spPr>
            <a:pattFill prst="dkUpDiag">
              <a:fgClr>
                <a:srgbClr val="006D2C"/>
              </a:fgClr>
              <a:bgClr>
                <a:sysClr val="window" lastClr="FFFFFF"/>
              </a:bgClr>
            </a:pattFill>
            <a:ln>
              <a:solidFill>
                <a:schemeClr val="tx1"/>
              </a:solidFill>
            </a:ln>
          </c:spPr>
          <c:invertIfNegative val="0"/>
          <c:cat>
            <c:multiLvlStrRef>
              <c:f>'United Energy'!$B$52:$C$61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Energy'!$T$52:$T$61</c:f>
              <c:numCache>
                <c:formatCode>"$"#,##0</c:formatCode>
                <c:ptCount val="10"/>
                <c:pt idx="0">
                  <c:v>101691962.74254146</c:v>
                </c:pt>
                <c:pt idx="1">
                  <c:v>103831521.36459988</c:v>
                </c:pt>
                <c:pt idx="2">
                  <c:v>105971079.9866583</c:v>
                </c:pt>
                <c:pt idx="3">
                  <c:v>108236494.99824958</c:v>
                </c:pt>
                <c:pt idx="4">
                  <c:v>107984782.21918388</c:v>
                </c:pt>
                <c:pt idx="5">
                  <c:v>111802259.96478333</c:v>
                </c:pt>
                <c:pt idx="6">
                  <c:v>114019395.20797443</c:v>
                </c:pt>
                <c:pt idx="7">
                  <c:v>114685274.35038012</c:v>
                </c:pt>
                <c:pt idx="8">
                  <c:v>119157704.72211</c:v>
                </c:pt>
                <c:pt idx="9">
                  <c:v>120729673.9052927</c:v>
                </c:pt>
              </c:numCache>
            </c:numRef>
          </c:val>
        </c:ser>
        <c:ser>
          <c:idx val="1"/>
          <c:order val="1"/>
          <c:tx>
            <c:strRef>
              <c:f>'United Energy'!$Z$51</c:f>
              <c:strCache>
                <c:ptCount val="1"/>
                <c:pt idx="0">
                  <c:v>Actual</c:v>
                </c:pt>
              </c:strCache>
            </c:strRef>
          </c:tx>
          <c:spPr>
            <a:solidFill>
              <a:srgbClr val="006D2C"/>
            </a:solidFill>
            <a:ln>
              <a:solidFill>
                <a:sysClr val="windowText" lastClr="000000"/>
              </a:solidFill>
            </a:ln>
          </c:spPr>
          <c:invertIfNegative val="0"/>
          <c:cat>
            <c:multiLvlStrRef>
              <c:f>'United Energy'!$B$52:$C$61</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Energy'!$Z$52:$Z$61</c:f>
              <c:numCache>
                <c:formatCode>"$"#,##0</c:formatCode>
                <c:ptCount val="10"/>
                <c:pt idx="0">
                  <c:v>99736903.705033138</c:v>
                </c:pt>
                <c:pt idx="1">
                  <c:v>94876244.550207257</c:v>
                </c:pt>
                <c:pt idx="2">
                  <c:v>96185464.717163995</c:v>
                </c:pt>
                <c:pt idx="3">
                  <c:v>98434611.764930338</c:v>
                </c:pt>
                <c:pt idx="4">
                  <c:v>102913145.37923157</c:v>
                </c:pt>
                <c:pt idx="5">
                  <c:v>126608602.69710907</c:v>
                </c:pt>
                <c:pt idx="6">
                  <c:v>127781328.77830888</c:v>
                </c:pt>
                <c:pt idx="7">
                  <c:v>114940143.82499447</c:v>
                </c:pt>
                <c:pt idx="8">
                  <c:v>#N/A</c:v>
                </c:pt>
                <c:pt idx="9">
                  <c:v>#N/A</c:v>
                </c:pt>
              </c:numCache>
            </c:numRef>
          </c:val>
        </c:ser>
        <c:dLbls>
          <c:showLegendKey val="0"/>
          <c:showVal val="0"/>
          <c:showCatName val="0"/>
          <c:showSerName val="0"/>
          <c:showPercent val="0"/>
          <c:showBubbleSize val="0"/>
        </c:dLbls>
        <c:gapWidth val="50"/>
        <c:axId val="360161664"/>
        <c:axId val="360163200"/>
      </c:barChart>
      <c:catAx>
        <c:axId val="360161664"/>
        <c:scaling>
          <c:orientation val="minMax"/>
        </c:scaling>
        <c:delete val="0"/>
        <c:axPos val="b"/>
        <c:majorTickMark val="out"/>
        <c:minorTickMark val="none"/>
        <c:tickLblPos val="nextTo"/>
        <c:txPr>
          <a:bodyPr/>
          <a:lstStyle/>
          <a:p>
            <a:pPr>
              <a:defRPr sz="750"/>
            </a:pPr>
            <a:endParaRPr lang="en-US"/>
          </a:p>
        </c:txPr>
        <c:crossAx val="360163200"/>
        <c:crosses val="autoZero"/>
        <c:auto val="1"/>
        <c:lblAlgn val="ctr"/>
        <c:lblOffset val="100"/>
        <c:noMultiLvlLbl val="0"/>
      </c:catAx>
      <c:valAx>
        <c:axId val="360163200"/>
        <c:scaling>
          <c:orientation val="minMax"/>
          <c:min val="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60161664"/>
        <c:crosses val="autoZero"/>
        <c:crossBetween val="between"/>
      </c:valAx>
    </c:plotArea>
    <c:legend>
      <c:legendPos val="b"/>
      <c:layout>
        <c:manualLayout>
          <c:xMode val="edge"/>
          <c:yMode val="edge"/>
          <c:x val="0.2656373578302712"/>
          <c:y val="0.88850503062117236"/>
          <c:w val="0.7004359142607173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'United Energy'!$T$38</c:f>
              <c:strCache>
                <c:ptCount val="1"/>
                <c:pt idx="0">
                  <c:v>Forecast (inc. amendments)
</c:v>
                </c:pt>
              </c:strCache>
            </c:strRef>
          </c:tx>
          <c:spPr>
            <a:pattFill prst="dkUpDiag">
              <a:fgClr>
                <a:srgbClr val="006D2C"/>
              </a:fgClr>
              <a:bgClr>
                <a:sysClr val="window" lastClr="FFFFFF"/>
              </a:bgClr>
            </a:pattFill>
            <a:ln>
              <a:solidFill>
                <a:schemeClr val="tx1"/>
              </a:solidFill>
            </a:ln>
          </c:spPr>
          <c:invertIfNegative val="0"/>
          <c:cat>
            <c:multiLvlStrRef>
              <c:f>'United Energy'!$B$39:$C$48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Energy'!$T$39:$T$48</c:f>
              <c:numCache>
                <c:formatCode>"$"#,##0</c:formatCode>
                <c:ptCount val="10"/>
                <c:pt idx="0">
                  <c:v>341951810.36074895</c:v>
                </c:pt>
                <c:pt idx="1">
                  <c:v>317032245.23324496</c:v>
                </c:pt>
                <c:pt idx="2">
                  <c:v>323450921.09942025</c:v>
                </c:pt>
                <c:pt idx="3">
                  <c:v>306460308.51248574</c:v>
                </c:pt>
                <c:pt idx="4">
                  <c:v>289721408.7046169</c:v>
                </c:pt>
                <c:pt idx="5">
                  <c:v>310802046.80817759</c:v>
                </c:pt>
                <c:pt idx="6">
                  <c:v>314757767.05299985</c:v>
                </c:pt>
                <c:pt idx="7">
                  <c:v>329866945.25181854</c:v>
                </c:pt>
                <c:pt idx="8">
                  <c:v>359476566.36742234</c:v>
                </c:pt>
                <c:pt idx="9">
                  <c:v>394836260.19103819</c:v>
                </c:pt>
              </c:numCache>
            </c:numRef>
          </c:val>
        </c:ser>
        <c:ser>
          <c:idx val="1"/>
          <c:order val="1"/>
          <c:tx>
            <c:strRef>
              <c:f>'United Energy'!$Z$38</c:f>
              <c:strCache>
                <c:ptCount val="1"/>
                <c:pt idx="0">
                  <c:v>Actual</c:v>
                </c:pt>
              </c:strCache>
            </c:strRef>
          </c:tx>
          <c:spPr>
            <a:solidFill>
              <a:srgbClr val="006D2C"/>
            </a:solidFill>
            <a:ln>
              <a:solidFill>
                <a:sysClr val="windowText" lastClr="000000"/>
              </a:solidFill>
            </a:ln>
          </c:spPr>
          <c:invertIfNegative val="0"/>
          <c:cat>
            <c:multiLvlStrRef>
              <c:f>'United Energy'!$B$39:$C$48</c:f>
              <c:multiLvlStrCache>
                <c:ptCount val="10"/>
                <c:lvl>
                  <c:pt idx="0">
                    <c:v>2006</c:v>
                  </c:pt>
                  <c:pt idx="1">
                    <c:v>2007</c:v>
                  </c:pt>
                  <c:pt idx="2">
                    <c:v>2008</c:v>
                  </c:pt>
                  <c:pt idx="3">
                    <c:v>2009</c:v>
                  </c:pt>
                  <c:pt idx="4">
                    <c:v>2010</c:v>
                  </c:pt>
                  <c:pt idx="5">
                    <c:v>2011</c:v>
                  </c:pt>
                  <c:pt idx="6">
                    <c:v>2012</c:v>
                  </c:pt>
                  <c:pt idx="7">
                    <c:v>2013</c:v>
                  </c:pt>
                  <c:pt idx="8">
                    <c:v>2014</c:v>
                  </c:pt>
                  <c:pt idx="9">
                    <c:v>2015</c:v>
                  </c:pt>
                </c:lvl>
                <c:lvl>
                  <c:pt idx="0">
                    <c:v>ESCV</c:v>
                  </c:pt>
                  <c:pt idx="5">
                    <c:v>AER</c:v>
                  </c:pt>
                </c:lvl>
              </c:multiLvlStrCache>
            </c:multiLvlStrRef>
          </c:cat>
          <c:val>
            <c:numRef>
              <c:f>'United Energy'!$Z$39:$Z$48</c:f>
              <c:numCache>
                <c:formatCode>"$"#,##0</c:formatCode>
                <c:ptCount val="10"/>
                <c:pt idx="0">
                  <c:v>363104944.08848083</c:v>
                </c:pt>
                <c:pt idx="1">
                  <c:v>329709302.4160732</c:v>
                </c:pt>
                <c:pt idx="2">
                  <c:v>332353677.93156755</c:v>
                </c:pt>
                <c:pt idx="3">
                  <c:v>325174352.86720008</c:v>
                </c:pt>
                <c:pt idx="4">
                  <c:v>315901846.89626873</c:v>
                </c:pt>
                <c:pt idx="5">
                  <c:v>311199747.02843946</c:v>
                </c:pt>
                <c:pt idx="6">
                  <c:v>310324137.80497169</c:v>
                </c:pt>
                <c:pt idx="7">
                  <c:v>320511682.83589256</c:v>
                </c:pt>
                <c:pt idx="8">
                  <c:v>#N/A</c:v>
                </c:pt>
                <c:pt idx="9">
                  <c:v>#N/A</c:v>
                </c:pt>
              </c:numCache>
            </c:numRef>
          </c:val>
        </c:ser>
        <c:dLbls>
          <c:showLegendKey val="0"/>
          <c:showVal val="0"/>
          <c:showCatName val="0"/>
          <c:showSerName val="0"/>
          <c:showPercent val="0"/>
          <c:showBubbleSize val="0"/>
        </c:dLbls>
        <c:gapWidth val="50"/>
        <c:axId val="360176256"/>
        <c:axId val="360284544"/>
      </c:barChart>
      <c:catAx>
        <c:axId val="360176256"/>
        <c:scaling>
          <c:orientation val="minMax"/>
        </c:scaling>
        <c:delete val="0"/>
        <c:axPos val="b"/>
        <c:majorTickMark val="out"/>
        <c:minorTickMark val="none"/>
        <c:tickLblPos val="nextTo"/>
        <c:txPr>
          <a:bodyPr/>
          <a:lstStyle/>
          <a:p>
            <a:pPr>
              <a:defRPr sz="750"/>
            </a:pPr>
            <a:endParaRPr lang="en-US"/>
          </a:p>
        </c:txPr>
        <c:crossAx val="360284544"/>
        <c:crosses val="autoZero"/>
        <c:auto val="1"/>
        <c:lblAlgn val="ctr"/>
        <c:lblOffset val="100"/>
        <c:noMultiLvlLbl val="0"/>
      </c:catAx>
      <c:valAx>
        <c:axId val="360284544"/>
        <c:scaling>
          <c:orientation val="minMax"/>
          <c:max val="450000000"/>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60176256"/>
        <c:crosses val="autoZero"/>
        <c:crossBetween val="between"/>
        <c:majorUnit val="100000000"/>
      </c:valAx>
    </c:plotArea>
    <c:legend>
      <c:legendPos val="b"/>
      <c:layout>
        <c:manualLayout>
          <c:xMode val="edge"/>
          <c:yMode val="edge"/>
          <c:x val="0.26008180227471567"/>
          <c:y val="0.88850503062117236"/>
          <c:w val="0.7059914698162729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006D2C"/>
            </a:solidFill>
            <a:ln>
              <a:solidFill>
                <a:schemeClr val="tx1"/>
              </a:solidFill>
            </a:ln>
          </c:spPr>
          <c:invertIfNegative val="0"/>
          <c:cat>
            <c:strRef>
              <c:f>'United Energy'!$C$102:$C$104</c:f>
              <c:strCache>
                <c:ptCount val="3"/>
                <c:pt idx="0">
                  <c:v>2011</c:v>
                </c:pt>
                <c:pt idx="1">
                  <c:v>2012</c:v>
                </c:pt>
                <c:pt idx="2">
                  <c:v>2013</c:v>
                </c:pt>
              </c:strCache>
            </c:strRef>
          </c:cat>
          <c:val>
            <c:numRef>
              <c:f>'United Energy'!$K$102:$K$104</c:f>
              <c:numCache>
                <c:formatCode>"$"#,##0</c:formatCode>
                <c:ptCount val="3"/>
                <c:pt idx="0">
                  <c:v>123718534.03247423</c:v>
                </c:pt>
                <c:pt idx="1">
                  <c:v>104049651.23585045</c:v>
                </c:pt>
                <c:pt idx="2">
                  <c:v>115381584.56478795</c:v>
                </c:pt>
              </c:numCache>
            </c:numRef>
          </c:val>
        </c:ser>
        <c:dLbls>
          <c:showLegendKey val="0"/>
          <c:showVal val="0"/>
          <c:showCatName val="0"/>
          <c:showSerName val="0"/>
          <c:showPercent val="0"/>
          <c:showBubbleSize val="0"/>
        </c:dLbls>
        <c:gapWidth val="50"/>
        <c:axId val="360386944"/>
        <c:axId val="360388864"/>
      </c:barChart>
      <c:catAx>
        <c:axId val="360386944"/>
        <c:scaling>
          <c:orientation val="minMax"/>
        </c:scaling>
        <c:delete val="0"/>
        <c:axPos val="b"/>
        <c:title>
          <c:tx>
            <c:rich>
              <a:bodyPr/>
              <a:lstStyle/>
              <a:p>
                <a:pPr algn="l">
                  <a:defRPr/>
                </a:pPr>
                <a:r>
                  <a:rPr lang="en-AU" b="0"/>
                  <a:t>* For the purposes of this analysis EBIT is the sum of </a:t>
                </a:r>
                <a:r>
                  <a:rPr lang="en-AU" b="0" i="1"/>
                  <a:t>profit before tax </a:t>
                </a:r>
                <a:r>
                  <a:rPr lang="en-AU" b="0" i="0"/>
                  <a:t>and </a:t>
                </a:r>
                <a:r>
                  <a:rPr lang="en-AU" b="0" i="1"/>
                  <a:t>finance charges</a:t>
                </a:r>
                <a:r>
                  <a:rPr lang="en-AU" b="0" i="0"/>
                  <a:t>.</a:t>
                </a:r>
                <a:endParaRPr lang="en-AU"/>
              </a:p>
            </c:rich>
          </c:tx>
          <c:layout>
            <c:manualLayout>
              <c:xMode val="edge"/>
              <c:yMode val="edge"/>
              <c:x val="0.19082174103237096"/>
              <c:y val="0.83525444736074661"/>
            </c:manualLayout>
          </c:layout>
          <c:overlay val="0"/>
        </c:title>
        <c:majorTickMark val="out"/>
        <c:minorTickMark val="none"/>
        <c:tickLblPos val="nextTo"/>
        <c:crossAx val="360388864"/>
        <c:crosses val="autoZero"/>
        <c:auto val="1"/>
        <c:lblAlgn val="ctr"/>
        <c:lblOffset val="100"/>
        <c:noMultiLvlLbl val="0"/>
      </c:catAx>
      <c:valAx>
        <c:axId val="360388864"/>
        <c:scaling>
          <c:orientation val="minMax"/>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60386944"/>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cat>
            <c:strRef>
              <c:f>'Energy Delivered'!$Q$39:$Q$51</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'Energy Delivered'!$R$39:$R$51</c:f>
              <c:numCache>
                <c:formatCode>_(* #,##0.00_);_(* \(#,##0.00\);_(* "-"??_);_(@_)</c:formatCode>
                <c:ptCount val="13"/>
                <c:pt idx="0">
                  <c:v>16.798088643991907</c:v>
                </c:pt>
                <c:pt idx="1">
                  <c:v>16.547073055040162</c:v>
                </c:pt>
                <c:pt idx="2">
                  <c:v>18.397259205230839</c:v>
                </c:pt>
                <c:pt idx="3">
                  <c:v>14.403856250802649</c:v>
                </c:pt>
                <c:pt idx="4">
                  <c:v>16.040551336886789</c:v>
                </c:pt>
                <c:pt idx="5">
                  <c:v>19.550236837383903</c:v>
                </c:pt>
                <c:pt idx="6">
                  <c:v>13.270864799660595</c:v>
                </c:pt>
                <c:pt idx="7">
                  <c:v>15.685075307144219</c:v>
                </c:pt>
                <c:pt idx="8">
                  <c:v>11.632132170119903</c:v>
                </c:pt>
                <c:pt idx="9">
                  <c:v>19.189821748016879</c:v>
                </c:pt>
                <c:pt idx="10">
                  <c:v>13.729861138676965</c:v>
                </c:pt>
                <c:pt idx="11">
                  <c:v>14.42836120800817</c:v>
                </c:pt>
                <c:pt idx="12">
                  <c:v>12.452164225421553</c:v>
                </c:pt>
              </c:numCache>
            </c:numRef>
          </c:val>
        </c:ser>
        <c:dLbls>
          <c:showLegendKey val="0"/>
          <c:showVal val="0"/>
          <c:showCatName val="0"/>
          <c:showSerName val="0"/>
          <c:showPercent val="0"/>
          <c:showBubbleSize val="0"/>
        </c:dLbls>
        <c:gapWidth val="50"/>
        <c:axId val="102208640"/>
        <c:axId val="102210176"/>
      </c:barChart>
      <c:catAx>
        <c:axId val="102208640"/>
        <c:scaling>
          <c:orientation val="minMax"/>
        </c:scaling>
        <c:delete val="0"/>
        <c:axPos val="b"/>
        <c:majorTickMark val="out"/>
        <c:minorTickMark val="none"/>
        <c:tickLblPos val="nextTo"/>
        <c:txPr>
          <a:bodyPr/>
          <a:lstStyle/>
          <a:p>
            <a:pPr>
              <a:defRPr sz="700"/>
            </a:pPr>
            <a:endParaRPr lang="en-US"/>
          </a:p>
        </c:txPr>
        <c:crossAx val="102210176"/>
        <c:crosses val="autoZero"/>
        <c:auto val="1"/>
        <c:lblAlgn val="ctr"/>
        <c:lblOffset val="100"/>
        <c:noMultiLvlLbl val="0"/>
      </c:catAx>
      <c:valAx>
        <c:axId val="102210176"/>
        <c:scaling>
          <c:orientation val="minMax"/>
          <c:min val="0"/>
        </c:scaling>
        <c:delete val="0"/>
        <c:axPos val="l"/>
        <c:title>
          <c:tx>
            <c:rich>
              <a:bodyPr rot="0" vert="horz"/>
              <a:lstStyle/>
              <a:p>
                <a:pPr>
                  <a:defRPr sz="800"/>
                </a:pPr>
                <a:r>
                  <a:rPr lang="en-AU"/>
                  <a:t>Average </a:t>
                </a:r>
              </a:p>
              <a:p>
                <a:pPr>
                  <a:defRPr sz="800"/>
                </a:pPr>
                <a:r>
                  <a:rPr lang="en-AU"/>
                  <a:t>annual</a:t>
                </a:r>
              </a:p>
              <a:p>
                <a:pPr>
                  <a:defRPr sz="800"/>
                </a:pPr>
                <a:r>
                  <a:rPr lang="en-AU"/>
                  <a:t>energy</a:t>
                </a:r>
              </a:p>
              <a:p>
                <a:pPr>
                  <a:defRPr sz="800"/>
                </a:pPr>
                <a:r>
                  <a:rPr lang="en-AU"/>
                  <a:t>delivered</a:t>
                </a:r>
              </a:p>
              <a:p>
                <a:pPr>
                  <a:defRPr sz="800"/>
                </a:pPr>
                <a:r>
                  <a:rPr lang="en-AU"/>
                  <a:t>(2011-13)</a:t>
                </a:r>
              </a:p>
              <a:p>
                <a:pPr>
                  <a:defRPr sz="800"/>
                </a:pPr>
                <a:r>
                  <a:rPr lang="en-AU"/>
                  <a:t>(GWh)</a:t>
                </a:r>
              </a:p>
            </c:rich>
          </c:tx>
          <c:layout/>
          <c:overlay val="0"/>
        </c:title>
        <c:numFmt formatCode="#,##0" sourceLinked="0"/>
        <c:majorTickMark val="out"/>
        <c:minorTickMark val="none"/>
        <c:tickLblPos val="nextTo"/>
        <c:txPr>
          <a:bodyPr/>
          <a:lstStyle/>
          <a:p>
            <a:pPr>
              <a:defRPr sz="800"/>
            </a:pPr>
            <a:endParaRPr lang="en-US"/>
          </a:p>
        </c:txPr>
        <c:crossAx val="102208640"/>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'Capital Expenditure'!$P$3</c:f>
              <c:strCache>
                <c:ptCount val="1"/>
                <c:pt idx="0">
                  <c:v>Forecast (inc. amendments)</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pattFill prst="dkUpDiag">
                <a:fgClr>
                  <a:srgbClr val="FCC0C0"/>
                </a:fgClr>
                <a:bgClr>
                  <a:sysClr val="window" lastClr="FFFFFF"/>
                </a:bgClr>
              </a:pattFill>
              <a:ln>
                <a:solidFill>
                  <a:schemeClr val="tx1"/>
                </a:solidFill>
              </a:ln>
            </c:spPr>
          </c:dPt>
          <c:dPt>
            <c:idx val="1"/>
            <c:invertIfNegative val="0"/>
            <c:bubble3D val="0"/>
            <c:spPr>
              <a:pattFill prst="dkUpDiag">
                <a:fgClr>
                  <a:srgbClr val="9ECAE1"/>
                </a:fgClr>
                <a:bgClr>
                  <a:sysClr val="windowText" lastClr="000000"/>
                </a:bgClr>
              </a:pattFill>
              <a:ln>
                <a:solidFill>
                  <a:schemeClr val="tx1"/>
                </a:solidFill>
              </a:ln>
            </c:spPr>
          </c:dPt>
          <c:dPt>
            <c:idx val="2"/>
            <c:invertIfNegative val="0"/>
            <c:bubble3D val="0"/>
            <c:spPr>
              <a:pattFill prst="dkUpDiag">
                <a:fgClr>
                  <a:srgbClr val="DEEBF7"/>
                </a:fgClr>
                <a:bgClr>
                  <a:sysClr val="windowText" lastClr="000000"/>
                </a:bgClr>
              </a:pattFill>
              <a:ln>
                <a:solidFill>
                  <a:schemeClr val="tx1"/>
                </a:solidFill>
              </a:ln>
            </c:spPr>
          </c:dPt>
          <c:dPt>
            <c:idx val="3"/>
            <c:invertIfNegative val="0"/>
            <c:bubble3D val="0"/>
            <c:spPr>
              <a:pattFill prst="dkUpDiag">
                <a:fgClr>
                  <a:srgbClr val="C6DBEF"/>
                </a:fgClr>
                <a:bgClr>
                  <a:sysClr val="windowText" lastClr="000000"/>
                </a:bgClr>
              </a:pattFill>
              <a:ln>
                <a:solidFill>
                  <a:schemeClr val="tx1"/>
                </a:solidFill>
              </a:ln>
            </c:spPr>
          </c:dPt>
          <c:dPt>
            <c:idx val="4"/>
            <c:invertIfNegative val="0"/>
            <c:bubble3D val="0"/>
            <c:spPr>
              <a:pattFill prst="dkUpDiag">
                <a:fgClr>
                  <a:srgbClr val="BD0026"/>
                </a:fgClr>
                <a:bgClr>
                  <a:sysClr val="window" lastClr="FFFFFF"/>
                </a:bgClr>
              </a:pattFill>
              <a:ln>
                <a:solidFill>
                  <a:schemeClr val="tx1"/>
                </a:solidFill>
              </a:ln>
            </c:spPr>
          </c:dPt>
          <c:dPt>
            <c:idx val="5"/>
            <c:invertIfNegative val="0"/>
            <c:bubble3D val="0"/>
            <c:spPr>
              <a:pattFill prst="dkUpDiag">
                <a:fgClr>
                  <a:srgbClr val="800026"/>
                </a:fgClr>
                <a:bgClr>
                  <a:sysClr val="window" lastClr="FFFFFF"/>
                </a:bgClr>
              </a:pattFill>
              <a:ln>
                <a:solidFill>
                  <a:schemeClr val="tx1"/>
                </a:solidFill>
              </a:ln>
            </c:spPr>
          </c:dPt>
          <c:dPt>
            <c:idx val="6"/>
            <c:invertIfNegative val="0"/>
            <c:bubble3D val="0"/>
            <c:spPr>
              <a:pattFill prst="dkUpDiag">
                <a:fgClr>
                  <a:srgbClr val="FD8D3C"/>
                </a:fgClr>
                <a:bgClr>
                  <a:sysClr val="window" lastClr="FFFFFF"/>
                </a:bgClr>
              </a:pattFill>
              <a:ln>
                <a:solidFill>
                  <a:schemeClr val="tx1"/>
                </a:solidFill>
              </a:ln>
            </c:spPr>
          </c:dPt>
          <c:dPt>
            <c:idx val="7"/>
            <c:invertIfNegative val="0"/>
            <c:bubble3D val="0"/>
            <c:spPr>
              <a:pattFill prst="dkUpDiag">
                <a:fgClr>
                  <a:srgbClr val="DEEBF7"/>
                </a:fgClr>
                <a:bgClr>
                  <a:sysClr val="windowText" lastClr="000000"/>
                </a:bgClr>
              </a:pattFill>
              <a:ln>
                <a:solidFill>
                  <a:schemeClr val="tx1"/>
                </a:solidFill>
              </a:ln>
            </c:spPr>
          </c:dPt>
          <c:dPt>
            <c:idx val="8"/>
            <c:invertIfNegative val="0"/>
            <c:bubble3D val="0"/>
            <c:spPr>
              <a:pattFill prst="dkUpDiag">
                <a:fgClr>
                  <a:srgbClr val="238B45"/>
                </a:fgClr>
                <a:bgClr>
                  <a:sysClr val="window" lastClr="FFFFFF"/>
                </a:bgClr>
              </a:pattFill>
              <a:ln>
                <a:solidFill>
                  <a:schemeClr val="tx1"/>
                </a:solidFill>
              </a:ln>
            </c:spPr>
          </c:dPt>
          <c:dPt>
            <c:idx val="9"/>
            <c:invertIfNegative val="0"/>
            <c:bubble3D val="0"/>
            <c:spPr>
              <a:pattFill prst="dkUpDiag">
                <a:fgClr>
                  <a:srgbClr val="A1D99B"/>
                </a:fgClr>
                <a:bgClr>
                  <a:sysClr val="windowText" lastClr="000000"/>
                </a:bgClr>
              </a:pattFill>
              <a:ln>
                <a:solidFill>
                  <a:schemeClr val="tx1"/>
                </a:solidFill>
              </a:ln>
            </c:spPr>
          </c:dPt>
          <c:dPt>
            <c:idx val="10"/>
            <c:invertIfNegative val="0"/>
            <c:bubble3D val="0"/>
            <c:spPr>
              <a:pattFill prst="dkUpDiag">
                <a:fgClr>
                  <a:srgbClr val="41AB5D"/>
                </a:fgClr>
                <a:bgClr>
                  <a:sysClr val="window" lastClr="FFFFFF"/>
                </a:bgClr>
              </a:pattFill>
              <a:ln>
                <a:solidFill>
                  <a:schemeClr val="tx1"/>
                </a:solidFill>
              </a:ln>
            </c:spPr>
          </c:dPt>
          <c:dPt>
            <c:idx val="11"/>
            <c:invertIfNegative val="0"/>
            <c:bubble3D val="0"/>
            <c:spPr>
              <a:pattFill prst="dkUpDiag">
                <a:fgClr>
                  <a:srgbClr val="74C476"/>
                </a:fgClr>
                <a:bgClr>
                  <a:sysClr val="windowText" lastClr="000000"/>
                </a:bgClr>
              </a:pattFill>
              <a:ln>
                <a:solidFill>
                  <a:schemeClr val="tx1"/>
                </a:solidFill>
              </a:ln>
            </c:spPr>
          </c:dPt>
          <c:dPt>
            <c:idx val="12"/>
            <c:invertIfNegative val="0"/>
            <c:bubble3D val="0"/>
            <c:spPr>
              <a:pattFill prst="dkUpDiag">
                <a:fgClr>
                  <a:srgbClr val="006D2C"/>
                </a:fgClr>
                <a:bgClr>
                  <a:sysClr val="window" lastClr="FFFFFF"/>
                </a:bgClr>
              </a:pattFill>
              <a:ln>
                <a:solidFill>
                  <a:schemeClr val="tx1"/>
                </a:solidFill>
              </a:ln>
            </c:spPr>
          </c:dPt>
          <c:cat>
            <c:strRef>
              <c:f>'Capital Expenditure'!$B$4:$B$16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'Capital Expenditure'!$P$4:$P$16</c:f>
              <c:numCache>
                <c:formatCode>_-* #,##0_-;\-* #,##0_-;_-* "-"??_-;_-@_-</c:formatCode>
                <c:ptCount val="13"/>
                <c:pt idx="0">
                  <c:v>179333366.94669244</c:v>
                </c:pt>
                <c:pt idx="1">
                  <c:v>4457688866.2853613</c:v>
                </c:pt>
                <c:pt idx="2">
                  <c:v>1824460350.0880008</c:v>
                </c:pt>
                <c:pt idx="3">
                  <c:v>2526285085.7758479</c:v>
                </c:pt>
                <c:pt idx="4">
                  <c:v>3672157812.2659683</c:v>
                </c:pt>
                <c:pt idx="5">
                  <c:v>2698562532.0249314</c:v>
                </c:pt>
                <c:pt idx="6">
                  <c:v>1022376006.5406365</c:v>
                </c:pt>
                <c:pt idx="7">
                  <c:v>369354820.21323502</c:v>
                </c:pt>
                <c:pt idx="8">
                  <c:v>937692938.9355607</c:v>
                </c:pt>
                <c:pt idx="9">
                  <c:v>478026097.43433774</c:v>
                </c:pt>
                <c:pt idx="10">
                  <c:v>284521974.14321083</c:v>
                </c:pt>
                <c:pt idx="11">
                  <c:v>849595347.92089438</c:v>
                </c:pt>
                <c:pt idx="12">
                  <c:v>509070867.18156451</c:v>
                </c:pt>
              </c:numCache>
            </c:numRef>
          </c:val>
        </c:ser>
        <c:ser>
          <c:idx val="1"/>
          <c:order val="1"/>
          <c:tx>
            <c:strRef>
              <c:f>'Capital Expenditure'!$Q$3</c:f>
              <c:strCache>
                <c:ptCount val="1"/>
                <c:pt idx="0">
                  <c:v>Actual</c:v>
                </c:pt>
              </c:strCache>
            </c:strRef>
          </c:tx>
          <c:spPr>
            <a:solidFill>
              <a:sysClr val="windowText" lastClr="000000"/>
            </a:solidFill>
            <a:ln>
              <a:solidFill>
                <a:sysClr val="windowText" lastClr="000000"/>
              </a:solidFill>
            </a:ln>
          </c:spPr>
          <c:invertIfNegative val="0"/>
          <c:dPt>
            <c:idx val="0"/>
            <c:invertIfNegative val="0"/>
            <c:bubble3D val="0"/>
            <c:spPr>
              <a:solidFill>
                <a:srgbClr val="FCC0C0"/>
              </a:solidFill>
              <a:ln>
                <a:solidFill>
                  <a:sysClr val="windowText" lastClr="000000"/>
                </a:solidFill>
              </a:ln>
            </c:spPr>
          </c:dPt>
          <c:dPt>
            <c:idx val="1"/>
            <c:invertIfNegative val="0"/>
            <c:bubble3D val="0"/>
            <c:spPr>
              <a:solidFill>
                <a:srgbClr val="9ECAE1"/>
              </a:solidFill>
              <a:ln>
                <a:solidFill>
                  <a:sysClr val="windowText" lastClr="000000"/>
                </a:solidFill>
              </a:ln>
            </c:spPr>
          </c:dPt>
          <c:dPt>
            <c:idx val="2"/>
            <c:invertIfNegative val="0"/>
            <c:bubble3D val="0"/>
            <c:spPr>
              <a:solidFill>
                <a:srgbClr val="DEEBF7"/>
              </a:solidFill>
              <a:ln>
                <a:solidFill>
                  <a:sysClr val="windowText" lastClr="000000"/>
                </a:solidFill>
              </a:ln>
            </c:spPr>
          </c:dPt>
          <c:dPt>
            <c:idx val="3"/>
            <c:invertIfNegative val="0"/>
            <c:bubble3D val="0"/>
            <c:spPr>
              <a:solidFill>
                <a:srgbClr val="C6DBEF"/>
              </a:solidFill>
              <a:ln>
                <a:solidFill>
                  <a:sysClr val="windowText" lastClr="000000"/>
                </a:solidFill>
              </a:ln>
            </c:spPr>
          </c:dPt>
          <c:dPt>
            <c:idx val="4"/>
            <c:invertIfNegative val="0"/>
            <c:bubble3D val="0"/>
            <c:spPr>
              <a:solidFill>
                <a:srgbClr val="BD0026"/>
              </a:solidFill>
              <a:ln>
                <a:solidFill>
                  <a:sysClr val="windowText" lastClr="000000"/>
                </a:solidFill>
              </a:ln>
            </c:spPr>
          </c:dPt>
          <c:dPt>
            <c:idx val="5"/>
            <c:invertIfNegative val="0"/>
            <c:bubble3D val="0"/>
            <c:spPr>
              <a:solidFill>
                <a:srgbClr val="800026"/>
              </a:solidFill>
              <a:ln>
                <a:solidFill>
                  <a:sysClr val="windowText" lastClr="000000"/>
                </a:solidFill>
              </a:ln>
            </c:spPr>
          </c:dPt>
          <c:dPt>
            <c:idx val="6"/>
            <c:invertIfNegative val="0"/>
            <c:bubble3D val="0"/>
            <c:spPr>
              <a:solidFill>
                <a:srgbClr val="FD8D3C"/>
              </a:solidFill>
              <a:ln>
                <a:solidFill>
                  <a:sysClr val="windowText" lastClr="000000"/>
                </a:solidFill>
              </a:ln>
            </c:spPr>
          </c:dPt>
          <c:dPt>
            <c:idx val="7"/>
            <c:invertIfNegative val="0"/>
            <c:bubble3D val="0"/>
            <c:spPr>
              <a:solidFill>
                <a:srgbClr val="E7E1EF"/>
              </a:solidFill>
              <a:ln>
                <a:solidFill>
                  <a:sysClr val="windowText" lastClr="000000"/>
                </a:solidFill>
              </a:ln>
            </c:spPr>
          </c:dPt>
          <c:dPt>
            <c:idx val="8"/>
            <c:invertIfNegative val="0"/>
            <c:bubble3D val="0"/>
            <c:spPr>
              <a:solidFill>
                <a:srgbClr val="238B45"/>
              </a:solidFill>
              <a:ln>
                <a:solidFill>
                  <a:sysClr val="windowText" lastClr="000000"/>
                </a:solidFill>
              </a:ln>
            </c:spPr>
          </c:dPt>
          <c:dPt>
            <c:idx val="9"/>
            <c:invertIfNegative val="0"/>
            <c:bubble3D val="0"/>
            <c:spPr>
              <a:solidFill>
                <a:srgbClr val="A1D99B"/>
              </a:solidFill>
              <a:ln>
                <a:solidFill>
                  <a:sysClr val="windowText" lastClr="000000"/>
                </a:solidFill>
              </a:ln>
            </c:spPr>
          </c:dPt>
          <c:dPt>
            <c:idx val="10"/>
            <c:invertIfNegative val="0"/>
            <c:bubble3D val="0"/>
            <c:spPr>
              <a:solidFill>
                <a:srgbClr val="41AB5D"/>
              </a:solidFill>
              <a:ln>
                <a:solidFill>
                  <a:sysClr val="windowText" lastClr="000000"/>
                </a:solidFill>
              </a:ln>
            </c:spPr>
          </c:dPt>
          <c:dPt>
            <c:idx val="11"/>
            <c:invertIfNegative val="0"/>
            <c:bubble3D val="0"/>
            <c:spPr>
              <a:solidFill>
                <a:srgbClr val="74C476"/>
              </a:solidFill>
              <a:ln>
                <a:solidFill>
                  <a:sysClr val="windowText" lastClr="000000"/>
                </a:solidFill>
              </a:ln>
            </c:spPr>
          </c:dPt>
          <c:dPt>
            <c:idx val="12"/>
            <c:invertIfNegative val="0"/>
            <c:bubble3D val="0"/>
            <c:spPr>
              <a:solidFill>
                <a:srgbClr val="006D2C"/>
              </a:solidFill>
              <a:ln>
                <a:solidFill>
                  <a:sysClr val="windowText" lastClr="000000"/>
                </a:solidFill>
              </a:ln>
            </c:spPr>
          </c:dPt>
          <c:cat>
            <c:strRef>
              <c:f>'Capital Expenditure'!$B$4:$B$16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'Capital Expenditure'!$Q$4:$Q$16</c:f>
              <c:numCache>
                <c:formatCode>_-* #,##0_-;\-* #,##0_-;_-* "-"??_-;_-@_-</c:formatCode>
                <c:ptCount val="13"/>
                <c:pt idx="0">
                  <c:v>207138040.69166374</c:v>
                </c:pt>
                <c:pt idx="1">
                  <c:v>3700923349.1049957</c:v>
                </c:pt>
                <c:pt idx="2">
                  <c:v>1657536742.3400815</c:v>
                </c:pt>
                <c:pt idx="3">
                  <c:v>2157219702.8291683</c:v>
                </c:pt>
                <c:pt idx="4">
                  <c:v>2708451817.8001223</c:v>
                </c:pt>
                <c:pt idx="5">
                  <c:v>2235794429.911047</c:v>
                </c:pt>
                <c:pt idx="6">
                  <c:v>914159392.12438893</c:v>
                </c:pt>
                <c:pt idx="7">
                  <c:v>331659128.28206128</c:v>
                </c:pt>
                <c:pt idx="8">
                  <c:v>914323704.58845997</c:v>
                </c:pt>
                <c:pt idx="9">
                  <c:v>367669076.47308946</c:v>
                </c:pt>
                <c:pt idx="10">
                  <c:v>351219506.62602597</c:v>
                </c:pt>
                <c:pt idx="11">
                  <c:v>760159374.00714636</c:v>
                </c:pt>
                <c:pt idx="12">
                  <c:v>542108042.80648363</c:v>
                </c:pt>
              </c:numCache>
            </c:numRef>
          </c:val>
        </c:ser>
        <c:dLbls>
          <c:showLegendKey val="0"/>
          <c:showVal val="0"/>
          <c:showCatName val="0"/>
          <c:showSerName val="0"/>
          <c:showPercent val="0"/>
          <c:showBubbleSize val="0"/>
        </c:dLbls>
        <c:gapWidth val="50"/>
        <c:axId val="256968960"/>
        <c:axId val="256974848"/>
      </c:barChart>
      <c:catAx>
        <c:axId val="256968960"/>
        <c:scaling>
          <c:orientation val="minMax"/>
        </c:scaling>
        <c:delete val="0"/>
        <c:axPos val="b"/>
        <c:majorTickMark val="out"/>
        <c:minorTickMark val="none"/>
        <c:tickLblPos val="nextTo"/>
        <c:txPr>
          <a:bodyPr/>
          <a:lstStyle/>
          <a:p>
            <a:pPr>
              <a:defRPr sz="700"/>
            </a:pPr>
            <a:endParaRPr lang="en-US"/>
          </a:p>
        </c:txPr>
        <c:crossAx val="256974848"/>
        <c:crosses val="autoZero"/>
        <c:auto val="1"/>
        <c:lblAlgn val="ctr"/>
        <c:lblOffset val="100"/>
        <c:noMultiLvlLbl val="0"/>
      </c:catAx>
      <c:valAx>
        <c:axId val="256974848"/>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b&quot;" sourceLinked="0"/>
        <c:majorTickMark val="out"/>
        <c:minorTickMark val="none"/>
        <c:tickLblPos val="nextTo"/>
        <c:txPr>
          <a:bodyPr/>
          <a:lstStyle/>
          <a:p>
            <a:pPr>
              <a:defRPr sz="800"/>
            </a:pPr>
            <a:endParaRPr lang="en-US"/>
          </a:p>
        </c:txPr>
        <c:crossAx val="256968960"/>
        <c:crosses val="autoZero"/>
        <c:crossBetween val="between"/>
        <c:majorUnit val="1000000000"/>
      </c:valAx>
    </c:plotArea>
    <c:legend>
      <c:legendPos val="b"/>
      <c:layout>
        <c:manualLayout>
          <c:xMode val="edge"/>
          <c:yMode val="edge"/>
          <c:x val="0.22755971128608921"/>
          <c:y val="0.91077427821522305"/>
          <c:w val="0.73376924759405071"/>
          <c:h val="6.4835477882337872E-2"/>
        </c:manualLayout>
      </c:layout>
      <c:overlay val="0"/>
      <c:txPr>
        <a:bodyPr/>
        <a:lstStyle/>
        <a:p>
          <a:pPr rtl="0">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'Closing RAB'!$Q$20</c:f>
              <c:strCache>
                <c:ptCount val="1"/>
                <c:pt idx="0">
                  <c:v>Forecast</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pattFill prst="dkUpDiag">
                <a:fgClr>
                  <a:srgbClr val="FCC0C0"/>
                </a:fgClr>
                <a:bgClr>
                  <a:sysClr val="window" lastClr="FFFFFF"/>
                </a:bgClr>
              </a:pattFill>
              <a:ln>
                <a:solidFill>
                  <a:schemeClr val="tx1"/>
                </a:solidFill>
              </a:ln>
            </c:spPr>
          </c:dPt>
          <c:dPt>
            <c:idx val="1"/>
            <c:invertIfNegative val="0"/>
            <c:bubble3D val="0"/>
            <c:spPr>
              <a:pattFill prst="dkUpDiag">
                <a:fgClr>
                  <a:srgbClr val="9ECAE1"/>
                </a:fgClr>
                <a:bgClr>
                  <a:sysClr val="windowText" lastClr="000000"/>
                </a:bgClr>
              </a:pattFill>
              <a:ln>
                <a:solidFill>
                  <a:schemeClr val="tx1"/>
                </a:solidFill>
              </a:ln>
            </c:spPr>
          </c:dPt>
          <c:dPt>
            <c:idx val="2"/>
            <c:invertIfNegative val="0"/>
            <c:bubble3D val="0"/>
            <c:spPr>
              <a:pattFill prst="dkUpDiag">
                <a:fgClr>
                  <a:srgbClr val="DEEBF7"/>
                </a:fgClr>
                <a:bgClr>
                  <a:sysClr val="windowText" lastClr="000000"/>
                </a:bgClr>
              </a:pattFill>
              <a:ln>
                <a:solidFill>
                  <a:schemeClr val="tx1"/>
                </a:solidFill>
              </a:ln>
            </c:spPr>
          </c:dPt>
          <c:dPt>
            <c:idx val="3"/>
            <c:invertIfNegative val="0"/>
            <c:bubble3D val="0"/>
            <c:spPr>
              <a:pattFill prst="dkUpDiag">
                <a:fgClr>
                  <a:srgbClr val="C6DBEF"/>
                </a:fgClr>
                <a:bgClr>
                  <a:sysClr val="windowText" lastClr="000000"/>
                </a:bgClr>
              </a:pattFill>
              <a:ln>
                <a:solidFill>
                  <a:schemeClr val="tx1"/>
                </a:solidFill>
              </a:ln>
            </c:spPr>
          </c:dPt>
          <c:dPt>
            <c:idx val="4"/>
            <c:invertIfNegative val="0"/>
            <c:bubble3D val="0"/>
            <c:spPr>
              <a:pattFill prst="dkUpDiag">
                <a:fgClr>
                  <a:srgbClr val="BD0026"/>
                </a:fgClr>
                <a:bgClr>
                  <a:sysClr val="window" lastClr="FFFFFF"/>
                </a:bgClr>
              </a:pattFill>
              <a:ln>
                <a:solidFill>
                  <a:schemeClr val="tx1"/>
                </a:solidFill>
              </a:ln>
            </c:spPr>
          </c:dPt>
          <c:dPt>
            <c:idx val="5"/>
            <c:invertIfNegative val="0"/>
            <c:bubble3D val="0"/>
            <c:spPr>
              <a:pattFill prst="dkUpDiag">
                <a:fgClr>
                  <a:srgbClr val="800026"/>
                </a:fgClr>
                <a:bgClr>
                  <a:sysClr val="window" lastClr="FFFFFF"/>
                </a:bgClr>
              </a:pattFill>
              <a:ln>
                <a:solidFill>
                  <a:schemeClr val="tx1"/>
                </a:solidFill>
              </a:ln>
            </c:spPr>
          </c:dPt>
          <c:dPt>
            <c:idx val="6"/>
            <c:invertIfNegative val="0"/>
            <c:bubble3D val="0"/>
            <c:spPr>
              <a:pattFill prst="dkUpDiag">
                <a:fgClr>
                  <a:srgbClr val="FD8D3C"/>
                </a:fgClr>
                <a:bgClr>
                  <a:sysClr val="window" lastClr="FFFFFF"/>
                </a:bgClr>
              </a:pattFill>
              <a:ln>
                <a:solidFill>
                  <a:schemeClr val="tx1"/>
                </a:solidFill>
              </a:ln>
            </c:spPr>
          </c:dPt>
          <c:dPt>
            <c:idx val="7"/>
            <c:invertIfNegative val="0"/>
            <c:bubble3D val="0"/>
            <c:spPr>
              <a:pattFill prst="dkUpDiag">
                <a:fgClr>
                  <a:srgbClr val="DEEBF7"/>
                </a:fgClr>
                <a:bgClr>
                  <a:sysClr val="windowText" lastClr="000000"/>
                </a:bgClr>
              </a:pattFill>
              <a:ln>
                <a:solidFill>
                  <a:schemeClr val="tx1"/>
                </a:solidFill>
              </a:ln>
            </c:spPr>
          </c:dPt>
          <c:dPt>
            <c:idx val="8"/>
            <c:invertIfNegative val="0"/>
            <c:bubble3D val="0"/>
            <c:spPr>
              <a:pattFill prst="dkUpDiag">
                <a:fgClr>
                  <a:srgbClr val="238B45"/>
                </a:fgClr>
                <a:bgClr>
                  <a:sysClr val="window" lastClr="FFFFFF"/>
                </a:bgClr>
              </a:pattFill>
              <a:ln>
                <a:solidFill>
                  <a:schemeClr val="tx1"/>
                </a:solidFill>
              </a:ln>
            </c:spPr>
          </c:dPt>
          <c:dPt>
            <c:idx val="9"/>
            <c:invertIfNegative val="0"/>
            <c:bubble3D val="0"/>
            <c:spPr>
              <a:pattFill prst="dkUpDiag">
                <a:fgClr>
                  <a:srgbClr val="A1D99B"/>
                </a:fgClr>
                <a:bgClr>
                  <a:sysClr val="windowText" lastClr="000000"/>
                </a:bgClr>
              </a:pattFill>
              <a:ln>
                <a:solidFill>
                  <a:schemeClr val="tx1"/>
                </a:solidFill>
              </a:ln>
            </c:spPr>
          </c:dPt>
          <c:dPt>
            <c:idx val="10"/>
            <c:invertIfNegative val="0"/>
            <c:bubble3D val="0"/>
            <c:spPr>
              <a:pattFill prst="dkUpDiag">
                <a:fgClr>
                  <a:srgbClr val="41AB5D"/>
                </a:fgClr>
                <a:bgClr>
                  <a:sysClr val="window" lastClr="FFFFFF"/>
                </a:bgClr>
              </a:pattFill>
              <a:ln>
                <a:solidFill>
                  <a:schemeClr val="tx1"/>
                </a:solidFill>
              </a:ln>
            </c:spPr>
          </c:dPt>
          <c:dPt>
            <c:idx val="11"/>
            <c:invertIfNegative val="0"/>
            <c:bubble3D val="0"/>
            <c:spPr>
              <a:pattFill prst="dkUpDiag">
                <a:fgClr>
                  <a:srgbClr val="74C476"/>
                </a:fgClr>
                <a:bgClr>
                  <a:sysClr val="windowText" lastClr="000000"/>
                </a:bgClr>
              </a:pattFill>
              <a:ln>
                <a:solidFill>
                  <a:schemeClr val="tx1"/>
                </a:solidFill>
              </a:ln>
            </c:spPr>
          </c:dPt>
          <c:dPt>
            <c:idx val="12"/>
            <c:invertIfNegative val="0"/>
            <c:bubble3D val="0"/>
            <c:spPr>
              <a:pattFill prst="dkUpDiag">
                <a:fgClr>
                  <a:srgbClr val="006D2C"/>
                </a:fgClr>
                <a:bgClr>
                  <a:sysClr val="window" lastClr="FFFFFF"/>
                </a:bgClr>
              </a:pattFill>
              <a:ln>
                <a:solidFill>
                  <a:schemeClr val="tx1"/>
                </a:solidFill>
              </a:ln>
            </c:spPr>
          </c:dPt>
          <c:cat>
            <c:strRef>
              <c:f>'Closing RAB'!$P$21:$P$33</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'Closing RAB'!$Q$21:$Q$33</c:f>
              <c:numCache>
                <c:formatCode>"$"#,##0</c:formatCode>
                <c:ptCount val="13"/>
                <c:pt idx="0">
                  <c:v>782607952.98060739</c:v>
                </c:pt>
                <c:pt idx="1">
                  <c:v>12646815396.915802</c:v>
                </c:pt>
                <c:pt idx="2">
                  <c:v>5671940547.0852842</c:v>
                </c:pt>
                <c:pt idx="3">
                  <c:v>7063647084.7651577</c:v>
                </c:pt>
                <c:pt idx="4">
                  <c:v>11472713148.019379</c:v>
                </c:pt>
                <c:pt idx="5">
                  <c:v>10038902424.195711</c:v>
                </c:pt>
                <c:pt idx="6">
                  <c:v>3658434578.8284321</c:v>
                </c:pt>
                <c:pt idx="7">
                  <c:v>1515817974.6566842</c:v>
                </c:pt>
                <c:pt idx="8">
                  <c:v>2741552307.6923079</c:v>
                </c:pt>
                <c:pt idx="9">
                  <c:v>1632030192.3076925</c:v>
                </c:pt>
                <c:pt idx="10">
                  <c:v>939398653.84615397</c:v>
                </c:pt>
                <c:pt idx="11">
                  <c:v>2792550192.3076925</c:v>
                </c:pt>
                <c:pt idx="12">
                  <c:v>1719441153.846154</c:v>
                </c:pt>
              </c:numCache>
            </c:numRef>
          </c:val>
        </c:ser>
        <c:ser>
          <c:idx val="1"/>
          <c:order val="1"/>
          <c:tx>
            <c:strRef>
              <c:f>'Closing RAB'!$R$20</c:f>
              <c:strCache>
                <c:ptCount val="1"/>
                <c:pt idx="0">
                  <c:v>Actual</c:v>
                </c:pt>
              </c:strCache>
            </c:strRef>
          </c:tx>
          <c:spPr>
            <a:solidFill>
              <a:sysClr val="windowText" lastClr="000000"/>
            </a:solidFill>
            <a:ln>
              <a:solidFill>
                <a:sysClr val="windowText" lastClr="000000"/>
              </a:solidFill>
            </a:ln>
          </c:spPr>
          <c:invertIfNegative val="0"/>
          <c:dPt>
            <c:idx val="0"/>
            <c:invertIfNegative val="0"/>
            <c:bubble3D val="0"/>
            <c:spPr>
              <a:solidFill>
                <a:srgbClr val="FCC0C0"/>
              </a:solidFill>
              <a:ln>
                <a:solidFill>
                  <a:sysClr val="windowText" lastClr="000000"/>
                </a:solidFill>
              </a:ln>
            </c:spPr>
          </c:dPt>
          <c:dPt>
            <c:idx val="1"/>
            <c:invertIfNegative val="0"/>
            <c:bubble3D val="0"/>
            <c:spPr>
              <a:solidFill>
                <a:srgbClr val="9ECAE1"/>
              </a:solidFill>
              <a:ln>
                <a:solidFill>
                  <a:sysClr val="windowText" lastClr="000000"/>
                </a:solidFill>
              </a:ln>
            </c:spPr>
          </c:dPt>
          <c:dPt>
            <c:idx val="2"/>
            <c:invertIfNegative val="0"/>
            <c:bubble3D val="0"/>
            <c:spPr>
              <a:solidFill>
                <a:srgbClr val="DEEBF7"/>
              </a:solidFill>
              <a:ln>
                <a:solidFill>
                  <a:sysClr val="windowText" lastClr="000000"/>
                </a:solidFill>
              </a:ln>
            </c:spPr>
          </c:dPt>
          <c:dPt>
            <c:idx val="3"/>
            <c:invertIfNegative val="0"/>
            <c:bubble3D val="0"/>
            <c:spPr>
              <a:solidFill>
                <a:srgbClr val="C6DBEF"/>
              </a:solidFill>
              <a:ln>
                <a:solidFill>
                  <a:sysClr val="windowText" lastClr="000000"/>
                </a:solidFill>
              </a:ln>
            </c:spPr>
          </c:dPt>
          <c:dPt>
            <c:idx val="4"/>
            <c:invertIfNegative val="0"/>
            <c:bubble3D val="0"/>
            <c:spPr>
              <a:solidFill>
                <a:srgbClr val="BD0026"/>
              </a:solidFill>
              <a:ln>
                <a:solidFill>
                  <a:sysClr val="windowText" lastClr="000000"/>
                </a:solidFill>
              </a:ln>
            </c:spPr>
          </c:dPt>
          <c:dPt>
            <c:idx val="5"/>
            <c:invertIfNegative val="0"/>
            <c:bubble3D val="0"/>
            <c:spPr>
              <a:solidFill>
                <a:srgbClr val="800026"/>
              </a:solidFill>
              <a:ln>
                <a:solidFill>
                  <a:sysClr val="windowText" lastClr="000000"/>
                </a:solidFill>
              </a:ln>
            </c:spPr>
          </c:dPt>
          <c:dPt>
            <c:idx val="6"/>
            <c:invertIfNegative val="0"/>
            <c:bubble3D val="0"/>
            <c:spPr>
              <a:solidFill>
                <a:srgbClr val="FD8D3C"/>
              </a:solidFill>
              <a:ln>
                <a:solidFill>
                  <a:sysClr val="windowText" lastClr="000000"/>
                </a:solidFill>
              </a:ln>
            </c:spPr>
          </c:dPt>
          <c:dPt>
            <c:idx val="7"/>
            <c:invertIfNegative val="0"/>
            <c:bubble3D val="0"/>
            <c:spPr>
              <a:solidFill>
                <a:srgbClr val="E7E1EF"/>
              </a:solidFill>
              <a:ln>
                <a:solidFill>
                  <a:sysClr val="windowText" lastClr="000000"/>
                </a:solidFill>
              </a:ln>
            </c:spPr>
          </c:dPt>
          <c:dPt>
            <c:idx val="8"/>
            <c:invertIfNegative val="0"/>
            <c:bubble3D val="0"/>
            <c:spPr>
              <a:solidFill>
                <a:srgbClr val="238B45"/>
              </a:solidFill>
              <a:ln>
                <a:solidFill>
                  <a:sysClr val="windowText" lastClr="000000"/>
                </a:solidFill>
              </a:ln>
            </c:spPr>
          </c:dPt>
          <c:dPt>
            <c:idx val="9"/>
            <c:invertIfNegative val="0"/>
            <c:bubble3D val="0"/>
            <c:spPr>
              <a:solidFill>
                <a:srgbClr val="A1D99B"/>
              </a:solidFill>
              <a:ln>
                <a:solidFill>
                  <a:sysClr val="windowText" lastClr="000000"/>
                </a:solidFill>
              </a:ln>
            </c:spPr>
          </c:dPt>
          <c:dPt>
            <c:idx val="10"/>
            <c:invertIfNegative val="0"/>
            <c:bubble3D val="0"/>
            <c:spPr>
              <a:solidFill>
                <a:srgbClr val="41AB5D"/>
              </a:solidFill>
              <a:ln>
                <a:solidFill>
                  <a:sysClr val="windowText" lastClr="000000"/>
                </a:solidFill>
              </a:ln>
            </c:spPr>
          </c:dPt>
          <c:dPt>
            <c:idx val="11"/>
            <c:invertIfNegative val="0"/>
            <c:bubble3D val="0"/>
            <c:spPr>
              <a:solidFill>
                <a:srgbClr val="74C476"/>
              </a:solidFill>
              <a:ln>
                <a:solidFill>
                  <a:sysClr val="windowText" lastClr="000000"/>
                </a:solidFill>
              </a:ln>
            </c:spPr>
          </c:dPt>
          <c:dPt>
            <c:idx val="12"/>
            <c:invertIfNegative val="0"/>
            <c:bubble3D val="0"/>
            <c:spPr>
              <a:solidFill>
                <a:srgbClr val="006D2C"/>
              </a:solidFill>
              <a:ln>
                <a:solidFill>
                  <a:sysClr val="windowText" lastClr="000000"/>
                </a:solidFill>
              </a:ln>
            </c:spPr>
          </c:dPt>
          <c:cat>
            <c:strRef>
              <c:f>'Closing RAB'!$P$21:$P$33</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'Closing RAB'!$R$21:$R$33</c:f>
              <c:numCache>
                <c:formatCode>"$"#,##0</c:formatCode>
                <c:ptCount val="13"/>
                <c:pt idx="0">
                  <c:v>796933267.88685632</c:v>
                </c:pt>
                <c:pt idx="1">
                  <c:v>11757578712.568398</c:v>
                </c:pt>
                <c:pt idx="2">
                  <c:v>5390794737.1182642</c:v>
                </c:pt>
                <c:pt idx="3">
                  <c:v>6575664973.7187023</c:v>
                </c:pt>
                <c:pt idx="4">
                  <c:v>10323653837.805046</c:v>
                </c:pt>
                <c:pt idx="5">
                  <c:v>8946924225.9228668</c:v>
                </c:pt>
                <c:pt idx="6">
                  <c:v>3512244429.6007667</c:v>
                </c:pt>
                <c:pt idx="7">
                  <c:v>1473416714.9810331</c:v>
                </c:pt>
                <c:pt idx="8">
                  <c:v>2749155212.3226719</c:v>
                </c:pt>
                <c:pt idx="9">
                  <c:v>1567069544.3047273</c:v>
                </c:pt>
                <c:pt idx="10">
                  <c:v>1009054373.0569632</c:v>
                </c:pt>
                <c:pt idx="11">
                  <c:v>2808095196.3131871</c:v>
                </c:pt>
                <c:pt idx="12">
                  <c:v>1750868470.754586</c:v>
                </c:pt>
              </c:numCache>
            </c:numRef>
          </c:val>
        </c:ser>
        <c:dLbls>
          <c:showLegendKey val="0"/>
          <c:showVal val="0"/>
          <c:showCatName val="0"/>
          <c:showSerName val="0"/>
          <c:showPercent val="0"/>
          <c:showBubbleSize val="0"/>
        </c:dLbls>
        <c:gapWidth val="50"/>
        <c:axId val="257011072"/>
        <c:axId val="257012864"/>
      </c:barChart>
      <c:catAx>
        <c:axId val="257011072"/>
        <c:scaling>
          <c:orientation val="minMax"/>
        </c:scaling>
        <c:delete val="0"/>
        <c:axPos val="b"/>
        <c:majorTickMark val="out"/>
        <c:minorTickMark val="none"/>
        <c:tickLblPos val="nextTo"/>
        <c:txPr>
          <a:bodyPr/>
          <a:lstStyle/>
          <a:p>
            <a:pPr>
              <a:defRPr sz="700"/>
            </a:pPr>
            <a:endParaRPr lang="en-US"/>
          </a:p>
        </c:txPr>
        <c:crossAx val="257012864"/>
        <c:crosses val="autoZero"/>
        <c:auto val="1"/>
        <c:lblAlgn val="ctr"/>
        <c:lblOffset val="100"/>
        <c:noMultiLvlLbl val="0"/>
      </c:catAx>
      <c:valAx>
        <c:axId val="257012864"/>
        <c:scaling>
          <c:orientation val="minMax"/>
          <c:min val="0"/>
        </c:scaling>
        <c:delete val="0"/>
        <c:axPos val="l"/>
        <c:title>
          <c:tx>
            <c:rich>
              <a:bodyPr rot="0" vert="horz"/>
              <a:lstStyle/>
              <a:p>
                <a:pPr>
                  <a:defRPr sz="800"/>
                </a:pPr>
                <a:r>
                  <a:rPr lang="en-AU"/>
                  <a:t>Closing regulatory asset base,</a:t>
                </a:r>
                <a:r>
                  <a:rPr lang="en-AU" baseline="0"/>
                  <a:t> </a:t>
                </a:r>
                <a:r>
                  <a:rPr lang="en-AU"/>
                  <a:t>2013 </a:t>
                </a:r>
                <a:br>
                  <a:rPr lang="en-AU"/>
                </a:br>
                <a:r>
                  <a:rPr lang="en-AU"/>
                  <a:t>($Dec 2012)</a:t>
                </a:r>
              </a:p>
            </c:rich>
          </c:tx>
          <c:layout/>
          <c:overlay val="0"/>
        </c:title>
        <c:numFmt formatCode="&quot;$&quot;0,,,&quot;b&quot;" sourceLinked="0"/>
        <c:majorTickMark val="out"/>
        <c:minorTickMark val="none"/>
        <c:tickLblPos val="nextTo"/>
        <c:txPr>
          <a:bodyPr/>
          <a:lstStyle/>
          <a:p>
            <a:pPr>
              <a:defRPr sz="800"/>
            </a:pPr>
            <a:endParaRPr lang="en-US"/>
          </a:p>
        </c:txPr>
        <c:crossAx val="257011072"/>
        <c:crosses val="autoZero"/>
        <c:crossBetween val="between"/>
        <c:majorUnit val="1000000000"/>
      </c:valAx>
    </c:plotArea>
    <c:legend>
      <c:legendPos val="b"/>
      <c:layout>
        <c:manualLayout>
          <c:xMode val="edge"/>
          <c:yMode val="edge"/>
          <c:x val="0.22755971128608921"/>
          <c:y val="0.91077427821522305"/>
          <c:w val="0.73376924759405071"/>
          <c:h val="6.4835477882337872E-2"/>
        </c:manualLayout>
      </c:layout>
      <c:overlay val="0"/>
      <c:txPr>
        <a:bodyPr/>
        <a:lstStyle/>
        <a:p>
          <a:pPr rtl="0">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'Operating Expenditure'!$P$3</c:f>
              <c:strCache>
                <c:ptCount val="1"/>
                <c:pt idx="0">
                  <c:v>Forecast (inc. amendments)</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'Operating Expenditure'!$B$4:$B$16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'Operating Expenditure'!$P$4:$P$16</c:f>
              <c:numCache>
                <c:formatCode>_-* #,##0_-;\-* #,##0_-;_-* "-"??_-;_-@_-</c:formatCode>
                <c:ptCount val="13"/>
                <c:pt idx="0">
                  <c:v>243146809.43538001</c:v>
                </c:pt>
                <c:pt idx="1">
                  <c:v>1617421618.3787212</c:v>
                </c:pt>
                <c:pt idx="2">
                  <c:v>1027455221.0167615</c:v>
                </c:pt>
                <c:pt idx="3">
                  <c:v>1347364426.4948285</c:v>
                </c:pt>
                <c:pt idx="4">
                  <c:v>1269625253.7631965</c:v>
                </c:pt>
                <c:pt idx="5">
                  <c:v>1263100770.518188</c:v>
                </c:pt>
                <c:pt idx="6">
                  <c:v>630868011.50267112</c:v>
                </c:pt>
                <c:pt idx="7">
                  <c:v>229286533.92395318</c:v>
                </c:pt>
                <c:pt idx="8">
                  <c:v>529184074.76658118</c:v>
                </c:pt>
                <c:pt idx="9">
                  <c:v>149152031.26919699</c:v>
                </c:pt>
                <c:pt idx="10">
                  <c:v>182415714.79089788</c:v>
                </c:pt>
                <c:pt idx="11">
                  <c:v>522804215.34585798</c:v>
                </c:pt>
                <c:pt idx="12">
                  <c:v>340506929.52313787</c:v>
                </c:pt>
              </c:numCache>
            </c:numRef>
          </c:val>
        </c:ser>
        <c:ser>
          <c:idx val="1"/>
          <c:order val="1"/>
          <c:tx>
            <c:strRef>
              <c:f>'Operating Expenditure'!$Q$3</c:f>
              <c:strCache>
                <c:ptCount val="1"/>
                <c:pt idx="0">
                  <c:v>Actual</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'Operating Expenditure'!$B$4:$B$16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'Operating Expenditure'!$Q$4:$Q$16</c:f>
              <c:numCache>
                <c:formatCode>_-* #,##0_-;\-* #,##0_-;_-* "-"??_-;_-@_-</c:formatCode>
                <c:ptCount val="13"/>
                <c:pt idx="0">
                  <c:v>261663309.80477008</c:v>
                </c:pt>
                <c:pt idx="1">
                  <c:v>1573714541.6586747</c:v>
                </c:pt>
                <c:pt idx="2">
                  <c:v>862274801.22890329</c:v>
                </c:pt>
                <c:pt idx="3">
                  <c:v>1373024460.2699351</c:v>
                </c:pt>
                <c:pt idx="4">
                  <c:v>1395654090.0067253</c:v>
                </c:pt>
                <c:pt idx="5">
                  <c:v>1273791869.4336531</c:v>
                </c:pt>
                <c:pt idx="6">
                  <c:v>653968382.15389836</c:v>
                </c:pt>
                <c:pt idx="7">
                  <c:v>235328032.15367627</c:v>
                </c:pt>
                <c:pt idx="8">
                  <c:v>505896008.17384827</c:v>
                </c:pt>
                <c:pt idx="9">
                  <c:v>147006215.38623518</c:v>
                </c:pt>
                <c:pt idx="10">
                  <c:v>211214733.27306795</c:v>
                </c:pt>
                <c:pt idx="11">
                  <c:v>491426762.58230698</c:v>
                </c:pt>
                <c:pt idx="12">
                  <c:v>369330075.30041242</c:v>
                </c:pt>
              </c:numCache>
            </c:numRef>
          </c:val>
        </c:ser>
        <c:dLbls>
          <c:showLegendKey val="0"/>
          <c:showVal val="0"/>
          <c:showCatName val="0"/>
          <c:showSerName val="0"/>
          <c:showPercent val="0"/>
          <c:showBubbleSize val="0"/>
        </c:dLbls>
        <c:gapWidth val="50"/>
        <c:axId val="257025920"/>
        <c:axId val="257027456"/>
      </c:barChart>
      <c:catAx>
        <c:axId val="257025920"/>
        <c:scaling>
          <c:orientation val="minMax"/>
        </c:scaling>
        <c:delete val="0"/>
        <c:axPos val="b"/>
        <c:majorTickMark val="out"/>
        <c:minorTickMark val="none"/>
        <c:tickLblPos val="nextTo"/>
        <c:crossAx val="257027456"/>
        <c:crosses val="autoZero"/>
        <c:auto val="1"/>
        <c:lblAlgn val="ctr"/>
        <c:lblOffset val="100"/>
        <c:noMultiLvlLbl val="0"/>
      </c:catAx>
      <c:valAx>
        <c:axId val="257027456"/>
        <c:scaling>
          <c:orientation val="minMax"/>
          <c:min val="0"/>
        </c:scaling>
        <c:delete val="0"/>
        <c:axPos val="l"/>
        <c:title>
          <c:tx>
            <c:rich>
              <a:bodyPr rot="0" vert="horz"/>
              <a:lstStyle/>
              <a:p>
                <a:pPr>
                  <a:defRPr/>
                </a:pPr>
                <a:r>
                  <a:rPr lang="en-AU"/>
                  <a:t>Opex</a:t>
                </a:r>
              </a:p>
              <a:p>
                <a:pPr>
                  <a:defRPr/>
                </a:pPr>
                <a:r>
                  <a:rPr lang="en-AU"/>
                  <a:t>($Dec 2012)</a:t>
                </a:r>
              </a:p>
            </c:rich>
          </c:tx>
          <c:layout/>
          <c:overlay val="0"/>
        </c:title>
        <c:numFmt formatCode="&quot;$&quot;0,,&quot;m&quot;" sourceLinked="0"/>
        <c:majorTickMark val="out"/>
        <c:minorTickMark val="none"/>
        <c:tickLblPos val="nextTo"/>
        <c:crossAx val="257025920"/>
        <c:crosses val="autoZero"/>
        <c:crossBetween val="between"/>
        <c:majorUnit val="300000000"/>
      </c:valAx>
    </c:plotArea>
    <c:legend>
      <c:legendPos val="b"/>
      <c:layout>
        <c:manualLayout>
          <c:xMode val="edge"/>
          <c:yMode val="edge"/>
          <c:x val="0.22755971128608921"/>
          <c:y val="0.91077427821522305"/>
          <c:w val="0.73376924759405071"/>
          <c:h val="6.4835477882337872E-2"/>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Revenue!$P$3</c:f>
              <c:strCache>
                <c:ptCount val="1"/>
                <c:pt idx="0">
                  <c:v>Forecast (inc. amendments)</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pattFill prst="dkUpDiag">
                <a:fgClr>
                  <a:srgbClr val="FCC0C0"/>
                </a:fgClr>
                <a:bgClr>
                  <a:sysClr val="window" lastClr="FFFFFF"/>
                </a:bgClr>
              </a:pattFill>
              <a:ln>
                <a:solidFill>
                  <a:schemeClr val="tx1"/>
                </a:solidFill>
              </a:ln>
            </c:spPr>
          </c:dPt>
          <c:dPt>
            <c:idx val="1"/>
            <c:invertIfNegative val="0"/>
            <c:bubble3D val="0"/>
            <c:spPr>
              <a:pattFill prst="dkUpDiag">
                <a:fgClr>
                  <a:srgbClr val="9ECAE1"/>
                </a:fgClr>
                <a:bgClr>
                  <a:sysClr val="windowText" lastClr="000000"/>
                </a:bgClr>
              </a:pattFill>
              <a:ln>
                <a:solidFill>
                  <a:schemeClr val="tx1"/>
                </a:solidFill>
              </a:ln>
            </c:spPr>
          </c:dPt>
          <c:dPt>
            <c:idx val="2"/>
            <c:invertIfNegative val="0"/>
            <c:bubble3D val="0"/>
            <c:spPr>
              <a:pattFill prst="dkUpDiag">
                <a:fgClr>
                  <a:srgbClr val="DEEBF7"/>
                </a:fgClr>
                <a:bgClr>
                  <a:sysClr val="windowText" lastClr="000000"/>
                </a:bgClr>
              </a:pattFill>
              <a:ln>
                <a:solidFill>
                  <a:schemeClr val="tx1"/>
                </a:solidFill>
              </a:ln>
            </c:spPr>
          </c:dPt>
          <c:dPt>
            <c:idx val="3"/>
            <c:invertIfNegative val="0"/>
            <c:bubble3D val="0"/>
            <c:spPr>
              <a:pattFill prst="dkUpDiag">
                <a:fgClr>
                  <a:srgbClr val="C6DBEF"/>
                </a:fgClr>
                <a:bgClr>
                  <a:sysClr val="windowText" lastClr="000000"/>
                </a:bgClr>
              </a:pattFill>
              <a:ln>
                <a:solidFill>
                  <a:schemeClr val="tx1"/>
                </a:solidFill>
              </a:ln>
            </c:spPr>
          </c:dPt>
          <c:dPt>
            <c:idx val="4"/>
            <c:invertIfNegative val="0"/>
            <c:bubble3D val="0"/>
            <c:spPr>
              <a:pattFill prst="dkUpDiag">
                <a:fgClr>
                  <a:srgbClr val="BD0026"/>
                </a:fgClr>
                <a:bgClr>
                  <a:sysClr val="window" lastClr="FFFFFF"/>
                </a:bgClr>
              </a:pattFill>
              <a:ln>
                <a:solidFill>
                  <a:schemeClr val="tx1"/>
                </a:solidFill>
              </a:ln>
            </c:spPr>
          </c:dPt>
          <c:dPt>
            <c:idx val="5"/>
            <c:invertIfNegative val="0"/>
            <c:bubble3D val="0"/>
            <c:spPr>
              <a:pattFill prst="dkUpDiag">
                <a:fgClr>
                  <a:srgbClr val="800026"/>
                </a:fgClr>
                <a:bgClr>
                  <a:sysClr val="window" lastClr="FFFFFF"/>
                </a:bgClr>
              </a:pattFill>
              <a:ln>
                <a:solidFill>
                  <a:schemeClr val="tx1"/>
                </a:solidFill>
              </a:ln>
            </c:spPr>
          </c:dPt>
          <c:dPt>
            <c:idx val="6"/>
            <c:invertIfNegative val="0"/>
            <c:bubble3D val="0"/>
            <c:spPr>
              <a:pattFill prst="dkUpDiag">
                <a:fgClr>
                  <a:srgbClr val="FD8D3C"/>
                </a:fgClr>
                <a:bgClr>
                  <a:sysClr val="window" lastClr="FFFFFF"/>
                </a:bgClr>
              </a:pattFill>
              <a:ln>
                <a:solidFill>
                  <a:schemeClr val="tx1"/>
                </a:solidFill>
              </a:ln>
            </c:spPr>
          </c:dPt>
          <c:dPt>
            <c:idx val="7"/>
            <c:invertIfNegative val="0"/>
            <c:bubble3D val="0"/>
            <c:spPr>
              <a:pattFill prst="dkUpDiag">
                <a:fgClr>
                  <a:srgbClr val="DEEBF7"/>
                </a:fgClr>
                <a:bgClr>
                  <a:sysClr val="windowText" lastClr="000000"/>
                </a:bgClr>
              </a:pattFill>
              <a:ln>
                <a:solidFill>
                  <a:schemeClr val="tx1"/>
                </a:solidFill>
              </a:ln>
            </c:spPr>
          </c:dPt>
          <c:dPt>
            <c:idx val="8"/>
            <c:invertIfNegative val="0"/>
            <c:bubble3D val="0"/>
            <c:spPr>
              <a:pattFill prst="dkUpDiag">
                <a:fgClr>
                  <a:srgbClr val="238B45"/>
                </a:fgClr>
                <a:bgClr>
                  <a:sysClr val="window" lastClr="FFFFFF"/>
                </a:bgClr>
              </a:pattFill>
              <a:ln>
                <a:solidFill>
                  <a:schemeClr val="tx1"/>
                </a:solidFill>
              </a:ln>
            </c:spPr>
          </c:dPt>
          <c:dPt>
            <c:idx val="9"/>
            <c:invertIfNegative val="0"/>
            <c:bubble3D val="0"/>
            <c:spPr>
              <a:pattFill prst="dkUpDiag">
                <a:fgClr>
                  <a:srgbClr val="A1D99B"/>
                </a:fgClr>
                <a:bgClr>
                  <a:sysClr val="windowText" lastClr="000000"/>
                </a:bgClr>
              </a:pattFill>
              <a:ln>
                <a:solidFill>
                  <a:schemeClr val="tx1"/>
                </a:solidFill>
              </a:ln>
            </c:spPr>
          </c:dPt>
          <c:dPt>
            <c:idx val="10"/>
            <c:invertIfNegative val="0"/>
            <c:bubble3D val="0"/>
            <c:spPr>
              <a:pattFill prst="dkUpDiag">
                <a:fgClr>
                  <a:srgbClr val="41AB5D"/>
                </a:fgClr>
                <a:bgClr>
                  <a:sysClr val="window" lastClr="FFFFFF"/>
                </a:bgClr>
              </a:pattFill>
              <a:ln>
                <a:solidFill>
                  <a:schemeClr val="tx1"/>
                </a:solidFill>
              </a:ln>
            </c:spPr>
          </c:dPt>
          <c:dPt>
            <c:idx val="11"/>
            <c:invertIfNegative val="0"/>
            <c:bubble3D val="0"/>
            <c:spPr>
              <a:pattFill prst="dkUpDiag">
                <a:fgClr>
                  <a:srgbClr val="74C476"/>
                </a:fgClr>
                <a:bgClr>
                  <a:sysClr val="windowText" lastClr="000000"/>
                </a:bgClr>
              </a:pattFill>
              <a:ln>
                <a:solidFill>
                  <a:schemeClr val="tx1"/>
                </a:solidFill>
              </a:ln>
            </c:spPr>
          </c:dPt>
          <c:dPt>
            <c:idx val="12"/>
            <c:invertIfNegative val="0"/>
            <c:bubble3D val="0"/>
            <c:spPr>
              <a:pattFill prst="dkUpDiag">
                <a:fgClr>
                  <a:srgbClr val="006D2C"/>
                </a:fgClr>
                <a:bgClr>
                  <a:sysClr val="window" lastClr="FFFFFF"/>
                </a:bgClr>
              </a:pattFill>
              <a:ln>
                <a:solidFill>
                  <a:schemeClr val="tx1"/>
                </a:solidFill>
              </a:ln>
            </c:spPr>
          </c:dPt>
          <c:cat>
            <c:strRef>
              <c:f>Revenue!$B$4:$B$16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Revenue!$P$4:$P$16</c:f>
              <c:numCache>
                <c:formatCode>_-* #,##0_-;\-* #,##0_-;_-* "-"??_-;_-@_-</c:formatCode>
                <c:ptCount val="13"/>
                <c:pt idx="0">
                  <c:v>521181721.84525502</c:v>
                </c:pt>
                <c:pt idx="1">
                  <c:v>5326063780.0595465</c:v>
                </c:pt>
                <c:pt idx="2">
                  <c:v>3049000581.4382305</c:v>
                </c:pt>
                <c:pt idx="3">
                  <c:v>3836332433.7314396</c:v>
                </c:pt>
                <c:pt idx="4">
                  <c:v>3950812657.8543234</c:v>
                </c:pt>
                <c:pt idx="5">
                  <c:v>3765956364.0793056</c:v>
                </c:pt>
                <c:pt idx="6">
                  <c:v>2127640968.2933555</c:v>
                </c:pt>
                <c:pt idx="7">
                  <c:v>789141646.66286099</c:v>
                </c:pt>
                <c:pt idx="8">
                  <c:v>1391935654.9617591</c:v>
                </c:pt>
                <c:pt idx="9">
                  <c:v>670100332.41783333</c:v>
                </c:pt>
                <c:pt idx="10">
                  <c:v>580419087.26152802</c:v>
                </c:pt>
                <c:pt idx="11">
                  <c:v>1437749385.3951426</c:v>
                </c:pt>
                <c:pt idx="12">
                  <c:v>955426759.11299598</c:v>
                </c:pt>
              </c:numCache>
            </c:numRef>
          </c:val>
        </c:ser>
        <c:ser>
          <c:idx val="1"/>
          <c:order val="1"/>
          <c:tx>
            <c:strRef>
              <c:f>Revenue!$Q$3</c:f>
              <c:strCache>
                <c:ptCount val="1"/>
                <c:pt idx="0">
                  <c:v>Actual</c:v>
                </c:pt>
              </c:strCache>
            </c:strRef>
          </c:tx>
          <c:spPr>
            <a:solidFill>
              <a:sysClr val="windowText" lastClr="000000"/>
            </a:solidFill>
            <a:ln>
              <a:solidFill>
                <a:sysClr val="windowText" lastClr="000000"/>
              </a:solidFill>
            </a:ln>
          </c:spPr>
          <c:invertIfNegative val="0"/>
          <c:dPt>
            <c:idx val="0"/>
            <c:invertIfNegative val="0"/>
            <c:bubble3D val="0"/>
            <c:spPr>
              <a:solidFill>
                <a:srgbClr val="FCC0C0"/>
              </a:solidFill>
              <a:ln>
                <a:solidFill>
                  <a:sysClr val="windowText" lastClr="000000"/>
                </a:solidFill>
              </a:ln>
            </c:spPr>
          </c:dPt>
          <c:dPt>
            <c:idx val="1"/>
            <c:invertIfNegative val="0"/>
            <c:bubble3D val="0"/>
            <c:spPr>
              <a:solidFill>
                <a:srgbClr val="9ECAE1"/>
              </a:solidFill>
              <a:ln>
                <a:solidFill>
                  <a:sysClr val="windowText" lastClr="000000"/>
                </a:solidFill>
              </a:ln>
            </c:spPr>
          </c:dPt>
          <c:dPt>
            <c:idx val="2"/>
            <c:invertIfNegative val="0"/>
            <c:bubble3D val="0"/>
            <c:spPr>
              <a:solidFill>
                <a:srgbClr val="DEEBF7"/>
              </a:solidFill>
              <a:ln>
                <a:solidFill>
                  <a:sysClr val="windowText" lastClr="000000"/>
                </a:solidFill>
              </a:ln>
            </c:spPr>
          </c:dPt>
          <c:dPt>
            <c:idx val="3"/>
            <c:invertIfNegative val="0"/>
            <c:bubble3D val="0"/>
            <c:spPr>
              <a:solidFill>
                <a:srgbClr val="C6DBEF"/>
              </a:solidFill>
              <a:ln>
                <a:solidFill>
                  <a:sysClr val="windowText" lastClr="000000"/>
                </a:solidFill>
              </a:ln>
            </c:spPr>
          </c:dPt>
          <c:dPt>
            <c:idx val="4"/>
            <c:invertIfNegative val="0"/>
            <c:bubble3D val="0"/>
            <c:spPr>
              <a:solidFill>
                <a:srgbClr val="BD0026"/>
              </a:solidFill>
              <a:ln>
                <a:solidFill>
                  <a:sysClr val="windowText" lastClr="000000"/>
                </a:solidFill>
              </a:ln>
            </c:spPr>
          </c:dPt>
          <c:dPt>
            <c:idx val="5"/>
            <c:invertIfNegative val="0"/>
            <c:bubble3D val="0"/>
            <c:spPr>
              <a:solidFill>
                <a:srgbClr val="800026"/>
              </a:solidFill>
              <a:ln>
                <a:solidFill>
                  <a:sysClr val="windowText" lastClr="000000"/>
                </a:solidFill>
              </a:ln>
            </c:spPr>
          </c:dPt>
          <c:dPt>
            <c:idx val="6"/>
            <c:invertIfNegative val="0"/>
            <c:bubble3D val="0"/>
            <c:spPr>
              <a:solidFill>
                <a:srgbClr val="FD8D3C"/>
              </a:solidFill>
              <a:ln>
                <a:solidFill>
                  <a:sysClr val="windowText" lastClr="000000"/>
                </a:solidFill>
              </a:ln>
            </c:spPr>
          </c:dPt>
          <c:dPt>
            <c:idx val="7"/>
            <c:invertIfNegative val="0"/>
            <c:bubble3D val="0"/>
            <c:spPr>
              <a:solidFill>
                <a:srgbClr val="E7E1EF"/>
              </a:solidFill>
              <a:ln>
                <a:solidFill>
                  <a:sysClr val="windowText" lastClr="000000"/>
                </a:solidFill>
              </a:ln>
            </c:spPr>
          </c:dPt>
          <c:dPt>
            <c:idx val="8"/>
            <c:invertIfNegative val="0"/>
            <c:bubble3D val="0"/>
            <c:spPr>
              <a:solidFill>
                <a:srgbClr val="238B45"/>
              </a:solidFill>
              <a:ln>
                <a:solidFill>
                  <a:sysClr val="windowText" lastClr="000000"/>
                </a:solidFill>
              </a:ln>
            </c:spPr>
          </c:dPt>
          <c:dPt>
            <c:idx val="9"/>
            <c:invertIfNegative val="0"/>
            <c:bubble3D val="0"/>
            <c:spPr>
              <a:solidFill>
                <a:srgbClr val="A1D99B"/>
              </a:solidFill>
              <a:ln>
                <a:solidFill>
                  <a:sysClr val="windowText" lastClr="000000"/>
                </a:solidFill>
              </a:ln>
            </c:spPr>
          </c:dPt>
          <c:dPt>
            <c:idx val="10"/>
            <c:invertIfNegative val="0"/>
            <c:bubble3D val="0"/>
            <c:spPr>
              <a:solidFill>
                <a:srgbClr val="41AB5D"/>
              </a:solidFill>
              <a:ln>
                <a:solidFill>
                  <a:sysClr val="windowText" lastClr="000000"/>
                </a:solidFill>
              </a:ln>
            </c:spPr>
          </c:dPt>
          <c:dPt>
            <c:idx val="11"/>
            <c:invertIfNegative val="0"/>
            <c:bubble3D val="0"/>
            <c:spPr>
              <a:solidFill>
                <a:srgbClr val="74C476"/>
              </a:solidFill>
              <a:ln>
                <a:solidFill>
                  <a:sysClr val="windowText" lastClr="000000"/>
                </a:solidFill>
              </a:ln>
            </c:spPr>
          </c:dPt>
          <c:dPt>
            <c:idx val="12"/>
            <c:invertIfNegative val="0"/>
            <c:bubble3D val="0"/>
            <c:spPr>
              <a:solidFill>
                <a:srgbClr val="006D2C"/>
              </a:solidFill>
              <a:ln>
                <a:solidFill>
                  <a:sysClr val="windowText" lastClr="000000"/>
                </a:solidFill>
              </a:ln>
            </c:spPr>
          </c:dPt>
          <c:cat>
            <c:strRef>
              <c:f>Revenue!$B$4:$B$16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Revenue!$Q$4:$Q$16</c:f>
              <c:numCache>
                <c:formatCode>_-* #,##0_-;\-* #,##0_-;_-* "-"??_-;_-@_-</c:formatCode>
                <c:ptCount val="13"/>
                <c:pt idx="0">
                  <c:v>495107112.31677961</c:v>
                </c:pt>
                <c:pt idx="1">
                  <c:v>5666789110.8523464</c:v>
                </c:pt>
                <c:pt idx="2">
                  <c:v>2983217131.0734916</c:v>
                </c:pt>
                <c:pt idx="3">
                  <c:v>3831169988.666543</c:v>
                </c:pt>
                <c:pt idx="4">
                  <c:v>3647398871.9376574</c:v>
                </c:pt>
                <c:pt idx="5">
                  <c:v>3564717683.9257932</c:v>
                </c:pt>
                <c:pt idx="6">
                  <c:v>2251797604.4248705</c:v>
                </c:pt>
                <c:pt idx="7">
                  <c:v>749110528.59515166</c:v>
                </c:pt>
                <c:pt idx="8">
                  <c:v>1385490478.8321576</c:v>
                </c:pt>
                <c:pt idx="9">
                  <c:v>660238413.36371374</c:v>
                </c:pt>
                <c:pt idx="10">
                  <c:v>620910103.51712692</c:v>
                </c:pt>
                <c:pt idx="11">
                  <c:v>1444152595.1772115</c:v>
                </c:pt>
                <c:pt idx="12">
                  <c:v>942035567.66930377</c:v>
                </c:pt>
              </c:numCache>
            </c:numRef>
          </c:val>
        </c:ser>
        <c:dLbls>
          <c:showLegendKey val="0"/>
          <c:showVal val="0"/>
          <c:showCatName val="0"/>
          <c:showSerName val="0"/>
          <c:showPercent val="0"/>
          <c:showBubbleSize val="0"/>
        </c:dLbls>
        <c:gapWidth val="50"/>
        <c:axId val="261319296"/>
        <c:axId val="261329280"/>
      </c:barChart>
      <c:catAx>
        <c:axId val="261319296"/>
        <c:scaling>
          <c:orientation val="minMax"/>
        </c:scaling>
        <c:delete val="0"/>
        <c:axPos val="b"/>
        <c:majorTickMark val="out"/>
        <c:minorTickMark val="none"/>
        <c:tickLblPos val="nextTo"/>
        <c:txPr>
          <a:bodyPr/>
          <a:lstStyle/>
          <a:p>
            <a:pPr>
              <a:defRPr sz="700"/>
            </a:pPr>
            <a:endParaRPr lang="en-US"/>
          </a:p>
        </c:txPr>
        <c:crossAx val="261329280"/>
        <c:crosses val="autoZero"/>
        <c:auto val="1"/>
        <c:lblAlgn val="ctr"/>
        <c:lblOffset val="100"/>
        <c:noMultiLvlLbl val="0"/>
      </c:catAx>
      <c:valAx>
        <c:axId val="261329280"/>
        <c:scaling>
          <c:orientation val="minMax"/>
          <c:min val="0"/>
        </c:scaling>
        <c:delete val="0"/>
        <c:axPos val="l"/>
        <c:title>
          <c:tx>
            <c:rich>
              <a:bodyPr rot="0" vert="horz"/>
              <a:lstStyle/>
              <a:p>
                <a:pPr>
                  <a:defRPr sz="800"/>
                </a:pPr>
                <a:r>
                  <a:rPr lang="en-AU"/>
                  <a:t>Revenue</a:t>
                </a:r>
              </a:p>
              <a:p>
                <a:pPr>
                  <a:defRPr sz="800"/>
                </a:pPr>
                <a:r>
                  <a:rPr lang="en-AU"/>
                  <a:t>($Dec 2012)</a:t>
                </a:r>
              </a:p>
            </c:rich>
          </c:tx>
          <c:layout/>
          <c:overlay val="0"/>
        </c:title>
        <c:numFmt formatCode="&quot;$&quot;0,,,&quot;b&quot;" sourceLinked="0"/>
        <c:majorTickMark val="out"/>
        <c:minorTickMark val="none"/>
        <c:tickLblPos val="nextTo"/>
        <c:txPr>
          <a:bodyPr/>
          <a:lstStyle/>
          <a:p>
            <a:pPr>
              <a:defRPr sz="800"/>
            </a:pPr>
            <a:endParaRPr lang="en-US"/>
          </a:p>
        </c:txPr>
        <c:crossAx val="261319296"/>
        <c:crosses val="autoZero"/>
        <c:crossBetween val="between"/>
      </c:valAx>
    </c:plotArea>
    <c:legend>
      <c:legendPos val="b"/>
      <c:layout>
        <c:manualLayout>
          <c:xMode val="edge"/>
          <c:yMode val="edge"/>
          <c:x val="0.22755971128608921"/>
          <c:y val="0.91077427821522305"/>
          <c:w val="0.73376924759405071"/>
          <c:h val="6.4835477882337872E-2"/>
        </c:manualLayout>
      </c:layout>
      <c:overlay val="0"/>
      <c:txPr>
        <a:bodyPr/>
        <a:lstStyle/>
        <a:p>
          <a:pPr rtl="0">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'Capital Expenditure'!$F$76</c:f>
              <c:strCache>
                <c:ptCount val="1"/>
                <c:pt idx="0">
                  <c:v>Forecast (inc. amendments)</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'Capital Expenditure'!$G$75:$L$75</c:f>
              <c:strCache>
                <c:ptCount val="6"/>
                <c:pt idx="0">
                  <c:v>2008</c:v>
                </c:pt>
                <c:pt idx="1">
                  <c:v>2009</c:v>
                </c:pt>
                <c:pt idx="2">
                  <c:v>2010</c:v>
                </c:pt>
                <c:pt idx="3">
                  <c:v>2011</c:v>
                </c:pt>
                <c:pt idx="4">
                  <c:v>2012</c:v>
                </c:pt>
                <c:pt idx="5">
                  <c:v>2013</c:v>
                </c:pt>
              </c:strCache>
            </c:strRef>
          </c:cat>
          <c:val>
            <c:numRef>
              <c:f>'Capital Expenditure'!$G$76:$L$76</c:f>
              <c:numCache>
                <c:formatCode>"$"#,##0</c:formatCode>
                <c:ptCount val="6"/>
                <c:pt idx="0">
                  <c:v>4123147122.3483086</c:v>
                </c:pt>
                <c:pt idx="1">
                  <c:v>4314830553.8946104</c:v>
                </c:pt>
                <c:pt idx="2">
                  <c:v>5317305094.4108019</c:v>
                </c:pt>
                <c:pt idx="3">
                  <c:v>6509397902.3597946</c:v>
                </c:pt>
                <c:pt idx="4">
                  <c:v>6695733807.1154003</c:v>
                </c:pt>
                <c:pt idx="5">
                  <c:v>6603994356.2810469</c:v>
                </c:pt>
              </c:numCache>
            </c:numRef>
          </c:val>
        </c:ser>
        <c:ser>
          <c:idx val="1"/>
          <c:order val="1"/>
          <c:tx>
            <c:strRef>
              <c:f>'Capital Expenditure'!$F$77</c:f>
              <c:strCache>
                <c:ptCount val="1"/>
                <c:pt idx="0">
                  <c:v>Actual</c:v>
                </c:pt>
              </c:strCache>
            </c:strRef>
          </c:tx>
          <c:spPr>
            <a:solidFill>
              <a:sysClr val="windowText" lastClr="000000"/>
            </a:solid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'Capital Expenditure'!$G$75:$L$75</c:f>
              <c:strCache>
                <c:ptCount val="6"/>
                <c:pt idx="0">
                  <c:v>2008</c:v>
                </c:pt>
                <c:pt idx="1">
                  <c:v>2009</c:v>
                </c:pt>
                <c:pt idx="2">
                  <c:v>2010</c:v>
                </c:pt>
                <c:pt idx="3">
                  <c:v>2011</c:v>
                </c:pt>
                <c:pt idx="4">
                  <c:v>2012</c:v>
                </c:pt>
                <c:pt idx="5">
                  <c:v>2013</c:v>
                </c:pt>
              </c:strCache>
            </c:strRef>
          </c:cat>
          <c:val>
            <c:numRef>
              <c:f>'Capital Expenditure'!$G$77:$L$77</c:f>
              <c:numCache>
                <c:formatCode>"$"#,##0</c:formatCode>
                <c:ptCount val="6"/>
                <c:pt idx="0">
                  <c:v>4382624597.131628</c:v>
                </c:pt>
                <c:pt idx="1">
                  <c:v>5205406264.9372015</c:v>
                </c:pt>
                <c:pt idx="2">
                  <c:v>5266261796.2972403</c:v>
                </c:pt>
                <c:pt idx="3">
                  <c:v>5682878110.9789553</c:v>
                </c:pt>
                <c:pt idx="4">
                  <c:v>5922743236.485733</c:v>
                </c:pt>
                <c:pt idx="5">
                  <c:v>5242740960.1200447</c:v>
                </c:pt>
              </c:numCache>
            </c:numRef>
          </c:val>
        </c:ser>
        <c:dLbls>
          <c:showLegendKey val="0"/>
          <c:showVal val="0"/>
          <c:showCatName val="0"/>
          <c:showSerName val="0"/>
          <c:showPercent val="0"/>
          <c:showBubbleSize val="0"/>
        </c:dLbls>
        <c:gapWidth val="50"/>
        <c:axId val="350618752"/>
        <c:axId val="350620288"/>
      </c:barChart>
      <c:catAx>
        <c:axId val="350618752"/>
        <c:scaling>
          <c:orientation val="minMax"/>
        </c:scaling>
        <c:delete val="0"/>
        <c:axPos val="b"/>
        <c:majorTickMark val="out"/>
        <c:minorTickMark val="none"/>
        <c:tickLblPos val="nextTo"/>
        <c:txPr>
          <a:bodyPr/>
          <a:lstStyle/>
          <a:p>
            <a:pPr>
              <a:defRPr sz="700"/>
            </a:pPr>
            <a:endParaRPr lang="en-US"/>
          </a:p>
        </c:txPr>
        <c:crossAx val="350620288"/>
        <c:crosses val="autoZero"/>
        <c:auto val="1"/>
        <c:lblAlgn val="ctr"/>
        <c:lblOffset val="100"/>
        <c:noMultiLvlLbl val="0"/>
      </c:catAx>
      <c:valAx>
        <c:axId val="350620288"/>
        <c:scaling>
          <c:orientation val="minMax"/>
          <c:max val="7000000000"/>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b&quot;" sourceLinked="0"/>
        <c:majorTickMark val="out"/>
        <c:minorTickMark val="none"/>
        <c:tickLblPos val="nextTo"/>
        <c:txPr>
          <a:bodyPr/>
          <a:lstStyle/>
          <a:p>
            <a:pPr>
              <a:defRPr sz="800"/>
            </a:pPr>
            <a:endParaRPr lang="en-US"/>
          </a:p>
        </c:txPr>
        <c:crossAx val="350618752"/>
        <c:crosses val="autoZero"/>
        <c:crossBetween val="between"/>
        <c:majorUnit val="1000000000"/>
      </c:valAx>
    </c:plotArea>
    <c:legend>
      <c:legendPos val="b"/>
      <c:layout>
        <c:manualLayout>
          <c:xMode val="edge"/>
          <c:yMode val="edge"/>
          <c:x val="0.22952624671916011"/>
          <c:y val="0.88850503062117236"/>
          <c:w val="0.73816972878390197"/>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Revenue!$Q$37</c:f>
              <c:strCache>
                <c:ptCount val="1"/>
                <c:pt idx="0">
                  <c:v>Average annual revenue per customer 2011-13 ($Dec 2012)</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dPt>
            <c:idx val="13"/>
            <c:invertIfNegative val="0"/>
            <c:bubble3D val="0"/>
            <c:spPr>
              <a:solidFill>
                <a:sysClr val="windowText" lastClr="000000"/>
              </a:solidFill>
              <a:ln>
                <a:solidFill>
                  <a:schemeClr val="tx1"/>
                </a:solidFill>
              </a:ln>
            </c:spPr>
          </c:dPt>
          <c:cat>
            <c:strRef>
              <c:f>Revenue!$P$38:$P$51</c:f>
              <c:strCache>
                <c:ptCount val="14"/>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pt idx="13">
                  <c:v>NEM </c:v>
                </c:pt>
              </c:strCache>
            </c:strRef>
          </c:cat>
          <c:val>
            <c:numRef>
              <c:f>Revenue!$Q$38:$Q$51</c:f>
              <c:numCache>
                <c:formatCode>_(* #,##0.00_);_(* \(#,##0.00\);_(* "-"??_);_(@_)</c:formatCode>
                <c:ptCount val="14"/>
                <c:pt idx="0">
                  <c:v>957.01721159765964</c:v>
                </c:pt>
                <c:pt idx="1">
                  <c:v>1164.6266501757068</c:v>
                </c:pt>
                <c:pt idx="2">
                  <c:v>1097.4893019050976</c:v>
                </c:pt>
                <c:pt idx="3">
                  <c:v>1529.151571538265</c:v>
                </c:pt>
                <c:pt idx="4">
                  <c:v>915.30489442144813</c:v>
                </c:pt>
                <c:pt idx="5">
                  <c:v>1731.9575774897614</c:v>
                </c:pt>
                <c:pt idx="6">
                  <c:v>896.90557863072615</c:v>
                </c:pt>
                <c:pt idx="7">
                  <c:v>903.10750776822488</c:v>
                </c:pt>
                <c:pt idx="8">
                  <c:v>711.35682367222705</c:v>
                </c:pt>
                <c:pt idx="9">
                  <c:v>697.23841575328538</c:v>
                </c:pt>
                <c:pt idx="10">
                  <c:v>654.111494768591</c:v>
                </c:pt>
                <c:pt idx="11">
                  <c:v>655.85510002991066</c:v>
                </c:pt>
                <c:pt idx="12">
                  <c:v>488.77757210152538</c:v>
                </c:pt>
                <c:pt idx="13">
                  <c:v>1009.97974035227</c:v>
                </c:pt>
              </c:numCache>
            </c:numRef>
          </c:val>
        </c:ser>
        <c:dLbls>
          <c:showLegendKey val="0"/>
          <c:showVal val="0"/>
          <c:showCatName val="0"/>
          <c:showSerName val="0"/>
          <c:showPercent val="0"/>
          <c:showBubbleSize val="0"/>
        </c:dLbls>
        <c:gapWidth val="50"/>
        <c:axId val="261428736"/>
        <c:axId val="261430272"/>
      </c:barChart>
      <c:catAx>
        <c:axId val="261428736"/>
        <c:scaling>
          <c:orientation val="minMax"/>
        </c:scaling>
        <c:delete val="0"/>
        <c:axPos val="b"/>
        <c:majorTickMark val="out"/>
        <c:minorTickMark val="none"/>
        <c:tickLblPos val="nextTo"/>
        <c:txPr>
          <a:bodyPr/>
          <a:lstStyle/>
          <a:p>
            <a:pPr>
              <a:defRPr sz="700"/>
            </a:pPr>
            <a:endParaRPr lang="en-US"/>
          </a:p>
        </c:txPr>
        <c:crossAx val="261430272"/>
        <c:crosses val="autoZero"/>
        <c:auto val="1"/>
        <c:lblAlgn val="ctr"/>
        <c:lblOffset val="100"/>
        <c:noMultiLvlLbl val="0"/>
      </c:catAx>
      <c:valAx>
        <c:axId val="261430272"/>
        <c:scaling>
          <c:orientation val="minMax"/>
          <c:min val="0"/>
        </c:scaling>
        <c:delete val="0"/>
        <c:axPos val="l"/>
        <c:title>
          <c:tx>
            <c:rich>
              <a:bodyPr rot="0" vert="horz"/>
              <a:lstStyle/>
              <a:p>
                <a:pPr>
                  <a:defRPr sz="800"/>
                </a:pPr>
                <a:r>
                  <a:rPr lang="en-AU"/>
                  <a:t>Average </a:t>
                </a:r>
              </a:p>
              <a:p>
                <a:pPr>
                  <a:defRPr sz="800"/>
                </a:pPr>
                <a:r>
                  <a:rPr lang="en-AU"/>
                  <a:t>annual</a:t>
                </a:r>
              </a:p>
              <a:p>
                <a:pPr>
                  <a:defRPr sz="800"/>
                </a:pPr>
                <a:r>
                  <a:rPr lang="en-AU"/>
                  <a:t>revenue per customer</a:t>
                </a:r>
              </a:p>
              <a:p>
                <a:pPr>
                  <a:defRPr sz="800"/>
                </a:pPr>
                <a:r>
                  <a:rPr lang="en-AU"/>
                  <a:t>(2011-13)</a:t>
                </a:r>
              </a:p>
              <a:p>
                <a:pPr>
                  <a:defRPr sz="800"/>
                </a:pPr>
                <a:r>
                  <a:rPr lang="en-AU"/>
                  <a:t>($Dec 2012)</a:t>
                </a:r>
              </a:p>
            </c:rich>
          </c:tx>
          <c:layout/>
          <c:overlay val="0"/>
        </c:title>
        <c:numFmt formatCode="#,##0" sourceLinked="0"/>
        <c:majorTickMark val="out"/>
        <c:minorTickMark val="none"/>
        <c:tickLblPos val="nextTo"/>
        <c:txPr>
          <a:bodyPr/>
          <a:lstStyle/>
          <a:p>
            <a:pPr>
              <a:defRPr sz="800"/>
            </a:pPr>
            <a:endParaRPr lang="en-US"/>
          </a:p>
        </c:txPr>
        <c:crossAx val="261428736"/>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'3 year total reliability'!$Y$20</c:f>
              <c:strCache>
                <c:ptCount val="1"/>
                <c:pt idx="0">
                  <c:v>Unplanned</c:v>
                </c:pt>
              </c:strCache>
            </c:strRef>
          </c:tx>
          <c:spPr>
            <a:solidFill>
              <a:sysClr val="windowText" lastClr="000000"/>
            </a:solid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cat>
            <c:strRef>
              <c:f>'3 year total reliability'!$B$21:$B$33</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'3 year total reliability'!$Y$21:$Y$33</c:f>
              <c:numCache>
                <c:formatCode>0.00</c:formatCode>
                <c:ptCount val="13"/>
                <c:pt idx="0">
                  <c:v>41.889150511423715</c:v>
                </c:pt>
                <c:pt idx="1">
                  <c:v>93.993333333333339</c:v>
                </c:pt>
                <c:pt idx="2">
                  <c:v>141.37666666666667</c:v>
                </c:pt>
                <c:pt idx="3">
                  <c:v>303.46870957117875</c:v>
                </c:pt>
                <c:pt idx="4">
                  <c:v>379.42413725403918</c:v>
                </c:pt>
                <c:pt idx="5">
                  <c:v>1010.2646140088833</c:v>
                </c:pt>
                <c:pt idx="6">
                  <c:v>223.66666666666666</c:v>
                </c:pt>
                <c:pt idx="7">
                  <c:v>263.86666666666667</c:v>
                </c:pt>
                <c:pt idx="8">
                  <c:v>203.24451302326693</c:v>
                </c:pt>
                <c:pt idx="9">
                  <c:v>52.143951180534231</c:v>
                </c:pt>
                <c:pt idx="10">
                  <c:v>60.488137523654188</c:v>
                </c:pt>
                <c:pt idx="11">
                  <c:v>168.36089389261011</c:v>
                </c:pt>
                <c:pt idx="12">
                  <c:v>85.850703338856931</c:v>
                </c:pt>
              </c:numCache>
            </c:numRef>
          </c:val>
        </c:ser>
        <c:ser>
          <c:idx val="1"/>
          <c:order val="1"/>
          <c:tx>
            <c:strRef>
              <c:f>'3 year total reliability'!$X$20</c:f>
              <c:strCache>
                <c:ptCount val="1"/>
                <c:pt idx="0">
                  <c:v>Planned</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pattFill prst="dkUpDiag">
                <a:fgClr>
                  <a:srgbClr val="FCC0C0"/>
                </a:fgClr>
                <a:bgClr>
                  <a:sysClr val="window" lastClr="FFFFFF"/>
                </a:bgClr>
              </a:pattFill>
              <a:ln>
                <a:solidFill>
                  <a:schemeClr val="tx1"/>
                </a:solidFill>
              </a:ln>
            </c:spPr>
          </c:dPt>
          <c:dPt>
            <c:idx val="1"/>
            <c:invertIfNegative val="0"/>
            <c:bubble3D val="0"/>
            <c:spPr>
              <a:pattFill prst="dkUpDiag">
                <a:fgClr>
                  <a:srgbClr val="9ECAE1"/>
                </a:fgClr>
                <a:bgClr>
                  <a:sysClr val="window" lastClr="FFFFFF"/>
                </a:bgClr>
              </a:pattFill>
              <a:ln>
                <a:solidFill>
                  <a:schemeClr val="tx1"/>
                </a:solidFill>
              </a:ln>
            </c:spPr>
          </c:dPt>
          <c:dPt>
            <c:idx val="2"/>
            <c:invertIfNegative val="0"/>
            <c:bubble3D val="0"/>
            <c:spPr>
              <a:pattFill prst="dkUpDiag">
                <a:fgClr>
                  <a:srgbClr val="DEEBF7"/>
                </a:fgClr>
                <a:bgClr>
                  <a:sysClr val="windowText" lastClr="000000"/>
                </a:bgClr>
              </a:pattFill>
              <a:ln>
                <a:solidFill>
                  <a:schemeClr val="tx1"/>
                </a:solidFill>
              </a:ln>
            </c:spPr>
          </c:dPt>
          <c:dPt>
            <c:idx val="3"/>
            <c:invertIfNegative val="0"/>
            <c:bubble3D val="0"/>
            <c:spPr>
              <a:pattFill prst="dkUpDiag">
                <a:fgClr>
                  <a:srgbClr val="C6DBEF"/>
                </a:fgClr>
                <a:bgClr>
                  <a:sysClr val="windowText" lastClr="000000"/>
                </a:bgClr>
              </a:pattFill>
              <a:ln>
                <a:solidFill>
                  <a:schemeClr val="tx1"/>
                </a:solidFill>
              </a:ln>
            </c:spPr>
          </c:dPt>
          <c:dPt>
            <c:idx val="4"/>
            <c:invertIfNegative val="0"/>
            <c:bubble3D val="0"/>
            <c:spPr>
              <a:pattFill prst="dkUpDiag">
                <a:fgClr>
                  <a:srgbClr val="BD0026"/>
                </a:fgClr>
                <a:bgClr>
                  <a:sysClr val="window" lastClr="FFFFFF"/>
                </a:bgClr>
              </a:pattFill>
              <a:ln>
                <a:solidFill>
                  <a:schemeClr val="tx1"/>
                </a:solidFill>
              </a:ln>
            </c:spPr>
          </c:dPt>
          <c:dPt>
            <c:idx val="5"/>
            <c:invertIfNegative val="0"/>
            <c:bubble3D val="0"/>
            <c:spPr>
              <a:pattFill prst="dkUpDiag">
                <a:fgClr>
                  <a:srgbClr val="800026"/>
                </a:fgClr>
                <a:bgClr>
                  <a:sysClr val="window" lastClr="FFFFFF"/>
                </a:bgClr>
              </a:pattFill>
              <a:ln>
                <a:solidFill>
                  <a:schemeClr val="tx1"/>
                </a:solidFill>
              </a:ln>
            </c:spPr>
          </c:dPt>
          <c:dPt>
            <c:idx val="6"/>
            <c:invertIfNegative val="0"/>
            <c:bubble3D val="0"/>
            <c:spPr>
              <a:pattFill prst="dkUpDiag">
                <a:fgClr>
                  <a:srgbClr val="FD8D3C"/>
                </a:fgClr>
                <a:bgClr>
                  <a:sysClr val="window" lastClr="FFFFFF"/>
                </a:bgClr>
              </a:pattFill>
              <a:ln>
                <a:solidFill>
                  <a:schemeClr val="tx1"/>
                </a:solidFill>
              </a:ln>
            </c:spPr>
          </c:dPt>
          <c:dPt>
            <c:idx val="7"/>
            <c:invertIfNegative val="0"/>
            <c:bubble3D val="0"/>
            <c:spPr>
              <a:pattFill prst="dkUpDiag">
                <a:fgClr>
                  <a:srgbClr val="E7E1EF"/>
                </a:fgClr>
                <a:bgClr>
                  <a:sysClr val="windowText" lastClr="000000"/>
                </a:bgClr>
              </a:pattFill>
              <a:ln>
                <a:solidFill>
                  <a:schemeClr val="tx1"/>
                </a:solidFill>
              </a:ln>
            </c:spPr>
          </c:dPt>
          <c:dPt>
            <c:idx val="8"/>
            <c:invertIfNegative val="0"/>
            <c:bubble3D val="0"/>
            <c:spPr>
              <a:pattFill prst="dkUpDiag">
                <a:fgClr>
                  <a:srgbClr val="238B45"/>
                </a:fgClr>
                <a:bgClr>
                  <a:sysClr val="window" lastClr="FFFFFF"/>
                </a:bgClr>
              </a:pattFill>
              <a:ln>
                <a:solidFill>
                  <a:schemeClr val="tx1"/>
                </a:solidFill>
              </a:ln>
            </c:spPr>
          </c:dPt>
          <c:dPt>
            <c:idx val="9"/>
            <c:invertIfNegative val="0"/>
            <c:bubble3D val="0"/>
            <c:spPr>
              <a:pattFill prst="pct5">
                <a:fgClr>
                  <a:srgbClr val="A1D99B"/>
                </a:fgClr>
                <a:bgClr>
                  <a:sysClr val="windowText" lastClr="000000"/>
                </a:bgClr>
              </a:pattFill>
              <a:ln>
                <a:solidFill>
                  <a:schemeClr val="tx1"/>
                </a:solidFill>
              </a:ln>
            </c:spPr>
          </c:dPt>
          <c:dPt>
            <c:idx val="10"/>
            <c:invertIfNegative val="0"/>
            <c:bubble3D val="0"/>
            <c:spPr>
              <a:pattFill prst="dkUpDiag">
                <a:fgClr>
                  <a:srgbClr val="41AB5D"/>
                </a:fgClr>
                <a:bgClr>
                  <a:sysClr val="window" lastClr="FFFFFF"/>
                </a:bgClr>
              </a:pattFill>
              <a:ln>
                <a:solidFill>
                  <a:schemeClr val="tx1"/>
                </a:solidFill>
              </a:ln>
            </c:spPr>
          </c:dPt>
          <c:dPt>
            <c:idx val="11"/>
            <c:invertIfNegative val="0"/>
            <c:bubble3D val="0"/>
            <c:spPr>
              <a:pattFill prst="dkUpDiag">
                <a:fgClr>
                  <a:srgbClr val="74C476"/>
                </a:fgClr>
                <a:bgClr>
                  <a:sysClr val="windowText" lastClr="000000"/>
                </a:bgClr>
              </a:pattFill>
              <a:ln>
                <a:solidFill>
                  <a:schemeClr val="tx1"/>
                </a:solidFill>
              </a:ln>
            </c:spPr>
          </c:dPt>
          <c:dPt>
            <c:idx val="12"/>
            <c:invertIfNegative val="0"/>
            <c:bubble3D val="0"/>
            <c:spPr>
              <a:pattFill prst="dkUpDiag">
                <a:fgClr>
                  <a:srgbClr val="006D2C"/>
                </a:fgClr>
                <a:bgClr>
                  <a:sysClr val="window" lastClr="FFFFFF"/>
                </a:bgClr>
              </a:pattFill>
              <a:ln>
                <a:solidFill>
                  <a:schemeClr val="tx1"/>
                </a:solidFill>
              </a:ln>
            </c:spPr>
          </c:dPt>
          <c:cat>
            <c:strRef>
              <c:f>'3 year total reliability'!$B$21:$B$33</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'3 year total reliability'!$X$21:$X$33</c:f>
              <c:numCache>
                <c:formatCode>#,##0.00</c:formatCode>
                <c:ptCount val="13"/>
                <c:pt idx="0">
                  <c:v>50.542961174745045</c:v>
                </c:pt>
                <c:pt idx="1">
                  <c:v>29.044052234393451</c:v>
                </c:pt>
                <c:pt idx="2">
                  <c:v>63.199999999999996</c:v>
                </c:pt>
                <c:pt idx="3">
                  <c:v>156.71570714069188</c:v>
                </c:pt>
                <c:pt idx="4">
                  <c:v>32.676165508658123</c:v>
                </c:pt>
                <c:pt idx="5">
                  <c:v>73.536730166631472</c:v>
                </c:pt>
                <c:pt idx="6">
                  <c:v>65.066666666666663</c:v>
                </c:pt>
                <c:pt idx="7">
                  <c:v>56.53</c:v>
                </c:pt>
                <c:pt idx="8">
                  <c:v>209.29293147526855</c:v>
                </c:pt>
                <c:pt idx="9">
                  <c:v>12.336343050755957</c:v>
                </c:pt>
                <c:pt idx="10">
                  <c:v>21.70563968004025</c:v>
                </c:pt>
                <c:pt idx="11">
                  <c:v>45.650226620140046</c:v>
                </c:pt>
                <c:pt idx="12">
                  <c:v>39.255982532079216</c:v>
                </c:pt>
              </c:numCache>
            </c:numRef>
          </c:val>
        </c:ser>
        <c:dLbls>
          <c:showLegendKey val="0"/>
          <c:showVal val="0"/>
          <c:showCatName val="0"/>
          <c:showSerName val="0"/>
          <c:showPercent val="0"/>
          <c:showBubbleSize val="0"/>
        </c:dLbls>
        <c:gapWidth val="50"/>
        <c:overlap val="100"/>
        <c:axId val="261449216"/>
        <c:axId val="261450752"/>
      </c:barChart>
      <c:catAx>
        <c:axId val="261449216"/>
        <c:scaling>
          <c:orientation val="minMax"/>
        </c:scaling>
        <c:delete val="0"/>
        <c:axPos val="b"/>
        <c:majorTickMark val="out"/>
        <c:minorTickMark val="none"/>
        <c:tickLblPos val="nextTo"/>
        <c:crossAx val="261450752"/>
        <c:crosses val="autoZero"/>
        <c:auto val="1"/>
        <c:lblAlgn val="ctr"/>
        <c:lblOffset val="100"/>
        <c:noMultiLvlLbl val="0"/>
      </c:catAx>
      <c:valAx>
        <c:axId val="261450752"/>
        <c:scaling>
          <c:orientation val="minMax"/>
        </c:scaling>
        <c:delete val="0"/>
        <c:axPos val="l"/>
        <c:title>
          <c:tx>
            <c:rich>
              <a:bodyPr rot="0" vert="horz"/>
              <a:lstStyle/>
              <a:p>
                <a:pPr>
                  <a:defRPr/>
                </a:pPr>
                <a:r>
                  <a:rPr lang="en-AU"/>
                  <a:t>Minutes per</a:t>
                </a:r>
              </a:p>
              <a:p>
                <a:pPr>
                  <a:defRPr/>
                </a:pPr>
                <a:r>
                  <a:rPr lang="en-AU"/>
                  <a:t>sustained</a:t>
                </a:r>
              </a:p>
              <a:p>
                <a:pPr>
                  <a:defRPr/>
                </a:pPr>
                <a:r>
                  <a:rPr lang="en-AU"/>
                  <a:t>interruption</a:t>
                </a:r>
              </a:p>
              <a:p>
                <a:pPr>
                  <a:defRPr/>
                </a:pPr>
                <a:r>
                  <a:rPr lang="en-AU"/>
                  <a:t>to supply</a:t>
                </a:r>
              </a:p>
              <a:p>
                <a:pPr>
                  <a:defRPr/>
                </a:pPr>
                <a:r>
                  <a:rPr lang="en-AU"/>
                  <a:t>(SAIDI)</a:t>
                </a:r>
              </a:p>
            </c:rich>
          </c:tx>
          <c:layout/>
          <c:overlay val="0"/>
        </c:title>
        <c:numFmt formatCode="#,##0" sourceLinked="0"/>
        <c:majorTickMark val="out"/>
        <c:minorTickMark val="none"/>
        <c:tickLblPos val="nextTo"/>
        <c:crossAx val="261449216"/>
        <c:crosses val="autoZero"/>
        <c:crossBetween val="between"/>
      </c:valAx>
    </c:plotArea>
    <c:legend>
      <c:legendPos val="b"/>
      <c:layout>
        <c:manualLayout>
          <c:xMode val="edge"/>
          <c:yMode val="edge"/>
          <c:x val="0.34587248468941389"/>
          <c:y val="0.90349263633712451"/>
          <c:w val="0.43236675483655235"/>
          <c:h val="7.3961247561815421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'3 year total reliability'!$X$36</c:f>
              <c:strCache>
                <c:ptCount val="1"/>
                <c:pt idx="0">
                  <c:v>Unplanned</c:v>
                </c:pt>
              </c:strCache>
            </c:strRef>
          </c:tx>
          <c:spPr>
            <a:solidFill>
              <a:sysClr val="windowText" lastClr="000000"/>
            </a:solid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cat>
            <c:strRef>
              <c:f>'3 year total reliability'!$W$37:$W$49</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'3 year total reliability'!$X$37:$X$49</c:f>
              <c:numCache>
                <c:formatCode>#,##0.00</c:formatCode>
                <c:ptCount val="13"/>
                <c:pt idx="0">
                  <c:v>0.70895159769359217</c:v>
                </c:pt>
                <c:pt idx="1">
                  <c:v>0.99837152285087816</c:v>
                </c:pt>
                <c:pt idx="2">
                  <c:v>1.1483333333333332</c:v>
                </c:pt>
                <c:pt idx="3">
                  <c:v>2.1229535445273151</c:v>
                </c:pt>
                <c:pt idx="4">
                  <c:v>1.2397637627185458</c:v>
                </c:pt>
                <c:pt idx="5">
                  <c:v>3.2080855050540769</c:v>
                </c:pt>
                <c:pt idx="6">
                  <c:v>1.6753333333333333</c:v>
                </c:pt>
                <c:pt idx="7">
                  <c:v>1.9933333333333334</c:v>
                </c:pt>
                <c:pt idx="8">
                  <c:v>2.1836058917180456</c:v>
                </c:pt>
                <c:pt idx="9">
                  <c:v>0.62597556226450546</c:v>
                </c:pt>
                <c:pt idx="10">
                  <c:v>1.0229758701084173</c:v>
                </c:pt>
                <c:pt idx="11">
                  <c:v>1.5269776252578673</c:v>
                </c:pt>
                <c:pt idx="12">
                  <c:v>1.2853958556975089</c:v>
                </c:pt>
              </c:numCache>
            </c:numRef>
          </c:val>
        </c:ser>
        <c:ser>
          <c:idx val="1"/>
          <c:order val="1"/>
          <c:tx>
            <c:strRef>
              <c:f>'3 year total reliability'!$Y$36</c:f>
              <c:strCache>
                <c:ptCount val="1"/>
                <c:pt idx="0">
                  <c:v>Planned</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pattFill prst="dkUpDiag">
                <a:fgClr>
                  <a:srgbClr val="FCC0C0"/>
                </a:fgClr>
                <a:bgClr>
                  <a:sysClr val="window" lastClr="FFFFFF"/>
                </a:bgClr>
              </a:pattFill>
              <a:ln>
                <a:solidFill>
                  <a:schemeClr val="tx1"/>
                </a:solidFill>
              </a:ln>
            </c:spPr>
          </c:dPt>
          <c:dPt>
            <c:idx val="1"/>
            <c:invertIfNegative val="0"/>
            <c:bubble3D val="0"/>
            <c:spPr>
              <a:pattFill prst="dkUpDiag">
                <a:fgClr>
                  <a:srgbClr val="9ECAE1"/>
                </a:fgClr>
                <a:bgClr>
                  <a:sysClr val="window" lastClr="FFFFFF"/>
                </a:bgClr>
              </a:pattFill>
              <a:ln>
                <a:solidFill>
                  <a:schemeClr val="tx1"/>
                </a:solidFill>
              </a:ln>
            </c:spPr>
          </c:dPt>
          <c:dPt>
            <c:idx val="2"/>
            <c:invertIfNegative val="0"/>
            <c:bubble3D val="0"/>
            <c:spPr>
              <a:pattFill prst="dkUpDiag">
                <a:fgClr>
                  <a:srgbClr val="DEEBF7"/>
                </a:fgClr>
                <a:bgClr>
                  <a:sysClr val="windowText" lastClr="000000"/>
                </a:bgClr>
              </a:pattFill>
              <a:ln>
                <a:solidFill>
                  <a:schemeClr val="tx1"/>
                </a:solidFill>
              </a:ln>
            </c:spPr>
          </c:dPt>
          <c:dPt>
            <c:idx val="3"/>
            <c:invertIfNegative val="0"/>
            <c:bubble3D val="0"/>
            <c:spPr>
              <a:pattFill prst="dkUpDiag">
                <a:fgClr>
                  <a:srgbClr val="C6DBEF"/>
                </a:fgClr>
                <a:bgClr>
                  <a:sysClr val="windowText" lastClr="000000"/>
                </a:bgClr>
              </a:pattFill>
              <a:ln>
                <a:solidFill>
                  <a:schemeClr val="tx1"/>
                </a:solidFill>
              </a:ln>
            </c:spPr>
          </c:dPt>
          <c:dPt>
            <c:idx val="4"/>
            <c:invertIfNegative val="0"/>
            <c:bubble3D val="0"/>
            <c:spPr>
              <a:pattFill prst="dkUpDiag">
                <a:fgClr>
                  <a:srgbClr val="BD0026"/>
                </a:fgClr>
                <a:bgClr>
                  <a:sysClr val="window" lastClr="FFFFFF"/>
                </a:bgClr>
              </a:pattFill>
              <a:ln>
                <a:solidFill>
                  <a:schemeClr val="tx1"/>
                </a:solidFill>
              </a:ln>
            </c:spPr>
          </c:dPt>
          <c:dPt>
            <c:idx val="5"/>
            <c:invertIfNegative val="0"/>
            <c:bubble3D val="0"/>
            <c:spPr>
              <a:pattFill prst="dkUpDiag">
                <a:fgClr>
                  <a:srgbClr val="800026"/>
                </a:fgClr>
                <a:bgClr>
                  <a:sysClr val="window" lastClr="FFFFFF"/>
                </a:bgClr>
              </a:pattFill>
              <a:ln>
                <a:solidFill>
                  <a:schemeClr val="tx1"/>
                </a:solidFill>
              </a:ln>
            </c:spPr>
          </c:dPt>
          <c:dPt>
            <c:idx val="6"/>
            <c:invertIfNegative val="0"/>
            <c:bubble3D val="0"/>
            <c:spPr>
              <a:pattFill prst="dkUpDiag">
                <a:fgClr>
                  <a:srgbClr val="FD8D3C"/>
                </a:fgClr>
                <a:bgClr>
                  <a:sysClr val="window" lastClr="FFFFFF"/>
                </a:bgClr>
              </a:pattFill>
              <a:ln>
                <a:solidFill>
                  <a:schemeClr val="tx1"/>
                </a:solidFill>
              </a:ln>
            </c:spPr>
          </c:dPt>
          <c:dPt>
            <c:idx val="7"/>
            <c:invertIfNegative val="0"/>
            <c:bubble3D val="0"/>
            <c:spPr>
              <a:pattFill prst="dkUpDiag">
                <a:fgClr>
                  <a:srgbClr val="E7E1EF"/>
                </a:fgClr>
                <a:bgClr>
                  <a:sysClr val="windowText" lastClr="000000"/>
                </a:bgClr>
              </a:pattFill>
              <a:ln>
                <a:solidFill>
                  <a:schemeClr val="tx1"/>
                </a:solidFill>
              </a:ln>
            </c:spPr>
          </c:dPt>
          <c:dPt>
            <c:idx val="8"/>
            <c:invertIfNegative val="0"/>
            <c:bubble3D val="0"/>
            <c:spPr>
              <a:pattFill prst="dkUpDiag">
                <a:fgClr>
                  <a:srgbClr val="238B45"/>
                </a:fgClr>
                <a:bgClr>
                  <a:sysClr val="window" lastClr="FFFFFF"/>
                </a:bgClr>
              </a:pattFill>
              <a:ln>
                <a:solidFill>
                  <a:schemeClr val="tx1"/>
                </a:solidFill>
              </a:ln>
            </c:spPr>
          </c:dPt>
          <c:dPt>
            <c:idx val="9"/>
            <c:invertIfNegative val="0"/>
            <c:bubble3D val="0"/>
            <c:spPr>
              <a:pattFill prst="pct5">
                <a:fgClr>
                  <a:srgbClr val="A1D99B"/>
                </a:fgClr>
                <a:bgClr>
                  <a:sysClr val="windowText" lastClr="000000"/>
                </a:bgClr>
              </a:pattFill>
              <a:ln>
                <a:solidFill>
                  <a:schemeClr val="tx1"/>
                </a:solidFill>
              </a:ln>
            </c:spPr>
          </c:dPt>
          <c:dPt>
            <c:idx val="10"/>
            <c:invertIfNegative val="0"/>
            <c:bubble3D val="0"/>
            <c:spPr>
              <a:pattFill prst="dkUpDiag">
                <a:fgClr>
                  <a:srgbClr val="41AB5D"/>
                </a:fgClr>
                <a:bgClr>
                  <a:sysClr val="window" lastClr="FFFFFF"/>
                </a:bgClr>
              </a:pattFill>
              <a:ln>
                <a:solidFill>
                  <a:schemeClr val="tx1"/>
                </a:solidFill>
              </a:ln>
            </c:spPr>
          </c:dPt>
          <c:dPt>
            <c:idx val="11"/>
            <c:invertIfNegative val="0"/>
            <c:bubble3D val="0"/>
            <c:spPr>
              <a:pattFill prst="dkUpDiag">
                <a:fgClr>
                  <a:srgbClr val="74C476"/>
                </a:fgClr>
                <a:bgClr>
                  <a:sysClr val="windowText" lastClr="000000"/>
                </a:bgClr>
              </a:pattFill>
              <a:ln>
                <a:solidFill>
                  <a:schemeClr val="tx1"/>
                </a:solidFill>
              </a:ln>
            </c:spPr>
          </c:dPt>
          <c:dPt>
            <c:idx val="12"/>
            <c:invertIfNegative val="0"/>
            <c:bubble3D val="0"/>
            <c:spPr>
              <a:pattFill prst="dkUpDiag">
                <a:fgClr>
                  <a:srgbClr val="006D2C"/>
                </a:fgClr>
                <a:bgClr>
                  <a:sysClr val="window" lastClr="FFFFFF"/>
                </a:bgClr>
              </a:pattFill>
              <a:ln>
                <a:solidFill>
                  <a:schemeClr val="tx1"/>
                </a:solidFill>
              </a:ln>
            </c:spPr>
          </c:dPt>
          <c:cat>
            <c:strRef>
              <c:f>'3 year total reliability'!$W$37:$W$49</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'3 year total reliability'!$Y$37:$Y$49</c:f>
              <c:numCache>
                <c:formatCode>#,##0.00</c:formatCode>
                <c:ptCount val="13"/>
                <c:pt idx="0">
                  <c:v>0.21335749618314656</c:v>
                </c:pt>
                <c:pt idx="1">
                  <c:v>8.2012188472513639E-2</c:v>
                </c:pt>
                <c:pt idx="2">
                  <c:v>0.17666666666666667</c:v>
                </c:pt>
                <c:pt idx="3">
                  <c:v>0.64599137059320344</c:v>
                </c:pt>
                <c:pt idx="4">
                  <c:v>0.11721632844096712</c:v>
                </c:pt>
                <c:pt idx="5">
                  <c:v>0.43035052041712429</c:v>
                </c:pt>
                <c:pt idx="6">
                  <c:v>0.43099999999999999</c:v>
                </c:pt>
                <c:pt idx="7">
                  <c:v>0.23333333333333331</c:v>
                </c:pt>
                <c:pt idx="8">
                  <c:v>0.78360683843691581</c:v>
                </c:pt>
                <c:pt idx="9">
                  <c:v>4.2154668371911334E-2</c:v>
                </c:pt>
                <c:pt idx="10">
                  <c:v>7.8353625836640572E-2</c:v>
                </c:pt>
                <c:pt idx="11">
                  <c:v>0.21085918239744039</c:v>
                </c:pt>
                <c:pt idx="12">
                  <c:v>0.11841884325314844</c:v>
                </c:pt>
              </c:numCache>
            </c:numRef>
          </c:val>
        </c:ser>
        <c:dLbls>
          <c:showLegendKey val="0"/>
          <c:showVal val="0"/>
          <c:showCatName val="0"/>
          <c:showSerName val="0"/>
          <c:showPercent val="0"/>
          <c:showBubbleSize val="0"/>
        </c:dLbls>
        <c:gapWidth val="50"/>
        <c:overlap val="100"/>
        <c:axId val="261470464"/>
        <c:axId val="261472256"/>
      </c:barChart>
      <c:catAx>
        <c:axId val="261470464"/>
        <c:scaling>
          <c:orientation val="minMax"/>
        </c:scaling>
        <c:delete val="0"/>
        <c:axPos val="b"/>
        <c:majorTickMark val="out"/>
        <c:minorTickMark val="none"/>
        <c:tickLblPos val="nextTo"/>
        <c:crossAx val="261472256"/>
        <c:crosses val="autoZero"/>
        <c:auto val="1"/>
        <c:lblAlgn val="ctr"/>
        <c:lblOffset val="100"/>
        <c:noMultiLvlLbl val="0"/>
      </c:catAx>
      <c:valAx>
        <c:axId val="261472256"/>
        <c:scaling>
          <c:orientation val="minMax"/>
        </c:scaling>
        <c:delete val="0"/>
        <c:axPos val="l"/>
        <c:title>
          <c:tx>
            <c:rich>
              <a:bodyPr rot="0" vert="horz"/>
              <a:lstStyle/>
              <a:p>
                <a:pPr>
                  <a:defRPr/>
                </a:pPr>
                <a:r>
                  <a:rPr lang="en-AU"/>
                  <a:t>Sustained</a:t>
                </a:r>
              </a:p>
              <a:p>
                <a:pPr>
                  <a:defRPr/>
                </a:pPr>
                <a:r>
                  <a:rPr lang="en-AU"/>
                  <a:t>interruptions</a:t>
                </a:r>
              </a:p>
              <a:p>
                <a:pPr>
                  <a:defRPr/>
                </a:pPr>
                <a:r>
                  <a:rPr lang="en-AU"/>
                  <a:t>to supply</a:t>
                </a:r>
              </a:p>
              <a:p>
                <a:pPr>
                  <a:defRPr/>
                </a:pPr>
                <a:r>
                  <a:rPr lang="en-AU"/>
                  <a:t>(SAIFI)</a:t>
                </a:r>
              </a:p>
            </c:rich>
          </c:tx>
          <c:layout/>
          <c:overlay val="0"/>
        </c:title>
        <c:numFmt formatCode="#,##0" sourceLinked="0"/>
        <c:majorTickMark val="out"/>
        <c:minorTickMark val="none"/>
        <c:tickLblPos val="nextTo"/>
        <c:crossAx val="261470464"/>
        <c:crosses val="autoZero"/>
        <c:crossBetween val="between"/>
        <c:majorUnit val="1"/>
      </c:valAx>
    </c:plotArea>
    <c:legend>
      <c:legendPos val="b"/>
      <c:layout>
        <c:manualLayout>
          <c:xMode val="edge"/>
          <c:yMode val="edge"/>
          <c:x val="0.34587248468941389"/>
          <c:y val="0.90349263633712451"/>
          <c:w val="0.43236675483655235"/>
          <c:h val="7.3961247561815421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(charting)'!$X$3</c:f>
              <c:strCache>
                <c:ptCount val="1"/>
                <c:pt idx="0">
                  <c:v>Average SAIDI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cat>
            <c:strRef>
              <c:f>'Reliability (charting)'!$B$4:$B$16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'Reliability (charting)'!$X$4:$X$16</c:f>
              <c:numCache>
                <c:formatCode>0.00</c:formatCode>
                <c:ptCount val="13"/>
                <c:pt idx="0">
                  <c:v>35.529159414466157</c:v>
                </c:pt>
                <c:pt idx="1">
                  <c:v>83.047585476825773</c:v>
                </c:pt>
                <c:pt idx="2">
                  <c:v>91.596028179851217</c:v>
                </c:pt>
                <c:pt idx="3">
                  <c:v>234.98862122431532</c:v>
                </c:pt>
                <c:pt idx="4">
                  <c:v>71.266150932635128</c:v>
                </c:pt>
                <c:pt idx="5">
                  <c:v>295.99892704781047</c:v>
                </c:pt>
                <c:pt idx="6">
                  <c:v>141.73333333333332</c:v>
                </c:pt>
                <c:pt idx="7">
                  <c:v>153.28175123513242</c:v>
                </c:pt>
                <c:pt idx="8">
                  <c:v>141.19912990924752</c:v>
                </c:pt>
                <c:pt idx="9">
                  <c:v>26.259820672206022</c:v>
                </c:pt>
                <c:pt idx="10">
                  <c:v>55.090750161961864</c:v>
                </c:pt>
                <c:pt idx="11">
                  <c:v>131.27061932434268</c:v>
                </c:pt>
                <c:pt idx="12">
                  <c:v>69.492884266643102</c:v>
                </c:pt>
              </c:numCache>
            </c:numRef>
          </c:val>
        </c:ser>
        <c:dLbls>
          <c:showLegendKey val="0"/>
          <c:showVal val="0"/>
          <c:showCatName val="0"/>
          <c:showSerName val="0"/>
          <c:showPercent val="0"/>
          <c:showBubbleSize val="0"/>
        </c:dLbls>
        <c:gapWidth val="50"/>
        <c:axId val="281488000"/>
        <c:axId val="281490176"/>
      </c:barChart>
      <c:scatterChart>
        <c:scatterStyle val="lineMarker"/>
        <c:varyColors val="0"/>
        <c:ser>
          <c:idx val="1"/>
          <c:order val="1"/>
          <c:tx>
            <c:strRef>
              <c:f>'Reliability (charting)'!$Y$3</c:f>
              <c:strCache>
                <c:ptCount val="1"/>
                <c:pt idx="0">
                  <c:v>STPIS target (weighted)</c:v>
                </c:pt>
              </c:strCache>
            </c:strRef>
          </c:tx>
          <c:spPr>
            <a:ln w="28575">
              <a:noFill/>
            </a:ln>
          </c:spPr>
          <c:marker>
            <c:symbol val="dash"/>
            <c:size val="17"/>
            <c:spPr>
              <a:solidFill>
                <a:srgbClr val="FFFF00"/>
              </a:solidFill>
              <a:ln>
                <a:solidFill>
                  <a:sysClr val="windowText" lastClr="000000"/>
                </a:solidFill>
              </a:ln>
            </c:spPr>
          </c:marker>
          <c:xVal>
            <c:strRef>
              <c:f>'Reliability (charting)'!$B$4:$B$16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xVal>
          <c:yVal>
            <c:numRef>
              <c:f>'Reliability (charting)'!$Y$4:$Y$16</c:f>
              <c:numCache>
                <c:formatCode>General</c:formatCode>
                <c:ptCount val="13"/>
                <c:pt idx="4" formatCode="0.00">
                  <c:v>91.940582679452078</c:v>
                </c:pt>
                <c:pt idx="5" formatCode="0.00">
                  <c:v>278.08956658410824</c:v>
                </c:pt>
                <c:pt idx="6" formatCode="0.00">
                  <c:v>142.89374840880723</c:v>
                </c:pt>
                <c:pt idx="7" formatCode="0.00">
                  <c:v>175.67</c:v>
                </c:pt>
                <c:pt idx="8" formatCode="0.00">
                  <c:v>173.04145379929528</c:v>
                </c:pt>
                <c:pt idx="9" formatCode="0.00">
                  <c:v>20.379224102043516</c:v>
                </c:pt>
                <c:pt idx="10" formatCode="0.00">
                  <c:v>73.131594706553457</c:v>
                </c:pt>
                <c:pt idx="11" formatCode="0.00">
                  <c:v>135.65710264865152</c:v>
                </c:pt>
                <c:pt idx="12" formatCode="0.00">
                  <c:v>59.269916044827234</c:v>
                </c:pt>
              </c:numCache>
            </c:numRef>
          </c:yVal>
          <c:smooth val="0"/>
        </c:ser>
        <c:dLbls>
          <c:showLegendKey val="0"/>
          <c:showVal val="0"/>
          <c:showCatName val="0"/>
          <c:showSerName val="0"/>
          <c:showPercent val="0"/>
          <c:showBubbleSize val="0"/>
        </c:dLbls>
        <c:axId val="281493888"/>
        <c:axId val="281492096"/>
      </c:scatterChart>
      <c:catAx>
        <c:axId val="281488000"/>
        <c:scaling>
          <c:orientation val="minMax"/>
        </c:scaling>
        <c:delete val="0"/>
        <c:axPos val="b"/>
        <c:majorTickMark val="out"/>
        <c:minorTickMark val="none"/>
        <c:tickLblPos val="nextTo"/>
        <c:txPr>
          <a:bodyPr/>
          <a:lstStyle/>
          <a:p>
            <a:pPr>
              <a:defRPr sz="800"/>
            </a:pPr>
            <a:endParaRPr lang="en-US"/>
          </a:p>
        </c:txPr>
        <c:crossAx val="281490176"/>
        <c:crosses val="autoZero"/>
        <c:auto val="1"/>
        <c:lblAlgn val="ctr"/>
        <c:lblOffset val="100"/>
        <c:noMultiLvlLbl val="0"/>
      </c:catAx>
      <c:valAx>
        <c:axId val="281490176"/>
        <c:scaling>
          <c:orientation val="minMax"/>
          <c:max val="300"/>
          <c:min val="0"/>
        </c:scaling>
        <c:delete val="0"/>
        <c:axPos val="l"/>
        <c:title>
          <c:tx>
            <c:rich>
              <a:bodyPr rot="0" vert="horz"/>
              <a:lstStyle/>
              <a:p>
                <a:pPr>
                  <a:defRPr sz="800"/>
                </a:pPr>
                <a:r>
                  <a:rPr lang="en-AU"/>
                  <a:t>Unplanned</a:t>
                </a:r>
              </a:p>
              <a:p>
                <a:pPr>
                  <a:defRPr sz="800"/>
                </a:pPr>
                <a:r>
                  <a:rPr lang="en-AU"/>
                  <a:t>sustained</a:t>
                </a:r>
              </a:p>
              <a:p>
                <a:pPr>
                  <a:defRPr sz="800"/>
                </a:pPr>
                <a:r>
                  <a:rPr lang="en-AU"/>
                  <a:t>minutes</a:t>
                </a:r>
              </a:p>
              <a:p>
                <a:pPr>
                  <a:defRPr sz="800"/>
                </a:pPr>
                <a:r>
                  <a:rPr lang="en-AU"/>
                  <a:t>off supply</a:t>
                </a:r>
              </a:p>
              <a:p>
                <a:pPr>
                  <a:defRPr sz="800"/>
                </a:pPr>
                <a:r>
                  <a:rPr lang="en-AU"/>
                  <a:t>(SAIDI)</a:t>
                </a:r>
              </a:p>
            </c:rich>
          </c:tx>
          <c:layout/>
          <c:overlay val="0"/>
        </c:title>
        <c:numFmt formatCode="#,##0" sourceLinked="0"/>
        <c:majorTickMark val="out"/>
        <c:minorTickMark val="none"/>
        <c:tickLblPos val="nextTo"/>
        <c:txPr>
          <a:bodyPr/>
          <a:lstStyle/>
          <a:p>
            <a:pPr>
              <a:defRPr sz="800"/>
            </a:pPr>
            <a:endParaRPr lang="en-US"/>
          </a:p>
        </c:txPr>
        <c:crossAx val="281488000"/>
        <c:crosses val="autoZero"/>
        <c:crossBetween val="between"/>
      </c:valAx>
      <c:valAx>
        <c:axId val="281492096"/>
        <c:scaling>
          <c:orientation val="minMax"/>
        </c:scaling>
        <c:delete val="1"/>
        <c:axPos val="r"/>
        <c:numFmt formatCode="General" sourceLinked="1"/>
        <c:majorTickMark val="out"/>
        <c:minorTickMark val="none"/>
        <c:tickLblPos val="nextTo"/>
        <c:crossAx val="281493888"/>
        <c:crosses val="max"/>
        <c:crossBetween val="midCat"/>
      </c:valAx>
      <c:valAx>
        <c:axId val="281493888"/>
        <c:scaling>
          <c:orientation val="minMax"/>
        </c:scaling>
        <c:delete val="1"/>
        <c:axPos val="t"/>
        <c:majorTickMark val="out"/>
        <c:minorTickMark val="none"/>
        <c:tickLblPos val="nextTo"/>
        <c:crossAx val="281492096"/>
        <c:crosses val="max"/>
        <c:crossBetween val="midCat"/>
      </c:valAx>
    </c:plotArea>
    <c:legend>
      <c:legendPos val="b"/>
      <c:legendEntry>
        <c:idx val="0"/>
        <c:delete val="1"/>
      </c:legendEntry>
      <c:layout/>
      <c:overlay val="0"/>
      <c:spPr>
        <a:solidFill>
          <a:srgbClr val="FFFF00">
            <a:alpha val="50000"/>
          </a:srgbClr>
        </a:solidFill>
        <a:ln>
          <a:solidFill>
            <a:sysClr val="windowText" lastClr="000000"/>
          </a:solidFill>
        </a:ln>
      </c:spPr>
      <c:txPr>
        <a:bodyPr/>
        <a:lstStyle/>
        <a:p>
          <a:pPr>
            <a:defRPr sz="800"/>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(charting)'!$Z$3</c:f>
              <c:strCache>
                <c:ptCount val="1"/>
                <c:pt idx="0">
                  <c:v>Average SAIFI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cat>
            <c:strRef>
              <c:f>'Reliability (charting)'!$B$4:$B$16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'Reliability (charting)'!$Z$4:$Z$16</c:f>
              <c:numCache>
                <c:formatCode>#,##0.00</c:formatCode>
                <c:ptCount val="13"/>
                <c:pt idx="0">
                  <c:v>0.6665898619307481</c:v>
                </c:pt>
                <c:pt idx="1">
                  <c:v>0.92040276524722875</c:v>
                </c:pt>
                <c:pt idx="2">
                  <c:v>1.0378699276892347</c:v>
                </c:pt>
                <c:pt idx="3">
                  <c:v>1.9625895249460157</c:v>
                </c:pt>
                <c:pt idx="4">
                  <c:v>0.94853111804809698</c:v>
                </c:pt>
                <c:pt idx="5">
                  <c:v>2.6553107356326717</c:v>
                </c:pt>
                <c:pt idx="6">
                  <c:v>1.3643333333333334</c:v>
                </c:pt>
                <c:pt idx="7">
                  <c:v>1.5901339019864948</c:v>
                </c:pt>
                <c:pt idx="8">
                  <c:v>1.8538374027799442</c:v>
                </c:pt>
                <c:pt idx="9">
                  <c:v>0.42215021567975003</c:v>
                </c:pt>
                <c:pt idx="10">
                  <c:v>0.97932002409087193</c:v>
                </c:pt>
                <c:pt idx="11">
                  <c:v>1.3868790003059994</c:v>
                </c:pt>
                <c:pt idx="12">
                  <c:v>1.0022350960804394</c:v>
                </c:pt>
              </c:numCache>
            </c:numRef>
          </c:val>
        </c:ser>
        <c:dLbls>
          <c:showLegendKey val="0"/>
          <c:showVal val="0"/>
          <c:showCatName val="0"/>
          <c:showSerName val="0"/>
          <c:showPercent val="0"/>
          <c:showBubbleSize val="0"/>
        </c:dLbls>
        <c:gapWidth val="50"/>
        <c:axId val="281517056"/>
        <c:axId val="281519232"/>
      </c:barChart>
      <c:scatterChart>
        <c:scatterStyle val="lineMarker"/>
        <c:varyColors val="0"/>
        <c:ser>
          <c:idx val="1"/>
          <c:order val="1"/>
          <c:tx>
            <c:strRef>
              <c:f>'Reliability (charting)'!$AA$3</c:f>
              <c:strCache>
                <c:ptCount val="1"/>
                <c:pt idx="0">
                  <c:v>STPIS target (weighted)</c:v>
                </c:pt>
              </c:strCache>
            </c:strRef>
          </c:tx>
          <c:spPr>
            <a:ln w="28575">
              <a:noFill/>
            </a:ln>
          </c:spPr>
          <c:marker>
            <c:symbol val="dash"/>
            <c:size val="17"/>
            <c:spPr>
              <a:solidFill>
                <a:srgbClr val="FFFF00"/>
              </a:solidFill>
              <a:ln>
                <a:solidFill>
                  <a:sysClr val="windowText" lastClr="000000"/>
                </a:solidFill>
              </a:ln>
            </c:spPr>
          </c:marker>
          <c:xVal>
            <c:strRef>
              <c:f>'Reliability (charting)'!$B$4:$B$16</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xVal>
          <c:yVal>
            <c:numRef>
              <c:f>'Reliability (charting)'!$AA$4:$AA$16</c:f>
              <c:numCache>
                <c:formatCode>General</c:formatCode>
                <c:ptCount val="13"/>
                <c:pt idx="4" formatCode="0.00">
                  <c:v>1.3222363920871889</c:v>
                </c:pt>
                <c:pt idx="5" formatCode="0.00">
                  <c:v>2.8315220867287532</c:v>
                </c:pt>
                <c:pt idx="6" formatCode="0.00">
                  <c:v>1.4823108756749914</c:v>
                </c:pt>
                <c:pt idx="7" formatCode="0.00">
                  <c:v>1.87</c:v>
                </c:pt>
                <c:pt idx="8" formatCode="0.00">
                  <c:v>2.2856190654361002</c:v>
                </c:pt>
                <c:pt idx="9" formatCode="0.00">
                  <c:v>0.40284292207949218</c:v>
                </c:pt>
                <c:pt idx="10" formatCode="0.00">
                  <c:v>1.2069707256328803</c:v>
                </c:pt>
                <c:pt idx="11" formatCode="0.00">
                  <c:v>1.7220417076306997</c:v>
                </c:pt>
                <c:pt idx="12" formatCode="0.00">
                  <c:v>0.97905909830230453</c:v>
                </c:pt>
              </c:numCache>
            </c:numRef>
          </c:yVal>
          <c:smooth val="0"/>
        </c:ser>
        <c:dLbls>
          <c:showLegendKey val="0"/>
          <c:showVal val="0"/>
          <c:showCatName val="0"/>
          <c:showSerName val="0"/>
          <c:showPercent val="0"/>
          <c:showBubbleSize val="0"/>
        </c:dLbls>
        <c:axId val="281522944"/>
        <c:axId val="281521152"/>
      </c:scatterChart>
      <c:catAx>
        <c:axId val="281517056"/>
        <c:scaling>
          <c:orientation val="minMax"/>
        </c:scaling>
        <c:delete val="0"/>
        <c:axPos val="b"/>
        <c:majorTickMark val="out"/>
        <c:minorTickMark val="none"/>
        <c:tickLblPos val="nextTo"/>
        <c:txPr>
          <a:bodyPr/>
          <a:lstStyle/>
          <a:p>
            <a:pPr>
              <a:defRPr sz="800"/>
            </a:pPr>
            <a:endParaRPr lang="en-US"/>
          </a:p>
        </c:txPr>
        <c:crossAx val="281519232"/>
        <c:crosses val="autoZero"/>
        <c:auto val="1"/>
        <c:lblAlgn val="ctr"/>
        <c:lblOffset val="100"/>
        <c:noMultiLvlLbl val="0"/>
      </c:catAx>
      <c:valAx>
        <c:axId val="281519232"/>
        <c:scaling>
          <c:orientation val="minMax"/>
          <c:min val="0"/>
        </c:scaling>
        <c:delete val="0"/>
        <c:axPos val="l"/>
        <c:title>
          <c:tx>
            <c:rich>
              <a:bodyPr rot="0" vert="horz"/>
              <a:lstStyle/>
              <a:p>
                <a:pPr>
                  <a:defRPr sz="800"/>
                </a:pPr>
                <a:r>
                  <a:rPr lang="en-AU"/>
                  <a:t>Unplanned</a:t>
                </a:r>
              </a:p>
              <a:p>
                <a:pPr>
                  <a:defRPr sz="800"/>
                </a:pPr>
                <a:r>
                  <a:rPr lang="en-AU"/>
                  <a:t>sustained</a:t>
                </a:r>
              </a:p>
              <a:p>
                <a:pPr>
                  <a:defRPr sz="800"/>
                </a:pPr>
                <a:r>
                  <a:rPr lang="en-AU"/>
                  <a:t>interruptions</a:t>
                </a:r>
              </a:p>
              <a:p>
                <a:pPr>
                  <a:defRPr sz="800"/>
                </a:pPr>
                <a:r>
                  <a:rPr lang="en-AU"/>
                  <a:t>to supply</a:t>
                </a:r>
              </a:p>
              <a:p>
                <a:pPr>
                  <a:defRPr sz="800"/>
                </a:pPr>
                <a:r>
                  <a:rPr lang="en-AU"/>
                  <a:t>(SAIFI)</a:t>
                </a:r>
              </a:p>
            </c:rich>
          </c:tx>
          <c:layout/>
          <c:overlay val="0"/>
        </c:title>
        <c:numFmt formatCode="#,##0.0" sourceLinked="0"/>
        <c:majorTickMark val="out"/>
        <c:minorTickMark val="none"/>
        <c:tickLblPos val="nextTo"/>
        <c:txPr>
          <a:bodyPr/>
          <a:lstStyle/>
          <a:p>
            <a:pPr>
              <a:defRPr sz="800"/>
            </a:pPr>
            <a:endParaRPr lang="en-US"/>
          </a:p>
        </c:txPr>
        <c:crossAx val="281517056"/>
        <c:crosses val="autoZero"/>
        <c:crossBetween val="between"/>
      </c:valAx>
      <c:valAx>
        <c:axId val="281521152"/>
        <c:scaling>
          <c:orientation val="minMax"/>
        </c:scaling>
        <c:delete val="1"/>
        <c:axPos val="r"/>
        <c:numFmt formatCode="General" sourceLinked="1"/>
        <c:majorTickMark val="out"/>
        <c:minorTickMark val="none"/>
        <c:tickLblPos val="nextTo"/>
        <c:crossAx val="281522944"/>
        <c:crosses val="max"/>
        <c:crossBetween val="midCat"/>
      </c:valAx>
      <c:valAx>
        <c:axId val="281522944"/>
        <c:scaling>
          <c:orientation val="minMax"/>
        </c:scaling>
        <c:delete val="1"/>
        <c:axPos val="t"/>
        <c:majorTickMark val="out"/>
        <c:minorTickMark val="none"/>
        <c:tickLblPos val="nextTo"/>
        <c:crossAx val="281521152"/>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txPr>
        <a:bodyPr/>
        <a:lstStyle/>
        <a:p>
          <a:pPr>
            <a:defRPr sz="800"/>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(charting)'!$X$37</c:f>
              <c:strCache>
                <c:ptCount val="1"/>
                <c:pt idx="0">
                  <c:v>Average SAIDI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9ECAE1"/>
              </a:solidFill>
              <a:ln>
                <a:solidFill>
                  <a:schemeClr val="tx1"/>
                </a:solidFill>
              </a:ln>
            </c:spPr>
          </c:dPt>
          <c:dPt>
            <c:idx val="1"/>
            <c:invertIfNegative val="0"/>
            <c:bubble3D val="0"/>
            <c:spPr>
              <a:solidFill>
                <a:srgbClr val="BD0026"/>
              </a:solidFill>
              <a:ln>
                <a:solidFill>
                  <a:schemeClr val="tx1"/>
                </a:solidFill>
              </a:ln>
            </c:spPr>
          </c:dPt>
          <c:dPt>
            <c:idx val="2"/>
            <c:invertIfNegative val="0"/>
            <c:bubble3D val="0"/>
            <c:spPr>
              <a:solidFill>
                <a:srgbClr val="FD8D3C"/>
              </a:solidFill>
              <a:ln>
                <a:solidFill>
                  <a:schemeClr val="tx1"/>
                </a:solidFill>
              </a:ln>
            </c:spPr>
          </c:dPt>
          <c:dPt>
            <c:idx val="3"/>
            <c:invertIfNegative val="0"/>
            <c:bubble3D val="0"/>
            <c:spPr>
              <a:solidFill>
                <a:srgbClr val="A1D99B"/>
              </a:solidFill>
              <a:ln>
                <a:solidFill>
                  <a:schemeClr val="tx1"/>
                </a:solidFill>
              </a:ln>
            </c:spPr>
          </c:dPt>
          <c:dPt>
            <c:idx val="4"/>
            <c:invertIfNegative val="0"/>
            <c:bubble3D val="0"/>
            <c:spPr>
              <a:solidFill>
                <a:sysClr val="windowText" lastClr="000000"/>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A1D99B"/>
              </a:solidFill>
              <a:ln>
                <a:solidFill>
                  <a:schemeClr val="tx1"/>
                </a:solidFill>
              </a:ln>
            </c:spPr>
          </c:dPt>
          <c:dPt>
            <c:idx val="9"/>
            <c:invertIfNegative val="0"/>
            <c:bubble3D val="0"/>
            <c:spPr>
              <a:solidFill>
                <a:srgbClr val="41AB5D"/>
              </a:solidFill>
              <a:ln>
                <a:solidFill>
                  <a:schemeClr val="tx1"/>
                </a:solidFill>
              </a:ln>
            </c:spPr>
          </c:dPt>
          <c:dPt>
            <c:idx val="10"/>
            <c:invertIfNegative val="0"/>
            <c:bubble3D val="0"/>
            <c:spPr>
              <a:solidFill>
                <a:srgbClr val="74C476"/>
              </a:solidFill>
              <a:ln>
                <a:solidFill>
                  <a:schemeClr val="tx1"/>
                </a:solidFill>
              </a:ln>
            </c:spPr>
          </c:dPt>
          <c:dPt>
            <c:idx val="11"/>
            <c:invertIfNegative val="0"/>
            <c:bubble3D val="0"/>
            <c:spPr>
              <a:solidFill>
                <a:srgbClr val="238B45"/>
              </a:solidFill>
              <a:ln>
                <a:solidFill>
                  <a:schemeClr val="tx1"/>
                </a:solidFill>
              </a:ln>
            </c:spPr>
          </c:dPt>
          <c:dPt>
            <c:idx val="12"/>
            <c:invertIfNegative val="0"/>
            <c:bubble3D val="0"/>
            <c:spPr>
              <a:solidFill>
                <a:srgbClr val="006D2C"/>
              </a:solidFill>
              <a:ln>
                <a:solidFill>
                  <a:schemeClr val="tx1"/>
                </a:solidFill>
              </a:ln>
            </c:spPr>
          </c:dPt>
          <c:cat>
            <c:strRef>
              <c:f>'Reliability (charting)'!$B$38:$B$42</c:f>
              <c:strCache>
                <c:ptCount val="5"/>
                <c:pt idx="0">
                  <c:v>Ausgrid</c:v>
                </c:pt>
                <c:pt idx="1">
                  <c:v>Energex</c:v>
                </c:pt>
                <c:pt idx="2">
                  <c:v>SA Power Networks</c:v>
                </c:pt>
                <c:pt idx="3">
                  <c:v>CitiPower</c:v>
                </c:pt>
                <c:pt idx="4">
                  <c:v>NEM</c:v>
                </c:pt>
              </c:strCache>
            </c:strRef>
          </c:cat>
          <c:val>
            <c:numRef>
              <c:f>'Reliability (charting)'!$X$38:$X$42</c:f>
              <c:numCache>
                <c:formatCode>0.00</c:formatCode>
                <c:ptCount val="5"/>
                <c:pt idx="0">
                  <c:v>16.387272624274164</c:v>
                </c:pt>
                <c:pt idx="1">
                  <c:v>0.67393215879938817</c:v>
                </c:pt>
                <c:pt idx="2">
                  <c:v>12.633333333333333</c:v>
                </c:pt>
                <c:pt idx="3">
                  <c:v>8.257253778315393</c:v>
                </c:pt>
                <c:pt idx="4">
                  <c:v>10.704275851623189</c:v>
                </c:pt>
              </c:numCache>
            </c:numRef>
          </c:val>
        </c:ser>
        <c:dLbls>
          <c:showLegendKey val="0"/>
          <c:showVal val="0"/>
          <c:showCatName val="0"/>
          <c:showSerName val="0"/>
          <c:showPercent val="0"/>
          <c:showBubbleSize val="0"/>
        </c:dLbls>
        <c:gapWidth val="50"/>
        <c:axId val="281649536"/>
        <c:axId val="281651456"/>
      </c:barChart>
      <c:scatterChart>
        <c:scatterStyle val="lineMarker"/>
        <c:varyColors val="0"/>
        <c:ser>
          <c:idx val="1"/>
          <c:order val="1"/>
          <c:tx>
            <c:strRef>
              <c:f>'Reliability (charting)'!$Y$37</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(charting)'!$B$38:$B$42</c:f>
              <c:strCache>
                <c:ptCount val="5"/>
                <c:pt idx="0">
                  <c:v>Ausgrid</c:v>
                </c:pt>
                <c:pt idx="1">
                  <c:v>Energex</c:v>
                </c:pt>
                <c:pt idx="2">
                  <c:v>SA Power Networks</c:v>
                </c:pt>
                <c:pt idx="3">
                  <c:v>CitiPower</c:v>
                </c:pt>
                <c:pt idx="4">
                  <c:v>NEM</c:v>
                </c:pt>
              </c:strCache>
            </c:strRef>
          </c:xVal>
          <c:yVal>
            <c:numRef>
              <c:f>'Reliability (charting)'!$Y$38:$Y$42</c:f>
              <c:numCache>
                <c:formatCode>0.00</c:formatCode>
                <c:ptCount val="5"/>
                <c:pt idx="1">
                  <c:v>3.3</c:v>
                </c:pt>
                <c:pt idx="2">
                  <c:v>27.100000000000005</c:v>
                </c:pt>
                <c:pt idx="3">
                  <c:v>11.271000000000001</c:v>
                </c:pt>
              </c:numCache>
            </c:numRef>
          </c:yVal>
          <c:smooth val="0"/>
        </c:ser>
        <c:dLbls>
          <c:showLegendKey val="0"/>
          <c:showVal val="0"/>
          <c:showCatName val="0"/>
          <c:showSerName val="0"/>
          <c:showPercent val="0"/>
          <c:showBubbleSize val="0"/>
        </c:dLbls>
        <c:axId val="281659264"/>
        <c:axId val="281657728"/>
      </c:scatterChart>
      <c:catAx>
        <c:axId val="281649536"/>
        <c:scaling>
          <c:orientation val="minMax"/>
        </c:scaling>
        <c:delete val="0"/>
        <c:axPos val="b"/>
        <c:majorTickMark val="out"/>
        <c:minorTickMark val="none"/>
        <c:tickLblPos val="nextTo"/>
        <c:txPr>
          <a:bodyPr/>
          <a:lstStyle/>
          <a:p>
            <a:pPr>
              <a:defRPr sz="1000"/>
            </a:pPr>
            <a:endParaRPr lang="en-US"/>
          </a:p>
        </c:txPr>
        <c:crossAx val="281651456"/>
        <c:crosses val="autoZero"/>
        <c:auto val="1"/>
        <c:lblAlgn val="ctr"/>
        <c:lblOffset val="100"/>
        <c:noMultiLvlLbl val="0"/>
      </c:catAx>
      <c:valAx>
        <c:axId val="281651456"/>
        <c:scaling>
          <c:orientation val="minMax"/>
          <c:min val="0"/>
        </c:scaling>
        <c:delete val="0"/>
        <c:axPos val="l"/>
        <c:title>
          <c:tx>
            <c:rich>
              <a:bodyPr rot="0" vert="horz"/>
              <a:lstStyle/>
              <a:p>
                <a:pPr>
                  <a:defRPr sz="800"/>
                </a:pPr>
                <a:r>
                  <a:rPr lang="en-AU"/>
                  <a:t>Unplanned</a:t>
                </a:r>
              </a:p>
              <a:p>
                <a:pPr>
                  <a:defRPr sz="800"/>
                </a:pPr>
                <a:r>
                  <a:rPr lang="en-AU"/>
                  <a:t>sustained</a:t>
                </a:r>
              </a:p>
              <a:p>
                <a:pPr>
                  <a:defRPr sz="800"/>
                </a:pPr>
                <a:r>
                  <a:rPr lang="en-AU"/>
                  <a:t>minutes</a:t>
                </a:r>
              </a:p>
              <a:p>
                <a:pPr>
                  <a:defRPr sz="800"/>
                </a:pPr>
                <a:r>
                  <a:rPr lang="en-AU"/>
                  <a:t>off supply</a:t>
                </a:r>
              </a:p>
              <a:p>
                <a:pPr>
                  <a:defRPr sz="800"/>
                </a:pPr>
                <a:r>
                  <a:rPr lang="en-AU"/>
                  <a:t>(SAIDI)</a:t>
                </a:r>
              </a:p>
            </c:rich>
          </c:tx>
          <c:layout/>
          <c:overlay val="0"/>
        </c:title>
        <c:numFmt formatCode="#,##0" sourceLinked="0"/>
        <c:majorTickMark val="out"/>
        <c:minorTickMark val="none"/>
        <c:tickLblPos val="nextTo"/>
        <c:txPr>
          <a:bodyPr/>
          <a:lstStyle/>
          <a:p>
            <a:pPr>
              <a:defRPr sz="800"/>
            </a:pPr>
            <a:endParaRPr lang="en-US"/>
          </a:p>
        </c:txPr>
        <c:crossAx val="281649536"/>
        <c:crosses val="autoZero"/>
        <c:crossBetween val="between"/>
      </c:valAx>
      <c:valAx>
        <c:axId val="281657728"/>
        <c:scaling>
          <c:orientation val="minMax"/>
        </c:scaling>
        <c:delete val="1"/>
        <c:axPos val="r"/>
        <c:numFmt formatCode="0.00" sourceLinked="1"/>
        <c:majorTickMark val="out"/>
        <c:minorTickMark val="none"/>
        <c:tickLblPos val="nextTo"/>
        <c:crossAx val="281659264"/>
        <c:crosses val="max"/>
        <c:crossBetween val="midCat"/>
      </c:valAx>
      <c:valAx>
        <c:axId val="281659264"/>
        <c:scaling>
          <c:orientation val="minMax"/>
        </c:scaling>
        <c:delete val="1"/>
        <c:axPos val="t"/>
        <c:majorTickMark val="out"/>
        <c:minorTickMark val="none"/>
        <c:tickLblPos val="nextTo"/>
        <c:crossAx val="281657728"/>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txPr>
        <a:bodyPr/>
        <a:lstStyle/>
        <a:p>
          <a:pPr>
            <a:defRPr sz="800"/>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(charting)'!$Z$37</c:f>
              <c:strCache>
                <c:ptCount val="1"/>
                <c:pt idx="0">
                  <c:v>Average SAIFI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9ECAE1"/>
              </a:solidFill>
              <a:ln>
                <a:solidFill>
                  <a:schemeClr val="tx1"/>
                </a:solidFill>
              </a:ln>
            </c:spPr>
          </c:dPt>
          <c:dPt>
            <c:idx val="1"/>
            <c:invertIfNegative val="0"/>
            <c:bubble3D val="0"/>
            <c:spPr>
              <a:solidFill>
                <a:srgbClr val="BD0026"/>
              </a:solidFill>
              <a:ln>
                <a:solidFill>
                  <a:schemeClr val="tx1"/>
                </a:solidFill>
              </a:ln>
            </c:spPr>
          </c:dPt>
          <c:dPt>
            <c:idx val="2"/>
            <c:invertIfNegative val="0"/>
            <c:bubble3D val="0"/>
            <c:spPr>
              <a:solidFill>
                <a:srgbClr val="FD8D3C"/>
              </a:solidFill>
              <a:ln>
                <a:solidFill>
                  <a:schemeClr val="tx1"/>
                </a:solidFill>
              </a:ln>
            </c:spPr>
          </c:dPt>
          <c:dPt>
            <c:idx val="3"/>
            <c:invertIfNegative val="0"/>
            <c:bubble3D val="0"/>
            <c:spPr>
              <a:solidFill>
                <a:srgbClr val="A1D99B"/>
              </a:solidFill>
              <a:ln>
                <a:solidFill>
                  <a:schemeClr val="tx1"/>
                </a:solidFill>
              </a:ln>
            </c:spPr>
          </c:dPt>
          <c:dPt>
            <c:idx val="4"/>
            <c:invertIfNegative val="0"/>
            <c:bubble3D val="0"/>
            <c:spPr>
              <a:solidFill>
                <a:sysClr val="windowText" lastClr="000000"/>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A1D99B"/>
              </a:solidFill>
              <a:ln>
                <a:solidFill>
                  <a:schemeClr val="tx1"/>
                </a:solidFill>
              </a:ln>
            </c:spPr>
          </c:dPt>
          <c:dPt>
            <c:idx val="9"/>
            <c:invertIfNegative val="0"/>
            <c:bubble3D val="0"/>
            <c:spPr>
              <a:solidFill>
                <a:srgbClr val="41AB5D"/>
              </a:solidFill>
              <a:ln>
                <a:solidFill>
                  <a:schemeClr val="tx1"/>
                </a:solidFill>
              </a:ln>
            </c:spPr>
          </c:dPt>
          <c:dPt>
            <c:idx val="10"/>
            <c:invertIfNegative val="0"/>
            <c:bubble3D val="0"/>
            <c:spPr>
              <a:solidFill>
                <a:srgbClr val="74C476"/>
              </a:solidFill>
              <a:ln>
                <a:solidFill>
                  <a:schemeClr val="tx1"/>
                </a:solidFill>
              </a:ln>
            </c:spPr>
          </c:dPt>
          <c:dPt>
            <c:idx val="11"/>
            <c:invertIfNegative val="0"/>
            <c:bubble3D val="0"/>
            <c:spPr>
              <a:solidFill>
                <a:srgbClr val="238B45"/>
              </a:solidFill>
              <a:ln>
                <a:solidFill>
                  <a:schemeClr val="tx1"/>
                </a:solidFill>
              </a:ln>
            </c:spPr>
          </c:dPt>
          <c:dPt>
            <c:idx val="12"/>
            <c:invertIfNegative val="0"/>
            <c:bubble3D val="0"/>
            <c:spPr>
              <a:solidFill>
                <a:srgbClr val="006D2C"/>
              </a:solidFill>
              <a:ln>
                <a:solidFill>
                  <a:schemeClr val="tx1"/>
                </a:solidFill>
              </a:ln>
            </c:spPr>
          </c:dPt>
          <c:cat>
            <c:strRef>
              <c:f>'Reliability (charting)'!$B$38:$B$42</c:f>
              <c:strCache>
                <c:ptCount val="5"/>
                <c:pt idx="0">
                  <c:v>Ausgrid</c:v>
                </c:pt>
                <c:pt idx="1">
                  <c:v>Energex</c:v>
                </c:pt>
                <c:pt idx="2">
                  <c:v>SA Power Networks</c:v>
                </c:pt>
                <c:pt idx="3">
                  <c:v>CitiPower</c:v>
                </c:pt>
                <c:pt idx="4">
                  <c:v>NEM</c:v>
                </c:pt>
              </c:strCache>
            </c:strRef>
          </c:cat>
          <c:val>
            <c:numRef>
              <c:f>'Reliability (charting)'!$Z$38:$Z$42</c:f>
              <c:numCache>
                <c:formatCode>#,##0.00</c:formatCode>
                <c:ptCount val="5"/>
                <c:pt idx="0">
                  <c:v>9.0672711666959227E-2</c:v>
                </c:pt>
                <c:pt idx="1">
                  <c:v>1.9758018437022042E-2</c:v>
                </c:pt>
                <c:pt idx="2">
                  <c:v>0.13333333333333333</c:v>
                </c:pt>
                <c:pt idx="3">
                  <c:v>0.11832438552080993</c:v>
                </c:pt>
                <c:pt idx="4">
                  <c:v>0.10644464733323296</c:v>
                </c:pt>
              </c:numCache>
            </c:numRef>
          </c:val>
        </c:ser>
        <c:dLbls>
          <c:showLegendKey val="0"/>
          <c:showVal val="0"/>
          <c:showCatName val="0"/>
          <c:showSerName val="0"/>
          <c:showPercent val="0"/>
          <c:showBubbleSize val="0"/>
        </c:dLbls>
        <c:gapWidth val="50"/>
        <c:axId val="281744128"/>
        <c:axId val="281746048"/>
      </c:barChart>
      <c:scatterChart>
        <c:scatterStyle val="lineMarker"/>
        <c:varyColors val="0"/>
        <c:ser>
          <c:idx val="1"/>
          <c:order val="1"/>
          <c:tx>
            <c:strRef>
              <c:f>'Reliability (charting)'!$AA$37</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(charting)'!$B$38:$B$42</c:f>
              <c:strCache>
                <c:ptCount val="5"/>
                <c:pt idx="0">
                  <c:v>Ausgrid</c:v>
                </c:pt>
                <c:pt idx="1">
                  <c:v>Energex</c:v>
                </c:pt>
                <c:pt idx="2">
                  <c:v>SA Power Networks</c:v>
                </c:pt>
                <c:pt idx="3">
                  <c:v>CitiPower</c:v>
                </c:pt>
                <c:pt idx="4">
                  <c:v>NEM</c:v>
                </c:pt>
              </c:strCache>
            </c:strRef>
          </c:xVal>
          <c:yVal>
            <c:numRef>
              <c:f>'Reliability (charting)'!$AA$38:$AA$42</c:f>
              <c:numCache>
                <c:formatCode>0.00</c:formatCode>
                <c:ptCount val="5"/>
                <c:pt idx="1">
                  <c:v>3.2000000000000001E-2</c:v>
                </c:pt>
                <c:pt idx="2">
                  <c:v>0.26300000000000001</c:v>
                </c:pt>
                <c:pt idx="3">
                  <c:v>0.18600000000000003</c:v>
                </c:pt>
              </c:numCache>
            </c:numRef>
          </c:yVal>
          <c:smooth val="0"/>
        </c:ser>
        <c:dLbls>
          <c:showLegendKey val="0"/>
          <c:showVal val="0"/>
          <c:showCatName val="0"/>
          <c:showSerName val="0"/>
          <c:showPercent val="0"/>
          <c:showBubbleSize val="0"/>
        </c:dLbls>
        <c:axId val="281753856"/>
        <c:axId val="281752320"/>
      </c:scatterChart>
      <c:catAx>
        <c:axId val="281744128"/>
        <c:scaling>
          <c:orientation val="minMax"/>
        </c:scaling>
        <c:delete val="0"/>
        <c:axPos val="b"/>
        <c:majorTickMark val="out"/>
        <c:minorTickMark val="none"/>
        <c:tickLblPos val="nextTo"/>
        <c:txPr>
          <a:bodyPr/>
          <a:lstStyle/>
          <a:p>
            <a:pPr>
              <a:defRPr sz="1000"/>
            </a:pPr>
            <a:endParaRPr lang="en-US"/>
          </a:p>
        </c:txPr>
        <c:crossAx val="281746048"/>
        <c:crosses val="autoZero"/>
        <c:auto val="1"/>
        <c:lblAlgn val="ctr"/>
        <c:lblOffset val="100"/>
        <c:noMultiLvlLbl val="0"/>
      </c:catAx>
      <c:valAx>
        <c:axId val="281746048"/>
        <c:scaling>
          <c:orientation val="minMax"/>
          <c:min val="0"/>
        </c:scaling>
        <c:delete val="0"/>
        <c:axPos val="l"/>
        <c:title>
          <c:tx>
            <c:rich>
              <a:bodyPr rot="0" vert="horz"/>
              <a:lstStyle/>
              <a:p>
                <a:pPr>
                  <a:defRPr sz="800"/>
                </a:pPr>
                <a:r>
                  <a:rPr lang="en-AU"/>
                  <a:t>Unplanned</a:t>
                </a:r>
              </a:p>
              <a:p>
                <a:pPr>
                  <a:defRPr sz="800"/>
                </a:pPr>
                <a:r>
                  <a:rPr lang="en-AU"/>
                  <a:t>interruptions</a:t>
                </a:r>
              </a:p>
              <a:p>
                <a:pPr>
                  <a:defRPr sz="800"/>
                </a:pPr>
                <a:r>
                  <a:rPr lang="en-AU"/>
                  <a:t>to supply</a:t>
                </a:r>
              </a:p>
              <a:p>
                <a:pPr>
                  <a:defRPr sz="800"/>
                </a:pPr>
                <a:r>
                  <a:rPr lang="en-AU"/>
                  <a:t>(SAIFI)</a:t>
                </a:r>
              </a:p>
            </c:rich>
          </c:tx>
          <c:layout/>
          <c:overlay val="0"/>
        </c:title>
        <c:numFmt formatCode="#,##0.00" sourceLinked="0"/>
        <c:majorTickMark val="out"/>
        <c:minorTickMark val="none"/>
        <c:tickLblPos val="nextTo"/>
        <c:txPr>
          <a:bodyPr/>
          <a:lstStyle/>
          <a:p>
            <a:pPr>
              <a:defRPr sz="800"/>
            </a:pPr>
            <a:endParaRPr lang="en-US"/>
          </a:p>
        </c:txPr>
        <c:crossAx val="281744128"/>
        <c:crosses val="autoZero"/>
        <c:crossBetween val="between"/>
      </c:valAx>
      <c:valAx>
        <c:axId val="281752320"/>
        <c:scaling>
          <c:orientation val="minMax"/>
        </c:scaling>
        <c:delete val="1"/>
        <c:axPos val="r"/>
        <c:numFmt formatCode="0.00" sourceLinked="1"/>
        <c:majorTickMark val="out"/>
        <c:minorTickMark val="none"/>
        <c:tickLblPos val="nextTo"/>
        <c:crossAx val="281753856"/>
        <c:crosses val="max"/>
        <c:crossBetween val="midCat"/>
      </c:valAx>
      <c:valAx>
        <c:axId val="281753856"/>
        <c:scaling>
          <c:orientation val="minMax"/>
        </c:scaling>
        <c:delete val="1"/>
        <c:axPos val="t"/>
        <c:majorTickMark val="out"/>
        <c:minorTickMark val="none"/>
        <c:tickLblPos val="nextTo"/>
        <c:crossAx val="281752320"/>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txPr>
        <a:bodyPr/>
        <a:lstStyle/>
        <a:p>
          <a:pPr>
            <a:defRPr sz="800"/>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(charting)'!$X$53</c:f>
              <c:strCache>
                <c:ptCount val="1"/>
                <c:pt idx="0">
                  <c:v>Average SAIDI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dPt>
            <c:idx val="13"/>
            <c:invertIfNegative val="0"/>
            <c:bubble3D val="0"/>
            <c:spPr>
              <a:solidFill>
                <a:sysClr val="windowText" lastClr="000000"/>
              </a:solidFill>
              <a:ln>
                <a:solidFill>
                  <a:schemeClr val="tx1"/>
                </a:solidFill>
              </a:ln>
            </c:spPr>
          </c:dPt>
          <c:cat>
            <c:strRef>
              <c:f>'Reliability (charting)'!$B$54:$B$67</c:f>
              <c:strCache>
                <c:ptCount val="14"/>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pt idx="13">
                  <c:v>NEM</c:v>
                </c:pt>
              </c:strCache>
            </c:strRef>
          </c:cat>
          <c:val>
            <c:numRef>
              <c:f>'Reliability (charting)'!$X$54:$X$67</c:f>
              <c:numCache>
                <c:formatCode>0.00</c:formatCode>
                <c:ptCount val="14"/>
                <c:pt idx="0">
                  <c:v>35.271191257993749</c:v>
                </c:pt>
                <c:pt idx="1">
                  <c:v>70.64257354134044</c:v>
                </c:pt>
                <c:pt idx="2">
                  <c:v>64.38650522721197</c:v>
                </c:pt>
                <c:pt idx="3">
                  <c:v>73.680424633429382</c:v>
                </c:pt>
                <c:pt idx="4">
                  <c:v>51.644183824595245</c:v>
                </c:pt>
                <c:pt idx="5">
                  <c:v>122.40810353965183</c:v>
                </c:pt>
                <c:pt idx="6">
                  <c:v>105.7</c:v>
                </c:pt>
                <c:pt idx="7">
                  <c:v>64.113965499458871</c:v>
                </c:pt>
                <c:pt idx="8">
                  <c:v>75.494579540759602</c:v>
                </c:pt>
                <c:pt idx="9">
                  <c:v>30.178275068602314</c:v>
                </c:pt>
                <c:pt idx="10">
                  <c:v>53.362245434461492</c:v>
                </c:pt>
                <c:pt idx="11">
                  <c:v>80.481939973620285</c:v>
                </c:pt>
                <c:pt idx="12">
                  <c:v>61.272217523200197</c:v>
                </c:pt>
                <c:pt idx="13">
                  <c:v>68.408893069421381</c:v>
                </c:pt>
              </c:numCache>
            </c:numRef>
          </c:val>
        </c:ser>
        <c:dLbls>
          <c:showLegendKey val="0"/>
          <c:showVal val="0"/>
          <c:showCatName val="0"/>
          <c:showSerName val="0"/>
          <c:showPercent val="0"/>
          <c:showBubbleSize val="0"/>
        </c:dLbls>
        <c:gapWidth val="50"/>
        <c:axId val="281777664"/>
        <c:axId val="281779584"/>
      </c:barChart>
      <c:scatterChart>
        <c:scatterStyle val="lineMarker"/>
        <c:varyColors val="0"/>
        <c:ser>
          <c:idx val="1"/>
          <c:order val="1"/>
          <c:tx>
            <c:strRef>
              <c:f>'Reliability (charting)'!$Y$53</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(charting)'!$B$54:$B$67</c:f>
              <c:strCache>
                <c:ptCount val="14"/>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pt idx="13">
                  <c:v>NEM</c:v>
                </c:pt>
              </c:strCache>
            </c:strRef>
          </c:xVal>
          <c:yVal>
            <c:numRef>
              <c:f>'Reliability (charting)'!$Y$54:$Y$67</c:f>
              <c:numCache>
                <c:formatCode>General</c:formatCode>
                <c:ptCount val="14"/>
                <c:pt idx="4" formatCode="0.00">
                  <c:v>67.7</c:v>
                </c:pt>
                <c:pt idx="5" formatCode="0.00">
                  <c:v>128</c:v>
                </c:pt>
                <c:pt idx="6" formatCode="0.00">
                  <c:v>104.40000000000002</c:v>
                </c:pt>
                <c:pt idx="7" formatCode="0.00">
                  <c:v>82.75</c:v>
                </c:pt>
                <c:pt idx="8" formatCode="0.00">
                  <c:v>101.803</c:v>
                </c:pt>
                <c:pt idx="9" formatCode="0.00">
                  <c:v>22.36</c:v>
                </c:pt>
                <c:pt idx="10" formatCode="0.00">
                  <c:v>68.498000000000005</c:v>
                </c:pt>
                <c:pt idx="11" formatCode="0.00">
                  <c:v>82.466999999999999</c:v>
                </c:pt>
                <c:pt idx="12" formatCode="0.00">
                  <c:v>55.085000000000001</c:v>
                </c:pt>
              </c:numCache>
            </c:numRef>
          </c:yVal>
          <c:smooth val="0"/>
        </c:ser>
        <c:dLbls>
          <c:showLegendKey val="0"/>
          <c:showVal val="0"/>
          <c:showCatName val="0"/>
          <c:showSerName val="0"/>
          <c:showPercent val="0"/>
          <c:showBubbleSize val="0"/>
        </c:dLbls>
        <c:axId val="281783296"/>
        <c:axId val="281781760"/>
      </c:scatterChart>
      <c:catAx>
        <c:axId val="281777664"/>
        <c:scaling>
          <c:orientation val="minMax"/>
        </c:scaling>
        <c:delete val="0"/>
        <c:axPos val="b"/>
        <c:majorTickMark val="out"/>
        <c:minorTickMark val="none"/>
        <c:tickLblPos val="nextTo"/>
        <c:txPr>
          <a:bodyPr/>
          <a:lstStyle/>
          <a:p>
            <a:pPr>
              <a:defRPr sz="800"/>
            </a:pPr>
            <a:endParaRPr lang="en-US"/>
          </a:p>
        </c:txPr>
        <c:crossAx val="281779584"/>
        <c:crosses val="autoZero"/>
        <c:auto val="1"/>
        <c:lblAlgn val="ctr"/>
        <c:lblOffset val="100"/>
        <c:noMultiLvlLbl val="0"/>
      </c:catAx>
      <c:valAx>
        <c:axId val="281779584"/>
        <c:scaling>
          <c:orientation val="minMax"/>
          <c:min val="0"/>
        </c:scaling>
        <c:delete val="0"/>
        <c:axPos val="l"/>
        <c:title>
          <c:tx>
            <c:rich>
              <a:bodyPr rot="0" vert="horz"/>
              <a:lstStyle/>
              <a:p>
                <a:pPr>
                  <a:defRPr sz="800"/>
                </a:pPr>
                <a:r>
                  <a:rPr lang="en-AU"/>
                  <a:t>Unplanned</a:t>
                </a:r>
              </a:p>
              <a:p>
                <a:pPr>
                  <a:defRPr sz="800"/>
                </a:pPr>
                <a:r>
                  <a:rPr lang="en-AU"/>
                  <a:t>sustained</a:t>
                </a:r>
              </a:p>
              <a:p>
                <a:pPr>
                  <a:defRPr sz="800"/>
                </a:pPr>
                <a:r>
                  <a:rPr lang="en-AU"/>
                  <a:t>minutes</a:t>
                </a:r>
              </a:p>
              <a:p>
                <a:pPr>
                  <a:defRPr sz="800"/>
                </a:pPr>
                <a:r>
                  <a:rPr lang="en-AU"/>
                  <a:t>off supply</a:t>
                </a:r>
              </a:p>
              <a:p>
                <a:pPr>
                  <a:defRPr sz="800"/>
                </a:pPr>
                <a:r>
                  <a:rPr lang="en-AU"/>
                  <a:t>(SAIDI)</a:t>
                </a:r>
              </a:p>
            </c:rich>
          </c:tx>
          <c:layout/>
          <c:overlay val="0"/>
        </c:title>
        <c:numFmt formatCode="#,##0" sourceLinked="0"/>
        <c:majorTickMark val="out"/>
        <c:minorTickMark val="none"/>
        <c:tickLblPos val="nextTo"/>
        <c:txPr>
          <a:bodyPr/>
          <a:lstStyle/>
          <a:p>
            <a:pPr>
              <a:defRPr sz="800"/>
            </a:pPr>
            <a:endParaRPr lang="en-US"/>
          </a:p>
        </c:txPr>
        <c:crossAx val="281777664"/>
        <c:crosses val="autoZero"/>
        <c:crossBetween val="between"/>
      </c:valAx>
      <c:valAx>
        <c:axId val="281781760"/>
        <c:scaling>
          <c:orientation val="minMax"/>
        </c:scaling>
        <c:delete val="1"/>
        <c:axPos val="r"/>
        <c:numFmt formatCode="General" sourceLinked="1"/>
        <c:majorTickMark val="out"/>
        <c:minorTickMark val="none"/>
        <c:tickLblPos val="nextTo"/>
        <c:crossAx val="281783296"/>
        <c:crosses val="max"/>
        <c:crossBetween val="midCat"/>
      </c:valAx>
      <c:valAx>
        <c:axId val="281783296"/>
        <c:scaling>
          <c:orientation val="minMax"/>
        </c:scaling>
        <c:delete val="1"/>
        <c:axPos val="t"/>
        <c:majorTickMark val="out"/>
        <c:minorTickMark val="none"/>
        <c:tickLblPos val="nextTo"/>
        <c:crossAx val="281781760"/>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(charting)'!$Z$53</c:f>
              <c:strCache>
                <c:ptCount val="1"/>
                <c:pt idx="0">
                  <c:v>Average SAIFI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E7E1EF"/>
              </a:solidFill>
              <a:ln>
                <a:solidFill>
                  <a:schemeClr val="tx1"/>
                </a:solidFill>
              </a:ln>
            </c:spPr>
          </c:dPt>
          <c:dPt>
            <c:idx val="8"/>
            <c:invertIfNegative val="0"/>
            <c:bubble3D val="0"/>
            <c:spPr>
              <a:solidFill>
                <a:srgbClr val="238B45"/>
              </a:solidFill>
              <a:ln>
                <a:solidFill>
                  <a:schemeClr val="tx1"/>
                </a:solidFill>
              </a:ln>
            </c:spPr>
          </c:dPt>
          <c:dPt>
            <c:idx val="9"/>
            <c:invertIfNegative val="0"/>
            <c:bubble3D val="0"/>
            <c:spPr>
              <a:solidFill>
                <a:srgbClr val="A1D99B"/>
              </a:solidFill>
              <a:ln>
                <a:solidFill>
                  <a:schemeClr val="tx1"/>
                </a:solidFill>
              </a:ln>
            </c:spPr>
          </c:dPt>
          <c:dPt>
            <c:idx val="10"/>
            <c:invertIfNegative val="0"/>
            <c:bubble3D val="0"/>
            <c:spPr>
              <a:solidFill>
                <a:srgbClr val="41AB5D"/>
              </a:solidFill>
              <a:ln>
                <a:solidFill>
                  <a:schemeClr val="tx1"/>
                </a:solidFill>
              </a:ln>
            </c:spPr>
          </c:dPt>
          <c:dPt>
            <c:idx val="11"/>
            <c:invertIfNegative val="0"/>
            <c:bubble3D val="0"/>
            <c:spPr>
              <a:solidFill>
                <a:srgbClr val="74C476"/>
              </a:solidFill>
              <a:ln>
                <a:solidFill>
                  <a:schemeClr val="tx1"/>
                </a:solidFill>
              </a:ln>
            </c:spPr>
          </c:dPt>
          <c:dPt>
            <c:idx val="12"/>
            <c:invertIfNegative val="0"/>
            <c:bubble3D val="0"/>
            <c:spPr>
              <a:solidFill>
                <a:srgbClr val="006D2C"/>
              </a:solidFill>
              <a:ln>
                <a:solidFill>
                  <a:schemeClr val="tx1"/>
                </a:solidFill>
              </a:ln>
            </c:spPr>
          </c:dPt>
          <c:dPt>
            <c:idx val="13"/>
            <c:invertIfNegative val="0"/>
            <c:bubble3D val="0"/>
            <c:spPr>
              <a:solidFill>
                <a:sysClr val="windowText" lastClr="000000"/>
              </a:solidFill>
              <a:ln>
                <a:solidFill>
                  <a:schemeClr val="tx1"/>
                </a:solidFill>
              </a:ln>
            </c:spPr>
          </c:dPt>
          <c:cat>
            <c:strRef>
              <c:f>'Reliability (charting)'!$B$54:$B$67</c:f>
              <c:strCache>
                <c:ptCount val="14"/>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pt idx="13">
                  <c:v>NEM</c:v>
                </c:pt>
              </c:strCache>
            </c:strRef>
          </c:cat>
          <c:val>
            <c:numRef>
              <c:f>'Reliability (charting)'!$Z$54:$Z$67</c:f>
              <c:numCache>
                <c:formatCode>#,##0.00</c:formatCode>
                <c:ptCount val="14"/>
                <c:pt idx="0">
                  <c:v>0.67048469997811377</c:v>
                </c:pt>
                <c:pt idx="1">
                  <c:v>0.81694587028904742</c:v>
                </c:pt>
                <c:pt idx="2">
                  <c:v>0.83248882446093697</c:v>
                </c:pt>
                <c:pt idx="3">
                  <c:v>0.92778087120202857</c:v>
                </c:pt>
                <c:pt idx="4">
                  <c:v>0.73699953442298194</c:v>
                </c:pt>
                <c:pt idx="5">
                  <c:v>1.4089549041514173</c:v>
                </c:pt>
                <c:pt idx="6">
                  <c:v>1.224</c:v>
                </c:pt>
                <c:pt idx="7">
                  <c:v>0.88021096759275474</c:v>
                </c:pt>
                <c:pt idx="8">
                  <c:v>1.1082636283740286</c:v>
                </c:pt>
                <c:pt idx="9">
                  <c:v>0.88735616973623299</c:v>
                </c:pt>
                <c:pt idx="10">
                  <c:v>0.95958020551401602</c:v>
                </c:pt>
                <c:pt idx="11">
                  <c:v>0.96823632009757665</c:v>
                </c:pt>
                <c:pt idx="12">
                  <c:v>0.88735616973623299</c:v>
                </c:pt>
                <c:pt idx="13">
                  <c:v>0</c:v>
                </c:pt>
              </c:numCache>
            </c:numRef>
          </c:val>
        </c:ser>
        <c:dLbls>
          <c:showLegendKey val="0"/>
          <c:showVal val="0"/>
          <c:showCatName val="0"/>
          <c:showSerName val="0"/>
          <c:showPercent val="0"/>
          <c:showBubbleSize val="0"/>
        </c:dLbls>
        <c:gapWidth val="50"/>
        <c:axId val="281798912"/>
        <c:axId val="281801088"/>
      </c:barChart>
      <c:scatterChart>
        <c:scatterStyle val="lineMarker"/>
        <c:varyColors val="0"/>
        <c:ser>
          <c:idx val="1"/>
          <c:order val="1"/>
          <c:tx>
            <c:strRef>
              <c:f>'Reliability (charting)'!$AA$53</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(charting)'!$B$54:$B$67</c:f>
              <c:strCache>
                <c:ptCount val="14"/>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pt idx="13">
                  <c:v>NEM</c:v>
                </c:pt>
              </c:strCache>
            </c:strRef>
          </c:xVal>
          <c:yVal>
            <c:numRef>
              <c:f>'Reliability (charting)'!$AA$54:$AA$67</c:f>
              <c:numCache>
                <c:formatCode>General</c:formatCode>
                <c:ptCount val="14"/>
                <c:pt idx="4" formatCode="0.00">
                  <c:v>1.032</c:v>
                </c:pt>
                <c:pt idx="5" formatCode="0.00">
                  <c:v>1.6766666666666667</c:v>
                </c:pt>
                <c:pt idx="6" formatCode="0.00">
                  <c:v>1.292</c:v>
                </c:pt>
                <c:pt idx="7" formatCode="0.00">
                  <c:v>1.04</c:v>
                </c:pt>
                <c:pt idx="8" formatCode="0.00">
                  <c:v>1.4479999999999997</c:v>
                </c:pt>
                <c:pt idx="9" formatCode="0.00">
                  <c:v>0.45</c:v>
                </c:pt>
                <c:pt idx="10" formatCode="0.00">
                  <c:v>1.127</c:v>
                </c:pt>
                <c:pt idx="11" formatCode="0.00">
                  <c:v>1.2629999999999999</c:v>
                </c:pt>
                <c:pt idx="12" formatCode="0.00">
                  <c:v>0.89900000000000002</c:v>
                </c:pt>
              </c:numCache>
            </c:numRef>
          </c:yVal>
          <c:smooth val="0"/>
        </c:ser>
        <c:dLbls>
          <c:showLegendKey val="0"/>
          <c:showVal val="0"/>
          <c:showCatName val="0"/>
          <c:showSerName val="0"/>
          <c:showPercent val="0"/>
          <c:showBubbleSize val="0"/>
        </c:dLbls>
        <c:axId val="282071040"/>
        <c:axId val="281803008"/>
      </c:scatterChart>
      <c:catAx>
        <c:axId val="281798912"/>
        <c:scaling>
          <c:orientation val="minMax"/>
        </c:scaling>
        <c:delete val="0"/>
        <c:axPos val="b"/>
        <c:majorTickMark val="out"/>
        <c:minorTickMark val="none"/>
        <c:tickLblPos val="nextTo"/>
        <c:txPr>
          <a:bodyPr/>
          <a:lstStyle/>
          <a:p>
            <a:pPr>
              <a:defRPr sz="800"/>
            </a:pPr>
            <a:endParaRPr lang="en-US"/>
          </a:p>
        </c:txPr>
        <c:crossAx val="281801088"/>
        <c:crosses val="autoZero"/>
        <c:auto val="1"/>
        <c:lblAlgn val="ctr"/>
        <c:lblOffset val="100"/>
        <c:noMultiLvlLbl val="0"/>
      </c:catAx>
      <c:valAx>
        <c:axId val="281801088"/>
        <c:scaling>
          <c:orientation val="minMax"/>
          <c:min val="0"/>
        </c:scaling>
        <c:delete val="0"/>
        <c:axPos val="l"/>
        <c:title>
          <c:tx>
            <c:rich>
              <a:bodyPr rot="0" vert="horz"/>
              <a:lstStyle/>
              <a:p>
                <a:pPr>
                  <a:defRPr sz="800"/>
                </a:pPr>
                <a:r>
                  <a:rPr lang="en-AU"/>
                  <a:t>Unplanned</a:t>
                </a:r>
              </a:p>
              <a:p>
                <a:pPr>
                  <a:defRPr sz="800"/>
                </a:pPr>
                <a:r>
                  <a:rPr lang="en-AU"/>
                  <a:t>interruptions</a:t>
                </a:r>
              </a:p>
              <a:p>
                <a:pPr>
                  <a:defRPr sz="800"/>
                </a:pPr>
                <a:r>
                  <a:rPr lang="en-AU"/>
                  <a:t>to supply</a:t>
                </a:r>
              </a:p>
              <a:p>
                <a:pPr>
                  <a:defRPr sz="800"/>
                </a:pPr>
                <a:r>
                  <a:rPr lang="en-AU"/>
                  <a:t>(SAIFI)</a:t>
                </a:r>
              </a:p>
            </c:rich>
          </c:tx>
          <c:layout/>
          <c:overlay val="0"/>
        </c:title>
        <c:numFmt formatCode="#,##0.0" sourceLinked="0"/>
        <c:majorTickMark val="out"/>
        <c:minorTickMark val="none"/>
        <c:tickLblPos val="nextTo"/>
        <c:txPr>
          <a:bodyPr/>
          <a:lstStyle/>
          <a:p>
            <a:pPr>
              <a:defRPr sz="800"/>
            </a:pPr>
            <a:endParaRPr lang="en-US"/>
          </a:p>
        </c:txPr>
        <c:crossAx val="281798912"/>
        <c:crosses val="autoZero"/>
        <c:crossBetween val="between"/>
        <c:majorUnit val="0.30000000000000004"/>
      </c:valAx>
      <c:valAx>
        <c:axId val="281803008"/>
        <c:scaling>
          <c:orientation val="minMax"/>
        </c:scaling>
        <c:delete val="1"/>
        <c:axPos val="r"/>
        <c:numFmt formatCode="General" sourceLinked="1"/>
        <c:majorTickMark val="out"/>
        <c:minorTickMark val="none"/>
        <c:tickLblPos val="nextTo"/>
        <c:crossAx val="282071040"/>
        <c:crosses val="max"/>
        <c:crossBetween val="midCat"/>
      </c:valAx>
      <c:valAx>
        <c:axId val="282071040"/>
        <c:scaling>
          <c:orientation val="minMax"/>
        </c:scaling>
        <c:delete val="1"/>
        <c:axPos val="t"/>
        <c:majorTickMark val="out"/>
        <c:minorTickMark val="none"/>
        <c:tickLblPos val="nextTo"/>
        <c:crossAx val="281803008"/>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(charting)'!$X$87</c:f>
              <c:strCache>
                <c:ptCount val="1"/>
                <c:pt idx="0">
                  <c:v>Average SAIDI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238B45"/>
              </a:solidFill>
              <a:ln>
                <a:solidFill>
                  <a:schemeClr val="tx1"/>
                </a:solidFill>
              </a:ln>
            </c:spPr>
          </c:dPt>
          <c:dPt>
            <c:idx val="8"/>
            <c:invertIfNegative val="0"/>
            <c:bubble3D val="0"/>
            <c:spPr>
              <a:solidFill>
                <a:srgbClr val="41AB5D"/>
              </a:solidFill>
              <a:ln>
                <a:solidFill>
                  <a:schemeClr val="tx1"/>
                </a:solidFill>
              </a:ln>
            </c:spPr>
          </c:dPt>
          <c:dPt>
            <c:idx val="9"/>
            <c:invertIfNegative val="0"/>
            <c:bubble3D val="0"/>
            <c:spPr>
              <a:solidFill>
                <a:srgbClr val="74C476"/>
              </a:solidFill>
              <a:ln>
                <a:solidFill>
                  <a:schemeClr val="tx1"/>
                </a:solidFill>
              </a:ln>
            </c:spPr>
          </c:dPt>
          <c:dPt>
            <c:idx val="10"/>
            <c:invertIfNegative val="0"/>
            <c:bubble3D val="0"/>
            <c:spPr>
              <a:solidFill>
                <a:srgbClr val="006D2C"/>
              </a:solidFill>
              <a:ln>
                <a:solidFill>
                  <a:schemeClr val="tx1"/>
                </a:solidFill>
              </a:ln>
            </c:spPr>
          </c:dPt>
          <c:dPt>
            <c:idx val="11"/>
            <c:invertIfNegative val="0"/>
            <c:bubble3D val="0"/>
            <c:spPr>
              <a:solidFill>
                <a:sysClr val="windowText" lastClr="000000"/>
              </a:solidFill>
              <a:ln>
                <a:solidFill>
                  <a:schemeClr val="tx1"/>
                </a:solidFill>
              </a:ln>
            </c:spPr>
          </c:dPt>
          <c:dPt>
            <c:idx val="12"/>
            <c:invertIfNegative val="0"/>
            <c:bubble3D val="0"/>
            <c:spPr>
              <a:solidFill>
                <a:srgbClr val="006D2C"/>
              </a:solidFill>
              <a:ln>
                <a:solidFill>
                  <a:schemeClr val="tx1"/>
                </a:solidFill>
              </a:ln>
            </c:spPr>
          </c:dPt>
          <c:cat>
            <c:strRef>
              <c:f>'Reliability (charting)'!$B$88:$B$99</c:f>
              <c:strCache>
                <c:ptCount val="12"/>
                <c:pt idx="0">
                  <c:v>ActewAGL</c:v>
                </c:pt>
                <c:pt idx="1">
                  <c:v>Ausgrid</c:v>
                </c:pt>
                <c:pt idx="2">
                  <c:v>Endeavour Energy</c:v>
                </c:pt>
                <c:pt idx="3">
                  <c:v>Essential Energy</c:v>
                </c:pt>
                <c:pt idx="4">
                  <c:v>Energex</c:v>
                </c:pt>
                <c:pt idx="5">
                  <c:v>Ergon Energy</c:v>
                </c:pt>
                <c:pt idx="6">
                  <c:v>SA Power Networks</c:v>
                </c:pt>
                <c:pt idx="7">
                  <c:v>AusNet Services</c:v>
                </c:pt>
                <c:pt idx="8">
                  <c:v>JEN</c:v>
                </c:pt>
                <c:pt idx="9">
                  <c:v>Powercor</c:v>
                </c:pt>
                <c:pt idx="10">
                  <c:v>United Energy</c:v>
                </c:pt>
                <c:pt idx="11">
                  <c:v>NEM</c:v>
                </c:pt>
              </c:strCache>
            </c:strRef>
          </c:cat>
          <c:val>
            <c:numRef>
              <c:f>'Reliability (charting)'!$X$88:$X$99</c:f>
              <c:numCache>
                <c:formatCode>0.00</c:formatCode>
                <c:ptCount val="12"/>
                <c:pt idx="0">
                  <c:v>40.213275065477767</c:v>
                </c:pt>
                <c:pt idx="1">
                  <c:v>176.39726764460502</c:v>
                </c:pt>
                <c:pt idx="2">
                  <c:v>218.21446421818655</c:v>
                </c:pt>
                <c:pt idx="3">
                  <c:v>238.17516485994668</c:v>
                </c:pt>
                <c:pt idx="4">
                  <c:v>129.85914794632248</c:v>
                </c:pt>
                <c:pt idx="5">
                  <c:v>307.68536450805226</c:v>
                </c:pt>
                <c:pt idx="6">
                  <c:v>197.5</c:v>
                </c:pt>
                <c:pt idx="7">
                  <c:v>174.69312949625768</c:v>
                </c:pt>
                <c:pt idx="8">
                  <c:v>88.221240116977398</c:v>
                </c:pt>
                <c:pt idx="9">
                  <c:v>174.47219628298248</c:v>
                </c:pt>
                <c:pt idx="10">
                  <c:v>157.54004976684527</c:v>
                </c:pt>
                <c:pt idx="11">
                  <c:v>206.17970703814777</c:v>
                </c:pt>
              </c:numCache>
            </c:numRef>
          </c:val>
        </c:ser>
        <c:dLbls>
          <c:showLegendKey val="0"/>
          <c:showVal val="0"/>
          <c:showCatName val="0"/>
          <c:showSerName val="0"/>
          <c:showPercent val="0"/>
          <c:showBubbleSize val="0"/>
        </c:dLbls>
        <c:gapWidth val="50"/>
        <c:axId val="282090496"/>
        <c:axId val="282092672"/>
      </c:barChart>
      <c:scatterChart>
        <c:scatterStyle val="lineMarker"/>
        <c:varyColors val="0"/>
        <c:ser>
          <c:idx val="1"/>
          <c:order val="1"/>
          <c:tx>
            <c:strRef>
              <c:f>'Reliability (charting)'!$Y$87</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(charting)'!$B$88:$B$99</c:f>
              <c:strCache>
                <c:ptCount val="12"/>
                <c:pt idx="0">
                  <c:v>ActewAGL</c:v>
                </c:pt>
                <c:pt idx="1">
                  <c:v>Ausgrid</c:v>
                </c:pt>
                <c:pt idx="2">
                  <c:v>Endeavour Energy</c:v>
                </c:pt>
                <c:pt idx="3">
                  <c:v>Essential Energy</c:v>
                </c:pt>
                <c:pt idx="4">
                  <c:v>Energex</c:v>
                </c:pt>
                <c:pt idx="5">
                  <c:v>Ergon Energy</c:v>
                </c:pt>
                <c:pt idx="6">
                  <c:v>SA Power Networks</c:v>
                </c:pt>
                <c:pt idx="7">
                  <c:v>AusNet Services</c:v>
                </c:pt>
                <c:pt idx="8">
                  <c:v>JEN</c:v>
                </c:pt>
                <c:pt idx="9">
                  <c:v>Powercor</c:v>
                </c:pt>
                <c:pt idx="10">
                  <c:v>United Energy</c:v>
                </c:pt>
                <c:pt idx="11">
                  <c:v>NEM</c:v>
                </c:pt>
              </c:strCache>
            </c:strRef>
          </c:xVal>
          <c:yVal>
            <c:numRef>
              <c:f>'Reliability (charting)'!$Y$88:$Y$99</c:f>
              <c:numCache>
                <c:formatCode>General</c:formatCode>
                <c:ptCount val="12"/>
                <c:pt idx="4" formatCode="0.00">
                  <c:v>165.20000000000002</c:v>
                </c:pt>
                <c:pt idx="5" formatCode="0.00">
                  <c:v>291.33333333333331</c:v>
                </c:pt>
                <c:pt idx="6" formatCode="0.00">
                  <c:v>184</c:v>
                </c:pt>
                <c:pt idx="7" formatCode="0.00">
                  <c:v>208.542</c:v>
                </c:pt>
                <c:pt idx="8" formatCode="0.00">
                  <c:v>153.15</c:v>
                </c:pt>
                <c:pt idx="9" formatCode="0.00">
                  <c:v>114.807</c:v>
                </c:pt>
                <c:pt idx="10" formatCode="0.00">
                  <c:v>99.150999999999996</c:v>
                </c:pt>
              </c:numCache>
            </c:numRef>
          </c:yVal>
          <c:smooth val="0"/>
        </c:ser>
        <c:dLbls>
          <c:showLegendKey val="0"/>
          <c:showVal val="0"/>
          <c:showCatName val="0"/>
          <c:showSerName val="0"/>
          <c:showPercent val="0"/>
          <c:showBubbleSize val="0"/>
        </c:dLbls>
        <c:axId val="282096384"/>
        <c:axId val="282094592"/>
      </c:scatterChart>
      <c:catAx>
        <c:axId val="282090496"/>
        <c:scaling>
          <c:orientation val="minMax"/>
        </c:scaling>
        <c:delete val="0"/>
        <c:axPos val="b"/>
        <c:majorTickMark val="out"/>
        <c:minorTickMark val="none"/>
        <c:tickLblPos val="nextTo"/>
        <c:txPr>
          <a:bodyPr/>
          <a:lstStyle/>
          <a:p>
            <a:pPr>
              <a:defRPr sz="800"/>
            </a:pPr>
            <a:endParaRPr lang="en-US"/>
          </a:p>
        </c:txPr>
        <c:crossAx val="282092672"/>
        <c:crosses val="autoZero"/>
        <c:auto val="1"/>
        <c:lblAlgn val="ctr"/>
        <c:lblOffset val="100"/>
        <c:noMultiLvlLbl val="0"/>
      </c:catAx>
      <c:valAx>
        <c:axId val="282092672"/>
        <c:scaling>
          <c:orientation val="minMax"/>
          <c:min val="0"/>
        </c:scaling>
        <c:delete val="0"/>
        <c:axPos val="l"/>
        <c:title>
          <c:tx>
            <c:rich>
              <a:bodyPr rot="0" vert="horz"/>
              <a:lstStyle/>
              <a:p>
                <a:pPr>
                  <a:defRPr sz="800"/>
                </a:pPr>
                <a:r>
                  <a:rPr lang="en-AU"/>
                  <a:t>Unplanned</a:t>
                </a:r>
              </a:p>
              <a:p>
                <a:pPr>
                  <a:defRPr sz="800"/>
                </a:pPr>
                <a:r>
                  <a:rPr lang="en-AU"/>
                  <a:t>sustained</a:t>
                </a:r>
              </a:p>
              <a:p>
                <a:pPr>
                  <a:defRPr sz="800"/>
                </a:pPr>
                <a:r>
                  <a:rPr lang="en-AU"/>
                  <a:t>minutes</a:t>
                </a:r>
              </a:p>
              <a:p>
                <a:pPr>
                  <a:defRPr sz="800"/>
                </a:pPr>
                <a:r>
                  <a:rPr lang="en-AU"/>
                  <a:t>off supply</a:t>
                </a:r>
              </a:p>
              <a:p>
                <a:pPr>
                  <a:defRPr sz="800"/>
                </a:pPr>
                <a:r>
                  <a:rPr lang="en-AU"/>
                  <a:t>(SAIDI)</a:t>
                </a:r>
              </a:p>
            </c:rich>
          </c:tx>
          <c:layout/>
          <c:overlay val="0"/>
        </c:title>
        <c:numFmt formatCode="#,##0" sourceLinked="0"/>
        <c:majorTickMark val="out"/>
        <c:minorTickMark val="none"/>
        <c:tickLblPos val="nextTo"/>
        <c:txPr>
          <a:bodyPr/>
          <a:lstStyle/>
          <a:p>
            <a:pPr>
              <a:defRPr sz="800"/>
            </a:pPr>
            <a:endParaRPr lang="en-US"/>
          </a:p>
        </c:txPr>
        <c:crossAx val="282090496"/>
        <c:crosses val="autoZero"/>
        <c:crossBetween val="between"/>
      </c:valAx>
      <c:valAx>
        <c:axId val="282094592"/>
        <c:scaling>
          <c:orientation val="minMax"/>
        </c:scaling>
        <c:delete val="1"/>
        <c:axPos val="r"/>
        <c:numFmt formatCode="General" sourceLinked="1"/>
        <c:majorTickMark val="out"/>
        <c:minorTickMark val="none"/>
        <c:tickLblPos val="nextTo"/>
        <c:crossAx val="282096384"/>
        <c:crosses val="max"/>
        <c:crossBetween val="midCat"/>
      </c:valAx>
      <c:valAx>
        <c:axId val="282096384"/>
        <c:scaling>
          <c:orientation val="minMax"/>
        </c:scaling>
        <c:delete val="1"/>
        <c:axPos val="t"/>
        <c:majorTickMark val="out"/>
        <c:minorTickMark val="none"/>
        <c:tickLblPos val="nextTo"/>
        <c:crossAx val="282094592"/>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'Closing RAB'!$F$39</c:f>
              <c:strCache>
                <c:ptCount val="1"/>
                <c:pt idx="0">
                  <c:v>Forecast</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'Closing RAB'!$G$38:$L$38</c:f>
              <c:strCache>
                <c:ptCount val="6"/>
                <c:pt idx="0">
                  <c:v>2008</c:v>
                </c:pt>
                <c:pt idx="1">
                  <c:v>2009</c:v>
                </c:pt>
                <c:pt idx="2">
                  <c:v>2010</c:v>
                </c:pt>
                <c:pt idx="3">
                  <c:v>2011</c:v>
                </c:pt>
                <c:pt idx="4">
                  <c:v>2012</c:v>
                </c:pt>
                <c:pt idx="5">
                  <c:v>2013</c:v>
                </c:pt>
              </c:strCache>
            </c:strRef>
          </c:cat>
          <c:val>
            <c:numRef>
              <c:f>'Closing RAB'!$G$39:$L$39</c:f>
              <c:numCache>
                <c:formatCode>"$"#,##0</c:formatCode>
                <c:ptCount val="6"/>
                <c:pt idx="0">
                  <c:v>41440362928.305107</c:v>
                </c:pt>
                <c:pt idx="1">
                  <c:v>43769909909.015617</c:v>
                </c:pt>
                <c:pt idx="2">
                  <c:v>47956558771.285873</c:v>
                </c:pt>
                <c:pt idx="3">
                  <c:v>53601300099.030182</c:v>
                </c:pt>
                <c:pt idx="4">
                  <c:v>58144079906.361107</c:v>
                </c:pt>
                <c:pt idx="5">
                  <c:v>62675851607.447052</c:v>
                </c:pt>
              </c:numCache>
            </c:numRef>
          </c:val>
        </c:ser>
        <c:ser>
          <c:idx val="1"/>
          <c:order val="1"/>
          <c:tx>
            <c:strRef>
              <c:f>'Closing RAB'!$F$40</c:f>
              <c:strCache>
                <c:ptCount val="1"/>
                <c:pt idx="0">
                  <c:v>Actual</c:v>
                </c:pt>
              </c:strCache>
            </c:strRef>
          </c:tx>
          <c:spPr>
            <a:solidFill>
              <a:sysClr val="windowText" lastClr="000000"/>
            </a:solid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'Closing RAB'!$G$38:$L$38</c:f>
              <c:strCache>
                <c:ptCount val="6"/>
                <c:pt idx="0">
                  <c:v>2008</c:v>
                </c:pt>
                <c:pt idx="1">
                  <c:v>2009</c:v>
                </c:pt>
                <c:pt idx="2">
                  <c:v>2010</c:v>
                </c:pt>
                <c:pt idx="3">
                  <c:v>2011</c:v>
                </c:pt>
                <c:pt idx="4">
                  <c:v>2012</c:v>
                </c:pt>
                <c:pt idx="5">
                  <c:v>2013</c:v>
                </c:pt>
              </c:strCache>
            </c:strRef>
          </c:cat>
          <c:val>
            <c:numRef>
              <c:f>'Closing RAB'!$G$40:$L$40</c:f>
              <c:numCache>
                <c:formatCode>"$"#,##0</c:formatCode>
                <c:ptCount val="6"/>
                <c:pt idx="0">
                  <c:v>42455601961.210518</c:v>
                </c:pt>
                <c:pt idx="1">
                  <c:v>45479128182.340126</c:v>
                </c:pt>
                <c:pt idx="2">
                  <c:v>48436626339.626511</c:v>
                </c:pt>
                <c:pt idx="3">
                  <c:v>52246164204.21978</c:v>
                </c:pt>
                <c:pt idx="4">
                  <c:v>55864493547.029854</c:v>
                </c:pt>
                <c:pt idx="5">
                  <c:v>58661453696.354065</c:v>
                </c:pt>
              </c:numCache>
            </c:numRef>
          </c:val>
        </c:ser>
        <c:dLbls>
          <c:showLegendKey val="0"/>
          <c:showVal val="0"/>
          <c:showCatName val="0"/>
          <c:showSerName val="0"/>
          <c:showPercent val="0"/>
          <c:showBubbleSize val="0"/>
        </c:dLbls>
        <c:gapWidth val="50"/>
        <c:axId val="356844288"/>
        <c:axId val="356845824"/>
      </c:barChart>
      <c:catAx>
        <c:axId val="356844288"/>
        <c:scaling>
          <c:orientation val="minMax"/>
        </c:scaling>
        <c:delete val="0"/>
        <c:axPos val="b"/>
        <c:majorTickMark val="out"/>
        <c:minorTickMark val="none"/>
        <c:tickLblPos val="nextTo"/>
        <c:txPr>
          <a:bodyPr/>
          <a:lstStyle/>
          <a:p>
            <a:pPr>
              <a:defRPr sz="700"/>
            </a:pPr>
            <a:endParaRPr lang="en-US"/>
          </a:p>
        </c:txPr>
        <c:crossAx val="356845824"/>
        <c:crosses val="autoZero"/>
        <c:auto val="1"/>
        <c:lblAlgn val="ctr"/>
        <c:lblOffset val="100"/>
        <c:noMultiLvlLbl val="0"/>
      </c:catAx>
      <c:valAx>
        <c:axId val="356845824"/>
        <c:scaling>
          <c:orientation val="minMax"/>
          <c:min val="0"/>
        </c:scaling>
        <c:delete val="0"/>
        <c:axPos val="l"/>
        <c:title>
          <c:tx>
            <c:rich>
              <a:bodyPr rot="0" vert="horz"/>
              <a:lstStyle/>
              <a:p>
                <a:pPr>
                  <a:defRPr sz="800"/>
                </a:pPr>
                <a:r>
                  <a:rPr lang="en-AU"/>
                  <a:t>Closing</a:t>
                </a:r>
              </a:p>
              <a:p>
                <a:pPr>
                  <a:defRPr sz="800"/>
                </a:pPr>
                <a:r>
                  <a:rPr lang="en-AU"/>
                  <a:t>regulatory</a:t>
                </a:r>
              </a:p>
              <a:p>
                <a:pPr>
                  <a:defRPr sz="800"/>
                </a:pPr>
                <a:r>
                  <a:rPr lang="en-AU"/>
                  <a:t>asset</a:t>
                </a:r>
                <a:r>
                  <a:rPr lang="en-AU" baseline="0"/>
                  <a:t> base</a:t>
                </a:r>
                <a:endParaRPr lang="en-AU"/>
              </a:p>
              <a:p>
                <a:pPr>
                  <a:defRPr sz="800"/>
                </a:pPr>
                <a:r>
                  <a:rPr lang="en-AU"/>
                  <a:t>($Dec 2012)</a:t>
                </a:r>
              </a:p>
            </c:rich>
          </c:tx>
          <c:layout/>
          <c:overlay val="0"/>
        </c:title>
        <c:numFmt formatCode="&quot;$&quot;0,,,&quot;b&quot;" sourceLinked="0"/>
        <c:majorTickMark val="out"/>
        <c:minorTickMark val="none"/>
        <c:tickLblPos val="nextTo"/>
        <c:txPr>
          <a:bodyPr/>
          <a:lstStyle/>
          <a:p>
            <a:pPr>
              <a:defRPr sz="800"/>
            </a:pPr>
            <a:endParaRPr lang="en-US"/>
          </a:p>
        </c:txPr>
        <c:crossAx val="356844288"/>
        <c:crosses val="autoZero"/>
        <c:crossBetween val="between"/>
      </c:valAx>
    </c:plotArea>
    <c:legend>
      <c:legendPos val="b"/>
      <c:layout>
        <c:manualLayout>
          <c:xMode val="edge"/>
          <c:yMode val="edge"/>
          <c:x val="0.22952624671916011"/>
          <c:y val="0.88850503062117236"/>
          <c:w val="0.73816972878390197"/>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(charting)'!$Z$87</c:f>
              <c:strCache>
                <c:ptCount val="1"/>
                <c:pt idx="0">
                  <c:v>Average SAIFI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FCC0C0"/>
              </a:solidFill>
              <a:ln>
                <a:solidFill>
                  <a:schemeClr val="tx1"/>
                </a:solidFill>
              </a:ln>
            </c:spPr>
          </c:dPt>
          <c:dPt>
            <c:idx val="1"/>
            <c:invertIfNegative val="0"/>
            <c:bubble3D val="0"/>
            <c:spPr>
              <a:solidFill>
                <a:srgbClr val="9ECAE1"/>
              </a:solidFill>
              <a:ln>
                <a:solidFill>
                  <a:schemeClr val="tx1"/>
                </a:solidFill>
              </a:ln>
            </c:spPr>
          </c:dPt>
          <c:dPt>
            <c:idx val="2"/>
            <c:invertIfNegative val="0"/>
            <c:bubble3D val="0"/>
            <c:spPr>
              <a:solidFill>
                <a:srgbClr val="DEEBF7"/>
              </a:solidFill>
              <a:ln>
                <a:solidFill>
                  <a:schemeClr val="tx1"/>
                </a:solidFill>
              </a:ln>
            </c:spPr>
          </c:dPt>
          <c:dPt>
            <c:idx val="3"/>
            <c:invertIfNegative val="0"/>
            <c:bubble3D val="0"/>
            <c:spPr>
              <a:solidFill>
                <a:srgbClr val="C6DBEF"/>
              </a:solidFill>
              <a:ln>
                <a:solidFill>
                  <a:schemeClr val="tx1"/>
                </a:solidFill>
              </a:ln>
            </c:spPr>
          </c:dPt>
          <c:dPt>
            <c:idx val="4"/>
            <c:invertIfNegative val="0"/>
            <c:bubble3D val="0"/>
            <c:spPr>
              <a:solidFill>
                <a:srgbClr val="BD0026"/>
              </a:solidFill>
              <a:ln>
                <a:solidFill>
                  <a:schemeClr val="tx1"/>
                </a:solidFill>
              </a:ln>
            </c:spPr>
          </c:dPt>
          <c:dPt>
            <c:idx val="5"/>
            <c:invertIfNegative val="0"/>
            <c:bubble3D val="0"/>
            <c:spPr>
              <a:solidFill>
                <a:srgbClr val="800026"/>
              </a:solidFill>
              <a:ln>
                <a:solidFill>
                  <a:schemeClr val="tx1"/>
                </a:solidFill>
              </a:ln>
            </c:spPr>
          </c:dPt>
          <c:dPt>
            <c:idx val="6"/>
            <c:invertIfNegative val="0"/>
            <c:bubble3D val="0"/>
            <c:spPr>
              <a:solidFill>
                <a:srgbClr val="FD8D3C"/>
              </a:solidFill>
              <a:ln>
                <a:solidFill>
                  <a:schemeClr val="tx1"/>
                </a:solidFill>
              </a:ln>
            </c:spPr>
          </c:dPt>
          <c:dPt>
            <c:idx val="7"/>
            <c:invertIfNegative val="0"/>
            <c:bubble3D val="0"/>
            <c:spPr>
              <a:solidFill>
                <a:srgbClr val="238B45"/>
              </a:solidFill>
              <a:ln>
                <a:solidFill>
                  <a:schemeClr val="tx1"/>
                </a:solidFill>
              </a:ln>
            </c:spPr>
          </c:dPt>
          <c:dPt>
            <c:idx val="8"/>
            <c:invertIfNegative val="0"/>
            <c:bubble3D val="0"/>
            <c:spPr>
              <a:solidFill>
                <a:srgbClr val="41AB5D"/>
              </a:solidFill>
              <a:ln>
                <a:solidFill>
                  <a:schemeClr val="tx1"/>
                </a:solidFill>
              </a:ln>
            </c:spPr>
          </c:dPt>
          <c:dPt>
            <c:idx val="9"/>
            <c:invertIfNegative val="0"/>
            <c:bubble3D val="0"/>
            <c:spPr>
              <a:solidFill>
                <a:srgbClr val="74C476"/>
              </a:solidFill>
              <a:ln>
                <a:solidFill>
                  <a:schemeClr val="tx1"/>
                </a:solidFill>
              </a:ln>
            </c:spPr>
          </c:dPt>
          <c:dPt>
            <c:idx val="10"/>
            <c:invertIfNegative val="0"/>
            <c:bubble3D val="0"/>
            <c:spPr>
              <a:solidFill>
                <a:srgbClr val="006D2C"/>
              </a:solidFill>
              <a:ln>
                <a:solidFill>
                  <a:schemeClr val="tx1"/>
                </a:solidFill>
              </a:ln>
            </c:spPr>
          </c:dPt>
          <c:dPt>
            <c:idx val="11"/>
            <c:invertIfNegative val="0"/>
            <c:bubble3D val="0"/>
            <c:spPr>
              <a:solidFill>
                <a:sysClr val="windowText" lastClr="000000"/>
              </a:solidFill>
              <a:ln>
                <a:solidFill>
                  <a:schemeClr val="tx1"/>
                </a:solidFill>
              </a:ln>
            </c:spPr>
          </c:dPt>
          <c:dPt>
            <c:idx val="12"/>
            <c:invertIfNegative val="0"/>
            <c:bubble3D val="0"/>
            <c:spPr>
              <a:solidFill>
                <a:srgbClr val="006D2C"/>
              </a:solidFill>
              <a:ln>
                <a:solidFill>
                  <a:schemeClr val="tx1"/>
                </a:solidFill>
              </a:ln>
            </c:spPr>
          </c:dPt>
          <c:cat>
            <c:strRef>
              <c:f>'Reliability (charting)'!$B$88:$B$99</c:f>
              <c:strCache>
                <c:ptCount val="12"/>
                <c:pt idx="0">
                  <c:v>ActewAGL</c:v>
                </c:pt>
                <c:pt idx="1">
                  <c:v>Ausgrid</c:v>
                </c:pt>
                <c:pt idx="2">
                  <c:v>Endeavour Energy</c:v>
                </c:pt>
                <c:pt idx="3">
                  <c:v>Essential Energy</c:v>
                </c:pt>
                <c:pt idx="4">
                  <c:v>Energex</c:v>
                </c:pt>
                <c:pt idx="5">
                  <c:v>Ergon Energy</c:v>
                </c:pt>
                <c:pt idx="6">
                  <c:v>SA Power Networks</c:v>
                </c:pt>
                <c:pt idx="7">
                  <c:v>AusNet Services</c:v>
                </c:pt>
                <c:pt idx="8">
                  <c:v>JEN</c:v>
                </c:pt>
                <c:pt idx="9">
                  <c:v>Powercor</c:v>
                </c:pt>
                <c:pt idx="10">
                  <c:v>United Energy</c:v>
                </c:pt>
                <c:pt idx="11">
                  <c:v>NEM</c:v>
                </c:pt>
              </c:strCache>
            </c:strRef>
          </c:cat>
          <c:val>
            <c:numRef>
              <c:f>'Reliability (charting)'!$Z$88:$Z$99</c:f>
              <c:numCache>
                <c:formatCode>#,##0.00</c:formatCode>
                <c:ptCount val="12"/>
                <c:pt idx="0">
                  <c:v>0.62861210767691211</c:v>
                </c:pt>
                <c:pt idx="1">
                  <c:v>1.7487433434493174</c:v>
                </c:pt>
                <c:pt idx="2">
                  <c:v>2.0106636438326322</c:v>
                </c:pt>
                <c:pt idx="3">
                  <c:v>2.0828964657885249</c:v>
                </c:pt>
                <c:pt idx="4">
                  <c:v>1.5830028584625719</c:v>
                </c:pt>
                <c:pt idx="5">
                  <c:v>2.9105870020711393</c:v>
                </c:pt>
                <c:pt idx="6">
                  <c:v>1.7540000000000002</c:v>
                </c:pt>
                <c:pt idx="7">
                  <c:v>2.1967115049039645</c:v>
                </c:pt>
                <c:pt idx="8">
                  <c:v>1.4411087708057606</c:v>
                </c:pt>
                <c:pt idx="9">
                  <c:v>1.1974773299553265</c:v>
                </c:pt>
                <c:pt idx="10">
                  <c:v>2.1140967748708994</c:v>
                </c:pt>
                <c:pt idx="11">
                  <c:v>1.9970431553485515</c:v>
                </c:pt>
              </c:numCache>
            </c:numRef>
          </c:val>
        </c:ser>
        <c:dLbls>
          <c:showLegendKey val="0"/>
          <c:showVal val="0"/>
          <c:showCatName val="0"/>
          <c:showSerName val="0"/>
          <c:showPercent val="0"/>
          <c:showBubbleSize val="0"/>
        </c:dLbls>
        <c:gapWidth val="50"/>
        <c:axId val="282123648"/>
        <c:axId val="282129920"/>
      </c:barChart>
      <c:scatterChart>
        <c:scatterStyle val="lineMarker"/>
        <c:varyColors val="0"/>
        <c:ser>
          <c:idx val="1"/>
          <c:order val="1"/>
          <c:tx>
            <c:strRef>
              <c:f>'Reliability (charting)'!$AA$87</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(charting)'!$B$88:$B$99</c:f>
              <c:strCache>
                <c:ptCount val="12"/>
                <c:pt idx="0">
                  <c:v>ActewAGL</c:v>
                </c:pt>
                <c:pt idx="1">
                  <c:v>Ausgrid</c:v>
                </c:pt>
                <c:pt idx="2">
                  <c:v>Endeavour Energy</c:v>
                </c:pt>
                <c:pt idx="3">
                  <c:v>Essential Energy</c:v>
                </c:pt>
                <c:pt idx="4">
                  <c:v>Energex</c:v>
                </c:pt>
                <c:pt idx="5">
                  <c:v>Ergon Energy</c:v>
                </c:pt>
                <c:pt idx="6">
                  <c:v>SA Power Networks</c:v>
                </c:pt>
                <c:pt idx="7">
                  <c:v>AusNet Services</c:v>
                </c:pt>
                <c:pt idx="8">
                  <c:v>JEN</c:v>
                </c:pt>
                <c:pt idx="9">
                  <c:v>Powercor</c:v>
                </c:pt>
                <c:pt idx="10">
                  <c:v>United Energy</c:v>
                </c:pt>
                <c:pt idx="11">
                  <c:v>NEM</c:v>
                </c:pt>
              </c:strCache>
            </c:strRef>
          </c:xVal>
          <c:yVal>
            <c:numRef>
              <c:f>'Reliability (charting)'!$AA$88:$AA$99</c:f>
              <c:numCache>
                <c:formatCode>General</c:formatCode>
                <c:ptCount val="12"/>
                <c:pt idx="4" formatCode="0.00">
                  <c:v>2.2020000000000004</c:v>
                </c:pt>
                <c:pt idx="5" formatCode="0.00">
                  <c:v>3.02</c:v>
                </c:pt>
                <c:pt idx="6" formatCode="0.00">
                  <c:v>1.736</c:v>
                </c:pt>
                <c:pt idx="7" formatCode="0.00">
                  <c:v>2.6320000000000001</c:v>
                </c:pt>
                <c:pt idx="8" formatCode="0.00">
                  <c:v>2.5880000000000001</c:v>
                </c:pt>
                <c:pt idx="9" formatCode="0.00">
                  <c:v>1.5650000000000002</c:v>
                </c:pt>
                <c:pt idx="10" formatCode="0.00">
                  <c:v>1.742</c:v>
                </c:pt>
              </c:numCache>
            </c:numRef>
          </c:yVal>
          <c:smooth val="0"/>
        </c:ser>
        <c:dLbls>
          <c:showLegendKey val="0"/>
          <c:showVal val="0"/>
          <c:showCatName val="0"/>
          <c:showSerName val="0"/>
          <c:showPercent val="0"/>
          <c:showBubbleSize val="0"/>
        </c:dLbls>
        <c:axId val="282133632"/>
        <c:axId val="282131840"/>
      </c:scatterChart>
      <c:catAx>
        <c:axId val="282123648"/>
        <c:scaling>
          <c:orientation val="minMax"/>
        </c:scaling>
        <c:delete val="0"/>
        <c:axPos val="b"/>
        <c:majorTickMark val="out"/>
        <c:minorTickMark val="none"/>
        <c:tickLblPos val="nextTo"/>
        <c:txPr>
          <a:bodyPr/>
          <a:lstStyle/>
          <a:p>
            <a:pPr>
              <a:defRPr sz="800"/>
            </a:pPr>
            <a:endParaRPr lang="en-US"/>
          </a:p>
        </c:txPr>
        <c:crossAx val="282129920"/>
        <c:crosses val="autoZero"/>
        <c:auto val="1"/>
        <c:lblAlgn val="ctr"/>
        <c:lblOffset val="100"/>
        <c:noMultiLvlLbl val="0"/>
      </c:catAx>
      <c:valAx>
        <c:axId val="282129920"/>
        <c:scaling>
          <c:orientation val="minMax"/>
          <c:min val="0"/>
        </c:scaling>
        <c:delete val="0"/>
        <c:axPos val="l"/>
        <c:title>
          <c:tx>
            <c:rich>
              <a:bodyPr rot="0" vert="horz"/>
              <a:lstStyle/>
              <a:p>
                <a:pPr>
                  <a:defRPr sz="800"/>
                </a:pPr>
                <a:r>
                  <a:rPr lang="en-AU"/>
                  <a:t>Unplanned</a:t>
                </a:r>
              </a:p>
              <a:p>
                <a:pPr>
                  <a:defRPr sz="800"/>
                </a:pPr>
                <a:r>
                  <a:rPr lang="en-AU"/>
                  <a:t>sustained</a:t>
                </a:r>
              </a:p>
              <a:p>
                <a:pPr>
                  <a:defRPr sz="800"/>
                </a:pPr>
                <a:r>
                  <a:rPr lang="en-AU"/>
                  <a:t>interruptions</a:t>
                </a:r>
              </a:p>
              <a:p>
                <a:pPr>
                  <a:defRPr sz="800"/>
                </a:pPr>
                <a:r>
                  <a:rPr lang="en-AU"/>
                  <a:t>to</a:t>
                </a:r>
                <a:r>
                  <a:rPr lang="en-AU" baseline="0"/>
                  <a:t> </a:t>
                </a:r>
                <a:r>
                  <a:rPr lang="en-AU"/>
                  <a:t>supply</a:t>
                </a:r>
              </a:p>
              <a:p>
                <a:pPr>
                  <a:defRPr sz="800"/>
                </a:pPr>
                <a:r>
                  <a:rPr lang="en-AU"/>
                  <a:t>(SAIFI)</a:t>
                </a:r>
              </a:p>
            </c:rich>
          </c:tx>
          <c:layout/>
          <c:overlay val="0"/>
        </c:title>
        <c:numFmt formatCode="#,##0.0" sourceLinked="0"/>
        <c:majorTickMark val="out"/>
        <c:minorTickMark val="none"/>
        <c:tickLblPos val="nextTo"/>
        <c:txPr>
          <a:bodyPr/>
          <a:lstStyle/>
          <a:p>
            <a:pPr>
              <a:defRPr sz="800"/>
            </a:pPr>
            <a:endParaRPr lang="en-US"/>
          </a:p>
        </c:txPr>
        <c:crossAx val="282123648"/>
        <c:crosses val="autoZero"/>
        <c:crossBetween val="between"/>
      </c:valAx>
      <c:valAx>
        <c:axId val="282131840"/>
        <c:scaling>
          <c:orientation val="minMax"/>
        </c:scaling>
        <c:delete val="1"/>
        <c:axPos val="r"/>
        <c:numFmt formatCode="General" sourceLinked="1"/>
        <c:majorTickMark val="out"/>
        <c:minorTickMark val="none"/>
        <c:tickLblPos val="nextTo"/>
        <c:crossAx val="282133632"/>
        <c:crosses val="max"/>
        <c:crossBetween val="midCat"/>
      </c:valAx>
      <c:valAx>
        <c:axId val="282133632"/>
        <c:scaling>
          <c:orientation val="minMax"/>
        </c:scaling>
        <c:delete val="1"/>
        <c:axPos val="t"/>
        <c:majorTickMark val="out"/>
        <c:minorTickMark val="none"/>
        <c:tickLblPos val="nextTo"/>
        <c:crossAx val="282131840"/>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(charting)'!$X$117</c:f>
              <c:strCache>
                <c:ptCount val="1"/>
                <c:pt idx="0">
                  <c:v>Average SAIDI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9ECAE1"/>
              </a:solidFill>
              <a:ln>
                <a:solidFill>
                  <a:schemeClr val="tx1"/>
                </a:solidFill>
              </a:ln>
            </c:spPr>
          </c:dPt>
          <c:dPt>
            <c:idx val="1"/>
            <c:invertIfNegative val="0"/>
            <c:bubble3D val="0"/>
            <c:spPr>
              <a:solidFill>
                <a:srgbClr val="DEEBF7"/>
              </a:solidFill>
              <a:ln>
                <a:solidFill>
                  <a:schemeClr val="tx1"/>
                </a:solidFill>
              </a:ln>
            </c:spPr>
          </c:dPt>
          <c:dPt>
            <c:idx val="2"/>
            <c:invertIfNegative val="0"/>
            <c:bubble3D val="0"/>
            <c:spPr>
              <a:solidFill>
                <a:srgbClr val="C6DBEF"/>
              </a:solidFill>
              <a:ln>
                <a:solidFill>
                  <a:schemeClr val="tx1"/>
                </a:solidFill>
              </a:ln>
            </c:spPr>
          </c:dPt>
          <c:dPt>
            <c:idx val="3"/>
            <c:invertIfNegative val="0"/>
            <c:bubble3D val="0"/>
            <c:spPr>
              <a:solidFill>
                <a:srgbClr val="800026"/>
              </a:solidFill>
              <a:ln>
                <a:solidFill>
                  <a:schemeClr val="tx1"/>
                </a:solidFill>
              </a:ln>
            </c:spPr>
          </c:dPt>
          <c:dPt>
            <c:idx val="4"/>
            <c:invertIfNegative val="0"/>
            <c:bubble3D val="0"/>
            <c:spPr>
              <a:solidFill>
                <a:srgbClr val="FD8D3C"/>
              </a:solidFill>
              <a:ln>
                <a:solidFill>
                  <a:schemeClr val="tx1"/>
                </a:solidFill>
              </a:ln>
            </c:spPr>
          </c:dPt>
          <c:dPt>
            <c:idx val="5"/>
            <c:invertIfNegative val="0"/>
            <c:bubble3D val="0"/>
            <c:spPr>
              <a:solidFill>
                <a:srgbClr val="238B45"/>
              </a:solidFill>
              <a:ln>
                <a:solidFill>
                  <a:schemeClr val="tx1"/>
                </a:solidFill>
              </a:ln>
            </c:spPr>
          </c:dPt>
          <c:dPt>
            <c:idx val="6"/>
            <c:invertIfNegative val="0"/>
            <c:bubble3D val="0"/>
            <c:spPr>
              <a:solidFill>
                <a:srgbClr val="74C476"/>
              </a:solidFill>
              <a:ln>
                <a:solidFill>
                  <a:schemeClr val="tx1"/>
                </a:solidFill>
              </a:ln>
            </c:spPr>
          </c:dPt>
          <c:dPt>
            <c:idx val="7"/>
            <c:invertIfNegative val="0"/>
            <c:bubble3D val="0"/>
            <c:spPr>
              <a:solidFill>
                <a:sysClr val="windowText" lastClr="000000"/>
              </a:solidFill>
              <a:ln>
                <a:solidFill>
                  <a:schemeClr val="tx1"/>
                </a:solidFill>
              </a:ln>
            </c:spPr>
          </c:dPt>
          <c:dPt>
            <c:idx val="8"/>
            <c:invertIfNegative val="0"/>
            <c:bubble3D val="0"/>
            <c:spPr>
              <a:solidFill>
                <a:srgbClr val="74C476"/>
              </a:solidFill>
              <a:ln>
                <a:solidFill>
                  <a:schemeClr val="tx1"/>
                </a:solidFill>
              </a:ln>
            </c:spPr>
          </c:dPt>
          <c:dPt>
            <c:idx val="9"/>
            <c:invertIfNegative val="0"/>
            <c:bubble3D val="0"/>
            <c:spPr>
              <a:solidFill>
                <a:srgbClr val="238B45"/>
              </a:solidFill>
              <a:ln>
                <a:solidFill>
                  <a:schemeClr val="tx1"/>
                </a:solidFill>
              </a:ln>
            </c:spPr>
          </c:dPt>
          <c:dPt>
            <c:idx val="10"/>
            <c:invertIfNegative val="0"/>
            <c:bubble3D val="0"/>
            <c:spPr>
              <a:solidFill>
                <a:srgbClr val="006D2C"/>
              </a:solidFill>
              <a:ln>
                <a:solidFill>
                  <a:schemeClr val="tx1"/>
                </a:solidFill>
              </a:ln>
            </c:spPr>
          </c:dPt>
          <c:dPt>
            <c:idx val="11"/>
            <c:invertIfNegative val="0"/>
            <c:bubble3D val="0"/>
            <c:spPr>
              <a:solidFill>
                <a:srgbClr val="238B45"/>
              </a:solidFill>
              <a:ln>
                <a:solidFill>
                  <a:schemeClr val="tx1"/>
                </a:solidFill>
              </a:ln>
            </c:spPr>
          </c:dPt>
          <c:dPt>
            <c:idx val="12"/>
            <c:invertIfNegative val="0"/>
            <c:bubble3D val="0"/>
            <c:spPr>
              <a:solidFill>
                <a:srgbClr val="006D2C"/>
              </a:solidFill>
              <a:ln>
                <a:solidFill>
                  <a:schemeClr val="tx1"/>
                </a:solidFill>
              </a:ln>
            </c:spPr>
          </c:dPt>
          <c:cat>
            <c:strRef>
              <c:f>'Reliability (charting)'!$B$118:$B$125</c:f>
              <c:strCache>
                <c:ptCount val="8"/>
                <c:pt idx="0">
                  <c:v>Ausgrid</c:v>
                </c:pt>
                <c:pt idx="1">
                  <c:v>Endeavour Energy</c:v>
                </c:pt>
                <c:pt idx="2">
                  <c:v>Essential Energy</c:v>
                </c:pt>
                <c:pt idx="3">
                  <c:v>Ergon Energy</c:v>
                </c:pt>
                <c:pt idx="4">
                  <c:v>SA Power Networks</c:v>
                </c:pt>
                <c:pt idx="5">
                  <c:v>AusNet Services</c:v>
                </c:pt>
                <c:pt idx="6">
                  <c:v>Powercor</c:v>
                </c:pt>
                <c:pt idx="7">
                  <c:v>NEM</c:v>
                </c:pt>
              </c:strCache>
            </c:strRef>
          </c:cat>
          <c:val>
            <c:numRef>
              <c:f>'Reliability (charting)'!$X$118:$X$125</c:f>
              <c:numCache>
                <c:formatCode>0.00</c:formatCode>
                <c:ptCount val="8"/>
                <c:pt idx="0">
                  <c:v>503.34592383596618</c:v>
                </c:pt>
                <c:pt idx="1">
                  <c:v>658.55987789987785</c:v>
                </c:pt>
                <c:pt idx="2">
                  <c:v>473.88618173322561</c:v>
                </c:pt>
                <c:pt idx="3">
                  <c:v>775.93874189699875</c:v>
                </c:pt>
                <c:pt idx="4">
                  <c:v>249.83333333333334</c:v>
                </c:pt>
                <c:pt idx="5">
                  <c:v>207.68229668906716</c:v>
                </c:pt>
                <c:pt idx="6">
                  <c:v>235.20293725033659</c:v>
                </c:pt>
                <c:pt idx="7">
                  <c:v>339.49403388875362</c:v>
                </c:pt>
              </c:numCache>
            </c:numRef>
          </c:val>
        </c:ser>
        <c:dLbls>
          <c:showLegendKey val="0"/>
          <c:showVal val="0"/>
          <c:showCatName val="0"/>
          <c:showSerName val="0"/>
          <c:showPercent val="0"/>
          <c:showBubbleSize val="0"/>
        </c:dLbls>
        <c:gapWidth val="50"/>
        <c:axId val="282165248"/>
        <c:axId val="282167168"/>
      </c:barChart>
      <c:scatterChart>
        <c:scatterStyle val="lineMarker"/>
        <c:varyColors val="0"/>
        <c:ser>
          <c:idx val="1"/>
          <c:order val="1"/>
          <c:tx>
            <c:strRef>
              <c:f>'Reliability (charting)'!$Y$117</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(charting)'!$B$118:$B$125</c:f>
              <c:strCache>
                <c:ptCount val="8"/>
                <c:pt idx="0">
                  <c:v>Ausgrid</c:v>
                </c:pt>
                <c:pt idx="1">
                  <c:v>Endeavour Energy</c:v>
                </c:pt>
                <c:pt idx="2">
                  <c:v>Essential Energy</c:v>
                </c:pt>
                <c:pt idx="3">
                  <c:v>Ergon Energy</c:v>
                </c:pt>
                <c:pt idx="4">
                  <c:v>SA Power Networks</c:v>
                </c:pt>
                <c:pt idx="5">
                  <c:v>AusNet Services</c:v>
                </c:pt>
                <c:pt idx="6">
                  <c:v>Powercor</c:v>
                </c:pt>
                <c:pt idx="7">
                  <c:v>NEM</c:v>
                </c:pt>
              </c:strCache>
            </c:strRef>
          </c:xVal>
          <c:yVal>
            <c:numRef>
              <c:f>'Reliability (charting)'!$Y$118:$Y$125</c:f>
              <c:numCache>
                <c:formatCode>General</c:formatCode>
                <c:ptCount val="8"/>
                <c:pt idx="3" formatCode="0.00">
                  <c:v>687</c:v>
                </c:pt>
                <c:pt idx="4" formatCode="0.00">
                  <c:v>270.2</c:v>
                </c:pt>
                <c:pt idx="5" formatCode="0.00">
                  <c:v>256.57799999999997</c:v>
                </c:pt>
                <c:pt idx="6" formatCode="0.00">
                  <c:v>233.75899999999999</c:v>
                </c:pt>
              </c:numCache>
            </c:numRef>
          </c:yVal>
          <c:smooth val="0"/>
        </c:ser>
        <c:dLbls>
          <c:showLegendKey val="0"/>
          <c:showVal val="0"/>
          <c:showCatName val="0"/>
          <c:showSerName val="0"/>
          <c:showPercent val="0"/>
          <c:showBubbleSize val="0"/>
        </c:dLbls>
        <c:axId val="282174976"/>
        <c:axId val="282173440"/>
      </c:scatterChart>
      <c:catAx>
        <c:axId val="282165248"/>
        <c:scaling>
          <c:orientation val="minMax"/>
        </c:scaling>
        <c:delete val="0"/>
        <c:axPos val="b"/>
        <c:majorTickMark val="out"/>
        <c:minorTickMark val="none"/>
        <c:tickLblPos val="nextTo"/>
        <c:txPr>
          <a:bodyPr/>
          <a:lstStyle/>
          <a:p>
            <a:pPr>
              <a:defRPr sz="800"/>
            </a:pPr>
            <a:endParaRPr lang="en-US"/>
          </a:p>
        </c:txPr>
        <c:crossAx val="282167168"/>
        <c:crosses val="autoZero"/>
        <c:auto val="1"/>
        <c:lblAlgn val="ctr"/>
        <c:lblOffset val="100"/>
        <c:noMultiLvlLbl val="0"/>
      </c:catAx>
      <c:valAx>
        <c:axId val="282167168"/>
        <c:scaling>
          <c:orientation val="minMax"/>
          <c:max val="900"/>
          <c:min val="0"/>
        </c:scaling>
        <c:delete val="0"/>
        <c:axPos val="l"/>
        <c:title>
          <c:tx>
            <c:rich>
              <a:bodyPr rot="0" vert="horz"/>
              <a:lstStyle/>
              <a:p>
                <a:pPr>
                  <a:defRPr sz="800"/>
                </a:pPr>
                <a:r>
                  <a:rPr lang="en-AU"/>
                  <a:t>Unplanned</a:t>
                </a:r>
              </a:p>
              <a:p>
                <a:pPr>
                  <a:defRPr sz="800"/>
                </a:pPr>
                <a:r>
                  <a:rPr lang="en-AU"/>
                  <a:t>sustained</a:t>
                </a:r>
              </a:p>
              <a:p>
                <a:pPr>
                  <a:defRPr sz="800"/>
                </a:pPr>
                <a:r>
                  <a:rPr lang="en-AU"/>
                  <a:t>minutes</a:t>
                </a:r>
              </a:p>
              <a:p>
                <a:pPr>
                  <a:defRPr sz="800"/>
                </a:pPr>
                <a:r>
                  <a:rPr lang="en-AU"/>
                  <a:t>off supply</a:t>
                </a:r>
              </a:p>
              <a:p>
                <a:pPr>
                  <a:defRPr sz="800"/>
                </a:pPr>
                <a:r>
                  <a:rPr lang="en-AU"/>
                  <a:t>(SAIDI)</a:t>
                </a:r>
              </a:p>
            </c:rich>
          </c:tx>
          <c:layout/>
          <c:overlay val="0"/>
        </c:title>
        <c:numFmt formatCode="#,##0" sourceLinked="0"/>
        <c:majorTickMark val="out"/>
        <c:minorTickMark val="none"/>
        <c:tickLblPos val="nextTo"/>
        <c:txPr>
          <a:bodyPr/>
          <a:lstStyle/>
          <a:p>
            <a:pPr>
              <a:defRPr sz="800"/>
            </a:pPr>
            <a:endParaRPr lang="en-US"/>
          </a:p>
        </c:txPr>
        <c:crossAx val="282165248"/>
        <c:crosses val="autoZero"/>
        <c:crossBetween val="between"/>
        <c:majorUnit val="150"/>
      </c:valAx>
      <c:valAx>
        <c:axId val="282173440"/>
        <c:scaling>
          <c:orientation val="minMax"/>
        </c:scaling>
        <c:delete val="1"/>
        <c:axPos val="r"/>
        <c:numFmt formatCode="General" sourceLinked="1"/>
        <c:majorTickMark val="out"/>
        <c:minorTickMark val="none"/>
        <c:tickLblPos val="nextTo"/>
        <c:crossAx val="282174976"/>
        <c:crosses val="max"/>
        <c:crossBetween val="midCat"/>
      </c:valAx>
      <c:valAx>
        <c:axId val="282174976"/>
        <c:scaling>
          <c:orientation val="minMax"/>
        </c:scaling>
        <c:delete val="1"/>
        <c:axPos val="t"/>
        <c:majorTickMark val="out"/>
        <c:minorTickMark val="none"/>
        <c:tickLblPos val="nextTo"/>
        <c:crossAx val="282173440"/>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'Reliability (charting)'!$Z$117</c:f>
              <c:strCache>
                <c:ptCount val="1"/>
                <c:pt idx="0">
                  <c:v>Average SAIFI</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spPr>
              <a:solidFill>
                <a:srgbClr val="9ECAE1"/>
              </a:solidFill>
              <a:ln>
                <a:solidFill>
                  <a:schemeClr val="tx1"/>
                </a:solidFill>
              </a:ln>
            </c:spPr>
          </c:dPt>
          <c:dPt>
            <c:idx val="1"/>
            <c:invertIfNegative val="0"/>
            <c:bubble3D val="0"/>
            <c:spPr>
              <a:solidFill>
                <a:srgbClr val="DEEBF7"/>
              </a:solidFill>
              <a:ln>
                <a:solidFill>
                  <a:schemeClr val="tx1"/>
                </a:solidFill>
              </a:ln>
            </c:spPr>
          </c:dPt>
          <c:dPt>
            <c:idx val="2"/>
            <c:invertIfNegative val="0"/>
            <c:bubble3D val="0"/>
            <c:spPr>
              <a:solidFill>
                <a:srgbClr val="C6DBEF"/>
              </a:solidFill>
              <a:ln>
                <a:solidFill>
                  <a:schemeClr val="tx1"/>
                </a:solidFill>
              </a:ln>
            </c:spPr>
          </c:dPt>
          <c:dPt>
            <c:idx val="3"/>
            <c:invertIfNegative val="0"/>
            <c:bubble3D val="0"/>
            <c:spPr>
              <a:solidFill>
                <a:srgbClr val="800026"/>
              </a:solidFill>
              <a:ln>
                <a:solidFill>
                  <a:schemeClr val="tx1"/>
                </a:solidFill>
              </a:ln>
            </c:spPr>
          </c:dPt>
          <c:dPt>
            <c:idx val="4"/>
            <c:invertIfNegative val="0"/>
            <c:bubble3D val="0"/>
            <c:spPr>
              <a:solidFill>
                <a:srgbClr val="FD8D3C"/>
              </a:solidFill>
              <a:ln>
                <a:solidFill>
                  <a:schemeClr val="tx1"/>
                </a:solidFill>
              </a:ln>
            </c:spPr>
          </c:dPt>
          <c:dPt>
            <c:idx val="5"/>
            <c:invertIfNegative val="0"/>
            <c:bubble3D val="0"/>
            <c:spPr>
              <a:solidFill>
                <a:srgbClr val="238B45"/>
              </a:solidFill>
              <a:ln>
                <a:solidFill>
                  <a:schemeClr val="tx1"/>
                </a:solidFill>
              </a:ln>
            </c:spPr>
          </c:dPt>
          <c:dPt>
            <c:idx val="6"/>
            <c:invertIfNegative val="0"/>
            <c:bubble3D val="0"/>
            <c:spPr>
              <a:solidFill>
                <a:srgbClr val="74C476"/>
              </a:solidFill>
              <a:ln>
                <a:solidFill>
                  <a:schemeClr val="tx1"/>
                </a:solidFill>
              </a:ln>
            </c:spPr>
          </c:dPt>
          <c:dPt>
            <c:idx val="7"/>
            <c:invertIfNegative val="0"/>
            <c:bubble3D val="0"/>
            <c:spPr>
              <a:solidFill>
                <a:sysClr val="windowText" lastClr="000000"/>
              </a:solidFill>
              <a:ln>
                <a:solidFill>
                  <a:schemeClr val="tx1"/>
                </a:solidFill>
              </a:ln>
            </c:spPr>
          </c:dPt>
          <c:dPt>
            <c:idx val="8"/>
            <c:invertIfNegative val="0"/>
            <c:bubble3D val="0"/>
            <c:spPr>
              <a:solidFill>
                <a:srgbClr val="74C476"/>
              </a:solidFill>
              <a:ln>
                <a:solidFill>
                  <a:schemeClr val="tx1"/>
                </a:solidFill>
              </a:ln>
            </c:spPr>
          </c:dPt>
          <c:dPt>
            <c:idx val="9"/>
            <c:invertIfNegative val="0"/>
            <c:bubble3D val="0"/>
            <c:spPr>
              <a:solidFill>
                <a:srgbClr val="238B45"/>
              </a:solidFill>
              <a:ln>
                <a:solidFill>
                  <a:schemeClr val="tx1"/>
                </a:solidFill>
              </a:ln>
            </c:spPr>
          </c:dPt>
          <c:dPt>
            <c:idx val="10"/>
            <c:invertIfNegative val="0"/>
            <c:bubble3D val="0"/>
            <c:spPr>
              <a:solidFill>
                <a:srgbClr val="006D2C"/>
              </a:solidFill>
              <a:ln>
                <a:solidFill>
                  <a:schemeClr val="tx1"/>
                </a:solidFill>
              </a:ln>
            </c:spPr>
          </c:dPt>
          <c:dPt>
            <c:idx val="11"/>
            <c:invertIfNegative val="0"/>
            <c:bubble3D val="0"/>
            <c:spPr>
              <a:solidFill>
                <a:srgbClr val="238B45"/>
              </a:solidFill>
              <a:ln>
                <a:solidFill>
                  <a:schemeClr val="tx1"/>
                </a:solidFill>
              </a:ln>
            </c:spPr>
          </c:dPt>
          <c:dPt>
            <c:idx val="12"/>
            <c:invertIfNegative val="0"/>
            <c:bubble3D val="0"/>
            <c:spPr>
              <a:solidFill>
                <a:srgbClr val="006D2C"/>
              </a:solidFill>
              <a:ln>
                <a:solidFill>
                  <a:schemeClr val="tx1"/>
                </a:solidFill>
              </a:ln>
            </c:spPr>
          </c:dPt>
          <c:cat>
            <c:strRef>
              <c:f>'Reliability (charting)'!$B$118:$B$125</c:f>
              <c:strCache>
                <c:ptCount val="8"/>
                <c:pt idx="0">
                  <c:v>Ausgrid</c:v>
                </c:pt>
                <c:pt idx="1">
                  <c:v>Endeavour Energy</c:v>
                </c:pt>
                <c:pt idx="2">
                  <c:v>Essential Energy</c:v>
                </c:pt>
                <c:pt idx="3">
                  <c:v>Ergon Energy</c:v>
                </c:pt>
                <c:pt idx="4">
                  <c:v>SA Power Networks</c:v>
                </c:pt>
                <c:pt idx="5">
                  <c:v>AusNet Services</c:v>
                </c:pt>
                <c:pt idx="6">
                  <c:v>Powercor</c:v>
                </c:pt>
                <c:pt idx="7">
                  <c:v>NEM</c:v>
                </c:pt>
              </c:strCache>
            </c:strRef>
          </c:cat>
          <c:val>
            <c:numRef>
              <c:f>'Reliability (charting)'!$Z$118:$Z$125</c:f>
              <c:numCache>
                <c:formatCode>#,##0.00</c:formatCode>
                <c:ptCount val="8"/>
                <c:pt idx="0">
                  <c:v>3.8726563799075149</c:v>
                </c:pt>
                <c:pt idx="1">
                  <c:v>6.2437423687423701</c:v>
                </c:pt>
                <c:pt idx="2">
                  <c:v>3.135116154050031</c:v>
                </c:pt>
                <c:pt idx="3">
                  <c:v>5.2527609314903279</c:v>
                </c:pt>
                <c:pt idx="4">
                  <c:v>1.6633333333333333</c:v>
                </c:pt>
                <c:pt idx="5">
                  <c:v>2.6963435386939545</c:v>
                </c:pt>
                <c:pt idx="6">
                  <c:v>2.1817053846289034</c:v>
                </c:pt>
                <c:pt idx="7">
                  <c:v>2.6920383040899147</c:v>
                </c:pt>
              </c:numCache>
            </c:numRef>
          </c:val>
        </c:ser>
        <c:dLbls>
          <c:showLegendKey val="0"/>
          <c:showVal val="0"/>
          <c:showCatName val="0"/>
          <c:showSerName val="0"/>
          <c:showPercent val="0"/>
          <c:showBubbleSize val="0"/>
        </c:dLbls>
        <c:gapWidth val="50"/>
        <c:axId val="282329472"/>
        <c:axId val="282331392"/>
      </c:barChart>
      <c:scatterChart>
        <c:scatterStyle val="lineMarker"/>
        <c:varyColors val="0"/>
        <c:ser>
          <c:idx val="1"/>
          <c:order val="1"/>
          <c:tx>
            <c:strRef>
              <c:f>'Reliability (charting)'!$AA$117</c:f>
              <c:strCache>
                <c:ptCount val="1"/>
                <c:pt idx="0">
                  <c:v>STPIS target</c:v>
                </c:pt>
              </c:strCache>
            </c:strRef>
          </c:tx>
          <c:spPr>
            <a:ln w="28575">
              <a:noFill/>
            </a:ln>
          </c:spPr>
          <c:marker>
            <c:symbol val="dash"/>
            <c:size val="17"/>
            <c:spPr>
              <a:solidFill>
                <a:srgbClr val="FFFF00"/>
              </a:solidFill>
              <a:ln>
                <a:solidFill>
                  <a:sysClr val="windowText" lastClr="000000"/>
                </a:solidFill>
              </a:ln>
            </c:spPr>
          </c:marker>
          <c:xVal>
            <c:strRef>
              <c:f>'Reliability (charting)'!$B$118:$B$125</c:f>
              <c:strCache>
                <c:ptCount val="8"/>
                <c:pt idx="0">
                  <c:v>Ausgrid</c:v>
                </c:pt>
                <c:pt idx="1">
                  <c:v>Endeavour Energy</c:v>
                </c:pt>
                <c:pt idx="2">
                  <c:v>Essential Energy</c:v>
                </c:pt>
                <c:pt idx="3">
                  <c:v>Ergon Energy</c:v>
                </c:pt>
                <c:pt idx="4">
                  <c:v>SA Power Networks</c:v>
                </c:pt>
                <c:pt idx="5">
                  <c:v>AusNet Services</c:v>
                </c:pt>
                <c:pt idx="6">
                  <c:v>Powercor</c:v>
                </c:pt>
                <c:pt idx="7">
                  <c:v>NEM</c:v>
                </c:pt>
              </c:strCache>
            </c:strRef>
          </c:xVal>
          <c:yVal>
            <c:numRef>
              <c:f>'Reliability (charting)'!$AA$118:$AA$125</c:f>
              <c:numCache>
                <c:formatCode>General</c:formatCode>
                <c:ptCount val="8"/>
                <c:pt idx="3" formatCode="0.00">
                  <c:v>5.5166666666666666</c:v>
                </c:pt>
                <c:pt idx="4" formatCode="0.00">
                  <c:v>2.1110000000000002</c:v>
                </c:pt>
                <c:pt idx="5" formatCode="0.00">
                  <c:v>3.3170000000000002</c:v>
                </c:pt>
                <c:pt idx="6" formatCode="0.00">
                  <c:v>2.54</c:v>
                </c:pt>
              </c:numCache>
            </c:numRef>
          </c:yVal>
          <c:smooth val="0"/>
        </c:ser>
        <c:dLbls>
          <c:showLegendKey val="0"/>
          <c:showVal val="0"/>
          <c:showCatName val="0"/>
          <c:showSerName val="0"/>
          <c:showPercent val="0"/>
          <c:showBubbleSize val="0"/>
        </c:dLbls>
        <c:axId val="282351488"/>
        <c:axId val="282349952"/>
      </c:scatterChart>
      <c:catAx>
        <c:axId val="282329472"/>
        <c:scaling>
          <c:orientation val="minMax"/>
        </c:scaling>
        <c:delete val="0"/>
        <c:axPos val="b"/>
        <c:majorTickMark val="out"/>
        <c:minorTickMark val="none"/>
        <c:tickLblPos val="nextTo"/>
        <c:txPr>
          <a:bodyPr/>
          <a:lstStyle/>
          <a:p>
            <a:pPr>
              <a:defRPr sz="800"/>
            </a:pPr>
            <a:endParaRPr lang="en-US"/>
          </a:p>
        </c:txPr>
        <c:crossAx val="282331392"/>
        <c:crosses val="autoZero"/>
        <c:auto val="1"/>
        <c:lblAlgn val="ctr"/>
        <c:lblOffset val="100"/>
        <c:noMultiLvlLbl val="0"/>
      </c:catAx>
      <c:valAx>
        <c:axId val="282331392"/>
        <c:scaling>
          <c:orientation val="minMax"/>
          <c:min val="0"/>
        </c:scaling>
        <c:delete val="0"/>
        <c:axPos val="l"/>
        <c:title>
          <c:tx>
            <c:rich>
              <a:bodyPr rot="0" vert="horz"/>
              <a:lstStyle/>
              <a:p>
                <a:pPr>
                  <a:defRPr sz="800"/>
                </a:pPr>
                <a:r>
                  <a:rPr lang="en-AU"/>
                  <a:t>Unplanned</a:t>
                </a:r>
              </a:p>
              <a:p>
                <a:pPr>
                  <a:defRPr sz="800"/>
                </a:pPr>
                <a:r>
                  <a:rPr lang="en-AU"/>
                  <a:t>sustained</a:t>
                </a:r>
              </a:p>
              <a:p>
                <a:pPr>
                  <a:defRPr sz="800"/>
                </a:pPr>
                <a:r>
                  <a:rPr lang="en-AU"/>
                  <a:t>interruptions</a:t>
                </a:r>
              </a:p>
              <a:p>
                <a:pPr>
                  <a:defRPr sz="800"/>
                </a:pPr>
                <a:r>
                  <a:rPr lang="en-AU"/>
                  <a:t>tosupply</a:t>
                </a:r>
              </a:p>
              <a:p>
                <a:pPr>
                  <a:defRPr sz="800"/>
                </a:pPr>
                <a:r>
                  <a:rPr lang="en-AU"/>
                  <a:t>(SAIFI)</a:t>
                </a:r>
              </a:p>
            </c:rich>
          </c:tx>
          <c:layout/>
          <c:overlay val="0"/>
        </c:title>
        <c:numFmt formatCode="#,##0" sourceLinked="0"/>
        <c:majorTickMark val="out"/>
        <c:minorTickMark val="none"/>
        <c:tickLblPos val="nextTo"/>
        <c:txPr>
          <a:bodyPr/>
          <a:lstStyle/>
          <a:p>
            <a:pPr>
              <a:defRPr sz="800"/>
            </a:pPr>
            <a:endParaRPr lang="en-US"/>
          </a:p>
        </c:txPr>
        <c:crossAx val="282329472"/>
        <c:crosses val="autoZero"/>
        <c:crossBetween val="between"/>
      </c:valAx>
      <c:valAx>
        <c:axId val="282349952"/>
        <c:scaling>
          <c:orientation val="minMax"/>
        </c:scaling>
        <c:delete val="1"/>
        <c:axPos val="r"/>
        <c:numFmt formatCode="General" sourceLinked="1"/>
        <c:majorTickMark val="out"/>
        <c:minorTickMark val="none"/>
        <c:tickLblPos val="nextTo"/>
        <c:crossAx val="282351488"/>
        <c:crosses val="max"/>
        <c:crossBetween val="midCat"/>
      </c:valAx>
      <c:valAx>
        <c:axId val="282351488"/>
        <c:scaling>
          <c:orientation val="minMax"/>
        </c:scaling>
        <c:delete val="1"/>
        <c:axPos val="t"/>
        <c:majorTickMark val="out"/>
        <c:minorTickMark val="none"/>
        <c:tickLblPos val="nextTo"/>
        <c:crossAx val="282349952"/>
        <c:crosses val="max"/>
        <c:crossBetween val="midCat"/>
      </c:valAx>
    </c:plotArea>
    <c:legend>
      <c:legendPos val="b"/>
      <c:legendEntry>
        <c:idx val="0"/>
        <c:delete val="1"/>
      </c:legendEntry>
      <c:layout/>
      <c:overlay val="0"/>
      <c:spPr>
        <a:solidFill>
          <a:srgbClr val="FFFF00">
            <a:alpha val="40000"/>
          </a:srgbClr>
        </a:solidFill>
        <a:ln>
          <a:solidFill>
            <a:sysClr val="windowText" lastClr="000000"/>
          </a:solidFill>
        </a:ln>
      </c:sp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'3 year total reliability'!$X$57</c:f>
              <c:strCache>
                <c:ptCount val="1"/>
                <c:pt idx="0">
                  <c:v>Calls answered</c:v>
                </c:pt>
              </c:strCache>
            </c:strRef>
          </c:tx>
          <c:spPr>
            <a:solidFill>
              <a:srgbClr val="BD0026"/>
            </a:solidFill>
            <a:ln>
              <a:solidFill>
                <a:sysClr val="windowText" lastClr="000000"/>
              </a:solidFill>
            </a:ln>
          </c:spPr>
          <c:invertIfNegative val="0"/>
          <c:dPt>
            <c:idx val="0"/>
            <c:invertIfNegative val="0"/>
            <c:bubble3D val="0"/>
            <c:spPr>
              <a:solidFill>
                <a:srgbClr val="FCC0C0"/>
              </a:solidFill>
              <a:ln>
                <a:solidFill>
                  <a:sysClr val="windowText" lastClr="000000"/>
                </a:solidFill>
              </a:ln>
            </c:spPr>
          </c:dPt>
          <c:dPt>
            <c:idx val="1"/>
            <c:invertIfNegative val="0"/>
            <c:bubble3D val="0"/>
            <c:spPr>
              <a:solidFill>
                <a:srgbClr val="9ECAE1"/>
              </a:solidFill>
              <a:ln>
                <a:solidFill>
                  <a:sysClr val="windowText" lastClr="000000"/>
                </a:solidFill>
              </a:ln>
            </c:spPr>
          </c:dPt>
          <c:dPt>
            <c:idx val="2"/>
            <c:invertIfNegative val="0"/>
            <c:bubble3D val="0"/>
            <c:spPr>
              <a:solidFill>
                <a:srgbClr val="DEEBF7"/>
              </a:solidFill>
              <a:ln>
                <a:solidFill>
                  <a:sysClr val="windowText" lastClr="000000"/>
                </a:solidFill>
              </a:ln>
            </c:spPr>
          </c:dPt>
          <c:dPt>
            <c:idx val="3"/>
            <c:invertIfNegative val="0"/>
            <c:bubble3D val="0"/>
            <c:spPr>
              <a:solidFill>
                <a:srgbClr val="C6DBEF"/>
              </a:solidFill>
              <a:ln>
                <a:solidFill>
                  <a:sysClr val="windowText" lastClr="000000"/>
                </a:solidFill>
              </a:ln>
            </c:spPr>
          </c:dPt>
          <c:dPt>
            <c:idx val="5"/>
            <c:invertIfNegative val="0"/>
            <c:bubble3D val="0"/>
            <c:spPr>
              <a:solidFill>
                <a:srgbClr val="800026"/>
              </a:solidFill>
              <a:ln>
                <a:solidFill>
                  <a:sysClr val="windowText" lastClr="000000"/>
                </a:solidFill>
              </a:ln>
            </c:spPr>
          </c:dPt>
          <c:dPt>
            <c:idx val="6"/>
            <c:invertIfNegative val="0"/>
            <c:bubble3D val="0"/>
            <c:spPr>
              <a:solidFill>
                <a:srgbClr val="FD8D3C"/>
              </a:solidFill>
              <a:ln>
                <a:solidFill>
                  <a:sysClr val="windowText" lastClr="000000"/>
                </a:solidFill>
              </a:ln>
            </c:spPr>
          </c:dPt>
          <c:dPt>
            <c:idx val="7"/>
            <c:invertIfNegative val="0"/>
            <c:bubble3D val="0"/>
            <c:spPr>
              <a:solidFill>
                <a:srgbClr val="E7E1EF"/>
              </a:solidFill>
              <a:ln>
                <a:solidFill>
                  <a:sysClr val="windowText" lastClr="000000"/>
                </a:solidFill>
              </a:ln>
            </c:spPr>
          </c:dPt>
          <c:dPt>
            <c:idx val="8"/>
            <c:invertIfNegative val="0"/>
            <c:bubble3D val="0"/>
            <c:spPr>
              <a:solidFill>
                <a:srgbClr val="238B45"/>
              </a:solidFill>
              <a:ln>
                <a:solidFill>
                  <a:sysClr val="windowText" lastClr="000000"/>
                </a:solidFill>
              </a:ln>
            </c:spPr>
          </c:dPt>
          <c:dPt>
            <c:idx val="9"/>
            <c:invertIfNegative val="0"/>
            <c:bubble3D val="0"/>
            <c:spPr>
              <a:solidFill>
                <a:srgbClr val="A1D99B"/>
              </a:solidFill>
              <a:ln>
                <a:solidFill>
                  <a:sysClr val="windowText" lastClr="000000"/>
                </a:solidFill>
              </a:ln>
            </c:spPr>
          </c:dPt>
          <c:dPt>
            <c:idx val="10"/>
            <c:invertIfNegative val="0"/>
            <c:bubble3D val="0"/>
            <c:spPr>
              <a:solidFill>
                <a:srgbClr val="41AB5D"/>
              </a:solidFill>
              <a:ln>
                <a:solidFill>
                  <a:sysClr val="windowText" lastClr="000000"/>
                </a:solidFill>
              </a:ln>
            </c:spPr>
          </c:dPt>
          <c:dPt>
            <c:idx val="11"/>
            <c:invertIfNegative val="0"/>
            <c:bubble3D val="0"/>
            <c:spPr>
              <a:solidFill>
                <a:srgbClr val="74C476"/>
              </a:solidFill>
              <a:ln>
                <a:solidFill>
                  <a:sysClr val="windowText" lastClr="000000"/>
                </a:solidFill>
              </a:ln>
            </c:spPr>
          </c:dPt>
          <c:dPt>
            <c:idx val="12"/>
            <c:invertIfNegative val="0"/>
            <c:bubble3D val="0"/>
            <c:spPr>
              <a:solidFill>
                <a:srgbClr val="006D2C"/>
              </a:solidFill>
              <a:ln>
                <a:solidFill>
                  <a:sysClr val="windowText" lastClr="000000"/>
                </a:solidFill>
              </a:ln>
            </c:spPr>
          </c:dPt>
          <c:cat>
            <c:strRef>
              <c:f>'3 year total reliability'!$W$58:$W$70</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'3 year total reliability'!$X$58:$X$70</c:f>
              <c:numCache>
                <c:formatCode>0%</c:formatCode>
                <c:ptCount val="13"/>
                <c:pt idx="0">
                  <c:v>0.76607443468178416</c:v>
                </c:pt>
                <c:pt idx="1">
                  <c:v>0.85900262389632775</c:v>
                </c:pt>
                <c:pt idx="2">
                  <c:v>0.8736763663512136</c:v>
                </c:pt>
                <c:pt idx="3">
                  <c:v>0.56902091470663796</c:v>
                </c:pt>
                <c:pt idx="4">
                  <c:v>0.86620981676265529</c:v>
                </c:pt>
                <c:pt idx="5">
                  <c:v>0.81602265500906535</c:v>
                </c:pt>
                <c:pt idx="6">
                  <c:v>0.88736806696900838</c:v>
                </c:pt>
                <c:pt idx="7">
                  <c:v>0.82699999999999996</c:v>
                </c:pt>
                <c:pt idx="8">
                  <c:v>0.84329004494145332</c:v>
                </c:pt>
                <c:pt idx="9">
                  <c:v>0.75061330238976021</c:v>
                </c:pt>
                <c:pt idx="10">
                  <c:v>0.62410930917860263</c:v>
                </c:pt>
                <c:pt idx="11">
                  <c:v>0.70260732377462798</c:v>
                </c:pt>
                <c:pt idx="12">
                  <c:v>0.61666520121932</c:v>
                </c:pt>
              </c:numCache>
            </c:numRef>
          </c:val>
        </c:ser>
        <c:dLbls>
          <c:showLegendKey val="0"/>
          <c:showVal val="0"/>
          <c:showCatName val="0"/>
          <c:showSerName val="0"/>
          <c:showPercent val="0"/>
          <c:showBubbleSize val="0"/>
        </c:dLbls>
        <c:gapWidth val="50"/>
        <c:axId val="282373504"/>
        <c:axId val="282375680"/>
      </c:barChart>
      <c:lineChart>
        <c:grouping val="standard"/>
        <c:varyColors val="0"/>
        <c:ser>
          <c:idx val="1"/>
          <c:order val="1"/>
          <c:tx>
            <c:strRef>
              <c:f>'3 year total reliability'!$Y$57</c:f>
              <c:strCache>
                <c:ptCount val="1"/>
                <c:pt idx="0">
                  <c:v>STPIS target</c:v>
                </c:pt>
              </c:strCache>
            </c:strRef>
          </c:tx>
          <c:spPr>
            <a:ln w="38100" cap="rnd">
              <a:noFill/>
              <a:prstDash val="solid"/>
              <a:round/>
            </a:ln>
            <a:effectLst>
              <a:glow>
                <a:schemeClr val="accent1">
                  <a:alpha val="40000"/>
                </a:schemeClr>
              </a:glow>
            </a:effectLst>
          </c:spPr>
          <c:marker>
            <c:symbol val="dash"/>
            <c:size val="20"/>
            <c:spPr>
              <a:solidFill>
                <a:srgbClr val="FFFF00"/>
              </a:solidFill>
              <a:ln w="6350">
                <a:solidFill>
                  <a:sysClr val="windowText" lastClr="000000"/>
                </a:solidFill>
              </a:ln>
              <a:effectLst>
                <a:glow>
                  <a:schemeClr val="accent1">
                    <a:alpha val="40000"/>
                  </a:schemeClr>
                </a:glow>
              </a:effectLst>
            </c:spPr>
          </c:marker>
          <c:cat>
            <c:strRef>
              <c:f>'3 year total reliability'!$W$58:$W$70</c:f>
              <c:strCache>
                <c:ptCount val="13"/>
                <c:pt idx="0">
                  <c:v>ActewAGL</c:v>
                </c:pt>
                <c:pt idx="1">
                  <c:v>Ausgrid</c:v>
                </c:pt>
                <c:pt idx="2">
                  <c:v>Endeavour Energy</c:v>
                </c:pt>
                <c:pt idx="3">
                  <c:v>Essential Energy</c:v>
                </c:pt>
                <c:pt idx="4">
                  <c:v>Energex</c:v>
                </c:pt>
                <c:pt idx="5">
                  <c:v>Ergon Energy</c:v>
                </c:pt>
                <c:pt idx="6">
                  <c:v>SA Power Networks</c:v>
                </c:pt>
                <c:pt idx="7">
                  <c:v>TasNetworks*</c:v>
                </c:pt>
                <c:pt idx="8">
                  <c:v>AusNet Services</c:v>
                </c:pt>
                <c:pt idx="9">
                  <c:v>CitiPower</c:v>
                </c:pt>
                <c:pt idx="10">
                  <c:v>JEN</c:v>
                </c:pt>
                <c:pt idx="11">
                  <c:v>Powercor</c:v>
                </c:pt>
                <c:pt idx="12">
                  <c:v>United Energy</c:v>
                </c:pt>
              </c:strCache>
            </c:strRef>
          </c:cat>
          <c:val>
            <c:numRef>
              <c:f>'3 year total reliability'!$Y$58:$Y$70</c:f>
              <c:numCache>
                <c:formatCode>General</c:formatCode>
                <c:ptCount val="13"/>
                <c:pt idx="5" formatCode="0%">
                  <c:v>0.77300000000000002</c:v>
                </c:pt>
                <c:pt idx="6" formatCode="0%">
                  <c:v>0.88700000000000001</c:v>
                </c:pt>
                <c:pt idx="7" formatCode="0%">
                  <c:v>0.73599999999999999</c:v>
                </c:pt>
                <c:pt idx="8" formatCode="0%">
                  <c:v>0.82310000000000005</c:v>
                </c:pt>
                <c:pt idx="9" formatCode="0%">
                  <c:v>0.71519999999999995</c:v>
                </c:pt>
                <c:pt idx="10" formatCode="0%">
                  <c:v>0.61160000000000003</c:v>
                </c:pt>
                <c:pt idx="11" formatCode="0%">
                  <c:v>0.64839999999999998</c:v>
                </c:pt>
                <c:pt idx="12" formatCode="0%">
                  <c:v>0.62829999999999997</c:v>
                </c:pt>
              </c:numCache>
            </c:numRef>
          </c:val>
          <c:smooth val="0"/>
        </c:ser>
        <c:dLbls>
          <c:showLegendKey val="0"/>
          <c:showVal val="0"/>
          <c:showCatName val="0"/>
          <c:showSerName val="0"/>
          <c:showPercent val="0"/>
          <c:showBubbleSize val="0"/>
        </c:dLbls>
        <c:marker val="1"/>
        <c:smooth val="0"/>
        <c:axId val="282373504"/>
        <c:axId val="282375680"/>
      </c:lineChart>
      <c:catAx>
        <c:axId val="282373504"/>
        <c:scaling>
          <c:orientation val="minMax"/>
        </c:scaling>
        <c:delete val="0"/>
        <c:axPos val="b"/>
        <c:majorTickMark val="out"/>
        <c:minorTickMark val="none"/>
        <c:tickLblPos val="nextTo"/>
        <c:crossAx val="282375680"/>
        <c:crosses val="autoZero"/>
        <c:auto val="1"/>
        <c:lblAlgn val="ctr"/>
        <c:lblOffset val="100"/>
        <c:noMultiLvlLbl val="0"/>
      </c:catAx>
      <c:valAx>
        <c:axId val="282375680"/>
        <c:scaling>
          <c:orientation val="minMax"/>
          <c:max val="1"/>
          <c:min val="0"/>
        </c:scaling>
        <c:delete val="0"/>
        <c:axPos val="l"/>
        <c:title>
          <c:tx>
            <c:rich>
              <a:bodyPr rot="0" vert="horz"/>
              <a:lstStyle/>
              <a:p>
                <a:pPr>
                  <a:defRPr/>
                </a:pPr>
                <a:r>
                  <a:rPr lang="en-AU"/>
                  <a:t>Calls</a:t>
                </a:r>
              </a:p>
              <a:p>
                <a:pPr>
                  <a:defRPr/>
                </a:pPr>
                <a:r>
                  <a:rPr lang="en-AU"/>
                  <a:t>answered</a:t>
                </a:r>
              </a:p>
              <a:p>
                <a:pPr>
                  <a:defRPr/>
                </a:pPr>
                <a:r>
                  <a:rPr lang="en-AU"/>
                  <a:t>in</a:t>
                </a:r>
                <a:r>
                  <a:rPr lang="en-AU" baseline="0"/>
                  <a:t> 30</a:t>
                </a:r>
              </a:p>
              <a:p>
                <a:pPr>
                  <a:defRPr/>
                </a:pPr>
                <a:r>
                  <a:rPr lang="en-AU" baseline="0"/>
                  <a:t>seconds</a:t>
                </a:r>
                <a:endParaRPr lang="en-AU"/>
              </a:p>
            </c:rich>
          </c:tx>
          <c:layout/>
          <c:overlay val="0"/>
        </c:title>
        <c:numFmt formatCode="0%" sourceLinked="0"/>
        <c:majorTickMark val="out"/>
        <c:minorTickMark val="none"/>
        <c:tickLblPos val="nextTo"/>
        <c:crossAx val="282373504"/>
        <c:crosses val="autoZero"/>
        <c:crossBetween val="between"/>
        <c:majorUnit val="0.2"/>
      </c:valAx>
    </c:plotArea>
    <c:legend>
      <c:legendPos val="b"/>
      <c:legendEntry>
        <c:idx val="0"/>
        <c:delete val="1"/>
      </c:legendEntry>
      <c:layout/>
      <c:overlay val="0"/>
      <c:spPr>
        <a:solidFill>
          <a:srgbClr val="FFFF00">
            <a:alpha val="50000"/>
          </a:srgbClr>
        </a:solidFill>
        <a:ln>
          <a:solidFill>
            <a:sysClr val="windowText" lastClr="000000"/>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ActewAGL!$B$24</c:f>
              <c:strCache>
                <c:ptCount val="1"/>
                <c:pt idx="0">
                  <c:v>Forecast</c:v>
                </c:pt>
              </c:strCache>
            </c:strRef>
          </c:tx>
          <c:spPr>
            <a:pattFill prst="dkUpDiag">
              <a:fgClr>
                <a:srgbClr val="FCC0C0"/>
              </a:fgClr>
              <a:bgClr>
                <a:sysClr val="window" lastClr="FFFFFF"/>
              </a:bgClr>
            </a:pattFill>
            <a:ln>
              <a:solidFill>
                <a:schemeClr val="tx1"/>
              </a:solidFill>
            </a:ln>
          </c:spPr>
          <c:invertIfNegative val="0"/>
          <c:cat>
            <c:multiLvlStrRef>
              <c:f>ActewAGL!$C$20:$L$21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ActewAGL!$C$24:$L$24</c:f>
              <c:numCache>
                <c:formatCode>#,##0</c:formatCode>
                <c:ptCount val="10"/>
                <c:pt idx="0">
                  <c:v>2615.3000000000002</c:v>
                </c:pt>
                <c:pt idx="1">
                  <c:v>2654.5</c:v>
                </c:pt>
                <c:pt idx="2">
                  <c:v>2693.8</c:v>
                </c:pt>
                <c:pt idx="3">
                  <c:v>2733</c:v>
                </c:pt>
                <c:pt idx="4">
                  <c:v>2905.2739999999999</c:v>
                </c:pt>
                <c:pt idx="5">
                  <c:v>2933</c:v>
                </c:pt>
                <c:pt idx="6">
                  <c:v>2916</c:v>
                </c:pt>
                <c:pt idx="7">
                  <c:v>2908</c:v>
                </c:pt>
                <c:pt idx="8">
                  <c:v>2898</c:v>
                </c:pt>
                <c:pt idx="9">
                  <c:v>2889</c:v>
                </c:pt>
              </c:numCache>
            </c:numRef>
          </c:val>
        </c:ser>
        <c:ser>
          <c:idx val="1"/>
          <c:order val="1"/>
          <c:tx>
            <c:strRef>
              <c:f>ActewAGL!$B$22</c:f>
              <c:strCache>
                <c:ptCount val="1"/>
                <c:pt idx="0">
                  <c:v>Actual</c:v>
                </c:pt>
              </c:strCache>
            </c:strRef>
          </c:tx>
          <c:spPr>
            <a:solidFill>
              <a:srgbClr val="FCC0C0"/>
            </a:solidFill>
            <a:ln>
              <a:solidFill>
                <a:schemeClr val="tx1"/>
              </a:solidFill>
            </a:ln>
          </c:spPr>
          <c:invertIfNegative val="0"/>
          <c:cat>
            <c:multiLvlStrRef>
              <c:f>ActewAGL!$C$20:$L$21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ActewAGL!$C$22:$L$22</c:f>
              <c:numCache>
                <c:formatCode>#,##0</c:formatCode>
                <c:ptCount val="10"/>
                <c:pt idx="0">
                  <c:v>2629</c:v>
                </c:pt>
                <c:pt idx="1">
                  <c:v>2773</c:v>
                </c:pt>
                <c:pt idx="2">
                  <c:v>2799</c:v>
                </c:pt>
                <c:pt idx="3">
                  <c:v>2831</c:v>
                </c:pt>
                <c:pt idx="4">
                  <c:v>2879</c:v>
                </c:pt>
                <c:pt idx="5">
                  <c:v>2908</c:v>
                </c:pt>
                <c:pt idx="6">
                  <c:v>2930.51537143735</c:v>
                </c:pt>
                <c:pt idx="7">
                  <c:v>2884.875</c:v>
                </c:pt>
                <c:pt idx="8">
                  <c:v>2875</c:v>
                </c:pt>
              </c:numCache>
            </c:numRef>
          </c:val>
        </c:ser>
        <c:dLbls>
          <c:showLegendKey val="0"/>
          <c:showVal val="0"/>
          <c:showCatName val="0"/>
          <c:showSerName val="0"/>
          <c:showPercent val="0"/>
          <c:showBubbleSize val="0"/>
        </c:dLbls>
        <c:gapWidth val="50"/>
        <c:axId val="291246080"/>
        <c:axId val="291247616"/>
      </c:barChart>
      <c:catAx>
        <c:axId val="291246080"/>
        <c:scaling>
          <c:orientation val="minMax"/>
        </c:scaling>
        <c:delete val="0"/>
        <c:axPos val="b"/>
        <c:majorTickMark val="out"/>
        <c:minorTickMark val="none"/>
        <c:tickLblPos val="nextTo"/>
        <c:txPr>
          <a:bodyPr/>
          <a:lstStyle/>
          <a:p>
            <a:pPr>
              <a:defRPr sz="800"/>
            </a:pPr>
            <a:endParaRPr lang="en-US"/>
          </a:p>
        </c:txPr>
        <c:crossAx val="291247616"/>
        <c:crosses val="autoZero"/>
        <c:auto val="1"/>
        <c:lblAlgn val="ctr"/>
        <c:lblOffset val="100"/>
        <c:noMultiLvlLbl val="0"/>
      </c:catAx>
      <c:valAx>
        <c:axId val="291247616"/>
        <c:scaling>
          <c:orientation val="minMax"/>
          <c:max val="3000"/>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291246080"/>
        <c:crosses val="autoZero"/>
        <c:crossBetween val="between"/>
      </c:valAx>
    </c:plotArea>
    <c:legend>
      <c:legendPos val="b"/>
      <c:layout>
        <c:manualLayout>
          <c:xMode val="edge"/>
          <c:yMode val="edge"/>
          <c:x val="0.21980774278215223"/>
          <c:y val="0.89838181685622631"/>
          <c:w val="0.7464956255468066"/>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ActewAGL!$B$31</c:f>
              <c:strCache>
                <c:ptCount val="1"/>
                <c:pt idx="0">
                  <c:v>Forecast</c:v>
                </c:pt>
              </c:strCache>
            </c:strRef>
          </c:tx>
          <c:spPr>
            <a:pattFill prst="dkUpDiag">
              <a:fgClr>
                <a:srgbClr val="FCC0C0"/>
              </a:fgClr>
              <a:bgClr>
                <a:schemeClr val="bg1"/>
              </a:bgClr>
            </a:pattFill>
            <a:ln>
              <a:solidFill>
                <a:schemeClr val="tx1"/>
              </a:solidFill>
            </a:ln>
          </c:spPr>
          <c:invertIfNegative val="0"/>
          <c:cat>
            <c:multiLvlStrRef>
              <c:f>ActewAGL!$C$27:$L$28</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ActewAGL!$C$31:$L$31</c:f>
              <c:numCache>
                <c:formatCode>General</c:formatCode>
                <c:ptCount val="10"/>
                <c:pt idx="5" formatCode="#,##0">
                  <c:v>689</c:v>
                </c:pt>
                <c:pt idx="6" formatCode="#,##0">
                  <c:v>672</c:v>
                </c:pt>
                <c:pt idx="7" formatCode="#,##0">
                  <c:v>684</c:v>
                </c:pt>
                <c:pt idx="8" formatCode="#,##0">
                  <c:v>697</c:v>
                </c:pt>
                <c:pt idx="9" formatCode="#,##0">
                  <c:v>710</c:v>
                </c:pt>
              </c:numCache>
            </c:numRef>
          </c:val>
        </c:ser>
        <c:ser>
          <c:idx val="0"/>
          <c:order val="1"/>
          <c:tx>
            <c:strRef>
              <c:f>ActewAGL!$B$29</c:f>
              <c:strCache>
                <c:ptCount val="1"/>
                <c:pt idx="0">
                  <c:v>Actual</c:v>
                </c:pt>
              </c:strCache>
            </c:strRef>
          </c:tx>
          <c:spPr>
            <a:solidFill>
              <a:srgbClr val="FCC0C0"/>
            </a:solidFill>
            <a:ln>
              <a:solidFill>
                <a:schemeClr val="tx1"/>
              </a:solidFill>
            </a:ln>
          </c:spPr>
          <c:invertIfNegative val="0"/>
          <c:cat>
            <c:multiLvlStrRef>
              <c:f>ActewAGL!$C$27:$L$28</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ActewAGL!$C$29:$L$29</c:f>
              <c:numCache>
                <c:formatCode>#,##0</c:formatCode>
                <c:ptCount val="10"/>
                <c:pt idx="0">
                  <c:v>573</c:v>
                </c:pt>
                <c:pt idx="1">
                  <c:v>617</c:v>
                </c:pt>
                <c:pt idx="2">
                  <c:v>599</c:v>
                </c:pt>
                <c:pt idx="3">
                  <c:v>589</c:v>
                </c:pt>
                <c:pt idx="4">
                  <c:v>607</c:v>
                </c:pt>
                <c:pt idx="5">
                  <c:v>604</c:v>
                </c:pt>
                <c:pt idx="6">
                  <c:v>614</c:v>
                </c:pt>
                <c:pt idx="7">
                  <c:v>674</c:v>
                </c:pt>
                <c:pt idx="8">
                  <c:v>583.1</c:v>
                </c:pt>
              </c:numCache>
            </c:numRef>
          </c:val>
        </c:ser>
        <c:dLbls>
          <c:showLegendKey val="0"/>
          <c:showVal val="0"/>
          <c:showCatName val="0"/>
          <c:showSerName val="0"/>
          <c:showPercent val="0"/>
          <c:showBubbleSize val="0"/>
        </c:dLbls>
        <c:gapWidth val="50"/>
        <c:axId val="291264768"/>
        <c:axId val="291266560"/>
      </c:barChart>
      <c:catAx>
        <c:axId val="291264768"/>
        <c:scaling>
          <c:orientation val="minMax"/>
        </c:scaling>
        <c:delete val="0"/>
        <c:axPos val="b"/>
        <c:majorTickMark val="out"/>
        <c:minorTickMark val="none"/>
        <c:tickLblPos val="nextTo"/>
        <c:txPr>
          <a:bodyPr/>
          <a:lstStyle/>
          <a:p>
            <a:pPr>
              <a:defRPr sz="800"/>
            </a:pPr>
            <a:endParaRPr lang="en-US"/>
          </a:p>
        </c:txPr>
        <c:crossAx val="291266560"/>
        <c:crosses val="autoZero"/>
        <c:auto val="1"/>
        <c:lblAlgn val="ctr"/>
        <c:lblOffset val="100"/>
        <c:noMultiLvlLbl val="0"/>
      </c:catAx>
      <c:valAx>
        <c:axId val="291266560"/>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General" sourceLinked="1"/>
        <c:majorTickMark val="out"/>
        <c:minorTickMark val="none"/>
        <c:tickLblPos val="nextTo"/>
        <c:crossAx val="291264768"/>
        <c:crosses val="autoZero"/>
        <c:crossBetween val="between"/>
      </c:valAx>
    </c:plotArea>
    <c:legend>
      <c:legendPos val="b"/>
      <c:layout>
        <c:manualLayout>
          <c:xMode val="edge"/>
          <c:yMode val="edge"/>
          <c:x val="0.20555555555555555"/>
          <c:y val="0.89838181685622631"/>
          <c:w val="0.7555555555555555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ActewAGL!$K$64</c:f>
              <c:strCache>
                <c:ptCount val="1"/>
                <c:pt idx="0">
                  <c:v>Forecast (inc. amendments)
</c:v>
                </c:pt>
              </c:strCache>
            </c:strRef>
          </c:tx>
          <c:spPr>
            <a:pattFill prst="dkUpDiag">
              <a:fgClr>
                <a:srgbClr val="FCC0C0"/>
              </a:fgClr>
              <a:bgClr>
                <a:sysClr val="window" lastClr="FFFFFF"/>
              </a:bgClr>
            </a:pattFill>
            <a:ln>
              <a:solidFill>
                <a:schemeClr val="tx1"/>
              </a:solidFill>
            </a:ln>
          </c:spPr>
          <c:invertIfNegative val="0"/>
          <c:cat>
            <c:multiLvlStrRef>
              <c:f>ActewAGL!$B$65:$C$74</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ActewAGL!$K$65:$K$74</c:f>
              <c:numCache>
                <c:formatCode>"$"#,##0</c:formatCode>
                <c:ptCount val="10"/>
                <c:pt idx="0">
                  <c:v>26807448.771243066</c:v>
                </c:pt>
                <c:pt idx="1">
                  <c:v>26240212.648298677</c:v>
                </c:pt>
                <c:pt idx="2">
                  <c:v>29192448.469783954</c:v>
                </c:pt>
                <c:pt idx="3">
                  <c:v>25300035.074406944</c:v>
                </c:pt>
                <c:pt idx="4">
                  <c:v>26516658.758791115</c:v>
                </c:pt>
                <c:pt idx="5">
                  <c:v>68915563.059295326</c:v>
                </c:pt>
                <c:pt idx="6">
                  <c:v>63017876.204775602</c:v>
                </c:pt>
                <c:pt idx="7">
                  <c:v>61598062.70276159</c:v>
                </c:pt>
                <c:pt idx="8">
                  <c:v>54717428.039155245</c:v>
                </c:pt>
                <c:pt idx="9">
                  <c:v>52314666.728054613</c:v>
                </c:pt>
              </c:numCache>
            </c:numRef>
          </c:val>
        </c:ser>
        <c:ser>
          <c:idx val="1"/>
          <c:order val="1"/>
          <c:tx>
            <c:strRef>
              <c:f>ActewAGL!$S$64</c:f>
              <c:strCache>
                <c:ptCount val="1"/>
                <c:pt idx="0">
                  <c:v>Actual</c:v>
                </c:pt>
              </c:strCache>
            </c:strRef>
          </c:tx>
          <c:spPr>
            <a:solidFill>
              <a:srgbClr val="FCC0C0"/>
            </a:solidFill>
            <a:ln>
              <a:solidFill>
                <a:schemeClr val="tx1"/>
              </a:solidFill>
            </a:ln>
          </c:spPr>
          <c:invertIfNegative val="0"/>
          <c:cat>
            <c:multiLvlStrRef>
              <c:f>ActewAGL!$B$65:$C$74</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ActewAGL!$S$65:$S$74</c:f>
              <c:numCache>
                <c:formatCode>"$"#,##0</c:formatCode>
                <c:ptCount val="10"/>
                <c:pt idx="0">
                  <c:v>29681502.026431717</c:v>
                </c:pt>
                <c:pt idx="1">
                  <c:v>32030054.407713499</c:v>
                </c:pt>
                <c:pt idx="2">
                  <c:v>38494684.554754317</c:v>
                </c:pt>
                <c:pt idx="3">
                  <c:v>44203804.988662116</c:v>
                </c:pt>
                <c:pt idx="4">
                  <c:v>49869968.027856909</c:v>
                </c:pt>
                <c:pt idx="5">
                  <c:v>72260205.369331121</c:v>
                </c:pt>
                <c:pt idx="6">
                  <c:v>73850861.887212723</c:v>
                </c:pt>
                <c:pt idx="7">
                  <c:v>68132251.376413673</c:v>
                </c:pt>
                <c:pt idx="8">
                  <c:v>65154927.428037331</c:v>
                </c:pt>
                <c:pt idx="9">
                  <c:v>#N/A</c:v>
                </c:pt>
              </c:numCache>
            </c:numRef>
          </c:val>
        </c:ser>
        <c:dLbls>
          <c:showLegendKey val="0"/>
          <c:showVal val="0"/>
          <c:showCatName val="0"/>
          <c:showSerName val="0"/>
          <c:showPercent val="0"/>
          <c:showBubbleSize val="0"/>
        </c:dLbls>
        <c:gapWidth val="50"/>
        <c:axId val="291279616"/>
        <c:axId val="291281152"/>
      </c:barChart>
      <c:catAx>
        <c:axId val="291279616"/>
        <c:scaling>
          <c:orientation val="minMax"/>
        </c:scaling>
        <c:delete val="0"/>
        <c:axPos val="b"/>
        <c:majorTickMark val="out"/>
        <c:minorTickMark val="none"/>
        <c:tickLblPos val="nextTo"/>
        <c:txPr>
          <a:bodyPr/>
          <a:lstStyle/>
          <a:p>
            <a:pPr>
              <a:defRPr sz="750"/>
            </a:pPr>
            <a:endParaRPr lang="en-US"/>
          </a:p>
        </c:txPr>
        <c:crossAx val="291281152"/>
        <c:crosses val="autoZero"/>
        <c:auto val="1"/>
        <c:lblAlgn val="ctr"/>
        <c:lblOffset val="100"/>
        <c:noMultiLvlLbl val="0"/>
      </c:catAx>
      <c:valAx>
        <c:axId val="291281152"/>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291279616"/>
        <c:crosses val="autoZero"/>
        <c:crossBetween val="between"/>
      </c:valAx>
    </c:plotArea>
    <c:legend>
      <c:legendPos val="b"/>
      <c:layout>
        <c:manualLayout>
          <c:xMode val="edge"/>
          <c:yMode val="edge"/>
          <c:x val="0.24619291338582677"/>
          <c:y val="0.88850503062117236"/>
          <c:w val="0.72150306211723536"/>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'Capex by purpose'!$E$17</c:f>
              <c:strCache>
                <c:ptCount val="1"/>
                <c:pt idx="0">
                  <c:v>Forecast</c:v>
                </c:pt>
              </c:strCache>
            </c:strRef>
          </c:tx>
          <c:spPr>
            <a:pattFill prst="dkUpDiag">
              <a:fgClr>
                <a:srgbClr val="FCC0C0"/>
              </a:fgClr>
              <a:bgClr>
                <a:sysClr val="window" lastClr="FFFFFF"/>
              </a:bgClr>
            </a:pattFill>
            <a:ln>
              <a:solidFill>
                <a:schemeClr val="tx1"/>
              </a:solidFill>
            </a:ln>
          </c:spPr>
          <c:invertIfNegative val="0"/>
          <c:cat>
            <c:multiLvlStrRef>
              <c:f>'Capex by purpose'!$A$18:$B$32</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Reliability</c:v>
                  </c:pt>
                  <c:pt idx="9">
                    <c:v>Other system</c:v>
                  </c:pt>
                  <c:pt idx="12">
                    <c:v>Non-system</c:v>
                  </c:pt>
                </c:lvl>
              </c:multiLvlStrCache>
            </c:multiLvlStrRef>
          </c:cat>
          <c:val>
            <c:numRef>
              <c:f>'Capex by purpose'!$E$18:$E$32</c:f>
              <c:numCache>
                <c:formatCode>"$"#,##0_);\("$"#,##0\)</c:formatCode>
                <c:ptCount val="15"/>
                <c:pt idx="0">
                  <c:v>23154367.866705488</c:v>
                </c:pt>
                <c:pt idx="1">
                  <c:v>20759612.491090704</c:v>
                </c:pt>
                <c:pt idx="2">
                  <c:v>20764714.876497231</c:v>
                </c:pt>
                <c:pt idx="3">
                  <c:v>42046287.940917566</c:v>
                </c:pt>
                <c:pt idx="4">
                  <c:v>44422165.890945569</c:v>
                </c:pt>
                <c:pt idx="5">
                  <c:v>33933936.870771028</c:v>
                </c:pt>
                <c:pt idx="6">
                  <c:v>429528.13001082238</c:v>
                </c:pt>
                <c:pt idx="7">
                  <c:v>452442.99697060446</c:v>
                </c:pt>
                <c:pt idx="8">
                  <c:v>306232.6078006514</c:v>
                </c:pt>
                <c:pt idx="9">
                  <c:v>6355112.5527537903</c:v>
                </c:pt>
                <c:pt idx="10">
                  <c:v>4326395.0342724472</c:v>
                </c:pt>
                <c:pt idx="11">
                  <c:v>4401145.9914642107</c:v>
                </c:pt>
                <c:pt idx="12">
                  <c:v>2194972.1812433121</c:v>
                </c:pt>
                <c:pt idx="13">
                  <c:v>2331812.1978747924</c:v>
                </c:pt>
                <c:pt idx="14">
                  <c:v>2137979.2649870655</c:v>
                </c:pt>
              </c:numCache>
            </c:numRef>
          </c:val>
        </c:ser>
        <c:ser>
          <c:idx val="1"/>
          <c:order val="1"/>
          <c:tx>
            <c:strRef>
              <c:f>'Capex by purpose'!$F$17</c:f>
              <c:strCache>
                <c:ptCount val="1"/>
                <c:pt idx="0">
                  <c:v>Actual</c:v>
                </c:pt>
              </c:strCache>
            </c:strRef>
          </c:tx>
          <c:spPr>
            <a:solidFill>
              <a:srgbClr val="FCC0C0"/>
            </a:solidFill>
            <a:ln>
              <a:solidFill>
                <a:schemeClr val="tx1"/>
              </a:solidFill>
            </a:ln>
          </c:spPr>
          <c:invertIfNegative val="0"/>
          <c:cat>
            <c:multiLvlStrRef>
              <c:f>'Capex by purpose'!$A$18:$B$32</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Reliability</c:v>
                  </c:pt>
                  <c:pt idx="9">
                    <c:v>Other system</c:v>
                  </c:pt>
                  <c:pt idx="12">
                    <c:v>Non-system</c:v>
                  </c:pt>
                </c:lvl>
              </c:multiLvlStrCache>
            </c:multiLvlStrRef>
          </c:cat>
          <c:val>
            <c:numRef>
              <c:f>'Capex by purpose'!$F$18:$F$32</c:f>
              <c:numCache>
                <c:formatCode>"$"#,##0_);\("$"#,##0\)</c:formatCode>
                <c:ptCount val="15"/>
                <c:pt idx="0">
                  <c:v>20161024.231902283</c:v>
                </c:pt>
                <c:pt idx="1">
                  <c:v>18559537.848360367</c:v>
                </c:pt>
                <c:pt idx="2">
                  <c:v>13743902.499999998</c:v>
                </c:pt>
                <c:pt idx="3">
                  <c:v>47001277.092703715</c:v>
                </c:pt>
                <c:pt idx="4">
                  <c:v>51695266.509591535</c:v>
                </c:pt>
                <c:pt idx="5">
                  <c:v>47859750.069999993</c:v>
                </c:pt>
                <c:pt idx="6">
                  <c:v>606296.4672486221</c:v>
                </c:pt>
                <c:pt idx="7">
                  <c:v>94198.937056778668</c:v>
                </c:pt>
                <c:pt idx="8">
                  <c:v>599.09</c:v>
                </c:pt>
                <c:pt idx="9">
                  <c:v>1030539.9830090869</c:v>
                </c:pt>
                <c:pt idx="10">
                  <c:v>2815863.7578244489</c:v>
                </c:pt>
                <c:pt idx="11">
                  <c:v>7233279.29</c:v>
                </c:pt>
                <c:pt idx="12">
                  <c:v>16705083.204048691</c:v>
                </c:pt>
                <c:pt idx="13">
                  <c:v>4372145.3277183929</c:v>
                </c:pt>
                <c:pt idx="14">
                  <c:v>10534324.618037326</c:v>
                </c:pt>
              </c:numCache>
            </c:numRef>
          </c:val>
        </c:ser>
        <c:dLbls>
          <c:showLegendKey val="0"/>
          <c:showVal val="0"/>
          <c:showCatName val="0"/>
          <c:showSerName val="0"/>
          <c:showPercent val="0"/>
          <c:showBubbleSize val="0"/>
        </c:dLbls>
        <c:gapWidth val="50"/>
        <c:axId val="291389440"/>
        <c:axId val="291390976"/>
      </c:barChart>
      <c:catAx>
        <c:axId val="291389440"/>
        <c:scaling>
          <c:orientation val="minMax"/>
        </c:scaling>
        <c:delete val="0"/>
        <c:axPos val="b"/>
        <c:majorTickMark val="out"/>
        <c:minorTickMark val="none"/>
        <c:tickLblPos val="nextTo"/>
        <c:txPr>
          <a:bodyPr/>
          <a:lstStyle/>
          <a:p>
            <a:pPr>
              <a:defRPr sz="700"/>
            </a:pPr>
            <a:endParaRPr lang="en-US"/>
          </a:p>
        </c:txPr>
        <c:crossAx val="291390976"/>
        <c:crosses val="autoZero"/>
        <c:auto val="1"/>
        <c:lblAlgn val="ctr"/>
        <c:lblOffset val="100"/>
        <c:noMultiLvlLbl val="0"/>
      </c:catAx>
      <c:valAx>
        <c:axId val="291390976"/>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291389440"/>
        <c:crosses val="autoZero"/>
        <c:crossBetween val="between"/>
      </c:valAx>
    </c:plotArea>
    <c:legend>
      <c:legendPos val="b"/>
      <c:layout>
        <c:manualLayout>
          <c:xMode val="edge"/>
          <c:yMode val="edge"/>
          <c:x val="0.21563735783027124"/>
          <c:y val="0.88850503062117236"/>
          <c:w val="0.65483639545056871"/>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RAB!$A$9</c:f>
              <c:strCache>
                <c:ptCount val="1"/>
                <c:pt idx="0">
                  <c:v>Forecast</c:v>
                </c:pt>
              </c:strCache>
            </c:strRef>
          </c:tx>
          <c:spPr>
            <a:pattFill prst="dkUpDiag">
              <a:fgClr>
                <a:srgbClr val="FCC0C0"/>
              </a:fgClr>
              <a:bgClr>
                <a:sysClr val="window" lastClr="FFFFFF"/>
              </a:bgClr>
            </a:pattFill>
            <a:ln>
              <a:solidFill>
                <a:schemeClr val="tx1"/>
              </a:solidFill>
            </a:ln>
          </c:spPr>
          <c:invertIfNegative val="0"/>
          <c:cat>
            <c:multiLvlStrRef>
              <c:f>RAB!$B$3:$J$4</c:f>
              <c:multiLvlStrCache>
                <c:ptCount val="9"/>
                <c:lvl>
                  <c:pt idx="0">
                    <c:v>2004-05</c:v>
                  </c:pt>
                  <c:pt idx="1">
                    <c:v>2005-06</c:v>
                  </c:pt>
                  <c:pt idx="2">
                    <c:v>2006-07</c:v>
                  </c:pt>
                  <c:pt idx="3">
                    <c:v>2007-08</c:v>
                  </c:pt>
                  <c:pt idx="4">
                    <c:v>2008-09</c:v>
                  </c:pt>
                  <c:pt idx="5">
                    <c:v>2009-10*</c:v>
                  </c:pt>
                  <c:pt idx="6">
                    <c:v>2010-11*</c:v>
                  </c:pt>
                  <c:pt idx="7">
                    <c:v>2011-12*</c:v>
                  </c:pt>
                  <c:pt idx="8">
                    <c:v>2012-13*</c:v>
                  </c:pt>
                </c:lvl>
                <c:lvl>
                  <c:pt idx="0">
                    <c:v>ICRC</c:v>
                  </c:pt>
                  <c:pt idx="5">
                    <c:v>AER</c:v>
                  </c:pt>
                </c:lvl>
              </c:multiLvlStrCache>
            </c:multiLvlStrRef>
          </c:cat>
          <c:val>
            <c:numRef>
              <c:f>RAB!$B$9:$J$9</c:f>
              <c:numCache>
                <c:formatCode>_-"$"* #,##0_-;\-"$"* #,##0_-;_-"$"* "-"??_-;_-@_-</c:formatCode>
                <c:ptCount val="9"/>
                <c:pt idx="0">
                  <c:v>658672564.37472653</c:v>
                </c:pt>
                <c:pt idx="1">
                  <c:v>654143567.62947726</c:v>
                </c:pt>
                <c:pt idx="2">
                  <c:v>655569677.99907124</c:v>
                </c:pt>
                <c:pt idx="3">
                  <c:v>649012677.30823541</c:v>
                </c:pt>
                <c:pt idx="4">
                  <c:v>647185618.31341255</c:v>
                </c:pt>
                <c:pt idx="5">
                  <c:v>710234400.27669966</c:v>
                </c:pt>
                <c:pt idx="6">
                  <c:v>746129053.76505125</c:v>
                </c:pt>
                <c:pt idx="7">
                  <c:v>771169223.15321279</c:v>
                </c:pt>
                <c:pt idx="8">
                  <c:v>782607952.98060739</c:v>
                </c:pt>
              </c:numCache>
            </c:numRef>
          </c:val>
        </c:ser>
        <c:ser>
          <c:idx val="1"/>
          <c:order val="1"/>
          <c:tx>
            <c:strRef>
              <c:f>RAB!$A$10</c:f>
              <c:strCache>
                <c:ptCount val="1"/>
                <c:pt idx="0">
                  <c:v>Actual</c:v>
                </c:pt>
              </c:strCache>
            </c:strRef>
          </c:tx>
          <c:spPr>
            <a:solidFill>
              <a:srgbClr val="FCC0C0"/>
            </a:solidFill>
            <a:ln>
              <a:solidFill>
                <a:schemeClr val="tx1"/>
              </a:solidFill>
            </a:ln>
          </c:spPr>
          <c:invertIfNegative val="0"/>
          <c:cat>
            <c:multiLvlStrRef>
              <c:f>RAB!$B$3:$J$4</c:f>
              <c:multiLvlStrCache>
                <c:ptCount val="9"/>
                <c:lvl>
                  <c:pt idx="0">
                    <c:v>2004-05</c:v>
                  </c:pt>
                  <c:pt idx="1">
                    <c:v>2005-06</c:v>
                  </c:pt>
                  <c:pt idx="2">
                    <c:v>2006-07</c:v>
                  </c:pt>
                  <c:pt idx="3">
                    <c:v>2007-08</c:v>
                  </c:pt>
                  <c:pt idx="4">
                    <c:v>2008-09</c:v>
                  </c:pt>
                  <c:pt idx="5">
                    <c:v>2009-10*</c:v>
                  </c:pt>
                  <c:pt idx="6">
                    <c:v>2010-11*</c:v>
                  </c:pt>
                  <c:pt idx="7">
                    <c:v>2011-12*</c:v>
                  </c:pt>
                  <c:pt idx="8">
                    <c:v>2012-13*</c:v>
                  </c:pt>
                </c:lvl>
                <c:lvl>
                  <c:pt idx="0">
                    <c:v>ICRC</c:v>
                  </c:pt>
                  <c:pt idx="5">
                    <c:v>AER</c:v>
                  </c:pt>
                </c:lvl>
              </c:multiLvlStrCache>
            </c:multiLvlStrRef>
          </c:cat>
          <c:val>
            <c:numRef>
              <c:f>RAB!$B$10:$J$10</c:f>
              <c:numCache>
                <c:formatCode>_-"$"* #,##0_-;\-"$"* #,##0_-;_-"$"* "-"??_-;_-@_-</c:formatCode>
                <c:ptCount val="9"/>
                <c:pt idx="0">
                  <c:v>660047981.54503584</c:v>
                </c:pt>
                <c:pt idx="1">
                  <c:v>659934577.22977829</c:v>
                </c:pt>
                <c:pt idx="2">
                  <c:v>669105140.0360024</c:v>
                </c:pt>
                <c:pt idx="3">
                  <c:v>669913656.84212768</c:v>
                </c:pt>
                <c:pt idx="4">
                  <c:v>687354423.93713021</c:v>
                </c:pt>
                <c:pt idx="5">
                  <c:v>696440381.98183382</c:v>
                </c:pt>
                <c:pt idx="6">
                  <c:v>745175094.21863306</c:v>
                </c:pt>
                <c:pt idx="7">
                  <c:v>782232901.31617713</c:v>
                </c:pt>
                <c:pt idx="8">
                  <c:v>796933267.88685644</c:v>
                </c:pt>
              </c:numCache>
            </c:numRef>
          </c:val>
        </c:ser>
        <c:dLbls>
          <c:showLegendKey val="0"/>
          <c:showVal val="0"/>
          <c:showCatName val="0"/>
          <c:showSerName val="0"/>
          <c:showPercent val="0"/>
          <c:showBubbleSize val="0"/>
        </c:dLbls>
        <c:gapWidth val="50"/>
        <c:axId val="291402880"/>
        <c:axId val="291404416"/>
      </c:barChart>
      <c:catAx>
        <c:axId val="291402880"/>
        <c:scaling>
          <c:orientation val="minMax"/>
        </c:scaling>
        <c:delete val="0"/>
        <c:axPos val="b"/>
        <c:majorTickMark val="out"/>
        <c:minorTickMark val="none"/>
        <c:tickLblPos val="nextTo"/>
        <c:txPr>
          <a:bodyPr/>
          <a:lstStyle/>
          <a:p>
            <a:pPr>
              <a:defRPr sz="700"/>
            </a:pPr>
            <a:endParaRPr lang="en-US"/>
          </a:p>
        </c:txPr>
        <c:crossAx val="291404416"/>
        <c:crosses val="autoZero"/>
        <c:auto val="1"/>
        <c:lblAlgn val="ctr"/>
        <c:lblOffset val="100"/>
        <c:noMultiLvlLbl val="0"/>
      </c:catAx>
      <c:valAx>
        <c:axId val="291404416"/>
        <c:scaling>
          <c:orientation val="minMax"/>
          <c:max val="900000000"/>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291402880"/>
        <c:crosses val="autoZero"/>
        <c:crossBetween val="between"/>
        <c:majorUnit val="200000000"/>
      </c:valAx>
    </c:plotArea>
    <c:legend>
      <c:legendPos val="b"/>
      <c:layout>
        <c:manualLayout>
          <c:xMode val="edge"/>
          <c:yMode val="edge"/>
          <c:x val="0.27397069116360456"/>
          <c:y val="0.88850503062117236"/>
          <c:w val="0.69372528433945757"/>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ActewAGL!$K$51</c:f>
              <c:strCache>
                <c:ptCount val="1"/>
                <c:pt idx="0">
                  <c:v>Forecast (inc. amendments)
</c:v>
                </c:pt>
              </c:strCache>
            </c:strRef>
          </c:tx>
          <c:spPr>
            <a:pattFill prst="dkUpDiag">
              <a:fgClr>
                <a:srgbClr val="FCC0C0"/>
              </a:fgClr>
              <a:bgClr>
                <a:sysClr val="window" lastClr="FFFFFF"/>
              </a:bgClr>
            </a:pattFill>
            <a:ln>
              <a:solidFill>
                <a:schemeClr val="tx1"/>
              </a:solidFill>
            </a:ln>
          </c:spPr>
          <c:invertIfNegative val="0"/>
          <c:cat>
            <c:multiLvlStrRef>
              <c:f>ActewAGL!$B$52:$C$61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ActewAGL!$K$52:$K$61</c:f>
              <c:numCache>
                <c:formatCode>"$"#,##0</c:formatCode>
                <c:ptCount val="10"/>
                <c:pt idx="0">
                  <c:v>49292167.088323727</c:v>
                </c:pt>
                <c:pt idx="1">
                  <c:v>49136992.148943536</c:v>
                </c:pt>
                <c:pt idx="2">
                  <c:v>48821426.305834249</c:v>
                </c:pt>
                <c:pt idx="3">
                  <c:v>50141065.28610947</c:v>
                </c:pt>
                <c:pt idx="4">
                  <c:v>51598927.321630903</c:v>
                </c:pt>
                <c:pt idx="5">
                  <c:v>65945860.387362413</c:v>
                </c:pt>
                <c:pt idx="6">
                  <c:v>70533612.01462476</c:v>
                </c:pt>
                <c:pt idx="7">
                  <c:v>83055730.370640874</c:v>
                </c:pt>
                <c:pt idx="8">
                  <c:v>89557467.050114363</c:v>
                </c:pt>
                <c:pt idx="9">
                  <c:v>94690638.942011163</c:v>
                </c:pt>
              </c:numCache>
            </c:numRef>
          </c:val>
        </c:ser>
        <c:ser>
          <c:idx val="1"/>
          <c:order val="1"/>
          <c:tx>
            <c:strRef>
              <c:f>ActewAGL!$Q$51</c:f>
              <c:strCache>
                <c:ptCount val="1"/>
                <c:pt idx="0">
                  <c:v>Actual</c:v>
                </c:pt>
              </c:strCache>
            </c:strRef>
          </c:tx>
          <c:spPr>
            <a:solidFill>
              <a:srgbClr val="FCC0C0"/>
            </a:solidFill>
            <a:ln>
              <a:solidFill>
                <a:schemeClr val="tx1"/>
              </a:solidFill>
            </a:ln>
          </c:spPr>
          <c:invertIfNegative val="0"/>
          <c:cat>
            <c:multiLvlStrRef>
              <c:f>ActewAGL!$B$52:$C$61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ActewAGL!$Q$52:$Q$61</c:f>
              <c:numCache>
                <c:formatCode>"$"#,##0</c:formatCode>
                <c:ptCount val="10"/>
                <c:pt idx="0">
                  <c:v>55232397.533039644</c:v>
                </c:pt>
                <c:pt idx="1">
                  <c:v>54524340.564738289</c:v>
                </c:pt>
                <c:pt idx="2">
                  <c:v>56852619.822237127</c:v>
                </c:pt>
                <c:pt idx="3">
                  <c:v>48749742.144476824</c:v>
                </c:pt>
                <c:pt idx="4">
                  <c:v>58333209.243431456</c:v>
                </c:pt>
                <c:pt idx="5">
                  <c:v>65758811.466707125</c:v>
                </c:pt>
                <c:pt idx="6">
                  <c:v>77853291.799687177</c:v>
                </c:pt>
                <c:pt idx="7">
                  <c:v>88423894.940034747</c:v>
                </c:pt>
                <c:pt idx="8">
                  <c:v>95386123.065048158</c:v>
                </c:pt>
                <c:pt idx="9">
                  <c:v>#N/A</c:v>
                </c:pt>
              </c:numCache>
            </c:numRef>
          </c:val>
        </c:ser>
        <c:dLbls>
          <c:showLegendKey val="0"/>
          <c:showVal val="0"/>
          <c:showCatName val="0"/>
          <c:showSerName val="0"/>
          <c:showPercent val="0"/>
          <c:showBubbleSize val="0"/>
        </c:dLbls>
        <c:gapWidth val="50"/>
        <c:axId val="291434496"/>
        <c:axId val="291436032"/>
      </c:barChart>
      <c:catAx>
        <c:axId val="291434496"/>
        <c:scaling>
          <c:orientation val="minMax"/>
        </c:scaling>
        <c:delete val="0"/>
        <c:axPos val="b"/>
        <c:majorTickMark val="out"/>
        <c:minorTickMark val="none"/>
        <c:tickLblPos val="nextTo"/>
        <c:txPr>
          <a:bodyPr/>
          <a:lstStyle/>
          <a:p>
            <a:pPr>
              <a:defRPr sz="750"/>
            </a:pPr>
            <a:endParaRPr lang="en-US"/>
          </a:p>
        </c:txPr>
        <c:crossAx val="291436032"/>
        <c:crosses val="autoZero"/>
        <c:auto val="1"/>
        <c:lblAlgn val="ctr"/>
        <c:lblOffset val="100"/>
        <c:noMultiLvlLbl val="0"/>
      </c:catAx>
      <c:valAx>
        <c:axId val="291436032"/>
        <c:scaling>
          <c:orientation val="minMax"/>
          <c:max val="10000000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291434496"/>
        <c:crosses val="autoZero"/>
        <c:crossBetween val="between"/>
        <c:majorUnit val="20000000"/>
      </c:valAx>
    </c:plotArea>
    <c:legend>
      <c:legendPos val="b"/>
      <c:layout>
        <c:manualLayout>
          <c:xMode val="edge"/>
          <c:yMode val="edge"/>
          <c:x val="0.2656373578302712"/>
          <c:y val="0.88850503062117236"/>
          <c:w val="0.70205861767279087"/>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'Operating Expenditure'!$F$72</c:f>
              <c:strCache>
                <c:ptCount val="1"/>
                <c:pt idx="0">
                  <c:v>Forecast (inc. amendments)</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'Operating Expenditure'!$G$71:$L$71</c:f>
              <c:strCache>
                <c:ptCount val="6"/>
                <c:pt idx="0">
                  <c:v>2008</c:v>
                </c:pt>
                <c:pt idx="1">
                  <c:v>2009</c:v>
                </c:pt>
                <c:pt idx="2">
                  <c:v>2010</c:v>
                </c:pt>
                <c:pt idx="3">
                  <c:v>2011</c:v>
                </c:pt>
                <c:pt idx="4">
                  <c:v>2012</c:v>
                </c:pt>
                <c:pt idx="5">
                  <c:v>2013</c:v>
                </c:pt>
              </c:strCache>
            </c:strRef>
          </c:cat>
          <c:val>
            <c:numRef>
              <c:f>'Operating Expenditure'!$G$72:$L$72</c:f>
              <c:numCache>
                <c:formatCode>"$"#,##0</c:formatCode>
                <c:ptCount val="6"/>
                <c:pt idx="0">
                  <c:v>2446209253.6225629</c:v>
                </c:pt>
                <c:pt idx="1">
                  <c:v>2460686003.5045028</c:v>
                </c:pt>
                <c:pt idx="2">
                  <c:v>2754136581.3760033</c:v>
                </c:pt>
                <c:pt idx="3">
                  <c:v>2932465439.4832816</c:v>
                </c:pt>
                <c:pt idx="4">
                  <c:v>3102026102.9995203</c:v>
                </c:pt>
                <c:pt idx="5">
                  <c:v>3317840068.2465696</c:v>
                </c:pt>
              </c:numCache>
            </c:numRef>
          </c:val>
        </c:ser>
        <c:ser>
          <c:idx val="1"/>
          <c:order val="1"/>
          <c:tx>
            <c:strRef>
              <c:f>'Operating Expenditure'!$F$73</c:f>
              <c:strCache>
                <c:ptCount val="1"/>
                <c:pt idx="0">
                  <c:v>Actual</c:v>
                </c:pt>
              </c:strCache>
            </c:strRef>
          </c:tx>
          <c:spPr>
            <a:solidFill>
              <a:sysClr val="windowText" lastClr="000000"/>
            </a:solid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'Operating Expenditure'!$G$71:$L$71</c:f>
              <c:strCache>
                <c:ptCount val="6"/>
                <c:pt idx="0">
                  <c:v>2008</c:v>
                </c:pt>
                <c:pt idx="1">
                  <c:v>2009</c:v>
                </c:pt>
                <c:pt idx="2">
                  <c:v>2010</c:v>
                </c:pt>
                <c:pt idx="3">
                  <c:v>2011</c:v>
                </c:pt>
                <c:pt idx="4">
                  <c:v>2012</c:v>
                </c:pt>
                <c:pt idx="5">
                  <c:v>2013</c:v>
                </c:pt>
              </c:strCache>
            </c:strRef>
          </c:cat>
          <c:val>
            <c:numRef>
              <c:f>'Operating Expenditure'!$G$73:$L$73</c:f>
              <c:numCache>
                <c:formatCode>"$"#,##0</c:formatCode>
                <c:ptCount val="6"/>
                <c:pt idx="0">
                  <c:v>2670647893.3434043</c:v>
                </c:pt>
                <c:pt idx="1">
                  <c:v>2673949062.9912596</c:v>
                </c:pt>
                <c:pt idx="2">
                  <c:v>2776700070.7096891</c:v>
                </c:pt>
                <c:pt idx="3">
                  <c:v>2905470155.5042877</c:v>
                </c:pt>
                <c:pt idx="4">
                  <c:v>3252672850.4752622</c:v>
                </c:pt>
                <c:pt idx="5">
                  <c:v>3196150275.4465566</c:v>
                </c:pt>
              </c:numCache>
            </c:numRef>
          </c:val>
        </c:ser>
        <c:dLbls>
          <c:showLegendKey val="0"/>
          <c:showVal val="0"/>
          <c:showCatName val="0"/>
          <c:showSerName val="0"/>
          <c:showPercent val="0"/>
          <c:showBubbleSize val="0"/>
        </c:dLbls>
        <c:gapWidth val="50"/>
        <c:axId val="357012224"/>
        <c:axId val="357013760"/>
      </c:barChart>
      <c:catAx>
        <c:axId val="357012224"/>
        <c:scaling>
          <c:orientation val="minMax"/>
        </c:scaling>
        <c:delete val="0"/>
        <c:axPos val="b"/>
        <c:majorTickMark val="out"/>
        <c:minorTickMark val="none"/>
        <c:tickLblPos val="nextTo"/>
        <c:txPr>
          <a:bodyPr/>
          <a:lstStyle/>
          <a:p>
            <a:pPr>
              <a:defRPr sz="700"/>
            </a:pPr>
            <a:endParaRPr lang="en-US"/>
          </a:p>
        </c:txPr>
        <c:crossAx val="357013760"/>
        <c:crosses val="autoZero"/>
        <c:auto val="1"/>
        <c:lblAlgn val="ctr"/>
        <c:lblOffset val="100"/>
        <c:noMultiLvlLbl val="0"/>
      </c:catAx>
      <c:valAx>
        <c:axId val="357013760"/>
        <c:scaling>
          <c:orientation val="minMax"/>
          <c:min val="0"/>
        </c:scaling>
        <c:delete val="0"/>
        <c:axPos val="l"/>
        <c:title>
          <c:tx>
            <c:rich>
              <a:bodyPr rot="0" vert="horz"/>
              <a:lstStyle/>
              <a:p>
                <a:pPr>
                  <a:defRPr sz="800"/>
                </a:pPr>
                <a:r>
                  <a:rPr lang="en-AU"/>
                  <a:t>Opex</a:t>
                </a:r>
              </a:p>
              <a:p>
                <a:pPr>
                  <a:defRPr sz="800"/>
                </a:pPr>
                <a:r>
                  <a:rPr lang="en-AU"/>
                  <a:t>($Dec 2012)</a:t>
                </a:r>
              </a:p>
            </c:rich>
          </c:tx>
          <c:layout/>
          <c:overlay val="0"/>
        </c:title>
        <c:numFmt formatCode="&quot;$&quot;0,,,&quot;b&quot;" sourceLinked="0"/>
        <c:majorTickMark val="out"/>
        <c:minorTickMark val="none"/>
        <c:tickLblPos val="nextTo"/>
        <c:txPr>
          <a:bodyPr/>
          <a:lstStyle/>
          <a:p>
            <a:pPr>
              <a:defRPr sz="800"/>
            </a:pPr>
            <a:endParaRPr lang="en-US"/>
          </a:p>
        </c:txPr>
        <c:crossAx val="357012224"/>
        <c:crosses val="autoZero"/>
        <c:crossBetween val="between"/>
        <c:majorUnit val="1000000000"/>
      </c:valAx>
    </c:plotArea>
    <c:legend>
      <c:legendPos val="b"/>
      <c:layout>
        <c:manualLayout>
          <c:xMode val="edge"/>
          <c:yMode val="edge"/>
          <c:x val="0.22952624671916011"/>
          <c:y val="0.88850503062117236"/>
          <c:w val="0.73816972878390197"/>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ActewAGL!$K$38</c:f>
              <c:strCache>
                <c:ptCount val="1"/>
                <c:pt idx="0">
                  <c:v>Forecast (inc. amendments)
</c:v>
                </c:pt>
              </c:strCache>
            </c:strRef>
          </c:tx>
          <c:spPr>
            <a:pattFill prst="dkUpDiag">
              <a:fgClr>
                <a:srgbClr val="FCC0C0"/>
              </a:fgClr>
              <a:bgClr>
                <a:sysClr val="window" lastClr="FFFFFF"/>
              </a:bgClr>
            </a:pattFill>
            <a:ln>
              <a:solidFill>
                <a:schemeClr val="tx1"/>
              </a:solidFill>
            </a:ln>
          </c:spPr>
          <c:invertIfNegative val="0"/>
          <c:cat>
            <c:multiLvlStrRef>
              <c:f>ActewAGL!$B$39:$C$48</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ActewAGL!$K$39:$K$48</c:f>
              <c:numCache>
                <c:formatCode>"$"#,##0</c:formatCode>
                <c:ptCount val="10"/>
                <c:pt idx="0">
                  <c:v>120680168.34434812</c:v>
                </c:pt>
                <c:pt idx="1">
                  <c:v>124696031.20784301</c:v>
                </c:pt>
                <c:pt idx="2">
                  <c:v>129828468.89594311</c:v>
                </c:pt>
                <c:pt idx="3">
                  <c:v>135670185.36467311</c:v>
                </c:pt>
                <c:pt idx="4">
                  <c:v>129858327.22266583</c:v>
                </c:pt>
                <c:pt idx="5">
                  <c:v>152793776.10135368</c:v>
                </c:pt>
                <c:pt idx="6">
                  <c:v>161858739.22959694</c:v>
                </c:pt>
                <c:pt idx="7">
                  <c:v>169703084.32150185</c:v>
                </c:pt>
                <c:pt idx="8">
                  <c:v>189619898.29415619</c:v>
                </c:pt>
                <c:pt idx="9">
                  <c:v>200925852.9182823</c:v>
                </c:pt>
              </c:numCache>
            </c:numRef>
          </c:val>
        </c:ser>
        <c:ser>
          <c:idx val="1"/>
          <c:order val="1"/>
          <c:tx>
            <c:strRef>
              <c:f>ActewAGL!$Q$38</c:f>
              <c:strCache>
                <c:ptCount val="1"/>
                <c:pt idx="0">
                  <c:v>Actual</c:v>
                </c:pt>
              </c:strCache>
            </c:strRef>
          </c:tx>
          <c:spPr>
            <a:solidFill>
              <a:srgbClr val="FCC0C0"/>
            </a:solidFill>
            <a:ln>
              <a:solidFill>
                <a:schemeClr val="tx1"/>
              </a:solidFill>
            </a:ln>
          </c:spPr>
          <c:invertIfNegative val="0"/>
          <c:cat>
            <c:multiLvlStrRef>
              <c:f>ActewAGL!$B$39:$C$48</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ICRC</c:v>
                  </c:pt>
                  <c:pt idx="5">
                    <c:v>AER</c:v>
                  </c:pt>
                </c:lvl>
              </c:multiLvlStrCache>
            </c:multiLvlStrRef>
          </c:cat>
          <c:val>
            <c:numRef>
              <c:f>ActewAGL!$Q$39:$Q$48</c:f>
              <c:numCache>
                <c:formatCode>"$"#,##0</c:formatCode>
                <c:ptCount val="10"/>
                <c:pt idx="0">
                  <c:v>130307806.16740087</c:v>
                </c:pt>
                <c:pt idx="1">
                  <c:v>134699025.13774103</c:v>
                </c:pt>
                <c:pt idx="2">
                  <c:v>136896856.61579743</c:v>
                </c:pt>
                <c:pt idx="3">
                  <c:v>143708033.6896663</c:v>
                </c:pt>
                <c:pt idx="4">
                  <c:v>134162314.02342512</c:v>
                </c:pt>
                <c:pt idx="5">
                  <c:v>154096568.7850751</c:v>
                </c:pt>
                <c:pt idx="6">
                  <c:v>162488235.56359309</c:v>
                </c:pt>
                <c:pt idx="7">
                  <c:v>163776277.75318652</c:v>
                </c:pt>
                <c:pt idx="8">
                  <c:v>168842599</c:v>
                </c:pt>
                <c:pt idx="9">
                  <c:v>#N/A</c:v>
                </c:pt>
              </c:numCache>
            </c:numRef>
          </c:val>
        </c:ser>
        <c:dLbls>
          <c:showLegendKey val="0"/>
          <c:showVal val="0"/>
          <c:showCatName val="0"/>
          <c:showSerName val="0"/>
          <c:showPercent val="0"/>
          <c:showBubbleSize val="0"/>
        </c:dLbls>
        <c:gapWidth val="50"/>
        <c:axId val="291444992"/>
        <c:axId val="291446784"/>
      </c:barChart>
      <c:catAx>
        <c:axId val="291444992"/>
        <c:scaling>
          <c:orientation val="minMax"/>
        </c:scaling>
        <c:delete val="0"/>
        <c:axPos val="b"/>
        <c:majorTickMark val="out"/>
        <c:minorTickMark val="none"/>
        <c:tickLblPos val="nextTo"/>
        <c:txPr>
          <a:bodyPr/>
          <a:lstStyle/>
          <a:p>
            <a:pPr>
              <a:defRPr sz="750"/>
            </a:pPr>
            <a:endParaRPr lang="en-US"/>
          </a:p>
        </c:txPr>
        <c:crossAx val="291446784"/>
        <c:crosses val="autoZero"/>
        <c:auto val="1"/>
        <c:lblAlgn val="ctr"/>
        <c:lblOffset val="100"/>
        <c:noMultiLvlLbl val="0"/>
      </c:catAx>
      <c:valAx>
        <c:axId val="291446784"/>
        <c:scaling>
          <c:orientation val="minMax"/>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291444992"/>
        <c:crosses val="autoZero"/>
        <c:crossBetween val="between"/>
      </c:valAx>
    </c:plotArea>
    <c:legend>
      <c:legendPos val="b"/>
      <c:layout>
        <c:manualLayout>
          <c:xMode val="edge"/>
          <c:yMode val="edge"/>
          <c:x val="0.2573040244969379"/>
          <c:y val="0.88850503062117236"/>
          <c:w val="0.71316972878390206"/>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ActewAGL!$K$108</c:f>
              <c:strCache>
                <c:ptCount val="1"/>
                <c:pt idx="0">
                  <c:v>EBIT ($Dec 2012)</c:v>
                </c:pt>
              </c:strCache>
            </c:strRef>
          </c:tx>
          <c:spPr>
            <a:solidFill>
              <a:srgbClr val="FCC0C0"/>
            </a:solidFill>
            <a:ln>
              <a:solidFill>
                <a:schemeClr val="tx1"/>
              </a:solidFill>
            </a:ln>
          </c:spPr>
          <c:invertIfNegative val="0"/>
          <c:cat>
            <c:strRef>
              <c:f>ActewAGL!$C$109:$C$111</c:f>
              <c:strCache>
                <c:ptCount val="3"/>
                <c:pt idx="0">
                  <c:v>2010-11</c:v>
                </c:pt>
                <c:pt idx="1">
                  <c:v>2011-12</c:v>
                </c:pt>
                <c:pt idx="2">
                  <c:v>2012-13</c:v>
                </c:pt>
              </c:strCache>
            </c:strRef>
          </c:cat>
          <c:val>
            <c:numRef>
              <c:f>ActewAGL!$K$109:$K$111</c:f>
              <c:numCache>
                <c:formatCode>"$"#,##0</c:formatCode>
                <c:ptCount val="3"/>
                <c:pt idx="0">
                  <c:v>69140429.156001329</c:v>
                </c:pt>
                <c:pt idx="1">
                  <c:v>57690023.18308226</c:v>
                </c:pt>
                <c:pt idx="2">
                  <c:v>66925106.919999994</c:v>
                </c:pt>
              </c:numCache>
            </c:numRef>
          </c:val>
        </c:ser>
        <c:dLbls>
          <c:showLegendKey val="0"/>
          <c:showVal val="0"/>
          <c:showCatName val="0"/>
          <c:showSerName val="0"/>
          <c:showPercent val="0"/>
          <c:showBubbleSize val="0"/>
        </c:dLbls>
        <c:gapWidth val="50"/>
        <c:axId val="291467648"/>
        <c:axId val="291469568"/>
      </c:barChart>
      <c:catAx>
        <c:axId val="291467648"/>
        <c:scaling>
          <c:orientation val="minMax"/>
        </c:scaling>
        <c:delete val="0"/>
        <c:axPos val="b"/>
        <c:title>
          <c:tx>
            <c:rich>
              <a:bodyPr/>
              <a:lstStyle/>
              <a:p>
                <a:pPr algn="l">
                  <a:defRPr/>
                </a:pPr>
                <a:r>
                  <a:rPr lang="en-AU" b="0"/>
                  <a:t>*EBIT</a:t>
                </a:r>
                <a:r>
                  <a:rPr lang="en-AU" b="0" baseline="0"/>
                  <a:t> was provided by ActewAGL for the 2010-11 and 2011-12 regulatory years. The 2012-13 EBIT figure was not requested. For the purpose of this analysis 2012-13 EBIT is the sum of </a:t>
                </a:r>
                <a:r>
                  <a:rPr lang="en-AU" b="0" i="1" baseline="0"/>
                  <a:t>profit before tax</a:t>
                </a:r>
                <a:r>
                  <a:rPr lang="en-AU" b="0" baseline="0"/>
                  <a:t> and </a:t>
                </a:r>
                <a:r>
                  <a:rPr lang="en-AU" b="0" i="1" baseline="0"/>
                  <a:t>finance charges</a:t>
                </a:r>
                <a:r>
                  <a:rPr lang="en-AU" b="0" baseline="0"/>
                  <a:t>.</a:t>
                </a:r>
                <a:endParaRPr lang="en-AU"/>
              </a:p>
            </c:rich>
          </c:tx>
          <c:layout>
            <c:manualLayout>
              <c:xMode val="edge"/>
              <c:yMode val="edge"/>
              <c:x val="0.19082174103237096"/>
              <c:y val="0.83525444736074661"/>
            </c:manualLayout>
          </c:layout>
          <c:overlay val="0"/>
        </c:title>
        <c:majorTickMark val="out"/>
        <c:minorTickMark val="none"/>
        <c:tickLblPos val="nextTo"/>
        <c:crossAx val="291469568"/>
        <c:crosses val="autoZero"/>
        <c:auto val="1"/>
        <c:lblAlgn val="ctr"/>
        <c:lblOffset val="100"/>
        <c:noMultiLvlLbl val="0"/>
      </c:catAx>
      <c:valAx>
        <c:axId val="291469568"/>
        <c:scaling>
          <c:orientation val="minMax"/>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291467648"/>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Ausgrid!$B$25</c:f>
              <c:strCache>
                <c:ptCount val="1"/>
                <c:pt idx="0">
                  <c:v>Forecast</c:v>
                </c:pt>
              </c:strCache>
            </c:strRef>
          </c:tx>
          <c:spPr>
            <a:pattFill prst="dkUpDiag">
              <a:fgClr>
                <a:srgbClr val="9ECAE1"/>
              </a:fgClr>
              <a:bgClr>
                <a:sysClr val="windowText" lastClr="000000"/>
              </a:bgClr>
            </a:pattFill>
            <a:ln>
              <a:solidFill>
                <a:sysClr val="windowText" lastClr="000000"/>
              </a:solidFill>
            </a:ln>
          </c:spPr>
          <c:invertIfNegative val="0"/>
          <c:cat>
            <c:multiLvlStrRef>
              <c:f>Ausgrid!$C$21:$L$22</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Ausgrid!$C$25:$L$25</c:f>
              <c:numCache>
                <c:formatCode>#,##0</c:formatCode>
                <c:ptCount val="10"/>
                <c:pt idx="0">
                  <c:v>26130</c:v>
                </c:pt>
                <c:pt idx="1">
                  <c:v>26771</c:v>
                </c:pt>
                <c:pt idx="2">
                  <c:v>27236</c:v>
                </c:pt>
                <c:pt idx="3">
                  <c:v>27843</c:v>
                </c:pt>
                <c:pt idx="4">
                  <c:v>28482</c:v>
                </c:pt>
                <c:pt idx="5">
                  <c:v>27948</c:v>
                </c:pt>
                <c:pt idx="6">
                  <c:v>28041</c:v>
                </c:pt>
                <c:pt idx="7">
                  <c:v>27989</c:v>
                </c:pt>
                <c:pt idx="8">
                  <c:v>27673</c:v>
                </c:pt>
                <c:pt idx="9">
                  <c:v>27477</c:v>
                </c:pt>
              </c:numCache>
            </c:numRef>
          </c:val>
        </c:ser>
        <c:ser>
          <c:idx val="0"/>
          <c:order val="1"/>
          <c:tx>
            <c:strRef>
              <c:f>Ausgrid!$B$23</c:f>
              <c:strCache>
                <c:ptCount val="1"/>
                <c:pt idx="0">
                  <c:v>Actual</c:v>
                </c:pt>
              </c:strCache>
            </c:strRef>
          </c:tx>
          <c:spPr>
            <a:solidFill>
              <a:srgbClr val="9ECAE1"/>
            </a:solidFill>
            <a:ln>
              <a:solidFill>
                <a:schemeClr val="tx1"/>
              </a:solidFill>
            </a:ln>
          </c:spPr>
          <c:invertIfNegative val="0"/>
          <c:cat>
            <c:multiLvlStrRef>
              <c:f>Ausgrid!$C$21:$L$22</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Ausgrid!$C$23:$L$23</c:f>
              <c:numCache>
                <c:formatCode>#,##0</c:formatCode>
                <c:ptCount val="10"/>
                <c:pt idx="0">
                  <c:v>26065.22938547</c:v>
                </c:pt>
                <c:pt idx="1">
                  <c:v>27079.067922055401</c:v>
                </c:pt>
                <c:pt idx="2">
                  <c:v>26993.1083173714</c:v>
                </c:pt>
                <c:pt idx="3">
                  <c:v>27192</c:v>
                </c:pt>
                <c:pt idx="4">
                  <c:v>27458</c:v>
                </c:pt>
                <c:pt idx="5">
                  <c:v>27120</c:v>
                </c:pt>
                <c:pt idx="6">
                  <c:v>27509</c:v>
                </c:pt>
                <c:pt idx="7">
                  <c:v>26689.02</c:v>
                </c:pt>
                <c:pt idx="8">
                  <c:v>26316</c:v>
                </c:pt>
              </c:numCache>
            </c:numRef>
          </c:val>
        </c:ser>
        <c:dLbls>
          <c:showLegendKey val="0"/>
          <c:showVal val="0"/>
          <c:showCatName val="0"/>
          <c:showSerName val="0"/>
          <c:showPercent val="0"/>
          <c:showBubbleSize val="0"/>
        </c:dLbls>
        <c:gapWidth val="50"/>
        <c:axId val="291478912"/>
        <c:axId val="291501184"/>
      </c:barChart>
      <c:catAx>
        <c:axId val="291478912"/>
        <c:scaling>
          <c:orientation val="minMax"/>
        </c:scaling>
        <c:delete val="0"/>
        <c:axPos val="b"/>
        <c:majorTickMark val="out"/>
        <c:minorTickMark val="none"/>
        <c:tickLblPos val="nextTo"/>
        <c:txPr>
          <a:bodyPr/>
          <a:lstStyle/>
          <a:p>
            <a:pPr>
              <a:defRPr sz="800"/>
            </a:pPr>
            <a:endParaRPr lang="en-US"/>
          </a:p>
        </c:txPr>
        <c:crossAx val="291501184"/>
        <c:crosses val="autoZero"/>
        <c:auto val="1"/>
        <c:lblAlgn val="ctr"/>
        <c:lblOffset val="100"/>
        <c:noMultiLvlLbl val="0"/>
      </c:catAx>
      <c:valAx>
        <c:axId val="291501184"/>
        <c:scaling>
          <c:orientation val="minMax"/>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291478912"/>
        <c:crosses val="autoZero"/>
        <c:crossBetween val="between"/>
      </c:valAx>
    </c:plotArea>
    <c:legend>
      <c:legendPos val="b"/>
      <c:layout>
        <c:manualLayout>
          <c:xMode val="edge"/>
          <c:yMode val="edge"/>
          <c:x val="0.23091885389326333"/>
          <c:y val="0.89838181685622631"/>
          <c:w val="0.7353845144356956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Ausgrid!$B$32</c:f>
              <c:strCache>
                <c:ptCount val="1"/>
                <c:pt idx="0">
                  <c:v>Forecast</c:v>
                </c:pt>
              </c:strCache>
            </c:strRef>
          </c:tx>
          <c:spPr>
            <a:pattFill prst="dkUpDiag">
              <a:fgClr>
                <a:srgbClr val="9ECAE1"/>
              </a:fgClr>
              <a:bgClr>
                <a:schemeClr val="tx1"/>
              </a:bgClr>
            </a:pattFill>
            <a:ln>
              <a:solidFill>
                <a:schemeClr val="tx1"/>
              </a:solidFill>
            </a:ln>
          </c:spPr>
          <c:invertIfNegative val="0"/>
          <c:cat>
            <c:multiLvlStrRef>
              <c:f>Ausgrid!$C$28:$L$29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Ausgrid!$C$32:$L$32</c:f>
              <c:numCache>
                <c:formatCode>#,##0</c:formatCode>
                <c:ptCount val="10"/>
                <c:pt idx="0">
                  <c:v>5305</c:v>
                </c:pt>
                <c:pt idx="1">
                  <c:v>5478</c:v>
                </c:pt>
                <c:pt idx="2">
                  <c:v>5635</c:v>
                </c:pt>
                <c:pt idx="3">
                  <c:v>5820</c:v>
                </c:pt>
                <c:pt idx="4">
                  <c:v>6013</c:v>
                </c:pt>
                <c:pt idx="5">
                  <c:v>6022</c:v>
                </c:pt>
                <c:pt idx="6">
                  <c:v>6046</c:v>
                </c:pt>
                <c:pt idx="7">
                  <c:v>6254</c:v>
                </c:pt>
                <c:pt idx="8">
                  <c:v>6467</c:v>
                </c:pt>
                <c:pt idx="9">
                  <c:v>6679</c:v>
                </c:pt>
              </c:numCache>
            </c:numRef>
          </c:val>
        </c:ser>
        <c:ser>
          <c:idx val="1"/>
          <c:order val="1"/>
          <c:tx>
            <c:strRef>
              <c:f>Ausgrid!$B$30</c:f>
              <c:strCache>
                <c:ptCount val="1"/>
                <c:pt idx="0">
                  <c:v>Actual</c:v>
                </c:pt>
              </c:strCache>
            </c:strRef>
          </c:tx>
          <c:spPr>
            <a:solidFill>
              <a:srgbClr val="9ECAE1"/>
            </a:solidFill>
            <a:ln>
              <a:solidFill>
                <a:schemeClr val="tx1"/>
              </a:solidFill>
            </a:ln>
          </c:spPr>
          <c:invertIfNegative val="0"/>
          <c:cat>
            <c:multiLvlStrRef>
              <c:f>Ausgrid!$C$28:$L$29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Ausgrid!$C$30:$L$30</c:f>
              <c:numCache>
                <c:formatCode>#,##0</c:formatCode>
                <c:ptCount val="10"/>
                <c:pt idx="0">
                  <c:v>5382</c:v>
                </c:pt>
                <c:pt idx="1">
                  <c:v>5460</c:v>
                </c:pt>
                <c:pt idx="2">
                  <c:v>5467</c:v>
                </c:pt>
                <c:pt idx="3">
                  <c:v>5673</c:v>
                </c:pt>
                <c:pt idx="4">
                  <c:v>5869</c:v>
                </c:pt>
                <c:pt idx="5">
                  <c:v>5609</c:v>
                </c:pt>
                <c:pt idx="6">
                  <c:v>6100</c:v>
                </c:pt>
                <c:pt idx="7">
                  <c:v>5150</c:v>
                </c:pt>
                <c:pt idx="8">
                  <c:v>5659</c:v>
                </c:pt>
              </c:numCache>
            </c:numRef>
          </c:val>
        </c:ser>
        <c:dLbls>
          <c:showLegendKey val="0"/>
          <c:showVal val="0"/>
          <c:showCatName val="0"/>
          <c:showSerName val="0"/>
          <c:showPercent val="0"/>
          <c:showBubbleSize val="0"/>
        </c:dLbls>
        <c:gapWidth val="50"/>
        <c:axId val="291518336"/>
        <c:axId val="291519872"/>
      </c:barChart>
      <c:catAx>
        <c:axId val="291518336"/>
        <c:scaling>
          <c:orientation val="minMax"/>
        </c:scaling>
        <c:delete val="0"/>
        <c:axPos val="b"/>
        <c:majorTickMark val="out"/>
        <c:minorTickMark val="none"/>
        <c:tickLblPos val="nextTo"/>
        <c:txPr>
          <a:bodyPr/>
          <a:lstStyle/>
          <a:p>
            <a:pPr>
              <a:defRPr sz="800"/>
            </a:pPr>
            <a:endParaRPr lang="en-US"/>
          </a:p>
        </c:txPr>
        <c:crossAx val="291519872"/>
        <c:crosses val="autoZero"/>
        <c:auto val="1"/>
        <c:lblAlgn val="ctr"/>
        <c:lblOffset val="100"/>
        <c:noMultiLvlLbl val="0"/>
      </c:catAx>
      <c:valAx>
        <c:axId val="291519872"/>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0" sourceLinked="1"/>
        <c:majorTickMark val="out"/>
        <c:minorTickMark val="none"/>
        <c:tickLblPos val="nextTo"/>
        <c:crossAx val="291518336"/>
        <c:crosses val="autoZero"/>
        <c:crossBetween val="between"/>
      </c:valAx>
    </c:plotArea>
    <c:legend>
      <c:legendPos val="b"/>
      <c:layout>
        <c:manualLayout>
          <c:xMode val="edge"/>
          <c:yMode val="edge"/>
          <c:x val="0.20555555555555555"/>
          <c:y val="0.89838181685622631"/>
          <c:w val="0.794444444444444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Ausgrid!$K$65</c:f>
              <c:strCache>
                <c:ptCount val="1"/>
                <c:pt idx="0">
                  <c:v>Forecast (inc. amendments)
</c:v>
                </c:pt>
              </c:strCache>
            </c:strRef>
          </c:tx>
          <c:spPr>
            <a:pattFill prst="dkUpDiag">
              <a:fgClr>
                <a:srgbClr val="9ECAE1"/>
              </a:fgClr>
              <a:bgClr>
                <a:sysClr val="windowText" lastClr="000000"/>
              </a:bgClr>
            </a:pattFill>
            <a:ln>
              <a:solidFill>
                <a:schemeClr val="tx1"/>
              </a:solidFill>
            </a:ln>
          </c:spPr>
          <c:invertIfNegative val="0"/>
          <c:cat>
            <c:multiLvlStrRef>
              <c:f>Ausgrid!$B$66:$C$75</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Ausgrid!$K$66:$K$75</c:f>
              <c:numCache>
                <c:formatCode>"$"#,##0</c:formatCode>
                <c:ptCount val="10"/>
                <c:pt idx="0">
                  <c:v>499210453.40076679</c:v>
                </c:pt>
                <c:pt idx="1">
                  <c:v>560347740.73349309</c:v>
                </c:pt>
                <c:pt idx="2">
                  <c:v>726298615.31256986</c:v>
                </c:pt>
                <c:pt idx="3">
                  <c:v>721425100.79497588</c:v>
                </c:pt>
                <c:pt idx="4">
                  <c:v>726930429.92644429</c:v>
                </c:pt>
                <c:pt idx="5">
                  <c:v>1237094425.9471285</c:v>
                </c:pt>
                <c:pt idx="6">
                  <c:v>1400045329.409044</c:v>
                </c:pt>
                <c:pt idx="7">
                  <c:v>1553603620.4730206</c:v>
                </c:pt>
                <c:pt idx="8">
                  <c:v>1504039916.4032967</c:v>
                </c:pt>
                <c:pt idx="9">
                  <c:v>1554697495.0498827</c:v>
                </c:pt>
              </c:numCache>
            </c:numRef>
          </c:val>
        </c:ser>
        <c:ser>
          <c:idx val="1"/>
          <c:order val="1"/>
          <c:tx>
            <c:strRef>
              <c:f>Ausgrid!$S$65</c:f>
              <c:strCache>
                <c:ptCount val="1"/>
                <c:pt idx="0">
                  <c:v>Actual</c:v>
                </c:pt>
              </c:strCache>
            </c:strRef>
          </c:tx>
          <c:spPr>
            <a:solidFill>
              <a:srgbClr val="9ECAE1"/>
            </a:solidFill>
            <a:ln>
              <a:solidFill>
                <a:sysClr val="windowText" lastClr="000000"/>
              </a:solidFill>
            </a:ln>
          </c:spPr>
          <c:invertIfNegative val="0"/>
          <c:cat>
            <c:multiLvlStrRef>
              <c:f>Ausgrid!$B$66:$C$75</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Ausgrid!$S$66:$S$75</c:f>
              <c:numCache>
                <c:formatCode>"$"#,##0</c:formatCode>
                <c:ptCount val="10"/>
                <c:pt idx="0">
                  <c:v>528652229.07488984</c:v>
                </c:pt>
                <c:pt idx="1">
                  <c:v>657143353.99449039</c:v>
                </c:pt>
                <c:pt idx="2">
                  <c:v>857685225.55760527</c:v>
                </c:pt>
                <c:pt idx="3">
                  <c:v>934160025.91512764</c:v>
                </c:pt>
                <c:pt idx="4">
                  <c:v>1285359702.43748</c:v>
                </c:pt>
                <c:pt idx="5">
                  <c:v>1145024844.5320797</c:v>
                </c:pt>
                <c:pt idx="6">
                  <c:v>1324431539.5361164</c:v>
                </c:pt>
                <c:pt idx="7">
                  <c:v>1369129606.6147392</c:v>
                </c:pt>
                <c:pt idx="8">
                  <c:v>1007362202.9541399</c:v>
                </c:pt>
                <c:pt idx="9">
                  <c:v>#N/A</c:v>
                </c:pt>
              </c:numCache>
            </c:numRef>
          </c:val>
        </c:ser>
        <c:dLbls>
          <c:showLegendKey val="0"/>
          <c:showVal val="0"/>
          <c:showCatName val="0"/>
          <c:showSerName val="0"/>
          <c:showPercent val="0"/>
          <c:showBubbleSize val="0"/>
        </c:dLbls>
        <c:gapWidth val="50"/>
        <c:axId val="291557760"/>
        <c:axId val="291559296"/>
      </c:barChart>
      <c:catAx>
        <c:axId val="291557760"/>
        <c:scaling>
          <c:orientation val="minMax"/>
        </c:scaling>
        <c:delete val="0"/>
        <c:axPos val="b"/>
        <c:majorTickMark val="out"/>
        <c:minorTickMark val="none"/>
        <c:tickLblPos val="nextTo"/>
        <c:txPr>
          <a:bodyPr/>
          <a:lstStyle/>
          <a:p>
            <a:pPr>
              <a:defRPr sz="750"/>
            </a:pPr>
            <a:endParaRPr lang="en-US"/>
          </a:p>
        </c:txPr>
        <c:crossAx val="291559296"/>
        <c:crosses val="autoZero"/>
        <c:auto val="1"/>
        <c:lblAlgn val="ctr"/>
        <c:lblOffset val="100"/>
        <c:noMultiLvlLbl val="0"/>
      </c:catAx>
      <c:valAx>
        <c:axId val="291559296"/>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291557760"/>
        <c:crosses val="autoZero"/>
        <c:crossBetween val="between"/>
      </c:valAx>
    </c:plotArea>
    <c:legend>
      <c:legendPos val="b"/>
      <c:layout>
        <c:manualLayout>
          <c:xMode val="edge"/>
          <c:yMode val="edge"/>
          <c:x val="0.27397069116360456"/>
          <c:y val="0.88850503062117236"/>
          <c:w val="0.69372528433945757"/>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Ausgrid!$I$78</c:f>
              <c:strCache>
                <c:ptCount val="1"/>
                <c:pt idx="0">
                  <c:v>Forecast</c:v>
                </c:pt>
              </c:strCache>
            </c:strRef>
          </c:tx>
          <c:spPr>
            <a:pattFill prst="dkUpDiag">
              <a:fgClr>
                <a:srgbClr val="9ECAE1"/>
              </a:fgClr>
              <a:bgClr>
                <a:sysClr val="windowText" lastClr="000000"/>
              </a:bgClr>
            </a:pattFill>
            <a:ln>
              <a:solidFill>
                <a:schemeClr val="tx1"/>
              </a:solidFill>
            </a:ln>
          </c:spPr>
          <c:invertIfNegative val="0"/>
          <c:cat>
            <c:multiLvlStrRef>
              <c:f>Ausgrid!$B$79:$C$96</c:f>
              <c:multiLvlStrCache>
                <c:ptCount val="18"/>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pt idx="15">
                    <c:v>2010-11</c:v>
                  </c:pt>
                  <c:pt idx="16">
                    <c:v>2011-12</c:v>
                  </c:pt>
                  <c:pt idx="17">
                    <c:v>2012-13</c:v>
                  </c:pt>
                </c:lvl>
                <c:lvl>
                  <c:pt idx="0">
                    <c:v>Replacement</c:v>
                  </c:pt>
                  <c:pt idx="3">
                    <c:v>Augmentation</c:v>
                  </c:pt>
                  <c:pt idx="6">
                    <c:v>Enviro, safety &amp; stat obligations</c:v>
                  </c:pt>
                  <c:pt idx="9">
                    <c:v>Reliability</c:v>
                  </c:pt>
                  <c:pt idx="12">
                    <c:v>Other system</c:v>
                  </c:pt>
                  <c:pt idx="15">
                    <c:v>Non-system</c:v>
                  </c:pt>
                </c:lvl>
              </c:multiLvlStrCache>
            </c:multiLvlStrRef>
          </c:cat>
          <c:val>
            <c:numRef>
              <c:f>Ausgrid!$I$79:$I$96</c:f>
              <c:numCache>
                <c:formatCode>"$"#,##0</c:formatCode>
                <c:ptCount val="18"/>
                <c:pt idx="0">
                  <c:v>547169293.49709523</c:v>
                </c:pt>
                <c:pt idx="1">
                  <c:v>647665138.66714931</c:v>
                </c:pt>
                <c:pt idx="2">
                  <c:v>698885778.24709821</c:v>
                </c:pt>
                <c:pt idx="3">
                  <c:v>586523233.30275953</c:v>
                </c:pt>
                <c:pt idx="4">
                  <c:v>545895175.38853705</c:v>
                </c:pt>
                <c:pt idx="5">
                  <c:v>533701666.26434714</c:v>
                </c:pt>
                <c:pt idx="6">
                  <c:v>59810243.029346049</c:v>
                </c:pt>
                <c:pt idx="7">
                  <c:v>97647537.069235206</c:v>
                </c:pt>
                <c:pt idx="8">
                  <c:v>104032671.23745604</c:v>
                </c:pt>
                <c:pt idx="9">
                  <c:v>76900581.089527786</c:v>
                </c:pt>
                <c:pt idx="10">
                  <c:v>132487133.90440321</c:v>
                </c:pt>
                <c:pt idx="11">
                  <c:v>65366854.055735663</c:v>
                </c:pt>
                <c:pt idx="12">
                  <c:v>29909122.750186209</c:v>
                </c:pt>
                <c:pt idx="13">
                  <c:v>39556098.572132088</c:v>
                </c:pt>
                <c:pt idx="14">
                  <c:v>23456001.914017245</c:v>
                </c:pt>
                <c:pt idx="15">
                  <c:v>106924520.05303144</c:v>
                </c:pt>
                <c:pt idx="16">
                  <c:v>102669330.98348781</c:v>
                </c:pt>
                <c:pt idx="17">
                  <c:v>78576399.496437401</c:v>
                </c:pt>
              </c:numCache>
            </c:numRef>
          </c:val>
        </c:ser>
        <c:ser>
          <c:idx val="1"/>
          <c:order val="1"/>
          <c:tx>
            <c:strRef>
              <c:f>Ausgrid!$J$78</c:f>
              <c:strCache>
                <c:ptCount val="1"/>
                <c:pt idx="0">
                  <c:v>Actual</c:v>
                </c:pt>
              </c:strCache>
            </c:strRef>
          </c:tx>
          <c:spPr>
            <a:solidFill>
              <a:srgbClr val="9ECAE1"/>
            </a:solidFill>
            <a:ln>
              <a:solidFill>
                <a:sysClr val="windowText" lastClr="000000"/>
              </a:solidFill>
            </a:ln>
          </c:spPr>
          <c:invertIfNegative val="0"/>
          <c:cat>
            <c:multiLvlStrRef>
              <c:f>Ausgrid!$B$79:$C$96</c:f>
              <c:multiLvlStrCache>
                <c:ptCount val="18"/>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pt idx="15">
                    <c:v>2010-11</c:v>
                  </c:pt>
                  <c:pt idx="16">
                    <c:v>2011-12</c:v>
                  </c:pt>
                  <c:pt idx="17">
                    <c:v>2012-13</c:v>
                  </c:pt>
                </c:lvl>
                <c:lvl>
                  <c:pt idx="0">
                    <c:v>Replacement</c:v>
                  </c:pt>
                  <c:pt idx="3">
                    <c:v>Augmentation</c:v>
                  </c:pt>
                  <c:pt idx="6">
                    <c:v>Enviro, safety &amp; stat obligations</c:v>
                  </c:pt>
                  <c:pt idx="9">
                    <c:v>Reliability</c:v>
                  </c:pt>
                  <c:pt idx="12">
                    <c:v>Other system</c:v>
                  </c:pt>
                  <c:pt idx="15">
                    <c:v>Non-system</c:v>
                  </c:pt>
                </c:lvl>
              </c:multiLvlStrCache>
            </c:multiLvlStrRef>
          </c:cat>
          <c:val>
            <c:numRef>
              <c:f>Ausgrid!$J$79:$J$96</c:f>
              <c:numCache>
                <c:formatCode>"$"#,##0</c:formatCode>
                <c:ptCount val="18"/>
                <c:pt idx="0">
                  <c:v>666092673.91213298</c:v>
                </c:pt>
                <c:pt idx="1">
                  <c:v>545895175.38853705</c:v>
                </c:pt>
                <c:pt idx="2">
                  <c:v>404616410.01195985</c:v>
                </c:pt>
                <c:pt idx="3">
                  <c:v>568030533.35403287</c:v>
                </c:pt>
                <c:pt idx="4">
                  <c:v>552197612.1527431</c:v>
                </c:pt>
                <c:pt idx="5">
                  <c:v>391805151.32058001</c:v>
                </c:pt>
                <c:pt idx="6">
                  <c:v>57237689.433599308</c:v>
                </c:pt>
                <c:pt idx="7">
                  <c:v>83856661.90281865</c:v>
                </c:pt>
                <c:pt idx="8">
                  <c:v>62727642.806440003</c:v>
                </c:pt>
                <c:pt idx="9">
                  <c:v>21799136.090859942</c:v>
                </c:pt>
                <c:pt idx="10">
                  <c:v>35851336.390441641</c:v>
                </c:pt>
                <c:pt idx="11">
                  <c:v>22522345.907620005</c:v>
                </c:pt>
                <c:pt idx="12">
                  <c:v>127187945.3865854</c:v>
                </c:pt>
                <c:pt idx="13">
                  <c:v>110766335.01978768</c:v>
                </c:pt>
                <c:pt idx="14">
                  <c:v>64332474.165200002</c:v>
                </c:pt>
                <c:pt idx="15">
                  <c:v>149282868.5604265</c:v>
                </c:pt>
                <c:pt idx="16">
                  <c:v>114712404.02760369</c:v>
                </c:pt>
                <c:pt idx="17">
                  <c:v>78576399.496437401</c:v>
                </c:pt>
              </c:numCache>
            </c:numRef>
          </c:val>
        </c:ser>
        <c:dLbls>
          <c:showLegendKey val="0"/>
          <c:showVal val="0"/>
          <c:showCatName val="0"/>
          <c:showSerName val="0"/>
          <c:showPercent val="0"/>
          <c:showBubbleSize val="0"/>
        </c:dLbls>
        <c:gapWidth val="50"/>
        <c:axId val="291568256"/>
        <c:axId val="291910016"/>
      </c:barChart>
      <c:catAx>
        <c:axId val="291568256"/>
        <c:scaling>
          <c:orientation val="minMax"/>
        </c:scaling>
        <c:delete val="0"/>
        <c:axPos val="b"/>
        <c:majorTickMark val="out"/>
        <c:minorTickMark val="none"/>
        <c:tickLblPos val="nextTo"/>
        <c:txPr>
          <a:bodyPr/>
          <a:lstStyle/>
          <a:p>
            <a:pPr>
              <a:defRPr sz="600"/>
            </a:pPr>
            <a:endParaRPr lang="en-US"/>
          </a:p>
        </c:txPr>
        <c:crossAx val="291910016"/>
        <c:crosses val="autoZero"/>
        <c:auto val="1"/>
        <c:lblAlgn val="ctr"/>
        <c:lblOffset val="100"/>
        <c:noMultiLvlLbl val="0"/>
      </c:catAx>
      <c:valAx>
        <c:axId val="291910016"/>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291568256"/>
        <c:crosses val="autoZero"/>
        <c:crossBetween val="between"/>
      </c:valAx>
    </c:plotArea>
    <c:legend>
      <c:legendPos val="b"/>
      <c:layout>
        <c:manualLayout>
          <c:xMode val="edge"/>
          <c:yMode val="edge"/>
          <c:x val="0.2573040244969379"/>
          <c:y val="0.88850503062117236"/>
          <c:w val="0.71594750656167983"/>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RAB!$A$9</c:f>
              <c:strCache>
                <c:ptCount val="1"/>
                <c:pt idx="0">
                  <c:v>Forecast</c:v>
                </c:pt>
              </c:strCache>
            </c:strRef>
          </c:tx>
          <c:spPr>
            <a:pattFill prst="dkUpDiag">
              <a:fgClr>
                <a:srgbClr val="9ECAE1"/>
              </a:fgClr>
              <a:bgClr>
                <a:sysClr val="windowText" lastClr="000000"/>
              </a:bgClr>
            </a:pattFill>
            <a:ln>
              <a:solidFill>
                <a:schemeClr val="tx1"/>
              </a:solidFill>
            </a:ln>
          </c:spPr>
          <c:invertIfNegative val="0"/>
          <c:cat>
            <c:multiLvlStrRef>
              <c:f>RAB!$B$3:$J$4</c:f>
              <c:multiLvlStrCache>
                <c:ptCount val="9"/>
                <c:lvl>
                  <c:pt idx="0">
                    <c:v>2004-05</c:v>
                  </c:pt>
                  <c:pt idx="1">
                    <c:v>2005-06</c:v>
                  </c:pt>
                  <c:pt idx="2">
                    <c:v>2006-07</c:v>
                  </c:pt>
                  <c:pt idx="3">
                    <c:v>2007-08</c:v>
                  </c:pt>
                  <c:pt idx="4">
                    <c:v>2008-09</c:v>
                  </c:pt>
                  <c:pt idx="5">
                    <c:v>2009-10*</c:v>
                  </c:pt>
                  <c:pt idx="6">
                    <c:v>2010-11*</c:v>
                  </c:pt>
                  <c:pt idx="7">
                    <c:v>2011-12*</c:v>
                  </c:pt>
                  <c:pt idx="8">
                    <c:v>2012-13*</c:v>
                  </c:pt>
                </c:lvl>
                <c:lvl>
                  <c:pt idx="0">
                    <c:v>IPART</c:v>
                  </c:pt>
                  <c:pt idx="5">
                    <c:v>AER</c:v>
                  </c:pt>
                </c:lvl>
              </c:multiLvlStrCache>
            </c:multiLvlStrRef>
          </c:cat>
          <c:val>
            <c:numRef>
              <c:f>RAB!$B$9:$J$9</c:f>
              <c:numCache>
                <c:formatCode>_-"$"* #,##0_-;\-"$"* #,##0_-;_-"$"* "-"??_-;_-@_-</c:formatCode>
                <c:ptCount val="9"/>
                <c:pt idx="0">
                  <c:v>5633414359.8597832</c:v>
                </c:pt>
                <c:pt idx="1">
                  <c:v>6041999540.2235012</c:v>
                </c:pt>
                <c:pt idx="2">
                  <c:v>6448343957.9278421</c:v>
                </c:pt>
                <c:pt idx="3">
                  <c:v>6841913744.5706749</c:v>
                </c:pt>
                <c:pt idx="4">
                  <c:v>7244597573.2193499</c:v>
                </c:pt>
                <c:pt idx="5">
                  <c:v>9211203918.9507275</c:v>
                </c:pt>
                <c:pt idx="6">
                  <c:v>10421457802.853807</c:v>
                </c:pt>
                <c:pt idx="7">
                  <c:v>11627091718.466772</c:v>
                </c:pt>
                <c:pt idx="8">
                  <c:v>12646815396.915802</c:v>
                </c:pt>
              </c:numCache>
            </c:numRef>
          </c:val>
        </c:ser>
        <c:ser>
          <c:idx val="1"/>
          <c:order val="1"/>
          <c:tx>
            <c:strRef>
              <c:f>RAB!$A$10</c:f>
              <c:strCache>
                <c:ptCount val="1"/>
                <c:pt idx="0">
                  <c:v>Actual</c:v>
                </c:pt>
              </c:strCache>
            </c:strRef>
          </c:tx>
          <c:spPr>
            <a:solidFill>
              <a:srgbClr val="9ECAE1"/>
            </a:solidFill>
            <a:ln>
              <a:solidFill>
                <a:schemeClr val="tx1"/>
              </a:solidFill>
            </a:ln>
          </c:spPr>
          <c:invertIfNegative val="0"/>
          <c:cat>
            <c:multiLvlStrRef>
              <c:f>RAB!$B$3:$J$4</c:f>
              <c:multiLvlStrCache>
                <c:ptCount val="9"/>
                <c:lvl>
                  <c:pt idx="0">
                    <c:v>2004-05</c:v>
                  </c:pt>
                  <c:pt idx="1">
                    <c:v>2005-06</c:v>
                  </c:pt>
                  <c:pt idx="2">
                    <c:v>2006-07</c:v>
                  </c:pt>
                  <c:pt idx="3">
                    <c:v>2007-08</c:v>
                  </c:pt>
                  <c:pt idx="4">
                    <c:v>2008-09</c:v>
                  </c:pt>
                  <c:pt idx="5">
                    <c:v>2009-10*</c:v>
                  </c:pt>
                  <c:pt idx="6">
                    <c:v>2010-11*</c:v>
                  </c:pt>
                  <c:pt idx="7">
                    <c:v>2011-12*</c:v>
                  </c:pt>
                  <c:pt idx="8">
                    <c:v>2012-13*</c:v>
                  </c:pt>
                </c:lvl>
                <c:lvl>
                  <c:pt idx="0">
                    <c:v>IPART</c:v>
                  </c:pt>
                  <c:pt idx="5">
                    <c:v>AER</c:v>
                  </c:pt>
                </c:lvl>
              </c:multiLvlStrCache>
            </c:multiLvlStrRef>
          </c:cat>
          <c:val>
            <c:numRef>
              <c:f>RAB!$B$10:$J$10</c:f>
              <c:numCache>
                <c:formatCode>_-"$"* #,##0_-;\-"$"* #,##0_-;_-"$"* "-"??_-;_-@_-</c:formatCode>
                <c:ptCount val="9"/>
                <c:pt idx="0">
                  <c:v>5619543455.3341188</c:v>
                </c:pt>
                <c:pt idx="1">
                  <c:v>6094755554.5023308</c:v>
                </c:pt>
                <c:pt idx="2">
                  <c:v>6794900961.8888025</c:v>
                </c:pt>
                <c:pt idx="3">
                  <c:v>7414768566.7470598</c:v>
                </c:pt>
                <c:pt idx="4">
                  <c:v>8319256537.1067514</c:v>
                </c:pt>
                <c:pt idx="5">
                  <c:v>9062562179.75214</c:v>
                </c:pt>
                <c:pt idx="6">
                  <c:v>10219590714.911308</c:v>
                </c:pt>
                <c:pt idx="7">
                  <c:v>11334284721.76087</c:v>
                </c:pt>
                <c:pt idx="8">
                  <c:v>11757578712.568398</c:v>
                </c:pt>
              </c:numCache>
            </c:numRef>
          </c:val>
        </c:ser>
        <c:dLbls>
          <c:showLegendKey val="0"/>
          <c:showVal val="0"/>
          <c:showCatName val="0"/>
          <c:showSerName val="0"/>
          <c:showPercent val="0"/>
          <c:showBubbleSize val="0"/>
        </c:dLbls>
        <c:gapWidth val="50"/>
        <c:axId val="291918976"/>
        <c:axId val="291920512"/>
      </c:barChart>
      <c:catAx>
        <c:axId val="291918976"/>
        <c:scaling>
          <c:orientation val="minMax"/>
        </c:scaling>
        <c:delete val="0"/>
        <c:axPos val="b"/>
        <c:majorTickMark val="out"/>
        <c:minorTickMark val="none"/>
        <c:tickLblPos val="nextTo"/>
        <c:txPr>
          <a:bodyPr/>
          <a:lstStyle/>
          <a:p>
            <a:pPr>
              <a:defRPr sz="800"/>
            </a:pPr>
            <a:endParaRPr lang="en-US"/>
          </a:p>
        </c:txPr>
        <c:crossAx val="291920512"/>
        <c:crosses val="autoZero"/>
        <c:auto val="1"/>
        <c:lblAlgn val="ctr"/>
        <c:lblOffset val="100"/>
        <c:noMultiLvlLbl val="0"/>
      </c:catAx>
      <c:valAx>
        <c:axId val="291920512"/>
        <c:scaling>
          <c:orientation val="minMax"/>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bn&quot;" sourceLinked="0"/>
        <c:majorTickMark val="out"/>
        <c:minorTickMark val="none"/>
        <c:tickLblPos val="nextTo"/>
        <c:txPr>
          <a:bodyPr/>
          <a:lstStyle/>
          <a:p>
            <a:pPr>
              <a:defRPr sz="800"/>
            </a:pPr>
            <a:endParaRPr lang="en-US"/>
          </a:p>
        </c:txPr>
        <c:crossAx val="291918976"/>
        <c:crosses val="autoZero"/>
        <c:crossBetween val="between"/>
      </c:valAx>
    </c:plotArea>
    <c:legend>
      <c:legendPos val="b"/>
      <c:layout>
        <c:manualLayout>
          <c:xMode val="edge"/>
          <c:yMode val="edge"/>
          <c:x val="0.23641206820978364"/>
          <c:y val="0.88850503062117236"/>
          <c:w val="0.73128387120623994"/>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Ausgrid!$K$52</c:f>
              <c:strCache>
                <c:ptCount val="1"/>
                <c:pt idx="0">
                  <c:v>Forecast (inc. amendments)
</c:v>
                </c:pt>
              </c:strCache>
            </c:strRef>
          </c:tx>
          <c:spPr>
            <a:pattFill prst="dkUpDiag">
              <a:fgClr>
                <a:srgbClr val="9ECAE1"/>
              </a:fgClr>
              <a:bgClr>
                <a:sysClr val="windowText" lastClr="000000"/>
              </a:bgClr>
            </a:pattFill>
            <a:ln>
              <a:solidFill>
                <a:schemeClr val="tx1"/>
              </a:solidFill>
            </a:ln>
          </c:spPr>
          <c:invertIfNegative val="0"/>
          <c:cat>
            <c:multiLvlStrRef>
              <c:f>Ausgrid!$B$53:$C$62</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Ausgrid!$K$53:$K$62</c:f>
              <c:numCache>
                <c:formatCode>"$"#,##0</c:formatCode>
                <c:ptCount val="10"/>
                <c:pt idx="0">
                  <c:v>356510457.77325565</c:v>
                </c:pt>
                <c:pt idx="1">
                  <c:v>370362754.73133504</c:v>
                </c:pt>
                <c:pt idx="2">
                  <c:v>380573701.90337324</c:v>
                </c:pt>
                <c:pt idx="3">
                  <c:v>386309658.96778703</c:v>
                </c:pt>
                <c:pt idx="4">
                  <c:v>387969792.05800623</c:v>
                </c:pt>
                <c:pt idx="5">
                  <c:v>515765545.08098716</c:v>
                </c:pt>
                <c:pt idx="6">
                  <c:v>527558624.15297449</c:v>
                </c:pt>
                <c:pt idx="7">
                  <c:v>539639794.30616283</c:v>
                </c:pt>
                <c:pt idx="8">
                  <c:v>550223199.91958392</c:v>
                </c:pt>
                <c:pt idx="9">
                  <c:v>552458869.9326179</c:v>
                </c:pt>
              </c:numCache>
            </c:numRef>
          </c:val>
        </c:ser>
        <c:ser>
          <c:idx val="1"/>
          <c:order val="1"/>
          <c:tx>
            <c:strRef>
              <c:f>Ausgrid!$Q$52</c:f>
              <c:strCache>
                <c:ptCount val="1"/>
                <c:pt idx="0">
                  <c:v>Actual</c:v>
                </c:pt>
              </c:strCache>
            </c:strRef>
          </c:tx>
          <c:spPr>
            <a:solidFill>
              <a:srgbClr val="9ECAE1"/>
            </a:solidFill>
            <a:ln>
              <a:solidFill>
                <a:sysClr val="windowText" lastClr="000000"/>
              </a:solidFill>
            </a:ln>
          </c:spPr>
          <c:invertIfNegative val="0"/>
          <c:cat>
            <c:multiLvlStrRef>
              <c:f>Ausgrid!$B$53:$C$62</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Ausgrid!$Q$53:$Q$62</c:f>
              <c:numCache>
                <c:formatCode>"$"#,##0</c:formatCode>
                <c:ptCount val="10"/>
                <c:pt idx="0">
                  <c:v>366144810.57268721</c:v>
                </c:pt>
                <c:pt idx="1">
                  <c:v>439242630.85399449</c:v>
                </c:pt>
                <c:pt idx="2">
                  <c:v>384132852.59097767</c:v>
                </c:pt>
                <c:pt idx="3">
                  <c:v>539569906.05766094</c:v>
                </c:pt>
                <c:pt idx="4">
                  <c:v>500157106.6793288</c:v>
                </c:pt>
                <c:pt idx="5">
                  <c:v>552060139.19975734</c:v>
                </c:pt>
                <c:pt idx="6">
                  <c:v>527388310.40439421</c:v>
                </c:pt>
                <c:pt idx="7">
                  <c:v>583396671.03917551</c:v>
                </c:pt>
                <c:pt idx="8">
                  <c:v>462929560.215105</c:v>
                </c:pt>
                <c:pt idx="9">
                  <c:v>#N/A</c:v>
                </c:pt>
              </c:numCache>
            </c:numRef>
          </c:val>
        </c:ser>
        <c:dLbls>
          <c:showLegendKey val="0"/>
          <c:showVal val="0"/>
          <c:showCatName val="0"/>
          <c:showSerName val="0"/>
          <c:showPercent val="0"/>
          <c:showBubbleSize val="0"/>
        </c:dLbls>
        <c:gapWidth val="50"/>
        <c:axId val="291942400"/>
        <c:axId val="291943936"/>
      </c:barChart>
      <c:catAx>
        <c:axId val="291942400"/>
        <c:scaling>
          <c:orientation val="minMax"/>
        </c:scaling>
        <c:delete val="0"/>
        <c:axPos val="b"/>
        <c:majorTickMark val="out"/>
        <c:minorTickMark val="none"/>
        <c:tickLblPos val="nextTo"/>
        <c:txPr>
          <a:bodyPr/>
          <a:lstStyle/>
          <a:p>
            <a:pPr>
              <a:defRPr sz="750"/>
            </a:pPr>
            <a:endParaRPr lang="en-US"/>
          </a:p>
        </c:txPr>
        <c:crossAx val="291943936"/>
        <c:crosses val="autoZero"/>
        <c:auto val="1"/>
        <c:lblAlgn val="ctr"/>
        <c:lblOffset val="100"/>
        <c:noMultiLvlLbl val="0"/>
      </c:catAx>
      <c:valAx>
        <c:axId val="291943936"/>
        <c:scaling>
          <c:orientation val="minMax"/>
          <c:max val="60000000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291942400"/>
        <c:crosses val="autoZero"/>
        <c:crossBetween val="between"/>
      </c:valAx>
    </c:plotArea>
    <c:legend>
      <c:legendPos val="b"/>
      <c:layout>
        <c:manualLayout>
          <c:xMode val="edge"/>
          <c:yMode val="edge"/>
          <c:x val="0.2656373578302712"/>
          <c:y val="0.88850503062117236"/>
          <c:w val="0.7032136920384951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Ausgrid!$K$39</c:f>
              <c:strCache>
                <c:ptCount val="1"/>
                <c:pt idx="0">
                  <c:v>Forecast (inc. amendments)
</c:v>
                </c:pt>
              </c:strCache>
            </c:strRef>
          </c:tx>
          <c:spPr>
            <a:pattFill prst="dkUpDiag">
              <a:fgClr>
                <a:srgbClr val="9ECAE1"/>
              </a:fgClr>
              <a:bgClr>
                <a:sysClr val="windowText" lastClr="000000"/>
              </a:bgClr>
            </a:pattFill>
            <a:ln>
              <a:solidFill>
                <a:schemeClr val="tx1"/>
              </a:solidFill>
            </a:ln>
          </c:spPr>
          <c:invertIfNegative val="0"/>
          <c:cat>
            <c:multiLvlStrRef>
              <c:f>Ausgrid!$B$40:$C$49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Ausgrid!$K$40:$K$49</c:f>
              <c:numCache>
                <c:formatCode>"$"#,##0</c:formatCode>
                <c:ptCount val="10"/>
                <c:pt idx="0">
                  <c:v>881617675.58466828</c:v>
                </c:pt>
                <c:pt idx="1">
                  <c:v>887415475.85193276</c:v>
                </c:pt>
                <c:pt idx="2">
                  <c:v>932077146.79696739</c:v>
                </c:pt>
                <c:pt idx="3">
                  <c:v>962418491.55719554</c:v>
                </c:pt>
                <c:pt idx="4">
                  <c:v>995769212.51285887</c:v>
                </c:pt>
                <c:pt idx="5">
                  <c:v>1304905503.6864452</c:v>
                </c:pt>
                <c:pt idx="6">
                  <c:v>1516845519.0654616</c:v>
                </c:pt>
                <c:pt idx="7">
                  <c:v>1764706299.352376</c:v>
                </c:pt>
                <c:pt idx="8">
                  <c:v>2044511961.6417089</c:v>
                </c:pt>
                <c:pt idx="9">
                  <c:v>2007410557.9156451</c:v>
                </c:pt>
              </c:numCache>
            </c:numRef>
          </c:val>
        </c:ser>
        <c:ser>
          <c:idx val="1"/>
          <c:order val="1"/>
          <c:tx>
            <c:strRef>
              <c:f>Ausgrid!$Q$39</c:f>
              <c:strCache>
                <c:ptCount val="1"/>
                <c:pt idx="0">
                  <c:v>Actual</c:v>
                </c:pt>
              </c:strCache>
            </c:strRef>
          </c:tx>
          <c:spPr>
            <a:solidFill>
              <a:srgbClr val="9ECAE1"/>
            </a:solidFill>
            <a:ln>
              <a:solidFill>
                <a:sysClr val="windowText" lastClr="000000"/>
              </a:solidFill>
            </a:ln>
          </c:spPr>
          <c:invertIfNegative val="0"/>
          <c:cat>
            <c:multiLvlStrRef>
              <c:f>Ausgrid!$B$40:$C$49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Ausgrid!$Q$40:$Q$49</c:f>
              <c:numCache>
                <c:formatCode>"$"#,##0</c:formatCode>
                <c:ptCount val="10"/>
                <c:pt idx="0">
                  <c:v>1020576775.3303964</c:v>
                </c:pt>
                <c:pt idx="1">
                  <c:v>1022646315.4269972</c:v>
                </c:pt>
                <c:pt idx="2">
                  <c:v>1051726781.8212309</c:v>
                </c:pt>
                <c:pt idx="3">
                  <c:v>1101453287.981859</c:v>
                </c:pt>
                <c:pt idx="4">
                  <c:v>1165696993.543335</c:v>
                </c:pt>
                <c:pt idx="5">
                  <c:v>1361557530.7143943</c:v>
                </c:pt>
                <c:pt idx="6">
                  <c:v>1627881523.4885337</c:v>
                </c:pt>
                <c:pt idx="7">
                  <c:v>1855062787.9169228</c:v>
                </c:pt>
                <c:pt idx="8">
                  <c:v>2183844799.4468899</c:v>
                </c:pt>
                <c:pt idx="9">
                  <c:v>#N/A</c:v>
                </c:pt>
              </c:numCache>
            </c:numRef>
          </c:val>
        </c:ser>
        <c:dLbls>
          <c:showLegendKey val="0"/>
          <c:showVal val="0"/>
          <c:showCatName val="0"/>
          <c:showSerName val="0"/>
          <c:showPercent val="0"/>
          <c:showBubbleSize val="0"/>
        </c:dLbls>
        <c:gapWidth val="50"/>
        <c:axId val="308291840"/>
        <c:axId val="308314112"/>
      </c:barChart>
      <c:catAx>
        <c:axId val="308291840"/>
        <c:scaling>
          <c:orientation val="minMax"/>
        </c:scaling>
        <c:delete val="0"/>
        <c:axPos val="b"/>
        <c:majorTickMark val="out"/>
        <c:minorTickMark val="none"/>
        <c:tickLblPos val="nextTo"/>
        <c:txPr>
          <a:bodyPr/>
          <a:lstStyle/>
          <a:p>
            <a:pPr>
              <a:defRPr sz="750"/>
            </a:pPr>
            <a:endParaRPr lang="en-US"/>
          </a:p>
        </c:txPr>
        <c:crossAx val="308314112"/>
        <c:crosses val="autoZero"/>
        <c:auto val="1"/>
        <c:lblAlgn val="ctr"/>
        <c:lblOffset val="100"/>
        <c:noMultiLvlLbl val="0"/>
      </c:catAx>
      <c:valAx>
        <c:axId val="308314112"/>
        <c:scaling>
          <c:orientation val="minMax"/>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08291840"/>
        <c:crosses val="autoZero"/>
        <c:crossBetween val="between"/>
      </c:valAx>
    </c:plotArea>
    <c:legend>
      <c:legendPos val="b"/>
      <c:layout>
        <c:manualLayout>
          <c:xMode val="edge"/>
          <c:yMode val="edge"/>
          <c:x val="0.27674846894138233"/>
          <c:y val="0.88850503062117236"/>
          <c:w val="0.682614173228346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Ausgrid!$L$112</c:f>
              <c:strCache>
                <c:ptCount val="1"/>
                <c:pt idx="0">
                  <c:v>EBIT ($Dec 2012)</c:v>
                </c:pt>
              </c:strCache>
            </c:strRef>
          </c:tx>
          <c:spPr>
            <a:solidFill>
              <a:srgbClr val="9ECAE1"/>
            </a:solidFill>
            <a:ln>
              <a:solidFill>
                <a:schemeClr val="tx1"/>
              </a:solidFill>
            </a:ln>
          </c:spPr>
          <c:invertIfNegative val="0"/>
          <c:cat>
            <c:multiLvlStrRef>
              <c:f>Ausgrid!$B$113:$C$115</c:f>
              <c:multiLvlStrCache>
                <c:ptCount val="3"/>
                <c:lvl>
                  <c:pt idx="0">
                    <c:v>2010-11</c:v>
                  </c:pt>
                  <c:pt idx="1">
                    <c:v>2011-12</c:v>
                  </c:pt>
                  <c:pt idx="2">
                    <c:v>2012-13</c:v>
                  </c:pt>
                </c:lvl>
                <c:lvl>
                  <c:pt idx="0">
                    <c:v>AER</c:v>
                  </c:pt>
                </c:lvl>
              </c:multiLvlStrCache>
            </c:multiLvlStrRef>
          </c:cat>
          <c:val>
            <c:numRef>
              <c:f>Ausgrid!$L$113:$L$115</c:f>
              <c:numCache>
                <c:formatCode>"$"#,##0</c:formatCode>
                <c:ptCount val="3"/>
                <c:pt idx="0">
                  <c:v>856694194.43052948</c:v>
                </c:pt>
                <c:pt idx="1">
                  <c:v>981468045.12414801</c:v>
                </c:pt>
                <c:pt idx="2">
                  <c:v>847268104.48673201</c:v>
                </c:pt>
              </c:numCache>
            </c:numRef>
          </c:val>
        </c:ser>
        <c:dLbls>
          <c:showLegendKey val="0"/>
          <c:showVal val="0"/>
          <c:showCatName val="0"/>
          <c:showSerName val="0"/>
          <c:showPercent val="0"/>
          <c:showBubbleSize val="0"/>
        </c:dLbls>
        <c:gapWidth val="50"/>
        <c:axId val="308326784"/>
        <c:axId val="308328704"/>
      </c:barChart>
      <c:catAx>
        <c:axId val="308326784"/>
        <c:scaling>
          <c:orientation val="minMax"/>
        </c:scaling>
        <c:delete val="0"/>
        <c:axPos val="b"/>
        <c:title>
          <c:tx>
            <c:rich>
              <a:bodyPr/>
              <a:lstStyle/>
              <a:p>
                <a:pPr algn="l">
                  <a:defRPr/>
                </a:pPr>
                <a:r>
                  <a:rPr lang="en-AU" b="0"/>
                  <a:t>*EBIT</a:t>
                </a:r>
                <a:r>
                  <a:rPr lang="en-AU" b="0" baseline="0"/>
                  <a:t> was provided by Ausgridfor the  2010-11 and 2011-12 regulatory years. The 2012-13 EBIT figure was not requested . For the purpose of this analysis 2012-13 EBIT is the sum of </a:t>
                </a:r>
                <a:r>
                  <a:rPr lang="en-AU" b="0" i="1" baseline="0"/>
                  <a:t>profit before tax</a:t>
                </a:r>
                <a:r>
                  <a:rPr lang="en-AU" b="0" baseline="0"/>
                  <a:t> and </a:t>
                </a:r>
                <a:r>
                  <a:rPr lang="en-AU" b="0" i="1" baseline="0"/>
                  <a:t>finance charges</a:t>
                </a:r>
                <a:r>
                  <a:rPr lang="en-AU" b="0" baseline="0"/>
                  <a:t>.</a:t>
                </a:r>
                <a:endParaRPr lang="en-AU"/>
              </a:p>
            </c:rich>
          </c:tx>
          <c:layout>
            <c:manualLayout>
              <c:xMode val="edge"/>
              <c:yMode val="edge"/>
              <c:x val="0.19082174103237096"/>
              <c:y val="0.83525444736074661"/>
            </c:manualLayout>
          </c:layout>
          <c:overlay val="0"/>
        </c:title>
        <c:majorTickMark val="out"/>
        <c:minorTickMark val="none"/>
        <c:tickLblPos val="nextTo"/>
        <c:crossAx val="308328704"/>
        <c:crosses val="autoZero"/>
        <c:auto val="1"/>
        <c:lblAlgn val="ctr"/>
        <c:lblOffset val="100"/>
        <c:noMultiLvlLbl val="0"/>
      </c:catAx>
      <c:valAx>
        <c:axId val="308328704"/>
        <c:scaling>
          <c:orientation val="minMax"/>
          <c:max val="1000000000"/>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08326784"/>
        <c:crosses val="autoZero"/>
        <c:crossBetween val="between"/>
        <c:majorUnit val="200000000"/>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Revenue!$F$72</c:f>
              <c:strCache>
                <c:ptCount val="1"/>
                <c:pt idx="0">
                  <c:v>Forecast (inc. amendments)</c:v>
                </c:pt>
              </c:strCache>
            </c:strRef>
          </c:tx>
          <c:spPr>
            <a:pattFill prst="dkUpDiag">
              <a:fgClr>
                <a:sysClr val="windowText" lastClr="000000"/>
              </a:fgClr>
              <a:bgClr>
                <a:sysClr val="window" lastClr="FFFFFF"/>
              </a:bgClr>
            </a:patt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Revenue!$G$71:$L$71</c:f>
              <c:strCache>
                <c:ptCount val="6"/>
                <c:pt idx="0">
                  <c:v>2008</c:v>
                </c:pt>
                <c:pt idx="1">
                  <c:v>2009</c:v>
                </c:pt>
                <c:pt idx="2">
                  <c:v>2010</c:v>
                </c:pt>
                <c:pt idx="3">
                  <c:v>2011</c:v>
                </c:pt>
                <c:pt idx="4">
                  <c:v>2012</c:v>
                </c:pt>
                <c:pt idx="5">
                  <c:v>2013</c:v>
                </c:pt>
              </c:strCache>
            </c:strRef>
          </c:cat>
          <c:val>
            <c:numRef>
              <c:f>Revenue!$G$72:$L$72</c:f>
              <c:numCache>
                <c:formatCode>"$"#,##0</c:formatCode>
                <c:ptCount val="6"/>
                <c:pt idx="0">
                  <c:v>6624155763.3514643</c:v>
                </c:pt>
                <c:pt idx="1">
                  <c:v>6892608185.280529</c:v>
                </c:pt>
                <c:pt idx="2">
                  <c:v>7550308080.5824862</c:v>
                </c:pt>
                <c:pt idx="3">
                  <c:v>8506457243.0004377</c:v>
                </c:pt>
                <c:pt idx="4">
                  <c:v>9464007838.9861927</c:v>
                </c:pt>
                <c:pt idx="5">
                  <c:v>10431296291.126942</c:v>
                </c:pt>
              </c:numCache>
            </c:numRef>
          </c:val>
        </c:ser>
        <c:ser>
          <c:idx val="1"/>
          <c:order val="1"/>
          <c:tx>
            <c:strRef>
              <c:f>Revenue!$F$73</c:f>
              <c:strCache>
                <c:ptCount val="1"/>
                <c:pt idx="0">
                  <c:v>Actual</c:v>
                </c:pt>
              </c:strCache>
            </c:strRef>
          </c:tx>
          <c:spPr>
            <a:solidFill>
              <a:sysClr val="windowText" lastClr="000000"/>
            </a:solidFill>
            <a:ln>
              <a:solidFill>
                <a:schemeClr val="tx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cat>
            <c:strRef>
              <c:f>Revenue!$G$71:$L$71</c:f>
              <c:strCache>
                <c:ptCount val="6"/>
                <c:pt idx="0">
                  <c:v>2008</c:v>
                </c:pt>
                <c:pt idx="1">
                  <c:v>2009</c:v>
                </c:pt>
                <c:pt idx="2">
                  <c:v>2010</c:v>
                </c:pt>
                <c:pt idx="3">
                  <c:v>2011</c:v>
                </c:pt>
                <c:pt idx="4">
                  <c:v>2012</c:v>
                </c:pt>
                <c:pt idx="5">
                  <c:v>2013</c:v>
                </c:pt>
              </c:strCache>
            </c:strRef>
          </c:cat>
          <c:val>
            <c:numRef>
              <c:f>Revenue!$G$73:$L$73</c:f>
              <c:numCache>
                <c:formatCode>"$"#,##0</c:formatCode>
                <c:ptCount val="6"/>
                <c:pt idx="0">
                  <c:v>6816341069.4141178</c:v>
                </c:pt>
                <c:pt idx="1">
                  <c:v>7107739548.9132528</c:v>
                </c:pt>
                <c:pt idx="2">
                  <c:v>7729149036.4147511</c:v>
                </c:pt>
                <c:pt idx="3">
                  <c:v>8398923859.7257338</c:v>
                </c:pt>
                <c:pt idx="4">
                  <c:v>9403922106.5451298</c:v>
                </c:pt>
                <c:pt idx="5">
                  <c:v>10439289224.081285</c:v>
                </c:pt>
              </c:numCache>
            </c:numRef>
          </c:val>
        </c:ser>
        <c:dLbls>
          <c:showLegendKey val="0"/>
          <c:showVal val="0"/>
          <c:showCatName val="0"/>
          <c:showSerName val="0"/>
          <c:showPercent val="0"/>
          <c:showBubbleSize val="0"/>
        </c:dLbls>
        <c:gapWidth val="50"/>
        <c:axId val="358440960"/>
        <c:axId val="358442880"/>
      </c:barChart>
      <c:catAx>
        <c:axId val="358440960"/>
        <c:scaling>
          <c:orientation val="minMax"/>
        </c:scaling>
        <c:delete val="0"/>
        <c:axPos val="b"/>
        <c:majorTickMark val="out"/>
        <c:minorTickMark val="none"/>
        <c:tickLblPos val="nextTo"/>
        <c:txPr>
          <a:bodyPr/>
          <a:lstStyle/>
          <a:p>
            <a:pPr>
              <a:defRPr sz="700"/>
            </a:pPr>
            <a:endParaRPr lang="en-US"/>
          </a:p>
        </c:txPr>
        <c:crossAx val="358442880"/>
        <c:crosses val="autoZero"/>
        <c:auto val="1"/>
        <c:lblAlgn val="ctr"/>
        <c:lblOffset val="100"/>
        <c:noMultiLvlLbl val="0"/>
      </c:catAx>
      <c:valAx>
        <c:axId val="358442880"/>
        <c:scaling>
          <c:orientation val="minMax"/>
          <c:min val="0"/>
        </c:scaling>
        <c:delete val="0"/>
        <c:axPos val="l"/>
        <c:title>
          <c:tx>
            <c:rich>
              <a:bodyPr rot="0" vert="horz"/>
              <a:lstStyle/>
              <a:p>
                <a:pPr>
                  <a:defRPr sz="800"/>
                </a:pPr>
                <a:r>
                  <a:rPr lang="en-AU"/>
                  <a:t>Revenue</a:t>
                </a:r>
              </a:p>
              <a:p>
                <a:pPr>
                  <a:defRPr sz="800"/>
                </a:pPr>
                <a:r>
                  <a:rPr lang="en-AU"/>
                  <a:t>($Dec 2012)</a:t>
                </a:r>
              </a:p>
            </c:rich>
          </c:tx>
          <c:layout/>
          <c:overlay val="0"/>
        </c:title>
        <c:numFmt formatCode="&quot;$&quot;0,,,&quot;b&quot;" sourceLinked="0"/>
        <c:majorTickMark val="out"/>
        <c:minorTickMark val="none"/>
        <c:tickLblPos val="nextTo"/>
        <c:txPr>
          <a:bodyPr/>
          <a:lstStyle/>
          <a:p>
            <a:pPr>
              <a:defRPr sz="800"/>
            </a:pPr>
            <a:endParaRPr lang="en-US"/>
          </a:p>
        </c:txPr>
        <c:crossAx val="358440960"/>
        <c:crosses val="autoZero"/>
        <c:crossBetween val="between"/>
      </c:valAx>
    </c:plotArea>
    <c:legend>
      <c:legendPos val="b"/>
      <c:layout>
        <c:manualLayout>
          <c:xMode val="edge"/>
          <c:yMode val="edge"/>
          <c:x val="0.22952624671916011"/>
          <c:y val="0.88850503062117236"/>
          <c:w val="0.73816972878390197"/>
          <c:h val="8.3717191601049873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'Endeavour Energy'!$B$24</c:f>
              <c:strCache>
                <c:ptCount val="1"/>
                <c:pt idx="0">
                  <c:v>Forecast</c:v>
                </c:pt>
              </c:strCache>
            </c:strRef>
          </c:tx>
          <c:spPr>
            <a:pattFill prst="dkUpDiag">
              <a:fgClr>
                <a:srgbClr val="DEEBF7"/>
              </a:fgClr>
              <a:bgClr>
                <a:sysClr val="windowText" lastClr="000000"/>
              </a:bgClr>
            </a:pattFill>
            <a:ln>
              <a:solidFill>
                <a:sysClr val="windowText" lastClr="000000"/>
              </a:solidFill>
            </a:ln>
          </c:spPr>
          <c:invertIfNegative val="0"/>
          <c:cat>
            <c:multiLvlStrRef>
              <c:f>'Endeavour Energy'!$C$20:$L$21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Energy'!$C$24:$L$24</c:f>
              <c:numCache>
                <c:formatCode>#,##0</c:formatCode>
                <c:ptCount val="10"/>
                <c:pt idx="0">
                  <c:v>17376</c:v>
                </c:pt>
                <c:pt idx="1">
                  <c:v>17796</c:v>
                </c:pt>
                <c:pt idx="2">
                  <c:v>18091</c:v>
                </c:pt>
                <c:pt idx="3">
                  <c:v>18483</c:v>
                </c:pt>
                <c:pt idx="4">
                  <c:v>18860</c:v>
                </c:pt>
                <c:pt idx="5">
                  <c:v>17373</c:v>
                </c:pt>
                <c:pt idx="6">
                  <c:v>17313</c:v>
                </c:pt>
                <c:pt idx="7">
                  <c:v>17526</c:v>
                </c:pt>
                <c:pt idx="8">
                  <c:v>17967</c:v>
                </c:pt>
                <c:pt idx="9">
                  <c:v>18202</c:v>
                </c:pt>
              </c:numCache>
            </c:numRef>
          </c:val>
        </c:ser>
        <c:ser>
          <c:idx val="1"/>
          <c:order val="1"/>
          <c:tx>
            <c:strRef>
              <c:f>'Endeavour Energy'!$B$22</c:f>
              <c:strCache>
                <c:ptCount val="1"/>
                <c:pt idx="0">
                  <c:v>Actual</c:v>
                </c:pt>
              </c:strCache>
            </c:strRef>
          </c:tx>
          <c:spPr>
            <a:solidFill>
              <a:srgbClr val="DEEBF7"/>
            </a:solidFill>
            <a:ln>
              <a:solidFill>
                <a:sysClr val="windowText" lastClr="000000"/>
              </a:solidFill>
            </a:ln>
          </c:spPr>
          <c:invertIfNegative val="0"/>
          <c:cat>
            <c:multiLvlStrRef>
              <c:f>'Endeavour Energy'!$C$20:$L$21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Energy'!$C$22:$L$22</c:f>
              <c:numCache>
                <c:formatCode>_-* #,##0_-;\-* #,##0_-;_-* "-"??_-;_-@_-</c:formatCode>
                <c:ptCount val="10"/>
                <c:pt idx="1">
                  <c:v>17196</c:v>
                </c:pt>
                <c:pt idx="2">
                  <c:v>17482.559368937189</c:v>
                </c:pt>
                <c:pt idx="3" formatCode="#,##0">
                  <c:v>18111.697</c:v>
                </c:pt>
                <c:pt idx="4" formatCode="#,##0">
                  <c:v>17425.962</c:v>
                </c:pt>
                <c:pt idx="5" formatCode="#,##0">
                  <c:v>17410.773000000001</c:v>
                </c:pt>
                <c:pt idx="6" formatCode="#,##0">
                  <c:v>17501.186278246016</c:v>
                </c:pt>
                <c:pt idx="7" formatCode="#,##0">
                  <c:v>16505.800201592276</c:v>
                </c:pt>
                <c:pt idx="8" formatCode="#,##0">
                  <c:v>16000.807428106313</c:v>
                </c:pt>
              </c:numCache>
            </c:numRef>
          </c:val>
        </c:ser>
        <c:dLbls>
          <c:showLegendKey val="0"/>
          <c:showVal val="0"/>
          <c:showCatName val="0"/>
          <c:showSerName val="0"/>
          <c:showPercent val="0"/>
          <c:showBubbleSize val="0"/>
        </c:dLbls>
        <c:gapWidth val="50"/>
        <c:axId val="318319616"/>
        <c:axId val="318321408"/>
      </c:barChart>
      <c:catAx>
        <c:axId val="318319616"/>
        <c:scaling>
          <c:orientation val="minMax"/>
        </c:scaling>
        <c:delete val="0"/>
        <c:axPos val="b"/>
        <c:majorTickMark val="out"/>
        <c:minorTickMark val="none"/>
        <c:tickLblPos val="nextTo"/>
        <c:txPr>
          <a:bodyPr/>
          <a:lstStyle/>
          <a:p>
            <a:pPr>
              <a:defRPr sz="800"/>
            </a:pPr>
            <a:endParaRPr lang="en-US"/>
          </a:p>
        </c:txPr>
        <c:crossAx val="318321408"/>
        <c:crosses val="autoZero"/>
        <c:auto val="1"/>
        <c:lblAlgn val="ctr"/>
        <c:lblOffset val="100"/>
        <c:noMultiLvlLbl val="0"/>
      </c:catAx>
      <c:valAx>
        <c:axId val="318321408"/>
        <c:scaling>
          <c:orientation val="minMax"/>
          <c:max val="20000"/>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18319616"/>
        <c:crosses val="autoZero"/>
        <c:crossBetween val="between"/>
        <c:majorUnit val="4000"/>
      </c:valAx>
    </c:plotArea>
    <c:legend>
      <c:legendPos val="b"/>
      <c:layout>
        <c:manualLayout>
          <c:xMode val="edge"/>
          <c:yMode val="edge"/>
          <c:x val="0.24758552055993002"/>
          <c:y val="0.89838181685622631"/>
          <c:w val="0.75241447944007001"/>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'Endeavour Energy'!$B$32</c:f>
              <c:strCache>
                <c:ptCount val="1"/>
                <c:pt idx="0">
                  <c:v>Forecast</c:v>
                </c:pt>
              </c:strCache>
            </c:strRef>
          </c:tx>
          <c:spPr>
            <a:pattFill prst="dkUpDiag">
              <a:fgClr>
                <a:srgbClr val="DEEBF7"/>
              </a:fgClr>
              <a:bgClr>
                <a:schemeClr val="tx1"/>
              </a:bgClr>
            </a:pattFill>
            <a:ln>
              <a:solidFill>
                <a:sysClr val="windowText" lastClr="000000"/>
              </a:solidFill>
            </a:ln>
          </c:spPr>
          <c:invertIfNegative val="0"/>
          <c:cat>
            <c:multiLvlStrRef>
              <c:f>'Endeavour Energy'!$C$28:$L$29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Energy'!$C$32:$L$32</c:f>
              <c:numCache>
                <c:formatCode>#,##0</c:formatCode>
                <c:ptCount val="10"/>
                <c:pt idx="0">
                  <c:v>3350</c:v>
                </c:pt>
                <c:pt idx="1">
                  <c:v>3466</c:v>
                </c:pt>
                <c:pt idx="2">
                  <c:v>3560</c:v>
                </c:pt>
                <c:pt idx="3">
                  <c:v>3671</c:v>
                </c:pt>
                <c:pt idx="4">
                  <c:v>3786</c:v>
                </c:pt>
                <c:pt idx="5">
                  <c:v>4179</c:v>
                </c:pt>
                <c:pt idx="6">
                  <c:v>4342</c:v>
                </c:pt>
                <c:pt idx="7">
                  <c:v>4509</c:v>
                </c:pt>
                <c:pt idx="8">
                  <c:v>4663</c:v>
                </c:pt>
                <c:pt idx="9">
                  <c:v>4822</c:v>
                </c:pt>
              </c:numCache>
            </c:numRef>
          </c:val>
        </c:ser>
        <c:ser>
          <c:idx val="0"/>
          <c:order val="1"/>
          <c:tx>
            <c:strRef>
              <c:f>'Endeavour Energy'!$B$30</c:f>
              <c:strCache>
                <c:ptCount val="1"/>
                <c:pt idx="0">
                  <c:v>Actual</c:v>
                </c:pt>
              </c:strCache>
            </c:strRef>
          </c:tx>
          <c:spPr>
            <a:solidFill>
              <a:srgbClr val="DEEBF7"/>
            </a:solidFill>
            <a:ln>
              <a:solidFill>
                <a:schemeClr val="tx1"/>
              </a:solidFill>
            </a:ln>
          </c:spPr>
          <c:invertIfNegative val="0"/>
          <c:cat>
            <c:multiLvlStrRef>
              <c:f>'Endeavour Energy'!$C$28:$L$29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Energy'!$C$30:$L$30</c:f>
              <c:numCache>
                <c:formatCode>#,##0</c:formatCode>
                <c:ptCount val="10"/>
                <c:pt idx="0">
                  <c:v>3432</c:v>
                </c:pt>
                <c:pt idx="1">
                  <c:v>3649.2507000000001</c:v>
                </c:pt>
                <c:pt idx="2">
                  <c:v>3454.4744000000001</c:v>
                </c:pt>
                <c:pt idx="3">
                  <c:v>3503.9137999999998</c:v>
                </c:pt>
                <c:pt idx="4">
                  <c:v>3794.01</c:v>
                </c:pt>
                <c:pt idx="5">
                  <c:v>3724.6073999999999</c:v>
                </c:pt>
                <c:pt idx="6">
                  <c:v>4002.4733000000001</c:v>
                </c:pt>
                <c:pt idx="7">
                  <c:v>3236.0454</c:v>
                </c:pt>
                <c:pt idx="8">
                  <c:v>3707.8202999999999</c:v>
                </c:pt>
              </c:numCache>
            </c:numRef>
          </c:val>
        </c:ser>
        <c:dLbls>
          <c:showLegendKey val="0"/>
          <c:showVal val="0"/>
          <c:showCatName val="0"/>
          <c:showSerName val="0"/>
          <c:showPercent val="0"/>
          <c:showBubbleSize val="0"/>
        </c:dLbls>
        <c:gapWidth val="50"/>
        <c:axId val="318354944"/>
        <c:axId val="318356480"/>
      </c:barChart>
      <c:catAx>
        <c:axId val="318354944"/>
        <c:scaling>
          <c:orientation val="minMax"/>
        </c:scaling>
        <c:delete val="0"/>
        <c:axPos val="b"/>
        <c:majorTickMark val="out"/>
        <c:minorTickMark val="none"/>
        <c:tickLblPos val="nextTo"/>
        <c:txPr>
          <a:bodyPr/>
          <a:lstStyle/>
          <a:p>
            <a:pPr>
              <a:defRPr sz="800"/>
            </a:pPr>
            <a:endParaRPr lang="en-US"/>
          </a:p>
        </c:txPr>
        <c:crossAx val="318356480"/>
        <c:crosses val="autoZero"/>
        <c:auto val="1"/>
        <c:lblAlgn val="ctr"/>
        <c:lblOffset val="100"/>
        <c:noMultiLvlLbl val="0"/>
      </c:catAx>
      <c:valAx>
        <c:axId val="318356480"/>
        <c:scaling>
          <c:orientation val="minMax"/>
          <c:max val="5000"/>
        </c:scaling>
        <c:delete val="0"/>
        <c:axPos val="l"/>
        <c:title>
          <c:tx>
            <c:rich>
              <a:bodyPr rot="0" vert="horz"/>
              <a:lstStyle/>
              <a:p>
                <a:pPr>
                  <a:defRPr/>
                </a:pPr>
                <a:r>
                  <a:rPr lang="en-US"/>
                  <a:t>Maximum</a:t>
                </a:r>
              </a:p>
              <a:p>
                <a:pPr>
                  <a:defRPr/>
                </a:pPr>
                <a:r>
                  <a:rPr lang="en-US"/>
                  <a:t>demand
(MW)</a:t>
                </a:r>
              </a:p>
            </c:rich>
          </c:tx>
          <c:layout/>
          <c:overlay val="0"/>
        </c:title>
        <c:numFmt formatCode="#,##0" sourceLinked="1"/>
        <c:majorTickMark val="out"/>
        <c:minorTickMark val="none"/>
        <c:tickLblPos val="nextTo"/>
        <c:crossAx val="318354944"/>
        <c:crosses val="autoZero"/>
        <c:crossBetween val="between"/>
        <c:majorUnit val="1000"/>
      </c:valAx>
    </c:plotArea>
    <c:legend>
      <c:legendPos val="b"/>
      <c:layout>
        <c:manualLayout>
          <c:xMode val="edge"/>
          <c:yMode val="edge"/>
          <c:x val="0.23055555555555557"/>
          <c:y val="0.89838181685622631"/>
          <c:w val="0.76944444444444449"/>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'Endeavour Energy'!$K$65</c:f>
              <c:strCache>
                <c:ptCount val="1"/>
                <c:pt idx="0">
                  <c:v>Forecast (inc. amendments)
</c:v>
                </c:pt>
              </c:strCache>
            </c:strRef>
          </c:tx>
          <c:spPr>
            <a:pattFill prst="dkUpDiag">
              <a:fgClr>
                <a:srgbClr val="DEEBF7"/>
              </a:fgClr>
              <a:bgClr>
                <a:sysClr val="windowText" lastClr="000000"/>
              </a:bgClr>
            </a:pattFill>
            <a:ln>
              <a:solidFill>
                <a:schemeClr val="tx1"/>
              </a:solidFill>
            </a:ln>
          </c:spPr>
          <c:invertIfNegative val="0"/>
          <c:cat>
            <c:multiLvlStrRef>
              <c:f>'Endeavour Energy'!$B$66:$C$75</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Energy'!$K$66:$K$75</c:f>
              <c:numCache>
                <c:formatCode>"$"#,##0</c:formatCode>
                <c:ptCount val="10"/>
                <c:pt idx="0">
                  <c:v>302557901.4295978</c:v>
                </c:pt>
                <c:pt idx="1">
                  <c:v>371366349.6469664</c:v>
                </c:pt>
                <c:pt idx="2">
                  <c:v>443129969.52758551</c:v>
                </c:pt>
                <c:pt idx="3">
                  <c:v>448994584.59346902</c:v>
                </c:pt>
                <c:pt idx="4">
                  <c:v>530635592.42311734</c:v>
                </c:pt>
                <c:pt idx="5">
                  <c:v>623298127.38414967</c:v>
                </c:pt>
                <c:pt idx="6">
                  <c:v>675722010.53543615</c:v>
                </c:pt>
                <c:pt idx="7">
                  <c:v>601673275.58424401</c:v>
                </c:pt>
                <c:pt idx="8">
                  <c:v>547065063.96832061</c:v>
                </c:pt>
                <c:pt idx="9">
                  <c:v>524566480.78256017</c:v>
                </c:pt>
              </c:numCache>
            </c:numRef>
          </c:val>
        </c:ser>
        <c:ser>
          <c:idx val="1"/>
          <c:order val="1"/>
          <c:tx>
            <c:strRef>
              <c:f>'Endeavour Energy'!$S$65</c:f>
              <c:strCache>
                <c:ptCount val="1"/>
                <c:pt idx="0">
                  <c:v>Actual</c:v>
                </c:pt>
              </c:strCache>
            </c:strRef>
          </c:tx>
          <c:spPr>
            <a:solidFill>
              <a:srgbClr val="DEEBF7"/>
            </a:solidFill>
            <a:ln>
              <a:solidFill>
                <a:sysClr val="windowText" lastClr="000000"/>
              </a:solidFill>
            </a:ln>
          </c:spPr>
          <c:invertIfNegative val="0"/>
          <c:cat>
            <c:multiLvlStrRef>
              <c:f>'Endeavour Energy'!$B$66:$C$75</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Energy'!$S$66:$S$75</c:f>
              <c:numCache>
                <c:formatCode>"$"#,##0</c:formatCode>
                <c:ptCount val="10"/>
                <c:pt idx="0">
                  <c:v>310294834.53744489</c:v>
                </c:pt>
                <c:pt idx="1">
                  <c:v>399168807.50688702</c:v>
                </c:pt>
                <c:pt idx="2">
                  <c:v>439142423.61889106</c:v>
                </c:pt>
                <c:pt idx="3">
                  <c:v>417584561.38645923</c:v>
                </c:pt>
                <c:pt idx="4">
                  <c:v>482731257.99303567</c:v>
                </c:pt>
                <c:pt idx="5">
                  <c:v>434793303.20036405</c:v>
                </c:pt>
                <c:pt idx="6">
                  <c:v>519034272.05471522</c:v>
                </c:pt>
                <c:pt idx="7">
                  <c:v>639063775.26322436</c:v>
                </c:pt>
                <c:pt idx="8">
                  <c:v>499438695.02214199</c:v>
                </c:pt>
                <c:pt idx="9">
                  <c:v>#N/A</c:v>
                </c:pt>
              </c:numCache>
            </c:numRef>
          </c:val>
        </c:ser>
        <c:dLbls>
          <c:showLegendKey val="0"/>
          <c:showVal val="0"/>
          <c:showCatName val="0"/>
          <c:showSerName val="0"/>
          <c:showPercent val="0"/>
          <c:showBubbleSize val="0"/>
        </c:dLbls>
        <c:gapWidth val="50"/>
        <c:axId val="329257344"/>
        <c:axId val="329258880"/>
      </c:barChart>
      <c:catAx>
        <c:axId val="329257344"/>
        <c:scaling>
          <c:orientation val="minMax"/>
        </c:scaling>
        <c:delete val="0"/>
        <c:axPos val="b"/>
        <c:majorTickMark val="out"/>
        <c:minorTickMark val="none"/>
        <c:tickLblPos val="nextTo"/>
        <c:txPr>
          <a:bodyPr/>
          <a:lstStyle/>
          <a:p>
            <a:pPr>
              <a:defRPr sz="750"/>
            </a:pPr>
            <a:endParaRPr lang="en-US"/>
          </a:p>
        </c:txPr>
        <c:crossAx val="329258880"/>
        <c:crosses val="autoZero"/>
        <c:auto val="1"/>
        <c:lblAlgn val="ctr"/>
        <c:lblOffset val="100"/>
        <c:noMultiLvlLbl val="0"/>
      </c:catAx>
      <c:valAx>
        <c:axId val="329258880"/>
        <c:scaling>
          <c:orientation val="minMax"/>
          <c:max val="700000000"/>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29257344"/>
        <c:crosses val="autoZero"/>
        <c:crossBetween val="between"/>
      </c:valAx>
    </c:plotArea>
    <c:legend>
      <c:legendPos val="b"/>
      <c:layout>
        <c:manualLayout>
          <c:xMode val="edge"/>
          <c:yMode val="edge"/>
          <c:x val="0.26285958005249344"/>
          <c:y val="0.88850503062117236"/>
          <c:w val="0.70658486439195101"/>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'Endeavour Energy'!$I$78</c:f>
              <c:strCache>
                <c:ptCount val="1"/>
                <c:pt idx="0">
                  <c:v>Forecast</c:v>
                </c:pt>
              </c:strCache>
            </c:strRef>
          </c:tx>
          <c:spPr>
            <a:pattFill prst="dkUpDiag">
              <a:fgClr>
                <a:srgbClr val="DEEBF7"/>
              </a:fgClr>
              <a:bgClr>
                <a:sysClr val="windowText" lastClr="000000"/>
              </a:bgClr>
            </a:pattFill>
            <a:ln>
              <a:solidFill>
                <a:schemeClr val="tx1"/>
              </a:solidFill>
            </a:ln>
          </c:spPr>
          <c:invertIfNegative val="0"/>
          <c:cat>
            <c:multiLvlStrRef>
              <c:f>'Endeavour Energy'!$B$79:$C$93</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Enviro, safety &amp; stat obligations</c:v>
                  </c:pt>
                  <c:pt idx="9">
                    <c:v>Reliability</c:v>
                  </c:pt>
                  <c:pt idx="12">
                    <c:v>Non-system</c:v>
                  </c:pt>
                </c:lvl>
              </c:multiLvlStrCache>
            </c:multiLvlStrRef>
          </c:cat>
          <c:val>
            <c:numRef>
              <c:f>'Endeavour Energy'!$I$79:$I$93</c:f>
              <c:numCache>
                <c:formatCode>"$"#,##0</c:formatCode>
                <c:ptCount val="15"/>
                <c:pt idx="0">
                  <c:v>179908049.79032096</c:v>
                </c:pt>
                <c:pt idx="1">
                  <c:v>151286103.53291824</c:v>
                </c:pt>
                <c:pt idx="2">
                  <c:v>147592675.0123513</c:v>
                </c:pt>
                <c:pt idx="3">
                  <c:v>339455255.47164321</c:v>
                </c:pt>
                <c:pt idx="4">
                  <c:v>288706320.18299979</c:v>
                </c:pt>
                <c:pt idx="5">
                  <c:v>280152049.2229808</c:v>
                </c:pt>
                <c:pt idx="6">
                  <c:v>132085888.87406142</c:v>
                </c:pt>
                <c:pt idx="7">
                  <c:v>83450921.698177949</c:v>
                </c:pt>
                <c:pt idx="8">
                  <c:v>49873000.631508619</c:v>
                </c:pt>
                <c:pt idx="9">
                  <c:v>16774394.048777692</c:v>
                </c:pt>
                <c:pt idx="10">
                  <c:v>14477134.823214879</c:v>
                </c:pt>
                <c:pt idx="11">
                  <c:v>13933639.748878965</c:v>
                </c:pt>
                <c:pt idx="12">
                  <c:v>82916342.880498365</c:v>
                </c:pt>
                <c:pt idx="13">
                  <c:v>82611949.133859202</c:v>
                </c:pt>
                <c:pt idx="14">
                  <c:v>72012071.739868686</c:v>
                </c:pt>
              </c:numCache>
            </c:numRef>
          </c:val>
        </c:ser>
        <c:ser>
          <c:idx val="1"/>
          <c:order val="1"/>
          <c:tx>
            <c:strRef>
              <c:f>'Endeavour Energy'!$J$78</c:f>
              <c:strCache>
                <c:ptCount val="1"/>
                <c:pt idx="0">
                  <c:v>Actual</c:v>
                </c:pt>
              </c:strCache>
            </c:strRef>
          </c:tx>
          <c:spPr>
            <a:solidFill>
              <a:srgbClr val="DEEBF7"/>
            </a:solidFill>
            <a:ln>
              <a:solidFill>
                <a:sysClr val="windowText" lastClr="000000"/>
              </a:solidFill>
            </a:ln>
          </c:spPr>
          <c:invertIfNegative val="0"/>
          <c:cat>
            <c:multiLvlStrRef>
              <c:f>'Endeavour Energy'!$B$79:$C$93</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Enviro, safety &amp; stat obligations</c:v>
                  </c:pt>
                  <c:pt idx="9">
                    <c:v>Reliability</c:v>
                  </c:pt>
                  <c:pt idx="12">
                    <c:v>Non-system</c:v>
                  </c:pt>
                </c:lvl>
              </c:multiLvlStrCache>
            </c:multiLvlStrRef>
          </c:cat>
          <c:val>
            <c:numRef>
              <c:f>'Endeavour Energy'!$J$79:$J$93</c:f>
              <c:numCache>
                <c:formatCode>"$"#,##0</c:formatCode>
                <c:ptCount val="15"/>
                <c:pt idx="0">
                  <c:v>145460353.95837525</c:v>
                </c:pt>
                <c:pt idx="1">
                  <c:v>200459950.78924951</c:v>
                </c:pt>
                <c:pt idx="2">
                  <c:v>188175409.06948784</c:v>
                </c:pt>
                <c:pt idx="3">
                  <c:v>201283376.55244175</c:v>
                </c:pt>
                <c:pt idx="4">
                  <c:v>270171926.96758074</c:v>
                </c:pt>
                <c:pt idx="5">
                  <c:v>289605232.07541025</c:v>
                </c:pt>
                <c:pt idx="6">
                  <c:v>80810333.053141803</c:v>
                </c:pt>
                <c:pt idx="7">
                  <c:v>94091880.339006007</c:v>
                </c:pt>
                <c:pt idx="8">
                  <c:v>38953280.955644764</c:v>
                </c:pt>
                <c:pt idx="9">
                  <c:v>12983824.362479841</c:v>
                </c:pt>
                <c:pt idx="10">
                  <c:v>23409507.452408873</c:v>
                </c:pt>
                <c:pt idx="11">
                  <c:v>13051731.651032412</c:v>
                </c:pt>
                <c:pt idx="12">
                  <c:v>78298861.396006256</c:v>
                </c:pt>
                <c:pt idx="13">
                  <c:v>50892390.296595156</c:v>
                </c:pt>
                <c:pt idx="14">
                  <c:v>28187672.684288889</c:v>
                </c:pt>
              </c:numCache>
            </c:numRef>
          </c:val>
        </c:ser>
        <c:dLbls>
          <c:showLegendKey val="0"/>
          <c:showVal val="0"/>
          <c:showCatName val="0"/>
          <c:showSerName val="0"/>
          <c:showPercent val="0"/>
          <c:showBubbleSize val="0"/>
        </c:dLbls>
        <c:gapWidth val="50"/>
        <c:axId val="329284992"/>
        <c:axId val="329290880"/>
      </c:barChart>
      <c:catAx>
        <c:axId val="329284992"/>
        <c:scaling>
          <c:orientation val="minMax"/>
        </c:scaling>
        <c:delete val="0"/>
        <c:axPos val="b"/>
        <c:majorTickMark val="out"/>
        <c:minorTickMark val="none"/>
        <c:tickLblPos val="nextTo"/>
        <c:txPr>
          <a:bodyPr/>
          <a:lstStyle/>
          <a:p>
            <a:pPr>
              <a:defRPr sz="600"/>
            </a:pPr>
            <a:endParaRPr lang="en-US"/>
          </a:p>
        </c:txPr>
        <c:crossAx val="329290880"/>
        <c:crosses val="autoZero"/>
        <c:auto val="1"/>
        <c:lblAlgn val="ctr"/>
        <c:lblOffset val="100"/>
        <c:noMultiLvlLbl val="0"/>
      </c:catAx>
      <c:valAx>
        <c:axId val="329290880"/>
        <c:scaling>
          <c:orientation val="minMax"/>
          <c:max val="350000000"/>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29284992"/>
        <c:crosses val="autoZero"/>
        <c:crossBetween val="between"/>
      </c:valAx>
    </c:plotArea>
    <c:legend>
      <c:legendPos val="b"/>
      <c:layout>
        <c:manualLayout>
          <c:xMode val="edge"/>
          <c:yMode val="edge"/>
          <c:x val="0.26008180227471567"/>
          <c:y val="0.88850503062117236"/>
          <c:w val="0.70761417322834641"/>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'Endeavour Energy'!$K$96</c:f>
              <c:strCache>
                <c:ptCount val="1"/>
                <c:pt idx="0">
                  <c:v>Forecast
</c:v>
                </c:pt>
              </c:strCache>
            </c:strRef>
          </c:tx>
          <c:spPr>
            <a:pattFill prst="dkUpDiag">
              <a:fgClr>
                <a:srgbClr val="DEEBF7"/>
              </a:fgClr>
              <a:bgClr>
                <a:schemeClr val="tx1"/>
              </a:bgClr>
            </a:pattFill>
            <a:ln>
              <a:solidFill>
                <a:sysClr val="windowText" lastClr="000000"/>
              </a:solidFill>
            </a:ln>
          </c:spPr>
          <c:invertIfNegative val="0"/>
          <c:cat>
            <c:multiLvlStrRef>
              <c:f>'Endeavour Energy'!$B$97:$C$105</c:f>
              <c:multiLvlStrCache>
                <c:ptCount val="9"/>
                <c:lvl>
                  <c:pt idx="0">
                    <c:v>2004-05</c:v>
                  </c:pt>
                  <c:pt idx="1">
                    <c:v>2005-06</c:v>
                  </c:pt>
                  <c:pt idx="2">
                    <c:v>2006-07</c:v>
                  </c:pt>
                  <c:pt idx="3">
                    <c:v>2007-08</c:v>
                  </c:pt>
                  <c:pt idx="4">
                    <c:v>2008-09</c:v>
                  </c:pt>
                  <c:pt idx="5">
                    <c:v>2009-10*</c:v>
                  </c:pt>
                  <c:pt idx="6">
                    <c:v>2010-11*</c:v>
                  </c:pt>
                  <c:pt idx="7">
                    <c:v>2011-12*</c:v>
                  </c:pt>
                  <c:pt idx="8">
                    <c:v>2012-13*</c:v>
                  </c:pt>
                </c:lvl>
                <c:lvl>
                  <c:pt idx="0">
                    <c:v>IPART</c:v>
                  </c:pt>
                  <c:pt idx="5">
                    <c:v>AER</c:v>
                  </c:pt>
                </c:lvl>
              </c:multiLvlStrCache>
            </c:multiLvlStrRef>
          </c:cat>
          <c:val>
            <c:numRef>
              <c:f>'Endeavour Energy'!$K$97:$K$105</c:f>
              <c:numCache>
                <c:formatCode>"$"#,##0</c:formatCode>
                <c:ptCount val="9"/>
                <c:pt idx="0">
                  <c:v>3162891053.6185141</c:v>
                </c:pt>
                <c:pt idx="1">
                  <c:v>3440546416.2820191</c:v>
                </c:pt>
                <c:pt idx="2">
                  <c:v>3678282960.1308603</c:v>
                </c:pt>
                <c:pt idx="3">
                  <c:v>3915525927.1538248</c:v>
                </c:pt>
                <c:pt idx="4">
                  <c:v>4097648162.8921309</c:v>
                </c:pt>
                <c:pt idx="5">
                  <c:v>4532372347.6984091</c:v>
                </c:pt>
                <c:pt idx="6">
                  <c:v>5030686115.8109398</c:v>
                </c:pt>
                <c:pt idx="7">
                  <c:v>5396515816.1203051</c:v>
                </c:pt>
                <c:pt idx="8">
                  <c:v>5671940547.0852842</c:v>
                </c:pt>
              </c:numCache>
            </c:numRef>
          </c:val>
        </c:ser>
        <c:ser>
          <c:idx val="1"/>
          <c:order val="1"/>
          <c:tx>
            <c:strRef>
              <c:f>'Endeavour Energy'!$Q$96</c:f>
              <c:strCache>
                <c:ptCount val="1"/>
                <c:pt idx="0">
                  <c:v>Actual</c:v>
                </c:pt>
              </c:strCache>
            </c:strRef>
          </c:tx>
          <c:spPr>
            <a:solidFill>
              <a:srgbClr val="DEEBF7"/>
            </a:solidFill>
            <a:ln>
              <a:solidFill>
                <a:sysClr val="windowText" lastClr="000000"/>
              </a:solidFill>
            </a:ln>
          </c:spPr>
          <c:invertIfNegative val="0"/>
          <c:cat>
            <c:multiLvlStrRef>
              <c:f>'Endeavour Energy'!$B$97:$C$105</c:f>
              <c:multiLvlStrCache>
                <c:ptCount val="9"/>
                <c:lvl>
                  <c:pt idx="0">
                    <c:v>2004-05</c:v>
                  </c:pt>
                  <c:pt idx="1">
                    <c:v>2005-06</c:v>
                  </c:pt>
                  <c:pt idx="2">
                    <c:v>2006-07</c:v>
                  </c:pt>
                  <c:pt idx="3">
                    <c:v>2007-08</c:v>
                  </c:pt>
                  <c:pt idx="4">
                    <c:v>2008-09</c:v>
                  </c:pt>
                  <c:pt idx="5">
                    <c:v>2009-10*</c:v>
                  </c:pt>
                  <c:pt idx="6">
                    <c:v>2010-11*</c:v>
                  </c:pt>
                  <c:pt idx="7">
                    <c:v>2011-12*</c:v>
                  </c:pt>
                  <c:pt idx="8">
                    <c:v>2012-13*</c:v>
                  </c:pt>
                </c:lvl>
                <c:lvl>
                  <c:pt idx="0">
                    <c:v>IPART</c:v>
                  </c:pt>
                  <c:pt idx="5">
                    <c:v>AER</c:v>
                  </c:pt>
                </c:lvl>
              </c:multiLvlStrCache>
            </c:multiLvlStrRef>
          </c:cat>
          <c:val>
            <c:numRef>
              <c:f>'Endeavour Energy'!$Q$97:$Q$105</c:f>
              <c:numCache>
                <c:formatCode>"$"#,##0</c:formatCode>
                <c:ptCount val="9"/>
                <c:pt idx="0">
                  <c:v>3114609343.134562</c:v>
                </c:pt>
                <c:pt idx="1">
                  <c:v>3356826716.7149124</c:v>
                </c:pt>
                <c:pt idx="2">
                  <c:v>3648380002.8709149</c:v>
                </c:pt>
                <c:pt idx="3">
                  <c:v>3826112017.1244502</c:v>
                </c:pt>
                <c:pt idx="4">
                  <c:v>4205501283.9131327</c:v>
                </c:pt>
                <c:pt idx="5">
                  <c:v>4303605001.890029</c:v>
                </c:pt>
                <c:pt idx="6">
                  <c:v>4655422990.806469</c:v>
                </c:pt>
                <c:pt idx="7">
                  <c:v>5118829117.5171013</c:v>
                </c:pt>
                <c:pt idx="8">
                  <c:v>5390794737.1182642</c:v>
                </c:pt>
              </c:numCache>
            </c:numRef>
          </c:val>
        </c:ser>
        <c:dLbls>
          <c:showLegendKey val="0"/>
          <c:showVal val="0"/>
          <c:showCatName val="0"/>
          <c:showSerName val="0"/>
          <c:showPercent val="0"/>
          <c:showBubbleSize val="0"/>
        </c:dLbls>
        <c:gapWidth val="50"/>
        <c:axId val="329307264"/>
        <c:axId val="329308800"/>
      </c:barChart>
      <c:catAx>
        <c:axId val="329307264"/>
        <c:scaling>
          <c:orientation val="minMax"/>
        </c:scaling>
        <c:delete val="0"/>
        <c:axPos val="b"/>
        <c:majorTickMark val="out"/>
        <c:minorTickMark val="none"/>
        <c:tickLblPos val="nextTo"/>
        <c:txPr>
          <a:bodyPr/>
          <a:lstStyle/>
          <a:p>
            <a:pPr>
              <a:defRPr sz="800"/>
            </a:pPr>
            <a:endParaRPr lang="en-US"/>
          </a:p>
        </c:txPr>
        <c:crossAx val="329308800"/>
        <c:crosses val="autoZero"/>
        <c:auto val="1"/>
        <c:lblAlgn val="ctr"/>
        <c:lblOffset val="100"/>
        <c:noMultiLvlLbl val="0"/>
      </c:catAx>
      <c:valAx>
        <c:axId val="329308800"/>
        <c:scaling>
          <c:orientation val="minMax"/>
        </c:scaling>
        <c:delete val="0"/>
        <c:axPos val="l"/>
        <c:title>
          <c:tx>
            <c:rich>
              <a:bodyPr rot="0" vert="horz"/>
              <a:lstStyle/>
              <a:p>
                <a:pPr>
                  <a:defRPr/>
                </a:pPr>
                <a:r>
                  <a:rPr lang="en-US"/>
                  <a:t>Regulatory
asset base
($Dec 2012)</a:t>
                </a:r>
              </a:p>
            </c:rich>
          </c:tx>
          <c:layout/>
          <c:overlay val="0"/>
        </c:title>
        <c:numFmt formatCode="&quot;$&quot;0,,,&quot;b&quot;" sourceLinked="0"/>
        <c:majorTickMark val="out"/>
        <c:minorTickMark val="none"/>
        <c:tickLblPos val="nextTo"/>
        <c:crossAx val="329307264"/>
        <c:crosses val="autoZero"/>
        <c:crossBetween val="between"/>
      </c:valAx>
    </c:plotArea>
    <c:legend>
      <c:legendPos val="b"/>
      <c:layout>
        <c:manualLayout>
          <c:xMode val="edge"/>
          <c:yMode val="edge"/>
          <c:x val="0.23728193350831145"/>
          <c:y val="0.89838181685622631"/>
          <c:w val="0.73932480314960625"/>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'Endeavour Energy'!$K$52</c:f>
              <c:strCache>
                <c:ptCount val="1"/>
                <c:pt idx="0">
                  <c:v>Forecast (inc. amendments)
</c:v>
                </c:pt>
              </c:strCache>
            </c:strRef>
          </c:tx>
          <c:spPr>
            <a:pattFill prst="dkUpDiag">
              <a:fgClr>
                <a:srgbClr val="DEEBF7"/>
              </a:fgClr>
              <a:bgClr>
                <a:sysClr val="windowText" lastClr="000000"/>
              </a:bgClr>
            </a:pattFill>
            <a:ln>
              <a:solidFill>
                <a:schemeClr val="tx1"/>
              </a:solidFill>
            </a:ln>
          </c:spPr>
          <c:invertIfNegative val="0"/>
          <c:cat>
            <c:multiLvlStrRef>
              <c:f>'Endeavour Energy'!$B$53:$C$62</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Energy'!$K$53:$K$62</c:f>
              <c:numCache>
                <c:formatCode>"$"#,##0</c:formatCode>
                <c:ptCount val="10"/>
                <c:pt idx="0">
                  <c:v>257480669.08856338</c:v>
                </c:pt>
                <c:pt idx="1">
                  <c:v>258809134.07917041</c:v>
                </c:pt>
                <c:pt idx="2">
                  <c:v>262202463.72258353</c:v>
                </c:pt>
                <c:pt idx="3">
                  <c:v>264926711.40950304</c:v>
                </c:pt>
                <c:pt idx="4">
                  <c:v>266356579.78134453</c:v>
                </c:pt>
                <c:pt idx="5">
                  <c:v>324867432.42965657</c:v>
                </c:pt>
                <c:pt idx="6">
                  <c:v>331879517.0871678</c:v>
                </c:pt>
                <c:pt idx="7">
                  <c:v>344871420.88292766</c:v>
                </c:pt>
                <c:pt idx="8">
                  <c:v>350704283.04666609</c:v>
                </c:pt>
                <c:pt idx="9">
                  <c:v>351395937.24861926</c:v>
                </c:pt>
              </c:numCache>
            </c:numRef>
          </c:val>
        </c:ser>
        <c:ser>
          <c:idx val="1"/>
          <c:order val="1"/>
          <c:tx>
            <c:strRef>
              <c:f>'Endeavour Energy'!$Q$52</c:f>
              <c:strCache>
                <c:ptCount val="1"/>
                <c:pt idx="0">
                  <c:v>Actual</c:v>
                </c:pt>
              </c:strCache>
            </c:strRef>
          </c:tx>
          <c:spPr>
            <a:solidFill>
              <a:srgbClr val="DEEBF7"/>
            </a:solidFill>
            <a:ln>
              <a:solidFill>
                <a:sysClr val="windowText" lastClr="000000"/>
              </a:solidFill>
            </a:ln>
          </c:spPr>
          <c:invertIfNegative val="0"/>
          <c:cat>
            <c:multiLvlStrRef>
              <c:f>'Endeavour Energy'!$B$53:$C$62</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Energy'!$Q$53:$Q$62</c:f>
              <c:numCache>
                <c:formatCode>"$"#,##0</c:formatCode>
                <c:ptCount val="10"/>
                <c:pt idx="0">
                  <c:v>197613800.52863434</c:v>
                </c:pt>
                <c:pt idx="1">
                  <c:v>233266841.25344351</c:v>
                </c:pt>
                <c:pt idx="2">
                  <c:v>256202402.16253528</c:v>
                </c:pt>
                <c:pt idx="3">
                  <c:v>314004943.95853567</c:v>
                </c:pt>
                <c:pt idx="4">
                  <c:v>292986768.28110158</c:v>
                </c:pt>
                <c:pt idx="5">
                  <c:v>277447661.45912337</c:v>
                </c:pt>
                <c:pt idx="6">
                  <c:v>292141617.5413518</c:v>
                </c:pt>
                <c:pt idx="7">
                  <c:v>298546909.95528239</c:v>
                </c:pt>
                <c:pt idx="8">
                  <c:v>271586273.73226911</c:v>
                </c:pt>
                <c:pt idx="9">
                  <c:v>#N/A</c:v>
                </c:pt>
              </c:numCache>
            </c:numRef>
          </c:val>
        </c:ser>
        <c:dLbls>
          <c:showLegendKey val="0"/>
          <c:showVal val="0"/>
          <c:showCatName val="0"/>
          <c:showSerName val="0"/>
          <c:showPercent val="0"/>
          <c:showBubbleSize val="0"/>
        </c:dLbls>
        <c:gapWidth val="50"/>
        <c:axId val="333672448"/>
        <c:axId val="333673984"/>
      </c:barChart>
      <c:catAx>
        <c:axId val="333672448"/>
        <c:scaling>
          <c:orientation val="minMax"/>
        </c:scaling>
        <c:delete val="0"/>
        <c:axPos val="b"/>
        <c:majorTickMark val="out"/>
        <c:minorTickMark val="none"/>
        <c:tickLblPos val="nextTo"/>
        <c:txPr>
          <a:bodyPr/>
          <a:lstStyle/>
          <a:p>
            <a:pPr>
              <a:defRPr sz="750"/>
            </a:pPr>
            <a:endParaRPr lang="en-US"/>
          </a:p>
        </c:txPr>
        <c:crossAx val="333673984"/>
        <c:crosses val="autoZero"/>
        <c:auto val="1"/>
        <c:lblAlgn val="ctr"/>
        <c:lblOffset val="100"/>
        <c:noMultiLvlLbl val="0"/>
      </c:catAx>
      <c:valAx>
        <c:axId val="333673984"/>
        <c:scaling>
          <c:orientation val="minMax"/>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33672448"/>
        <c:crosses val="autoZero"/>
        <c:crossBetween val="between"/>
        <c:majorUnit val="100000000"/>
      </c:valAx>
    </c:plotArea>
    <c:legend>
      <c:legendPos val="b"/>
      <c:layout>
        <c:manualLayout>
          <c:xMode val="edge"/>
          <c:yMode val="edge"/>
          <c:x val="0.2656373578302712"/>
          <c:y val="0.88850503062117236"/>
          <c:w val="0.7032136920384951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'Endeavour Energy'!$K$39</c:f>
              <c:strCache>
                <c:ptCount val="1"/>
                <c:pt idx="0">
                  <c:v>Forecast (inc. amendments)
</c:v>
                </c:pt>
              </c:strCache>
            </c:strRef>
          </c:tx>
          <c:spPr>
            <a:pattFill prst="dkUpDiag">
              <a:fgClr>
                <a:srgbClr val="DEEBF7"/>
              </a:fgClr>
              <a:bgClr>
                <a:sysClr val="windowText" lastClr="000000"/>
              </a:bgClr>
            </a:pattFill>
            <a:ln>
              <a:solidFill>
                <a:schemeClr val="tx1"/>
              </a:solidFill>
            </a:ln>
          </c:spPr>
          <c:invertIfNegative val="0"/>
          <c:cat>
            <c:multiLvlStrRef>
              <c:f>'Endeavour Energy'!$B$40:$C$49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Energy'!$K$40:$K$49</c:f>
              <c:numCache>
                <c:formatCode>"$"#,##0</c:formatCode>
                <c:ptCount val="10"/>
                <c:pt idx="0">
                  <c:v>609040813.42102492</c:v>
                </c:pt>
                <c:pt idx="1">
                  <c:v>634040109.15335727</c:v>
                </c:pt>
                <c:pt idx="2">
                  <c:v>658635857.87080467</c:v>
                </c:pt>
                <c:pt idx="3">
                  <c:v>681654633.65310395</c:v>
                </c:pt>
                <c:pt idx="4">
                  <c:v>712964810.8574959</c:v>
                </c:pt>
                <c:pt idx="5">
                  <c:v>799271940.87598228</c:v>
                </c:pt>
                <c:pt idx="6">
                  <c:v>909400011.87611127</c:v>
                </c:pt>
                <c:pt idx="7">
                  <c:v>1039334357.1509335</c:v>
                </c:pt>
                <c:pt idx="8">
                  <c:v>1100266212.4111855</c:v>
                </c:pt>
                <c:pt idx="9">
                  <c:v>1080221795.046926</c:v>
                </c:pt>
              </c:numCache>
            </c:numRef>
          </c:val>
        </c:ser>
        <c:ser>
          <c:idx val="1"/>
          <c:order val="1"/>
          <c:tx>
            <c:strRef>
              <c:f>'Endeavour Energy'!$Q$39</c:f>
              <c:strCache>
                <c:ptCount val="1"/>
                <c:pt idx="0">
                  <c:v>Actual</c:v>
                </c:pt>
              </c:strCache>
            </c:strRef>
          </c:tx>
          <c:spPr>
            <a:solidFill>
              <a:srgbClr val="DEEBF7"/>
            </a:solidFill>
            <a:ln>
              <a:solidFill>
                <a:sysClr val="windowText" lastClr="000000"/>
              </a:solidFill>
            </a:ln>
          </c:spPr>
          <c:invertIfNegative val="0"/>
          <c:cat>
            <c:multiLvlStrRef>
              <c:f>'Endeavour Energy'!$B$40:$C$49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'Endeavour Energy'!$Q$40:$Q$49</c:f>
              <c:numCache>
                <c:formatCode>"$"#,##0</c:formatCode>
                <c:ptCount val="10"/>
                <c:pt idx="0">
                  <c:v>699261120.35242283</c:v>
                </c:pt>
                <c:pt idx="1">
                  <c:v>655835703.8567493</c:v>
                </c:pt>
                <c:pt idx="2">
                  <c:v>673861434.40103638</c:v>
                </c:pt>
                <c:pt idx="3">
                  <c:v>737060353.41755724</c:v>
                </c:pt>
                <c:pt idx="4">
                  <c:v>759939408.35707486</c:v>
                </c:pt>
                <c:pt idx="5">
                  <c:v>841983019.56620669</c:v>
                </c:pt>
                <c:pt idx="6">
                  <c:v>940877723.35617459</c:v>
                </c:pt>
                <c:pt idx="7">
                  <c:v>1023923855.8807073</c:v>
                </c:pt>
                <c:pt idx="8">
                  <c:v>1018415551.83661</c:v>
                </c:pt>
                <c:pt idx="9">
                  <c:v>#N/A</c:v>
                </c:pt>
              </c:numCache>
            </c:numRef>
          </c:val>
        </c:ser>
        <c:dLbls>
          <c:showLegendKey val="0"/>
          <c:showVal val="0"/>
          <c:showCatName val="0"/>
          <c:showSerName val="0"/>
          <c:showPercent val="0"/>
          <c:showBubbleSize val="0"/>
        </c:dLbls>
        <c:gapWidth val="50"/>
        <c:axId val="333691136"/>
        <c:axId val="333697024"/>
      </c:barChart>
      <c:catAx>
        <c:axId val="333691136"/>
        <c:scaling>
          <c:orientation val="minMax"/>
        </c:scaling>
        <c:delete val="0"/>
        <c:axPos val="b"/>
        <c:majorTickMark val="out"/>
        <c:minorTickMark val="none"/>
        <c:tickLblPos val="nextTo"/>
        <c:txPr>
          <a:bodyPr/>
          <a:lstStyle/>
          <a:p>
            <a:pPr>
              <a:defRPr sz="750"/>
            </a:pPr>
            <a:endParaRPr lang="en-US"/>
          </a:p>
        </c:txPr>
        <c:crossAx val="333697024"/>
        <c:crosses val="autoZero"/>
        <c:auto val="1"/>
        <c:lblAlgn val="ctr"/>
        <c:lblOffset val="100"/>
        <c:noMultiLvlLbl val="0"/>
      </c:catAx>
      <c:valAx>
        <c:axId val="333697024"/>
        <c:scaling>
          <c:orientation val="minMax"/>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33691136"/>
        <c:crosses val="autoZero"/>
        <c:crossBetween val="between"/>
      </c:valAx>
    </c:plotArea>
    <c:legend>
      <c:legendPos val="b"/>
      <c:layout>
        <c:manualLayout>
          <c:xMode val="edge"/>
          <c:yMode val="edge"/>
          <c:x val="0.27674846894138233"/>
          <c:y val="0.88850503062117236"/>
          <c:w val="0.7232515310586177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'Endeavour Energy'!$K$109</c:f>
              <c:strCache>
                <c:ptCount val="1"/>
                <c:pt idx="0">
                  <c:v>EBIT ($Dec 2012)</c:v>
                </c:pt>
              </c:strCache>
            </c:strRef>
          </c:tx>
          <c:spPr>
            <a:solidFill>
              <a:srgbClr val="DEEBF7"/>
            </a:solidFill>
            <a:ln>
              <a:solidFill>
                <a:schemeClr val="tx1"/>
              </a:solidFill>
            </a:ln>
          </c:spPr>
          <c:invertIfNegative val="0"/>
          <c:cat>
            <c:multiLvlStrRef>
              <c:f>'Endeavour Energy'!$B$110:$C$112</c:f>
              <c:multiLvlStrCache>
                <c:ptCount val="3"/>
                <c:lvl>
                  <c:pt idx="0">
                    <c:v>2010-11</c:v>
                  </c:pt>
                  <c:pt idx="1">
                    <c:v>2011-12</c:v>
                  </c:pt>
                  <c:pt idx="2">
                    <c:v>2012-13</c:v>
                  </c:pt>
                </c:lvl>
                <c:lvl>
                  <c:pt idx="0">
                    <c:v>AER</c:v>
                  </c:pt>
                </c:lvl>
              </c:multiLvlStrCache>
            </c:multiLvlStrRef>
          </c:cat>
          <c:val>
            <c:numRef>
              <c:f>'Endeavour Energy'!$K$110:$K$112</c:f>
              <c:numCache>
                <c:formatCode>"$"#,##0</c:formatCode>
                <c:ptCount val="3"/>
                <c:pt idx="0">
                  <c:v>570554306.17038369</c:v>
                </c:pt>
                <c:pt idx="1">
                  <c:v>624551808.45488334</c:v>
                </c:pt>
                <c:pt idx="2">
                  <c:v>652608364.66253495</c:v>
                </c:pt>
              </c:numCache>
            </c:numRef>
          </c:val>
        </c:ser>
        <c:dLbls>
          <c:showLegendKey val="0"/>
          <c:showVal val="0"/>
          <c:showCatName val="0"/>
          <c:showSerName val="0"/>
          <c:showPercent val="0"/>
          <c:showBubbleSize val="0"/>
        </c:dLbls>
        <c:gapWidth val="50"/>
        <c:axId val="334832000"/>
        <c:axId val="334833920"/>
      </c:barChart>
      <c:catAx>
        <c:axId val="334832000"/>
        <c:scaling>
          <c:orientation val="minMax"/>
        </c:scaling>
        <c:delete val="0"/>
        <c:axPos val="b"/>
        <c:title>
          <c:tx>
            <c:rich>
              <a:bodyPr/>
              <a:lstStyle/>
              <a:p>
                <a:pPr algn="l">
                  <a:defRPr/>
                </a:pPr>
                <a:r>
                  <a:rPr lang="en-AU" sz="780" b="0"/>
                  <a:t>*EBIT</a:t>
                </a:r>
                <a:r>
                  <a:rPr lang="en-AU" sz="780" b="0" baseline="0"/>
                  <a:t> was provided by Endeavour Energy for the  2010-11 and 2011-12 regulatory years. The 2012-13 EBIT figure was not requested . For the purpose of this analysis 2012-13 EBIT is the sum of </a:t>
                </a:r>
                <a:r>
                  <a:rPr lang="en-AU" sz="780" b="0" i="1" baseline="0"/>
                  <a:t>profit before tax</a:t>
                </a:r>
                <a:r>
                  <a:rPr lang="en-AU" sz="780" b="0" baseline="0"/>
                  <a:t> and </a:t>
                </a:r>
                <a:r>
                  <a:rPr lang="en-AU" sz="780" b="0" i="1" baseline="0"/>
                  <a:t>finance charges</a:t>
                </a:r>
                <a:r>
                  <a:rPr lang="en-AU" sz="780" b="0" baseline="0"/>
                  <a:t>.</a:t>
                </a:r>
                <a:endParaRPr lang="en-AU" sz="780"/>
              </a:p>
            </c:rich>
          </c:tx>
          <c:layout>
            <c:manualLayout>
              <c:xMode val="edge"/>
              <c:yMode val="edge"/>
              <c:x val="0.17415507436570429"/>
              <c:y val="0.8250925925925926"/>
            </c:manualLayout>
          </c:layout>
          <c:overlay val="0"/>
        </c:title>
        <c:majorTickMark val="out"/>
        <c:minorTickMark val="none"/>
        <c:tickLblPos val="nextTo"/>
        <c:crossAx val="334833920"/>
        <c:crosses val="autoZero"/>
        <c:auto val="1"/>
        <c:lblAlgn val="ctr"/>
        <c:lblOffset val="100"/>
        <c:noMultiLvlLbl val="0"/>
      </c:catAx>
      <c:valAx>
        <c:axId val="334833920"/>
        <c:scaling>
          <c:orientation val="minMax"/>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3483200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'Essential Energy'!$B$24</c:f>
              <c:strCache>
                <c:ptCount val="1"/>
                <c:pt idx="0">
                  <c:v>Forecast</c:v>
                </c:pt>
              </c:strCache>
            </c:strRef>
          </c:tx>
          <c:spPr>
            <a:pattFill prst="dkUpDiag">
              <a:fgClr>
                <a:srgbClr val="C6DBEF"/>
              </a:fgClr>
              <a:bgClr>
                <a:sysClr val="windowText" lastClr="000000"/>
              </a:bgClr>
            </a:pattFill>
            <a:ln>
              <a:solidFill>
                <a:sysClr val="windowText" lastClr="000000"/>
              </a:solidFill>
            </a:ln>
          </c:spPr>
          <c:invertIfNegative val="0"/>
          <c:cat>
            <c:multiLvlStrRef>
              <c:f>'Essential Energy'!$C$20:$L$21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'Essential Energy'!$C$24:$L$24</c:f>
              <c:numCache>
                <c:formatCode>#,##0</c:formatCode>
                <c:ptCount val="10"/>
                <c:pt idx="0">
                  <c:v>10838</c:v>
                </c:pt>
                <c:pt idx="1">
                  <c:v>11071</c:v>
                </c:pt>
                <c:pt idx="2">
                  <c:v>11269</c:v>
                </c:pt>
                <c:pt idx="3">
                  <c:v>11455</c:v>
                </c:pt>
                <c:pt idx="4">
                  <c:v>11610</c:v>
                </c:pt>
                <c:pt idx="5">
                  <c:v>12092</c:v>
                </c:pt>
                <c:pt idx="6">
                  <c:v>12147</c:v>
                </c:pt>
                <c:pt idx="7">
                  <c:v>12202</c:v>
                </c:pt>
                <c:pt idx="8">
                  <c:v>12258</c:v>
                </c:pt>
                <c:pt idx="9">
                  <c:v>12314</c:v>
                </c:pt>
              </c:numCache>
            </c:numRef>
          </c:val>
        </c:ser>
        <c:ser>
          <c:idx val="1"/>
          <c:order val="1"/>
          <c:tx>
            <c:strRef>
              <c:f>'Essential Energy'!$B$22</c:f>
              <c:strCache>
                <c:ptCount val="1"/>
                <c:pt idx="0">
                  <c:v>Actual</c:v>
                </c:pt>
              </c:strCache>
            </c:strRef>
          </c:tx>
          <c:spPr>
            <a:solidFill>
              <a:srgbClr val="C6DBEF"/>
            </a:solidFill>
            <a:ln>
              <a:solidFill>
                <a:sysClr val="windowText" lastClr="000000"/>
              </a:solidFill>
            </a:ln>
          </c:spPr>
          <c:invertIfNegative val="0"/>
          <c:cat>
            <c:multiLvlStrRef>
              <c:f>'Essential Energy'!$C$20:$L$21</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'Essential Energy'!$C$22:$L$22</c:f>
              <c:numCache>
                <c:formatCode>#,##0</c:formatCode>
                <c:ptCount val="10"/>
                <c:pt idx="0">
                  <c:v>10999</c:v>
                </c:pt>
                <c:pt idx="1">
                  <c:v>11964.84</c:v>
                </c:pt>
                <c:pt idx="2">
                  <c:v>11974.12</c:v>
                </c:pt>
                <c:pt idx="3">
                  <c:v>12036.9</c:v>
                </c:pt>
                <c:pt idx="4">
                  <c:v>12121.43</c:v>
                </c:pt>
                <c:pt idx="5">
                  <c:v>12103.52</c:v>
                </c:pt>
                <c:pt idx="6">
                  <c:v>11943.293</c:v>
                </c:pt>
                <c:pt idx="7">
                  <c:v>11853.304757472308</c:v>
                </c:pt>
                <c:pt idx="8">
                  <c:v>12291.140578126164</c:v>
                </c:pt>
              </c:numCache>
            </c:numRef>
          </c:val>
        </c:ser>
        <c:dLbls>
          <c:showLegendKey val="0"/>
          <c:showVal val="0"/>
          <c:showCatName val="0"/>
          <c:showSerName val="0"/>
          <c:showPercent val="0"/>
          <c:showBubbleSize val="0"/>
        </c:dLbls>
        <c:gapWidth val="50"/>
        <c:axId val="334855168"/>
        <c:axId val="334861056"/>
      </c:barChart>
      <c:catAx>
        <c:axId val="334855168"/>
        <c:scaling>
          <c:orientation val="minMax"/>
        </c:scaling>
        <c:delete val="0"/>
        <c:axPos val="b"/>
        <c:majorTickMark val="out"/>
        <c:minorTickMark val="none"/>
        <c:tickLblPos val="nextTo"/>
        <c:txPr>
          <a:bodyPr/>
          <a:lstStyle/>
          <a:p>
            <a:pPr>
              <a:defRPr sz="800"/>
            </a:pPr>
            <a:endParaRPr lang="en-US"/>
          </a:p>
        </c:txPr>
        <c:crossAx val="334861056"/>
        <c:crosses val="autoZero"/>
        <c:auto val="1"/>
        <c:lblAlgn val="ctr"/>
        <c:lblOffset val="100"/>
        <c:noMultiLvlLbl val="0"/>
      </c:catAx>
      <c:valAx>
        <c:axId val="334861056"/>
        <c:scaling>
          <c:orientation val="minMax"/>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34855168"/>
        <c:crosses val="autoZero"/>
        <c:crossBetween val="between"/>
      </c:valAx>
    </c:plotArea>
    <c:legend>
      <c:legendPos val="b"/>
      <c:layout>
        <c:manualLayout>
          <c:xMode val="edge"/>
          <c:yMode val="edge"/>
          <c:x val="0.23091885389326333"/>
          <c:y val="0.89838181685622631"/>
          <c:w val="0.76908114610673661"/>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'Essential Energy'!$B$32</c:f>
              <c:strCache>
                <c:ptCount val="1"/>
                <c:pt idx="0">
                  <c:v>Forecast</c:v>
                </c:pt>
              </c:strCache>
            </c:strRef>
          </c:tx>
          <c:spPr>
            <a:pattFill prst="dkUpDiag">
              <a:fgClr>
                <a:srgbClr val="C6DBEF"/>
              </a:fgClr>
              <a:bgClr>
                <a:schemeClr val="tx1"/>
              </a:bgClr>
            </a:pattFill>
            <a:ln>
              <a:solidFill>
                <a:sysClr val="windowText" lastClr="000000"/>
              </a:solidFill>
            </a:ln>
          </c:spPr>
          <c:invertIfNegative val="0"/>
          <c:cat>
            <c:multiLvlStrRef>
              <c:f>'Essential Energy'!$C$28:$L$29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'Essential Energy'!$C$32:$L$32</c:f>
              <c:numCache>
                <c:formatCode>#,##0</c:formatCode>
                <c:ptCount val="10"/>
                <c:pt idx="0">
                  <c:v>2097</c:v>
                </c:pt>
                <c:pt idx="1">
                  <c:v>2154</c:v>
                </c:pt>
                <c:pt idx="2">
                  <c:v>2205</c:v>
                </c:pt>
                <c:pt idx="3">
                  <c:v>2255</c:v>
                </c:pt>
                <c:pt idx="4">
                  <c:v>2300</c:v>
                </c:pt>
                <c:pt idx="5">
                  <c:v>2391</c:v>
                </c:pt>
                <c:pt idx="6">
                  <c:v>2406</c:v>
                </c:pt>
                <c:pt idx="7">
                  <c:v>2515</c:v>
                </c:pt>
                <c:pt idx="8">
                  <c:v>2602</c:v>
                </c:pt>
                <c:pt idx="9">
                  <c:v>2681</c:v>
                </c:pt>
              </c:numCache>
            </c:numRef>
          </c:val>
        </c:ser>
        <c:ser>
          <c:idx val="0"/>
          <c:order val="1"/>
          <c:tx>
            <c:strRef>
              <c:f>'Essential Energy'!$B$30</c:f>
              <c:strCache>
                <c:ptCount val="1"/>
                <c:pt idx="0">
                  <c:v>Actual</c:v>
                </c:pt>
              </c:strCache>
            </c:strRef>
          </c:tx>
          <c:spPr>
            <a:solidFill>
              <a:srgbClr val="C6DBEF"/>
            </a:solidFill>
            <a:ln>
              <a:solidFill>
                <a:schemeClr val="tx1"/>
              </a:solidFill>
            </a:ln>
          </c:spPr>
          <c:invertIfNegative val="0"/>
          <c:cat>
            <c:multiLvlStrRef>
              <c:f>'Essential Energy'!$C$28:$L$29</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  </c:v>
                  </c:pt>
                  <c:pt idx="5">
                    <c:v>AER</c:v>
                  </c:pt>
                </c:lvl>
              </c:multiLvlStrCache>
            </c:multiLvlStrRef>
          </c:cat>
          <c:val>
            <c:numRef>
              <c:f>'Essential Energy'!$C$30:$L$30</c:f>
              <c:numCache>
                <c:formatCode>#,##0</c:formatCode>
                <c:ptCount val="10"/>
                <c:pt idx="0">
                  <c:v>2083.4423136862001</c:v>
                </c:pt>
                <c:pt idx="1">
                  <c:v>2229.9</c:v>
                </c:pt>
                <c:pt idx="2">
                  <c:v>2250.6</c:v>
                </c:pt>
                <c:pt idx="3">
                  <c:v>2329</c:v>
                </c:pt>
                <c:pt idx="4">
                  <c:v>2332</c:v>
                </c:pt>
                <c:pt idx="5">
                  <c:v>2238.8974548558003</c:v>
                </c:pt>
                <c:pt idx="6">
                  <c:v>2292.0660349143373</c:v>
                </c:pt>
                <c:pt idx="7">
                  <c:v>2185.1481560000002</c:v>
                </c:pt>
                <c:pt idx="8">
                  <c:v>2286.9330300000001</c:v>
                </c:pt>
              </c:numCache>
            </c:numRef>
          </c:val>
        </c:ser>
        <c:dLbls>
          <c:showLegendKey val="0"/>
          <c:showVal val="0"/>
          <c:showCatName val="0"/>
          <c:showSerName val="0"/>
          <c:showPercent val="0"/>
          <c:showBubbleSize val="0"/>
        </c:dLbls>
        <c:gapWidth val="50"/>
        <c:axId val="334898688"/>
        <c:axId val="334900224"/>
      </c:barChart>
      <c:catAx>
        <c:axId val="334898688"/>
        <c:scaling>
          <c:orientation val="minMax"/>
        </c:scaling>
        <c:delete val="0"/>
        <c:axPos val="b"/>
        <c:majorTickMark val="out"/>
        <c:minorTickMark val="none"/>
        <c:tickLblPos val="nextTo"/>
        <c:txPr>
          <a:bodyPr/>
          <a:lstStyle/>
          <a:p>
            <a:pPr>
              <a:defRPr sz="800"/>
            </a:pPr>
            <a:endParaRPr lang="en-US"/>
          </a:p>
        </c:txPr>
        <c:crossAx val="334900224"/>
        <c:crosses val="autoZero"/>
        <c:auto val="1"/>
        <c:lblAlgn val="ctr"/>
        <c:lblOffset val="100"/>
        <c:noMultiLvlLbl val="0"/>
      </c:catAx>
      <c:valAx>
        <c:axId val="334900224"/>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0" sourceLinked="1"/>
        <c:majorTickMark val="out"/>
        <c:minorTickMark val="none"/>
        <c:tickLblPos val="nextTo"/>
        <c:crossAx val="334898688"/>
        <c:crosses val="autoZero"/>
        <c:crossBetween val="between"/>
      </c:valAx>
    </c:plotArea>
    <c:legend>
      <c:legendPos val="b"/>
      <c:layout>
        <c:manualLayout>
          <c:xMode val="edge"/>
          <c:yMode val="edge"/>
          <c:x val="0.2361111111111111"/>
          <c:y val="0.89838181685622631"/>
          <c:w val="0.7353845144356956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ysClr val="windowText" lastClr="000000"/>
            </a:solidFill>
            <a:ln>
              <a:solidFill>
                <a:schemeClr val="tx1"/>
              </a:solidFill>
            </a:ln>
          </c:spPr>
          <c:invertIfNegative val="0"/>
          <c:cat>
            <c:strRef>
              <c:f>'SAIDI - Network'!$D$20:$J$20</c:f>
              <c:strCache>
                <c:ptCount val="7"/>
                <c:pt idx="0">
                  <c:v>2007</c:v>
                </c:pt>
                <c:pt idx="1">
                  <c:v>2008</c:v>
                </c:pt>
                <c:pt idx="2">
                  <c:v>2009</c:v>
                </c:pt>
                <c:pt idx="3">
                  <c:v>2010</c:v>
                </c:pt>
                <c:pt idx="4">
                  <c:v>2011</c:v>
                </c:pt>
                <c:pt idx="5">
                  <c:v>2012</c:v>
                </c:pt>
                <c:pt idx="6">
                  <c:v>2013</c:v>
                </c:pt>
              </c:strCache>
            </c:strRef>
          </c:cat>
          <c:val>
            <c:numRef>
              <c:f>'SAIDI - Network'!$D$34:$J$34</c:f>
              <c:numCache>
                <c:formatCode>#,##0.00</c:formatCode>
                <c:ptCount val="7"/>
                <c:pt idx="0">
                  <c:v>258.68528632028267</c:v>
                </c:pt>
                <c:pt idx="1">
                  <c:v>214.33838656239692</c:v>
                </c:pt>
                <c:pt idx="2">
                  <c:v>256.73719075978829</c:v>
                </c:pt>
                <c:pt idx="3">
                  <c:v>228.63944930816655</c:v>
                </c:pt>
                <c:pt idx="4">
                  <c:v>412.28143543584179</c:v>
                </c:pt>
                <c:pt idx="5">
                  <c:v>214.0385497033231</c:v>
                </c:pt>
                <c:pt idx="6">
                  <c:v>325.21918720227148</c:v>
                </c:pt>
              </c:numCache>
            </c:numRef>
          </c:val>
        </c:ser>
        <c:dLbls>
          <c:showLegendKey val="0"/>
          <c:showVal val="0"/>
          <c:showCatName val="0"/>
          <c:showSerName val="0"/>
          <c:showPercent val="0"/>
          <c:showBubbleSize val="0"/>
        </c:dLbls>
        <c:gapWidth val="50"/>
        <c:axId val="361105664"/>
        <c:axId val="361279872"/>
      </c:barChart>
      <c:catAx>
        <c:axId val="361105664"/>
        <c:scaling>
          <c:orientation val="minMax"/>
        </c:scaling>
        <c:delete val="0"/>
        <c:axPos val="b"/>
        <c:majorTickMark val="out"/>
        <c:minorTickMark val="none"/>
        <c:tickLblPos val="nextTo"/>
        <c:crossAx val="361279872"/>
        <c:crosses val="autoZero"/>
        <c:auto val="1"/>
        <c:lblAlgn val="ctr"/>
        <c:lblOffset val="100"/>
        <c:noMultiLvlLbl val="0"/>
      </c:catAx>
      <c:valAx>
        <c:axId val="361279872"/>
        <c:scaling>
          <c:orientation val="minMax"/>
          <c:min val="0"/>
        </c:scaling>
        <c:delete val="0"/>
        <c:axPos val="l"/>
        <c:title>
          <c:tx>
            <c:rich>
              <a:bodyPr rot="0" vert="horz"/>
              <a:lstStyle/>
              <a:p>
                <a:pPr>
                  <a:defRPr/>
                </a:pPr>
                <a:r>
                  <a:rPr lang="en-AU"/>
                  <a:t>Minutes</a:t>
                </a:r>
                <a:r>
                  <a:rPr lang="en-AU" baseline="0"/>
                  <a:t> per </a:t>
                </a:r>
                <a:r>
                  <a:rPr lang="en-AU"/>
                  <a:t>sustained</a:t>
                </a:r>
              </a:p>
              <a:p>
                <a:pPr>
                  <a:defRPr/>
                </a:pPr>
                <a:r>
                  <a:rPr lang="en-AU"/>
                  <a:t>interruption</a:t>
                </a:r>
              </a:p>
              <a:p>
                <a:pPr>
                  <a:defRPr/>
                </a:pPr>
                <a:r>
                  <a:rPr lang="en-AU"/>
                  <a:t>to</a:t>
                </a:r>
                <a:r>
                  <a:rPr lang="en-AU" baseline="0"/>
                  <a:t> supply</a:t>
                </a:r>
              </a:p>
              <a:p>
                <a:pPr>
                  <a:defRPr/>
                </a:pPr>
                <a:r>
                  <a:rPr lang="en-AU" baseline="0"/>
                  <a:t>(SAIDI)</a:t>
                </a:r>
                <a:endParaRPr lang="en-AU"/>
              </a:p>
              <a:p>
                <a:pPr>
                  <a:defRPr/>
                </a:pPr>
                <a:endParaRPr lang="en-AU"/>
              </a:p>
            </c:rich>
          </c:tx>
          <c:layout/>
          <c:overlay val="0"/>
        </c:title>
        <c:numFmt formatCode="#,##0" sourceLinked="0"/>
        <c:majorTickMark val="out"/>
        <c:minorTickMark val="none"/>
        <c:tickLblPos val="nextTo"/>
        <c:crossAx val="361105664"/>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'Essential Energy'!$K$67</c:f>
              <c:strCache>
                <c:ptCount val="1"/>
                <c:pt idx="0">
                  <c:v>Forecast (inc. amendments)
</c:v>
                </c:pt>
              </c:strCache>
            </c:strRef>
          </c:tx>
          <c:spPr>
            <a:pattFill prst="dkUpDiag">
              <a:fgClr>
                <a:srgbClr val="C6DBEF"/>
              </a:fgClr>
              <a:bgClr>
                <a:sysClr val="windowText" lastClr="000000"/>
              </a:bgClr>
            </a:pattFill>
            <a:ln>
              <a:solidFill>
                <a:schemeClr val="tx1"/>
              </a:solidFill>
            </a:ln>
          </c:spPr>
          <c:invertIfNegative val="0"/>
          <c:cat>
            <c:multiLvlStrRef>
              <c:f>'Essential Energy'!$B$68:$C$77</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'Essential Energy'!$K$68:$K$77</c:f>
              <c:numCache>
                <c:formatCode>"$"#,##0</c:formatCode>
                <c:ptCount val="10"/>
                <c:pt idx="0">
                  <c:v>303282518.87835592</c:v>
                </c:pt>
                <c:pt idx="1">
                  <c:v>300716166.0555923</c:v>
                </c:pt>
                <c:pt idx="2">
                  <c:v>444772953.75951636</c:v>
                </c:pt>
                <c:pt idx="3">
                  <c:v>449415305.74166626</c:v>
                </c:pt>
                <c:pt idx="4">
                  <c:v>449729822.55782139</c:v>
                </c:pt>
                <c:pt idx="5">
                  <c:v>781661941.07032752</c:v>
                </c:pt>
                <c:pt idx="6">
                  <c:v>827314405.98123944</c:v>
                </c:pt>
                <c:pt idx="7">
                  <c:v>848065526.39529037</c:v>
                </c:pt>
                <c:pt idx="8">
                  <c:v>850905153.39931834</c:v>
                </c:pt>
                <c:pt idx="9">
                  <c:v>870673326.00428259</c:v>
                </c:pt>
              </c:numCache>
            </c:numRef>
          </c:val>
        </c:ser>
        <c:ser>
          <c:idx val="1"/>
          <c:order val="1"/>
          <c:tx>
            <c:strRef>
              <c:f>'Essential Energy'!$S$67</c:f>
              <c:strCache>
                <c:ptCount val="1"/>
                <c:pt idx="0">
                  <c:v>Actual</c:v>
                </c:pt>
              </c:strCache>
            </c:strRef>
          </c:tx>
          <c:spPr>
            <a:solidFill>
              <a:srgbClr val="C6DBEF"/>
            </a:solidFill>
            <a:ln>
              <a:solidFill>
                <a:sysClr val="windowText" lastClr="000000"/>
              </a:solidFill>
            </a:ln>
          </c:spPr>
          <c:invertIfNegative val="0"/>
          <c:cat>
            <c:multiLvlStrRef>
              <c:f>'Essential Energy'!$B$68:$C$77</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'Essential Energy'!$S$68:$S$77</c:f>
              <c:numCache>
                <c:formatCode>"$"#,##0</c:formatCode>
                <c:ptCount val="10"/>
                <c:pt idx="0">
                  <c:v>401273340.4767347</c:v>
                </c:pt>
                <c:pt idx="1">
                  <c:v>426882899.65389401</c:v>
                </c:pt>
                <c:pt idx="2">
                  <c:v>522748337.45373118</c:v>
                </c:pt>
                <c:pt idx="3">
                  <c:v>565990984.73942757</c:v>
                </c:pt>
                <c:pt idx="4">
                  <c:v>637068194.68186128</c:v>
                </c:pt>
                <c:pt idx="5">
                  <c:v>723442631.87421191</c:v>
                </c:pt>
                <c:pt idx="6">
                  <c:v>746307043.02514005</c:v>
                </c:pt>
                <c:pt idx="7">
                  <c:v>770333017.80402839</c:v>
                </c:pt>
                <c:pt idx="8">
                  <c:v>640579642</c:v>
                </c:pt>
                <c:pt idx="9">
                  <c:v>#N/A</c:v>
                </c:pt>
              </c:numCache>
            </c:numRef>
          </c:val>
        </c:ser>
        <c:dLbls>
          <c:showLegendKey val="0"/>
          <c:showVal val="0"/>
          <c:showCatName val="0"/>
          <c:showSerName val="0"/>
          <c:showPercent val="0"/>
          <c:showBubbleSize val="0"/>
        </c:dLbls>
        <c:gapWidth val="50"/>
        <c:axId val="334991360"/>
        <c:axId val="334992896"/>
      </c:barChart>
      <c:catAx>
        <c:axId val="334991360"/>
        <c:scaling>
          <c:orientation val="minMax"/>
        </c:scaling>
        <c:delete val="0"/>
        <c:axPos val="b"/>
        <c:majorTickMark val="out"/>
        <c:minorTickMark val="none"/>
        <c:tickLblPos val="nextTo"/>
        <c:txPr>
          <a:bodyPr/>
          <a:lstStyle/>
          <a:p>
            <a:pPr>
              <a:defRPr sz="750"/>
            </a:pPr>
            <a:endParaRPr lang="en-US"/>
          </a:p>
        </c:txPr>
        <c:crossAx val="334992896"/>
        <c:crosses val="autoZero"/>
        <c:auto val="1"/>
        <c:lblAlgn val="ctr"/>
        <c:lblOffset val="100"/>
        <c:noMultiLvlLbl val="0"/>
      </c:catAx>
      <c:valAx>
        <c:axId val="334992896"/>
        <c:scaling>
          <c:orientation val="minMax"/>
          <c:max val="1000000000"/>
          <c:min val="0"/>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34991360"/>
        <c:crosses val="autoZero"/>
        <c:crossBetween val="between"/>
        <c:majorUnit val="200000000"/>
      </c:valAx>
    </c:plotArea>
    <c:legend>
      <c:legendPos val="b"/>
      <c:layout>
        <c:manualLayout>
          <c:xMode val="edge"/>
          <c:yMode val="edge"/>
          <c:x val="0.27397069116360456"/>
          <c:y val="0.88850503062117236"/>
          <c:w val="0.6921025809273840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'Essential Energy'!$I$80</c:f>
              <c:strCache>
                <c:ptCount val="1"/>
                <c:pt idx="0">
                  <c:v>Forecast</c:v>
                </c:pt>
              </c:strCache>
            </c:strRef>
          </c:tx>
          <c:spPr>
            <a:pattFill prst="dkUpDiag">
              <a:fgClr>
                <a:srgbClr val="C6DBEF"/>
              </a:fgClr>
              <a:bgClr>
                <a:sysClr val="windowText" lastClr="000000"/>
              </a:bgClr>
            </a:pattFill>
            <a:ln>
              <a:solidFill>
                <a:schemeClr val="tx1"/>
              </a:solidFill>
            </a:ln>
          </c:spPr>
          <c:invertIfNegative val="0"/>
          <c:cat>
            <c:multiLvlStrRef>
              <c:f>'Essential Energy'!$B$81:$C$95</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Enviro, safety &amp; stat obligations</c:v>
                  </c:pt>
                  <c:pt idx="9">
                    <c:v>Reliability</c:v>
                  </c:pt>
                  <c:pt idx="12">
                    <c:v>Non-system</c:v>
                  </c:pt>
                </c:lvl>
              </c:multiLvlStrCache>
            </c:multiLvlStrRef>
          </c:cat>
          <c:val>
            <c:numRef>
              <c:f>'Essential Energy'!$I$81:$I$95</c:f>
              <c:numCache>
                <c:formatCode>"$"#,##0</c:formatCode>
                <c:ptCount val="15"/>
                <c:pt idx="0">
                  <c:v>170184689.69000739</c:v>
                </c:pt>
                <c:pt idx="1">
                  <c:v>182794558.74350458</c:v>
                </c:pt>
                <c:pt idx="2">
                  <c:v>191655968.15190071</c:v>
                </c:pt>
                <c:pt idx="3">
                  <c:v>290256995.50284272</c:v>
                </c:pt>
                <c:pt idx="4">
                  <c:v>308460065.34299457</c:v>
                </c:pt>
                <c:pt idx="5">
                  <c:v>320134861.33914256</c:v>
                </c:pt>
                <c:pt idx="6">
                  <c:v>43396714.318150811</c:v>
                </c:pt>
                <c:pt idx="7">
                  <c:v>46118235.159042127</c:v>
                </c:pt>
                <c:pt idx="8">
                  <c:v>47863731.28484422</c:v>
                </c:pt>
                <c:pt idx="9">
                  <c:v>193828130.28716508</c:v>
                </c:pt>
                <c:pt idx="10">
                  <c:v>201711256.99850193</c:v>
                </c:pt>
                <c:pt idx="11">
                  <c:v>204837769.36859491</c:v>
                </c:pt>
                <c:pt idx="12">
                  <c:v>158104961.79467157</c:v>
                </c:pt>
                <c:pt idx="13">
                  <c:v>138161159.9075996</c:v>
                </c:pt>
                <c:pt idx="14">
                  <c:v>115778378.93276387</c:v>
                </c:pt>
              </c:numCache>
            </c:numRef>
          </c:val>
        </c:ser>
        <c:ser>
          <c:idx val="1"/>
          <c:order val="1"/>
          <c:tx>
            <c:strRef>
              <c:f>'Essential Energy'!$J$80</c:f>
              <c:strCache>
                <c:ptCount val="1"/>
                <c:pt idx="0">
                  <c:v>Actual</c:v>
                </c:pt>
              </c:strCache>
            </c:strRef>
          </c:tx>
          <c:spPr>
            <a:solidFill>
              <a:srgbClr val="C6DBEF"/>
            </a:solidFill>
            <a:ln>
              <a:solidFill>
                <a:sysClr val="windowText" lastClr="000000"/>
              </a:solidFill>
            </a:ln>
          </c:spPr>
          <c:invertIfNegative val="0"/>
          <c:cat>
            <c:multiLvlStrRef>
              <c:f>'Essential Energy'!$B$81:$C$95</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Enviro, safety &amp; stat obligations</c:v>
                  </c:pt>
                  <c:pt idx="9">
                    <c:v>Reliability</c:v>
                  </c:pt>
                  <c:pt idx="12">
                    <c:v>Non-system</c:v>
                  </c:pt>
                </c:lvl>
              </c:multiLvlStrCache>
            </c:multiLvlStrRef>
          </c:cat>
          <c:val>
            <c:numRef>
              <c:f>'Essential Energy'!$J$81:$J$95</c:f>
              <c:numCache>
                <c:formatCode>"$"#,##0</c:formatCode>
                <c:ptCount val="15"/>
                <c:pt idx="0">
                  <c:v>228637378.24232766</c:v>
                </c:pt>
                <c:pt idx="1">
                  <c:v>221710354.59377259</c:v>
                </c:pt>
                <c:pt idx="2">
                  <c:v>193622578.84432834</c:v>
                </c:pt>
                <c:pt idx="3">
                  <c:v>249092959.95607725</c:v>
                </c:pt>
                <c:pt idx="4">
                  <c:v>274223876.3626951</c:v>
                </c:pt>
                <c:pt idx="5">
                  <c:v>249711830.6495125</c:v>
                </c:pt>
                <c:pt idx="6">
                  <c:v>18630683.731247496</c:v>
                </c:pt>
                <c:pt idx="7">
                  <c:v>19818412.438232407</c:v>
                </c:pt>
                <c:pt idx="8">
                  <c:v>8325961.1072130846</c:v>
                </c:pt>
                <c:pt idx="9">
                  <c:v>125296167.89522295</c:v>
                </c:pt>
                <c:pt idx="10">
                  <c:v>124641456.30148281</c:v>
                </c:pt>
                <c:pt idx="11">
                  <c:v>125403665.84816438</c:v>
                </c:pt>
                <c:pt idx="12">
                  <c:v>124649853.22880208</c:v>
                </c:pt>
                <c:pt idx="13">
                  <c:v>129938918.06329782</c:v>
                </c:pt>
                <c:pt idx="14">
                  <c:v>63515605.917297803</c:v>
                </c:pt>
              </c:numCache>
            </c:numRef>
          </c:val>
        </c:ser>
        <c:dLbls>
          <c:showLegendKey val="0"/>
          <c:showVal val="0"/>
          <c:showCatName val="0"/>
          <c:showSerName val="0"/>
          <c:showPercent val="0"/>
          <c:showBubbleSize val="0"/>
        </c:dLbls>
        <c:gapWidth val="50"/>
        <c:axId val="335014912"/>
        <c:axId val="335016704"/>
      </c:barChart>
      <c:catAx>
        <c:axId val="335014912"/>
        <c:scaling>
          <c:orientation val="minMax"/>
        </c:scaling>
        <c:delete val="0"/>
        <c:axPos val="b"/>
        <c:majorTickMark val="out"/>
        <c:minorTickMark val="none"/>
        <c:tickLblPos val="nextTo"/>
        <c:txPr>
          <a:bodyPr/>
          <a:lstStyle/>
          <a:p>
            <a:pPr>
              <a:defRPr sz="700"/>
            </a:pPr>
            <a:endParaRPr lang="en-US"/>
          </a:p>
        </c:txPr>
        <c:crossAx val="335016704"/>
        <c:crosses val="autoZero"/>
        <c:auto val="1"/>
        <c:lblAlgn val="ctr"/>
        <c:lblOffset val="100"/>
        <c:noMultiLvlLbl val="0"/>
      </c:catAx>
      <c:valAx>
        <c:axId val="335016704"/>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35014912"/>
        <c:crosses val="autoZero"/>
        <c:crossBetween val="between"/>
      </c:valAx>
    </c:plotArea>
    <c:legend>
      <c:legendPos val="b"/>
      <c:layout>
        <c:manualLayout>
          <c:xMode val="edge"/>
          <c:yMode val="edge"/>
          <c:x val="0.26008180227471567"/>
          <c:y val="0.88850503062117236"/>
          <c:w val="0.6742808398950130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'Essential Energy'!$K$98</c:f>
              <c:strCache>
                <c:ptCount val="1"/>
                <c:pt idx="0">
                  <c:v>Forecast
</c:v>
                </c:pt>
              </c:strCache>
            </c:strRef>
          </c:tx>
          <c:spPr>
            <a:pattFill prst="dkUpDiag">
              <a:fgClr>
                <a:srgbClr val="C6DBEF"/>
              </a:fgClr>
              <a:bgClr>
                <a:sysClr val="windowText" lastClr="000000"/>
              </a:bgClr>
            </a:pattFill>
            <a:ln>
              <a:solidFill>
                <a:schemeClr val="tx1"/>
              </a:solidFill>
            </a:ln>
          </c:spPr>
          <c:invertIfNegative val="0"/>
          <c:cat>
            <c:multiLvlStrRef>
              <c:f>'Essential Energy'!$B$99:$C$107</c:f>
              <c:multiLvlStrCache>
                <c:ptCount val="9"/>
                <c:lvl>
                  <c:pt idx="0">
                    <c:v>2004-05</c:v>
                  </c:pt>
                  <c:pt idx="1">
                    <c:v>2005-06</c:v>
                  </c:pt>
                  <c:pt idx="2">
                    <c:v>2006-07</c:v>
                  </c:pt>
                  <c:pt idx="3">
                    <c:v>2007-08</c:v>
                  </c:pt>
                  <c:pt idx="4">
                    <c:v>2008-09</c:v>
                  </c:pt>
                  <c:pt idx="5">
                    <c:v>2009-10*</c:v>
                  </c:pt>
                  <c:pt idx="6">
                    <c:v>2010-11*</c:v>
                  </c:pt>
                  <c:pt idx="7">
                    <c:v>2011-12*</c:v>
                  </c:pt>
                  <c:pt idx="8">
                    <c:v>2012-13*</c:v>
                  </c:pt>
                </c:lvl>
                <c:lvl>
                  <c:pt idx="0">
                    <c:v>IPART</c:v>
                  </c:pt>
                  <c:pt idx="5">
                    <c:v>AER</c:v>
                  </c:pt>
                </c:lvl>
              </c:multiLvlStrCache>
            </c:multiLvlStrRef>
          </c:cat>
          <c:val>
            <c:numRef>
              <c:f>'Essential Energy'!$K$99:$K$107</c:f>
              <c:numCache>
                <c:formatCode>"$"#,##0</c:formatCode>
                <c:ptCount val="9"/>
                <c:pt idx="0">
                  <c:v>3211190527.7928572</c:v>
                </c:pt>
                <c:pt idx="1">
                  <c:v>3412516581.6793447</c:v>
                </c:pt>
                <c:pt idx="2">
                  <c:v>3616212819.3980622</c:v>
                </c:pt>
                <c:pt idx="3">
                  <c:v>3831352680.2339554</c:v>
                </c:pt>
                <c:pt idx="4">
                  <c:v>4055982158.2439651</c:v>
                </c:pt>
                <c:pt idx="5">
                  <c:v>5385898695.2552929</c:v>
                </c:pt>
                <c:pt idx="6">
                  <c:v>5974073842.6458492</c:v>
                </c:pt>
                <c:pt idx="7">
                  <c:v>6553582540.7161589</c:v>
                </c:pt>
                <c:pt idx="8">
                  <c:v>7063647084.7651577</c:v>
                </c:pt>
              </c:numCache>
            </c:numRef>
          </c:val>
        </c:ser>
        <c:ser>
          <c:idx val="1"/>
          <c:order val="1"/>
          <c:tx>
            <c:strRef>
              <c:f>'Essential Energy'!$Q$98</c:f>
              <c:strCache>
                <c:ptCount val="1"/>
                <c:pt idx="0">
                  <c:v>Actual</c:v>
                </c:pt>
              </c:strCache>
            </c:strRef>
          </c:tx>
          <c:spPr>
            <a:solidFill>
              <a:srgbClr val="C6DBEF"/>
            </a:solidFill>
            <a:ln>
              <a:solidFill>
                <a:sysClr val="windowText" lastClr="000000"/>
              </a:solidFill>
            </a:ln>
          </c:spPr>
          <c:invertIfNegative val="0"/>
          <c:cat>
            <c:multiLvlStrRef>
              <c:f>'Essential Energy'!$B$99:$C$107</c:f>
              <c:multiLvlStrCache>
                <c:ptCount val="9"/>
                <c:lvl>
                  <c:pt idx="0">
                    <c:v>2004-05</c:v>
                  </c:pt>
                  <c:pt idx="1">
                    <c:v>2005-06</c:v>
                  </c:pt>
                  <c:pt idx="2">
                    <c:v>2006-07</c:v>
                  </c:pt>
                  <c:pt idx="3">
                    <c:v>2007-08</c:v>
                  </c:pt>
                  <c:pt idx="4">
                    <c:v>2008-09</c:v>
                  </c:pt>
                  <c:pt idx="5">
                    <c:v>2009-10*</c:v>
                  </c:pt>
                  <c:pt idx="6">
                    <c:v>2010-11*</c:v>
                  </c:pt>
                  <c:pt idx="7">
                    <c:v>2011-12*</c:v>
                  </c:pt>
                  <c:pt idx="8">
                    <c:v>2012-13*</c:v>
                  </c:pt>
                </c:lvl>
                <c:lvl>
                  <c:pt idx="0">
                    <c:v>IPART</c:v>
                  </c:pt>
                  <c:pt idx="5">
                    <c:v>AER</c:v>
                  </c:pt>
                </c:lvl>
              </c:multiLvlStrCache>
            </c:multiLvlStrRef>
          </c:cat>
          <c:val>
            <c:numRef>
              <c:f>'Essential Energy'!$Q$99:$Q$107</c:f>
              <c:numCache>
                <c:formatCode>"$"#,##0</c:formatCode>
                <c:ptCount val="9"/>
                <c:pt idx="0">
                  <c:v>3348455638.7876763</c:v>
                </c:pt>
                <c:pt idx="1">
                  <c:v>3621519619.6616673</c:v>
                </c:pt>
                <c:pt idx="2">
                  <c:v>4015717637.9529433</c:v>
                </c:pt>
                <c:pt idx="3">
                  <c:v>4364702070.6232224</c:v>
                </c:pt>
                <c:pt idx="4">
                  <c:v>4922829876.8927879</c:v>
                </c:pt>
                <c:pt idx="5">
                  <c:v>5264887610.7830553</c:v>
                </c:pt>
                <c:pt idx="6">
                  <c:v>5775043315.6818304</c:v>
                </c:pt>
                <c:pt idx="7">
                  <c:v>6326623723.2382975</c:v>
                </c:pt>
                <c:pt idx="8">
                  <c:v>6575664973.7187023</c:v>
                </c:pt>
              </c:numCache>
            </c:numRef>
          </c:val>
        </c:ser>
        <c:dLbls>
          <c:showLegendKey val="0"/>
          <c:showVal val="0"/>
          <c:showCatName val="0"/>
          <c:showSerName val="0"/>
          <c:showPercent val="0"/>
          <c:showBubbleSize val="0"/>
        </c:dLbls>
        <c:gapWidth val="50"/>
        <c:axId val="336282368"/>
        <c:axId val="336283904"/>
      </c:barChart>
      <c:catAx>
        <c:axId val="336282368"/>
        <c:scaling>
          <c:orientation val="minMax"/>
        </c:scaling>
        <c:delete val="0"/>
        <c:axPos val="b"/>
        <c:majorTickMark val="out"/>
        <c:minorTickMark val="none"/>
        <c:tickLblPos val="nextTo"/>
        <c:txPr>
          <a:bodyPr/>
          <a:lstStyle/>
          <a:p>
            <a:pPr>
              <a:defRPr sz="800"/>
            </a:pPr>
            <a:endParaRPr lang="en-US"/>
          </a:p>
        </c:txPr>
        <c:crossAx val="336283904"/>
        <c:crosses val="autoZero"/>
        <c:auto val="1"/>
        <c:lblAlgn val="ctr"/>
        <c:lblOffset val="100"/>
        <c:noMultiLvlLbl val="0"/>
      </c:catAx>
      <c:valAx>
        <c:axId val="336283904"/>
        <c:scaling>
          <c:orientation val="minMax"/>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bn&quot;" sourceLinked="0"/>
        <c:majorTickMark val="out"/>
        <c:minorTickMark val="none"/>
        <c:tickLblPos val="nextTo"/>
        <c:txPr>
          <a:bodyPr/>
          <a:lstStyle/>
          <a:p>
            <a:pPr>
              <a:defRPr sz="800"/>
            </a:pPr>
            <a:endParaRPr lang="en-US"/>
          </a:p>
        </c:txPr>
        <c:crossAx val="336282368"/>
        <c:crosses val="autoZero"/>
        <c:crossBetween val="between"/>
      </c:valAx>
    </c:plotArea>
    <c:legend>
      <c:legendPos val="b"/>
      <c:layout>
        <c:manualLayout>
          <c:xMode val="edge"/>
          <c:yMode val="edge"/>
          <c:x val="0.23641206820978364"/>
          <c:y val="0.88850503062117236"/>
          <c:w val="0.76358793179021633"/>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'Essential Energy'!$K$54</c:f>
              <c:strCache>
                <c:ptCount val="1"/>
                <c:pt idx="0">
                  <c:v>Forecast (inc. amendments)
</c:v>
                </c:pt>
              </c:strCache>
            </c:strRef>
          </c:tx>
          <c:spPr>
            <a:pattFill prst="dkUpDiag">
              <a:fgClr>
                <a:srgbClr val="C6DBEF"/>
              </a:fgClr>
              <a:bgClr>
                <a:sysClr val="windowText" lastClr="000000"/>
              </a:bgClr>
            </a:pattFill>
            <a:ln>
              <a:solidFill>
                <a:schemeClr val="tx1"/>
              </a:solidFill>
            </a:ln>
          </c:spPr>
          <c:invertIfNegative val="0"/>
          <c:cat>
            <c:multiLvlStrRef>
              <c:f>'Essential Energy'!$B$55:$C$64</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'Essential Energy'!$K$55:$K$64</c:f>
              <c:numCache>
                <c:formatCode>"$"#,##0</c:formatCode>
                <c:ptCount val="10"/>
                <c:pt idx="0">
                  <c:v>288427864.89247727</c:v>
                </c:pt>
                <c:pt idx="1">
                  <c:v>291054602.48754114</c:v>
                </c:pt>
                <c:pt idx="2">
                  <c:v>344520410.99212545</c:v>
                </c:pt>
                <c:pt idx="3">
                  <c:v>348187721.255068</c:v>
                </c:pt>
                <c:pt idx="4">
                  <c:v>353179812.7825492</c:v>
                </c:pt>
                <c:pt idx="5">
                  <c:v>432090738.53996968</c:v>
                </c:pt>
                <c:pt idx="6">
                  <c:v>441022080.56213111</c:v>
                </c:pt>
                <c:pt idx="7">
                  <c:v>449474805.49510044</c:v>
                </c:pt>
                <c:pt idx="8">
                  <c:v>456867540.43759686</c:v>
                </c:pt>
                <c:pt idx="9">
                  <c:v>461999280.34090388</c:v>
                </c:pt>
              </c:numCache>
            </c:numRef>
          </c:val>
        </c:ser>
        <c:ser>
          <c:idx val="1"/>
          <c:order val="1"/>
          <c:tx>
            <c:strRef>
              <c:f>'Essential Energy'!$Q$54</c:f>
              <c:strCache>
                <c:ptCount val="1"/>
                <c:pt idx="0">
                  <c:v>Actual</c:v>
                </c:pt>
              </c:strCache>
            </c:strRef>
          </c:tx>
          <c:spPr>
            <a:solidFill>
              <a:srgbClr val="C6DBEF"/>
            </a:solidFill>
            <a:ln>
              <a:solidFill>
                <a:sysClr val="windowText" lastClr="000000"/>
              </a:solidFill>
            </a:ln>
          </c:spPr>
          <c:invertIfNegative val="0"/>
          <c:cat>
            <c:multiLvlStrRef>
              <c:f>'Essential Energy'!$B$55:$C$64</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'Essential Energy'!$Q$55:$Q$64</c:f>
              <c:numCache>
                <c:formatCode>"$"#,##0</c:formatCode>
                <c:ptCount val="10"/>
                <c:pt idx="0">
                  <c:v>289085445.46466959</c:v>
                </c:pt>
                <c:pt idx="1">
                  <c:v>297350300.96418732</c:v>
                </c:pt>
                <c:pt idx="2">
                  <c:v>354546602.7167533</c:v>
                </c:pt>
                <c:pt idx="3">
                  <c:v>400483236.00907016</c:v>
                </c:pt>
                <c:pt idx="4">
                  <c:v>382143981.00664759</c:v>
                </c:pt>
                <c:pt idx="5">
                  <c:v>397414993.95943886</c:v>
                </c:pt>
                <c:pt idx="6">
                  <c:v>412402633.33422399</c:v>
                </c:pt>
                <c:pt idx="7">
                  <c:v>499579556.13575804</c:v>
                </c:pt>
                <c:pt idx="8">
                  <c:v>461042270.79995298</c:v>
                </c:pt>
                <c:pt idx="9">
                  <c:v>#N/A</c:v>
                </c:pt>
              </c:numCache>
            </c:numRef>
          </c:val>
        </c:ser>
        <c:dLbls>
          <c:showLegendKey val="0"/>
          <c:showVal val="0"/>
          <c:showCatName val="0"/>
          <c:showSerName val="0"/>
          <c:showPercent val="0"/>
          <c:showBubbleSize val="0"/>
        </c:dLbls>
        <c:gapWidth val="50"/>
        <c:axId val="336306176"/>
        <c:axId val="336307712"/>
      </c:barChart>
      <c:catAx>
        <c:axId val="336306176"/>
        <c:scaling>
          <c:orientation val="minMax"/>
        </c:scaling>
        <c:delete val="0"/>
        <c:axPos val="b"/>
        <c:majorTickMark val="out"/>
        <c:minorTickMark val="none"/>
        <c:tickLblPos val="nextTo"/>
        <c:txPr>
          <a:bodyPr/>
          <a:lstStyle/>
          <a:p>
            <a:pPr>
              <a:defRPr sz="750"/>
            </a:pPr>
            <a:endParaRPr lang="en-US"/>
          </a:p>
        </c:txPr>
        <c:crossAx val="336307712"/>
        <c:crosses val="autoZero"/>
        <c:auto val="1"/>
        <c:lblAlgn val="ctr"/>
        <c:lblOffset val="100"/>
        <c:noMultiLvlLbl val="0"/>
      </c:catAx>
      <c:valAx>
        <c:axId val="336307712"/>
        <c:scaling>
          <c:orientation val="minMax"/>
          <c:max val="60000000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36306176"/>
        <c:crosses val="autoZero"/>
        <c:crossBetween val="between"/>
      </c:valAx>
    </c:plotArea>
    <c:legend>
      <c:legendPos val="b"/>
      <c:layout>
        <c:manualLayout>
          <c:xMode val="edge"/>
          <c:yMode val="edge"/>
          <c:x val="0.2656373578302712"/>
          <c:y val="0.88850503062117236"/>
          <c:w val="0.70380708661417324"/>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'Essential Energy'!$K$40</c:f>
              <c:strCache>
                <c:ptCount val="1"/>
                <c:pt idx="0">
                  <c:v>Forecast (inc. amendments)
</c:v>
                </c:pt>
              </c:strCache>
            </c:strRef>
          </c:tx>
          <c:spPr>
            <a:pattFill prst="dkUpDiag">
              <a:fgClr>
                <a:srgbClr val="C6DBEF"/>
              </a:fgClr>
              <a:bgClr>
                <a:sysClr val="windowText" lastClr="000000"/>
              </a:bgClr>
            </a:pattFill>
            <a:ln>
              <a:solidFill>
                <a:schemeClr val="tx1"/>
              </a:solidFill>
            </a:ln>
          </c:spPr>
          <c:invertIfNegative val="0"/>
          <c:cat>
            <c:multiLvlStrRef>
              <c:f>'Essential Energy'!$B$41:$C$50</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'Essential Energy'!$K$41:$K$50</c:f>
              <c:numCache>
                <c:formatCode>"$"#,##0</c:formatCode>
                <c:ptCount val="10"/>
                <c:pt idx="0">
                  <c:v>678362532.02179205</c:v>
                </c:pt>
                <c:pt idx="1">
                  <c:v>704086445.02172816</c:v>
                </c:pt>
                <c:pt idx="2">
                  <c:v>730508464.90142906</c:v>
                </c:pt>
                <c:pt idx="3">
                  <c:v>754073254.09179795</c:v>
                </c:pt>
                <c:pt idx="4">
                  <c:v>799791867.32681406</c:v>
                </c:pt>
                <c:pt idx="5">
                  <c:v>913210026.59360135</c:v>
                </c:pt>
                <c:pt idx="6">
                  <c:v>1080920155.9437892</c:v>
                </c:pt>
                <c:pt idx="7">
                  <c:v>1279805408.2389851</c:v>
                </c:pt>
                <c:pt idx="8">
                  <c:v>1475606869.548665</c:v>
                </c:pt>
                <c:pt idx="9">
                  <c:v>1425440340.7881622</c:v>
                </c:pt>
              </c:numCache>
            </c:numRef>
          </c:val>
        </c:ser>
        <c:ser>
          <c:idx val="1"/>
          <c:order val="1"/>
          <c:tx>
            <c:strRef>
              <c:f>'Essential Energy'!$Q$40</c:f>
              <c:strCache>
                <c:ptCount val="1"/>
                <c:pt idx="0">
                  <c:v>Actual</c:v>
                </c:pt>
              </c:strCache>
            </c:strRef>
          </c:tx>
          <c:spPr>
            <a:solidFill>
              <a:srgbClr val="C6DBEF"/>
            </a:solidFill>
            <a:ln>
              <a:solidFill>
                <a:sysClr val="windowText" lastClr="000000"/>
              </a:solidFill>
            </a:ln>
          </c:spPr>
          <c:invertIfNegative val="0"/>
          <c:cat>
            <c:multiLvlStrRef>
              <c:f>'Essential Energy'!$B$41:$C$50</c:f>
              <c:multiLvlStrCache>
                <c:ptCount val="10"/>
                <c:lvl>
                  <c:pt idx="0">
                    <c:v>2004-05</c:v>
                  </c:pt>
                  <c:pt idx="1">
                    <c:v>2005-06</c:v>
                  </c:pt>
                  <c:pt idx="2">
                    <c:v>2006-07</c:v>
                  </c:pt>
                  <c:pt idx="3">
                    <c:v>2007-08</c:v>
                  </c:pt>
                  <c:pt idx="4">
                    <c:v>2008-09</c:v>
                  </c:pt>
                  <c:pt idx="5">
                    <c:v>2009-10</c:v>
                  </c:pt>
                  <c:pt idx="6">
                    <c:v>2010-11</c:v>
                  </c:pt>
                  <c:pt idx="7">
                    <c:v>2011-12</c:v>
                  </c:pt>
                  <c:pt idx="8">
                    <c:v>2012-13</c:v>
                  </c:pt>
                  <c:pt idx="9">
                    <c:v>2013-14</c:v>
                  </c:pt>
                </c:lvl>
                <c:lvl>
                  <c:pt idx="0">
                    <c:v>IPART</c:v>
                  </c:pt>
                  <c:pt idx="5">
                    <c:v>AER</c:v>
                  </c:pt>
                </c:lvl>
              </c:multiLvlStrCache>
            </c:multiLvlStrRef>
          </c:cat>
          <c:val>
            <c:numRef>
              <c:f>'Essential Energy'!$Q$41:$Q$50</c:f>
              <c:numCache>
                <c:formatCode>"$"#,##0</c:formatCode>
                <c:ptCount val="10"/>
                <c:pt idx="0">
                  <c:v>668746115.00933909</c:v>
                </c:pt>
                <c:pt idx="1">
                  <c:v>699079288.34366393</c:v>
                </c:pt>
                <c:pt idx="2">
                  <c:v>751902052.65805805</c:v>
                </c:pt>
                <c:pt idx="3">
                  <c:v>782297443.44735968</c:v>
                </c:pt>
                <c:pt idx="4">
                  <c:v>825323623.93162382</c:v>
                </c:pt>
                <c:pt idx="5">
                  <c:v>941879516.8669802</c:v>
                </c:pt>
                <c:pt idx="6">
                  <c:v>1056341017.1613288</c:v>
                </c:pt>
                <c:pt idx="7">
                  <c:v>1289219849.505214</c:v>
                </c:pt>
                <c:pt idx="8">
                  <c:v>1485609122</c:v>
                </c:pt>
                <c:pt idx="9">
                  <c:v>#N/A</c:v>
                </c:pt>
              </c:numCache>
            </c:numRef>
          </c:val>
        </c:ser>
        <c:dLbls>
          <c:showLegendKey val="0"/>
          <c:showVal val="0"/>
          <c:showCatName val="0"/>
          <c:showSerName val="0"/>
          <c:showPercent val="0"/>
          <c:showBubbleSize val="0"/>
        </c:dLbls>
        <c:gapWidth val="50"/>
        <c:axId val="336328960"/>
        <c:axId val="336334848"/>
      </c:barChart>
      <c:catAx>
        <c:axId val="336328960"/>
        <c:scaling>
          <c:orientation val="minMax"/>
        </c:scaling>
        <c:delete val="0"/>
        <c:axPos val="b"/>
        <c:majorTickMark val="out"/>
        <c:minorTickMark val="none"/>
        <c:tickLblPos val="nextTo"/>
        <c:txPr>
          <a:bodyPr/>
          <a:lstStyle/>
          <a:p>
            <a:pPr>
              <a:defRPr sz="750"/>
            </a:pPr>
            <a:endParaRPr lang="en-US"/>
          </a:p>
        </c:txPr>
        <c:crossAx val="336334848"/>
        <c:crosses val="autoZero"/>
        <c:auto val="1"/>
        <c:lblAlgn val="ctr"/>
        <c:lblOffset val="100"/>
        <c:noMultiLvlLbl val="0"/>
      </c:catAx>
      <c:valAx>
        <c:axId val="336334848"/>
        <c:scaling>
          <c:orientation val="minMax"/>
          <c:max val="150000000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36328960"/>
        <c:crosses val="autoZero"/>
        <c:crossBetween val="between"/>
        <c:majorUnit val="300000000"/>
      </c:valAx>
    </c:plotArea>
    <c:legend>
      <c:legendPos val="b"/>
      <c:layout>
        <c:manualLayout>
          <c:xMode val="edge"/>
          <c:yMode val="edge"/>
          <c:x val="0.27674846894138233"/>
          <c:y val="0.88850503062117236"/>
          <c:w val="0.68932480314960631"/>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'Essential Energy'!$K$111</c:f>
              <c:strCache>
                <c:ptCount val="1"/>
                <c:pt idx="0">
                  <c:v>EBIT ($Dec 2012)</c:v>
                </c:pt>
              </c:strCache>
            </c:strRef>
          </c:tx>
          <c:spPr>
            <a:solidFill>
              <a:srgbClr val="C6DBEF"/>
            </a:solidFill>
            <a:ln>
              <a:solidFill>
                <a:schemeClr val="tx1"/>
              </a:solidFill>
            </a:ln>
          </c:spPr>
          <c:invertIfNegative val="0"/>
          <c:cat>
            <c:strRef>
              <c:f>'Essential Energy'!$C$112:$C$114</c:f>
              <c:strCache>
                <c:ptCount val="3"/>
                <c:pt idx="0">
                  <c:v>2010-11</c:v>
                </c:pt>
                <c:pt idx="1">
                  <c:v>2011-12</c:v>
                </c:pt>
                <c:pt idx="2">
                  <c:v>2012-13</c:v>
                </c:pt>
              </c:strCache>
            </c:strRef>
          </c:cat>
          <c:val>
            <c:numRef>
              <c:f>'Essential Energy'!$K$112:$K$114</c:f>
              <c:numCache>
                <c:formatCode>"$"#,##0</c:formatCode>
                <c:ptCount val="3"/>
                <c:pt idx="0">
                  <c:v>423165013.18025404</c:v>
                </c:pt>
                <c:pt idx="1">
                  <c:v>590355407.6736536</c:v>
                </c:pt>
                <c:pt idx="2">
                  <c:v>763979358.45096207</c:v>
                </c:pt>
              </c:numCache>
            </c:numRef>
          </c:val>
        </c:ser>
        <c:dLbls>
          <c:showLegendKey val="0"/>
          <c:showVal val="0"/>
          <c:showCatName val="0"/>
          <c:showSerName val="0"/>
          <c:showPercent val="0"/>
          <c:showBubbleSize val="0"/>
        </c:dLbls>
        <c:gapWidth val="50"/>
        <c:axId val="336351616"/>
        <c:axId val="336353536"/>
      </c:barChart>
      <c:catAx>
        <c:axId val="336351616"/>
        <c:scaling>
          <c:orientation val="minMax"/>
        </c:scaling>
        <c:delete val="0"/>
        <c:axPos val="b"/>
        <c:title>
          <c:tx>
            <c:rich>
              <a:bodyPr/>
              <a:lstStyle/>
              <a:p>
                <a:pPr algn="l">
                  <a:defRPr/>
                </a:pPr>
                <a:r>
                  <a:rPr lang="en-AU" b="0"/>
                  <a:t>*EBIT</a:t>
                </a:r>
                <a:r>
                  <a:rPr lang="en-AU" b="0" baseline="0"/>
                  <a:t> was provided by Essential Energy for the  2010-11 and 2011-12 regulatory years. The 2012-13 EBIT figure was not requested . For the purpose of this analysis 2012-13 EBIT is the sum of </a:t>
                </a:r>
                <a:r>
                  <a:rPr lang="en-AU" b="0" i="1" baseline="0"/>
                  <a:t>profit before tax</a:t>
                </a:r>
                <a:r>
                  <a:rPr lang="en-AU" b="0" baseline="0"/>
                  <a:t> + </a:t>
                </a:r>
                <a:r>
                  <a:rPr lang="en-AU" b="0" i="1" baseline="0"/>
                  <a:t>finance charges</a:t>
                </a:r>
                <a:r>
                  <a:rPr lang="en-AU" b="0" baseline="0"/>
                  <a:t>.</a:t>
                </a:r>
                <a:endParaRPr lang="en-AU"/>
              </a:p>
            </c:rich>
          </c:tx>
          <c:layout>
            <c:manualLayout>
              <c:xMode val="edge"/>
              <c:yMode val="edge"/>
              <c:x val="0.19082174103237096"/>
              <c:y val="0.83525444736074661"/>
            </c:manualLayout>
          </c:layout>
          <c:overlay val="0"/>
        </c:title>
        <c:majorTickMark val="out"/>
        <c:minorTickMark val="none"/>
        <c:tickLblPos val="nextTo"/>
        <c:crossAx val="336353536"/>
        <c:crosses val="autoZero"/>
        <c:auto val="1"/>
        <c:lblAlgn val="ctr"/>
        <c:lblOffset val="100"/>
        <c:noMultiLvlLbl val="0"/>
      </c:catAx>
      <c:valAx>
        <c:axId val="336353536"/>
        <c:scaling>
          <c:orientation val="minMax"/>
          <c:max val="1000000000"/>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36351616"/>
        <c:crosses val="autoZero"/>
        <c:crossBetween val="between"/>
        <c:majorUnit val="200000000"/>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Energex!$B$32</c:f>
              <c:strCache>
                <c:ptCount val="1"/>
                <c:pt idx="0">
                  <c:v>Forecast</c:v>
                </c:pt>
              </c:strCache>
            </c:strRef>
          </c:tx>
          <c:spPr>
            <a:pattFill prst="dkUpDiag">
              <a:fgClr>
                <a:srgbClr val="BD0026"/>
              </a:fgClr>
              <a:bgClr>
                <a:sysClr val="window" lastClr="FFFFFF"/>
              </a:bgClr>
            </a:pattFill>
            <a:ln>
              <a:solidFill>
                <a:sysClr val="windowText" lastClr="000000"/>
              </a:solidFill>
            </a:ln>
          </c:spPr>
          <c:invertIfNegative val="0"/>
          <c:cat>
            <c:multiLvlStrRef>
              <c:f>Energex!$C$28:$L$29</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Energex!$C$32:$L$32</c:f>
              <c:numCache>
                <c:formatCode>#,##0</c:formatCode>
                <c:ptCount val="10"/>
                <c:pt idx="0">
                  <c:v>20480</c:v>
                </c:pt>
                <c:pt idx="1">
                  <c:v>21305</c:v>
                </c:pt>
                <c:pt idx="2">
                  <c:v>22250</c:v>
                </c:pt>
                <c:pt idx="3">
                  <c:v>23170</c:v>
                </c:pt>
                <c:pt idx="4">
                  <c:v>24085</c:v>
                </c:pt>
                <c:pt idx="5">
                  <c:v>22416</c:v>
                </c:pt>
                <c:pt idx="6">
                  <c:v>23138</c:v>
                </c:pt>
                <c:pt idx="7">
                  <c:v>24042</c:v>
                </c:pt>
                <c:pt idx="8">
                  <c:v>24795</c:v>
                </c:pt>
                <c:pt idx="9">
                  <c:v>25845</c:v>
                </c:pt>
              </c:numCache>
            </c:numRef>
          </c:val>
        </c:ser>
        <c:ser>
          <c:idx val="0"/>
          <c:order val="1"/>
          <c:tx>
            <c:strRef>
              <c:f>Energex!$B$30</c:f>
              <c:strCache>
                <c:ptCount val="1"/>
                <c:pt idx="0">
                  <c:v>Actual</c:v>
                </c:pt>
              </c:strCache>
            </c:strRef>
          </c:tx>
          <c:spPr>
            <a:solidFill>
              <a:srgbClr val="BD0026"/>
            </a:solidFill>
            <a:ln>
              <a:solidFill>
                <a:sysClr val="windowText" lastClr="000000"/>
              </a:solidFill>
            </a:ln>
          </c:spPr>
          <c:invertIfNegative val="0"/>
          <c:cat>
            <c:multiLvlStrRef>
              <c:f>Energex!$C$28:$L$29</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Energex!$C$30:$L$30</c:f>
              <c:numCache>
                <c:formatCode>#,##0</c:formatCode>
                <c:ptCount val="10"/>
                <c:pt idx="0">
                  <c:v>20757.159</c:v>
                </c:pt>
                <c:pt idx="1">
                  <c:v>21097.605</c:v>
                </c:pt>
                <c:pt idx="2">
                  <c:v>20878.687999999998</c:v>
                </c:pt>
                <c:pt idx="3">
                  <c:v>22449.190999999999</c:v>
                </c:pt>
                <c:pt idx="4">
                  <c:v>22025</c:v>
                </c:pt>
                <c:pt idx="5">
                  <c:v>21715</c:v>
                </c:pt>
                <c:pt idx="6">
                  <c:v>21185</c:v>
                </c:pt>
                <c:pt idx="7">
                  <c:v>21020</c:v>
                </c:pt>
              </c:numCache>
            </c:numRef>
          </c:val>
        </c:ser>
        <c:dLbls>
          <c:showLegendKey val="0"/>
          <c:showVal val="0"/>
          <c:showCatName val="0"/>
          <c:showSerName val="0"/>
          <c:showPercent val="0"/>
          <c:showBubbleSize val="0"/>
        </c:dLbls>
        <c:gapWidth val="50"/>
        <c:axId val="336375168"/>
        <c:axId val="336499840"/>
      </c:barChart>
      <c:catAx>
        <c:axId val="336375168"/>
        <c:scaling>
          <c:orientation val="minMax"/>
        </c:scaling>
        <c:delete val="0"/>
        <c:axPos val="b"/>
        <c:majorTickMark val="out"/>
        <c:minorTickMark val="none"/>
        <c:tickLblPos val="nextTo"/>
        <c:txPr>
          <a:bodyPr/>
          <a:lstStyle/>
          <a:p>
            <a:pPr>
              <a:defRPr sz="800"/>
            </a:pPr>
            <a:endParaRPr lang="en-US"/>
          </a:p>
        </c:txPr>
        <c:crossAx val="336499840"/>
        <c:crosses val="autoZero"/>
        <c:auto val="1"/>
        <c:lblAlgn val="ctr"/>
        <c:lblOffset val="100"/>
        <c:noMultiLvlLbl val="0"/>
      </c:catAx>
      <c:valAx>
        <c:axId val="336499840"/>
        <c:scaling>
          <c:orientation val="minMax"/>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36375168"/>
        <c:crosses val="autoZero"/>
        <c:crossBetween val="between"/>
      </c:valAx>
    </c:plotArea>
    <c:legend>
      <c:legendPos val="b"/>
      <c:layout>
        <c:manualLayout>
          <c:xMode val="edge"/>
          <c:yMode val="edge"/>
          <c:x val="0.23091885389326333"/>
          <c:y val="0.89838181685622631"/>
          <c:w val="0.7437178477690289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Energex!$B$25</c:f>
              <c:strCache>
                <c:ptCount val="1"/>
                <c:pt idx="0">
                  <c:v>Forecast</c:v>
                </c:pt>
              </c:strCache>
            </c:strRef>
          </c:tx>
          <c:spPr>
            <a:pattFill prst="dkUpDiag">
              <a:fgClr>
                <a:srgbClr val="BD0026"/>
              </a:fgClr>
              <a:bgClr>
                <a:schemeClr val="bg1"/>
              </a:bgClr>
            </a:pattFill>
            <a:ln>
              <a:solidFill>
                <a:sysClr val="windowText" lastClr="000000"/>
              </a:solidFill>
            </a:ln>
          </c:spPr>
          <c:invertIfNegative val="0"/>
          <c:cat>
            <c:multiLvlStrRef>
              <c:f>Energex!$C$21:$L$22</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Energex!$C$25:$L$25</c:f>
              <c:numCache>
                <c:formatCode>#,##0</c:formatCode>
                <c:ptCount val="10"/>
                <c:pt idx="0">
                  <c:v>4162</c:v>
                </c:pt>
                <c:pt idx="1">
                  <c:v>4433</c:v>
                </c:pt>
                <c:pt idx="2">
                  <c:v>4698</c:v>
                </c:pt>
                <c:pt idx="3">
                  <c:v>4957</c:v>
                </c:pt>
                <c:pt idx="4">
                  <c:v>5230</c:v>
                </c:pt>
                <c:pt idx="5">
                  <c:v>4931</c:v>
                </c:pt>
                <c:pt idx="6">
                  <c:v>5089</c:v>
                </c:pt>
                <c:pt idx="7">
                  <c:v>5328</c:v>
                </c:pt>
                <c:pt idx="8">
                  <c:v>5555</c:v>
                </c:pt>
                <c:pt idx="9">
                  <c:v>5733</c:v>
                </c:pt>
              </c:numCache>
            </c:numRef>
          </c:val>
        </c:ser>
        <c:ser>
          <c:idx val="1"/>
          <c:order val="1"/>
          <c:tx>
            <c:strRef>
              <c:f>Energex!$B$23</c:f>
              <c:strCache>
                <c:ptCount val="1"/>
                <c:pt idx="0">
                  <c:v>Actual</c:v>
                </c:pt>
              </c:strCache>
            </c:strRef>
          </c:tx>
          <c:spPr>
            <a:solidFill>
              <a:srgbClr val="BD0026"/>
            </a:solidFill>
            <a:ln>
              <a:solidFill>
                <a:sysClr val="windowText" lastClr="000000"/>
              </a:solidFill>
            </a:ln>
          </c:spPr>
          <c:invertIfNegative val="0"/>
          <c:cat>
            <c:multiLvlStrRef>
              <c:f>Energex!$C$21:$L$22</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Energex!$C$23:$L$23</c:f>
              <c:numCache>
                <c:formatCode>#,##0</c:formatCode>
                <c:ptCount val="10"/>
                <c:pt idx="0">
                  <c:v>4350</c:v>
                </c:pt>
                <c:pt idx="1">
                  <c:v>4432</c:v>
                </c:pt>
                <c:pt idx="2">
                  <c:v>4284</c:v>
                </c:pt>
                <c:pt idx="3">
                  <c:v>4714</c:v>
                </c:pt>
                <c:pt idx="4">
                  <c:v>4817</c:v>
                </c:pt>
                <c:pt idx="5">
                  <c:v>4689</c:v>
                </c:pt>
                <c:pt idx="6">
                  <c:v>4464</c:v>
                </c:pt>
                <c:pt idx="7">
                  <c:v>4475</c:v>
                </c:pt>
              </c:numCache>
            </c:numRef>
          </c:val>
        </c:ser>
        <c:dLbls>
          <c:showLegendKey val="0"/>
          <c:showVal val="0"/>
          <c:showCatName val="0"/>
          <c:showSerName val="0"/>
          <c:showPercent val="0"/>
          <c:showBubbleSize val="0"/>
        </c:dLbls>
        <c:gapWidth val="50"/>
        <c:axId val="336512896"/>
        <c:axId val="336514432"/>
      </c:barChart>
      <c:catAx>
        <c:axId val="336512896"/>
        <c:scaling>
          <c:orientation val="minMax"/>
        </c:scaling>
        <c:delete val="0"/>
        <c:axPos val="b"/>
        <c:majorTickMark val="out"/>
        <c:minorTickMark val="none"/>
        <c:tickLblPos val="nextTo"/>
        <c:txPr>
          <a:bodyPr/>
          <a:lstStyle/>
          <a:p>
            <a:pPr>
              <a:defRPr sz="800"/>
            </a:pPr>
            <a:endParaRPr lang="en-US"/>
          </a:p>
        </c:txPr>
        <c:crossAx val="336514432"/>
        <c:crosses val="autoZero"/>
        <c:auto val="1"/>
        <c:lblAlgn val="ctr"/>
        <c:lblOffset val="100"/>
        <c:noMultiLvlLbl val="0"/>
      </c:catAx>
      <c:valAx>
        <c:axId val="336514432"/>
        <c:scaling>
          <c:orientation val="minMax"/>
          <c:max val="6000"/>
        </c:scaling>
        <c:delete val="0"/>
        <c:axPos val="l"/>
        <c:title>
          <c:tx>
            <c:rich>
              <a:bodyPr rot="0" vert="horz"/>
              <a:lstStyle/>
              <a:p>
                <a:pPr>
                  <a:defRPr/>
                </a:pPr>
                <a:r>
                  <a:rPr lang="en-US"/>
                  <a:t>Maximum</a:t>
                </a:r>
              </a:p>
              <a:p>
                <a:pPr>
                  <a:defRPr/>
                </a:pPr>
                <a:r>
                  <a:rPr lang="en-US"/>
                  <a:t>demand
(MW)</a:t>
                </a:r>
              </a:p>
            </c:rich>
          </c:tx>
          <c:layout/>
          <c:overlay val="0"/>
        </c:title>
        <c:numFmt formatCode="#,##0" sourceLinked="1"/>
        <c:majorTickMark val="out"/>
        <c:minorTickMark val="none"/>
        <c:tickLblPos val="nextTo"/>
        <c:crossAx val="336512896"/>
        <c:crosses val="autoZero"/>
        <c:crossBetween val="between"/>
      </c:valAx>
    </c:plotArea>
    <c:legend>
      <c:legendPos val="b"/>
      <c:layout>
        <c:manualLayout>
          <c:xMode val="edge"/>
          <c:yMode val="edge"/>
          <c:x val="0.2361111111111111"/>
          <c:y val="0.89838181685622631"/>
          <c:w val="0.7326067366579178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Energex!$T$68</c:f>
              <c:strCache>
                <c:ptCount val="1"/>
                <c:pt idx="0">
                  <c:v>Forecast (inc. amendments)
</c:v>
                </c:pt>
              </c:strCache>
            </c:strRef>
          </c:tx>
          <c:spPr>
            <a:pattFill prst="dkUpDiag">
              <a:fgClr>
                <a:srgbClr val="BD0026"/>
              </a:fgClr>
              <a:bgClr>
                <a:sysClr val="window" lastClr="FFFFFF"/>
              </a:bgClr>
            </a:pattFill>
            <a:ln>
              <a:solidFill>
                <a:schemeClr val="tx1"/>
              </a:solidFill>
            </a:ln>
          </c:spPr>
          <c:invertIfNegative val="0"/>
          <c:cat>
            <c:multiLvlStrRef>
              <c:f>Energex!$B$69:$C$78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Energex!$T$69:$T$78</c:f>
              <c:numCache>
                <c:formatCode>"$"#,##0</c:formatCode>
                <c:ptCount val="10"/>
                <c:pt idx="0">
                  <c:v>743434191.736269</c:v>
                </c:pt>
                <c:pt idx="1">
                  <c:v>792343929.45282269</c:v>
                </c:pt>
                <c:pt idx="2">
                  <c:v>923448888.29412878</c:v>
                </c:pt>
                <c:pt idx="3">
                  <c:v>921397521.4713124</c:v>
                </c:pt>
                <c:pt idx="4">
                  <c:v>941742900.11824751</c:v>
                </c:pt>
                <c:pt idx="5">
                  <c:v>1196456245.4921503</c:v>
                </c:pt>
                <c:pt idx="6">
                  <c:v>1245343247.8839064</c:v>
                </c:pt>
                <c:pt idx="7">
                  <c:v>1230358318.8899114</c:v>
                </c:pt>
                <c:pt idx="8">
                  <c:v>1215267113.8037608</c:v>
                </c:pt>
                <c:pt idx="9">
                  <c:v>1258415207.2190933</c:v>
                </c:pt>
              </c:numCache>
            </c:numRef>
          </c:val>
        </c:ser>
        <c:ser>
          <c:idx val="1"/>
          <c:order val="1"/>
          <c:tx>
            <c:strRef>
              <c:f>Energex!$AB$68</c:f>
              <c:strCache>
                <c:ptCount val="1"/>
                <c:pt idx="0">
                  <c:v>Actual</c:v>
                </c:pt>
              </c:strCache>
            </c:strRef>
          </c:tx>
          <c:spPr>
            <a:solidFill>
              <a:srgbClr val="BD0026"/>
            </a:solidFill>
            <a:ln>
              <a:solidFill>
                <a:sysClr val="windowText" lastClr="000000"/>
              </a:solidFill>
            </a:ln>
          </c:spPr>
          <c:invertIfNegative val="0"/>
          <c:cat>
            <c:multiLvlStrRef>
              <c:f>Energex!$B$69:$C$78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Energex!$AB$69:$AB$78</c:f>
              <c:numCache>
                <c:formatCode>"$"#,##0</c:formatCode>
                <c:ptCount val="10"/>
                <c:pt idx="0">
                  <c:v>833074969.52231693</c:v>
                </c:pt>
                <c:pt idx="1">
                  <c:v>794015848.79951048</c:v>
                </c:pt>
                <c:pt idx="2">
                  <c:v>724797412.80378544</c:v>
                </c:pt>
                <c:pt idx="3">
                  <c:v>875127200.51353681</c:v>
                </c:pt>
                <c:pt idx="4">
                  <c:v>1018203998.6840734</c:v>
                </c:pt>
                <c:pt idx="5">
                  <c:v>937860118.24934995</c:v>
                </c:pt>
                <c:pt idx="6">
                  <c:v>917111326.7399683</c:v>
                </c:pt>
                <c:pt idx="7">
                  <c:v>853480372.81080401</c:v>
                </c:pt>
              </c:numCache>
            </c:numRef>
          </c:val>
        </c:ser>
        <c:dLbls>
          <c:showLegendKey val="0"/>
          <c:showVal val="0"/>
          <c:showCatName val="0"/>
          <c:showSerName val="0"/>
          <c:showPercent val="0"/>
          <c:showBubbleSize val="0"/>
        </c:dLbls>
        <c:gapWidth val="50"/>
        <c:axId val="338903424"/>
        <c:axId val="338904960"/>
      </c:barChart>
      <c:catAx>
        <c:axId val="338903424"/>
        <c:scaling>
          <c:orientation val="minMax"/>
        </c:scaling>
        <c:delete val="0"/>
        <c:axPos val="b"/>
        <c:majorTickMark val="out"/>
        <c:minorTickMark val="none"/>
        <c:tickLblPos val="nextTo"/>
        <c:txPr>
          <a:bodyPr/>
          <a:lstStyle/>
          <a:p>
            <a:pPr>
              <a:defRPr sz="750"/>
            </a:pPr>
            <a:endParaRPr lang="en-US"/>
          </a:p>
        </c:txPr>
        <c:crossAx val="338904960"/>
        <c:crosses val="autoZero"/>
        <c:auto val="1"/>
        <c:lblAlgn val="ctr"/>
        <c:lblOffset val="100"/>
        <c:noMultiLvlLbl val="0"/>
      </c:catAx>
      <c:valAx>
        <c:axId val="338904960"/>
        <c:scaling>
          <c:orientation val="minMax"/>
          <c:min val="0"/>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38903424"/>
        <c:crosses val="autoZero"/>
        <c:crossBetween val="between"/>
      </c:valAx>
    </c:plotArea>
    <c:legend>
      <c:legendPos val="b"/>
      <c:layout>
        <c:manualLayout>
          <c:xMode val="edge"/>
          <c:yMode val="edge"/>
          <c:x val="0.27397069116360456"/>
          <c:y val="0.88850503062117236"/>
          <c:w val="0.6976581364829396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Energex!$I$81</c:f>
              <c:strCache>
                <c:ptCount val="1"/>
                <c:pt idx="0">
                  <c:v>Forecast</c:v>
                </c:pt>
              </c:strCache>
            </c:strRef>
          </c:tx>
          <c:spPr>
            <a:pattFill prst="dkUpDiag">
              <a:fgClr>
                <a:srgbClr val="BD0026"/>
              </a:fgClr>
              <a:bgClr>
                <a:sysClr val="window" lastClr="FFFFFF"/>
              </a:bgClr>
            </a:pattFill>
            <a:ln>
              <a:solidFill>
                <a:schemeClr val="tx1"/>
              </a:solidFill>
            </a:ln>
          </c:spPr>
          <c:invertIfNegative val="0"/>
          <c:cat>
            <c:multiLvlStrRef>
              <c:f>Energex!$B$82:$C$96</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Customer initiated</c:v>
                  </c:pt>
                  <c:pt idx="9">
                    <c:v>Reliability</c:v>
                  </c:pt>
                  <c:pt idx="12">
                    <c:v>Non-system</c:v>
                  </c:pt>
                </c:lvl>
              </c:multiLvlStrCache>
            </c:multiLvlStrRef>
          </c:cat>
          <c:val>
            <c:numRef>
              <c:f>Energex!$I$82:$I$96</c:f>
              <c:numCache>
                <c:formatCode>"$"#,##0</c:formatCode>
                <c:ptCount val="15"/>
                <c:pt idx="0">
                  <c:v>166892584.28224218</c:v>
                </c:pt>
                <c:pt idx="1">
                  <c:v>258250980.49556744</c:v>
                </c:pt>
                <c:pt idx="2">
                  <c:v>215154214.80000001</c:v>
                </c:pt>
                <c:pt idx="3">
                  <c:v>548577833.08768713</c:v>
                </c:pt>
                <c:pt idx="4">
                  <c:v>556052581.02562916</c:v>
                </c:pt>
                <c:pt idx="5">
                  <c:v>620599013.20000005</c:v>
                </c:pt>
                <c:pt idx="6">
                  <c:v>249683008.11174244</c:v>
                </c:pt>
                <c:pt idx="7">
                  <c:v>250330692.22205716</c:v>
                </c:pt>
                <c:pt idx="8">
                  <c:v>237654597.80000001</c:v>
                </c:pt>
                <c:pt idx="9">
                  <c:v>89197275.284228519</c:v>
                </c:pt>
                <c:pt idx="10">
                  <c:v>51047021.648260467</c:v>
                </c:pt>
                <c:pt idx="11">
                  <c:v>73445580.5</c:v>
                </c:pt>
                <c:pt idx="12">
                  <c:v>184571604.13596383</c:v>
                </c:pt>
                <c:pt idx="13">
                  <c:v>137433172.02083984</c:v>
                </c:pt>
                <c:pt idx="14">
                  <c:v>98718655.099999994</c:v>
                </c:pt>
              </c:numCache>
            </c:numRef>
          </c:val>
        </c:ser>
        <c:ser>
          <c:idx val="1"/>
          <c:order val="1"/>
          <c:tx>
            <c:strRef>
              <c:f>Energex!$J$81</c:f>
              <c:strCache>
                <c:ptCount val="1"/>
                <c:pt idx="0">
                  <c:v>Actual</c:v>
                </c:pt>
              </c:strCache>
            </c:strRef>
          </c:tx>
          <c:spPr>
            <a:solidFill>
              <a:srgbClr val="BD0026"/>
            </a:solidFill>
            <a:ln>
              <a:solidFill>
                <a:sysClr val="windowText" lastClr="000000"/>
              </a:solidFill>
            </a:ln>
          </c:spPr>
          <c:invertIfNegative val="0"/>
          <c:cat>
            <c:multiLvlStrRef>
              <c:f>Energex!$B$82:$C$96</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Customer initiated</c:v>
                  </c:pt>
                  <c:pt idx="9">
                    <c:v>Reliability</c:v>
                  </c:pt>
                  <c:pt idx="12">
                    <c:v>Non-system</c:v>
                  </c:pt>
                </c:lvl>
              </c:multiLvlStrCache>
            </c:multiLvlStrRef>
          </c:cat>
          <c:val>
            <c:numRef>
              <c:f>Energex!$J$82:$J$96</c:f>
              <c:numCache>
                <c:formatCode>"$"#,##0</c:formatCode>
                <c:ptCount val="15"/>
                <c:pt idx="0">
                  <c:v>151151701.01847556</c:v>
                </c:pt>
                <c:pt idx="1">
                  <c:v>195050061.11107299</c:v>
                </c:pt>
                <c:pt idx="2">
                  <c:v>243186613.67258564</c:v>
                </c:pt>
                <c:pt idx="3">
                  <c:v>505067767.96535504</c:v>
                </c:pt>
                <c:pt idx="4">
                  <c:v>430570381.19025314</c:v>
                </c:pt>
                <c:pt idx="5">
                  <c:v>345494978.26584846</c:v>
                </c:pt>
                <c:pt idx="6">
                  <c:v>194663549.76869872</c:v>
                </c:pt>
                <c:pt idx="7">
                  <c:v>188259488.77288058</c:v>
                </c:pt>
                <c:pt idx="8">
                  <c:v>181840199.64045417</c:v>
                </c:pt>
                <c:pt idx="9">
                  <c:v>43604396.636868671</c:v>
                </c:pt>
                <c:pt idx="10">
                  <c:v>62887568.644423053</c:v>
                </c:pt>
                <c:pt idx="11">
                  <c:v>38276494.540176496</c:v>
                </c:pt>
                <c:pt idx="12">
                  <c:v>106566779.9256012</c:v>
                </c:pt>
                <c:pt idx="13">
                  <c:v>103539731.25738615</c:v>
                </c:pt>
                <c:pt idx="14">
                  <c:v>91673586.691739365</c:v>
                </c:pt>
              </c:numCache>
            </c:numRef>
          </c:val>
        </c:ser>
        <c:dLbls>
          <c:showLegendKey val="0"/>
          <c:showVal val="0"/>
          <c:showCatName val="0"/>
          <c:showSerName val="0"/>
          <c:showPercent val="0"/>
          <c:showBubbleSize val="0"/>
        </c:dLbls>
        <c:gapWidth val="50"/>
        <c:axId val="338931072"/>
        <c:axId val="338941056"/>
      </c:barChart>
      <c:catAx>
        <c:axId val="338931072"/>
        <c:scaling>
          <c:orientation val="minMax"/>
        </c:scaling>
        <c:delete val="0"/>
        <c:axPos val="b"/>
        <c:majorTickMark val="out"/>
        <c:minorTickMark val="none"/>
        <c:tickLblPos val="nextTo"/>
        <c:txPr>
          <a:bodyPr/>
          <a:lstStyle/>
          <a:p>
            <a:pPr>
              <a:defRPr sz="700"/>
            </a:pPr>
            <a:endParaRPr lang="en-US"/>
          </a:p>
        </c:txPr>
        <c:crossAx val="338941056"/>
        <c:crosses val="autoZero"/>
        <c:auto val="1"/>
        <c:lblAlgn val="ctr"/>
        <c:lblOffset val="100"/>
        <c:noMultiLvlLbl val="0"/>
      </c:catAx>
      <c:valAx>
        <c:axId val="338941056"/>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38931072"/>
        <c:crosses val="autoZero"/>
        <c:crossBetween val="between"/>
      </c:valAx>
    </c:plotArea>
    <c:legend>
      <c:legendPos val="b"/>
      <c:layout>
        <c:manualLayout>
          <c:xMode val="edge"/>
          <c:yMode val="edge"/>
          <c:x val="0.26008180227471567"/>
          <c:y val="0.88850503062117236"/>
          <c:w val="0.73991819772528433"/>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ysClr val="windowText" lastClr="000000"/>
            </a:solidFill>
            <a:ln>
              <a:solidFill>
                <a:schemeClr val="tx1"/>
              </a:solidFill>
            </a:ln>
          </c:spPr>
          <c:invertIfNegative val="0"/>
          <c:cat>
            <c:strRef>
              <c:f>'SAIFI - Network'!$D$20:$J$20</c:f>
              <c:strCache>
                <c:ptCount val="7"/>
                <c:pt idx="0">
                  <c:v>2007</c:v>
                </c:pt>
                <c:pt idx="1">
                  <c:v>2008</c:v>
                </c:pt>
                <c:pt idx="2">
                  <c:v>2009</c:v>
                </c:pt>
                <c:pt idx="3">
                  <c:v>2010</c:v>
                </c:pt>
                <c:pt idx="4">
                  <c:v>2011</c:v>
                </c:pt>
                <c:pt idx="5">
                  <c:v>2012</c:v>
                </c:pt>
                <c:pt idx="6">
                  <c:v>2013</c:v>
                </c:pt>
              </c:strCache>
            </c:strRef>
          </c:cat>
          <c:val>
            <c:numRef>
              <c:f>'SAIFI - Network'!$D$34:$J$34</c:f>
              <c:numCache>
                <c:formatCode>#,##0.00</c:formatCode>
                <c:ptCount val="7"/>
                <c:pt idx="0">
                  <c:v>1.596825192529215</c:v>
                </c:pt>
                <c:pt idx="1">
                  <c:v>1.4561958871183374</c:v>
                </c:pt>
                <c:pt idx="2">
                  <c:v>1.8404394153538945</c:v>
                </c:pt>
                <c:pt idx="3">
                  <c:v>1.7645004058646652</c:v>
                </c:pt>
                <c:pt idx="4">
                  <c:v>1.8231318549723436</c:v>
                </c:pt>
                <c:pt idx="5">
                  <c:v>1.7106674915991964</c:v>
                </c:pt>
                <c:pt idx="6">
                  <c:v>1.8571218121223119</c:v>
                </c:pt>
              </c:numCache>
            </c:numRef>
          </c:val>
        </c:ser>
        <c:dLbls>
          <c:showLegendKey val="0"/>
          <c:showVal val="0"/>
          <c:showCatName val="0"/>
          <c:showSerName val="0"/>
          <c:showPercent val="0"/>
          <c:showBubbleSize val="0"/>
        </c:dLbls>
        <c:gapWidth val="50"/>
        <c:axId val="367622784"/>
        <c:axId val="370422144"/>
      </c:barChart>
      <c:catAx>
        <c:axId val="367622784"/>
        <c:scaling>
          <c:orientation val="minMax"/>
        </c:scaling>
        <c:delete val="0"/>
        <c:axPos val="b"/>
        <c:majorTickMark val="out"/>
        <c:minorTickMark val="none"/>
        <c:tickLblPos val="nextTo"/>
        <c:txPr>
          <a:bodyPr/>
          <a:lstStyle/>
          <a:p>
            <a:pPr>
              <a:defRPr sz="700"/>
            </a:pPr>
            <a:endParaRPr lang="en-US"/>
          </a:p>
        </c:txPr>
        <c:crossAx val="370422144"/>
        <c:crosses val="autoZero"/>
        <c:auto val="1"/>
        <c:lblAlgn val="ctr"/>
        <c:lblOffset val="100"/>
        <c:noMultiLvlLbl val="0"/>
      </c:catAx>
      <c:valAx>
        <c:axId val="370422144"/>
        <c:scaling>
          <c:orientation val="minMax"/>
          <c:max val="2"/>
          <c:min val="0"/>
        </c:scaling>
        <c:delete val="0"/>
        <c:axPos val="l"/>
        <c:title>
          <c:tx>
            <c:rich>
              <a:bodyPr rot="0" vert="horz"/>
              <a:lstStyle/>
              <a:p>
                <a:pPr>
                  <a:defRPr sz="800"/>
                </a:pPr>
                <a:r>
                  <a:rPr lang="en-AU"/>
                  <a:t>Sustained</a:t>
                </a:r>
              </a:p>
              <a:p>
                <a:pPr>
                  <a:defRPr sz="800"/>
                </a:pPr>
                <a:r>
                  <a:rPr lang="en-AU"/>
                  <a:t>interruptions</a:t>
                </a:r>
              </a:p>
              <a:p>
                <a:pPr>
                  <a:defRPr sz="800"/>
                </a:pPr>
                <a:r>
                  <a:rPr lang="en-AU"/>
                  <a:t>to supply</a:t>
                </a:r>
              </a:p>
              <a:p>
                <a:pPr>
                  <a:defRPr sz="800"/>
                </a:pPr>
                <a:r>
                  <a:rPr lang="en-AU"/>
                  <a:t>(SAIFI)</a:t>
                </a:r>
              </a:p>
            </c:rich>
          </c:tx>
          <c:layout/>
          <c:overlay val="0"/>
        </c:title>
        <c:numFmt formatCode="0.0" sourceLinked="0"/>
        <c:majorTickMark val="out"/>
        <c:minorTickMark val="none"/>
        <c:tickLblPos val="nextTo"/>
        <c:txPr>
          <a:bodyPr/>
          <a:lstStyle/>
          <a:p>
            <a:pPr>
              <a:defRPr sz="800"/>
            </a:pPr>
            <a:endParaRPr lang="en-US"/>
          </a:p>
        </c:txPr>
        <c:crossAx val="367622784"/>
        <c:crosses val="autoZero"/>
        <c:crossBetween val="between"/>
        <c:majorUnit val="0.4"/>
      </c:valAx>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Energex!$K$99</c:f>
              <c:strCache>
                <c:ptCount val="1"/>
                <c:pt idx="0">
                  <c:v>Forecast
</c:v>
                </c:pt>
              </c:strCache>
            </c:strRef>
          </c:tx>
          <c:spPr>
            <a:pattFill prst="dkUpDiag">
              <a:fgClr>
                <a:srgbClr val="BD0026"/>
              </a:fgClr>
              <a:bgClr>
                <a:sysClr val="window" lastClr="FFFFFF"/>
              </a:bgClr>
            </a:pattFill>
            <a:ln>
              <a:solidFill>
                <a:schemeClr val="tx1"/>
              </a:solidFill>
            </a:ln>
          </c:spPr>
          <c:invertIfNegative val="0"/>
          <c:cat>
            <c:multiLvlStrRef>
              <c:f>Energex!$B$100:$C$107</c:f>
              <c:multiLvlStrCache>
                <c:ptCount val="8"/>
                <c:lvl>
                  <c:pt idx="0">
                    <c:v>2005-06</c:v>
                  </c:pt>
                  <c:pt idx="1">
                    <c:v>2006-07</c:v>
                  </c:pt>
                  <c:pt idx="2">
                    <c:v>2007-08</c:v>
                  </c:pt>
                  <c:pt idx="3">
                    <c:v>2008-09</c:v>
                  </c:pt>
                  <c:pt idx="4">
                    <c:v>2009-10</c:v>
                  </c:pt>
                  <c:pt idx="5">
                    <c:v>2010-11*</c:v>
                  </c:pt>
                  <c:pt idx="6">
                    <c:v>2011-12*</c:v>
                  </c:pt>
                  <c:pt idx="7">
                    <c:v>2012-13*</c:v>
                  </c:pt>
                </c:lvl>
                <c:lvl>
                  <c:pt idx="0">
                    <c:v>QCA</c:v>
                  </c:pt>
                  <c:pt idx="5">
                    <c:v>AER</c:v>
                  </c:pt>
                </c:lvl>
              </c:multiLvlStrCache>
            </c:multiLvlStrRef>
          </c:cat>
          <c:val>
            <c:numRef>
              <c:f>Energex!$K$100:$K$107</c:f>
              <c:numCache>
                <c:formatCode>"$"#,##0</c:formatCode>
                <c:ptCount val="8"/>
                <c:pt idx="0">
                  <c:v>6038147346.1611252</c:v>
                </c:pt>
                <c:pt idx="1">
                  <c:v>6678308504.2945871</c:v>
                </c:pt>
                <c:pt idx="2">
                  <c:v>7322505351.3682127</c:v>
                </c:pt>
                <c:pt idx="3">
                  <c:v>7931516035.4947853</c:v>
                </c:pt>
                <c:pt idx="4">
                  <c:v>7375787159.865407</c:v>
                </c:pt>
                <c:pt idx="5">
                  <c:v>9554114408.7314644</c:v>
                </c:pt>
                <c:pt idx="6">
                  <c:v>10449031098.166695</c:v>
                </c:pt>
                <c:pt idx="7">
                  <c:v>11472713148.019379</c:v>
                </c:pt>
              </c:numCache>
            </c:numRef>
          </c:val>
        </c:ser>
        <c:ser>
          <c:idx val="1"/>
          <c:order val="1"/>
          <c:tx>
            <c:strRef>
              <c:f>Energex!$Q$99</c:f>
              <c:strCache>
                <c:ptCount val="1"/>
                <c:pt idx="0">
                  <c:v>Actual</c:v>
                </c:pt>
              </c:strCache>
            </c:strRef>
          </c:tx>
          <c:spPr>
            <a:solidFill>
              <a:srgbClr val="BD0026"/>
            </a:solidFill>
            <a:ln>
              <a:solidFill>
                <a:sysClr val="windowText" lastClr="000000"/>
              </a:solidFill>
            </a:ln>
          </c:spPr>
          <c:invertIfNegative val="0"/>
          <c:cat>
            <c:multiLvlStrRef>
              <c:f>Energex!$B$100:$C$107</c:f>
              <c:multiLvlStrCache>
                <c:ptCount val="8"/>
                <c:lvl>
                  <c:pt idx="0">
                    <c:v>2005-06</c:v>
                  </c:pt>
                  <c:pt idx="1">
                    <c:v>2006-07</c:v>
                  </c:pt>
                  <c:pt idx="2">
                    <c:v>2007-08</c:v>
                  </c:pt>
                  <c:pt idx="3">
                    <c:v>2008-09</c:v>
                  </c:pt>
                  <c:pt idx="4">
                    <c:v>2009-10</c:v>
                  </c:pt>
                  <c:pt idx="5">
                    <c:v>2010-11*</c:v>
                  </c:pt>
                  <c:pt idx="6">
                    <c:v>2011-12*</c:v>
                  </c:pt>
                  <c:pt idx="7">
                    <c:v>2012-13*</c:v>
                  </c:pt>
                </c:lvl>
                <c:lvl>
                  <c:pt idx="0">
                    <c:v>QCA</c:v>
                  </c:pt>
                  <c:pt idx="5">
                    <c:v>AER</c:v>
                  </c:pt>
                </c:lvl>
              </c:multiLvlStrCache>
            </c:multiLvlStrRef>
          </c:cat>
          <c:val>
            <c:numRef>
              <c:f>Energex!$Q$100:$Q$107</c:f>
              <c:numCache>
                <c:formatCode>"$"#,##0</c:formatCode>
                <c:ptCount val="8"/>
                <c:pt idx="0">
                  <c:v>6156344894.5470467</c:v>
                </c:pt>
                <c:pt idx="1">
                  <c:v>6695853472.6644926</c:v>
                </c:pt>
                <c:pt idx="2">
                  <c:v>7298016130.8003559</c:v>
                </c:pt>
                <c:pt idx="3">
                  <c:v>7793529202.9694242</c:v>
                </c:pt>
                <c:pt idx="4">
                  <c:v>8602533626.2948265</c:v>
                </c:pt>
                <c:pt idx="5">
                  <c:v>9310265253.9615345</c:v>
                </c:pt>
                <c:pt idx="6">
                  <c:v>9718974256.7805653</c:v>
                </c:pt>
                <c:pt idx="7">
                  <c:v>10323653837.805046</c:v>
                </c:pt>
              </c:numCache>
            </c:numRef>
          </c:val>
        </c:ser>
        <c:dLbls>
          <c:showLegendKey val="0"/>
          <c:showVal val="0"/>
          <c:showCatName val="0"/>
          <c:showSerName val="0"/>
          <c:showPercent val="0"/>
          <c:showBubbleSize val="0"/>
        </c:dLbls>
        <c:gapWidth val="50"/>
        <c:axId val="349447296"/>
        <c:axId val="349448832"/>
      </c:barChart>
      <c:catAx>
        <c:axId val="349447296"/>
        <c:scaling>
          <c:orientation val="minMax"/>
        </c:scaling>
        <c:delete val="0"/>
        <c:axPos val="b"/>
        <c:majorTickMark val="out"/>
        <c:minorTickMark val="none"/>
        <c:tickLblPos val="nextTo"/>
        <c:txPr>
          <a:bodyPr/>
          <a:lstStyle/>
          <a:p>
            <a:pPr>
              <a:defRPr sz="900"/>
            </a:pPr>
            <a:endParaRPr lang="en-US"/>
          </a:p>
        </c:txPr>
        <c:crossAx val="349448832"/>
        <c:crosses val="autoZero"/>
        <c:auto val="1"/>
        <c:lblAlgn val="ctr"/>
        <c:lblOffset val="100"/>
        <c:noMultiLvlLbl val="0"/>
      </c:catAx>
      <c:valAx>
        <c:axId val="349448832"/>
        <c:scaling>
          <c:orientation val="minMax"/>
          <c:max val="12000000000"/>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bn&quot;" sourceLinked="0"/>
        <c:majorTickMark val="out"/>
        <c:minorTickMark val="none"/>
        <c:tickLblPos val="nextTo"/>
        <c:txPr>
          <a:bodyPr/>
          <a:lstStyle/>
          <a:p>
            <a:pPr>
              <a:defRPr sz="800"/>
            </a:pPr>
            <a:endParaRPr lang="en-US"/>
          </a:p>
        </c:txPr>
        <c:crossAx val="349447296"/>
        <c:crosses val="autoZero"/>
        <c:crossBetween val="between"/>
      </c:valAx>
    </c:plotArea>
    <c:legend>
      <c:legendPos val="b"/>
      <c:layout>
        <c:manualLayout>
          <c:xMode val="edge"/>
          <c:yMode val="edge"/>
          <c:x val="0.23641206820978364"/>
          <c:y val="0.88850503062117236"/>
          <c:w val="0.7287120095903506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Energex!$T$54</c:f>
              <c:strCache>
                <c:ptCount val="1"/>
                <c:pt idx="0">
                  <c:v>Forecast (inc. amendments)
</c:v>
                </c:pt>
              </c:strCache>
            </c:strRef>
          </c:tx>
          <c:spPr>
            <a:pattFill prst="dkUpDiag">
              <a:fgClr>
                <a:srgbClr val="BD0026"/>
              </a:fgClr>
              <a:bgClr>
                <a:sysClr val="window" lastClr="FFFFFF"/>
              </a:bgClr>
            </a:pattFill>
            <a:ln>
              <a:solidFill>
                <a:sysClr val="windowText" lastClr="000000"/>
              </a:solidFill>
            </a:ln>
          </c:spPr>
          <c:invertIfNegative val="0"/>
          <c:cat>
            <c:multiLvlStrRef>
              <c:f>Energex!$B$55:$C$64</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Energex!$T$55:$T$64</c:f>
              <c:numCache>
                <c:formatCode>"$"#,##0</c:formatCode>
                <c:ptCount val="10"/>
                <c:pt idx="0">
                  <c:v>265493848.72474805</c:v>
                </c:pt>
                <c:pt idx="1">
                  <c:v>309459859.60350537</c:v>
                </c:pt>
                <c:pt idx="2">
                  <c:v>347007484.80114001</c:v>
                </c:pt>
                <c:pt idx="3">
                  <c:v>356218209.58828044</c:v>
                </c:pt>
                <c:pt idx="4">
                  <c:v>354416318.17921567</c:v>
                </c:pt>
                <c:pt idx="5">
                  <c:v>353652083.49110729</c:v>
                </c:pt>
                <c:pt idx="6">
                  <c:v>408986791.72031623</c:v>
                </c:pt>
                <c:pt idx="7">
                  <c:v>506986378.55177295</c:v>
                </c:pt>
                <c:pt idx="8">
                  <c:v>358366548.357862</c:v>
                </c:pt>
                <c:pt idx="9">
                  <c:v>354155903.05576557</c:v>
                </c:pt>
              </c:numCache>
            </c:numRef>
          </c:val>
        </c:ser>
        <c:ser>
          <c:idx val="1"/>
          <c:order val="1"/>
          <c:tx>
            <c:strRef>
              <c:f>Energex!$Z$54</c:f>
              <c:strCache>
                <c:ptCount val="1"/>
                <c:pt idx="0">
                  <c:v>Actual</c:v>
                </c:pt>
              </c:strCache>
            </c:strRef>
          </c:tx>
          <c:spPr>
            <a:solidFill>
              <a:srgbClr val="BD0026"/>
            </a:solidFill>
            <a:ln>
              <a:solidFill>
                <a:sysClr val="windowText" lastClr="000000"/>
              </a:solidFill>
            </a:ln>
          </c:spPr>
          <c:invertIfNegative val="0"/>
          <c:cat>
            <c:multiLvlStrRef>
              <c:f>Energex!$B$55:$C$64</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Energex!$Z$55:$Z$64</c:f>
              <c:numCache>
                <c:formatCode>"$"#,##0</c:formatCode>
                <c:ptCount val="10"/>
                <c:pt idx="0">
                  <c:v>284222335.45844704</c:v>
                </c:pt>
                <c:pt idx="1">
                  <c:v>324481807.59148031</c:v>
                </c:pt>
                <c:pt idx="2">
                  <c:v>351531320.95107841</c:v>
                </c:pt>
                <c:pt idx="3">
                  <c:v>379540598.03993934</c:v>
                </c:pt>
                <c:pt idx="4">
                  <c:v>381611438.82278419</c:v>
                </c:pt>
                <c:pt idx="5">
                  <c:v>369892246.63667166</c:v>
                </c:pt>
                <c:pt idx="6">
                  <c:v>453736243.37005353</c:v>
                </c:pt>
                <c:pt idx="7">
                  <c:v>572025600</c:v>
                </c:pt>
              </c:numCache>
            </c:numRef>
          </c:val>
        </c:ser>
        <c:dLbls>
          <c:showLegendKey val="0"/>
          <c:showVal val="0"/>
          <c:showCatName val="0"/>
          <c:showSerName val="0"/>
          <c:showPercent val="0"/>
          <c:showBubbleSize val="0"/>
        </c:dLbls>
        <c:gapWidth val="50"/>
        <c:axId val="350494720"/>
        <c:axId val="350496256"/>
      </c:barChart>
      <c:catAx>
        <c:axId val="350494720"/>
        <c:scaling>
          <c:orientation val="minMax"/>
        </c:scaling>
        <c:delete val="0"/>
        <c:axPos val="b"/>
        <c:majorTickMark val="out"/>
        <c:minorTickMark val="none"/>
        <c:tickLblPos val="nextTo"/>
        <c:txPr>
          <a:bodyPr/>
          <a:lstStyle/>
          <a:p>
            <a:pPr>
              <a:defRPr sz="750"/>
            </a:pPr>
            <a:endParaRPr lang="en-US"/>
          </a:p>
        </c:txPr>
        <c:crossAx val="350496256"/>
        <c:crosses val="autoZero"/>
        <c:auto val="1"/>
        <c:lblAlgn val="ctr"/>
        <c:lblOffset val="100"/>
        <c:noMultiLvlLbl val="0"/>
      </c:catAx>
      <c:valAx>
        <c:axId val="350496256"/>
        <c:scaling>
          <c:orientation val="minMax"/>
          <c:max val="60000000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0494720"/>
        <c:crosses val="autoZero"/>
        <c:crossBetween val="between"/>
      </c:valAx>
    </c:plotArea>
    <c:legend>
      <c:legendPos val="b"/>
      <c:layout>
        <c:manualLayout>
          <c:xMode val="edge"/>
          <c:yMode val="edge"/>
          <c:x val="0.2656373578302712"/>
          <c:y val="0.88850503062117236"/>
          <c:w val="0.734362642169728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Energex!$T$40</c:f>
              <c:strCache>
                <c:ptCount val="1"/>
                <c:pt idx="0">
                  <c:v>Forecast (inc. amendments)
</c:v>
                </c:pt>
              </c:strCache>
            </c:strRef>
          </c:tx>
          <c:spPr>
            <a:pattFill prst="dkUpDiag">
              <a:fgClr>
                <a:srgbClr val="BD0026"/>
              </a:fgClr>
              <a:bgClr>
                <a:sysClr val="window" lastClr="FFFFFF"/>
              </a:bgClr>
            </a:pattFill>
            <a:ln>
              <a:solidFill>
                <a:schemeClr val="tx1"/>
              </a:solidFill>
            </a:ln>
          </c:spPr>
          <c:invertIfNegative val="0"/>
          <c:cat>
            <c:multiLvlStrRef>
              <c:f>Energex!$B$41:$C$50</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Energex!$T$41:$T$50</c:f>
              <c:numCache>
                <c:formatCode>"$"#,##0</c:formatCode>
                <c:ptCount val="10"/>
                <c:pt idx="0">
                  <c:v>753325434.81109154</c:v>
                </c:pt>
                <c:pt idx="1">
                  <c:v>822351276.74164927</c:v>
                </c:pt>
                <c:pt idx="2">
                  <c:v>910402479.65937829</c:v>
                </c:pt>
                <c:pt idx="3">
                  <c:v>998655323.49331808</c:v>
                </c:pt>
                <c:pt idx="4">
                  <c:v>1043445995.5439169</c:v>
                </c:pt>
                <c:pt idx="5">
                  <c:v>1176687399.592916</c:v>
                </c:pt>
                <c:pt idx="6">
                  <c:v>1306515324.8816178</c:v>
                </c:pt>
                <c:pt idx="7">
                  <c:v>1467609933.3797894</c:v>
                </c:pt>
                <c:pt idx="8">
                  <c:v>1686449790.9779634</c:v>
                </c:pt>
                <c:pt idx="9">
                  <c:v>1807953537.501982</c:v>
                </c:pt>
              </c:numCache>
            </c:numRef>
          </c:val>
        </c:ser>
        <c:ser>
          <c:idx val="1"/>
          <c:order val="1"/>
          <c:tx>
            <c:strRef>
              <c:f>Energex!$Z$40</c:f>
              <c:strCache>
                <c:ptCount val="1"/>
                <c:pt idx="0">
                  <c:v>Actual</c:v>
                </c:pt>
              </c:strCache>
            </c:strRef>
          </c:tx>
          <c:spPr>
            <a:solidFill>
              <a:srgbClr val="BD0026"/>
            </a:solidFill>
            <a:ln>
              <a:solidFill>
                <a:sysClr val="windowText" lastClr="000000"/>
              </a:solidFill>
            </a:ln>
          </c:spPr>
          <c:invertIfNegative val="0"/>
          <c:cat>
            <c:multiLvlStrRef>
              <c:f>Energex!$B$41:$C$50</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Energex!$Z$41:$Z$50</c:f>
              <c:numCache>
                <c:formatCode>"$"#,##0</c:formatCode>
                <c:ptCount val="10"/>
                <c:pt idx="0">
                  <c:v>768183404.44080019</c:v>
                </c:pt>
                <c:pt idx="1">
                  <c:v>812672666.17370474</c:v>
                </c:pt>
                <c:pt idx="2">
                  <c:v>862918450.07770383</c:v>
                </c:pt>
                <c:pt idx="3">
                  <c:v>1007850190.0468384</c:v>
                </c:pt>
                <c:pt idx="4">
                  <c:v>1070110700.3528754</c:v>
                </c:pt>
                <c:pt idx="5">
                  <c:v>1076260592.2527919</c:v>
                </c:pt>
                <c:pt idx="6">
                  <c:v>1206699379.6848655</c:v>
                </c:pt>
                <c:pt idx="7">
                  <c:v>1364438900</c:v>
                </c:pt>
              </c:numCache>
            </c:numRef>
          </c:val>
        </c:ser>
        <c:dLbls>
          <c:showLegendKey val="0"/>
          <c:showVal val="0"/>
          <c:showCatName val="0"/>
          <c:showSerName val="0"/>
          <c:showPercent val="0"/>
          <c:showBubbleSize val="0"/>
        </c:dLbls>
        <c:gapWidth val="50"/>
        <c:axId val="350513408"/>
        <c:axId val="350523392"/>
      </c:barChart>
      <c:catAx>
        <c:axId val="350513408"/>
        <c:scaling>
          <c:orientation val="minMax"/>
        </c:scaling>
        <c:delete val="0"/>
        <c:axPos val="b"/>
        <c:majorTickMark val="out"/>
        <c:minorTickMark val="none"/>
        <c:tickLblPos val="nextTo"/>
        <c:txPr>
          <a:bodyPr/>
          <a:lstStyle/>
          <a:p>
            <a:pPr>
              <a:defRPr sz="750"/>
            </a:pPr>
            <a:endParaRPr lang="en-US"/>
          </a:p>
        </c:txPr>
        <c:crossAx val="350523392"/>
        <c:crosses val="autoZero"/>
        <c:auto val="1"/>
        <c:lblAlgn val="ctr"/>
        <c:lblOffset val="100"/>
        <c:noMultiLvlLbl val="0"/>
      </c:catAx>
      <c:valAx>
        <c:axId val="350523392"/>
        <c:scaling>
          <c:orientation val="minMax"/>
          <c:max val="2000000000"/>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0513408"/>
        <c:crosses val="autoZero"/>
        <c:crossBetween val="between"/>
        <c:majorUnit val="400000000"/>
      </c:valAx>
    </c:plotArea>
    <c:legend>
      <c:legendPos val="b"/>
      <c:layout>
        <c:manualLayout>
          <c:xMode val="edge"/>
          <c:yMode val="edge"/>
          <c:x val="0.27674846894138233"/>
          <c:y val="0.88850503062117236"/>
          <c:w val="0.6948803587051618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BD0026"/>
            </a:solidFill>
            <a:ln>
              <a:solidFill>
                <a:schemeClr val="tx1"/>
              </a:solidFill>
            </a:ln>
          </c:spPr>
          <c:invertIfNegative val="0"/>
          <c:cat>
            <c:strRef>
              <c:f>Energex!$C$112:$C$114</c:f>
              <c:strCache>
                <c:ptCount val="3"/>
                <c:pt idx="0">
                  <c:v>2010-11</c:v>
                </c:pt>
                <c:pt idx="1">
                  <c:v>2011-12</c:v>
                </c:pt>
                <c:pt idx="2">
                  <c:v>2012-13</c:v>
                </c:pt>
              </c:strCache>
            </c:strRef>
          </c:cat>
          <c:val>
            <c:numRef>
              <c:f>Energex!$K$112:$K$114</c:f>
              <c:numCache>
                <c:formatCode>"$"#,##0</c:formatCode>
                <c:ptCount val="3"/>
                <c:pt idx="0">
                  <c:v>440022373.94170994</c:v>
                </c:pt>
                <c:pt idx="1">
                  <c:v>484985529.51599205</c:v>
                </c:pt>
                <c:pt idx="2">
                  <c:v>468569800</c:v>
                </c:pt>
              </c:numCache>
            </c:numRef>
          </c:val>
        </c:ser>
        <c:dLbls>
          <c:showLegendKey val="0"/>
          <c:showVal val="0"/>
          <c:showCatName val="0"/>
          <c:showSerName val="0"/>
          <c:showPercent val="0"/>
          <c:showBubbleSize val="0"/>
        </c:dLbls>
        <c:gapWidth val="50"/>
        <c:axId val="350634368"/>
        <c:axId val="350636288"/>
      </c:barChart>
      <c:catAx>
        <c:axId val="350634368"/>
        <c:scaling>
          <c:orientation val="minMax"/>
        </c:scaling>
        <c:delete val="0"/>
        <c:axPos val="b"/>
        <c:title>
          <c:tx>
            <c:rich>
              <a:bodyPr/>
              <a:lstStyle/>
              <a:p>
                <a:pPr algn="l">
                  <a:defRPr/>
                </a:pPr>
                <a:r>
                  <a:rPr lang="en-AU" b="0"/>
                  <a:t>*EBIT</a:t>
                </a:r>
                <a:r>
                  <a:rPr lang="en-AU" b="0" baseline="0"/>
                  <a:t> was provided by Energex for the  2010-11 and 2011-12 regulatory years. The 2012-13 EBIT figure was not requested . For the purpose of this analysis 2012-13 EBIT is the sum of </a:t>
                </a:r>
                <a:r>
                  <a:rPr lang="en-AU" b="0" i="1" baseline="0"/>
                  <a:t>profit before tax</a:t>
                </a:r>
                <a:r>
                  <a:rPr lang="en-AU" b="0" baseline="0"/>
                  <a:t> and </a:t>
                </a:r>
                <a:r>
                  <a:rPr lang="en-AU" b="0" i="1" baseline="0"/>
                  <a:t>finance charges</a:t>
                </a:r>
                <a:r>
                  <a:rPr lang="en-AU" b="0" baseline="0"/>
                  <a:t>.</a:t>
                </a:r>
                <a:endParaRPr lang="en-AU"/>
              </a:p>
            </c:rich>
          </c:tx>
          <c:layout>
            <c:manualLayout>
              <c:xMode val="edge"/>
              <c:yMode val="edge"/>
              <c:x val="0.19082174103237096"/>
              <c:y val="0.83525444736074661"/>
            </c:manualLayout>
          </c:layout>
          <c:overlay val="0"/>
        </c:title>
        <c:majorTickMark val="out"/>
        <c:minorTickMark val="none"/>
        <c:tickLblPos val="nextTo"/>
        <c:crossAx val="350636288"/>
        <c:crosses val="autoZero"/>
        <c:auto val="1"/>
        <c:lblAlgn val="ctr"/>
        <c:lblOffset val="100"/>
        <c:noMultiLvlLbl val="0"/>
      </c:catAx>
      <c:valAx>
        <c:axId val="350636288"/>
        <c:scaling>
          <c:orientation val="minMax"/>
          <c:max val="500000000"/>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0634368"/>
        <c:crosses val="autoZero"/>
        <c:crossBetween val="between"/>
        <c:majorUnit val="100000000"/>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'Ergon Energy'!$B$31</c:f>
              <c:strCache>
                <c:ptCount val="1"/>
                <c:pt idx="0">
                  <c:v>Forecast</c:v>
                </c:pt>
              </c:strCache>
            </c:strRef>
          </c:tx>
          <c:spPr>
            <a:pattFill prst="dkUpDiag">
              <a:fgClr>
                <a:srgbClr val="800026"/>
              </a:fgClr>
              <a:bgClr>
                <a:sysClr val="window" lastClr="FFFFFF"/>
              </a:bgClr>
            </a:pattFill>
            <a:ln>
              <a:solidFill>
                <a:sysClr val="windowText" lastClr="000000"/>
              </a:solidFill>
            </a:ln>
          </c:spPr>
          <c:invertIfNegative val="0"/>
          <c:cat>
            <c:multiLvlStrRef>
              <c:f>'Ergon Energy'!$C$27:$L$28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Energy'!$C$31:$L$31</c:f>
              <c:numCache>
                <c:formatCode>#,##0</c:formatCode>
                <c:ptCount val="10"/>
                <c:pt idx="0">
                  <c:v>13358</c:v>
                </c:pt>
                <c:pt idx="1">
                  <c:v>13650</c:v>
                </c:pt>
                <c:pt idx="2">
                  <c:v>13944</c:v>
                </c:pt>
                <c:pt idx="3">
                  <c:v>14592</c:v>
                </c:pt>
                <c:pt idx="4">
                  <c:v>14889</c:v>
                </c:pt>
                <c:pt idx="5">
                  <c:v>15871</c:v>
                </c:pt>
                <c:pt idx="6">
                  <c:v>16450</c:v>
                </c:pt>
                <c:pt idx="7">
                  <c:v>16874</c:v>
                </c:pt>
                <c:pt idx="8">
                  <c:v>17433</c:v>
                </c:pt>
                <c:pt idx="9">
                  <c:v>17887</c:v>
                </c:pt>
              </c:numCache>
            </c:numRef>
          </c:val>
        </c:ser>
        <c:ser>
          <c:idx val="1"/>
          <c:order val="1"/>
          <c:tx>
            <c:strRef>
              <c:f>'Ergon Energy'!$B$29</c:f>
              <c:strCache>
                <c:ptCount val="1"/>
                <c:pt idx="0">
                  <c:v>Actual</c:v>
                </c:pt>
              </c:strCache>
            </c:strRef>
          </c:tx>
          <c:spPr>
            <a:solidFill>
              <a:srgbClr val="800026"/>
            </a:solidFill>
            <a:ln>
              <a:solidFill>
                <a:sysClr val="windowText" lastClr="000000"/>
              </a:solidFill>
            </a:ln>
          </c:spPr>
          <c:invertIfNegative val="0"/>
          <c:cat>
            <c:multiLvlStrRef>
              <c:f>'Ergon Energy'!$C$27:$L$28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Energy'!$C$29:$L$29</c:f>
              <c:numCache>
                <c:formatCode>#,##0</c:formatCode>
                <c:ptCount val="10"/>
                <c:pt idx="0">
                  <c:v>13486.172</c:v>
                </c:pt>
                <c:pt idx="1">
                  <c:v>14507</c:v>
                </c:pt>
                <c:pt idx="2">
                  <c:v>13813.412</c:v>
                </c:pt>
                <c:pt idx="3">
                  <c:v>14130.075000000001</c:v>
                </c:pt>
                <c:pt idx="4">
                  <c:v>14257</c:v>
                </c:pt>
                <c:pt idx="5">
                  <c:v>13227.154</c:v>
                </c:pt>
                <c:pt idx="6">
                  <c:v>13699.172784058799</c:v>
                </c:pt>
                <c:pt idx="7">
                  <c:v>13312</c:v>
                </c:pt>
              </c:numCache>
            </c:numRef>
          </c:val>
        </c:ser>
        <c:dLbls>
          <c:showLegendKey val="0"/>
          <c:showVal val="0"/>
          <c:showCatName val="0"/>
          <c:showSerName val="0"/>
          <c:showPercent val="0"/>
          <c:showBubbleSize val="0"/>
        </c:dLbls>
        <c:gapWidth val="50"/>
        <c:axId val="350649344"/>
        <c:axId val="350671616"/>
      </c:barChart>
      <c:catAx>
        <c:axId val="350649344"/>
        <c:scaling>
          <c:orientation val="minMax"/>
        </c:scaling>
        <c:delete val="0"/>
        <c:axPos val="b"/>
        <c:majorTickMark val="out"/>
        <c:minorTickMark val="none"/>
        <c:tickLblPos val="nextTo"/>
        <c:txPr>
          <a:bodyPr/>
          <a:lstStyle/>
          <a:p>
            <a:pPr>
              <a:defRPr sz="800"/>
            </a:pPr>
            <a:endParaRPr lang="en-US"/>
          </a:p>
        </c:txPr>
        <c:crossAx val="350671616"/>
        <c:crosses val="autoZero"/>
        <c:auto val="1"/>
        <c:lblAlgn val="ctr"/>
        <c:lblOffset val="100"/>
        <c:noMultiLvlLbl val="0"/>
      </c:catAx>
      <c:valAx>
        <c:axId val="350671616"/>
        <c:scaling>
          <c:orientation val="minMax"/>
          <c:max val="18000"/>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50649344"/>
        <c:crosses val="autoZero"/>
        <c:crossBetween val="between"/>
        <c:majorUnit val="3000"/>
      </c:valAx>
    </c:plotArea>
    <c:legend>
      <c:legendPos val="b"/>
      <c:layout>
        <c:manualLayout>
          <c:xMode val="edge"/>
          <c:yMode val="edge"/>
          <c:x val="0.23091885389326333"/>
          <c:y val="0.89838181685622631"/>
          <c:w val="0.7409400699912511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'Ergon Energy'!$B$24</c:f>
              <c:strCache>
                <c:ptCount val="1"/>
                <c:pt idx="0">
                  <c:v>Forecast</c:v>
                </c:pt>
              </c:strCache>
            </c:strRef>
          </c:tx>
          <c:spPr>
            <a:pattFill prst="dkUpDiag">
              <a:fgClr>
                <a:srgbClr val="800026"/>
              </a:fgClr>
              <a:bgClr>
                <a:schemeClr val="bg1"/>
              </a:bgClr>
            </a:pattFill>
            <a:ln>
              <a:solidFill>
                <a:sysClr val="windowText" lastClr="000000"/>
              </a:solidFill>
            </a:ln>
          </c:spPr>
          <c:invertIfNegative val="0"/>
          <c:cat>
            <c:multiLvlStrRef>
              <c:f>'Ergon Energy'!$C$20:$L$21</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Energy'!$C$24:$L$24</c:f>
              <c:numCache>
                <c:formatCode>#,##0</c:formatCode>
                <c:ptCount val="10"/>
                <c:pt idx="0">
                  <c:v>2251.3469999999998</c:v>
                </c:pt>
                <c:pt idx="1">
                  <c:v>2317.4760000000001</c:v>
                </c:pt>
                <c:pt idx="2">
                  <c:v>2387.5529999999999</c:v>
                </c:pt>
                <c:pt idx="3">
                  <c:v>2499.0839999999998</c:v>
                </c:pt>
                <c:pt idx="4">
                  <c:v>2568.174</c:v>
                </c:pt>
                <c:pt idx="5">
                  <c:v>2778</c:v>
                </c:pt>
                <c:pt idx="6">
                  <c:v>2907</c:v>
                </c:pt>
                <c:pt idx="7">
                  <c:v>3017</c:v>
                </c:pt>
                <c:pt idx="8">
                  <c:v>3100</c:v>
                </c:pt>
                <c:pt idx="9">
                  <c:v>3171</c:v>
                </c:pt>
              </c:numCache>
            </c:numRef>
          </c:val>
        </c:ser>
        <c:ser>
          <c:idx val="0"/>
          <c:order val="1"/>
          <c:tx>
            <c:strRef>
              <c:f>'Ergon Energy'!$B$22</c:f>
              <c:strCache>
                <c:ptCount val="1"/>
                <c:pt idx="0">
                  <c:v>Actual</c:v>
                </c:pt>
              </c:strCache>
            </c:strRef>
          </c:tx>
          <c:spPr>
            <a:solidFill>
              <a:srgbClr val="800026"/>
            </a:solidFill>
            <a:ln>
              <a:solidFill>
                <a:sysClr val="windowText" lastClr="000000"/>
              </a:solidFill>
            </a:ln>
          </c:spPr>
          <c:invertIfNegative val="0"/>
          <c:cat>
            <c:multiLvlStrRef>
              <c:f>'Ergon Energy'!$C$20:$L$21</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Energy'!$C$22:$L$22</c:f>
              <c:numCache>
                <c:formatCode>#,##0</c:formatCode>
                <c:ptCount val="10"/>
                <c:pt idx="0">
                  <c:v>2361.8910000000001</c:v>
                </c:pt>
                <c:pt idx="1">
                  <c:v>2630.355</c:v>
                </c:pt>
                <c:pt idx="2">
                  <c:v>2355.9690000000001</c:v>
                </c:pt>
                <c:pt idx="3">
                  <c:v>2465.5259999999998</c:v>
                </c:pt>
                <c:pt idx="4">
                  <c:v>2574.096</c:v>
                </c:pt>
                <c:pt idx="5">
                  <c:v>2319.355</c:v>
                </c:pt>
                <c:pt idx="6">
                  <c:v>2416.5880000000002</c:v>
                </c:pt>
                <c:pt idx="7">
                  <c:v>2379.5529999999999</c:v>
                </c:pt>
              </c:numCache>
            </c:numRef>
          </c:val>
        </c:ser>
        <c:dLbls>
          <c:showLegendKey val="0"/>
          <c:showVal val="0"/>
          <c:showCatName val="0"/>
          <c:showSerName val="0"/>
          <c:showPercent val="0"/>
          <c:showBubbleSize val="0"/>
        </c:dLbls>
        <c:gapWidth val="50"/>
        <c:axId val="350755456"/>
        <c:axId val="350773632"/>
      </c:barChart>
      <c:catAx>
        <c:axId val="350755456"/>
        <c:scaling>
          <c:orientation val="minMax"/>
        </c:scaling>
        <c:delete val="0"/>
        <c:axPos val="b"/>
        <c:majorTickMark val="out"/>
        <c:minorTickMark val="none"/>
        <c:tickLblPos val="nextTo"/>
        <c:txPr>
          <a:bodyPr/>
          <a:lstStyle/>
          <a:p>
            <a:pPr>
              <a:defRPr sz="800"/>
            </a:pPr>
            <a:endParaRPr lang="en-US"/>
          </a:p>
        </c:txPr>
        <c:crossAx val="350773632"/>
        <c:crosses val="autoZero"/>
        <c:auto val="1"/>
        <c:lblAlgn val="ctr"/>
        <c:lblOffset val="100"/>
        <c:noMultiLvlLbl val="0"/>
      </c:catAx>
      <c:valAx>
        <c:axId val="350773632"/>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0" sourceLinked="1"/>
        <c:majorTickMark val="out"/>
        <c:minorTickMark val="none"/>
        <c:tickLblPos val="nextTo"/>
        <c:crossAx val="350755456"/>
        <c:crosses val="autoZero"/>
        <c:crossBetween val="between"/>
      </c:valAx>
    </c:plotArea>
    <c:legend>
      <c:legendPos val="b"/>
      <c:layout>
        <c:manualLayout>
          <c:xMode val="edge"/>
          <c:yMode val="edge"/>
          <c:x val="0.2361111111111111"/>
          <c:y val="0.89838181685622631"/>
          <c:w val="0.7326067366579178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'Ergon Energy'!$T$65</c:f>
              <c:strCache>
                <c:ptCount val="1"/>
                <c:pt idx="0">
                  <c:v>Forecast (inc. amendments)
</c:v>
                </c:pt>
              </c:strCache>
            </c:strRef>
          </c:tx>
          <c:spPr>
            <a:pattFill prst="dkUpDiag">
              <a:fgClr>
                <a:srgbClr val="800026"/>
              </a:fgClr>
              <a:bgClr>
                <a:sysClr val="window" lastClr="FFFFFF"/>
              </a:bgClr>
            </a:pattFill>
            <a:ln>
              <a:solidFill>
                <a:schemeClr val="tx1"/>
              </a:solidFill>
            </a:ln>
          </c:spPr>
          <c:invertIfNegative val="0"/>
          <c:cat>
            <c:multiLvlStrRef>
              <c:f>'Ergon Energy'!$B$66:$C$75</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Energy'!$T$66:$T$75</c:f>
              <c:numCache>
                <c:formatCode>"$"#,##0</c:formatCode>
                <c:ptCount val="10"/>
                <c:pt idx="0">
                  <c:v>614931279.62944889</c:v>
                </c:pt>
                <c:pt idx="1">
                  <c:v>659212321.195786</c:v>
                </c:pt>
                <c:pt idx="2">
                  <c:v>679934306.50537467</c:v>
                </c:pt>
                <c:pt idx="3">
                  <c:v>672319228.92517996</c:v>
                </c:pt>
                <c:pt idx="4">
                  <c:v>662483562.5837419</c:v>
                </c:pt>
                <c:pt idx="5">
                  <c:v>912805355.52780938</c:v>
                </c:pt>
                <c:pt idx="6">
                  <c:v>868700777.28307295</c:v>
                </c:pt>
                <c:pt idx="7">
                  <c:v>917056399.2140491</c:v>
                </c:pt>
                <c:pt idx="8">
                  <c:v>949045502.95300245</c:v>
                </c:pt>
                <c:pt idx="9">
                  <c:v>1010579360.3113215</c:v>
                </c:pt>
              </c:numCache>
            </c:numRef>
          </c:val>
        </c:ser>
        <c:ser>
          <c:idx val="1"/>
          <c:order val="1"/>
          <c:tx>
            <c:strRef>
              <c:f>'Ergon Energy'!$AB$65</c:f>
              <c:strCache>
                <c:ptCount val="1"/>
                <c:pt idx="0">
                  <c:v>Actual</c:v>
                </c:pt>
              </c:strCache>
            </c:strRef>
          </c:tx>
          <c:spPr>
            <a:solidFill>
              <a:srgbClr val="800026"/>
            </a:solidFill>
            <a:ln>
              <a:solidFill>
                <a:sysClr val="windowText" lastClr="000000"/>
              </a:solidFill>
            </a:ln>
          </c:spPr>
          <c:invertIfNegative val="0"/>
          <c:cat>
            <c:multiLvlStrRef>
              <c:f>'Ergon Energy'!$B$66:$C$75</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Energy'!$AB$66:$AB$75</c:f>
              <c:numCache>
                <c:formatCode>"$"#,##0</c:formatCode>
                <c:ptCount val="10"/>
                <c:pt idx="0">
                  <c:v>712612535.08467638</c:v>
                </c:pt>
                <c:pt idx="1">
                  <c:v>819785260.11278653</c:v>
                </c:pt>
                <c:pt idx="2">
                  <c:v>763058617.1378262</c:v>
                </c:pt>
                <c:pt idx="3">
                  <c:v>745818858.82203519</c:v>
                </c:pt>
                <c:pt idx="4">
                  <c:v>678922323.61342001</c:v>
                </c:pt>
                <c:pt idx="5">
                  <c:v>736247231.14805448</c:v>
                </c:pt>
                <c:pt idx="6">
                  <c:v>768879198.76299226</c:v>
                </c:pt>
                <c:pt idx="7">
                  <c:v>730668000</c:v>
                </c:pt>
                <c:pt idx="8">
                  <c:v>#N/A</c:v>
                </c:pt>
                <c:pt idx="9">
                  <c:v>#N/A</c:v>
                </c:pt>
              </c:numCache>
            </c:numRef>
          </c:val>
        </c:ser>
        <c:dLbls>
          <c:showLegendKey val="0"/>
          <c:showVal val="0"/>
          <c:showCatName val="0"/>
          <c:showSerName val="0"/>
          <c:showPercent val="0"/>
          <c:showBubbleSize val="0"/>
        </c:dLbls>
        <c:gapWidth val="50"/>
        <c:axId val="350810880"/>
        <c:axId val="350812416"/>
      </c:barChart>
      <c:catAx>
        <c:axId val="350810880"/>
        <c:scaling>
          <c:orientation val="minMax"/>
        </c:scaling>
        <c:delete val="0"/>
        <c:axPos val="b"/>
        <c:majorTickMark val="out"/>
        <c:minorTickMark val="none"/>
        <c:tickLblPos val="nextTo"/>
        <c:txPr>
          <a:bodyPr/>
          <a:lstStyle/>
          <a:p>
            <a:pPr>
              <a:defRPr sz="750"/>
            </a:pPr>
            <a:endParaRPr lang="en-US"/>
          </a:p>
        </c:txPr>
        <c:crossAx val="350812416"/>
        <c:crosses val="autoZero"/>
        <c:auto val="1"/>
        <c:lblAlgn val="ctr"/>
        <c:lblOffset val="100"/>
        <c:noMultiLvlLbl val="0"/>
      </c:catAx>
      <c:valAx>
        <c:axId val="350812416"/>
        <c:scaling>
          <c:orientation val="minMax"/>
          <c:min val="0"/>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50810880"/>
        <c:crosses val="autoZero"/>
        <c:crossBetween val="between"/>
      </c:valAx>
    </c:plotArea>
    <c:legend>
      <c:legendPos val="b"/>
      <c:layout>
        <c:manualLayout>
          <c:xMode val="edge"/>
          <c:yMode val="edge"/>
          <c:x val="0.27397069116360456"/>
          <c:y val="0.88850503062117236"/>
          <c:w val="0.69269597550306217"/>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'Ergon Energy'!$I$78</c:f>
              <c:strCache>
                <c:ptCount val="1"/>
                <c:pt idx="0">
                  <c:v>Forecast</c:v>
                </c:pt>
              </c:strCache>
            </c:strRef>
          </c:tx>
          <c:spPr>
            <a:pattFill prst="dkUpDiag">
              <a:fgClr>
                <a:srgbClr val="800026"/>
              </a:fgClr>
              <a:bgClr>
                <a:sysClr val="window" lastClr="FFFFFF"/>
              </a:bgClr>
            </a:pattFill>
            <a:ln>
              <a:solidFill>
                <a:schemeClr val="tx1"/>
              </a:solidFill>
            </a:ln>
          </c:spPr>
          <c:invertIfNegative val="0"/>
          <c:cat>
            <c:multiLvlStrRef>
              <c:f>'Ergon Energy'!$B$79:$C$96</c:f>
              <c:multiLvlStrCache>
                <c:ptCount val="18"/>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pt idx="15">
                    <c:v>2010-11</c:v>
                  </c:pt>
                  <c:pt idx="16">
                    <c:v>2011-12</c:v>
                  </c:pt>
                  <c:pt idx="17">
                    <c:v>2012-13</c:v>
                  </c:pt>
                </c:lvl>
                <c:lvl>
                  <c:pt idx="0">
                    <c:v>Replacement</c:v>
                  </c:pt>
                  <c:pt idx="3">
                    <c:v>Augmentation</c:v>
                  </c:pt>
                  <c:pt idx="6">
                    <c:v>Customer initiated</c:v>
                  </c:pt>
                  <c:pt idx="9">
                    <c:v>Reliability</c:v>
                  </c:pt>
                  <c:pt idx="12">
                    <c:v>Other system</c:v>
                  </c:pt>
                  <c:pt idx="15">
                    <c:v>Non-system</c:v>
                  </c:pt>
                </c:lvl>
              </c:multiLvlStrCache>
            </c:multiLvlStrRef>
          </c:cat>
          <c:val>
            <c:numRef>
              <c:f>'Ergon Energy'!$I$79:$I$96</c:f>
              <c:numCache>
                <c:formatCode>"$"#,##0</c:formatCode>
                <c:ptCount val="18"/>
                <c:pt idx="0">
                  <c:v>185040000.7130101</c:v>
                </c:pt>
                <c:pt idx="1">
                  <c:v>216607549.47723919</c:v>
                </c:pt>
                <c:pt idx="2">
                  <c:v>248059451.34435421</c:v>
                </c:pt>
                <c:pt idx="3">
                  <c:v>278674105.66781819</c:v>
                </c:pt>
                <c:pt idx="4">
                  <c:v>271273938.39657146</c:v>
                </c:pt>
                <c:pt idx="5">
                  <c:v>331156492.72731322</c:v>
                </c:pt>
                <c:pt idx="6">
                  <c:v>311460166.54176891</c:v>
                </c:pt>
                <c:pt idx="7">
                  <c:v>307218297.58938038</c:v>
                </c:pt>
                <c:pt idx="8">
                  <c:v>305684601.6756261</c:v>
                </c:pt>
                <c:pt idx="9">
                  <c:v>19615687.798146971</c:v>
                </c:pt>
                <c:pt idx="10">
                  <c:v>20682373.002584506</c:v>
                </c:pt>
                <c:pt idx="11">
                  <c:v>21915023.646181438</c:v>
                </c:pt>
                <c:pt idx="12">
                  <c:v>118983184.71467802</c:v>
                </c:pt>
                <c:pt idx="13">
                  <c:v>83535743.644580364</c:v>
                </c:pt>
                <c:pt idx="14">
                  <c:v>58432564.678096935</c:v>
                </c:pt>
                <c:pt idx="15">
                  <c:v>198098301.25319725</c:v>
                </c:pt>
                <c:pt idx="16">
                  <c:v>166050392.77101666</c:v>
                </c:pt>
                <c:pt idx="17">
                  <c:v>137288196.13503337</c:v>
                </c:pt>
              </c:numCache>
            </c:numRef>
          </c:val>
        </c:ser>
        <c:ser>
          <c:idx val="1"/>
          <c:order val="1"/>
          <c:tx>
            <c:strRef>
              <c:f>'Ergon Energy'!$J$78</c:f>
              <c:strCache>
                <c:ptCount val="1"/>
                <c:pt idx="0">
                  <c:v>Actual</c:v>
                </c:pt>
              </c:strCache>
            </c:strRef>
          </c:tx>
          <c:spPr>
            <a:solidFill>
              <a:srgbClr val="800026"/>
            </a:solidFill>
            <a:ln>
              <a:solidFill>
                <a:sysClr val="windowText" lastClr="000000"/>
              </a:solidFill>
            </a:ln>
          </c:spPr>
          <c:invertIfNegative val="0"/>
          <c:cat>
            <c:multiLvlStrRef>
              <c:f>'Ergon Energy'!$B$79:$C$96</c:f>
              <c:multiLvlStrCache>
                <c:ptCount val="18"/>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pt idx="15">
                    <c:v>2010-11</c:v>
                  </c:pt>
                  <c:pt idx="16">
                    <c:v>2011-12</c:v>
                  </c:pt>
                  <c:pt idx="17">
                    <c:v>2012-13</c:v>
                  </c:pt>
                </c:lvl>
                <c:lvl>
                  <c:pt idx="0">
                    <c:v>Replacement</c:v>
                  </c:pt>
                  <c:pt idx="3">
                    <c:v>Augmentation</c:v>
                  </c:pt>
                  <c:pt idx="6">
                    <c:v>Customer initiated</c:v>
                  </c:pt>
                  <c:pt idx="9">
                    <c:v>Reliability</c:v>
                  </c:pt>
                  <c:pt idx="12">
                    <c:v>Other system</c:v>
                  </c:pt>
                  <c:pt idx="15">
                    <c:v>Non-system</c:v>
                  </c:pt>
                </c:lvl>
              </c:multiLvlStrCache>
            </c:multiLvlStrRef>
          </c:cat>
          <c:val>
            <c:numRef>
              <c:f>'Ergon Energy'!$J$79:$J$96</c:f>
              <c:numCache>
                <c:formatCode>"$"#,##0</c:formatCode>
                <c:ptCount val="18"/>
                <c:pt idx="0">
                  <c:v>218827764.54123375</c:v>
                </c:pt>
                <c:pt idx="1">
                  <c:v>252343937.63860458</c:v>
                </c:pt>
                <c:pt idx="2">
                  <c:v>275045000</c:v>
                </c:pt>
                <c:pt idx="3">
                  <c:v>142031249.04171336</c:v>
                </c:pt>
                <c:pt idx="4">
                  <c:v>165692037.77074656</c:v>
                </c:pt>
                <c:pt idx="5">
                  <c:v>144490000</c:v>
                </c:pt>
                <c:pt idx="6">
                  <c:v>195700009.30084923</c:v>
                </c:pt>
                <c:pt idx="7">
                  <c:v>185036169.37407246</c:v>
                </c:pt>
                <c:pt idx="8">
                  <c:v>190547000</c:v>
                </c:pt>
                <c:pt idx="9">
                  <c:v>21393405.772127811</c:v>
                </c:pt>
                <c:pt idx="10">
                  <c:v>26756597.378856529</c:v>
                </c:pt>
                <c:pt idx="11">
                  <c:v>23336000</c:v>
                </c:pt>
                <c:pt idx="12">
                  <c:v>81119830.875159785</c:v>
                </c:pt>
                <c:pt idx="13">
                  <c:v>53431026.03688702</c:v>
                </c:pt>
                <c:pt idx="14">
                  <c:v>36019000</c:v>
                </c:pt>
                <c:pt idx="15">
                  <c:v>149859049.05813175</c:v>
                </c:pt>
                <c:pt idx="16">
                  <c:v>141471711.37057966</c:v>
                </c:pt>
                <c:pt idx="17">
                  <c:v>128757000</c:v>
                </c:pt>
              </c:numCache>
            </c:numRef>
          </c:val>
        </c:ser>
        <c:dLbls>
          <c:showLegendKey val="0"/>
          <c:showVal val="0"/>
          <c:showCatName val="0"/>
          <c:showSerName val="0"/>
          <c:showPercent val="0"/>
          <c:showBubbleSize val="0"/>
        </c:dLbls>
        <c:gapWidth val="50"/>
        <c:axId val="351017984"/>
        <c:axId val="351036160"/>
      </c:barChart>
      <c:catAx>
        <c:axId val="351017984"/>
        <c:scaling>
          <c:orientation val="minMax"/>
        </c:scaling>
        <c:delete val="0"/>
        <c:axPos val="b"/>
        <c:majorTickMark val="out"/>
        <c:minorTickMark val="none"/>
        <c:tickLblPos val="nextTo"/>
        <c:txPr>
          <a:bodyPr/>
          <a:lstStyle/>
          <a:p>
            <a:pPr>
              <a:defRPr sz="600"/>
            </a:pPr>
            <a:endParaRPr lang="en-US"/>
          </a:p>
        </c:txPr>
        <c:crossAx val="351036160"/>
        <c:crosses val="autoZero"/>
        <c:auto val="1"/>
        <c:lblAlgn val="ctr"/>
        <c:lblOffset val="100"/>
        <c:noMultiLvlLbl val="0"/>
      </c:catAx>
      <c:valAx>
        <c:axId val="351036160"/>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1017984"/>
        <c:crosses val="autoZero"/>
        <c:crossBetween val="between"/>
      </c:valAx>
    </c:plotArea>
    <c:legend>
      <c:legendPos val="b"/>
      <c:layout>
        <c:manualLayout>
          <c:xMode val="edge"/>
          <c:yMode val="edge"/>
          <c:x val="0.26008180227471567"/>
          <c:y val="0.88850503062117236"/>
          <c:w val="0.73991819772528433"/>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'Ergon Energy'!$K$99</c:f>
              <c:strCache>
                <c:ptCount val="1"/>
                <c:pt idx="0">
                  <c:v>Forecast
</c:v>
                </c:pt>
              </c:strCache>
            </c:strRef>
          </c:tx>
          <c:spPr>
            <a:pattFill prst="dkUpDiag">
              <a:fgClr>
                <a:srgbClr val="800026"/>
              </a:fgClr>
              <a:bgClr>
                <a:sysClr val="window" lastClr="FFFFFF"/>
              </a:bgClr>
            </a:pattFill>
            <a:ln>
              <a:solidFill>
                <a:schemeClr val="tx1"/>
              </a:solidFill>
            </a:ln>
          </c:spPr>
          <c:invertIfNegative val="0"/>
          <c:cat>
            <c:multiLvlStrRef>
              <c:f>'Ergon Energy'!$B$100:$C$107</c:f>
              <c:multiLvlStrCache>
                <c:ptCount val="8"/>
                <c:lvl>
                  <c:pt idx="0">
                    <c:v>2005-06</c:v>
                  </c:pt>
                  <c:pt idx="1">
                    <c:v>2006-07</c:v>
                  </c:pt>
                  <c:pt idx="2">
                    <c:v>2007-08</c:v>
                  </c:pt>
                  <c:pt idx="3">
                    <c:v>2008-09</c:v>
                  </c:pt>
                  <c:pt idx="4">
                    <c:v>2009-10</c:v>
                  </c:pt>
                  <c:pt idx="5">
                    <c:v>2010-11*</c:v>
                  </c:pt>
                  <c:pt idx="6">
                    <c:v>2011-12*</c:v>
                  </c:pt>
                  <c:pt idx="7">
                    <c:v>2012-13*</c:v>
                  </c:pt>
                </c:lvl>
                <c:lvl>
                  <c:pt idx="0">
                    <c:v>QCA</c:v>
                  </c:pt>
                  <c:pt idx="5">
                    <c:v>AER</c:v>
                  </c:pt>
                </c:lvl>
              </c:multiLvlStrCache>
            </c:multiLvlStrRef>
          </c:cat>
          <c:val>
            <c:numRef>
              <c:f>'Ergon Energy'!$K$100:$K$107</c:f>
              <c:numCache>
                <c:formatCode>"$"#,##0</c:formatCode>
                <c:ptCount val="8"/>
                <c:pt idx="0">
                  <c:v>5684703846.328701</c:v>
                </c:pt>
                <c:pt idx="1">
                  <c:v>6266493039.036912</c:v>
                </c:pt>
                <c:pt idx="2">
                  <c:v>6907052550.4494457</c:v>
                </c:pt>
                <c:pt idx="3">
                  <c:v>7570528789.9102068</c:v>
                </c:pt>
                <c:pt idx="4">
                  <c:v>8251007763.0841684</c:v>
                </c:pt>
                <c:pt idx="5">
                  <c:v>8569360138.8140478</c:v>
                </c:pt>
                <c:pt idx="6">
                  <c:v>9217016929.1957722</c:v>
                </c:pt>
                <c:pt idx="7">
                  <c:v>10038902424.195711</c:v>
                </c:pt>
              </c:numCache>
            </c:numRef>
          </c:val>
        </c:ser>
        <c:ser>
          <c:idx val="1"/>
          <c:order val="1"/>
          <c:tx>
            <c:strRef>
              <c:f>'Ergon Energy'!$Q$99</c:f>
              <c:strCache>
                <c:ptCount val="1"/>
                <c:pt idx="0">
                  <c:v>Actual</c:v>
                </c:pt>
              </c:strCache>
            </c:strRef>
          </c:tx>
          <c:spPr>
            <a:solidFill>
              <a:srgbClr val="800026"/>
            </a:solidFill>
            <a:ln>
              <a:solidFill>
                <a:sysClr val="windowText" lastClr="000000"/>
              </a:solidFill>
            </a:ln>
          </c:spPr>
          <c:invertIfNegative val="0"/>
          <c:cat>
            <c:multiLvlStrRef>
              <c:f>'Ergon Energy'!$B$100:$C$107</c:f>
              <c:multiLvlStrCache>
                <c:ptCount val="8"/>
                <c:lvl>
                  <c:pt idx="0">
                    <c:v>2005-06</c:v>
                  </c:pt>
                  <c:pt idx="1">
                    <c:v>2006-07</c:v>
                  </c:pt>
                  <c:pt idx="2">
                    <c:v>2007-08</c:v>
                  </c:pt>
                  <c:pt idx="3">
                    <c:v>2008-09</c:v>
                  </c:pt>
                  <c:pt idx="4">
                    <c:v>2009-10</c:v>
                  </c:pt>
                  <c:pt idx="5">
                    <c:v>2010-11*</c:v>
                  </c:pt>
                  <c:pt idx="6">
                    <c:v>2011-12*</c:v>
                  </c:pt>
                  <c:pt idx="7">
                    <c:v>2012-13*</c:v>
                  </c:pt>
                </c:lvl>
                <c:lvl>
                  <c:pt idx="0">
                    <c:v>QCA</c:v>
                  </c:pt>
                  <c:pt idx="5">
                    <c:v>AER</c:v>
                  </c:pt>
                </c:lvl>
              </c:multiLvlStrCache>
            </c:multiLvlStrRef>
          </c:cat>
          <c:val>
            <c:numRef>
              <c:f>'Ergon Energy'!$Q$100:$Q$107</c:f>
              <c:numCache>
                <c:formatCode>"$"#,##0</c:formatCode>
                <c:ptCount val="8"/>
                <c:pt idx="0">
                  <c:v>5744459830.7555294</c:v>
                </c:pt>
                <c:pt idx="1">
                  <c:v>6273167777.1845903</c:v>
                </c:pt>
                <c:pt idx="2">
                  <c:v>6841933920.5328503</c:v>
                </c:pt>
                <c:pt idx="3">
                  <c:v>7229621836.8694935</c:v>
                </c:pt>
                <c:pt idx="4">
                  <c:v>7816996001.2989311</c:v>
                </c:pt>
                <c:pt idx="5">
                  <c:v>8148902503.148159</c:v>
                </c:pt>
                <c:pt idx="6">
                  <c:v>8422018108.6122007</c:v>
                </c:pt>
                <c:pt idx="7">
                  <c:v>8946924225.9228668</c:v>
                </c:pt>
              </c:numCache>
            </c:numRef>
          </c:val>
        </c:ser>
        <c:dLbls>
          <c:showLegendKey val="0"/>
          <c:showVal val="0"/>
          <c:showCatName val="0"/>
          <c:showSerName val="0"/>
          <c:showPercent val="0"/>
          <c:showBubbleSize val="0"/>
        </c:dLbls>
        <c:gapWidth val="50"/>
        <c:axId val="351065600"/>
        <c:axId val="351067136"/>
      </c:barChart>
      <c:catAx>
        <c:axId val="351065600"/>
        <c:scaling>
          <c:orientation val="minMax"/>
        </c:scaling>
        <c:delete val="0"/>
        <c:axPos val="b"/>
        <c:majorTickMark val="out"/>
        <c:minorTickMark val="none"/>
        <c:tickLblPos val="nextTo"/>
        <c:txPr>
          <a:bodyPr/>
          <a:lstStyle/>
          <a:p>
            <a:pPr>
              <a:defRPr sz="900"/>
            </a:pPr>
            <a:endParaRPr lang="en-US"/>
          </a:p>
        </c:txPr>
        <c:crossAx val="351067136"/>
        <c:crosses val="autoZero"/>
        <c:auto val="1"/>
        <c:lblAlgn val="ctr"/>
        <c:lblOffset val="100"/>
        <c:noMultiLvlLbl val="0"/>
      </c:catAx>
      <c:valAx>
        <c:axId val="351067136"/>
        <c:scaling>
          <c:orientation val="minMax"/>
          <c:max val="12000000000"/>
          <c:min val="0"/>
        </c:scaling>
        <c:delete val="0"/>
        <c:axPos val="l"/>
        <c:title>
          <c:tx>
            <c:rich>
              <a:bodyPr rot="0" vert="horz"/>
              <a:lstStyle/>
              <a:p>
                <a:pPr>
                  <a:defRPr sz="800"/>
                </a:pPr>
                <a:r>
                  <a:rPr lang="en-AU"/>
                  <a:t>Regulatory</a:t>
                </a:r>
              </a:p>
              <a:p>
                <a:pPr>
                  <a:defRPr sz="800"/>
                </a:pPr>
                <a:r>
                  <a:rPr lang="en-AU"/>
                  <a:t>asset base</a:t>
                </a:r>
                <a:br>
                  <a:rPr lang="en-AU"/>
                </a:br>
                <a:r>
                  <a:rPr lang="en-AU"/>
                  <a:t>(Closing value)</a:t>
                </a:r>
              </a:p>
              <a:p>
                <a:pPr>
                  <a:defRPr sz="800"/>
                </a:pPr>
                <a:r>
                  <a:rPr lang="en-AU"/>
                  <a:t>($Dec 2012)</a:t>
                </a:r>
              </a:p>
            </c:rich>
          </c:tx>
          <c:layout/>
          <c:overlay val="0"/>
        </c:title>
        <c:numFmt formatCode="&quot;$&quot;0,,,&quot;bn&quot;" sourceLinked="0"/>
        <c:majorTickMark val="out"/>
        <c:minorTickMark val="none"/>
        <c:tickLblPos val="nextTo"/>
        <c:txPr>
          <a:bodyPr/>
          <a:lstStyle/>
          <a:p>
            <a:pPr>
              <a:defRPr sz="800"/>
            </a:pPr>
            <a:endParaRPr lang="en-US"/>
          </a:p>
        </c:txPr>
        <c:crossAx val="351065600"/>
        <c:crosses val="autoZero"/>
        <c:crossBetween val="between"/>
      </c:valAx>
    </c:plotArea>
    <c:legend>
      <c:legendPos val="b"/>
      <c:layout>
        <c:manualLayout>
          <c:xMode val="edge"/>
          <c:yMode val="edge"/>
          <c:x val="0.23641206820978364"/>
          <c:y val="0.88850503062117236"/>
          <c:w val="0.73013260666360369"/>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'Ergon Energy'!$X$52</c:f>
              <c:strCache>
                <c:ptCount val="1"/>
                <c:pt idx="0">
                  <c:v>Forecast (inc. amendments)
</c:v>
                </c:pt>
              </c:strCache>
            </c:strRef>
          </c:tx>
          <c:spPr>
            <a:pattFill prst="dkUpDiag">
              <a:fgClr>
                <a:srgbClr val="800026"/>
              </a:fgClr>
              <a:bgClr>
                <a:sysClr val="window" lastClr="FFFFFF"/>
              </a:bgClr>
            </a:pattFill>
            <a:ln>
              <a:solidFill>
                <a:sysClr val="windowText" lastClr="000000"/>
              </a:solidFill>
            </a:ln>
          </c:spPr>
          <c:invertIfNegative val="0"/>
          <c:cat>
            <c:multiLvlStrRef>
              <c:f>'Ergon Energy'!$B$53:$C$62</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Energy'!$X$53:$X$62</c:f>
              <c:numCache>
                <c:formatCode>"$"#,##0</c:formatCode>
                <c:ptCount val="10"/>
                <c:pt idx="0">
                  <c:v>329441604.52376467</c:v>
                </c:pt>
                <c:pt idx="1">
                  <c:v>326233565.51782793</c:v>
                </c:pt>
                <c:pt idx="2">
                  <c:v>325305949.6413219</c:v>
                </c:pt>
                <c:pt idx="3">
                  <c:v>290270804.91446632</c:v>
                </c:pt>
                <c:pt idx="4">
                  <c:v>292367030.28482175</c:v>
                </c:pt>
                <c:pt idx="5">
                  <c:v>379607078.81213474</c:v>
                </c:pt>
                <c:pt idx="6">
                  <c:v>417839322.8340019</c:v>
                </c:pt>
                <c:pt idx="7">
                  <c:v>465654368.8720513</c:v>
                </c:pt>
                <c:pt idx="8">
                  <c:v>389056193.70716619</c:v>
                </c:pt>
                <c:pt idx="9">
                  <c:v>376302377.12072599</c:v>
                </c:pt>
              </c:numCache>
            </c:numRef>
          </c:val>
        </c:ser>
        <c:ser>
          <c:idx val="1"/>
          <c:order val="1"/>
          <c:tx>
            <c:strRef>
              <c:f>'Ergon Energy'!$AD$52</c:f>
              <c:strCache>
                <c:ptCount val="1"/>
                <c:pt idx="0">
                  <c:v>Actual</c:v>
                </c:pt>
              </c:strCache>
            </c:strRef>
          </c:tx>
          <c:spPr>
            <a:solidFill>
              <a:srgbClr val="800026"/>
            </a:solidFill>
            <a:ln>
              <a:solidFill>
                <a:sysClr val="windowText" lastClr="000000"/>
              </a:solidFill>
            </a:ln>
          </c:spPr>
          <c:invertIfNegative val="0"/>
          <c:cat>
            <c:multiLvlStrRef>
              <c:f>'Ergon Energy'!$B$53:$C$62</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Energy'!$AD$53:$AD$62</c:f>
              <c:numCache>
                <c:formatCode>"$"#,##0</c:formatCode>
                <c:ptCount val="10"/>
                <c:pt idx="0">
                  <c:v>344502723.99117619</c:v>
                </c:pt>
                <c:pt idx="1">
                  <c:v>345767577.75286382</c:v>
                </c:pt>
                <c:pt idx="2">
                  <c:v>354931096.69421738</c:v>
                </c:pt>
                <c:pt idx="3">
                  <c:v>338198454.91544306</c:v>
                </c:pt>
                <c:pt idx="4">
                  <c:v>360160348.36760175</c:v>
                </c:pt>
                <c:pt idx="5">
                  <c:v>405121675.70497251</c:v>
                </c:pt>
                <c:pt idx="6">
                  <c:v>446533193.72868061</c:v>
                </c:pt>
                <c:pt idx="7">
                  <c:v>422137000</c:v>
                </c:pt>
                <c:pt idx="8">
                  <c:v>#N/A</c:v>
                </c:pt>
                <c:pt idx="9">
                  <c:v>#N/A</c:v>
                </c:pt>
              </c:numCache>
            </c:numRef>
          </c:val>
        </c:ser>
        <c:dLbls>
          <c:showLegendKey val="0"/>
          <c:showVal val="0"/>
          <c:showCatName val="0"/>
          <c:showSerName val="0"/>
          <c:showPercent val="0"/>
          <c:showBubbleSize val="0"/>
        </c:dLbls>
        <c:gapWidth val="50"/>
        <c:axId val="351617408"/>
        <c:axId val="351618944"/>
      </c:barChart>
      <c:catAx>
        <c:axId val="351617408"/>
        <c:scaling>
          <c:orientation val="minMax"/>
        </c:scaling>
        <c:delete val="0"/>
        <c:axPos val="b"/>
        <c:majorTickMark val="out"/>
        <c:minorTickMark val="none"/>
        <c:tickLblPos val="nextTo"/>
        <c:txPr>
          <a:bodyPr/>
          <a:lstStyle/>
          <a:p>
            <a:pPr>
              <a:defRPr sz="750"/>
            </a:pPr>
            <a:endParaRPr lang="en-US"/>
          </a:p>
        </c:txPr>
        <c:crossAx val="351618944"/>
        <c:crosses val="autoZero"/>
        <c:auto val="1"/>
        <c:lblAlgn val="ctr"/>
        <c:lblOffset val="100"/>
        <c:noMultiLvlLbl val="0"/>
      </c:catAx>
      <c:valAx>
        <c:axId val="351618944"/>
        <c:scaling>
          <c:orientation val="minMax"/>
          <c:max val="500000000"/>
          <c:min val="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1617408"/>
        <c:crosses val="autoZero"/>
        <c:crossBetween val="between"/>
        <c:majorUnit val="100000000"/>
      </c:valAx>
    </c:plotArea>
    <c:legend>
      <c:legendPos val="b"/>
      <c:layout>
        <c:manualLayout>
          <c:xMode val="edge"/>
          <c:yMode val="edge"/>
          <c:x val="0.2656373578302712"/>
          <c:y val="0.88850503062117236"/>
          <c:w val="0.70599146981627292"/>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ysClr val="windowText" lastClr="000000"/>
            </a:solidFill>
            <a:ln>
              <a:solidFill>
                <a:schemeClr val="tx1"/>
              </a:solidFill>
            </a:ln>
          </c:spPr>
          <c:invertIfNegative val="0"/>
          <c:cat>
            <c:strRef>
              <c:f>'SAIDI - Network'!$D$3:$J$3</c:f>
              <c:strCache>
                <c:ptCount val="7"/>
                <c:pt idx="0">
                  <c:v>2007</c:v>
                </c:pt>
                <c:pt idx="1">
                  <c:v>2008</c:v>
                </c:pt>
                <c:pt idx="2">
                  <c:v>2009</c:v>
                </c:pt>
                <c:pt idx="3">
                  <c:v>2010</c:v>
                </c:pt>
                <c:pt idx="4">
                  <c:v>2011</c:v>
                </c:pt>
                <c:pt idx="5">
                  <c:v>2012</c:v>
                </c:pt>
                <c:pt idx="6">
                  <c:v>2013</c:v>
                </c:pt>
              </c:strCache>
            </c:strRef>
          </c:cat>
          <c:val>
            <c:numRef>
              <c:f>'SAIDI - Network'!$D$17:$J$17</c:f>
              <c:numCache>
                <c:formatCode>#,##0.00</c:formatCode>
                <c:ptCount val="7"/>
                <c:pt idx="0">
                  <c:v>135.31374209291786</c:v>
                </c:pt>
                <c:pt idx="1">
                  <c:v>130.1627063157992</c:v>
                </c:pt>
                <c:pt idx="2">
                  <c:v>161.25662067145856</c:v>
                </c:pt>
                <c:pt idx="3">
                  <c:v>134.04515495264098</c:v>
                </c:pt>
                <c:pt idx="4">
                  <c:v>126.69369011722274</c:v>
                </c:pt>
                <c:pt idx="5">
                  <c:v>120.84462636051826</c:v>
                </c:pt>
                <c:pt idx="6">
                  <c:v>118.11042974305498</c:v>
                </c:pt>
              </c:numCache>
            </c:numRef>
          </c:val>
        </c:ser>
        <c:dLbls>
          <c:showLegendKey val="0"/>
          <c:showVal val="0"/>
          <c:showCatName val="0"/>
          <c:showSerName val="0"/>
          <c:showPercent val="0"/>
          <c:showBubbleSize val="0"/>
        </c:dLbls>
        <c:gapWidth val="50"/>
        <c:axId val="374396416"/>
        <c:axId val="374398336"/>
      </c:barChart>
      <c:catAx>
        <c:axId val="374396416"/>
        <c:scaling>
          <c:orientation val="minMax"/>
        </c:scaling>
        <c:delete val="0"/>
        <c:axPos val="b"/>
        <c:majorTickMark val="out"/>
        <c:minorTickMark val="none"/>
        <c:tickLblPos val="nextTo"/>
        <c:crossAx val="374398336"/>
        <c:crosses val="autoZero"/>
        <c:auto val="1"/>
        <c:lblAlgn val="ctr"/>
        <c:lblOffset val="100"/>
        <c:noMultiLvlLbl val="0"/>
      </c:catAx>
      <c:valAx>
        <c:axId val="374398336"/>
        <c:scaling>
          <c:orientation val="minMax"/>
          <c:min val="0"/>
        </c:scaling>
        <c:delete val="0"/>
        <c:axPos val="l"/>
        <c:title>
          <c:tx>
            <c:rich>
              <a:bodyPr rot="0" vert="horz"/>
              <a:lstStyle/>
              <a:p>
                <a:pPr>
                  <a:defRPr/>
                </a:pPr>
                <a:r>
                  <a:rPr lang="en-AU"/>
                  <a:t>Unplanned (normalised) sustained minutes</a:t>
                </a:r>
              </a:p>
              <a:p>
                <a:pPr>
                  <a:defRPr/>
                </a:pPr>
                <a:r>
                  <a:rPr lang="en-AU" baseline="0"/>
                  <a:t>off supply</a:t>
                </a:r>
              </a:p>
              <a:p>
                <a:pPr>
                  <a:defRPr/>
                </a:pPr>
                <a:r>
                  <a:rPr lang="en-AU" baseline="0"/>
                  <a:t>(SAIDI)</a:t>
                </a:r>
                <a:endParaRPr lang="en-AU"/>
              </a:p>
              <a:p>
                <a:pPr>
                  <a:defRPr/>
                </a:pPr>
                <a:endParaRPr lang="en-AU"/>
              </a:p>
            </c:rich>
          </c:tx>
          <c:layout/>
          <c:overlay val="0"/>
        </c:title>
        <c:numFmt formatCode="#,##0" sourceLinked="0"/>
        <c:majorTickMark val="out"/>
        <c:minorTickMark val="none"/>
        <c:tickLblPos val="nextTo"/>
        <c:crossAx val="37439641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'Ergon Energy'!$T$38</c:f>
              <c:strCache>
                <c:ptCount val="1"/>
                <c:pt idx="0">
                  <c:v>Forecast (inc. amendments)
</c:v>
                </c:pt>
              </c:strCache>
            </c:strRef>
          </c:tx>
          <c:spPr>
            <a:pattFill prst="dkUpDiag">
              <a:fgClr>
                <a:srgbClr val="800026"/>
              </a:fgClr>
              <a:bgClr>
                <a:sysClr val="window" lastClr="FFFFFF"/>
              </a:bgClr>
            </a:pattFill>
            <a:ln>
              <a:solidFill>
                <a:schemeClr val="tx1"/>
              </a:solidFill>
            </a:ln>
          </c:spPr>
          <c:invertIfNegative val="0"/>
          <c:cat>
            <c:multiLvlStrRef>
              <c:f>'Ergon Energy'!$B$39:$C$48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Energy'!$T$39:$T$48</c:f>
              <c:numCache>
                <c:formatCode>"$"#,##0</c:formatCode>
                <c:ptCount val="10"/>
                <c:pt idx="0">
                  <c:v>915069189.63524616</c:v>
                </c:pt>
                <c:pt idx="1">
                  <c:v>934829516.06896889</c:v>
                </c:pt>
                <c:pt idx="2">
                  <c:v>966266538.02710259</c:v>
                </c:pt>
                <c:pt idx="3">
                  <c:v>963959840.91123104</c:v>
                </c:pt>
                <c:pt idx="4">
                  <c:v>994198441.34367847</c:v>
                </c:pt>
                <c:pt idx="5">
                  <c:v>1164247747.7603772</c:v>
                </c:pt>
                <c:pt idx="6">
                  <c:v>1251609526.4596136</c:v>
                </c:pt>
                <c:pt idx="7">
                  <c:v>1350099089.8593152</c:v>
                </c:pt>
                <c:pt idx="8">
                  <c:v>1473102976.7665994</c:v>
                </c:pt>
                <c:pt idx="9">
                  <c:v>1552242613.5734046</c:v>
                </c:pt>
              </c:numCache>
            </c:numRef>
          </c:val>
        </c:ser>
        <c:ser>
          <c:idx val="1"/>
          <c:order val="1"/>
          <c:tx>
            <c:strRef>
              <c:f>'Ergon Energy'!$Z$38</c:f>
              <c:strCache>
                <c:ptCount val="1"/>
                <c:pt idx="0">
                  <c:v>Actual</c:v>
                </c:pt>
              </c:strCache>
            </c:strRef>
          </c:tx>
          <c:spPr>
            <a:solidFill>
              <a:srgbClr val="800026"/>
            </a:solidFill>
            <a:ln>
              <a:solidFill>
                <a:sysClr val="windowText" lastClr="000000"/>
              </a:solidFill>
            </a:ln>
          </c:spPr>
          <c:invertIfNegative val="0"/>
          <c:cat>
            <c:multiLvlStrRef>
              <c:f>'Ergon Energy'!$B$39:$C$48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QCA</c:v>
                  </c:pt>
                  <c:pt idx="5">
                    <c:v>AER</c:v>
                  </c:pt>
                </c:lvl>
              </c:multiLvlStrCache>
            </c:multiLvlStrRef>
          </c:cat>
          <c:val>
            <c:numRef>
              <c:f>'Ergon Energy'!$Z$39:$Z$48</c:f>
              <c:numCache>
                <c:formatCode>"$"#,##0</c:formatCode>
                <c:ptCount val="10"/>
                <c:pt idx="0">
                  <c:v>837824554.2139591</c:v>
                </c:pt>
                <c:pt idx="1">
                  <c:v>824267719.18159127</c:v>
                </c:pt>
                <c:pt idx="2">
                  <c:v>838965588.60879838</c:v>
                </c:pt>
                <c:pt idx="3">
                  <c:v>872648952.04747844</c:v>
                </c:pt>
                <c:pt idx="4">
                  <c:v>919587625.7039969</c:v>
                </c:pt>
                <c:pt idx="5">
                  <c:v>1063418159.4216747</c:v>
                </c:pt>
                <c:pt idx="6">
                  <c:v>1168643640.0950274</c:v>
                </c:pt>
                <c:pt idx="7">
                  <c:v>1332655884.409091</c:v>
                </c:pt>
                <c:pt idx="8">
                  <c:v>#N/A</c:v>
                </c:pt>
                <c:pt idx="9">
                  <c:v>#N/A</c:v>
                </c:pt>
              </c:numCache>
            </c:numRef>
          </c:val>
        </c:ser>
        <c:dLbls>
          <c:showLegendKey val="0"/>
          <c:showVal val="0"/>
          <c:showCatName val="0"/>
          <c:showSerName val="0"/>
          <c:showPercent val="0"/>
          <c:showBubbleSize val="0"/>
        </c:dLbls>
        <c:gapWidth val="50"/>
        <c:axId val="351627904"/>
        <c:axId val="351658368"/>
      </c:barChart>
      <c:catAx>
        <c:axId val="351627904"/>
        <c:scaling>
          <c:orientation val="minMax"/>
        </c:scaling>
        <c:delete val="0"/>
        <c:axPos val="b"/>
        <c:majorTickMark val="out"/>
        <c:minorTickMark val="none"/>
        <c:tickLblPos val="nextTo"/>
        <c:txPr>
          <a:bodyPr/>
          <a:lstStyle/>
          <a:p>
            <a:pPr>
              <a:defRPr sz="750"/>
            </a:pPr>
            <a:endParaRPr lang="en-US"/>
          </a:p>
        </c:txPr>
        <c:crossAx val="351658368"/>
        <c:crosses val="autoZero"/>
        <c:auto val="1"/>
        <c:lblAlgn val="ctr"/>
        <c:lblOffset val="100"/>
        <c:noMultiLvlLbl val="0"/>
      </c:catAx>
      <c:valAx>
        <c:axId val="351658368"/>
        <c:scaling>
          <c:orientation val="minMax"/>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1627904"/>
        <c:crosses val="autoZero"/>
        <c:crossBetween val="between"/>
        <c:majorUnit val="300000000"/>
      </c:valAx>
    </c:plotArea>
    <c:legend>
      <c:legendPos val="b"/>
      <c:layout>
        <c:manualLayout>
          <c:xMode val="edge"/>
          <c:yMode val="edge"/>
          <c:x val="0.27674846894138233"/>
          <c:y val="0.88850503062117236"/>
          <c:w val="0.6865470253718285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800026"/>
            </a:solidFill>
            <a:ln>
              <a:solidFill>
                <a:schemeClr val="tx1"/>
              </a:solidFill>
            </a:ln>
          </c:spPr>
          <c:invertIfNegative val="0"/>
          <c:cat>
            <c:strRef>
              <c:f>'Ergon Energy'!$C$112:$C$114</c:f>
              <c:strCache>
                <c:ptCount val="3"/>
                <c:pt idx="0">
                  <c:v>2010-11</c:v>
                </c:pt>
                <c:pt idx="1">
                  <c:v>2011-12</c:v>
                </c:pt>
                <c:pt idx="2">
                  <c:v>2012-13</c:v>
                </c:pt>
              </c:strCache>
            </c:strRef>
          </c:cat>
          <c:val>
            <c:numRef>
              <c:f>'Ergon Energy'!$K$112:$K$114</c:f>
              <c:numCache>
                <c:formatCode>"$"#,##0</c:formatCode>
                <c:ptCount val="3"/>
                <c:pt idx="0">
                  <c:v>429633734.38289231</c:v>
                </c:pt>
                <c:pt idx="1">
                  <c:v>385434853.70853776</c:v>
                </c:pt>
                <c:pt idx="2">
                  <c:v>638836375.71090496</c:v>
                </c:pt>
              </c:numCache>
            </c:numRef>
          </c:val>
        </c:ser>
        <c:dLbls>
          <c:showLegendKey val="0"/>
          <c:showVal val="0"/>
          <c:showCatName val="0"/>
          <c:showSerName val="0"/>
          <c:showPercent val="0"/>
          <c:showBubbleSize val="0"/>
        </c:dLbls>
        <c:gapWidth val="50"/>
        <c:axId val="352936704"/>
        <c:axId val="352938624"/>
      </c:barChart>
      <c:catAx>
        <c:axId val="352936704"/>
        <c:scaling>
          <c:orientation val="minMax"/>
        </c:scaling>
        <c:delete val="0"/>
        <c:axPos val="b"/>
        <c:title>
          <c:tx>
            <c:rich>
              <a:bodyPr/>
              <a:lstStyle/>
              <a:p>
                <a:pPr algn="l">
                  <a:defRPr/>
                </a:pPr>
                <a:r>
                  <a:rPr lang="en-AU" b="0"/>
                  <a:t>*EBIT</a:t>
                </a:r>
                <a:r>
                  <a:rPr lang="en-AU" b="0" baseline="0"/>
                  <a:t> was provided by Ergon Energy for the  2010-11 and 2011-12 regulatory years. The 2012-13 EBIT figure was not requested . For the purpose of this analysis 2012-13 EBIT is the sum of </a:t>
                </a:r>
                <a:r>
                  <a:rPr lang="en-AU" b="0" i="1" baseline="0"/>
                  <a:t>profit before tax</a:t>
                </a:r>
                <a:r>
                  <a:rPr lang="en-AU" b="0" baseline="0"/>
                  <a:t> and </a:t>
                </a:r>
                <a:r>
                  <a:rPr lang="en-AU" b="0" i="1" baseline="0"/>
                  <a:t>finance charges</a:t>
                </a:r>
                <a:r>
                  <a:rPr lang="en-AU" b="0" baseline="0"/>
                  <a:t>.</a:t>
                </a:r>
                <a:endParaRPr lang="en-AU"/>
              </a:p>
            </c:rich>
          </c:tx>
          <c:layout>
            <c:manualLayout>
              <c:xMode val="edge"/>
              <c:yMode val="edge"/>
              <c:x val="0.19082174103237096"/>
              <c:y val="0.83525444736074661"/>
            </c:manualLayout>
          </c:layout>
          <c:overlay val="0"/>
        </c:title>
        <c:majorTickMark val="out"/>
        <c:minorTickMark val="none"/>
        <c:tickLblPos val="nextTo"/>
        <c:crossAx val="352938624"/>
        <c:crosses val="autoZero"/>
        <c:auto val="1"/>
        <c:lblAlgn val="ctr"/>
        <c:lblOffset val="100"/>
        <c:noMultiLvlLbl val="0"/>
      </c:catAx>
      <c:valAx>
        <c:axId val="352938624"/>
        <c:scaling>
          <c:orientation val="minMax"/>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2936704"/>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'SA Power Networks'!$C$12</c:f>
              <c:strCache>
                <c:ptCount val="1"/>
                <c:pt idx="0">
                  <c:v>Urban (68.9%)</c:v>
                </c:pt>
              </c:strCache>
            </c:strRef>
          </c:tx>
          <c:spPr>
            <a:solidFill>
              <a:srgbClr val="1F497D">
                <a:lumMod val="60000"/>
                <a:lumOff val="40000"/>
              </a:srgbClr>
            </a:solidFill>
            <a:ln>
              <a:solidFill>
                <a:sysClr val="windowText" lastClr="000000"/>
              </a:solidFill>
            </a:ln>
          </c:spPr>
          <c:invertIfNegative val="0"/>
          <c:val>
            <c:numRef>
              <c:f>'SA Power Networks'!$C$13</c:f>
              <c:numCache>
                <c:formatCode>#,##0</c:formatCode>
                <c:ptCount val="1"/>
                <c:pt idx="0">
                  <c:v>583772</c:v>
                </c:pt>
              </c:numCache>
            </c:numRef>
          </c:val>
        </c:ser>
        <c:ser>
          <c:idx val="1"/>
          <c:order val="1"/>
          <c:tx>
            <c:strRef>
              <c:f>'SA Power Networks'!$D$12</c:f>
              <c:strCache>
                <c:ptCount val="1"/>
                <c:pt idx="0">
                  <c:v>Long rural (16.3%)</c:v>
                </c:pt>
              </c:strCache>
            </c:strRef>
          </c:tx>
          <c:spPr>
            <a:solidFill>
              <a:srgbClr val="F79646">
                <a:lumMod val="60000"/>
                <a:lumOff val="40000"/>
              </a:srgbClr>
            </a:solidFill>
            <a:ln>
              <a:solidFill>
                <a:sysClr val="windowText" lastClr="000000"/>
              </a:solidFill>
            </a:ln>
          </c:spPr>
          <c:invertIfNegative val="0"/>
          <c:val>
            <c:numRef>
              <c:f>'SA Power Networks'!$D$13</c:f>
              <c:numCache>
                <c:formatCode>#,##0</c:formatCode>
                <c:ptCount val="1"/>
                <c:pt idx="0">
                  <c:v>138068.5</c:v>
                </c:pt>
              </c:numCache>
            </c:numRef>
          </c:val>
        </c:ser>
        <c:ser>
          <c:idx val="3"/>
          <c:order val="2"/>
          <c:tx>
            <c:strRef>
              <c:f>'SA Power Networks'!$E$12</c:f>
              <c:strCache>
                <c:ptCount val="1"/>
                <c:pt idx="0">
                  <c:v>Short rural (14.3%)</c:v>
                </c:pt>
              </c:strCache>
            </c:strRef>
          </c:tx>
          <c:spPr>
            <a:solidFill>
              <a:srgbClr val="9BBB59">
                <a:lumMod val="60000"/>
                <a:lumOff val="40000"/>
              </a:srgbClr>
            </a:solidFill>
            <a:ln>
              <a:solidFill>
                <a:sysClr val="windowText" lastClr="000000"/>
              </a:solidFill>
            </a:ln>
          </c:spPr>
          <c:invertIfNegative val="0"/>
          <c:val>
            <c:numRef>
              <c:f>'SA Power Networks'!$E$13</c:f>
              <c:numCache>
                <c:formatCode>#,##0</c:formatCode>
                <c:ptCount val="1"/>
                <c:pt idx="0">
                  <c:v>120820</c:v>
                </c:pt>
              </c:numCache>
            </c:numRef>
          </c:val>
        </c:ser>
        <c:ser>
          <c:idx val="2"/>
          <c:order val="3"/>
          <c:tx>
            <c:strRef>
              <c:f>'SA Power Networks'!$F$12</c:f>
              <c:strCache>
                <c:ptCount val="1"/>
                <c:pt idx="0">
                  <c:v>CBD (0.6%)</c:v>
                </c:pt>
              </c:strCache>
            </c:strRef>
          </c:tx>
          <c:spPr>
            <a:solidFill>
              <a:sysClr val="window" lastClr="FFFFFF">
                <a:lumMod val="75000"/>
              </a:sysClr>
            </a:solidFill>
            <a:ln>
              <a:solidFill>
                <a:sysClr val="windowText" lastClr="000000"/>
              </a:solidFill>
            </a:ln>
          </c:spPr>
          <c:invertIfNegative val="0"/>
          <c:val>
            <c:numRef>
              <c:f>'SA Power Networks'!$F$13</c:f>
              <c:numCache>
                <c:formatCode>#,##0</c:formatCode>
                <c:ptCount val="1"/>
                <c:pt idx="0">
                  <c:v>5105</c:v>
                </c:pt>
              </c:numCache>
            </c:numRef>
          </c:val>
        </c:ser>
        <c:dLbls>
          <c:showLegendKey val="0"/>
          <c:showVal val="0"/>
          <c:showCatName val="0"/>
          <c:showSerName val="0"/>
          <c:showPercent val="0"/>
          <c:showBubbleSize val="0"/>
        </c:dLbls>
        <c:gapWidth val="30"/>
        <c:overlap val="100"/>
        <c:axId val="352973952"/>
        <c:axId val="352975488"/>
      </c:barChart>
      <c:catAx>
        <c:axId val="352973952"/>
        <c:scaling>
          <c:orientation val="minMax"/>
        </c:scaling>
        <c:delete val="1"/>
        <c:axPos val="l"/>
        <c:majorTickMark val="out"/>
        <c:minorTickMark val="none"/>
        <c:tickLblPos val="nextTo"/>
        <c:crossAx val="352975488"/>
        <c:crosses val="autoZero"/>
        <c:auto val="1"/>
        <c:lblAlgn val="ctr"/>
        <c:lblOffset val="100"/>
        <c:noMultiLvlLbl val="0"/>
      </c:catAx>
      <c:valAx>
        <c:axId val="352975488"/>
        <c:scaling>
          <c:orientation val="minMax"/>
          <c:max val="847766"/>
          <c:min val="0"/>
        </c:scaling>
        <c:delete val="0"/>
        <c:axPos val="b"/>
        <c:numFmt formatCode="#,##0" sourceLinked="0"/>
        <c:majorTickMark val="out"/>
        <c:minorTickMark val="none"/>
        <c:tickLblPos val="nextTo"/>
        <c:txPr>
          <a:bodyPr/>
          <a:lstStyle/>
          <a:p>
            <a:pPr>
              <a:defRPr sz="800"/>
            </a:pPr>
            <a:endParaRPr lang="en-US"/>
          </a:p>
        </c:txPr>
        <c:crossAx val="352973952"/>
        <c:crosses val="autoZero"/>
        <c:crossBetween val="between"/>
        <c:majorUnit val="200000"/>
      </c:valAx>
    </c:plotArea>
    <c:legend>
      <c:legendPos val="b"/>
      <c:layout/>
      <c:overlay val="0"/>
      <c:txPr>
        <a:bodyPr/>
        <a:lstStyle/>
        <a:p>
          <a:pPr>
            <a:defRPr sz="9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'SA Power Networks'!$D$16</c:f>
              <c:strCache>
                <c:ptCount val="1"/>
                <c:pt idx="0">
                  <c:v>Overhead (79.3%)</c:v>
                </c:pt>
              </c:strCache>
            </c:strRef>
          </c:tx>
          <c:spPr>
            <a:solidFill>
              <a:srgbClr val="4BACC6">
                <a:lumMod val="60000"/>
                <a:lumOff val="40000"/>
              </a:srgbClr>
            </a:solidFill>
            <a:ln>
              <a:solidFill>
                <a:sysClr val="windowText" lastClr="000000"/>
              </a:solidFill>
            </a:ln>
          </c:spPr>
          <c:invertIfNegative val="0"/>
          <c:dPt>
            <c:idx val="0"/>
            <c:invertIfNegative val="0"/>
            <c:bubble3D val="0"/>
          </c:dPt>
          <c:val>
            <c:numRef>
              <c:f>'SA Power Networks'!$D$17</c:f>
              <c:numCache>
                <c:formatCode>#,##0</c:formatCode>
                <c:ptCount val="1"/>
                <c:pt idx="0">
                  <c:v>69723.829999999987</c:v>
                </c:pt>
              </c:numCache>
            </c:numRef>
          </c:val>
        </c:ser>
        <c:ser>
          <c:idx val="0"/>
          <c:order val="1"/>
          <c:tx>
            <c:strRef>
              <c:f>'SA Power Networks'!$C$16</c:f>
              <c:strCache>
                <c:ptCount val="1"/>
                <c:pt idx="0">
                  <c:v>Underground (19.0%)</c:v>
                </c:pt>
              </c:strCache>
            </c:strRef>
          </c:tx>
          <c:spPr>
            <a:solidFill>
              <a:srgbClr val="EEECE1">
                <a:lumMod val="50000"/>
              </a:srgbClr>
            </a:solidFill>
            <a:ln>
              <a:solidFill>
                <a:schemeClr val="tx1"/>
              </a:solidFill>
            </a:ln>
          </c:spPr>
          <c:invertIfNegative val="0"/>
          <c:dPt>
            <c:idx val="0"/>
            <c:invertIfNegative val="0"/>
            <c:bubble3D val="0"/>
          </c:dPt>
          <c:val>
            <c:numRef>
              <c:f>'SA Power Networks'!$C$17</c:f>
              <c:numCache>
                <c:formatCode>#,##0</c:formatCode>
                <c:ptCount val="1"/>
                <c:pt idx="0">
                  <c:v>16681.580000000005</c:v>
                </c:pt>
              </c:numCache>
            </c:numRef>
          </c:val>
        </c:ser>
        <c:ser>
          <c:idx val="2"/>
          <c:order val="2"/>
          <c:tx>
            <c:strRef>
              <c:f>'SA Power Networks'!$E$16</c:f>
              <c:strCache>
                <c:ptCount val="1"/>
                <c:pt idx="0">
                  <c:v>Subtransmission (1.7%)</c:v>
                </c:pt>
              </c:strCache>
            </c:strRef>
          </c:tx>
          <c:spPr>
            <a:solidFill>
              <a:srgbClr val="C0504D">
                <a:lumMod val="60000"/>
                <a:lumOff val="40000"/>
              </a:srgbClr>
            </a:solidFill>
            <a:ln>
              <a:solidFill>
                <a:sysClr val="windowText" lastClr="000000"/>
              </a:solidFill>
            </a:ln>
          </c:spPr>
          <c:invertIfNegative val="0"/>
          <c:val>
            <c:numRef>
              <c:f>'SA Power Networks'!$E$17</c:f>
              <c:numCache>
                <c:formatCode>#,##0</c:formatCode>
                <c:ptCount val="1"/>
                <c:pt idx="0">
                  <c:v>1476.8599999999997</c:v>
                </c:pt>
              </c:numCache>
            </c:numRef>
          </c:val>
        </c:ser>
        <c:dLbls>
          <c:showLegendKey val="0"/>
          <c:showVal val="0"/>
          <c:showCatName val="0"/>
          <c:showSerName val="0"/>
          <c:showPercent val="0"/>
          <c:showBubbleSize val="0"/>
        </c:dLbls>
        <c:gapWidth val="30"/>
        <c:overlap val="100"/>
        <c:axId val="353014144"/>
        <c:axId val="353015680"/>
      </c:barChart>
      <c:catAx>
        <c:axId val="353014144"/>
        <c:scaling>
          <c:orientation val="minMax"/>
        </c:scaling>
        <c:delete val="1"/>
        <c:axPos val="l"/>
        <c:majorTickMark val="out"/>
        <c:minorTickMark val="none"/>
        <c:tickLblPos val="nextTo"/>
        <c:crossAx val="353015680"/>
        <c:crosses val="autoZero"/>
        <c:auto val="1"/>
        <c:lblAlgn val="ctr"/>
        <c:lblOffset val="100"/>
        <c:noMultiLvlLbl val="0"/>
      </c:catAx>
      <c:valAx>
        <c:axId val="353015680"/>
        <c:scaling>
          <c:orientation val="minMax"/>
          <c:max val="87882"/>
          <c:min val="0"/>
        </c:scaling>
        <c:delete val="0"/>
        <c:axPos val="b"/>
        <c:numFmt formatCode="0,000\ &quot;km&quot;" sourceLinked="0"/>
        <c:majorTickMark val="out"/>
        <c:minorTickMark val="none"/>
        <c:tickLblPos val="nextTo"/>
        <c:txPr>
          <a:bodyPr/>
          <a:lstStyle/>
          <a:p>
            <a:pPr>
              <a:defRPr sz="800"/>
            </a:pPr>
            <a:endParaRPr lang="en-US"/>
          </a:p>
        </c:txPr>
        <c:crossAx val="353014144"/>
        <c:crosses val="autoZero"/>
        <c:crossBetween val="between"/>
        <c:majorUnit val="20000"/>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 Power Networks'!$B$31</c:f>
              <c:strCache>
                <c:ptCount val="1"/>
                <c:pt idx="0">
                  <c:v>Forecast</c:v>
                </c:pt>
              </c:strCache>
            </c:strRef>
          </c:tx>
          <c:spPr>
            <a:pattFill prst="dkUpDiag">
              <a:fgClr>
                <a:srgbClr val="FD8D3C"/>
              </a:fgClr>
              <a:bgClr>
                <a:sysClr val="window" lastClr="FFFFFF"/>
              </a:bgClr>
            </a:pattFill>
            <a:ln>
              <a:solidFill>
                <a:sysClr val="windowText" lastClr="000000"/>
              </a:solidFill>
            </a:ln>
          </c:spPr>
          <c:invertIfNegative val="0"/>
          <c:cat>
            <c:multiLvlStrRef>
              <c:f>'SA Power Networks'!$C$27:$L$28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Networks'!$C$31:$L$31</c:f>
              <c:numCache>
                <c:formatCode>#,##0</c:formatCode>
                <c:ptCount val="10"/>
                <c:pt idx="0">
                  <c:v>10508.5</c:v>
                </c:pt>
                <c:pt idx="1">
                  <c:v>10689.5</c:v>
                </c:pt>
                <c:pt idx="2">
                  <c:v>10868.9</c:v>
                </c:pt>
                <c:pt idx="3">
                  <c:v>10994.6</c:v>
                </c:pt>
                <c:pt idx="4">
                  <c:v>11118.7</c:v>
                </c:pt>
                <c:pt idx="5">
                  <c:v>11618</c:v>
                </c:pt>
                <c:pt idx="6">
                  <c:v>11422</c:v>
                </c:pt>
                <c:pt idx="7">
                  <c:v>11264</c:v>
                </c:pt>
                <c:pt idx="8">
                  <c:v>11194</c:v>
                </c:pt>
                <c:pt idx="9">
                  <c:v>11194</c:v>
                </c:pt>
              </c:numCache>
            </c:numRef>
          </c:val>
        </c:ser>
        <c:ser>
          <c:idx val="1"/>
          <c:order val="1"/>
          <c:tx>
            <c:strRef>
              <c:f>'SA Power Networks'!$B$29</c:f>
              <c:strCache>
                <c:ptCount val="1"/>
                <c:pt idx="0">
                  <c:v>Actual</c:v>
                </c:pt>
              </c:strCache>
            </c:strRef>
          </c:tx>
          <c:spPr>
            <a:solidFill>
              <a:srgbClr val="FD8D3C"/>
            </a:solidFill>
            <a:ln>
              <a:solidFill>
                <a:sysClr val="windowText" lastClr="000000"/>
              </a:solidFill>
            </a:ln>
          </c:spPr>
          <c:invertIfNegative val="0"/>
          <c:cat>
            <c:multiLvlStrRef>
              <c:f>'SA Power Networks'!$C$27:$L$28</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Networks'!$C$29:$L$29</c:f>
              <c:numCache>
                <c:formatCode>#,##0</c:formatCode>
                <c:ptCount val="10"/>
                <c:pt idx="0">
                  <c:v>10958.147152019937</c:v>
                </c:pt>
                <c:pt idx="1">
                  <c:v>11261.713333004995</c:v>
                </c:pt>
                <c:pt idx="2">
                  <c:v>11347.102894501453</c:v>
                </c:pt>
                <c:pt idx="3">
                  <c:v>11265.198250808931</c:v>
                </c:pt>
                <c:pt idx="4">
                  <c:v>11503.50384997254</c:v>
                </c:pt>
                <c:pt idx="5">
                  <c:v>11247.80253196909</c:v>
                </c:pt>
                <c:pt idx="6">
                  <c:v>11062.279005553439</c:v>
                </c:pt>
                <c:pt idx="7">
                  <c:v>11008.143119016953</c:v>
                </c:pt>
              </c:numCache>
            </c:numRef>
          </c:val>
        </c:ser>
        <c:dLbls>
          <c:showLegendKey val="0"/>
          <c:showVal val="0"/>
          <c:showCatName val="0"/>
          <c:showSerName val="0"/>
          <c:showPercent val="0"/>
          <c:showBubbleSize val="0"/>
        </c:dLbls>
        <c:gapWidth val="50"/>
        <c:axId val="353122944"/>
        <c:axId val="353145216"/>
      </c:barChart>
      <c:catAx>
        <c:axId val="353122944"/>
        <c:scaling>
          <c:orientation val="minMax"/>
        </c:scaling>
        <c:delete val="0"/>
        <c:axPos val="b"/>
        <c:majorTickMark val="out"/>
        <c:minorTickMark val="none"/>
        <c:tickLblPos val="nextTo"/>
        <c:txPr>
          <a:bodyPr/>
          <a:lstStyle/>
          <a:p>
            <a:pPr>
              <a:defRPr sz="800"/>
            </a:pPr>
            <a:endParaRPr lang="en-US"/>
          </a:p>
        </c:txPr>
        <c:crossAx val="353145216"/>
        <c:crosses val="autoZero"/>
        <c:auto val="1"/>
        <c:lblAlgn val="ctr"/>
        <c:lblOffset val="100"/>
        <c:noMultiLvlLbl val="0"/>
      </c:catAx>
      <c:valAx>
        <c:axId val="353145216"/>
        <c:scaling>
          <c:orientation val="minMax"/>
          <c:max val="12000"/>
          <c:min val="0"/>
        </c:scaling>
        <c:delete val="0"/>
        <c:axPos val="l"/>
        <c:title>
          <c:tx>
            <c:rich>
              <a:bodyPr rot="0" vert="horz"/>
              <a:lstStyle/>
              <a:p>
                <a:pPr>
                  <a:defRPr sz="800"/>
                </a:pPr>
                <a:r>
                  <a:rPr lang="en-US" sz="800"/>
                  <a:t>Energy
delivered
(GWh)</a:t>
                </a:r>
              </a:p>
            </c:rich>
          </c:tx>
          <c:layout/>
          <c:overlay val="0"/>
        </c:title>
        <c:numFmt formatCode="#,##0" sourceLinked="1"/>
        <c:majorTickMark val="out"/>
        <c:minorTickMark val="none"/>
        <c:tickLblPos val="nextTo"/>
        <c:txPr>
          <a:bodyPr/>
          <a:lstStyle/>
          <a:p>
            <a:pPr>
              <a:defRPr sz="800"/>
            </a:pPr>
            <a:endParaRPr lang="en-US"/>
          </a:p>
        </c:txPr>
        <c:crossAx val="353122944"/>
        <c:crosses val="autoZero"/>
        <c:crossBetween val="between"/>
      </c:valAx>
    </c:plotArea>
    <c:legend>
      <c:legendPos val="b"/>
      <c:layout>
        <c:manualLayout>
          <c:xMode val="edge"/>
          <c:yMode val="edge"/>
          <c:x val="0.23091885389326333"/>
          <c:y val="0.89838181685622631"/>
          <c:w val="0.7409400699912511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'SA Power Networks'!$B$24</c:f>
              <c:strCache>
                <c:ptCount val="1"/>
                <c:pt idx="0">
                  <c:v>Forecast</c:v>
                </c:pt>
              </c:strCache>
            </c:strRef>
          </c:tx>
          <c:spPr>
            <a:pattFill prst="dkUpDiag">
              <a:fgClr>
                <a:srgbClr val="FD8D3C"/>
              </a:fgClr>
              <a:bgClr>
                <a:schemeClr val="bg1"/>
              </a:bgClr>
            </a:pattFill>
            <a:ln>
              <a:solidFill>
                <a:sysClr val="windowText" lastClr="000000"/>
              </a:solidFill>
            </a:ln>
          </c:spPr>
          <c:invertIfNegative val="0"/>
          <c:cat>
            <c:multiLvlStrRef>
              <c:f>'SA Power Networks'!$C$20:$L$21</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Networks'!$C$24:$L$24</c:f>
              <c:numCache>
                <c:formatCode>#,##0</c:formatCode>
                <c:ptCount val="10"/>
                <c:pt idx="0">
                  <c:v>2852</c:v>
                </c:pt>
                <c:pt idx="1">
                  <c:v>2926.4</c:v>
                </c:pt>
                <c:pt idx="2">
                  <c:v>3004.8</c:v>
                </c:pt>
                <c:pt idx="3">
                  <c:v>3090.2000000000003</c:v>
                </c:pt>
                <c:pt idx="4">
                  <c:v>3177.3999999999996</c:v>
                </c:pt>
                <c:pt idx="5">
                  <c:v>3159</c:v>
                </c:pt>
                <c:pt idx="6">
                  <c:v>3274</c:v>
                </c:pt>
                <c:pt idx="7">
                  <c:v>3361</c:v>
                </c:pt>
                <c:pt idx="8">
                  <c:v>3410</c:v>
                </c:pt>
                <c:pt idx="9">
                  <c:v>3477</c:v>
                </c:pt>
              </c:numCache>
            </c:numRef>
          </c:val>
        </c:ser>
        <c:ser>
          <c:idx val="0"/>
          <c:order val="1"/>
          <c:tx>
            <c:strRef>
              <c:f>'SA Power Networks'!$B$22</c:f>
              <c:strCache>
                <c:ptCount val="1"/>
                <c:pt idx="0">
                  <c:v>Actual</c:v>
                </c:pt>
              </c:strCache>
            </c:strRef>
          </c:tx>
          <c:spPr>
            <a:solidFill>
              <a:srgbClr val="FD8D3C"/>
            </a:solidFill>
            <a:ln>
              <a:solidFill>
                <a:schemeClr val="tx1"/>
              </a:solidFill>
            </a:ln>
          </c:spPr>
          <c:invertIfNegative val="0"/>
          <c:cat>
            <c:multiLvlStrRef>
              <c:f>'SA Power Networks'!$C$20:$L$21</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Networks'!$C$22:$L$22</c:f>
              <c:numCache>
                <c:formatCode>#,##0</c:formatCode>
                <c:ptCount val="10"/>
                <c:pt idx="0">
                  <c:v>2656</c:v>
                </c:pt>
                <c:pt idx="1">
                  <c:v>2581</c:v>
                </c:pt>
                <c:pt idx="2">
                  <c:v>2861</c:v>
                </c:pt>
                <c:pt idx="3">
                  <c:v>3104</c:v>
                </c:pt>
                <c:pt idx="4">
                  <c:v>2975</c:v>
                </c:pt>
                <c:pt idx="5">
                  <c:v>3056</c:v>
                </c:pt>
                <c:pt idx="6">
                  <c:v>2723</c:v>
                </c:pt>
                <c:pt idx="7">
                  <c:v>2889</c:v>
                </c:pt>
              </c:numCache>
            </c:numRef>
          </c:val>
        </c:ser>
        <c:dLbls>
          <c:showLegendKey val="0"/>
          <c:showVal val="0"/>
          <c:showCatName val="0"/>
          <c:showSerName val="0"/>
          <c:showPercent val="0"/>
          <c:showBubbleSize val="0"/>
        </c:dLbls>
        <c:gapWidth val="50"/>
        <c:axId val="353187328"/>
        <c:axId val="353188864"/>
      </c:barChart>
      <c:catAx>
        <c:axId val="353187328"/>
        <c:scaling>
          <c:orientation val="minMax"/>
        </c:scaling>
        <c:delete val="0"/>
        <c:axPos val="b"/>
        <c:majorTickMark val="out"/>
        <c:minorTickMark val="none"/>
        <c:tickLblPos val="nextTo"/>
        <c:txPr>
          <a:bodyPr/>
          <a:lstStyle/>
          <a:p>
            <a:pPr>
              <a:defRPr sz="800"/>
            </a:pPr>
            <a:endParaRPr lang="en-US"/>
          </a:p>
        </c:txPr>
        <c:crossAx val="353188864"/>
        <c:crosses val="autoZero"/>
        <c:auto val="1"/>
        <c:lblAlgn val="ctr"/>
        <c:lblOffset val="100"/>
        <c:noMultiLvlLbl val="0"/>
      </c:catAx>
      <c:valAx>
        <c:axId val="353188864"/>
        <c:scaling>
          <c:orientation val="minMax"/>
        </c:scaling>
        <c:delete val="0"/>
        <c:axPos val="l"/>
        <c:title>
          <c:tx>
            <c:rich>
              <a:bodyPr rot="0" vert="horz"/>
              <a:lstStyle/>
              <a:p>
                <a:pPr>
                  <a:defRPr/>
                </a:pPr>
                <a:r>
                  <a:rPr lang="en-US"/>
                  <a:t>Maximum</a:t>
                </a:r>
              </a:p>
              <a:p>
                <a:pPr>
                  <a:defRPr/>
                </a:pPr>
                <a:r>
                  <a:rPr lang="en-US"/>
                  <a:t>demand
(MW)</a:t>
                </a:r>
              </a:p>
            </c:rich>
          </c:tx>
          <c:layout/>
          <c:overlay val="0"/>
        </c:title>
        <c:numFmt formatCode="#,##0" sourceLinked="1"/>
        <c:majorTickMark val="out"/>
        <c:minorTickMark val="none"/>
        <c:tickLblPos val="nextTo"/>
        <c:crossAx val="353187328"/>
        <c:crosses val="autoZero"/>
        <c:crossBetween val="between"/>
      </c:valAx>
    </c:plotArea>
    <c:legend>
      <c:legendPos val="b"/>
      <c:layout>
        <c:manualLayout>
          <c:xMode val="edge"/>
          <c:yMode val="edge"/>
          <c:x val="0.23055555555555557"/>
          <c:y val="0.89838181685622631"/>
          <c:w val="0.7353845144356956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 Power Networks'!$T$65</c:f>
              <c:strCache>
                <c:ptCount val="1"/>
                <c:pt idx="0">
                  <c:v>Forecast (inc. amendments)
</c:v>
                </c:pt>
              </c:strCache>
            </c:strRef>
          </c:tx>
          <c:spPr>
            <a:pattFill prst="dkUpDiag">
              <a:fgClr>
                <a:srgbClr val="FD8D3C"/>
              </a:fgClr>
              <a:bgClr>
                <a:sysClr val="window" lastClr="FFFFFF"/>
              </a:bgClr>
            </a:pattFill>
            <a:ln>
              <a:solidFill>
                <a:schemeClr val="tx1"/>
              </a:solidFill>
            </a:ln>
          </c:spPr>
          <c:invertIfNegative val="0"/>
          <c:cat>
            <c:multiLvlStrRef>
              <c:f>'SA Power Networks'!$B$66:$C$75</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Networks'!$T$66:$T$75</c:f>
              <c:numCache>
                <c:formatCode>"$"#,##0</c:formatCode>
                <c:ptCount val="10"/>
                <c:pt idx="0">
                  <c:v>184486844.19742188</c:v>
                </c:pt>
                <c:pt idx="1">
                  <c:v>185733376.92848554</c:v>
                </c:pt>
                <c:pt idx="2">
                  <c:v>179500713.27316722</c:v>
                </c:pt>
                <c:pt idx="3">
                  <c:v>192276230.97237271</c:v>
                </c:pt>
                <c:pt idx="4">
                  <c:v>201938302.43231314</c:v>
                </c:pt>
                <c:pt idx="5">
                  <c:v>320316141.75815785</c:v>
                </c:pt>
                <c:pt idx="6">
                  <c:v>369521972.42638183</c:v>
                </c:pt>
                <c:pt idx="7">
                  <c:v>332537892.35609686</c:v>
                </c:pt>
                <c:pt idx="8">
                  <c:v>333281825.00118876</c:v>
                </c:pt>
                <c:pt idx="9">
                  <c:v>331687683.61884892</c:v>
                </c:pt>
              </c:numCache>
            </c:numRef>
          </c:val>
        </c:ser>
        <c:ser>
          <c:idx val="1"/>
          <c:order val="1"/>
          <c:tx>
            <c:strRef>
              <c:f>'SA Power Networks'!$AB$65</c:f>
              <c:strCache>
                <c:ptCount val="1"/>
                <c:pt idx="0">
                  <c:v>Actual</c:v>
                </c:pt>
              </c:strCache>
            </c:strRef>
          </c:tx>
          <c:spPr>
            <a:solidFill>
              <a:srgbClr val="FD8D3C"/>
            </a:solidFill>
            <a:ln>
              <a:solidFill>
                <a:sysClr val="windowText" lastClr="000000"/>
              </a:solidFill>
            </a:ln>
          </c:spPr>
          <c:invertIfNegative val="0"/>
          <c:cat>
            <c:multiLvlStrRef>
              <c:f>'SA Power Networks'!$B$66:$C$75</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Networks'!$AB$66:$AB$75</c:f>
              <c:numCache>
                <c:formatCode>"$"#,##0</c:formatCode>
                <c:ptCount val="10"/>
                <c:pt idx="0">
                  <c:v>155254397.69005769</c:v>
                </c:pt>
                <c:pt idx="1">
                  <c:v>150201503.39099666</c:v>
                </c:pt>
                <c:pt idx="2">
                  <c:v>135051953.78217703</c:v>
                </c:pt>
                <c:pt idx="3">
                  <c:v>180872291.24031651</c:v>
                </c:pt>
                <c:pt idx="4">
                  <c:v>174405051.5293304</c:v>
                </c:pt>
                <c:pt idx="5">
                  <c:v>272039099.46424532</c:v>
                </c:pt>
                <c:pt idx="6">
                  <c:v>320202292.66014361</c:v>
                </c:pt>
                <c:pt idx="7">
                  <c:v>321918000</c:v>
                </c:pt>
                <c:pt idx="8">
                  <c:v>#N/A</c:v>
                </c:pt>
                <c:pt idx="9">
                  <c:v>#N/A</c:v>
                </c:pt>
              </c:numCache>
            </c:numRef>
          </c:val>
        </c:ser>
        <c:dLbls>
          <c:showLegendKey val="0"/>
          <c:showVal val="0"/>
          <c:showCatName val="0"/>
          <c:showSerName val="0"/>
          <c:showPercent val="0"/>
          <c:showBubbleSize val="0"/>
        </c:dLbls>
        <c:gapWidth val="50"/>
        <c:axId val="353207040"/>
        <c:axId val="353208576"/>
      </c:barChart>
      <c:catAx>
        <c:axId val="353207040"/>
        <c:scaling>
          <c:orientation val="minMax"/>
        </c:scaling>
        <c:delete val="0"/>
        <c:axPos val="b"/>
        <c:majorTickMark val="out"/>
        <c:minorTickMark val="none"/>
        <c:tickLblPos val="nextTo"/>
        <c:txPr>
          <a:bodyPr/>
          <a:lstStyle/>
          <a:p>
            <a:pPr>
              <a:defRPr sz="750"/>
            </a:pPr>
            <a:endParaRPr lang="en-US"/>
          </a:p>
        </c:txPr>
        <c:crossAx val="353208576"/>
        <c:crosses val="autoZero"/>
        <c:auto val="1"/>
        <c:lblAlgn val="ctr"/>
        <c:lblOffset val="100"/>
        <c:noMultiLvlLbl val="0"/>
      </c:catAx>
      <c:valAx>
        <c:axId val="353208576"/>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53207040"/>
        <c:crosses val="autoZero"/>
        <c:crossBetween val="between"/>
        <c:majorUnit val="100000000"/>
      </c:valAx>
    </c:plotArea>
    <c:legend>
      <c:legendPos val="b"/>
      <c:layout>
        <c:manualLayout>
          <c:xMode val="edge"/>
          <c:yMode val="edge"/>
          <c:x val="0.27397069116360456"/>
          <c:y val="0.88850503062117236"/>
          <c:w val="0.5254359142607174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 Power Networks'!$I$78</c:f>
              <c:strCache>
                <c:ptCount val="1"/>
                <c:pt idx="0">
                  <c:v>Forecast</c:v>
                </c:pt>
              </c:strCache>
            </c:strRef>
          </c:tx>
          <c:spPr>
            <a:pattFill prst="dkUpDiag">
              <a:fgClr>
                <a:srgbClr val="FD8D3C"/>
              </a:fgClr>
              <a:bgClr>
                <a:sysClr val="window" lastClr="FFFFFF"/>
              </a:bgClr>
            </a:pattFill>
            <a:ln>
              <a:solidFill>
                <a:schemeClr val="tx1"/>
              </a:solidFill>
            </a:ln>
          </c:spPr>
          <c:invertIfNegative val="0"/>
          <c:cat>
            <c:multiLvlStrRef>
              <c:f>'SA Power Networks'!$B$79:$C$93</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Reliability</c:v>
                  </c:pt>
                  <c:pt idx="9">
                    <c:v>Environmental, safety, statutory obligations</c:v>
                  </c:pt>
                  <c:pt idx="12">
                    <c:v>Non-system</c:v>
                  </c:pt>
                </c:lvl>
              </c:multiLvlStrCache>
            </c:multiLvlStrRef>
          </c:cat>
          <c:val>
            <c:numRef>
              <c:f>'SA Power Networks'!$I$79:$I$93</c:f>
              <c:numCache>
                <c:formatCode>"$"#,##0</c:formatCode>
                <c:ptCount val="15"/>
                <c:pt idx="0">
                  <c:v>45355392.700060092</c:v>
                </c:pt>
                <c:pt idx="1">
                  <c:v>47046092.748150289</c:v>
                </c:pt>
                <c:pt idx="2">
                  <c:v>47333000</c:v>
                </c:pt>
                <c:pt idx="3">
                  <c:v>168531127.08633953</c:v>
                </c:pt>
                <c:pt idx="4">
                  <c:v>210890771.05902791</c:v>
                </c:pt>
                <c:pt idx="5">
                  <c:v>159894000</c:v>
                </c:pt>
                <c:pt idx="6">
                  <c:v>17266087.409675177</c:v>
                </c:pt>
                <c:pt idx="7">
                  <c:v>21948938.421834216</c:v>
                </c:pt>
                <c:pt idx="8">
                  <c:v>22671000</c:v>
                </c:pt>
                <c:pt idx="9">
                  <c:v>24949208.800226912</c:v>
                </c:pt>
                <c:pt idx="10">
                  <c:v>33443620.412507858</c:v>
                </c:pt>
                <c:pt idx="11">
                  <c:v>36411000</c:v>
                </c:pt>
                <c:pt idx="12">
                  <c:v>72303557.547958747</c:v>
                </c:pt>
                <c:pt idx="13">
                  <c:v>58935883.385983072</c:v>
                </c:pt>
                <c:pt idx="14">
                  <c:v>70094000</c:v>
                </c:pt>
              </c:numCache>
            </c:numRef>
          </c:val>
        </c:ser>
        <c:ser>
          <c:idx val="1"/>
          <c:order val="1"/>
          <c:tx>
            <c:strRef>
              <c:f>'SA Power Networks'!$J$78</c:f>
              <c:strCache>
                <c:ptCount val="1"/>
                <c:pt idx="0">
                  <c:v>Actual</c:v>
                </c:pt>
              </c:strCache>
            </c:strRef>
          </c:tx>
          <c:spPr>
            <a:solidFill>
              <a:srgbClr val="FD8D3C"/>
            </a:solidFill>
            <a:ln>
              <a:solidFill>
                <a:sysClr val="windowText" lastClr="000000"/>
              </a:solidFill>
            </a:ln>
          </c:spPr>
          <c:invertIfNegative val="0"/>
          <c:cat>
            <c:multiLvlStrRef>
              <c:f>'SA Power Networks'!$B$79:$C$93</c:f>
              <c:multiLvlStrCache>
                <c:ptCount val="15"/>
                <c:lvl>
                  <c:pt idx="0">
                    <c:v>2010-11</c:v>
                  </c:pt>
                  <c:pt idx="1">
                    <c:v>2011-12</c:v>
                  </c:pt>
                  <c:pt idx="2">
                    <c:v>2012-13</c:v>
                  </c:pt>
                  <c:pt idx="3">
                    <c:v>2010-11</c:v>
                  </c:pt>
                  <c:pt idx="4">
                    <c:v>2011-12</c:v>
                  </c:pt>
                  <c:pt idx="5">
                    <c:v>2012-13</c:v>
                  </c:pt>
                  <c:pt idx="6">
                    <c:v>2010-11</c:v>
                  </c:pt>
                  <c:pt idx="7">
                    <c:v>2011-12</c:v>
                  </c:pt>
                  <c:pt idx="8">
                    <c:v>2012-13</c:v>
                  </c:pt>
                  <c:pt idx="9">
                    <c:v>2010-11</c:v>
                  </c:pt>
                  <c:pt idx="10">
                    <c:v>2011-12</c:v>
                  </c:pt>
                  <c:pt idx="11">
                    <c:v>2012-13</c:v>
                  </c:pt>
                  <c:pt idx="12">
                    <c:v>2010-11</c:v>
                  </c:pt>
                  <c:pt idx="13">
                    <c:v>2011-12</c:v>
                  </c:pt>
                  <c:pt idx="14">
                    <c:v>2012-13</c:v>
                  </c:pt>
                </c:lvl>
                <c:lvl>
                  <c:pt idx="0">
                    <c:v>Replacement</c:v>
                  </c:pt>
                  <c:pt idx="3">
                    <c:v>Augmentation</c:v>
                  </c:pt>
                  <c:pt idx="6">
                    <c:v>Reliability</c:v>
                  </c:pt>
                  <c:pt idx="9">
                    <c:v>Environmental, safety, statutory obligations</c:v>
                  </c:pt>
                  <c:pt idx="12">
                    <c:v>Non-system</c:v>
                  </c:pt>
                </c:lvl>
              </c:multiLvlStrCache>
            </c:multiLvlStrRef>
          </c:cat>
          <c:val>
            <c:numRef>
              <c:f>'SA Power Networks'!$J$79:$J$93</c:f>
              <c:numCache>
                <c:formatCode>"$"#,##0</c:formatCode>
                <c:ptCount val="15"/>
                <c:pt idx="0">
                  <c:v>55951950.710929222</c:v>
                </c:pt>
                <c:pt idx="1">
                  <c:v>67281737.217039794</c:v>
                </c:pt>
                <c:pt idx="2">
                  <c:v>80016000</c:v>
                </c:pt>
                <c:pt idx="3">
                  <c:v>130484156.06580317</c:v>
                </c:pt>
                <c:pt idx="4">
                  <c:v>141339097.92875075</c:v>
                </c:pt>
                <c:pt idx="5">
                  <c:v>140256000</c:v>
                </c:pt>
                <c:pt idx="6">
                  <c:v>12648206.205404196</c:v>
                </c:pt>
                <c:pt idx="7">
                  <c:v>22645276.595443197</c:v>
                </c:pt>
                <c:pt idx="8">
                  <c:v>23007000</c:v>
                </c:pt>
                <c:pt idx="9">
                  <c:v>15259813.008272411</c:v>
                </c:pt>
                <c:pt idx="10">
                  <c:v>25810635.64370675</c:v>
                </c:pt>
                <c:pt idx="11">
                  <c:v>19385000</c:v>
                </c:pt>
                <c:pt idx="12">
                  <c:v>56724768.86492449</c:v>
                </c:pt>
                <c:pt idx="13">
                  <c:v>63170443.985107534</c:v>
                </c:pt>
                <c:pt idx="14">
                  <c:v>62466000</c:v>
                </c:pt>
              </c:numCache>
            </c:numRef>
          </c:val>
        </c:ser>
        <c:dLbls>
          <c:showLegendKey val="0"/>
          <c:showVal val="0"/>
          <c:showCatName val="0"/>
          <c:showSerName val="0"/>
          <c:showPercent val="0"/>
          <c:showBubbleSize val="0"/>
        </c:dLbls>
        <c:gapWidth val="50"/>
        <c:axId val="353309056"/>
        <c:axId val="353310592"/>
      </c:barChart>
      <c:catAx>
        <c:axId val="353309056"/>
        <c:scaling>
          <c:orientation val="minMax"/>
        </c:scaling>
        <c:delete val="0"/>
        <c:axPos val="b"/>
        <c:majorTickMark val="out"/>
        <c:minorTickMark val="none"/>
        <c:tickLblPos val="nextTo"/>
        <c:txPr>
          <a:bodyPr/>
          <a:lstStyle/>
          <a:p>
            <a:pPr>
              <a:defRPr sz="600"/>
            </a:pPr>
            <a:endParaRPr lang="en-US"/>
          </a:p>
        </c:txPr>
        <c:crossAx val="353310592"/>
        <c:crosses val="autoZero"/>
        <c:auto val="1"/>
        <c:lblAlgn val="ctr"/>
        <c:lblOffset val="100"/>
        <c:noMultiLvlLbl val="0"/>
      </c:catAx>
      <c:valAx>
        <c:axId val="353310592"/>
        <c:scaling>
          <c:orientation val="minMax"/>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3309056"/>
        <c:crosses val="autoZero"/>
        <c:crossBetween val="between"/>
      </c:valAx>
    </c:plotArea>
    <c:legend>
      <c:legendPos val="b"/>
      <c:layout>
        <c:manualLayout>
          <c:xMode val="edge"/>
          <c:yMode val="edge"/>
          <c:x val="0.2573040244969379"/>
          <c:y val="0.88850503062117236"/>
          <c:w val="0.71038451443569561"/>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 Power Networks'!$K$96</c:f>
              <c:strCache>
                <c:ptCount val="1"/>
                <c:pt idx="0">
                  <c:v>Forecast (inc. amendments)
</c:v>
                </c:pt>
              </c:strCache>
            </c:strRef>
          </c:tx>
          <c:spPr>
            <a:pattFill prst="dkUpDiag">
              <a:fgClr>
                <a:srgbClr val="FD8D3C"/>
              </a:fgClr>
              <a:bgClr>
                <a:sysClr val="window" lastClr="FFFFFF"/>
              </a:bgClr>
            </a:pattFill>
            <a:ln>
              <a:solidFill>
                <a:schemeClr val="tx1"/>
              </a:solidFill>
            </a:ln>
          </c:spPr>
          <c:invertIfNegative val="0"/>
          <c:cat>
            <c:multiLvlStrRef>
              <c:f>'SA Power Networks'!$B$97:$C$104</c:f>
              <c:multiLvlStrCache>
                <c:ptCount val="8"/>
                <c:lvl>
                  <c:pt idx="0">
                    <c:v>2005-06</c:v>
                  </c:pt>
                  <c:pt idx="1">
                    <c:v>2006-07</c:v>
                  </c:pt>
                  <c:pt idx="2">
                    <c:v>2007-08</c:v>
                  </c:pt>
                  <c:pt idx="3">
                    <c:v>2008-09</c:v>
                  </c:pt>
                  <c:pt idx="4">
                    <c:v>2009-10</c:v>
                  </c:pt>
                  <c:pt idx="5">
                    <c:v>2010-11*</c:v>
                  </c:pt>
                  <c:pt idx="6">
                    <c:v>2011-12*</c:v>
                  </c:pt>
                  <c:pt idx="7">
                    <c:v>2012-13*</c:v>
                  </c:pt>
                </c:lvl>
                <c:lvl>
                  <c:pt idx="0">
                    <c:v>ESCOSA</c:v>
                  </c:pt>
                  <c:pt idx="5">
                    <c:v>AER</c:v>
                  </c:pt>
                </c:lvl>
              </c:multiLvlStrCache>
            </c:multiLvlStrRef>
          </c:cat>
          <c:val>
            <c:numRef>
              <c:f>'SA Power Networks'!$K$97:$K$104</c:f>
              <c:numCache>
                <c:formatCode>"$"#,##0</c:formatCode>
                <c:ptCount val="8"/>
                <c:pt idx="0">
                  <c:v>3076442780.2651162</c:v>
                </c:pt>
                <c:pt idx="1">
                  <c:v>3073949714.802989</c:v>
                </c:pt>
                <c:pt idx="2">
                  <c:v>3061484387.4923525</c:v>
                </c:pt>
                <c:pt idx="3">
                  <c:v>3058991322.0302248</c:v>
                </c:pt>
                <c:pt idx="4">
                  <c:v>3070210116.609798</c:v>
                </c:pt>
                <c:pt idx="5">
                  <c:v>3320065118.9531689</c:v>
                </c:pt>
                <c:pt idx="6">
                  <c:v>3488187040.2218728</c:v>
                </c:pt>
                <c:pt idx="7">
                  <c:v>3658434578.8284321</c:v>
                </c:pt>
              </c:numCache>
            </c:numRef>
          </c:val>
        </c:ser>
        <c:ser>
          <c:idx val="1"/>
          <c:order val="1"/>
          <c:tx>
            <c:strRef>
              <c:f>'SA Power Networks'!$Q$96</c:f>
              <c:strCache>
                <c:ptCount val="1"/>
                <c:pt idx="0">
                  <c:v>Actual</c:v>
                </c:pt>
              </c:strCache>
            </c:strRef>
          </c:tx>
          <c:spPr>
            <a:solidFill>
              <a:srgbClr val="FD8D3C"/>
            </a:solidFill>
            <a:ln>
              <a:solidFill>
                <a:sysClr val="windowText" lastClr="000000"/>
              </a:solidFill>
            </a:ln>
          </c:spPr>
          <c:invertIfNegative val="0"/>
          <c:cat>
            <c:multiLvlStrRef>
              <c:f>'SA Power Networks'!$B$97:$C$104</c:f>
              <c:multiLvlStrCache>
                <c:ptCount val="8"/>
                <c:lvl>
                  <c:pt idx="0">
                    <c:v>2005-06</c:v>
                  </c:pt>
                  <c:pt idx="1">
                    <c:v>2006-07</c:v>
                  </c:pt>
                  <c:pt idx="2">
                    <c:v>2007-08</c:v>
                  </c:pt>
                  <c:pt idx="3">
                    <c:v>2008-09</c:v>
                  </c:pt>
                  <c:pt idx="4">
                    <c:v>2009-10</c:v>
                  </c:pt>
                  <c:pt idx="5">
                    <c:v>2010-11*</c:v>
                  </c:pt>
                  <c:pt idx="6">
                    <c:v>2011-12*</c:v>
                  </c:pt>
                  <c:pt idx="7">
                    <c:v>2012-13*</c:v>
                  </c:pt>
                </c:lvl>
                <c:lvl>
                  <c:pt idx="0">
                    <c:v>ESCOSA</c:v>
                  </c:pt>
                  <c:pt idx="5">
                    <c:v>AER</c:v>
                  </c:pt>
                </c:lvl>
              </c:multiLvlStrCache>
            </c:multiLvlStrRef>
          </c:cat>
          <c:val>
            <c:numRef>
              <c:f>'SA Power Networks'!$Q$97:$Q$104</c:f>
              <c:numCache>
                <c:formatCode>"$"#,##0</c:formatCode>
                <c:ptCount val="8"/>
                <c:pt idx="0">
                  <c:v>3334999972.0935712</c:v>
                </c:pt>
                <c:pt idx="1">
                  <c:v>3284099162.4464474</c:v>
                </c:pt>
                <c:pt idx="2">
                  <c:v>3296639300.1307631</c:v>
                </c:pt>
                <c:pt idx="3">
                  <c:v>3239134105.6922331</c:v>
                </c:pt>
                <c:pt idx="4">
                  <c:v>3171017695.5569248</c:v>
                </c:pt>
                <c:pt idx="5">
                  <c:v>3261788303.864861</c:v>
                </c:pt>
                <c:pt idx="6">
                  <c:v>3350557242.2918715</c:v>
                </c:pt>
                <c:pt idx="7">
                  <c:v>3512244429.6007667</c:v>
                </c:pt>
              </c:numCache>
            </c:numRef>
          </c:val>
        </c:ser>
        <c:dLbls>
          <c:showLegendKey val="0"/>
          <c:showVal val="0"/>
          <c:showCatName val="0"/>
          <c:showSerName val="0"/>
          <c:showPercent val="0"/>
          <c:showBubbleSize val="0"/>
        </c:dLbls>
        <c:gapWidth val="50"/>
        <c:axId val="353351936"/>
        <c:axId val="353357824"/>
      </c:barChart>
      <c:catAx>
        <c:axId val="353351936"/>
        <c:scaling>
          <c:orientation val="minMax"/>
        </c:scaling>
        <c:delete val="0"/>
        <c:axPos val="b"/>
        <c:majorTickMark val="out"/>
        <c:minorTickMark val="none"/>
        <c:tickLblPos val="nextTo"/>
        <c:txPr>
          <a:bodyPr/>
          <a:lstStyle/>
          <a:p>
            <a:pPr>
              <a:defRPr sz="800"/>
            </a:pPr>
            <a:endParaRPr lang="en-US"/>
          </a:p>
        </c:txPr>
        <c:crossAx val="353357824"/>
        <c:crosses val="autoZero"/>
        <c:auto val="1"/>
        <c:lblAlgn val="ctr"/>
        <c:lblOffset val="100"/>
        <c:noMultiLvlLbl val="0"/>
      </c:catAx>
      <c:valAx>
        <c:axId val="353357824"/>
        <c:scaling>
          <c:orientation val="minMax"/>
          <c:min val="0"/>
        </c:scaling>
        <c:delete val="0"/>
        <c:axPos val="l"/>
        <c:title>
          <c:tx>
            <c:rich>
              <a:bodyPr rot="0" vert="horz"/>
              <a:lstStyle/>
              <a:p>
                <a:pPr>
                  <a:defRPr sz="800"/>
                </a:pPr>
                <a:r>
                  <a:rPr lang="en-AU"/>
                  <a:t>Regulatory</a:t>
                </a:r>
              </a:p>
              <a:p>
                <a:pPr>
                  <a:defRPr sz="800"/>
                </a:pPr>
                <a:r>
                  <a:rPr lang="en-AU"/>
                  <a:t>asset base</a:t>
                </a:r>
              </a:p>
              <a:p>
                <a:pPr>
                  <a:defRPr sz="800"/>
                </a:pPr>
                <a:r>
                  <a:rPr lang="en-AU"/>
                  <a:t>($Dec 2012)</a:t>
                </a:r>
              </a:p>
            </c:rich>
          </c:tx>
          <c:layout/>
          <c:overlay val="0"/>
        </c:title>
        <c:numFmt formatCode="&quot;$&quot;0,,,&quot;bn&quot;" sourceLinked="0"/>
        <c:majorTickMark val="out"/>
        <c:minorTickMark val="none"/>
        <c:tickLblPos val="nextTo"/>
        <c:txPr>
          <a:bodyPr/>
          <a:lstStyle/>
          <a:p>
            <a:pPr>
              <a:defRPr sz="800"/>
            </a:pPr>
            <a:endParaRPr lang="en-US"/>
          </a:p>
        </c:txPr>
        <c:crossAx val="353351936"/>
        <c:crosses val="autoZero"/>
        <c:crossBetween val="between"/>
        <c:majorUnit val="1000000000"/>
      </c:valAx>
    </c:plotArea>
    <c:legend>
      <c:legendPos val="b"/>
      <c:layout>
        <c:manualLayout>
          <c:xMode val="edge"/>
          <c:yMode val="edge"/>
          <c:x val="0.23641206820978364"/>
          <c:y val="0.88850503062117236"/>
          <c:w val="0.73549813315589074"/>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userShapes r:id="rId3"/>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 Power Networks'!$T$52</c:f>
              <c:strCache>
                <c:ptCount val="1"/>
                <c:pt idx="0">
                  <c:v>Forecast (inc. amendments)
</c:v>
                </c:pt>
              </c:strCache>
            </c:strRef>
          </c:tx>
          <c:spPr>
            <a:pattFill prst="dkUpDiag">
              <a:fgClr>
                <a:srgbClr val="FD8D3C"/>
              </a:fgClr>
              <a:bgClr>
                <a:sysClr val="window" lastClr="FFFFFF"/>
              </a:bgClr>
            </a:pattFill>
            <a:ln>
              <a:solidFill>
                <a:schemeClr val="tx1"/>
              </a:solidFill>
            </a:ln>
          </c:spPr>
          <c:invertIfNegative val="0"/>
          <c:cat>
            <c:multiLvlStrRef>
              <c:f>'SA Power Networks'!$B$53:$C$62</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Networks'!$T$53:$T$62</c:f>
              <c:numCache>
                <c:formatCode>"$"#,##0</c:formatCode>
                <c:ptCount val="10"/>
                <c:pt idx="0">
                  <c:v>154570058.651894</c:v>
                </c:pt>
                <c:pt idx="1">
                  <c:v>162049255.03827599</c:v>
                </c:pt>
                <c:pt idx="2">
                  <c:v>164870288.52079669</c:v>
                </c:pt>
                <c:pt idx="3">
                  <c:v>164073407.81012321</c:v>
                </c:pt>
                <c:pt idx="4">
                  <c:v>165191687.6159339</c:v>
                </c:pt>
                <c:pt idx="5">
                  <c:v>205254255.23689312</c:v>
                </c:pt>
                <c:pt idx="6">
                  <c:v>202837995.64372149</c:v>
                </c:pt>
                <c:pt idx="7">
                  <c:v>222775760.62205651</c:v>
                </c:pt>
                <c:pt idx="8">
                  <c:v>227601864.84828329</c:v>
                </c:pt>
                <c:pt idx="9">
                  <c:v>229804016.23919287</c:v>
                </c:pt>
              </c:numCache>
            </c:numRef>
          </c:val>
        </c:ser>
        <c:ser>
          <c:idx val="1"/>
          <c:order val="1"/>
          <c:tx>
            <c:strRef>
              <c:f>'SA Power Networks'!$Z$52</c:f>
              <c:strCache>
                <c:ptCount val="1"/>
                <c:pt idx="0">
                  <c:v>Actual</c:v>
                </c:pt>
              </c:strCache>
            </c:strRef>
          </c:tx>
          <c:spPr>
            <a:solidFill>
              <a:srgbClr val="FD8D3C"/>
            </a:solidFill>
            <a:ln>
              <a:solidFill>
                <a:sysClr val="windowText" lastClr="000000"/>
              </a:solidFill>
            </a:ln>
          </c:spPr>
          <c:invertIfNegative val="0"/>
          <c:cat>
            <c:multiLvlStrRef>
              <c:f>'SA Power Networks'!$B$53:$C$62</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Networks'!$Z$53:$Z$62</c:f>
              <c:numCache>
                <c:formatCode>"$"#,##0</c:formatCode>
                <c:ptCount val="10"/>
                <c:pt idx="0">
                  <c:v>135567749.15854025</c:v>
                </c:pt>
                <c:pt idx="1">
                  <c:v>139500975.21061313</c:v>
                </c:pt>
                <c:pt idx="2">
                  <c:v>158688880.909127</c:v>
                </c:pt>
                <c:pt idx="3">
                  <c:v>172274722.66226429</c:v>
                </c:pt>
                <c:pt idx="4">
                  <c:v>170220422.30502063</c:v>
                </c:pt>
                <c:pt idx="5">
                  <c:v>217587202.17235345</c:v>
                </c:pt>
                <c:pt idx="6">
                  <c:v>210936179.98154491</c:v>
                </c:pt>
                <c:pt idx="7">
                  <c:v>225445000</c:v>
                </c:pt>
                <c:pt idx="8">
                  <c:v>#N/A</c:v>
                </c:pt>
                <c:pt idx="9">
                  <c:v>#N/A</c:v>
                </c:pt>
              </c:numCache>
            </c:numRef>
          </c:val>
        </c:ser>
        <c:dLbls>
          <c:showLegendKey val="0"/>
          <c:showVal val="0"/>
          <c:showCatName val="0"/>
          <c:showSerName val="0"/>
          <c:showPercent val="0"/>
          <c:showBubbleSize val="0"/>
        </c:dLbls>
        <c:gapWidth val="50"/>
        <c:axId val="353392128"/>
        <c:axId val="353393664"/>
      </c:barChart>
      <c:catAx>
        <c:axId val="353392128"/>
        <c:scaling>
          <c:orientation val="minMax"/>
        </c:scaling>
        <c:delete val="0"/>
        <c:axPos val="b"/>
        <c:majorTickMark val="out"/>
        <c:minorTickMark val="none"/>
        <c:tickLblPos val="nextTo"/>
        <c:txPr>
          <a:bodyPr/>
          <a:lstStyle/>
          <a:p>
            <a:pPr>
              <a:defRPr sz="750"/>
            </a:pPr>
            <a:endParaRPr lang="en-US"/>
          </a:p>
        </c:txPr>
        <c:crossAx val="353393664"/>
        <c:crosses val="autoZero"/>
        <c:auto val="1"/>
        <c:lblAlgn val="ctr"/>
        <c:lblOffset val="100"/>
        <c:noMultiLvlLbl val="0"/>
      </c:catAx>
      <c:valAx>
        <c:axId val="353393664"/>
        <c:scaling>
          <c:orientation val="minMax"/>
          <c:min val="0"/>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3392128"/>
        <c:crosses val="autoZero"/>
        <c:crossBetween val="between"/>
      </c:valAx>
    </c:plotArea>
    <c:legend>
      <c:legendPos val="b"/>
      <c:layout>
        <c:manualLayout>
          <c:xMode val="edge"/>
          <c:yMode val="edge"/>
          <c:x val="0.2656373578302712"/>
          <c:y val="0.88850503062117236"/>
          <c:w val="0.68932480314960631"/>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ysClr val="windowText" lastClr="000000"/>
            </a:solidFill>
            <a:ln>
              <a:solidFill>
                <a:schemeClr val="tx1"/>
              </a:solidFill>
            </a:ln>
          </c:spPr>
          <c:invertIfNegative val="0"/>
          <c:cat>
            <c:strRef>
              <c:f>'SAIFI - Network'!$D$3:$J$3</c:f>
              <c:strCache>
                <c:ptCount val="7"/>
                <c:pt idx="0">
                  <c:v>2007</c:v>
                </c:pt>
                <c:pt idx="1">
                  <c:v>2008</c:v>
                </c:pt>
                <c:pt idx="2">
                  <c:v>2009</c:v>
                </c:pt>
                <c:pt idx="3">
                  <c:v>2010</c:v>
                </c:pt>
                <c:pt idx="4">
                  <c:v>2011</c:v>
                </c:pt>
                <c:pt idx="5">
                  <c:v>2012</c:v>
                </c:pt>
                <c:pt idx="6">
                  <c:v>2013</c:v>
                </c:pt>
              </c:strCache>
            </c:strRef>
          </c:cat>
          <c:val>
            <c:numRef>
              <c:f>'SAIFI - Network'!$D$17:$J$17</c:f>
              <c:numCache>
                <c:formatCode>#,##0.00</c:formatCode>
                <c:ptCount val="7"/>
                <c:pt idx="0">
                  <c:v>1.5668882059201934</c:v>
                </c:pt>
                <c:pt idx="1">
                  <c:v>1.4970812319784517</c:v>
                </c:pt>
                <c:pt idx="2">
                  <c:v>1.6778372707795206</c:v>
                </c:pt>
                <c:pt idx="3">
                  <c:v>1.5226418526209711</c:v>
                </c:pt>
                <c:pt idx="4">
                  <c:v>1.3541502872853972</c:v>
                </c:pt>
                <c:pt idx="5">
                  <c:v>1.2969581021069609</c:v>
                </c:pt>
                <c:pt idx="6">
                  <c:v>1.2574243559536291</c:v>
                </c:pt>
              </c:numCache>
            </c:numRef>
          </c:val>
        </c:ser>
        <c:dLbls>
          <c:showLegendKey val="0"/>
          <c:showVal val="0"/>
          <c:showCatName val="0"/>
          <c:showSerName val="0"/>
          <c:showPercent val="0"/>
          <c:showBubbleSize val="0"/>
        </c:dLbls>
        <c:gapWidth val="50"/>
        <c:axId val="375135616"/>
        <c:axId val="375317632"/>
      </c:barChart>
      <c:catAx>
        <c:axId val="375135616"/>
        <c:scaling>
          <c:orientation val="minMax"/>
        </c:scaling>
        <c:delete val="0"/>
        <c:axPos val="b"/>
        <c:majorTickMark val="out"/>
        <c:minorTickMark val="none"/>
        <c:tickLblPos val="nextTo"/>
        <c:txPr>
          <a:bodyPr/>
          <a:lstStyle/>
          <a:p>
            <a:pPr>
              <a:defRPr sz="700"/>
            </a:pPr>
            <a:endParaRPr lang="en-US"/>
          </a:p>
        </c:txPr>
        <c:crossAx val="375317632"/>
        <c:crosses val="autoZero"/>
        <c:auto val="1"/>
        <c:lblAlgn val="ctr"/>
        <c:lblOffset val="100"/>
        <c:noMultiLvlLbl val="0"/>
      </c:catAx>
      <c:valAx>
        <c:axId val="375317632"/>
        <c:scaling>
          <c:orientation val="minMax"/>
          <c:min val="0"/>
        </c:scaling>
        <c:delete val="0"/>
        <c:axPos val="l"/>
        <c:title>
          <c:tx>
            <c:rich>
              <a:bodyPr rot="0" vert="horz"/>
              <a:lstStyle/>
              <a:p>
                <a:pPr>
                  <a:defRPr sz="800"/>
                </a:pPr>
                <a:r>
                  <a:rPr lang="en-AU"/>
                  <a:t>Unplanned</a:t>
                </a:r>
              </a:p>
              <a:p>
                <a:pPr>
                  <a:defRPr sz="800"/>
                </a:pPr>
                <a:r>
                  <a:rPr lang="en-AU"/>
                  <a:t>(normalised)</a:t>
                </a:r>
              </a:p>
              <a:p>
                <a:pPr>
                  <a:defRPr sz="800"/>
                </a:pPr>
                <a:r>
                  <a:rPr lang="en-AU"/>
                  <a:t>sustained</a:t>
                </a:r>
              </a:p>
              <a:p>
                <a:pPr>
                  <a:defRPr sz="800"/>
                </a:pPr>
                <a:r>
                  <a:rPr lang="en-AU"/>
                  <a:t>interruptions</a:t>
                </a:r>
              </a:p>
              <a:p>
                <a:pPr>
                  <a:defRPr sz="800"/>
                </a:pPr>
                <a:r>
                  <a:rPr lang="en-AU"/>
                  <a:t>to supply</a:t>
                </a:r>
              </a:p>
              <a:p>
                <a:pPr>
                  <a:defRPr sz="800"/>
                </a:pPr>
                <a:r>
                  <a:rPr lang="en-AU"/>
                  <a:t>(SAIFI)</a:t>
                </a:r>
              </a:p>
            </c:rich>
          </c:tx>
          <c:layout/>
          <c:overlay val="0"/>
        </c:title>
        <c:numFmt formatCode="0.0" sourceLinked="0"/>
        <c:majorTickMark val="out"/>
        <c:minorTickMark val="none"/>
        <c:tickLblPos val="nextTo"/>
        <c:txPr>
          <a:bodyPr/>
          <a:lstStyle/>
          <a:p>
            <a:pPr>
              <a:defRPr sz="800"/>
            </a:pPr>
            <a:endParaRPr lang="en-US"/>
          </a:p>
        </c:txPr>
        <c:crossAx val="375135616"/>
        <c:crosses val="autoZero"/>
        <c:crossBetween val="between"/>
        <c:majorUnit val="0.30000000000000004"/>
      </c:valAx>
      <c:spPr>
        <a:noFill/>
        <a:ln w="25400">
          <a:noFill/>
        </a:ln>
      </c:spPr>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 Power Networks'!$T$39</c:f>
              <c:strCache>
                <c:ptCount val="1"/>
                <c:pt idx="0">
                  <c:v>Forecast (inc. amendments)
</c:v>
                </c:pt>
              </c:strCache>
            </c:strRef>
          </c:tx>
          <c:spPr>
            <a:pattFill prst="dkUpDiag">
              <a:fgClr>
                <a:srgbClr val="FD8D3C"/>
              </a:fgClr>
              <a:bgClr>
                <a:sysClr val="window" lastClr="FFFFFF"/>
              </a:bgClr>
            </a:pattFill>
            <a:ln>
              <a:solidFill>
                <a:schemeClr val="tx1"/>
              </a:solidFill>
            </a:ln>
          </c:spPr>
          <c:invertIfNegative val="0"/>
          <c:cat>
            <c:multiLvlStrRef>
              <c:f>'SA Power Networks'!$B$40:$C$49</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Networks'!$T$40:$T$49</c:f>
              <c:numCache>
                <c:formatCode>"$"#,##0</c:formatCode>
                <c:ptCount val="10"/>
                <c:pt idx="0">
                  <c:v>548935618.77850461</c:v>
                </c:pt>
                <c:pt idx="1">
                  <c:v>561999281.80005169</c:v>
                </c:pt>
                <c:pt idx="2">
                  <c:v>574801172.94807553</c:v>
                </c:pt>
                <c:pt idx="3">
                  <c:v>586244343.41923988</c:v>
                </c:pt>
                <c:pt idx="4">
                  <c:v>600539949.18299723</c:v>
                </c:pt>
                <c:pt idx="5">
                  <c:v>641471379.49792659</c:v>
                </c:pt>
                <c:pt idx="6">
                  <c:v>734706319.21599221</c:v>
                </c:pt>
                <c:pt idx="7">
                  <c:v>751463269.5794369</c:v>
                </c:pt>
                <c:pt idx="8">
                  <c:v>794371165.04452801</c:v>
                </c:pt>
                <c:pt idx="9">
                  <c:v>836358953.52954137</c:v>
                </c:pt>
              </c:numCache>
            </c:numRef>
          </c:val>
        </c:ser>
        <c:ser>
          <c:idx val="1"/>
          <c:order val="1"/>
          <c:tx>
            <c:strRef>
              <c:f>'SA Power Networks'!$Z$39</c:f>
              <c:strCache>
                <c:ptCount val="1"/>
                <c:pt idx="0">
                  <c:v>Actual</c:v>
                </c:pt>
              </c:strCache>
            </c:strRef>
          </c:tx>
          <c:spPr>
            <a:solidFill>
              <a:srgbClr val="FD8D3C"/>
            </a:solidFill>
            <a:ln>
              <a:solidFill>
                <a:sysClr val="windowText" lastClr="000000"/>
              </a:solidFill>
            </a:ln>
          </c:spPr>
          <c:invertIfNegative val="0"/>
          <c:cat>
            <c:multiLvlStrRef>
              <c:f>'SA Power Networks'!$B$40:$C$49</c:f>
              <c:multiLvlStrCache>
                <c:ptCount val="10"/>
                <c:lvl>
                  <c:pt idx="0">
                    <c:v>2005-06</c:v>
                  </c:pt>
                  <c:pt idx="1">
                    <c:v>2006-07</c:v>
                  </c:pt>
                  <c:pt idx="2">
                    <c:v>2007-08</c:v>
                  </c:pt>
                  <c:pt idx="3">
                    <c:v>2008-09</c:v>
                  </c:pt>
                  <c:pt idx="4">
                    <c:v>2009-10</c:v>
                  </c:pt>
                  <c:pt idx="5">
                    <c:v>2010-11</c:v>
                  </c:pt>
                  <c:pt idx="6">
                    <c:v>2011-12</c:v>
                  </c:pt>
                  <c:pt idx="7">
                    <c:v>2012-13</c:v>
                  </c:pt>
                  <c:pt idx="8">
                    <c:v>2013-14</c:v>
                  </c:pt>
                  <c:pt idx="9">
                    <c:v>2014-15</c:v>
                  </c:pt>
                </c:lvl>
                <c:lvl>
                  <c:pt idx="0">
                    <c:v>ESCOSA</c:v>
                  </c:pt>
                  <c:pt idx="5">
                    <c:v>AER</c:v>
                  </c:pt>
                </c:lvl>
              </c:multiLvlStrCache>
            </c:multiLvlStrRef>
          </c:cat>
          <c:val>
            <c:numRef>
              <c:f>'SA Power Networks'!$Z$40:$Z$49</c:f>
              <c:numCache>
                <c:formatCode>"$"#,##0</c:formatCode>
                <c:ptCount val="10"/>
                <c:pt idx="0">
                  <c:v>555184199.54620993</c:v>
                </c:pt>
                <c:pt idx="1">
                  <c:v>564650356.86503732</c:v>
                </c:pt>
                <c:pt idx="2">
                  <c:v>570580061.77424514</c:v>
                </c:pt>
                <c:pt idx="3">
                  <c:v>582822276.70491791</c:v>
                </c:pt>
                <c:pt idx="4">
                  <c:v>596472692.85940349</c:v>
                </c:pt>
                <c:pt idx="5">
                  <c:v>645078380.57859814</c:v>
                </c:pt>
                <c:pt idx="6">
                  <c:v>789664223.84627259</c:v>
                </c:pt>
                <c:pt idx="7">
                  <c:v>817055000</c:v>
                </c:pt>
                <c:pt idx="8">
                  <c:v>#N/A</c:v>
                </c:pt>
                <c:pt idx="9">
                  <c:v>#N/A</c:v>
                </c:pt>
              </c:numCache>
            </c:numRef>
          </c:val>
        </c:ser>
        <c:dLbls>
          <c:showLegendKey val="0"/>
          <c:showVal val="0"/>
          <c:showCatName val="0"/>
          <c:showSerName val="0"/>
          <c:showPercent val="0"/>
          <c:showBubbleSize val="0"/>
        </c:dLbls>
        <c:gapWidth val="50"/>
        <c:axId val="353427840"/>
        <c:axId val="353429376"/>
      </c:barChart>
      <c:catAx>
        <c:axId val="353427840"/>
        <c:scaling>
          <c:orientation val="minMax"/>
        </c:scaling>
        <c:delete val="0"/>
        <c:axPos val="b"/>
        <c:majorTickMark val="out"/>
        <c:minorTickMark val="none"/>
        <c:tickLblPos val="nextTo"/>
        <c:txPr>
          <a:bodyPr/>
          <a:lstStyle/>
          <a:p>
            <a:pPr>
              <a:defRPr sz="750"/>
            </a:pPr>
            <a:endParaRPr lang="en-US"/>
          </a:p>
        </c:txPr>
        <c:crossAx val="353429376"/>
        <c:crosses val="autoZero"/>
        <c:auto val="1"/>
        <c:lblAlgn val="ctr"/>
        <c:lblOffset val="100"/>
        <c:noMultiLvlLbl val="0"/>
      </c:catAx>
      <c:valAx>
        <c:axId val="353429376"/>
        <c:scaling>
          <c:orientation val="minMax"/>
          <c:max val="900000000"/>
          <c:min val="0"/>
        </c:scaling>
        <c:delete val="0"/>
        <c:axPos val="l"/>
        <c:title>
          <c:tx>
            <c:rich>
              <a:bodyPr rot="0" vert="horz"/>
              <a:lstStyle/>
              <a:p>
                <a:pPr>
                  <a:defRPr sz="800"/>
                </a:pPr>
                <a:r>
                  <a:rPr lang="en-US" sz="800"/>
                  <a:t>Revenue
($Dec 2012) </a:t>
                </a:r>
              </a:p>
            </c:rich>
          </c:tx>
          <c:layout/>
          <c:overlay val="0"/>
        </c:title>
        <c:numFmt formatCode="&quot;$&quot;0,,&quot;m&quot;" sourceLinked="0"/>
        <c:majorTickMark val="out"/>
        <c:minorTickMark val="none"/>
        <c:tickLblPos val="nextTo"/>
        <c:txPr>
          <a:bodyPr/>
          <a:lstStyle/>
          <a:p>
            <a:pPr>
              <a:defRPr sz="800"/>
            </a:pPr>
            <a:endParaRPr lang="en-US"/>
          </a:p>
        </c:txPr>
        <c:crossAx val="353427840"/>
        <c:crosses val="autoZero"/>
        <c:crossBetween val="between"/>
        <c:majorUnit val="200000000"/>
      </c:valAx>
    </c:plotArea>
    <c:legend>
      <c:legendPos val="b"/>
      <c:layout>
        <c:manualLayout>
          <c:xMode val="edge"/>
          <c:yMode val="edge"/>
          <c:x val="0.27674846894138233"/>
          <c:y val="0.88850503062117236"/>
          <c:w val="0.5254359142607174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rgbClr val="FD8D3C"/>
            </a:solidFill>
            <a:ln>
              <a:solidFill>
                <a:schemeClr val="tx1"/>
              </a:solidFill>
            </a:ln>
          </c:spPr>
          <c:invertIfNegative val="0"/>
          <c:cat>
            <c:strRef>
              <c:f>'SA Power Networks'!$C$108:$C$110</c:f>
              <c:strCache>
                <c:ptCount val="3"/>
                <c:pt idx="0">
                  <c:v>2010-11</c:v>
                </c:pt>
                <c:pt idx="1">
                  <c:v>2011-12</c:v>
                </c:pt>
                <c:pt idx="2">
                  <c:v>2012-13</c:v>
                </c:pt>
              </c:strCache>
            </c:strRef>
          </c:cat>
          <c:val>
            <c:numRef>
              <c:f>'SA Power Networks'!$K$108:$K$110</c:f>
              <c:numCache>
                <c:formatCode>"$"#,##0</c:formatCode>
                <c:ptCount val="3"/>
                <c:pt idx="0">
                  <c:v>337855981.90876293</c:v>
                </c:pt>
                <c:pt idx="1">
                  <c:v>482192756.29449004</c:v>
                </c:pt>
                <c:pt idx="2">
                  <c:v>478511000</c:v>
                </c:pt>
              </c:numCache>
            </c:numRef>
          </c:val>
        </c:ser>
        <c:dLbls>
          <c:showLegendKey val="0"/>
          <c:showVal val="0"/>
          <c:showCatName val="0"/>
          <c:showSerName val="0"/>
          <c:showPercent val="0"/>
          <c:showBubbleSize val="0"/>
        </c:dLbls>
        <c:gapWidth val="50"/>
        <c:axId val="353454720"/>
        <c:axId val="353460992"/>
      </c:barChart>
      <c:catAx>
        <c:axId val="353454720"/>
        <c:scaling>
          <c:orientation val="minMax"/>
        </c:scaling>
        <c:delete val="0"/>
        <c:axPos val="b"/>
        <c:title>
          <c:tx>
            <c:rich>
              <a:bodyPr/>
              <a:lstStyle/>
              <a:p>
                <a:pPr algn="l">
                  <a:defRPr/>
                </a:pPr>
                <a:r>
                  <a:rPr lang="en-AU" b="0"/>
                  <a:t>*EBIT</a:t>
                </a:r>
                <a:r>
                  <a:rPr lang="en-AU" b="0" baseline="0"/>
                  <a:t> was provided by SA Power Networks for the  2010-11 and 2011-12 regulatory years. The 2012-13 EBIT figure was not requested . For the purpose of this analysis 2012-13 EBIT is the sum of </a:t>
                </a:r>
                <a:r>
                  <a:rPr lang="en-AU" b="0" i="1" baseline="0"/>
                  <a:t>profit before tax</a:t>
                </a:r>
                <a:r>
                  <a:rPr lang="en-AU" b="0" baseline="0"/>
                  <a:t> + </a:t>
                </a:r>
                <a:r>
                  <a:rPr lang="en-AU" b="0" i="1" baseline="0"/>
                  <a:t>finance charges</a:t>
                </a:r>
                <a:r>
                  <a:rPr lang="en-AU" b="0" baseline="0"/>
                  <a:t>.</a:t>
                </a:r>
                <a:endParaRPr lang="en-AU"/>
              </a:p>
            </c:rich>
          </c:tx>
          <c:layout>
            <c:manualLayout>
              <c:xMode val="edge"/>
              <c:yMode val="edge"/>
              <c:x val="0.19082174103237096"/>
              <c:y val="0.83525444736074661"/>
            </c:manualLayout>
          </c:layout>
          <c:overlay val="0"/>
        </c:title>
        <c:majorTickMark val="out"/>
        <c:minorTickMark val="none"/>
        <c:tickLblPos val="nextTo"/>
        <c:crossAx val="353460992"/>
        <c:crosses val="autoZero"/>
        <c:auto val="1"/>
        <c:lblAlgn val="ctr"/>
        <c:lblOffset val="100"/>
        <c:noMultiLvlLbl val="0"/>
      </c:catAx>
      <c:valAx>
        <c:axId val="353460992"/>
        <c:scaling>
          <c:orientation val="minMax"/>
          <c:max val="550000000"/>
          <c:min val="0"/>
        </c:scaling>
        <c:delete val="0"/>
        <c:axPos val="l"/>
        <c:title>
          <c:tx>
            <c:rich>
              <a:bodyPr rot="0" vert="horz"/>
              <a:lstStyle/>
              <a:p>
                <a:pPr>
                  <a:defRPr/>
                </a:pPr>
                <a:r>
                  <a:rPr lang="en-US"/>
                  <a:t>EBIT</a:t>
                </a:r>
              </a:p>
              <a:p>
                <a:pPr>
                  <a:defRPr/>
                </a:pPr>
                <a:r>
                  <a:rPr lang="en-US"/>
                  <a:t>($Dec 2012)</a:t>
                </a:r>
              </a:p>
            </c:rich>
          </c:tx>
          <c:layout/>
          <c:overlay val="0"/>
        </c:title>
        <c:numFmt formatCode="&quot;$&quot;0,,&quot;m&quot;" sourceLinked="0"/>
        <c:majorTickMark val="out"/>
        <c:minorTickMark val="none"/>
        <c:tickLblPos val="nextTo"/>
        <c:crossAx val="353454720"/>
        <c:crosses val="autoZero"/>
        <c:crossBetween val="between"/>
        <c:majorUnit val="100000000"/>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736001749781276E-2"/>
          <c:y val="7.4966437972651165E-2"/>
          <c:w val="0.89253477690288718"/>
          <c:h val="0.27592877429452284"/>
        </c:manualLayout>
      </c:layout>
      <c:barChart>
        <c:barDir val="bar"/>
        <c:grouping val="stacked"/>
        <c:varyColors val="0"/>
        <c:ser>
          <c:idx val="3"/>
          <c:order val="0"/>
          <c:tx>
            <c:strRef>
              <c:f>TasNetworks!$E$13</c:f>
              <c:strCache>
                <c:ptCount val="1"/>
                <c:pt idx="0">
                  <c:v>Urban (67.3%)</c:v>
                </c:pt>
              </c:strCache>
            </c:strRef>
          </c:tx>
          <c:spPr>
            <a:solidFill>
              <a:srgbClr val="1F497D">
                <a:lumMod val="60000"/>
                <a:lumOff val="40000"/>
              </a:srgbClr>
            </a:solidFill>
            <a:ln>
              <a:solidFill>
                <a:sysClr val="windowText" lastClr="000000"/>
              </a:solidFill>
            </a:ln>
          </c:spPr>
          <c:invertIfNegative val="0"/>
          <c:val>
            <c:numRef>
              <c:f>TasNetworks!$E$14</c:f>
              <c:numCache>
                <c:formatCode>#,##0</c:formatCode>
                <c:ptCount val="1"/>
                <c:pt idx="0">
                  <c:v>187768</c:v>
                </c:pt>
              </c:numCache>
            </c:numRef>
          </c:val>
        </c:ser>
        <c:ser>
          <c:idx val="4"/>
          <c:order val="1"/>
          <c:tx>
            <c:strRef>
              <c:f>TasNetworks!$G$13</c:f>
              <c:strCache>
                <c:ptCount val="1"/>
                <c:pt idx="0">
                  <c:v>Low Density Rural (15.4%)</c:v>
                </c:pt>
              </c:strCache>
            </c:strRef>
          </c:tx>
          <c:spPr>
            <a:solidFill>
              <a:srgbClr val="F79646">
                <a:lumMod val="60000"/>
                <a:lumOff val="40000"/>
              </a:srgbClr>
            </a:solidFill>
            <a:ln>
              <a:solidFill>
                <a:sysClr val="windowText" lastClr="000000"/>
              </a:solidFill>
            </a:ln>
          </c:spPr>
          <c:invertIfNegative val="0"/>
          <c:val>
            <c:numRef>
              <c:f>TasNetworks!$G$14</c:f>
              <c:numCache>
                <c:formatCode>#,##0</c:formatCode>
                <c:ptCount val="1"/>
                <c:pt idx="0">
                  <c:v>42956</c:v>
                </c:pt>
              </c:numCache>
            </c:numRef>
          </c:val>
        </c:ser>
        <c:ser>
          <c:idx val="2"/>
          <c:order val="2"/>
          <c:tx>
            <c:strRef>
              <c:f>TasNetworks!$F$13</c:f>
              <c:strCache>
                <c:ptCount val="1"/>
                <c:pt idx="0">
                  <c:v>High Density Rural (15.0%)</c:v>
                </c:pt>
              </c:strCache>
            </c:strRef>
          </c:tx>
          <c:spPr>
            <a:solidFill>
              <a:srgbClr val="9BBB59">
                <a:lumMod val="60000"/>
                <a:lumOff val="40000"/>
              </a:srgbClr>
            </a:solidFill>
            <a:ln>
              <a:solidFill>
                <a:sysClr val="windowText" lastClr="000000"/>
              </a:solidFill>
            </a:ln>
          </c:spPr>
          <c:invertIfNegative val="0"/>
          <c:val>
            <c:numRef>
              <c:f>TasNetworks!$F$14</c:f>
              <c:numCache>
                <c:formatCode>#,##0</c:formatCode>
                <c:ptCount val="1"/>
                <c:pt idx="0">
                  <c:v>41927</c:v>
                </c:pt>
              </c:numCache>
            </c:numRef>
          </c:val>
        </c:ser>
        <c:ser>
          <c:idx val="1"/>
          <c:order val="3"/>
          <c:tx>
            <c:strRef>
              <c:f>TasNetworks!$D$13</c:f>
              <c:strCache>
                <c:ptCount val="1"/>
                <c:pt idx="0">
                  <c:v>High Density Commercial (1.7%)</c:v>
                </c:pt>
              </c:strCache>
            </c:strRef>
          </c:tx>
          <c:spPr>
            <a:solidFill>
              <a:sysClr val="window" lastClr="FFFFFF">
                <a:lumMod val="75000"/>
              </a:sysClr>
            </a:solidFill>
            <a:ln>
              <a:solidFill>
                <a:sysClr val="windowText" lastClr="000000"/>
              </a:solidFill>
            </a:ln>
          </c:spPr>
          <c:invertIfNegative val="0"/>
          <c:val>
            <c:numRef>
              <c:f>TasNetworks!$D$14</c:f>
              <c:numCache>
                <c:formatCode>#,##0</c:formatCode>
                <c:ptCount val="1"/>
                <c:pt idx="0">
                  <c:v>4652</c:v>
                </c:pt>
              </c:numCache>
            </c:numRef>
          </c:val>
        </c:ser>
        <c:ser>
          <c:idx val="0"/>
          <c:order val="4"/>
          <c:tx>
            <c:strRef>
              <c:f>TasNetworks!$C$13</c:f>
              <c:strCache>
                <c:ptCount val="1"/>
                <c:pt idx="0">
                  <c:v>Critical Infrastructure (0.7%)</c:v>
                </c:pt>
              </c:strCache>
            </c:strRef>
          </c:tx>
          <c:spPr>
            <a:solidFill>
              <a:srgbClr val="8064A2">
                <a:lumMod val="60000"/>
                <a:lumOff val="40000"/>
              </a:srgbClr>
            </a:solidFill>
            <a:ln>
              <a:solidFill>
                <a:sysClr val="windowText" lastClr="000000"/>
              </a:solidFill>
            </a:ln>
          </c:spPr>
          <c:invertIfNegative val="0"/>
          <c:val>
            <c:numRef>
              <c:f>TasNetworks!$C$14</c:f>
              <c:numCache>
                <c:formatCode>#,##0</c:formatCode>
                <c:ptCount val="1"/>
                <c:pt idx="0">
                  <c:v>1827</c:v>
                </c:pt>
              </c:numCache>
            </c:numRef>
          </c:val>
        </c:ser>
        <c:dLbls>
          <c:showLegendKey val="0"/>
          <c:showVal val="0"/>
          <c:showCatName val="0"/>
          <c:showSerName val="0"/>
          <c:showPercent val="0"/>
          <c:showBubbleSize val="0"/>
        </c:dLbls>
        <c:gapWidth val="30"/>
        <c:overlap val="100"/>
        <c:axId val="353644928"/>
        <c:axId val="353646464"/>
      </c:barChart>
      <c:catAx>
        <c:axId val="353644928"/>
        <c:scaling>
          <c:orientation val="minMax"/>
        </c:scaling>
        <c:delete val="1"/>
        <c:axPos val="l"/>
        <c:majorTickMark val="out"/>
        <c:minorTickMark val="none"/>
        <c:tickLblPos val="nextTo"/>
        <c:crossAx val="353646464"/>
        <c:crosses val="autoZero"/>
        <c:auto val="1"/>
        <c:lblAlgn val="ctr"/>
        <c:lblOffset val="100"/>
        <c:noMultiLvlLbl val="0"/>
      </c:catAx>
      <c:valAx>
        <c:axId val="353646464"/>
        <c:scaling>
          <c:orientation val="minMax"/>
          <c:max val="279130"/>
          <c:min val="0"/>
        </c:scaling>
        <c:delete val="0"/>
        <c:axPos val="b"/>
        <c:numFmt formatCode="#,##0" sourceLinked="0"/>
        <c:majorTickMark val="out"/>
        <c:minorTickMark val="none"/>
        <c:tickLblPos val="nextTo"/>
        <c:txPr>
          <a:bodyPr/>
          <a:lstStyle/>
          <a:p>
            <a:pPr>
              <a:defRPr sz="800"/>
            </a:pPr>
            <a:endParaRPr lang="en-US"/>
          </a:p>
        </c:txPr>
        <c:crossAx val="353644928"/>
        <c:crosses val="autoZero"/>
        <c:crossBetween val="between"/>
        <c:majorUnit val="50000"/>
      </c:valAx>
    </c:plotArea>
    <c:legend>
      <c:legendPos val="b"/>
      <c:layout>
        <c:manualLayout>
          <c:xMode val="edge"/>
          <c:yMode val="edge"/>
          <c:x val="2.6206692913385825E-2"/>
          <c:y val="0.59832493439382595"/>
          <c:w val="0.95314216972878385"/>
          <c:h val="0.36491115338689767"/>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TasNetworks!$D$17</c:f>
              <c:strCache>
                <c:ptCount val="1"/>
                <c:pt idx="0">
                  <c:v>Overhead (89.4%)</c:v>
                </c:pt>
              </c:strCache>
            </c:strRef>
          </c:tx>
          <c:spPr>
            <a:solidFill>
              <a:srgbClr val="4BACC6">
                <a:lumMod val="60000"/>
                <a:lumOff val="40000"/>
              </a:srgbClr>
            </a:solidFill>
            <a:ln>
              <a:solidFill>
                <a:sysClr val="windowText" lastClr="000000"/>
              </a:solidFill>
            </a:ln>
          </c:spPr>
          <c:invertIfNegative val="0"/>
          <c:dPt>
            <c:idx val="0"/>
            <c:invertIfNegative val="0"/>
            <c:bubble3D val="0"/>
          </c:dPt>
          <c:val>
            <c:numRef>
              <c:f>TasNetworks!$D$18</c:f>
              <c:numCache>
                <c:formatCode>#,##0</c:formatCode>
                <c:ptCount val="1"/>
                <c:pt idx="0">
                  <c:v>19962.199999999997</c:v>
                </c:pt>
              </c:numCache>
            </c:numRef>
          </c:val>
        </c:ser>
        <c:ser>
          <c:idx val="0"/>
          <c:order val="1"/>
          <c:tx>
            <c:strRef>
              <c:f>TasNetworks!$C$17</c:f>
              <c:strCache>
                <c:ptCount val="1"/>
                <c:pt idx="0">
                  <c:v>Underground (10.6%)</c:v>
                </c:pt>
              </c:strCache>
            </c:strRef>
          </c:tx>
          <c:spPr>
            <a:solidFill>
              <a:srgbClr val="EEECE1">
                <a:lumMod val="50000"/>
              </a:srgbClr>
            </a:solidFill>
            <a:ln>
              <a:solidFill>
                <a:schemeClr val="tx1"/>
              </a:solidFill>
            </a:ln>
          </c:spPr>
          <c:invertIfNegative val="0"/>
          <c:dPt>
            <c:idx val="0"/>
            <c:invertIfNegative val="0"/>
            <c:bubble3D val="0"/>
          </c:dPt>
          <c:val>
            <c:numRef>
              <c:f>TasNetworks!$C$18</c:f>
              <c:numCache>
                <c:formatCode>#,##0</c:formatCode>
                <c:ptCount val="1"/>
                <c:pt idx="0">
                  <c:v>2373.6999999999998</c:v>
                </c:pt>
              </c:numCache>
            </c:numRef>
          </c:val>
        </c:ser>
        <c:dLbls>
          <c:showLegendKey val="0"/>
          <c:showVal val="0"/>
          <c:showCatName val="0"/>
          <c:showSerName val="0"/>
          <c:showPercent val="0"/>
          <c:showBubbleSize val="0"/>
        </c:dLbls>
        <c:gapWidth val="30"/>
        <c:overlap val="100"/>
        <c:axId val="353663232"/>
        <c:axId val="353689600"/>
      </c:barChart>
      <c:catAx>
        <c:axId val="353663232"/>
        <c:scaling>
          <c:orientation val="minMax"/>
        </c:scaling>
        <c:delete val="1"/>
        <c:axPos val="l"/>
        <c:majorTickMark val="out"/>
        <c:minorTickMark val="none"/>
        <c:tickLblPos val="nextTo"/>
        <c:crossAx val="353689600"/>
        <c:crosses val="autoZero"/>
        <c:auto val="1"/>
        <c:lblAlgn val="ctr"/>
        <c:lblOffset val="100"/>
        <c:noMultiLvlLbl val="0"/>
      </c:catAx>
      <c:valAx>
        <c:axId val="353689600"/>
        <c:scaling>
          <c:orientation val="minMax"/>
          <c:max val="22336"/>
          <c:min val="0"/>
        </c:scaling>
        <c:delete val="0"/>
        <c:axPos val="b"/>
        <c:numFmt formatCode="0,000\ &quot;km&quot;" sourceLinked="0"/>
        <c:majorTickMark val="out"/>
        <c:minorTickMark val="none"/>
        <c:tickLblPos val="nextTo"/>
        <c:txPr>
          <a:bodyPr/>
          <a:lstStyle/>
          <a:p>
            <a:pPr>
              <a:defRPr sz="800"/>
            </a:pPr>
            <a:endParaRPr lang="en-US"/>
          </a:p>
        </c:txPr>
        <c:crossAx val="353663232"/>
        <c:crosses val="autoZero"/>
        <c:crossBetween val="between"/>
        <c:majorUnit val="5000"/>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TasNetworks!$B$25</c:f>
              <c:strCache>
                <c:ptCount val="1"/>
                <c:pt idx="0">
                  <c:v>Forecast</c:v>
                </c:pt>
              </c:strCache>
            </c:strRef>
          </c:tx>
          <c:spPr>
            <a:pattFill prst="dkUpDiag">
              <a:fgClr>
                <a:srgbClr val="E7E1EF"/>
              </a:fgClr>
              <a:bgClr>
                <a:sysClr val="windowText" lastClr="000000"/>
              </a:bgClr>
            </a:pattFill>
            <a:ln>
              <a:solidFill>
                <a:sysClr val="windowText" lastClr="000000"/>
              </a:solidFill>
            </a:ln>
          </c:spPr>
          <c:invertIfNegative val="0"/>
          <c:cat>
            <c:multiLvlStrRef>
              <c:f>TasNetworks!$C$21:$K$22</c:f>
              <c:multiLvlStrCache>
                <c:ptCount val="9"/>
                <c:lvl>
                  <c:pt idx="0">
                    <c:v>2004-05</c:v>
                  </c:pt>
                  <c:pt idx="1">
                    <c:v>2005-06</c:v>
                  </c:pt>
                  <c:pt idx="2">
                    <c:v>2006-07</c:v>
                  </c:pt>
                  <c:pt idx="3">
                    <c:v>2007-08</c:v>
                  </c:pt>
                  <c:pt idx="4">
                    <c:v>2008-09</c:v>
                  </c:pt>
                  <c:pt idx="5">
                    <c:v>2009-10</c:v>
                  </c:pt>
                  <c:pt idx="6">
                    <c:v>2010-11</c:v>
                  </c:pt>
                  <c:pt idx="7">
                    <c:v>2011-12</c:v>
                  </c:pt>
                  <c:pt idx="8">
                    <c:v>2012-13</c:v>
                  </c:pt>
                </c:lvl>
                <c:lvl>
                  <c:pt idx="0">
                    <c:v>OTTER</c:v>
                  </c:pt>
                  <c:pt idx="8">
                    <c:v>AER</c:v>
                  </c:pt>
                </c:lvl>
              </c:multiLvlStrCache>
            </c:multiLvlStrRef>
          </c:cat>
          <c:val>
            <c:numRef>
              <c:f>TasNetworks!$C$25:$K$25</c:f>
              <c:numCache>
                <c:formatCode>General</c:formatCode>
                <c:ptCount val="9"/>
                <c:pt idx="3" formatCode="#,##0">
                  <c:v>4110.2700000000004</c:v>
                </c:pt>
                <c:pt idx="4" formatCode="#,##0">
                  <c:v>4693.99</c:v>
                </c:pt>
                <c:pt idx="5" formatCode="#,##0">
                  <c:v>4625.2</c:v>
                </c:pt>
                <c:pt idx="6" formatCode="#,##0">
                  <c:v>4601.13</c:v>
                </c:pt>
                <c:pt idx="7" formatCode="#,##0">
                  <c:v>4559.75</c:v>
                </c:pt>
              </c:numCache>
            </c:numRef>
          </c:val>
        </c:ser>
        <c:ser>
          <c:idx val="0"/>
          <c:order val="1"/>
          <c:tx>
            <c:strRef>
              <c:f>TasNetworks!$B$23</c:f>
              <c:strCache>
                <c:ptCount val="1"/>
                <c:pt idx="0">
                  <c:v>Actual</c:v>
                </c:pt>
              </c:strCache>
            </c:strRef>
          </c:tx>
          <c:spPr>
            <a:solidFill>
              <a:srgbClr val="E7E1EF"/>
            </a:solidFill>
            <a:ln>
              <a:solidFill>
                <a:sysClr val="windowText" lastClr="000000"/>
              </a:solidFill>
            </a:ln>
          </c:spPr>
          <c:invertIfNegative val="0"/>
          <c:cat>
            <c:multiLvlStrRef>
              <c:f>TasNetworks!$C$21:$K$22</c:f>
              <c:multiLvlStrCache>
                <c:ptCount val="9"/>
                <c:lvl>
                  <c:pt idx="0">
                    <c:v>2004-05</c:v>
                  </c:pt>
                  <c:pt idx="1">
                    <c:v>2005-06</c:v>
                  </c:pt>
                  <c:pt idx="2">
                    <c:v>2006-07</c:v>
                  </c:pt>
                  <c:pt idx="3">
                    <c:v>2007-08</c:v>
                  </c:pt>
                  <c:pt idx="4">
                    <c:v>2008-09</c:v>
                  </c:pt>
                  <c:pt idx="5">
                    <c:v>2009-10</c:v>
                  </c:pt>
                  <c:pt idx="6">
                    <c:v>2010-11</c:v>
                  </c:pt>
                  <c:pt idx="7">
                    <c:v>2011-12</c:v>
                  </c:pt>
                  <c:pt idx="8">
                    <c:v>2012-13</c:v>
                  </c:pt>
                </c:lvl>
                <c:lvl>
                  <c:pt idx="0">
                    <c:v>OTTER</c:v>
                  </c:pt>
                  <c:pt idx="8">
                    <c:v>AER</c:v>
                  </c:pt>
                </c:lvl>
              </c:multiLvlStrCache>
            </c:multiLvlStrRef>
          </c:cat>
          <c:val>
            <c:numRef>
              <c:f>TasNetworks!$C$23:$K$23</c:f>
              <c:numCache>
                <c:formatCode>#,##0</c:formatCode>
                <c:ptCount val="9"/>
                <c:pt idx="0">
                  <c:v>4376.2268990000002</c:v>
                </c:pt>
                <c:pt idx="1">
                  <c:v>4448.6720436592732</c:v>
                </c:pt>
                <c:pt idx="2">
                  <c:v>4417.0736412828728</c:v>
                </c:pt>
                <c:pt idx="3">
                  <c:v>4441.0496229999999</c:v>
                </c:pt>
                <c:pt idx="4">
                  <c:v>4586.0503100572932</c:v>
                </c:pt>
                <c:pt idx="5">
                  <c:v>4545.2267016629203</c:v>
                </c:pt>
                <c:pt idx="6">
                  <c:v>4444.8157984202126</c:v>
                </c:pt>
                <c:pt idx="7">
                  <c:v>4317.9943187364997</c:v>
                </c:pt>
                <c:pt idx="8">
                  <c:v>4247.6620063958999</c:v>
                </c:pt>
              </c:numCache>
            </c:numRef>
          </c:val>
        </c:ser>
        <c:dLbls>
          <c:showLegendKey val="0"/>
          <c:showVal val="0"/>
          <c:showCatName val="0"/>
          <c:showSerName val="0"/>
          <c:showPercent val="0"/>
          <c:showBubbleSize val="0"/>
        </c:dLbls>
        <c:gapWidth val="50"/>
        <c:axId val="353815936"/>
        <c:axId val="353899648"/>
      </c:barChart>
      <c:catAx>
        <c:axId val="353815936"/>
        <c:scaling>
          <c:orientation val="minMax"/>
        </c:scaling>
        <c:delete val="0"/>
        <c:axPos val="b"/>
        <c:majorTickMark val="out"/>
        <c:minorTickMark val="none"/>
        <c:tickLblPos val="nextTo"/>
        <c:txPr>
          <a:bodyPr/>
          <a:lstStyle/>
          <a:p>
            <a:pPr>
              <a:defRPr sz="900"/>
            </a:pPr>
            <a:endParaRPr lang="en-US"/>
          </a:p>
        </c:txPr>
        <c:crossAx val="353899648"/>
        <c:crosses val="autoZero"/>
        <c:auto val="1"/>
        <c:lblAlgn val="ctr"/>
        <c:lblOffset val="100"/>
        <c:noMultiLvlLbl val="0"/>
      </c:catAx>
      <c:valAx>
        <c:axId val="353899648"/>
        <c:scaling>
          <c:orientation val="minMax"/>
          <c:min val="0"/>
        </c:scaling>
        <c:delete val="0"/>
        <c:axPos val="l"/>
        <c:title>
          <c:tx>
            <c:rich>
              <a:bodyPr rot="0" vert="horz"/>
              <a:lstStyle/>
              <a:p>
                <a:pPr>
                  <a:defRPr sz="800"/>
                </a:pPr>
                <a:r>
                  <a:rPr lang="en-US" sz="800"/>
                  <a:t>Energy
delivered
(GWh)</a:t>
                </a:r>
              </a:p>
            </c:rich>
          </c:tx>
          <c:layout/>
          <c:overlay val="0"/>
        </c:title>
        <c:numFmt formatCode="General" sourceLinked="1"/>
        <c:majorTickMark val="out"/>
        <c:minorTickMark val="none"/>
        <c:tickLblPos val="nextTo"/>
        <c:txPr>
          <a:bodyPr/>
          <a:lstStyle/>
          <a:p>
            <a:pPr>
              <a:defRPr sz="800"/>
            </a:pPr>
            <a:endParaRPr lang="en-US"/>
          </a:p>
        </c:txPr>
        <c:crossAx val="353815936"/>
        <c:crosses val="autoZero"/>
        <c:crossBetween val="between"/>
        <c:majorUnit val="1000"/>
      </c:valAx>
    </c:plotArea>
    <c:legend>
      <c:legendPos val="b"/>
      <c:layout>
        <c:manualLayout>
          <c:xMode val="edge"/>
          <c:yMode val="edge"/>
          <c:x val="0.21980774278215223"/>
          <c:y val="0.89838181685622631"/>
          <c:w val="0.74649562554680671"/>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TasNetworks!$B$32</c:f>
              <c:strCache>
                <c:ptCount val="1"/>
                <c:pt idx="0">
                  <c:v>Forecast</c:v>
                </c:pt>
              </c:strCache>
            </c:strRef>
          </c:tx>
          <c:spPr>
            <a:pattFill prst="dkUpDiag">
              <a:fgClr>
                <a:srgbClr val="E7E1EF"/>
              </a:fgClr>
              <a:bgClr>
                <a:schemeClr val="tx1"/>
              </a:bgClr>
            </a:pattFill>
            <a:ln>
              <a:solidFill>
                <a:sysClr val="windowText" lastClr="000000"/>
              </a:solidFill>
            </a:ln>
          </c:spPr>
          <c:invertIfNegative val="0"/>
          <c:cat>
            <c:multiLvlStrRef>
              <c:f>TasNetworks!$C$28:$O$29</c:f>
              <c:multiLvlStrCache>
                <c:ptCount val="13"/>
                <c:lvl>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lvl>
                <c:lvl>
                  <c:pt idx="0">
                    <c:v>OTTER</c:v>
                  </c:pt>
                  <c:pt idx="8">
                    <c:v>AER</c:v>
                  </c:pt>
                </c:lvl>
              </c:multiLvlStrCache>
            </c:multiLvlStrRef>
          </c:cat>
          <c:val>
            <c:numRef>
              <c:f>TasNetworks!$C$32:$O$32</c:f>
              <c:numCache>
                <c:formatCode>#,##0</c:formatCode>
                <c:ptCount val="13"/>
                <c:pt idx="1">
                  <c:v>1052</c:v>
                </c:pt>
                <c:pt idx="2">
                  <c:v>1024</c:v>
                </c:pt>
                <c:pt idx="3">
                  <c:v>1100</c:v>
                </c:pt>
                <c:pt idx="4">
                  <c:v>1093</c:v>
                </c:pt>
                <c:pt idx="5">
                  <c:v>1058</c:v>
                </c:pt>
                <c:pt idx="6">
                  <c:v>1047</c:v>
                </c:pt>
                <c:pt idx="7">
                  <c:v>1082</c:v>
                </c:pt>
                <c:pt idx="8">
                  <c:v>1101</c:v>
                </c:pt>
                <c:pt idx="9">
                  <c:v>1124</c:v>
                </c:pt>
                <c:pt idx="10">
                  <c:v>1145</c:v>
                </c:pt>
                <c:pt idx="11">
                  <c:v>1168</c:v>
                </c:pt>
                <c:pt idx="12">
                  <c:v>1196</c:v>
                </c:pt>
              </c:numCache>
            </c:numRef>
          </c:val>
        </c:ser>
        <c:ser>
          <c:idx val="1"/>
          <c:order val="1"/>
          <c:tx>
            <c:strRef>
              <c:f>TasNetworks!$B$30</c:f>
              <c:strCache>
                <c:ptCount val="1"/>
                <c:pt idx="0">
                  <c:v>Actual</c:v>
                </c:pt>
              </c:strCache>
            </c:strRef>
          </c:tx>
          <c:spPr>
            <a:solidFill>
              <a:srgbClr val="E7E1EF"/>
            </a:solidFill>
            <a:ln>
              <a:solidFill>
                <a:sysClr val="windowText" lastClr="000000"/>
              </a:solidFill>
            </a:ln>
          </c:spPr>
          <c:invertIfNegative val="0"/>
          <c:cat>
            <c:multiLvlStrRef>
              <c:f>TasNetworks!$C$28:$O$29</c:f>
              <c:multiLvlStrCache>
                <c:ptCount val="13"/>
                <c:lvl>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lvl>
                <c:lvl>
                  <c:pt idx="0">
                    <c:v>OTTER</c:v>
                  </c:pt>
                  <c:pt idx="8">
                    <c:v>AER</c:v>
                  </c:pt>
                </c:lvl>
              </c:multiLvlStrCache>
            </c:multiLvlStrRef>
          </c:cat>
          <c:val>
            <c:numRef>
              <c:f>TasNetworks!$C$30:$O$30</c:f>
              <c:numCache>
                <c:formatCode>#,##0</c:formatCode>
                <c:ptCount val="13"/>
                <c:pt idx="0">
                  <c:v>934.78192840734687</c:v>
                </c:pt>
                <c:pt idx="1">
                  <c:v>1063</c:v>
                </c:pt>
                <c:pt idx="2">
                  <c:v>1148</c:v>
                </c:pt>
                <c:pt idx="3">
                  <c:v>1154</c:v>
                </c:pt>
                <c:pt idx="4">
                  <c:v>1134</c:v>
                </c:pt>
                <c:pt idx="5">
                  <c:v>1111</c:v>
                </c:pt>
                <c:pt idx="6">
                  <c:v>1082</c:v>
                </c:pt>
                <c:pt idx="7">
                  <c:v>1042</c:v>
                </c:pt>
                <c:pt idx="8">
                  <c:v>1022</c:v>
                </c:pt>
              </c:numCache>
            </c:numRef>
          </c:val>
        </c:ser>
        <c:dLbls>
          <c:showLegendKey val="0"/>
          <c:showVal val="0"/>
          <c:showCatName val="0"/>
          <c:showSerName val="0"/>
          <c:showPercent val="0"/>
          <c:showBubbleSize val="0"/>
        </c:dLbls>
        <c:gapWidth val="50"/>
        <c:axId val="353924992"/>
        <c:axId val="353926528"/>
      </c:barChart>
      <c:catAx>
        <c:axId val="353924992"/>
        <c:scaling>
          <c:orientation val="minMax"/>
        </c:scaling>
        <c:delete val="0"/>
        <c:axPos val="b"/>
        <c:majorTickMark val="out"/>
        <c:minorTickMark val="none"/>
        <c:tickLblPos val="nextTo"/>
        <c:txPr>
          <a:bodyPr/>
          <a:lstStyle/>
          <a:p>
            <a:pPr>
              <a:defRPr sz="800"/>
            </a:pPr>
            <a:endParaRPr lang="en-US"/>
          </a:p>
        </c:txPr>
        <c:crossAx val="353926528"/>
        <c:crosses val="autoZero"/>
        <c:auto val="1"/>
        <c:lblAlgn val="ctr"/>
        <c:lblOffset val="100"/>
        <c:noMultiLvlLbl val="0"/>
      </c:catAx>
      <c:valAx>
        <c:axId val="353926528"/>
        <c:scaling>
          <c:orientation val="minMax"/>
          <c:max val="1200"/>
        </c:scaling>
        <c:delete val="0"/>
        <c:axPos val="l"/>
        <c:title>
          <c:tx>
            <c:rich>
              <a:bodyPr rot="0" vert="horz"/>
              <a:lstStyle/>
              <a:p>
                <a:pPr>
                  <a:defRPr/>
                </a:pPr>
                <a:r>
                  <a:rPr lang="en-US"/>
                  <a:t>Maximum</a:t>
                </a:r>
              </a:p>
              <a:p>
                <a:pPr>
                  <a:defRPr/>
                </a:pPr>
                <a:r>
                  <a:rPr lang="en-US"/>
                  <a:t>demand
(MW)</a:t>
                </a:r>
              </a:p>
            </c:rich>
          </c:tx>
          <c:layout/>
          <c:overlay val="0"/>
        </c:title>
        <c:numFmt formatCode="#,##0" sourceLinked="1"/>
        <c:majorTickMark val="out"/>
        <c:minorTickMark val="none"/>
        <c:tickLblPos val="nextTo"/>
        <c:crossAx val="353924992"/>
        <c:crosses val="autoZero"/>
        <c:crossBetween val="between"/>
      </c:valAx>
    </c:plotArea>
    <c:legend>
      <c:legendPos val="b"/>
      <c:layout>
        <c:manualLayout>
          <c:xMode val="edge"/>
          <c:yMode val="edge"/>
          <c:x val="0.23055555555555557"/>
          <c:y val="0.89838181685622631"/>
          <c:w val="0.738162292213473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TasNetworks!$T$61</c:f>
              <c:strCache>
                <c:ptCount val="1"/>
                <c:pt idx="0">
                  <c:v>Forecast (inc. amendments)
</c:v>
                </c:pt>
              </c:strCache>
            </c:strRef>
          </c:tx>
          <c:spPr>
            <a:pattFill prst="dkUpDiag">
              <a:fgClr>
                <a:srgbClr val="E7E1EF"/>
              </a:fgClr>
              <a:bgClr>
                <a:sysClr val="windowText" lastClr="000000"/>
              </a:bgClr>
            </a:pattFill>
            <a:ln>
              <a:solidFill>
                <a:schemeClr val="tx1"/>
              </a:solidFill>
            </a:ln>
          </c:spPr>
          <c:invertIfNegative val="0"/>
          <c:cat>
            <c:multiLvlStrRef>
              <c:f>TasNetworks!$B$62:$C$69</c:f>
              <c:multiLvlStrCache>
                <c:ptCount val="8"/>
                <c:lvl>
                  <c:pt idx="0">
                    <c:v>2007-08</c:v>
                  </c:pt>
                  <c:pt idx="1">
                    <c:v>2008-09</c:v>
                  </c:pt>
                  <c:pt idx="2">
                    <c:v>2009-10</c:v>
                  </c:pt>
                  <c:pt idx="3">
                    <c:v>2010-11</c:v>
                  </c:pt>
                  <c:pt idx="4">
                    <c:v>2011-12</c:v>
                  </c:pt>
                  <c:pt idx="5">
                    <c:v>2012-13</c:v>
                  </c:pt>
                  <c:pt idx="6">
                    <c:v>2013-14</c:v>
                  </c:pt>
                  <c:pt idx="7">
                    <c:v>2014-15</c:v>
                  </c:pt>
                </c:lvl>
                <c:lvl>
                  <c:pt idx="0">
                    <c:v>OTTER</c:v>
                  </c:pt>
                  <c:pt idx="5">
                    <c:v>AER</c:v>
                  </c:pt>
                </c:lvl>
              </c:multiLvlStrCache>
            </c:multiLvlStrRef>
          </c:cat>
          <c:val>
            <c:numRef>
              <c:f>TasNetworks!$T$62:$T$69</c:f>
              <c:numCache>
                <c:formatCode>"$"#,##0</c:formatCode>
                <c:ptCount val="8"/>
                <c:pt idx="0">
                  <c:v>54941370.863688238</c:v>
                </c:pt>
                <c:pt idx="1">
                  <c:v>134886147.89466748</c:v>
                </c:pt>
                <c:pt idx="2">
                  <c:v>132300742.32452294</c:v>
                </c:pt>
                <c:pt idx="3">
                  <c:v>127408690.78527212</c:v>
                </c:pt>
                <c:pt idx="4">
                  <c:v>125148704.14852846</c:v>
                </c:pt>
                <c:pt idx="5">
                  <c:v>116797425.27943446</c:v>
                </c:pt>
                <c:pt idx="6">
                  <c:v>121048468.96567412</c:v>
                </c:pt>
                <c:pt idx="7">
                  <c:v>114565627.34415865</c:v>
                </c:pt>
              </c:numCache>
            </c:numRef>
          </c:val>
        </c:ser>
        <c:ser>
          <c:idx val="1"/>
          <c:order val="1"/>
          <c:tx>
            <c:strRef>
              <c:f>TasNetworks!$AB$61</c:f>
              <c:strCache>
                <c:ptCount val="1"/>
                <c:pt idx="0">
                  <c:v>Actual</c:v>
                </c:pt>
              </c:strCache>
            </c:strRef>
          </c:tx>
          <c:spPr>
            <a:solidFill>
              <a:srgbClr val="E7E1EF"/>
            </a:solidFill>
            <a:ln>
              <a:solidFill>
                <a:sysClr val="windowText" lastClr="000000"/>
              </a:solidFill>
            </a:ln>
          </c:spPr>
          <c:invertIfNegative val="0"/>
          <c:cat>
            <c:multiLvlStrRef>
              <c:f>TasNetworks!$B$62:$C$69</c:f>
              <c:multiLvlStrCache>
                <c:ptCount val="8"/>
                <c:lvl>
                  <c:pt idx="0">
                    <c:v>2007-08</c:v>
                  </c:pt>
                  <c:pt idx="1">
                    <c:v>2008-09</c:v>
                  </c:pt>
                  <c:pt idx="2">
                    <c:v>2009-10</c:v>
                  </c:pt>
                  <c:pt idx="3">
                    <c:v>2010-11</c:v>
                  </c:pt>
                  <c:pt idx="4">
                    <c:v>2011-12</c:v>
                  </c:pt>
                  <c:pt idx="5">
                    <c:v>2012-13</c:v>
                  </c:pt>
                  <c:pt idx="6">
                    <c:v>2013-14</c:v>
                  </c:pt>
                  <c:pt idx="7">
                    <c:v>2014-15</c:v>
                  </c:pt>
                </c:lvl>
                <c:lvl>
                  <c:pt idx="0">
                    <c:v>OTTER</c:v>
                  </c:pt>
                  <c:pt idx="5">
                    <c:v>AER</c:v>
                  </c:pt>
                </c:lvl>
              </c:multiLvlStrCache>
            </c:multiLvlStrRef>
          </c:cat>
          <c:val>
            <c:numRef>
              <c:f>TasNetworks!$AB$62:$AB$69</c:f>
              <c:numCache>
                <c:formatCode>"$"#,##0</c:formatCode>
                <c:ptCount val="8"/>
                <c:pt idx="0">
                  <c:v>115970193.75488155</c:v>
                </c:pt>
                <c:pt idx="1">
                  <c:v>139304106.35823002</c:v>
                </c:pt>
                <c:pt idx="2">
                  <c:v>150946532.77329415</c:v>
                </c:pt>
                <c:pt idx="3">
                  <c:v>138957411.06619743</c:v>
                </c:pt>
                <c:pt idx="4">
                  <c:v>101656482.73814364</c:v>
                </c:pt>
                <c:pt idx="5">
                  <c:v>91045234.477720201</c:v>
                </c:pt>
                <c:pt idx="6">
                  <c:v>#N/A</c:v>
                </c:pt>
                <c:pt idx="7">
                  <c:v>#N/A</c:v>
                </c:pt>
              </c:numCache>
            </c:numRef>
          </c:val>
        </c:ser>
        <c:dLbls>
          <c:showLegendKey val="0"/>
          <c:showVal val="0"/>
          <c:showCatName val="0"/>
          <c:showSerName val="0"/>
          <c:showPercent val="0"/>
          <c:showBubbleSize val="0"/>
        </c:dLbls>
        <c:gapWidth val="50"/>
        <c:axId val="353976704"/>
        <c:axId val="353978240"/>
      </c:barChart>
      <c:catAx>
        <c:axId val="353976704"/>
        <c:scaling>
          <c:orientation val="minMax"/>
        </c:scaling>
        <c:delete val="0"/>
        <c:axPos val="b"/>
        <c:majorTickMark val="out"/>
        <c:minorTickMark val="none"/>
        <c:tickLblPos val="nextTo"/>
        <c:txPr>
          <a:bodyPr/>
          <a:lstStyle/>
          <a:p>
            <a:pPr>
              <a:defRPr sz="750"/>
            </a:pPr>
            <a:endParaRPr lang="en-US"/>
          </a:p>
        </c:txPr>
        <c:crossAx val="353978240"/>
        <c:crosses val="autoZero"/>
        <c:auto val="1"/>
        <c:lblAlgn val="ctr"/>
        <c:lblOffset val="100"/>
        <c:noMultiLvlLbl val="0"/>
      </c:catAx>
      <c:valAx>
        <c:axId val="353978240"/>
        <c:scaling>
          <c:orientation val="minMax"/>
        </c:scaling>
        <c:delete val="0"/>
        <c:axPos val="l"/>
        <c:title>
          <c:tx>
            <c:rich>
              <a:bodyPr rot="0" vert="horz"/>
              <a:lstStyle/>
              <a:p>
                <a:pPr>
                  <a:defRPr sz="800"/>
                </a:pPr>
                <a:r>
                  <a:rPr lang="en-US" sz="800"/>
                  <a:t>Capex
($Dec 2012)</a:t>
                </a:r>
              </a:p>
            </c:rich>
          </c:tx>
          <c:layout/>
          <c:overlay val="0"/>
        </c:title>
        <c:numFmt formatCode="&quot;$&quot;0,,&quot;m&quot;" sourceLinked="0"/>
        <c:majorTickMark val="out"/>
        <c:minorTickMark val="none"/>
        <c:tickLblPos val="nextTo"/>
        <c:txPr>
          <a:bodyPr/>
          <a:lstStyle/>
          <a:p>
            <a:pPr>
              <a:defRPr sz="800"/>
            </a:pPr>
            <a:endParaRPr lang="en-US"/>
          </a:p>
        </c:txPr>
        <c:crossAx val="353976704"/>
        <c:crosses val="autoZero"/>
        <c:crossBetween val="between"/>
      </c:valAx>
    </c:plotArea>
    <c:legend>
      <c:legendPos val="b"/>
      <c:layout>
        <c:manualLayout>
          <c:xMode val="edge"/>
          <c:yMode val="edge"/>
          <c:x val="0.26285958005249344"/>
          <c:y val="0.88850503062117236"/>
          <c:w val="0.70321369203849515"/>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TasNetworks!$I$72</c:f>
              <c:strCache>
                <c:ptCount val="1"/>
                <c:pt idx="0">
                  <c:v>Forecast</c:v>
                </c:pt>
              </c:strCache>
            </c:strRef>
          </c:tx>
          <c:spPr>
            <a:pattFill prst="dkUpDiag">
              <a:fgClr>
                <a:srgbClr val="E7E1EF"/>
              </a:fgClr>
              <a:bgClr>
                <a:sysClr val="windowText" lastClr="000000"/>
              </a:bgClr>
            </a:pattFill>
            <a:ln>
              <a:solidFill>
                <a:schemeClr val="tx1"/>
              </a:solidFill>
            </a:ln>
          </c:spPr>
          <c:invertIfNegative val="0"/>
          <c:cat>
            <c:multiLvlStrRef>
              <c:f>TasNetworks!$B$73:$C$75</c:f>
              <c:multiLvlStrCache>
                <c:ptCount val="3"/>
                <c:lvl>
                  <c:pt idx="0">
                    <c:v>Demand related</c:v>
                  </c:pt>
                  <c:pt idx="1">
                    <c:v>Non-demand related</c:v>
                  </c:pt>
                  <c:pt idx="2">
                    <c:v>Non-system</c:v>
                  </c:pt>
                </c:lvl>
                <c:lvl>
                  <c:pt idx="0">
                    <c:v>2012-13</c:v>
                  </c:pt>
                </c:lvl>
              </c:multiLvlStrCache>
            </c:multiLvlStrRef>
          </c:cat>
          <c:val>
            <c:numRef>
              <c:f>TasNetworks!$I$73:$I$75</c:f>
              <c:numCache>
                <c:formatCode>"$"#,##0</c:formatCode>
                <c:ptCount val="3"/>
                <c:pt idx="0">
                  <c:v>40413483.843856707</c:v>
                </c:pt>
                <c:pt idx="1">
                  <c:v>36408621.155397564</c:v>
                </c:pt>
                <c:pt idx="2">
                  <c:v>39637155.858223051</c:v>
                </c:pt>
              </c:numCache>
            </c:numRef>
          </c:val>
        </c:ser>
        <c:ser>
          <c:idx val="1"/>
          <c:order val="1"/>
          <c:tx>
            <c:strRef>
              <c:f>TasNetworks!$J$72</c:f>
              <c:strCache>
                <c:ptCount val="1"/>
                <c:pt idx="0">
                  <c:v>Actual</c:v>
                </c:pt>
              </c:strCache>
            </c:strRef>
          </c:tx>
          <c:spPr>
            <a:solidFill>
              <a:srgbClr val="E7E1EF"/>
            </a:solidFill>
            <a:ln>
              <a:solidFill>
                <a:sysClr val="windowText" lastClr="000000"/>
              </a:solidFill>
            </a:ln>
          </c:spPr>
          <c:invertIfNegative val="0"/>
          <c:cat>
            <c:multiLvlStrRef>
              <c:f>TasNetworks!$B$73:$C$75</c:f>
              <c:multiLvlStrCache>
                <c:ptCount val="3"/>
                <c:lvl>
                  <c:pt idx="0">
                    <c:v>Demand related</c:v>
                  </c:pt>
                  <c:pt idx="1">
                    <c:v>Non-demand related</c:v>
                  </c:pt>
                  <c:pt idx="2">
                    <c:v>Non-system</c:v>
                  </c:pt>
                </c:lvl>
                <c:lvl>
                  <c:pt idx="0">
                    <c:v>2012-13</c:v>
                  </c:pt>
                </c:lvl>
              </c:multiLvlStrCache>
            </c:multiLvlStrRef>
          </c:cat>
          <c:val>
            <c:numRef>
              <c:f>TasNetworks!$J$73:$J$75</c:f>
              <c:numCache>
                <c:formatCode>"$"#,##0</c:formatCode>
                <c:ptCount val="3"/>
                <c:pt idx="0">
                  <c:v>32241417.657013394</c:v>
                </c:pt>
                <c:pt idx="1">
                  <c:v>42741841.70306962</c:v>
                </c:pt>
                <c:pt idx="2">
                  <c:v>23527418.448331784</c:v>
                </c:pt>
              </c:numCache>
            </c:numRef>
          </c:val>
        </c:ser>
        <c:dLbls>
          <c:showLegendKey val="0"/>
          <c:showVal val="0"/>
          <c:showCatName val="0"/>
          <c:showSerName val="0"/>
          <c:showPercent val="0"/>
          <c:showBubbleSize val="0"/>
        </c:dLbls>
        <c:gapWidth val="50"/>
        <c:axId val="354011776"/>
        <c:axId val="354013568"/>
      </c:barChart>
      <c:catAx>
        <c:axId val="354011776"/>
        <c:scaling>
          <c:orientation val="minMax"/>
        </c:scaling>
        <c:delete val="0"/>
        <c:axPos val="b"/>
        <c:majorTickMark val="out"/>
        <c:minorTickMark val="none"/>
        <c:tickLblPos val="nextTo"/>
        <c:txPr>
          <a:bodyPr/>
          <a:lstStyle/>
          <a:p>
            <a:pPr>
              <a:defRPr sz="800"/>
            </a:pPr>
            <a:endParaRPr lang="en-US"/>
          </a:p>
        </c:txPr>
        <c:crossAx val="354013568"/>
        <c:crosses val="autoZero"/>
        <c:auto val="1"/>
        <c:lblAlgn val="ctr"/>
        <c:lblOffset val="100"/>
        <c:noMultiLvlLbl val="0"/>
      </c:catAx>
      <c:valAx>
        <c:axId val="354013568"/>
        <c:scaling>
          <c:orientation val="minMax"/>
          <c:max val="50000000"/>
          <c:min val="0"/>
        </c:scaling>
        <c:delete val="0"/>
        <c:axPos val="l"/>
        <c:title>
          <c:tx>
            <c:rich>
              <a:bodyPr rot="0" vert="horz"/>
              <a:lstStyle/>
              <a:p>
                <a:pPr>
                  <a:defRPr sz="800"/>
                </a:pPr>
                <a:r>
                  <a:rPr lang="en-AU"/>
                  <a:t>Capex</a:t>
                </a:r>
              </a:p>
              <a:p>
                <a:pPr>
                  <a:defRPr sz="800"/>
                </a:pPr>
                <a:r>
                  <a:rPr lang="en-AU"/>
                  <a:t>($Dec 2012)</a:t>
                </a:r>
              </a:p>
            </c:rich>
          </c:tx>
          <c:layout/>
          <c:overlay val="0"/>
        </c:title>
        <c:numFmt formatCode="&quot;$&quot;0,,&quot;m&quot;" sourceLinked="0"/>
        <c:majorTickMark val="out"/>
        <c:minorTickMark val="none"/>
        <c:tickLblPos val="nextTo"/>
        <c:txPr>
          <a:bodyPr/>
          <a:lstStyle/>
          <a:p>
            <a:pPr>
              <a:defRPr sz="800"/>
            </a:pPr>
            <a:endParaRPr lang="en-US"/>
          </a:p>
        </c:txPr>
        <c:crossAx val="354011776"/>
        <c:crosses val="autoZero"/>
        <c:crossBetween val="between"/>
        <c:majorUnit val="10000000"/>
      </c:valAx>
    </c:plotArea>
    <c:legend>
      <c:legendPos val="b"/>
      <c:layout>
        <c:manualLayout>
          <c:xMode val="edge"/>
          <c:yMode val="edge"/>
          <c:x val="0.26008180227471567"/>
          <c:y val="0.88850503062117236"/>
          <c:w val="0.71316229221347338"/>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TasNetworks!$K$78</c:f>
              <c:strCache>
                <c:ptCount val="1"/>
                <c:pt idx="0">
                  <c:v>Forecast
</c:v>
                </c:pt>
              </c:strCache>
            </c:strRef>
          </c:tx>
          <c:spPr>
            <a:pattFill prst="dkUpDiag">
              <a:fgClr>
                <a:srgbClr val="E7E1EF"/>
              </a:fgClr>
              <a:bgClr>
                <a:schemeClr val="tx1"/>
              </a:bgClr>
            </a:pattFill>
            <a:ln>
              <a:solidFill>
                <a:sysClr val="windowText" lastClr="000000"/>
              </a:solidFill>
            </a:ln>
          </c:spPr>
          <c:invertIfNegative val="0"/>
          <c:cat>
            <c:multiLvlStrRef>
              <c:f>TasNetworks!$B$79:$C$84</c:f>
              <c:multiLvlStrCache>
                <c:ptCount val="6"/>
                <c:lvl>
                  <c:pt idx="0">
                    <c:v>2007-08</c:v>
                  </c:pt>
                  <c:pt idx="1">
                    <c:v>2008-09</c:v>
                  </c:pt>
                  <c:pt idx="2">
                    <c:v>2009-10</c:v>
                  </c:pt>
                  <c:pt idx="3">
                    <c:v>2010-11</c:v>
                  </c:pt>
                  <c:pt idx="4">
                    <c:v>2011-12</c:v>
                  </c:pt>
                  <c:pt idx="5">
                    <c:v>2012-13*</c:v>
                  </c:pt>
                </c:lvl>
                <c:lvl>
                  <c:pt idx="0">
                    <c:v>OTTER</c:v>
                  </c:pt>
                  <c:pt idx="5">
                    <c:v>AER</c:v>
                  </c:pt>
                </c:lvl>
              </c:multiLvlStrCache>
            </c:multiLvlStrRef>
          </c:cat>
          <c:val>
            <c:numRef>
              <c:f>TasNetworks!$K$79:$K$84</c:f>
              <c:numCache>
                <c:formatCode>"$"#,##0</c:formatCode>
                <c:ptCount val="6"/>
                <c:pt idx="0">
                  <c:v>1194505229.1322794</c:v>
                </c:pt>
                <c:pt idx="1">
                  <c:v>1252505172.0453</c:v>
                </c:pt>
                <c:pt idx="2">
                  <c:v>1304876085.2463675</c:v>
                </c:pt>
                <c:pt idx="3">
                  <c:v>1349652294.8105645</c:v>
                </c:pt>
                <c:pt idx="4">
                  <c:v>1387185540.3203168</c:v>
                </c:pt>
                <c:pt idx="5">
                  <c:v>1515817974.6566842</c:v>
                </c:pt>
              </c:numCache>
            </c:numRef>
          </c:val>
        </c:ser>
        <c:ser>
          <c:idx val="1"/>
          <c:order val="1"/>
          <c:tx>
            <c:strRef>
              <c:f>TasNetworks!$Q$78</c:f>
              <c:strCache>
                <c:ptCount val="1"/>
                <c:pt idx="0">
                  <c:v>Actual</c:v>
                </c:pt>
              </c:strCache>
            </c:strRef>
          </c:tx>
          <c:spPr>
            <a:solidFill>
              <a:srgbClr val="E7E1EF"/>
            </a:solidFill>
            <a:ln>
              <a:solidFill>
                <a:sysClr val="windowText" lastClr="000000"/>
              </a:solidFill>
            </a:ln>
          </c:spPr>
          <c:invertIfNegative val="0"/>
          <c:cat>
            <c:multiLvlStrRef>
              <c:f>TasNetworks!$B$79:$C$84</c:f>
              <c:multiLvlStrCache>
                <c:ptCount val="6"/>
                <c:lvl>
                  <c:pt idx="0">
                    <c:v>2007-08</c:v>
                  </c:pt>
                  <c:pt idx="1">
                    <c:v>2008-09</c:v>
                  </c:pt>
                  <c:pt idx="2">
                    <c:v>2009-10</c:v>
                  </c:pt>
                  <c:pt idx="3">
                    <c:v>2010-11</c:v>
                  </c:pt>
                  <c:pt idx="4">
                    <c:v>2011-12</c:v>
                  </c:pt>
                  <c:pt idx="5">
                    <c:v>2012-13*</c:v>
                  </c:pt>
                </c:lvl>
                <c:lvl>
                  <c:pt idx="0">
                    <c:v>OTTER</c:v>
                  </c:pt>
                  <c:pt idx="5">
                    <c:v>AER</c:v>
                  </c:pt>
                </c:lvl>
              </c:multiLvlStrCache>
            </c:multiLvlStrRef>
          </c:cat>
          <c:val>
            <c:numRef>
              <c:f>TasNetworks!$Q$79:$Q$84</c:f>
              <c:numCache>
                <c:formatCode>"$"#,##0</c:formatCode>
                <c:ptCount val="6"/>
                <c:pt idx="0">
                  <c:v>1234166636.5932748</c:v>
                </c:pt>
                <c:pt idx="1">
                  <c:v>1303496582.000119</c:v>
                </c:pt>
                <c:pt idx="2">
                  <c:v>1375456261.8072605</c:v>
                </c:pt>
                <c:pt idx="3">
                  <c:v>1465228482.5546522</c:v>
                </c:pt>
                <c:pt idx="4">
                  <c:v>1479980289.7981114</c:v>
                </c:pt>
                <c:pt idx="5">
                  <c:v>1473416714.9810331</c:v>
                </c:pt>
              </c:numCache>
            </c:numRef>
          </c:val>
        </c:ser>
        <c:dLbls>
          <c:showLegendKey val="0"/>
          <c:showVal val="0"/>
          <c:showCatName val="0"/>
          <c:showSerName val="0"/>
          <c:showPercent val="0"/>
          <c:showBubbleSize val="0"/>
        </c:dLbls>
        <c:gapWidth val="50"/>
        <c:axId val="354186752"/>
        <c:axId val="354188288"/>
      </c:barChart>
      <c:catAx>
        <c:axId val="354186752"/>
        <c:scaling>
          <c:orientation val="minMax"/>
        </c:scaling>
        <c:delete val="0"/>
        <c:axPos val="b"/>
        <c:majorTickMark val="out"/>
        <c:minorTickMark val="none"/>
        <c:tickLblPos val="nextTo"/>
        <c:txPr>
          <a:bodyPr/>
          <a:lstStyle/>
          <a:p>
            <a:pPr>
              <a:defRPr sz="800"/>
            </a:pPr>
            <a:endParaRPr lang="en-US"/>
          </a:p>
        </c:txPr>
        <c:crossAx val="354188288"/>
        <c:crosses val="autoZero"/>
        <c:auto val="1"/>
        <c:lblAlgn val="ctr"/>
        <c:lblOffset val="100"/>
        <c:noMultiLvlLbl val="0"/>
      </c:catAx>
      <c:valAx>
        <c:axId val="354188288"/>
        <c:scaling>
          <c:orientation val="minMax"/>
        </c:scaling>
        <c:delete val="0"/>
        <c:axPos val="l"/>
        <c:title>
          <c:tx>
            <c:rich>
              <a:bodyPr rot="0" vert="horz"/>
              <a:lstStyle/>
              <a:p>
                <a:pPr>
                  <a:defRPr/>
                </a:pPr>
                <a:r>
                  <a:rPr lang="en-US"/>
                  <a:t>Regulatory
asset base
($Dec 2012)</a:t>
                </a:r>
              </a:p>
            </c:rich>
          </c:tx>
          <c:layout/>
          <c:overlay val="0"/>
        </c:title>
        <c:numFmt formatCode="&quot;$&quot;0,,&quot;m&quot;" sourceLinked="0"/>
        <c:majorTickMark val="out"/>
        <c:minorTickMark val="none"/>
        <c:tickLblPos val="nextTo"/>
        <c:crossAx val="354186752"/>
        <c:crosses val="autoZero"/>
        <c:crossBetween val="between"/>
      </c:valAx>
    </c:plotArea>
    <c:legend>
      <c:legendPos val="b"/>
      <c:layout>
        <c:manualLayout>
          <c:xMode val="edge"/>
          <c:yMode val="edge"/>
          <c:x val="0.27617082239720037"/>
          <c:y val="0.89838181685622631"/>
          <c:w val="0.69094006999125124"/>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TasNetworks!$T$50</c:f>
              <c:strCache>
                <c:ptCount val="1"/>
                <c:pt idx="0">
                  <c:v>Forecast (inc. amendments)
</c:v>
                </c:pt>
              </c:strCache>
            </c:strRef>
          </c:tx>
          <c:spPr>
            <a:pattFill prst="dkUpDiag">
              <a:fgClr>
                <a:srgbClr val="E7E1EF"/>
              </a:fgClr>
              <a:bgClr>
                <a:sysClr val="windowText" lastClr="000000"/>
              </a:bgClr>
            </a:pattFill>
            <a:ln>
              <a:solidFill>
                <a:schemeClr val="tx1"/>
              </a:solidFill>
            </a:ln>
          </c:spPr>
          <c:invertIfNegative val="0"/>
          <c:cat>
            <c:multiLvlStrRef>
              <c:f>TasNetworks!$B$51:$C$58</c:f>
              <c:multiLvlStrCache>
                <c:ptCount val="8"/>
                <c:lvl>
                  <c:pt idx="0">
                    <c:v>2007-08</c:v>
                  </c:pt>
                  <c:pt idx="1">
                    <c:v>2008-09</c:v>
                  </c:pt>
                  <c:pt idx="2">
                    <c:v>2009-10</c:v>
                  </c:pt>
                  <c:pt idx="3">
                    <c:v>2010-11</c:v>
                  </c:pt>
                  <c:pt idx="4">
                    <c:v>2011-12</c:v>
                  </c:pt>
                  <c:pt idx="5">
                    <c:v>2012-13</c:v>
                  </c:pt>
                  <c:pt idx="6">
                    <c:v>2013-14</c:v>
                  </c:pt>
                  <c:pt idx="7">
                    <c:v>2014-15</c:v>
                  </c:pt>
                </c:lvl>
                <c:lvl>
                  <c:pt idx="0">
                    <c:v>OTTER</c:v>
                  </c:pt>
                  <c:pt idx="5">
                    <c:v>AER</c:v>
                  </c:pt>
                </c:lvl>
              </c:multiLvlStrCache>
            </c:multiLvlStrRef>
          </c:cat>
          <c:val>
            <c:numRef>
              <c:f>TasNetworks!$T$51:$T$58</c:f>
              <c:numCache>
                <c:formatCode>"$"#,##0</c:formatCode>
                <c:ptCount val="8"/>
                <c:pt idx="0">
                  <c:v>52019549.530990846</c:v>
                </c:pt>
                <c:pt idx="1">
                  <c:v>72180790.771846652</c:v>
                </c:pt>
                <c:pt idx="2">
                  <c:v>74531703.287040561</c:v>
                </c:pt>
                <c:pt idx="3">
                  <c:v>78116097.127000317</c:v>
                </c:pt>
                <c:pt idx="4">
                  <c:v>77946209.301474854</c:v>
                </c:pt>
                <c:pt idx="5">
                  <c:v>73224227.495478019</c:v>
                </c:pt>
                <c:pt idx="6">
                  <c:v>72161466.573918104</c:v>
                </c:pt>
                <c:pt idx="7">
                  <c:v>73011675.311166033</c:v>
                </c:pt>
              </c:numCache>
            </c:numRef>
          </c:val>
        </c:ser>
        <c:ser>
          <c:idx val="1"/>
          <c:order val="1"/>
          <c:tx>
            <c:strRef>
              <c:f>TasNetworks!$Z$50</c:f>
              <c:strCache>
                <c:ptCount val="1"/>
                <c:pt idx="0">
                  <c:v>Actual</c:v>
                </c:pt>
              </c:strCache>
            </c:strRef>
          </c:tx>
          <c:spPr>
            <a:solidFill>
              <a:srgbClr val="E7E1EF"/>
            </a:solidFill>
            <a:ln>
              <a:solidFill>
                <a:sysClr val="windowText" lastClr="000000"/>
              </a:solidFill>
            </a:ln>
          </c:spPr>
          <c:invertIfNegative val="0"/>
          <c:cat>
            <c:multiLvlStrRef>
              <c:f>TasNetworks!$B$51:$C$58</c:f>
              <c:multiLvlStrCache>
                <c:ptCount val="8"/>
                <c:lvl>
                  <c:pt idx="0">
                    <c:v>2007-08</c:v>
                  </c:pt>
                  <c:pt idx="1">
                    <c:v>2008-09</c:v>
                  </c:pt>
                  <c:pt idx="2">
                    <c:v>2009-10</c:v>
                  </c:pt>
                  <c:pt idx="3">
                    <c:v>2010-11</c:v>
                  </c:pt>
                  <c:pt idx="4">
                    <c:v>2011-12</c:v>
                  </c:pt>
                  <c:pt idx="5">
                    <c:v>2012-13</c:v>
                  </c:pt>
                  <c:pt idx="6">
                    <c:v>2013-14</c:v>
                  </c:pt>
                  <c:pt idx="7">
                    <c:v>2014-15</c:v>
                  </c:pt>
                </c:lvl>
                <c:lvl>
                  <c:pt idx="0">
                    <c:v>OTTER</c:v>
                  </c:pt>
                  <c:pt idx="5">
                    <c:v>AER</c:v>
                  </c:pt>
                </c:lvl>
              </c:multiLvlStrCache>
            </c:multiLvlStrRef>
          </c:cat>
          <c:val>
            <c:numRef>
              <c:f>TasNetworks!$Z$51:$Z$58</c:f>
              <c:numCache>
                <c:formatCode>"$"#,##0</c:formatCode>
                <c:ptCount val="8"/>
                <c:pt idx="0">
                  <c:v>61035613.133471452</c:v>
                </c:pt>
                <c:pt idx="1">
                  <c:v>68700410.243507937</c:v>
                </c:pt>
                <c:pt idx="2">
                  <c:v>80980897.249106169</c:v>
                </c:pt>
                <c:pt idx="3">
                  <c:v>78392847.348099738</c:v>
                </c:pt>
                <c:pt idx="4">
                  <c:v>86197979.384574145</c:v>
                </c:pt>
                <c:pt idx="5">
                  <c:v>70737205.421002388</c:v>
                </c:pt>
                <c:pt idx="6">
                  <c:v>#N/A</c:v>
                </c:pt>
                <c:pt idx="7">
                  <c:v>#N/A</c:v>
                </c:pt>
              </c:numCache>
            </c:numRef>
          </c:val>
        </c:ser>
        <c:dLbls>
          <c:showLegendKey val="0"/>
          <c:showVal val="0"/>
          <c:showCatName val="0"/>
          <c:showSerName val="0"/>
          <c:showPercent val="0"/>
          <c:showBubbleSize val="0"/>
        </c:dLbls>
        <c:gapWidth val="50"/>
        <c:axId val="355352960"/>
        <c:axId val="355354496"/>
      </c:barChart>
      <c:catAx>
        <c:axId val="355352960"/>
        <c:scaling>
          <c:orientation val="minMax"/>
        </c:scaling>
        <c:delete val="0"/>
        <c:axPos val="b"/>
        <c:majorTickMark val="out"/>
        <c:minorTickMark val="none"/>
        <c:tickLblPos val="nextTo"/>
        <c:txPr>
          <a:bodyPr/>
          <a:lstStyle/>
          <a:p>
            <a:pPr>
              <a:defRPr sz="750"/>
            </a:pPr>
            <a:endParaRPr lang="en-US"/>
          </a:p>
        </c:txPr>
        <c:crossAx val="355354496"/>
        <c:crosses val="autoZero"/>
        <c:auto val="1"/>
        <c:lblAlgn val="ctr"/>
        <c:lblOffset val="100"/>
        <c:noMultiLvlLbl val="0"/>
      </c:catAx>
      <c:valAx>
        <c:axId val="355354496"/>
        <c:scaling>
          <c:orientation val="minMax"/>
        </c:scaling>
        <c:delete val="0"/>
        <c:axPos val="l"/>
        <c:title>
          <c:tx>
            <c:rich>
              <a:bodyPr rot="0" vert="horz"/>
              <a:lstStyle/>
              <a:p>
                <a:pPr>
                  <a:defRPr sz="800"/>
                </a:pPr>
                <a:r>
                  <a:rPr lang="en-US" sz="800"/>
                  <a:t>Opex
($Dec 2012)</a:t>
                </a:r>
              </a:p>
            </c:rich>
          </c:tx>
          <c:layout/>
          <c:overlay val="0"/>
        </c:title>
        <c:numFmt formatCode="&quot;$&quot;0,,&quot;m&quot;" sourceLinked="0"/>
        <c:majorTickMark val="out"/>
        <c:minorTickMark val="none"/>
        <c:tickLblPos val="nextTo"/>
        <c:txPr>
          <a:bodyPr/>
          <a:lstStyle/>
          <a:p>
            <a:pPr>
              <a:defRPr sz="800"/>
            </a:pPr>
            <a:endParaRPr lang="en-US"/>
          </a:p>
        </c:txPr>
        <c:crossAx val="355352960"/>
        <c:crosses val="autoZero"/>
        <c:crossBetween val="between"/>
        <c:majorUnit val="20000000"/>
      </c:valAx>
    </c:plotArea>
    <c:legend>
      <c:legendPos val="b"/>
      <c:layout>
        <c:manualLayout>
          <c:xMode val="edge"/>
          <c:yMode val="edge"/>
          <c:x val="0.2656373578302712"/>
          <c:y val="0.88850503062117236"/>
          <c:w val="0.70102930883639547"/>
          <c:h val="7.3840405365995912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0.73333</cdr:x>
      <cdr:y>0.49826</cdr:y>
    </cdr:from>
    <cdr:to>
      <cdr:x>0.93542</cdr:x>
      <cdr:y>0.55729</cdr:y>
    </cdr:to>
    <cdr:sp macro="" textlink="">
      <cdr:nvSpPr>
        <cdr:cNvPr id="3" name="TextBox 2"/>
        <cdr:cNvSpPr txBox="1"/>
      </cdr:nvSpPr>
      <cdr:spPr>
        <a:xfrm xmlns:a="http://schemas.openxmlformats.org/drawingml/2006/main">
          <a:off x="3352800" y="1366838"/>
          <a:ext cx="923925" cy="1619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800">
              <a:latin typeface="Arial" panose="020B0604020202020204" pitchFamily="34" charset="0"/>
              <a:cs typeface="Arial" panose="020B0604020202020204" pitchFamily="34" charset="0"/>
            </a:rPr>
            <a:t>See Table 8-3</a:t>
          </a:r>
        </a:p>
      </cdr:txBody>
    </cdr:sp>
  </cdr:relSizeAnchor>
</c:userShapes>
</file>

<file path=word/drawings/drawing10.xml><?xml version="1.0" encoding="utf-8"?>
<c:userShapes xmlns:c="http://schemas.openxmlformats.org/drawingml/2006/chart">
  <cdr:relSizeAnchor xmlns:cdr="http://schemas.openxmlformats.org/drawingml/2006/chartDrawing">
    <cdr:from>
      <cdr:x>0.44653</cdr:x>
      <cdr:y>0.02546</cdr:y>
    </cdr:from>
    <cdr:to>
      <cdr:x>0.80246</cdr:x>
      <cdr:y>0.15046</cdr:y>
    </cdr:to>
    <cdr:sp macro="" textlink="">
      <cdr:nvSpPr>
        <cdr:cNvPr id="2" name="TextBox 1"/>
        <cdr:cNvSpPr txBox="1"/>
      </cdr:nvSpPr>
      <cdr:spPr>
        <a:xfrm xmlns:a="http://schemas.openxmlformats.org/drawingml/2006/main">
          <a:off x="2041520" y="69842"/>
          <a:ext cx="1627312" cy="342900"/>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t>*Source (actual RAB): Economic</a:t>
          </a:r>
          <a:r>
            <a:rPr lang="en-AU" sz="800" baseline="0"/>
            <a:t> Benchmarking RIN</a:t>
          </a:r>
          <a:endParaRPr lang="en-AU" sz="800"/>
        </a:p>
      </cdr:txBody>
    </cdr:sp>
  </cdr:relSizeAnchor>
</c:userShapes>
</file>

<file path=word/drawings/drawing11.xml><?xml version="1.0" encoding="utf-8"?>
<c:userShapes xmlns:c="http://schemas.openxmlformats.org/drawingml/2006/chart">
  <cdr:relSizeAnchor xmlns:cdr="http://schemas.openxmlformats.org/drawingml/2006/chartDrawing">
    <cdr:from>
      <cdr:x>0.21458</cdr:x>
      <cdr:y>0.90625</cdr:y>
    </cdr:from>
    <cdr:to>
      <cdr:x>0.8125</cdr:x>
      <cdr:y>1</cdr:y>
    </cdr:to>
    <cdr:sp macro="" textlink="">
      <cdr:nvSpPr>
        <cdr:cNvPr id="2" name="TextBox 1"/>
        <cdr:cNvSpPr txBox="1"/>
      </cdr:nvSpPr>
      <cdr:spPr>
        <a:xfrm xmlns:a="http://schemas.openxmlformats.org/drawingml/2006/main">
          <a:off x="981075" y="2486025"/>
          <a:ext cx="27336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*Does not include offset for energy exports </a:t>
          </a:r>
        </a:p>
      </cdr:txBody>
    </cdr:sp>
  </cdr:relSizeAnchor>
</c:userShapes>
</file>

<file path=word/drawings/drawing12.xml><?xml version="1.0" encoding="utf-8"?>
<c:userShapes xmlns:c="http://schemas.openxmlformats.org/drawingml/2006/chart">
  <cdr:relSizeAnchor xmlns:cdr="http://schemas.openxmlformats.org/drawingml/2006/chartDrawing">
    <cdr:from>
      <cdr:x>0.53102</cdr:x>
      <cdr:y>0.05382</cdr:y>
    </cdr:from>
    <cdr:to>
      <cdr:x>0.87477</cdr:x>
      <cdr:y>0.17882</cdr:y>
    </cdr:to>
    <cdr:sp macro="" textlink="">
      <cdr:nvSpPr>
        <cdr:cNvPr id="2" name="TextBox 1"/>
        <cdr:cNvSpPr txBox="1"/>
      </cdr:nvSpPr>
      <cdr:spPr>
        <a:xfrm xmlns:a="http://schemas.openxmlformats.org/drawingml/2006/main">
          <a:off x="2513805" y="147627"/>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a:t>
          </a:r>
          <a:r>
            <a:rPr lang="en-AU" sz="800" baseline="0"/>
            <a:t> Benchmarking RIN</a:t>
          </a:r>
          <a:endParaRPr lang="en-AU" sz="800"/>
        </a:p>
      </cdr:txBody>
    </cdr:sp>
  </cdr:relSizeAnchor>
</c:userShapes>
</file>

<file path=word/drawings/drawing13.xml><?xml version="1.0" encoding="utf-8"?>
<c:userShapes xmlns:c="http://schemas.openxmlformats.org/drawingml/2006/chart">
  <cdr:relSizeAnchor xmlns:cdr="http://schemas.openxmlformats.org/drawingml/2006/chartDrawing">
    <cdr:from>
      <cdr:x>0.55114</cdr:x>
      <cdr:y>0.02951</cdr:y>
    </cdr:from>
    <cdr:to>
      <cdr:x>0.89489</cdr:x>
      <cdr:y>0.15451</cdr:y>
    </cdr:to>
    <cdr:sp macro="" textlink="">
      <cdr:nvSpPr>
        <cdr:cNvPr id="2" name="TextBox 1"/>
        <cdr:cNvSpPr txBox="1"/>
      </cdr:nvSpPr>
      <cdr:spPr>
        <a:xfrm xmlns:a="http://schemas.openxmlformats.org/drawingml/2006/main">
          <a:off x="2609040" y="80961"/>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a:t>
          </a:r>
          <a:r>
            <a:rPr lang="en-AU" sz="800" baseline="0"/>
            <a:t> Benchmarking RIN</a:t>
          </a:r>
          <a:endParaRPr lang="en-AU" sz="800"/>
        </a:p>
      </cdr:txBody>
    </cdr:sp>
  </cdr:relSizeAnchor>
</c:userShapes>
</file>

<file path=word/drawings/drawing14.xml><?xml version="1.0" encoding="utf-8"?>
<c:userShapes xmlns:c="http://schemas.openxmlformats.org/drawingml/2006/chart">
  <cdr:relSizeAnchor xmlns:cdr="http://schemas.openxmlformats.org/drawingml/2006/chartDrawing">
    <cdr:from>
      <cdr:x>0.52901</cdr:x>
      <cdr:y>0.08159</cdr:y>
    </cdr:from>
    <cdr:to>
      <cdr:x>0.87276</cdr:x>
      <cdr:y>0.20659</cdr:y>
    </cdr:to>
    <cdr:sp macro="" textlink="">
      <cdr:nvSpPr>
        <cdr:cNvPr id="2" name="TextBox 1"/>
        <cdr:cNvSpPr txBox="1"/>
      </cdr:nvSpPr>
      <cdr:spPr>
        <a:xfrm xmlns:a="http://schemas.openxmlformats.org/drawingml/2006/main">
          <a:off x="2504280" y="223827"/>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a:t>
          </a:r>
          <a:r>
            <a:rPr lang="en-AU" sz="800" baseline="0"/>
            <a:t> Benchmarking RIN</a:t>
          </a:r>
          <a:endParaRPr lang="en-AU" sz="800"/>
        </a:p>
      </cdr:txBody>
    </cdr:sp>
  </cdr:relSizeAnchor>
</c:userShapes>
</file>

<file path=word/drawings/drawing15.xml><?xml version="1.0" encoding="utf-8"?>
<c:userShapes xmlns:c="http://schemas.openxmlformats.org/drawingml/2006/chart">
  <cdr:relSizeAnchor xmlns:cdr="http://schemas.openxmlformats.org/drawingml/2006/chartDrawing">
    <cdr:from>
      <cdr:x>0.51291</cdr:x>
      <cdr:y>0.04687</cdr:y>
    </cdr:from>
    <cdr:to>
      <cdr:x>0.85666</cdr:x>
      <cdr:y>0.17187</cdr:y>
    </cdr:to>
    <cdr:sp macro="" textlink="">
      <cdr:nvSpPr>
        <cdr:cNvPr id="2" name="TextBox 1"/>
        <cdr:cNvSpPr txBox="1"/>
      </cdr:nvSpPr>
      <cdr:spPr>
        <a:xfrm xmlns:a="http://schemas.openxmlformats.org/drawingml/2006/main">
          <a:off x="2428094" y="128568"/>
          <a:ext cx="1627286"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a:t>
          </a:r>
          <a:r>
            <a:rPr lang="en-AU" sz="800" baseline="0"/>
            <a:t> Benchmarking RIN</a:t>
          </a:r>
          <a:endParaRPr lang="en-AU" sz="800"/>
        </a:p>
      </cdr:txBody>
    </cdr:sp>
  </cdr:relSizeAnchor>
</c:userShapes>
</file>

<file path=word/drawings/drawing16.xml><?xml version="1.0" encoding="utf-8"?>
<c:userShapes xmlns:c="http://schemas.openxmlformats.org/drawingml/2006/chart">
  <cdr:relSizeAnchor xmlns:cdr="http://schemas.openxmlformats.org/drawingml/2006/chartDrawing">
    <cdr:from>
      <cdr:x>0.53102</cdr:x>
      <cdr:y>0.05382</cdr:y>
    </cdr:from>
    <cdr:to>
      <cdr:x>0.87477</cdr:x>
      <cdr:y>0.17882</cdr:y>
    </cdr:to>
    <cdr:sp macro="" textlink="">
      <cdr:nvSpPr>
        <cdr:cNvPr id="2" name="TextBox 1"/>
        <cdr:cNvSpPr txBox="1"/>
      </cdr:nvSpPr>
      <cdr:spPr>
        <a:xfrm xmlns:a="http://schemas.openxmlformats.org/drawingml/2006/main">
          <a:off x="2513805" y="147627"/>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a:t>
          </a:r>
          <a:r>
            <a:rPr lang="en-AU" sz="800" baseline="0"/>
            <a:t> Benchmarking RIN</a:t>
          </a:r>
          <a:endParaRPr lang="en-AU" sz="800"/>
        </a:p>
      </cdr:txBody>
    </cdr:sp>
  </cdr:relSizeAnchor>
</c:userShapes>
</file>

<file path=word/drawings/drawing2.xml><?xml version="1.0" encoding="utf-8"?>
<c:userShapes xmlns:c="http://schemas.openxmlformats.org/drawingml/2006/chart">
  <cdr:relSizeAnchor xmlns:cdr="http://schemas.openxmlformats.org/drawingml/2006/chartDrawing">
    <cdr:from>
      <cdr:x>0.72813</cdr:x>
      <cdr:y>0.84549</cdr:y>
    </cdr:from>
    <cdr:to>
      <cdr:x>0.94896</cdr:x>
      <cdr:y>0.96354</cdr:y>
    </cdr:to>
    <cdr:sp macro="" textlink="">
      <cdr:nvSpPr>
        <cdr:cNvPr id="2" name="TextBox 1"/>
        <cdr:cNvSpPr txBox="1"/>
      </cdr:nvSpPr>
      <cdr:spPr>
        <a:xfrm xmlns:a="http://schemas.openxmlformats.org/drawingml/2006/main">
          <a:off x="3328989" y="2319338"/>
          <a:ext cx="10096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700">
              <a:latin typeface="Arial" panose="020B0604020202020204" pitchFamily="34" charset="0"/>
              <a:cs typeface="Arial" panose="020B0604020202020204" pitchFamily="34" charset="0"/>
            </a:rPr>
            <a:t>*2012-13</a:t>
          </a:r>
          <a:r>
            <a:rPr lang="en-AU" sz="700" baseline="0">
              <a:latin typeface="Arial" panose="020B0604020202020204" pitchFamily="34" charset="0"/>
              <a:cs typeface="Arial" panose="020B0604020202020204" pitchFamily="34" charset="0"/>
            </a:rPr>
            <a:t> only</a:t>
          </a:r>
          <a:endParaRPr lang="en-AU" sz="7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0.58333</cdr:x>
      <cdr:y>0.00868</cdr:y>
    </cdr:from>
    <cdr:to>
      <cdr:x>0.92708</cdr:x>
      <cdr:y>0.13368</cdr:y>
    </cdr:to>
    <cdr:sp macro="" textlink="">
      <cdr:nvSpPr>
        <cdr:cNvPr id="2" name="TextBox 1"/>
        <cdr:cNvSpPr txBox="1"/>
      </cdr:nvSpPr>
      <cdr:spPr>
        <a:xfrm xmlns:a="http://schemas.openxmlformats.org/drawingml/2006/main">
          <a:off x="2666985" y="23820"/>
          <a:ext cx="157162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 Benchmarking RIN</a:t>
          </a:r>
        </a:p>
      </cdr:txBody>
    </cdr:sp>
  </cdr:relSizeAnchor>
</c:userShapes>
</file>

<file path=word/drawings/drawing4.xml><?xml version="1.0" encoding="utf-8"?>
<c:userShapes xmlns:c="http://schemas.openxmlformats.org/drawingml/2006/chart">
  <cdr:relSizeAnchor xmlns:cdr="http://schemas.openxmlformats.org/drawingml/2006/chartDrawing">
    <cdr:from>
      <cdr:x>0.55114</cdr:x>
      <cdr:y>0.02951</cdr:y>
    </cdr:from>
    <cdr:to>
      <cdr:x>0.89489</cdr:x>
      <cdr:y>0.15451</cdr:y>
    </cdr:to>
    <cdr:sp macro="" textlink="">
      <cdr:nvSpPr>
        <cdr:cNvPr id="2" name="TextBox 1"/>
        <cdr:cNvSpPr txBox="1"/>
      </cdr:nvSpPr>
      <cdr:spPr>
        <a:xfrm xmlns:a="http://schemas.openxmlformats.org/drawingml/2006/main">
          <a:off x="2609040" y="80961"/>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Ausgrid</a:t>
          </a:r>
          <a:r>
            <a:rPr lang="en-AU" sz="800" baseline="0"/>
            <a:t> proposed post tax revenue model</a:t>
          </a:r>
          <a:endParaRPr lang="en-AU" sz="800"/>
        </a:p>
      </cdr:txBody>
    </cdr:sp>
  </cdr:relSizeAnchor>
</c:userShapes>
</file>

<file path=word/drawings/drawing5.xml><?xml version="1.0" encoding="utf-8"?>
<c:userShapes xmlns:c="http://schemas.openxmlformats.org/drawingml/2006/chart">
  <cdr:relSizeAnchor xmlns:cdr="http://schemas.openxmlformats.org/drawingml/2006/chartDrawing">
    <cdr:from>
      <cdr:x>0.43611</cdr:x>
      <cdr:y>0.05671</cdr:y>
    </cdr:from>
    <cdr:to>
      <cdr:x>0.79204</cdr:x>
      <cdr:y>0.18171</cdr:y>
    </cdr:to>
    <cdr:sp macro="" textlink="">
      <cdr:nvSpPr>
        <cdr:cNvPr id="2" name="TextBox 1"/>
        <cdr:cNvSpPr txBox="1"/>
      </cdr:nvSpPr>
      <cdr:spPr>
        <a:xfrm xmlns:a="http://schemas.openxmlformats.org/drawingml/2006/main">
          <a:off x="1993900" y="155575"/>
          <a:ext cx="1627287" cy="342900"/>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t>*Source (actual RAB): Economic</a:t>
          </a:r>
          <a:r>
            <a:rPr lang="en-AU" sz="800" baseline="0"/>
            <a:t> Benchmarking RIN</a:t>
          </a:r>
          <a:endParaRPr lang="en-AU" sz="800"/>
        </a:p>
      </cdr:txBody>
    </cdr:sp>
  </cdr:relSizeAnchor>
</c:userShapes>
</file>

<file path=word/drawings/drawing6.xml><?xml version="1.0" encoding="utf-8"?>
<c:userShapes xmlns:c="http://schemas.openxmlformats.org/drawingml/2006/chart">
  <cdr:relSizeAnchor xmlns:cdr="http://schemas.openxmlformats.org/drawingml/2006/chartDrawing">
    <cdr:from>
      <cdr:x>0.55114</cdr:x>
      <cdr:y>0.02951</cdr:y>
    </cdr:from>
    <cdr:to>
      <cdr:x>0.89489</cdr:x>
      <cdr:y>0.15451</cdr:y>
    </cdr:to>
    <cdr:sp macro="" textlink="">
      <cdr:nvSpPr>
        <cdr:cNvPr id="2" name="TextBox 1"/>
        <cdr:cNvSpPr txBox="1"/>
      </cdr:nvSpPr>
      <cdr:spPr>
        <a:xfrm xmlns:a="http://schemas.openxmlformats.org/drawingml/2006/main">
          <a:off x="2609040" y="80961"/>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 Benchmarking RIN</a:t>
          </a:r>
          <a:r>
            <a:rPr lang="en-AU" sz="800" baseline="0"/>
            <a:t>l</a:t>
          </a:r>
          <a:endParaRPr lang="en-AU" sz="800"/>
        </a:p>
      </cdr:txBody>
    </cdr:sp>
  </cdr:relSizeAnchor>
</c:userShapes>
</file>

<file path=word/drawings/drawing7.xml><?xml version="1.0" encoding="utf-8"?>
<c:userShapes xmlns:c="http://schemas.openxmlformats.org/drawingml/2006/chart">
  <cdr:relSizeAnchor xmlns:cdr="http://schemas.openxmlformats.org/drawingml/2006/chartDrawing">
    <cdr:from>
      <cdr:x>0.527</cdr:x>
      <cdr:y>0.03298</cdr:y>
    </cdr:from>
    <cdr:to>
      <cdr:x>0.87075</cdr:x>
      <cdr:y>0.15798</cdr:y>
    </cdr:to>
    <cdr:sp macro="" textlink="">
      <cdr:nvSpPr>
        <cdr:cNvPr id="2" name="TextBox 1"/>
        <cdr:cNvSpPr txBox="1"/>
      </cdr:nvSpPr>
      <cdr:spPr>
        <a:xfrm xmlns:a="http://schemas.openxmlformats.org/drawingml/2006/main">
          <a:off x="2494755" y="90477"/>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 Benchmarking RIN</a:t>
          </a:r>
        </a:p>
      </cdr:txBody>
    </cdr:sp>
  </cdr:relSizeAnchor>
</c:userShapes>
</file>

<file path=word/drawings/drawing8.xml><?xml version="1.0" encoding="utf-8"?>
<c:userShapes xmlns:c="http://schemas.openxmlformats.org/drawingml/2006/chart">
  <cdr:relSizeAnchor xmlns:cdr="http://schemas.openxmlformats.org/drawingml/2006/chartDrawing">
    <cdr:from>
      <cdr:x>0.527</cdr:x>
      <cdr:y>0.03298</cdr:y>
    </cdr:from>
    <cdr:to>
      <cdr:x>0.87075</cdr:x>
      <cdr:y>0.15798</cdr:y>
    </cdr:to>
    <cdr:sp macro="" textlink="">
      <cdr:nvSpPr>
        <cdr:cNvPr id="2" name="TextBox 1"/>
        <cdr:cNvSpPr txBox="1"/>
      </cdr:nvSpPr>
      <cdr:spPr>
        <a:xfrm xmlns:a="http://schemas.openxmlformats.org/drawingml/2006/main">
          <a:off x="2494755" y="90477"/>
          <a:ext cx="1627287"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 Benchmarking RIN</a:t>
          </a:r>
        </a:p>
      </cdr:txBody>
    </cdr:sp>
  </cdr:relSizeAnchor>
</c:userShapes>
</file>

<file path=word/drawings/drawing9.xml><?xml version="1.0" encoding="utf-8"?>
<c:userShapes xmlns:c="http://schemas.openxmlformats.org/drawingml/2006/chart">
  <cdr:relSizeAnchor xmlns:cdr="http://schemas.openxmlformats.org/drawingml/2006/chartDrawing">
    <cdr:from>
      <cdr:x>0.55114</cdr:x>
      <cdr:y>0.02951</cdr:y>
    </cdr:from>
    <cdr:to>
      <cdr:x>0.89489</cdr:x>
      <cdr:y>0.15451</cdr:y>
    </cdr:to>
    <cdr:sp macro="" textlink="">
      <cdr:nvSpPr>
        <cdr:cNvPr id="2" name="TextBox 1"/>
        <cdr:cNvSpPr txBox="1"/>
      </cdr:nvSpPr>
      <cdr:spPr>
        <a:xfrm xmlns:a="http://schemas.openxmlformats.org/drawingml/2006/main">
          <a:off x="2609055" y="78141"/>
          <a:ext cx="1627287" cy="330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*Source (actual RAB): Economic</a:t>
          </a:r>
          <a:r>
            <a:rPr lang="en-AU" sz="800" baseline="0"/>
            <a:t> Benchmarking RIN</a:t>
          </a:r>
          <a:endParaRPr lang="en-AU" sz="800"/>
        </a:p>
      </cdr:txBody>
    </cdr:sp>
  </cdr:relSizeAnchor>
</c:userShape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76EE8B0D</Template>
  <TotalTime>0</TotalTime>
  <Pages>174</Pages>
  <Words>28950</Words>
  <Characters>165015</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2015-06-30T02:56:00Z</dcterms:created>
  <dcterms:modified xsi:type="dcterms:W3CDTF">2015-06-30T03:00:00Z</dcterms:modified>
</cp:coreProperties>
</file>