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13AF76A3" wp14:editId="4D66F972">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694ED3" w:rsidP="002A4EF8">
      <w:pPr>
        <w:rPr>
          <w:b/>
          <w:sz w:val="36"/>
          <w:szCs w:val="36"/>
        </w:rPr>
      </w:pPr>
      <w:r>
        <w:rPr>
          <w:b/>
          <w:sz w:val="36"/>
          <w:szCs w:val="36"/>
        </w:rPr>
        <w:t>16</w:t>
      </w:r>
      <w:r w:rsidR="002A4EC8">
        <w:rPr>
          <w:b/>
          <w:sz w:val="36"/>
          <w:szCs w:val="36"/>
        </w:rPr>
        <w:t xml:space="preserve"> - </w:t>
      </w:r>
      <w:r>
        <w:rPr>
          <w:b/>
          <w:sz w:val="36"/>
          <w:szCs w:val="36"/>
        </w:rPr>
        <w:t>22</w:t>
      </w:r>
      <w:r w:rsidR="00432A51">
        <w:rPr>
          <w:b/>
          <w:sz w:val="36"/>
          <w:szCs w:val="36"/>
        </w:rPr>
        <w:t> </w:t>
      </w:r>
      <w:r w:rsidR="00F76B1F">
        <w:rPr>
          <w:b/>
          <w:sz w:val="36"/>
          <w:szCs w:val="36"/>
        </w:rPr>
        <w:t>July</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D3136F" w:rsidRPr="0000255F">
        <w:t xml:space="preserve">Figure </w:t>
      </w:r>
      <w:r w:rsidR="00D3136F">
        <w:t>1</w:t>
      </w:r>
      <w:r w:rsidRPr="00F21187">
        <w:fldChar w:fldCharType="end"/>
      </w:r>
      <w:r w:rsidRPr="00F21187">
        <w:t xml:space="preserve"> </w:t>
      </w:r>
      <w:r w:rsidR="00AF7058" w:rsidRPr="00F21187">
        <w:t xml:space="preserve">shows the spot prices that occurred in each region during the week </w:t>
      </w:r>
      <w:r w:rsidR="00694ED3">
        <w:t>16</w:t>
      </w:r>
      <w:r w:rsidR="00D81099">
        <w:t xml:space="preserve"> - </w:t>
      </w:r>
      <w:r w:rsidR="00694ED3">
        <w:t>22</w:t>
      </w:r>
      <w:r w:rsidR="00D94449">
        <w:t> </w:t>
      </w:r>
      <w:r w:rsidR="00F76B1F">
        <w:t>July</w:t>
      </w:r>
      <w:r w:rsidR="002A4EC8">
        <w:t>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r w:rsidR="00D3136F">
        <w:fldChar w:fldCharType="begin"/>
      </w:r>
      <w:r w:rsidR="00D3136F">
        <w:instrText xml:space="preserve"> SEQ Figure \* ARABIC </w:instrText>
      </w:r>
      <w:r w:rsidR="00D3136F">
        <w:fldChar w:fldCharType="separate"/>
      </w:r>
      <w:r w:rsidR="00D3136F">
        <w:rPr>
          <w:noProof/>
        </w:rPr>
        <w:t>1</w:t>
      </w:r>
      <w:r w:rsidR="00D3136F">
        <w:rPr>
          <w:noProof/>
        </w:rPr>
        <w:fldChar w:fldCharType="end"/>
      </w:r>
      <w:bookmarkEnd w:id="6"/>
      <w:r w:rsidRPr="0000255F">
        <w:t>: Spot price by region ($/MWh)</w:t>
      </w:r>
    </w:p>
    <w:p w:rsidR="00EC05BF" w:rsidRDefault="00694ED3" w:rsidP="00C4712A">
      <w:pPr>
        <w:pStyle w:val="Caption"/>
        <w:rPr>
          <w:bCs w:val="0"/>
          <w:lang w:eastAsia="en-AU"/>
        </w:rPr>
      </w:pPr>
      <w:r w:rsidRPr="00694ED3">
        <w:rPr>
          <w:noProof/>
          <w:lang w:eastAsia="en-AU"/>
        </w:rPr>
        <w:drawing>
          <wp:inline distT="0" distB="0" distL="0" distR="0" wp14:anchorId="7D3638DA" wp14:editId="24300859">
            <wp:extent cx="5731510" cy="2859781"/>
            <wp:effectExtent l="0" t="0" r="2540" b="0"/>
            <wp:docPr id="6" name="Picture 6"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D3136F" w:rsidRPr="0000255F">
        <w:t xml:space="preserve">Figure </w:t>
      </w:r>
      <w:r w:rsidR="00D3136F">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D3136F" w:rsidRPr="00686EDE">
        <w:t xml:space="preserve">Table </w:t>
      </w:r>
      <w:r w:rsidR="00D3136F">
        <w:t>1</w:t>
      </w:r>
      <w:r w:rsidRPr="000938FB">
        <w:fldChar w:fldCharType="end"/>
      </w:r>
      <w:r w:rsidRPr="000938FB">
        <w:t xml:space="preserve">) and the preceding 12 weeks, as well as the VWA price over the previous </w:t>
      </w:r>
      <w:r w:rsidR="00694ED3">
        <w:t>three</w:t>
      </w:r>
      <w:r w:rsidRPr="000938FB">
        <w:t>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r w:rsidR="00D3136F">
        <w:fldChar w:fldCharType="begin"/>
      </w:r>
      <w:r w:rsidR="00D3136F">
        <w:instrText xml:space="preserve"> SEQ Figure \* ARABIC </w:instrText>
      </w:r>
      <w:r w:rsidR="00D3136F">
        <w:fldChar w:fldCharType="separate"/>
      </w:r>
      <w:r w:rsidR="00D3136F">
        <w:rPr>
          <w:noProof/>
        </w:rPr>
        <w:t>2</w:t>
      </w:r>
      <w:r w:rsidR="00D3136F">
        <w:rPr>
          <w:noProof/>
        </w:rPr>
        <w:fldChar w:fldCharType="end"/>
      </w:r>
      <w:bookmarkEnd w:id="9"/>
      <w:r w:rsidRPr="0000255F">
        <w:t>: Volume weighted average spot price by region ($/MWh)</w:t>
      </w:r>
    </w:p>
    <w:p w:rsidR="001F22EE" w:rsidRDefault="00694ED3" w:rsidP="00F167CF">
      <w:pPr>
        <w:spacing w:before="0" w:after="120" w:line="240" w:lineRule="auto"/>
      </w:pPr>
      <w:r w:rsidRPr="00694ED3">
        <w:rPr>
          <w:noProof/>
          <w:lang w:eastAsia="en-AU"/>
        </w:rPr>
        <w:drawing>
          <wp:inline distT="0" distB="0" distL="0" distR="0" wp14:anchorId="1D1FC958" wp14:editId="677BEF56">
            <wp:extent cx="5731510" cy="2859781"/>
            <wp:effectExtent l="0" t="0" r="2540" b="0"/>
            <wp:docPr id="8" name="Picture 8"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r w:rsidR="00D3136F">
        <w:fldChar w:fldCharType="begin"/>
      </w:r>
      <w:r w:rsidR="00D3136F">
        <w:instrText xml:space="preserve"> SEQ Table \* ARABIC </w:instrText>
      </w:r>
      <w:r w:rsidR="00D3136F">
        <w:fldChar w:fldCharType="separate"/>
      </w:r>
      <w:r w:rsidR="00D3136F">
        <w:rPr>
          <w:noProof/>
        </w:rPr>
        <w:t>1</w:t>
      </w:r>
      <w:r w:rsidR="00D3136F">
        <w:rPr>
          <w:noProof/>
        </w:rPr>
        <w:fldChar w:fldCharType="end"/>
      </w:r>
      <w:bookmarkEnd w:id="10"/>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694ED3" w:rsidRPr="00C4712A" w:rsidTr="00E546E6">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694ED3" w:rsidRPr="004B59AD" w:rsidRDefault="00694ED3" w:rsidP="007672FB">
            <w:pPr>
              <w:spacing w:after="0" w:line="240" w:lineRule="auto"/>
              <w:rPr>
                <w:rFonts w:cs="Arial"/>
                <w:bCs/>
                <w:szCs w:val="18"/>
              </w:rPr>
            </w:pPr>
            <w:r w:rsidRPr="00694ED3">
              <w:rPr>
                <w:rFonts w:cs="Arial"/>
                <w:bCs/>
                <w:sz w:val="20"/>
                <w:szCs w:val="18"/>
              </w:rPr>
              <w:t>Current week</w:t>
            </w:r>
          </w:p>
        </w:tc>
        <w:tc>
          <w:tcPr>
            <w:tcW w:w="728" w:type="pct"/>
            <w:noWrap/>
            <w:vAlign w:val="center"/>
          </w:tcPr>
          <w:p w:rsidR="00694ED3" w:rsidRDefault="00694ED3" w:rsidP="007672FB">
            <w:pPr>
              <w:spacing w:after="0" w:line="240" w:lineRule="auto"/>
              <w:jc w:val="center"/>
              <w:rPr>
                <w:rFonts w:cs="Arial"/>
                <w:sz w:val="20"/>
                <w:szCs w:val="20"/>
              </w:rPr>
            </w:pPr>
            <w:r>
              <w:rPr>
                <w:rFonts w:cs="Arial"/>
                <w:sz w:val="20"/>
                <w:szCs w:val="20"/>
              </w:rPr>
              <w:t>82</w:t>
            </w:r>
          </w:p>
        </w:tc>
        <w:tc>
          <w:tcPr>
            <w:tcW w:w="729" w:type="pct"/>
            <w:noWrap/>
            <w:vAlign w:val="center"/>
          </w:tcPr>
          <w:p w:rsidR="00694ED3" w:rsidRDefault="00694ED3" w:rsidP="007672FB">
            <w:pPr>
              <w:spacing w:after="0" w:line="240" w:lineRule="auto"/>
              <w:jc w:val="center"/>
              <w:rPr>
                <w:rFonts w:cs="Arial"/>
                <w:sz w:val="20"/>
                <w:szCs w:val="20"/>
              </w:rPr>
            </w:pPr>
            <w:r>
              <w:rPr>
                <w:rFonts w:cs="Arial"/>
                <w:sz w:val="20"/>
                <w:szCs w:val="20"/>
              </w:rPr>
              <w:t>92</w:t>
            </w:r>
          </w:p>
        </w:tc>
        <w:tc>
          <w:tcPr>
            <w:tcW w:w="728" w:type="pct"/>
            <w:noWrap/>
            <w:vAlign w:val="center"/>
          </w:tcPr>
          <w:p w:rsidR="00694ED3" w:rsidRDefault="00694ED3" w:rsidP="007672FB">
            <w:pPr>
              <w:spacing w:after="0" w:line="240" w:lineRule="auto"/>
              <w:jc w:val="center"/>
              <w:rPr>
                <w:rFonts w:cs="Arial"/>
                <w:sz w:val="20"/>
                <w:szCs w:val="20"/>
              </w:rPr>
            </w:pPr>
            <w:r>
              <w:rPr>
                <w:rFonts w:cs="Arial"/>
                <w:sz w:val="20"/>
                <w:szCs w:val="20"/>
              </w:rPr>
              <w:t>111</w:t>
            </w:r>
          </w:p>
        </w:tc>
        <w:tc>
          <w:tcPr>
            <w:tcW w:w="729" w:type="pct"/>
            <w:noWrap/>
            <w:vAlign w:val="center"/>
          </w:tcPr>
          <w:p w:rsidR="00694ED3" w:rsidRDefault="00694ED3" w:rsidP="007672FB">
            <w:pPr>
              <w:spacing w:after="0" w:line="240" w:lineRule="auto"/>
              <w:jc w:val="center"/>
              <w:rPr>
                <w:rFonts w:cs="Arial"/>
                <w:sz w:val="20"/>
                <w:szCs w:val="20"/>
              </w:rPr>
            </w:pPr>
            <w:r>
              <w:rPr>
                <w:rFonts w:cs="Arial"/>
                <w:sz w:val="20"/>
                <w:szCs w:val="20"/>
              </w:rPr>
              <w:t>104</w:t>
            </w:r>
          </w:p>
        </w:tc>
        <w:tc>
          <w:tcPr>
            <w:tcW w:w="729" w:type="pct"/>
            <w:noWrap/>
            <w:vAlign w:val="center"/>
          </w:tcPr>
          <w:p w:rsidR="00694ED3" w:rsidRDefault="00694ED3" w:rsidP="007672FB">
            <w:pPr>
              <w:spacing w:after="0" w:line="240" w:lineRule="auto"/>
              <w:jc w:val="center"/>
              <w:rPr>
                <w:rFonts w:cs="Arial"/>
                <w:sz w:val="20"/>
                <w:szCs w:val="20"/>
              </w:rPr>
            </w:pPr>
            <w:r>
              <w:rPr>
                <w:rFonts w:cs="Arial"/>
                <w:sz w:val="20"/>
                <w:szCs w:val="20"/>
              </w:rPr>
              <w:t>112</w:t>
            </w:r>
          </w:p>
        </w:tc>
      </w:tr>
      <w:tr w:rsidR="00694ED3" w:rsidRPr="00C4712A" w:rsidTr="00792E43">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694ED3" w:rsidRPr="00A915CE" w:rsidRDefault="00694ED3" w:rsidP="007672FB">
            <w:pPr>
              <w:spacing w:after="0" w:line="240" w:lineRule="auto"/>
              <w:rPr>
                <w:rFonts w:cs="Arial"/>
                <w:sz w:val="20"/>
                <w:szCs w:val="20"/>
              </w:rPr>
            </w:pPr>
            <w:r w:rsidRPr="00A915CE">
              <w:rPr>
                <w:rFonts w:cs="Arial"/>
                <w:sz w:val="20"/>
                <w:szCs w:val="20"/>
              </w:rPr>
              <w:t>16-17 financial YTD</w:t>
            </w:r>
          </w:p>
        </w:tc>
        <w:tc>
          <w:tcPr>
            <w:tcW w:w="728" w:type="pct"/>
            <w:noWrap/>
            <w:vAlign w:val="center"/>
          </w:tcPr>
          <w:p w:rsidR="00694ED3" w:rsidRDefault="00694ED3" w:rsidP="007672FB">
            <w:pPr>
              <w:spacing w:after="0" w:line="240" w:lineRule="auto"/>
              <w:jc w:val="center"/>
              <w:rPr>
                <w:rFonts w:cs="Arial"/>
                <w:sz w:val="20"/>
                <w:szCs w:val="20"/>
              </w:rPr>
            </w:pPr>
            <w:r>
              <w:rPr>
                <w:rFonts w:cs="Arial"/>
                <w:sz w:val="20"/>
                <w:szCs w:val="20"/>
              </w:rPr>
              <w:t>73</w:t>
            </w:r>
          </w:p>
        </w:tc>
        <w:tc>
          <w:tcPr>
            <w:tcW w:w="729" w:type="pct"/>
            <w:noWrap/>
            <w:vAlign w:val="center"/>
          </w:tcPr>
          <w:p w:rsidR="00694ED3" w:rsidRDefault="00694ED3" w:rsidP="007672FB">
            <w:pPr>
              <w:spacing w:after="0" w:line="240" w:lineRule="auto"/>
              <w:jc w:val="center"/>
              <w:rPr>
                <w:rFonts w:cs="Arial"/>
                <w:sz w:val="20"/>
                <w:szCs w:val="20"/>
              </w:rPr>
            </w:pPr>
            <w:r>
              <w:rPr>
                <w:rFonts w:cs="Arial"/>
                <w:sz w:val="20"/>
                <w:szCs w:val="20"/>
              </w:rPr>
              <w:t>82</w:t>
            </w:r>
          </w:p>
        </w:tc>
        <w:tc>
          <w:tcPr>
            <w:tcW w:w="728" w:type="pct"/>
            <w:noWrap/>
            <w:vAlign w:val="center"/>
          </w:tcPr>
          <w:p w:rsidR="00694ED3" w:rsidRDefault="00694ED3" w:rsidP="007672FB">
            <w:pPr>
              <w:spacing w:after="0" w:line="240" w:lineRule="auto"/>
              <w:jc w:val="center"/>
              <w:rPr>
                <w:rFonts w:cs="Arial"/>
                <w:sz w:val="20"/>
                <w:szCs w:val="20"/>
              </w:rPr>
            </w:pPr>
            <w:r>
              <w:rPr>
                <w:rFonts w:cs="Arial"/>
                <w:sz w:val="20"/>
                <w:szCs w:val="20"/>
              </w:rPr>
              <w:t>80</w:t>
            </w:r>
          </w:p>
        </w:tc>
        <w:tc>
          <w:tcPr>
            <w:tcW w:w="729" w:type="pct"/>
            <w:noWrap/>
            <w:vAlign w:val="center"/>
          </w:tcPr>
          <w:p w:rsidR="00694ED3" w:rsidRDefault="00694ED3" w:rsidP="007672FB">
            <w:pPr>
              <w:spacing w:after="0" w:line="240" w:lineRule="auto"/>
              <w:jc w:val="center"/>
              <w:rPr>
                <w:rFonts w:cs="Arial"/>
                <w:sz w:val="20"/>
                <w:szCs w:val="20"/>
              </w:rPr>
            </w:pPr>
            <w:r>
              <w:rPr>
                <w:rFonts w:cs="Arial"/>
                <w:sz w:val="20"/>
                <w:szCs w:val="20"/>
              </w:rPr>
              <w:t>330</w:t>
            </w:r>
          </w:p>
        </w:tc>
        <w:tc>
          <w:tcPr>
            <w:tcW w:w="729" w:type="pct"/>
            <w:noWrap/>
            <w:vAlign w:val="center"/>
          </w:tcPr>
          <w:p w:rsidR="00694ED3" w:rsidRDefault="00694ED3" w:rsidP="007672FB">
            <w:pPr>
              <w:spacing w:after="0" w:line="240" w:lineRule="auto"/>
              <w:jc w:val="center"/>
              <w:rPr>
                <w:rFonts w:cs="Arial"/>
                <w:sz w:val="20"/>
                <w:szCs w:val="20"/>
              </w:rPr>
            </w:pPr>
            <w:r>
              <w:rPr>
                <w:rFonts w:cs="Arial"/>
                <w:sz w:val="20"/>
                <w:szCs w:val="20"/>
              </w:rPr>
              <w:t>79</w:t>
            </w:r>
          </w:p>
        </w:tc>
      </w:tr>
      <w:tr w:rsidR="00694ED3" w:rsidRPr="00C4712A" w:rsidTr="00792E43">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vAlign w:val="center"/>
            <w:hideMark/>
          </w:tcPr>
          <w:p w:rsidR="00694ED3" w:rsidRPr="00A915CE" w:rsidRDefault="00694ED3" w:rsidP="007672FB">
            <w:pPr>
              <w:spacing w:after="0" w:line="240" w:lineRule="auto"/>
              <w:rPr>
                <w:rFonts w:cs="Arial"/>
                <w:sz w:val="20"/>
                <w:szCs w:val="20"/>
              </w:rPr>
            </w:pPr>
            <w:r w:rsidRPr="00A915CE">
              <w:rPr>
                <w:rFonts w:cs="Arial"/>
                <w:sz w:val="20"/>
                <w:szCs w:val="20"/>
              </w:rPr>
              <w:t>17-18 financial YTD</w:t>
            </w:r>
          </w:p>
        </w:tc>
        <w:tc>
          <w:tcPr>
            <w:tcW w:w="728" w:type="pct"/>
            <w:noWrap/>
            <w:vAlign w:val="center"/>
          </w:tcPr>
          <w:p w:rsidR="00694ED3" w:rsidRDefault="00694ED3" w:rsidP="007672FB">
            <w:pPr>
              <w:spacing w:after="0" w:line="240" w:lineRule="auto"/>
              <w:jc w:val="center"/>
              <w:rPr>
                <w:rFonts w:cs="Arial"/>
                <w:sz w:val="20"/>
                <w:szCs w:val="20"/>
              </w:rPr>
            </w:pPr>
            <w:r>
              <w:rPr>
                <w:rFonts w:cs="Arial"/>
                <w:sz w:val="20"/>
                <w:szCs w:val="20"/>
              </w:rPr>
              <w:t>77</w:t>
            </w:r>
          </w:p>
        </w:tc>
        <w:tc>
          <w:tcPr>
            <w:tcW w:w="729" w:type="pct"/>
            <w:noWrap/>
            <w:vAlign w:val="center"/>
          </w:tcPr>
          <w:p w:rsidR="00694ED3" w:rsidRDefault="00694ED3" w:rsidP="007672FB">
            <w:pPr>
              <w:spacing w:after="0" w:line="240" w:lineRule="auto"/>
              <w:jc w:val="center"/>
              <w:rPr>
                <w:rFonts w:cs="Arial"/>
                <w:sz w:val="20"/>
                <w:szCs w:val="20"/>
              </w:rPr>
            </w:pPr>
            <w:r>
              <w:rPr>
                <w:rFonts w:cs="Arial"/>
                <w:sz w:val="20"/>
                <w:szCs w:val="20"/>
              </w:rPr>
              <w:t>90</w:t>
            </w:r>
          </w:p>
        </w:tc>
        <w:tc>
          <w:tcPr>
            <w:tcW w:w="728" w:type="pct"/>
            <w:noWrap/>
            <w:vAlign w:val="center"/>
          </w:tcPr>
          <w:p w:rsidR="00694ED3" w:rsidRDefault="00694ED3" w:rsidP="007672FB">
            <w:pPr>
              <w:spacing w:after="0" w:line="240" w:lineRule="auto"/>
              <w:jc w:val="center"/>
              <w:rPr>
                <w:rFonts w:cs="Arial"/>
                <w:sz w:val="20"/>
                <w:szCs w:val="20"/>
              </w:rPr>
            </w:pPr>
            <w:r>
              <w:rPr>
                <w:rFonts w:cs="Arial"/>
                <w:sz w:val="20"/>
                <w:szCs w:val="20"/>
              </w:rPr>
              <w:t>122</w:t>
            </w:r>
          </w:p>
        </w:tc>
        <w:tc>
          <w:tcPr>
            <w:tcW w:w="729" w:type="pct"/>
            <w:noWrap/>
            <w:vAlign w:val="center"/>
          </w:tcPr>
          <w:p w:rsidR="00694ED3" w:rsidRDefault="00694ED3" w:rsidP="007672FB">
            <w:pPr>
              <w:spacing w:after="0" w:line="240" w:lineRule="auto"/>
              <w:jc w:val="center"/>
              <w:rPr>
                <w:rFonts w:cs="Arial"/>
                <w:sz w:val="20"/>
                <w:szCs w:val="20"/>
              </w:rPr>
            </w:pPr>
            <w:r>
              <w:rPr>
                <w:rFonts w:cs="Arial"/>
                <w:sz w:val="20"/>
                <w:szCs w:val="20"/>
              </w:rPr>
              <w:t>120</w:t>
            </w:r>
          </w:p>
        </w:tc>
        <w:tc>
          <w:tcPr>
            <w:tcW w:w="729" w:type="pct"/>
            <w:noWrap/>
            <w:vAlign w:val="center"/>
          </w:tcPr>
          <w:p w:rsidR="00694ED3" w:rsidRDefault="00694ED3" w:rsidP="007672FB">
            <w:pPr>
              <w:spacing w:after="0" w:line="240" w:lineRule="auto"/>
              <w:jc w:val="center"/>
              <w:rPr>
                <w:rFonts w:cs="Arial"/>
                <w:sz w:val="20"/>
                <w:szCs w:val="20"/>
              </w:rPr>
            </w:pPr>
            <w:r>
              <w:rPr>
                <w:rFonts w:cs="Arial"/>
                <w:sz w:val="20"/>
                <w:szCs w:val="20"/>
              </w:rPr>
              <w:t>122</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694ED3">
        <w:t>153</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D3136F" w:rsidRPr="00686EDE">
        <w:t xml:space="preserve">Table </w:t>
      </w:r>
      <w:r w:rsidR="00D3136F">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865A94" w:rsidRDefault="00275002" w:rsidP="000E2946">
      <w:pPr>
        <w:pStyle w:val="Caption"/>
      </w:pPr>
      <w:bookmarkStart w:id="11" w:name="_Ref410993002"/>
      <w:bookmarkStart w:id="12" w:name="_Ref410992996"/>
      <w:r w:rsidRPr="00686EDE">
        <w:lastRenderedPageBreak/>
        <w:t xml:space="preserve">Table </w:t>
      </w:r>
      <w:r w:rsidR="00D3136F">
        <w:fldChar w:fldCharType="begin"/>
      </w:r>
      <w:r w:rsidR="00D3136F">
        <w:instrText xml:space="preserve"> SEQ Table \* ARABIC </w:instrText>
      </w:r>
      <w:r w:rsidR="00D3136F">
        <w:fldChar w:fldCharType="separate"/>
      </w:r>
      <w:r w:rsidR="00D3136F">
        <w:rPr>
          <w:noProof/>
        </w:rPr>
        <w:t>2</w:t>
      </w:r>
      <w:r w:rsidR="00D3136F">
        <w:rPr>
          <w:noProof/>
        </w:rPr>
        <w:fldChar w:fldCharType="end"/>
      </w:r>
      <w:bookmarkEnd w:id="11"/>
      <w:r w:rsidRPr="00865A94">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865A94"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865A94" w:rsidRDefault="00B92CD5" w:rsidP="00003169">
            <w:pPr>
              <w:jc w:val="center"/>
            </w:pPr>
          </w:p>
        </w:tc>
        <w:tc>
          <w:tcPr>
            <w:tcW w:w="1571" w:type="dxa"/>
            <w:noWrap/>
            <w:hideMark/>
          </w:tcPr>
          <w:p w:rsidR="00B92CD5" w:rsidRPr="00865A94" w:rsidRDefault="00B92CD5" w:rsidP="00003169">
            <w:pPr>
              <w:jc w:val="center"/>
              <w:rPr>
                <w:sz w:val="20"/>
              </w:rPr>
            </w:pPr>
            <w:r w:rsidRPr="00865A94">
              <w:rPr>
                <w:sz w:val="20"/>
              </w:rPr>
              <w:t>Availability</w:t>
            </w:r>
          </w:p>
        </w:tc>
        <w:tc>
          <w:tcPr>
            <w:tcW w:w="1572" w:type="dxa"/>
            <w:noWrap/>
            <w:hideMark/>
          </w:tcPr>
          <w:p w:rsidR="00B92CD5" w:rsidRPr="00865A94" w:rsidRDefault="00B92CD5" w:rsidP="00003169">
            <w:pPr>
              <w:jc w:val="center"/>
              <w:rPr>
                <w:sz w:val="20"/>
              </w:rPr>
            </w:pPr>
            <w:r w:rsidRPr="00865A94">
              <w:rPr>
                <w:sz w:val="20"/>
              </w:rPr>
              <w:t>Demand</w:t>
            </w:r>
          </w:p>
        </w:tc>
        <w:tc>
          <w:tcPr>
            <w:tcW w:w="1572" w:type="dxa"/>
            <w:noWrap/>
            <w:hideMark/>
          </w:tcPr>
          <w:p w:rsidR="00B92CD5" w:rsidRPr="00865A94" w:rsidRDefault="00B92CD5" w:rsidP="00003169">
            <w:pPr>
              <w:jc w:val="center"/>
              <w:rPr>
                <w:sz w:val="20"/>
              </w:rPr>
            </w:pPr>
            <w:r w:rsidRPr="00865A94">
              <w:rPr>
                <w:sz w:val="20"/>
              </w:rPr>
              <w:t>Network</w:t>
            </w:r>
          </w:p>
        </w:tc>
        <w:tc>
          <w:tcPr>
            <w:tcW w:w="1572" w:type="dxa"/>
            <w:hideMark/>
          </w:tcPr>
          <w:p w:rsidR="00B92CD5" w:rsidRPr="00865A94" w:rsidRDefault="00B92CD5" w:rsidP="00003169">
            <w:pPr>
              <w:jc w:val="center"/>
              <w:rPr>
                <w:sz w:val="20"/>
              </w:rPr>
            </w:pPr>
            <w:r w:rsidRPr="00865A94">
              <w:rPr>
                <w:sz w:val="20"/>
              </w:rPr>
              <w:t>Combination</w:t>
            </w:r>
          </w:p>
        </w:tc>
      </w:tr>
      <w:tr w:rsidR="00694ED3" w:rsidRPr="00865A94"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694ED3" w:rsidRPr="00865A94" w:rsidRDefault="00694ED3" w:rsidP="008E7AE1">
            <w:pPr>
              <w:spacing w:after="0" w:line="240" w:lineRule="auto"/>
              <w:rPr>
                <w:sz w:val="20"/>
                <w:szCs w:val="20"/>
              </w:rPr>
            </w:pPr>
            <w:r w:rsidRPr="00865A94">
              <w:rPr>
                <w:sz w:val="20"/>
                <w:szCs w:val="20"/>
              </w:rPr>
              <w:t>% of total above forecast</w:t>
            </w:r>
          </w:p>
        </w:tc>
        <w:tc>
          <w:tcPr>
            <w:tcW w:w="1571" w:type="dxa"/>
            <w:noWrap/>
            <w:vAlign w:val="center"/>
          </w:tcPr>
          <w:p w:rsidR="00694ED3" w:rsidRDefault="00694ED3" w:rsidP="007672FB">
            <w:pPr>
              <w:spacing w:after="0" w:line="240" w:lineRule="auto"/>
              <w:jc w:val="center"/>
              <w:rPr>
                <w:rFonts w:cs="Arial"/>
                <w:sz w:val="20"/>
                <w:szCs w:val="20"/>
              </w:rPr>
            </w:pPr>
            <w:r>
              <w:rPr>
                <w:rFonts w:cs="Arial"/>
                <w:sz w:val="20"/>
                <w:szCs w:val="20"/>
              </w:rPr>
              <w:t>5</w:t>
            </w:r>
          </w:p>
        </w:tc>
        <w:tc>
          <w:tcPr>
            <w:tcW w:w="1572" w:type="dxa"/>
            <w:noWrap/>
            <w:vAlign w:val="center"/>
          </w:tcPr>
          <w:p w:rsidR="00694ED3" w:rsidRDefault="00694ED3" w:rsidP="007672FB">
            <w:pPr>
              <w:spacing w:after="0" w:line="240" w:lineRule="auto"/>
              <w:jc w:val="center"/>
              <w:rPr>
                <w:rFonts w:cs="Arial"/>
                <w:sz w:val="20"/>
                <w:szCs w:val="20"/>
              </w:rPr>
            </w:pPr>
            <w:r>
              <w:rPr>
                <w:rFonts w:cs="Arial"/>
                <w:sz w:val="20"/>
                <w:szCs w:val="20"/>
              </w:rPr>
              <w:t>29</w:t>
            </w:r>
          </w:p>
        </w:tc>
        <w:tc>
          <w:tcPr>
            <w:tcW w:w="1572" w:type="dxa"/>
            <w:noWrap/>
            <w:vAlign w:val="center"/>
          </w:tcPr>
          <w:p w:rsidR="00694ED3" w:rsidRDefault="00694ED3" w:rsidP="007672FB">
            <w:pPr>
              <w:spacing w:after="0" w:line="240" w:lineRule="auto"/>
              <w:jc w:val="center"/>
              <w:rPr>
                <w:rFonts w:cs="Arial"/>
                <w:sz w:val="20"/>
                <w:szCs w:val="20"/>
              </w:rPr>
            </w:pPr>
            <w:r>
              <w:rPr>
                <w:rFonts w:cs="Arial"/>
                <w:sz w:val="20"/>
                <w:szCs w:val="20"/>
              </w:rPr>
              <w:t>0</w:t>
            </w:r>
          </w:p>
        </w:tc>
        <w:tc>
          <w:tcPr>
            <w:tcW w:w="1572" w:type="dxa"/>
            <w:vAlign w:val="center"/>
          </w:tcPr>
          <w:p w:rsidR="00694ED3" w:rsidRDefault="00694ED3" w:rsidP="007672FB">
            <w:pPr>
              <w:spacing w:after="0" w:line="240" w:lineRule="auto"/>
              <w:jc w:val="center"/>
              <w:rPr>
                <w:rFonts w:cs="Arial"/>
                <w:sz w:val="20"/>
                <w:szCs w:val="20"/>
              </w:rPr>
            </w:pPr>
            <w:r>
              <w:rPr>
                <w:rFonts w:cs="Arial"/>
                <w:sz w:val="20"/>
                <w:szCs w:val="20"/>
              </w:rPr>
              <w:t>2</w:t>
            </w:r>
          </w:p>
        </w:tc>
      </w:tr>
      <w:tr w:rsidR="00694ED3"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694ED3" w:rsidRPr="00865A94" w:rsidRDefault="00694ED3" w:rsidP="008E7AE1">
            <w:pPr>
              <w:spacing w:after="0" w:line="240" w:lineRule="auto"/>
              <w:rPr>
                <w:sz w:val="20"/>
                <w:szCs w:val="20"/>
              </w:rPr>
            </w:pPr>
            <w:r w:rsidRPr="00865A94">
              <w:rPr>
                <w:sz w:val="20"/>
                <w:szCs w:val="20"/>
              </w:rPr>
              <w:t>% of total below forecast</w:t>
            </w:r>
          </w:p>
        </w:tc>
        <w:tc>
          <w:tcPr>
            <w:tcW w:w="1571" w:type="dxa"/>
            <w:noWrap/>
            <w:vAlign w:val="center"/>
          </w:tcPr>
          <w:p w:rsidR="00694ED3" w:rsidRDefault="00694ED3" w:rsidP="007672FB">
            <w:pPr>
              <w:spacing w:after="0" w:line="240" w:lineRule="auto"/>
              <w:jc w:val="center"/>
              <w:rPr>
                <w:rFonts w:cs="Arial"/>
                <w:sz w:val="20"/>
                <w:szCs w:val="20"/>
              </w:rPr>
            </w:pPr>
            <w:r>
              <w:rPr>
                <w:rFonts w:cs="Arial"/>
                <w:sz w:val="20"/>
                <w:szCs w:val="20"/>
              </w:rPr>
              <w:t>54</w:t>
            </w:r>
          </w:p>
        </w:tc>
        <w:tc>
          <w:tcPr>
            <w:tcW w:w="1572" w:type="dxa"/>
            <w:noWrap/>
            <w:vAlign w:val="center"/>
          </w:tcPr>
          <w:p w:rsidR="00694ED3" w:rsidRDefault="00694ED3" w:rsidP="007672FB">
            <w:pPr>
              <w:spacing w:after="0" w:line="240" w:lineRule="auto"/>
              <w:jc w:val="center"/>
              <w:rPr>
                <w:rFonts w:cs="Arial"/>
                <w:sz w:val="20"/>
                <w:szCs w:val="20"/>
              </w:rPr>
            </w:pPr>
            <w:r>
              <w:rPr>
                <w:rFonts w:cs="Arial"/>
                <w:sz w:val="20"/>
                <w:szCs w:val="20"/>
              </w:rPr>
              <w:t>9</w:t>
            </w:r>
          </w:p>
        </w:tc>
        <w:tc>
          <w:tcPr>
            <w:tcW w:w="1572" w:type="dxa"/>
            <w:noWrap/>
            <w:vAlign w:val="center"/>
          </w:tcPr>
          <w:p w:rsidR="00694ED3" w:rsidRDefault="00694ED3" w:rsidP="007672FB">
            <w:pPr>
              <w:spacing w:after="0" w:line="240" w:lineRule="auto"/>
              <w:jc w:val="center"/>
              <w:rPr>
                <w:rFonts w:cs="Arial"/>
                <w:sz w:val="20"/>
                <w:szCs w:val="20"/>
              </w:rPr>
            </w:pPr>
            <w:r>
              <w:rPr>
                <w:rFonts w:cs="Arial"/>
                <w:sz w:val="20"/>
                <w:szCs w:val="20"/>
              </w:rPr>
              <w:t>0</w:t>
            </w:r>
          </w:p>
        </w:tc>
        <w:tc>
          <w:tcPr>
            <w:tcW w:w="1572" w:type="dxa"/>
            <w:vAlign w:val="center"/>
          </w:tcPr>
          <w:p w:rsidR="00694ED3" w:rsidRDefault="00694ED3" w:rsidP="007672FB">
            <w:pPr>
              <w:spacing w:after="0" w:line="240" w:lineRule="auto"/>
              <w:jc w:val="center"/>
              <w:rPr>
                <w:rFonts w:cs="Arial"/>
                <w:sz w:val="20"/>
                <w:szCs w:val="20"/>
              </w:rPr>
            </w:pPr>
            <w:r>
              <w:rPr>
                <w:rFonts w:cs="Arial"/>
                <w:sz w:val="20"/>
                <w:szCs w:val="20"/>
              </w:rPr>
              <w:t>2</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D3136F" w:rsidRPr="00686EDE">
        <w:t xml:space="preserve">Figure </w:t>
      </w:r>
      <w:r w:rsidR="00D3136F">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D3136F" w:rsidRPr="00686EDE">
        <w:t xml:space="preserve">Figure </w:t>
      </w:r>
      <w:r w:rsidR="00D3136F" w:rsidRPr="00D3136F">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r w:rsidR="00D3136F">
        <w:fldChar w:fldCharType="begin"/>
      </w:r>
      <w:r w:rsidR="00D3136F">
        <w:instrText xml:space="preserve"> SEQ Figure \* ARABIC </w:instrText>
      </w:r>
      <w:r w:rsidR="00D3136F">
        <w:fldChar w:fldCharType="separate"/>
      </w:r>
      <w:r w:rsidR="00D3136F">
        <w:rPr>
          <w:noProof/>
        </w:rPr>
        <w:t>3</w:t>
      </w:r>
      <w:r w:rsidR="00D3136F">
        <w:rPr>
          <w:noProof/>
        </w:rPr>
        <w:fldChar w:fldCharType="end"/>
      </w:r>
      <w:bookmarkEnd w:id="13"/>
      <w:r w:rsidRPr="00686EDE">
        <w:t>: Queensland generation and bidding patterns</w:t>
      </w:r>
    </w:p>
    <w:p w:rsidR="007B78AB" w:rsidRPr="008707C1" w:rsidRDefault="001F6744" w:rsidP="00886FA8">
      <w:pPr>
        <w:pStyle w:val="AERbodytext"/>
        <w:rPr>
          <w:bCs w:val="0"/>
        </w:rPr>
      </w:pPr>
      <w:r w:rsidRPr="001F6744">
        <w:rPr>
          <w:noProof/>
        </w:rPr>
        <w:drawing>
          <wp:inline distT="0" distB="0" distL="0" distR="0" wp14:anchorId="297C3BF8" wp14:editId="1E1573AF">
            <wp:extent cx="5731510" cy="4118538"/>
            <wp:effectExtent l="0" t="0" r="2540" b="0"/>
            <wp:docPr id="9" name="Picture 9"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r w:rsidR="00D3136F">
        <w:fldChar w:fldCharType="begin"/>
      </w:r>
      <w:r w:rsidR="00D3136F">
        <w:instrText xml:space="preserve"> SEQ Figure \* ARABIC </w:instrText>
      </w:r>
      <w:r w:rsidR="00D3136F">
        <w:fldChar w:fldCharType="separate"/>
      </w:r>
      <w:r w:rsidR="00D3136F">
        <w:rPr>
          <w:noProof/>
        </w:rPr>
        <w:t>4</w:t>
      </w:r>
      <w:r w:rsidR="00D3136F">
        <w:rPr>
          <w:noProof/>
        </w:rPr>
        <w:fldChar w:fldCharType="end"/>
      </w:r>
      <w:bookmarkEnd w:id="14"/>
      <w:r w:rsidRPr="00BD6509">
        <w:t>: New South</w:t>
      </w:r>
      <w:r w:rsidRPr="00686EDE">
        <w:t xml:space="preserve"> Wales generation and bidding patterns</w:t>
      </w:r>
    </w:p>
    <w:p w:rsidR="00181C46" w:rsidRPr="00C4712A" w:rsidRDefault="001F6744" w:rsidP="00181C46">
      <w:r w:rsidRPr="001F6744">
        <w:rPr>
          <w:noProof/>
          <w:lang w:eastAsia="en-AU"/>
        </w:rPr>
        <w:drawing>
          <wp:inline distT="0" distB="0" distL="0" distR="0" wp14:anchorId="465ABAB3" wp14:editId="21B94563">
            <wp:extent cx="5731510" cy="4124019"/>
            <wp:effectExtent l="0" t="0" r="2540" b="0"/>
            <wp:docPr id="10" name="Picture 10"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D3136F">
        <w:fldChar w:fldCharType="begin"/>
      </w:r>
      <w:r w:rsidR="00D3136F">
        <w:instrText xml:space="preserve"> SEQ Figure \* ARABIC </w:instrText>
      </w:r>
      <w:r w:rsidR="00D3136F">
        <w:fldChar w:fldCharType="separate"/>
      </w:r>
      <w:r w:rsidR="00D3136F">
        <w:rPr>
          <w:noProof/>
        </w:rPr>
        <w:t>5</w:t>
      </w:r>
      <w:r w:rsidR="00D3136F">
        <w:rPr>
          <w:noProof/>
        </w:rPr>
        <w:fldChar w:fldCharType="end"/>
      </w:r>
      <w:r w:rsidRPr="00686EDE">
        <w:t>: Victoria generation and bidding patterns</w:t>
      </w:r>
    </w:p>
    <w:p w:rsidR="00FB265D" w:rsidRDefault="001F6744" w:rsidP="00FB265D">
      <w:r w:rsidRPr="001F6744">
        <w:rPr>
          <w:noProof/>
          <w:lang w:eastAsia="en-AU"/>
        </w:rPr>
        <w:drawing>
          <wp:inline distT="0" distB="0" distL="0" distR="0" wp14:anchorId="0EC1D084" wp14:editId="3C6916AB">
            <wp:extent cx="5731510" cy="4118538"/>
            <wp:effectExtent l="0" t="0" r="2540" b="0"/>
            <wp:docPr id="11" name="Picture 11"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3370DC">
        <w:lastRenderedPageBreak/>
        <w:t xml:space="preserve">Figure </w:t>
      </w:r>
      <w:r w:rsidR="00D3136F">
        <w:fldChar w:fldCharType="begin"/>
      </w:r>
      <w:r w:rsidR="00D3136F">
        <w:instrText xml:space="preserve"> SEQ Figure \* ARABIC </w:instrText>
      </w:r>
      <w:r w:rsidR="00D3136F">
        <w:fldChar w:fldCharType="separate"/>
      </w:r>
      <w:r w:rsidR="00D3136F">
        <w:rPr>
          <w:noProof/>
        </w:rPr>
        <w:t>6</w:t>
      </w:r>
      <w:r w:rsidR="00D3136F">
        <w:rPr>
          <w:noProof/>
        </w:rPr>
        <w:fldChar w:fldCharType="end"/>
      </w:r>
      <w:bookmarkEnd w:id="15"/>
      <w:r w:rsidRPr="003370DC">
        <w:t>: South Australia generation and bidding patterns</w:t>
      </w:r>
    </w:p>
    <w:p w:rsidR="002F2481" w:rsidRPr="00686EDE" w:rsidRDefault="00F12E47" w:rsidP="00A25353">
      <w:r w:rsidRPr="00F12E47">
        <w:rPr>
          <w:noProof/>
          <w:lang w:eastAsia="en-AU"/>
        </w:rPr>
        <w:drawing>
          <wp:inline distT="0" distB="0" distL="0" distR="0" wp14:anchorId="1026ABAC" wp14:editId="3694AEB1">
            <wp:extent cx="5731510" cy="4254505"/>
            <wp:effectExtent l="0" t="0" r="2540" b="0"/>
            <wp:docPr id="14" name="Picture 14"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4505"/>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r w:rsidR="00D3136F">
        <w:fldChar w:fldCharType="begin"/>
      </w:r>
      <w:r w:rsidR="00D3136F">
        <w:instrText xml:space="preserve"> SEQ Figure \* ARABIC </w:instrText>
      </w:r>
      <w:r w:rsidR="00D3136F">
        <w:fldChar w:fldCharType="separate"/>
      </w:r>
      <w:r w:rsidR="00D3136F">
        <w:rPr>
          <w:noProof/>
        </w:rPr>
        <w:t>7</w:t>
      </w:r>
      <w:r w:rsidR="00D3136F">
        <w:rPr>
          <w:noProof/>
        </w:rPr>
        <w:fldChar w:fldCharType="end"/>
      </w:r>
      <w:bookmarkEnd w:id="16"/>
      <w:r w:rsidRPr="00686EDE">
        <w:t>: Tasmania generation and bidding patterns</w:t>
      </w:r>
    </w:p>
    <w:bookmarkEnd w:id="17"/>
    <w:p w:rsidR="00DB7B59" w:rsidRDefault="001F6744" w:rsidP="00AF7C0E">
      <w:pPr>
        <w:pStyle w:val="AERbodytext"/>
      </w:pPr>
      <w:r w:rsidRPr="001F6744">
        <w:rPr>
          <w:noProof/>
        </w:rPr>
        <w:drawing>
          <wp:inline distT="0" distB="0" distL="0" distR="0" wp14:anchorId="4A89FB9B" wp14:editId="2A8635AA">
            <wp:extent cx="5731510" cy="4118538"/>
            <wp:effectExtent l="0" t="0" r="2540" b="0"/>
            <wp:docPr id="12" name="Picture 12"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F12E47">
        <w:rPr>
          <w:rFonts w:eastAsia="Times New Roman" w:cs="Arial"/>
          <w:bCs/>
          <w:lang w:eastAsia="en-AU"/>
        </w:rPr>
        <w:t>2</w:t>
      </w:r>
      <w:r w:rsidR="00EA447B">
        <w:rPr>
          <w:rFonts w:eastAsia="Times New Roman" w:cs="Arial"/>
          <w:bCs/>
          <w:lang w:eastAsia="en-AU"/>
        </w:rPr>
        <w:t> </w:t>
      </w:r>
      <w:r w:rsidR="00F12E47">
        <w:rPr>
          <w:rFonts w:eastAsia="Times New Roman" w:cs="Arial"/>
          <w:bCs/>
          <w:lang w:eastAsia="en-AU"/>
        </w:rPr>
        <w:t>376</w:t>
      </w:r>
      <w:r w:rsidR="00EA447B">
        <w:rPr>
          <w:rFonts w:eastAsia="Times New Roman" w:cs="Arial"/>
          <w:bCs/>
          <w:lang w:eastAsia="en-AU"/>
        </w:rPr>
        <w:t> </w:t>
      </w:r>
      <w:r w:rsidR="00F12E47">
        <w:rPr>
          <w:rFonts w:eastAsia="Times New Roman" w:cs="Arial"/>
          <w:bCs/>
          <w:lang w:eastAsia="en-AU"/>
        </w:rPr>
        <w:t>0</w:t>
      </w:r>
      <w:r w:rsidR="006C3CFD">
        <w:rPr>
          <w:rFonts w:eastAsia="Times New Roman" w:cs="Arial"/>
          <w:bCs/>
          <w:lang w:eastAsia="en-AU"/>
        </w:rPr>
        <w:t>00</w:t>
      </w:r>
      <w:r w:rsidRPr="00612013">
        <w:rPr>
          <w:rFonts w:eastAsia="Times New Roman" w:cs="Arial"/>
          <w:bCs/>
          <w:lang w:eastAsia="en-AU"/>
        </w:rPr>
        <w:t xml:space="preserve"> or </w:t>
      </w:r>
      <w:r w:rsidR="00BD18A8">
        <w:rPr>
          <w:rFonts w:eastAsia="Times New Roman" w:cs="Arial"/>
          <w:bCs/>
          <w:lang w:eastAsia="en-AU"/>
        </w:rPr>
        <w:t>less than</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F12E47" w:rsidRDefault="005358F4" w:rsidP="00F12E47">
      <w:pPr>
        <w:spacing w:line="240" w:lineRule="auto"/>
        <w:rPr>
          <w:rFonts w:eastAsia="Times New Roman" w:cs="Arial"/>
          <w:bCs/>
          <w:lang w:eastAsia="en-AU"/>
        </w:rPr>
      </w:pPr>
      <w:r w:rsidRPr="00612013">
        <w:rPr>
          <w:rFonts w:eastAsia="Times New Roman" w:cs="Arial"/>
          <w:bCs/>
          <w:lang w:eastAsia="en-AU"/>
        </w:rPr>
        <w:t>The total cost of FCAS in Tasmania for the week was $</w:t>
      </w:r>
      <w:r w:rsidR="00F12E47">
        <w:rPr>
          <w:rFonts w:eastAsia="Times New Roman" w:cs="Arial"/>
          <w:bCs/>
          <w:lang w:eastAsia="en-AU"/>
        </w:rPr>
        <w:t>676</w:t>
      </w:r>
      <w:r w:rsidR="007134E5">
        <w:rPr>
          <w:rFonts w:eastAsia="Times New Roman" w:cs="Arial"/>
          <w:bCs/>
          <w:lang w:eastAsia="en-AU"/>
        </w:rPr>
        <w:t> </w:t>
      </w:r>
      <w:r w:rsidR="00F12E47">
        <w:rPr>
          <w:rFonts w:eastAsia="Times New Roman" w:cs="Arial"/>
          <w:bCs/>
          <w:lang w:eastAsia="en-AU"/>
        </w:rPr>
        <w:t>5</w:t>
      </w:r>
      <w:r w:rsidRPr="00612013">
        <w:rPr>
          <w:rFonts w:eastAsia="Times New Roman" w:cs="Arial"/>
          <w:bCs/>
          <w:lang w:eastAsia="en-AU"/>
        </w:rPr>
        <w:t xml:space="preserve">00 or </w:t>
      </w:r>
      <w:r w:rsidR="00B62CAE">
        <w:rPr>
          <w:rFonts w:eastAsia="Times New Roman" w:cs="Arial"/>
          <w:bCs/>
          <w:lang w:eastAsia="en-AU"/>
        </w:rPr>
        <w:t xml:space="preserve">around </w:t>
      </w:r>
      <w:r w:rsidR="00C47834">
        <w:rPr>
          <w:rFonts w:eastAsia="Times New Roman" w:cs="Arial"/>
          <w:bCs/>
          <w:lang w:eastAsia="en-AU"/>
        </w:rPr>
        <w:t>t</w:t>
      </w:r>
      <w:r w:rsidR="00F12E47">
        <w:rPr>
          <w:rFonts w:eastAsia="Times New Roman" w:cs="Arial"/>
          <w:bCs/>
          <w:lang w:eastAsia="en-AU"/>
        </w:rPr>
        <w:t>hree</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2E7692">
        <w:rPr>
          <w:rFonts w:eastAsia="Times New Roman" w:cs="Arial"/>
          <w:bCs/>
          <w:lang w:eastAsia="en-AU"/>
        </w:rPr>
        <w:t>.</w:t>
      </w:r>
    </w:p>
    <w:p w:rsidR="00B01BD3" w:rsidRPr="00612013" w:rsidRDefault="00F12E47" w:rsidP="00551739">
      <w:pPr>
        <w:pStyle w:val="AERbodytext"/>
      </w:pPr>
      <w:r>
        <w:fldChar w:fldCharType="begin"/>
      </w:r>
      <w:r>
        <w:instrText xml:space="preserve"> REF _Ref489021781 \h </w:instrText>
      </w:r>
      <w:r>
        <w:fldChar w:fldCharType="separate"/>
      </w:r>
      <w:r w:rsidR="00D3136F" w:rsidRPr="00686EDE">
        <w:rPr>
          <w:noProof/>
        </w:rPr>
        <w:t xml:space="preserve">Figure </w:t>
      </w:r>
      <w:r w:rsidR="00D3136F">
        <w:rPr>
          <w:noProof/>
        </w:rPr>
        <w:t>8</w:t>
      </w:r>
      <w:r>
        <w:fldChar w:fldCharType="end"/>
      </w:r>
      <w:r>
        <w:t xml:space="preserve"> </w:t>
      </w:r>
      <w:r w:rsidR="00F3590E" w:rsidRPr="00612013">
        <w:t xml:space="preserve">shows the daily breakdown of cost for each FCAS for the NEM, as well as the average cost since the beginning </w:t>
      </w:r>
      <w:bookmarkStart w:id="19" w:name="_Ref418082853"/>
      <w:r w:rsidR="00EA447B">
        <w:t>of the previous financial year.</w:t>
      </w:r>
    </w:p>
    <w:p w:rsidR="00275002" w:rsidRPr="00C4712A" w:rsidRDefault="00275002" w:rsidP="00551739">
      <w:pPr>
        <w:pStyle w:val="Caption"/>
        <w:rPr>
          <w:noProof/>
        </w:rPr>
      </w:pPr>
      <w:bookmarkStart w:id="20" w:name="_Ref489021781"/>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D3136F">
        <w:rPr>
          <w:noProof/>
        </w:rPr>
        <w:t>8</w:t>
      </w:r>
      <w:r w:rsidR="00DF6E09" w:rsidRPr="00686EDE">
        <w:rPr>
          <w:noProof/>
        </w:rPr>
        <w:fldChar w:fldCharType="end"/>
      </w:r>
      <w:bookmarkEnd w:id="18"/>
      <w:bookmarkEnd w:id="19"/>
      <w:bookmarkEnd w:id="20"/>
      <w:r w:rsidRPr="00686EDE">
        <w:rPr>
          <w:noProof/>
        </w:rPr>
        <w:t>: Daily frequency control ancillary service cost</w:t>
      </w:r>
    </w:p>
    <w:p w:rsidR="00CA7CA1" w:rsidRDefault="00F12E47" w:rsidP="003A0B3A">
      <w:pPr>
        <w:spacing w:line="240" w:lineRule="auto"/>
      </w:pPr>
      <w:r w:rsidRPr="00F12E47">
        <w:rPr>
          <w:noProof/>
          <w:lang w:eastAsia="en-AU"/>
        </w:rPr>
        <w:drawing>
          <wp:inline distT="0" distB="0" distL="0" distR="0" wp14:anchorId="6B9019DA" wp14:editId="123CC08D">
            <wp:extent cx="5731510" cy="2891747"/>
            <wp:effectExtent l="0" t="0" r="2540" b="4445"/>
            <wp:docPr id="16" name="Picture 16" descr="&quot;Figure 8 shows the daily breakdown of cost for each FCAS for the NEM, as well as the average cost since the beginning of the previous financial year.&#10;Should you require a description of the data for the week under review, please email us at  AERInquiry@aer.gov.au.&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1747"/>
                    </a:xfrm>
                    <a:prstGeom prst="rect">
                      <a:avLst/>
                    </a:prstGeom>
                    <a:noFill/>
                    <a:ln>
                      <a:noFill/>
                    </a:ln>
                  </pic:spPr>
                </pic:pic>
              </a:graphicData>
            </a:graphic>
          </wp:inline>
        </w:drawing>
      </w:r>
    </w:p>
    <w:p w:rsidR="008E7AE1" w:rsidRDefault="00A915CE" w:rsidP="003A0B3A">
      <w:pPr>
        <w:spacing w:line="240" w:lineRule="auto"/>
      </w:pPr>
      <w:r>
        <w:br w:type="page"/>
      </w:r>
    </w:p>
    <w:bookmarkEnd w:id="0"/>
    <w:bookmarkEnd w:id="1"/>
    <w:bookmarkEnd w:id="2"/>
    <w:bookmarkEnd w:id="3"/>
    <w:bookmarkEnd w:id="4"/>
    <w:bookmarkEnd w:id="5"/>
    <w:p w:rsidR="00275002" w:rsidRDefault="00275002" w:rsidP="002E01BF">
      <w:pPr>
        <w:pStyle w:val="Heading2"/>
        <w:spacing w:after="120"/>
      </w:pPr>
      <w:r w:rsidRPr="00686EDE">
        <w:lastRenderedPageBreak/>
        <w:t>Financial markets</w:t>
      </w:r>
    </w:p>
    <w:p w:rsidR="0029162D" w:rsidRDefault="00275002" w:rsidP="00F965AF">
      <w:pPr>
        <w:autoSpaceDE w:val="0"/>
        <w:autoSpaceDN w:val="0"/>
        <w:spacing w:before="0" w:after="120"/>
        <w:jc w:val="both"/>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D3136F">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r w:rsidR="00D3136F">
        <w:fldChar w:fldCharType="begin"/>
      </w:r>
      <w:r w:rsidR="00D3136F">
        <w:instrText xml:space="preserve"> SEQ Figure \* ARABIC </w:instrText>
      </w:r>
      <w:r w:rsidR="00D3136F">
        <w:fldChar w:fldCharType="separate"/>
      </w:r>
      <w:r w:rsidR="00D3136F">
        <w:rPr>
          <w:noProof/>
        </w:rPr>
        <w:t>9</w:t>
      </w:r>
      <w:r w:rsidR="00D3136F">
        <w:rPr>
          <w:noProof/>
        </w:rPr>
        <w:fldChar w:fldCharType="end"/>
      </w:r>
      <w:bookmarkEnd w:id="21"/>
      <w:r w:rsidR="002515C3">
        <w:t>:</w:t>
      </w:r>
      <w:r>
        <w:t xml:space="preserve"> </w:t>
      </w:r>
      <w:r w:rsidRPr="007A6ACB">
        <w:t>Quarterly base future prices Q</w:t>
      </w:r>
      <w:r w:rsidR="008E7AE1">
        <w:t>3</w:t>
      </w:r>
      <w:r w:rsidR="00C4712A">
        <w:t xml:space="preserve"> 201</w:t>
      </w:r>
      <w:r w:rsidR="00345595">
        <w:t>7</w:t>
      </w:r>
      <w:r w:rsidRPr="007A6ACB">
        <w:t xml:space="preserve"> – Q</w:t>
      </w:r>
      <w:r w:rsidR="008E7AE1">
        <w:t>2</w:t>
      </w:r>
      <w:r w:rsidR="0069547C">
        <w:t xml:space="preserve"> 202</w:t>
      </w:r>
      <w:r w:rsidR="008E7AE1">
        <w:t>1</w:t>
      </w:r>
      <w:r w:rsidR="003A585C" w:rsidRPr="003A585C">
        <w:rPr>
          <w:b w:val="0"/>
          <w:bCs w:val="0"/>
        </w:rPr>
        <w:t xml:space="preserve"> </w:t>
      </w:r>
    </w:p>
    <w:p w:rsidR="00CA0ECB" w:rsidRPr="00037EB9" w:rsidRDefault="00F12E47" w:rsidP="00783D4E">
      <w:pPr>
        <w:spacing w:before="0" w:after="120" w:line="240" w:lineRule="auto"/>
        <w:rPr>
          <w:sz w:val="16"/>
          <w:szCs w:val="16"/>
        </w:rPr>
      </w:pPr>
      <w:r w:rsidRPr="00F12E47">
        <w:rPr>
          <w:noProof/>
          <w:lang w:eastAsia="en-AU"/>
        </w:rPr>
        <w:drawing>
          <wp:inline distT="0" distB="0" distL="0" distR="0" wp14:anchorId="7259B685" wp14:editId="76BBF18B">
            <wp:extent cx="5731510" cy="2885766"/>
            <wp:effectExtent l="0" t="0" r="2540" b="0"/>
            <wp:docPr id="17" name="Picture 17"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r w:rsidR="00DE6F1C" w:rsidRPr="00DE6F1C">
        <w:t xml:space="preserve"> </w:t>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D3136F" w:rsidRPr="00491631">
        <w:t xml:space="preserve">Figure </w:t>
      </w:r>
      <w:r w:rsidR="00D3136F">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8E7AE1">
        <w:t>8</w:t>
      </w:r>
      <w:r w:rsidRPr="000048ED">
        <w:t xml:space="preserve"> base contract has changed over the last 10 weeks (as well as the total number of trades each week). The closing quarter 1 201</w:t>
      </w:r>
      <w:r w:rsidR="008E7AE1">
        <w:t>6</w:t>
      </w:r>
      <w:r w:rsidRPr="000048ED">
        <w:t xml:space="preserve"> and quarter 1 201</w:t>
      </w:r>
      <w:r w:rsidR="008E7AE1">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D3136F">
        <w:fldChar w:fldCharType="begin"/>
      </w:r>
      <w:r w:rsidR="00D3136F">
        <w:instrText xml:space="preserve"> SEQ Figure \* ARABIC </w:instrText>
      </w:r>
      <w:r w:rsidR="00D3136F">
        <w:fldChar w:fldCharType="separate"/>
      </w:r>
      <w:r w:rsidR="00D3136F">
        <w:rPr>
          <w:noProof/>
        </w:rPr>
        <w:t>10</w:t>
      </w:r>
      <w:r w:rsidR="00D3136F">
        <w:rPr>
          <w:noProof/>
        </w:rPr>
        <w:fldChar w:fldCharType="end"/>
      </w:r>
      <w:bookmarkEnd w:id="22"/>
      <w:r w:rsidR="002515C3" w:rsidRPr="00491631">
        <w:t>:</w:t>
      </w:r>
      <w:r w:rsidR="00E86EBB">
        <w:t xml:space="preserve"> Price of Q1 201</w:t>
      </w:r>
      <w:r w:rsidR="008E7AE1">
        <w:t>8</w:t>
      </w:r>
      <w:r w:rsidRPr="00491631">
        <w:t xml:space="preserve"> base contracts over the past 10 weeks (and the past 2 years)</w:t>
      </w:r>
    </w:p>
    <w:p w:rsidR="007C26D6" w:rsidRDefault="00F12E47" w:rsidP="00C466B4">
      <w:pPr>
        <w:pStyle w:val="Source"/>
        <w:spacing w:before="0" w:after="120" w:line="240" w:lineRule="auto"/>
        <w:jc w:val="both"/>
      </w:pPr>
      <w:r w:rsidRPr="00F12E47">
        <w:rPr>
          <w:noProof/>
          <w:lang w:eastAsia="en-AU"/>
        </w:rPr>
        <w:drawing>
          <wp:inline distT="0" distB="0" distL="0" distR="0" wp14:anchorId="2A0B0468" wp14:editId="03B4D790">
            <wp:extent cx="5731510" cy="2894651"/>
            <wp:effectExtent l="0" t="0" r="2540" b="1270"/>
            <wp:docPr id="19" name="Picture 19"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4651"/>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lastRenderedPageBreak/>
        <w:fldChar w:fldCharType="begin"/>
      </w:r>
      <w:r w:rsidRPr="000048ED">
        <w:instrText xml:space="preserve"> REF _Ref428276233 \h </w:instrText>
      </w:r>
      <w:r w:rsidR="00AF7C0E" w:rsidRPr="000048ED">
        <w:instrText xml:space="preserve"> \* MERGEFORMAT </w:instrText>
      </w:r>
      <w:r w:rsidRPr="000048ED">
        <w:fldChar w:fldCharType="separate"/>
      </w:r>
      <w:r w:rsidR="00D3136F">
        <w:t xml:space="preserve">Figure </w:t>
      </w:r>
      <w:r w:rsidR="00D3136F">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84030A">
        <w:t>6</w:t>
      </w:r>
      <w:r w:rsidR="00275002" w:rsidRPr="000048ED">
        <w:t xml:space="preserve"> and quarter 1 201</w:t>
      </w:r>
      <w:r w:rsidR="0084030A">
        <w:t>7</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r w:rsidR="00D3136F">
        <w:fldChar w:fldCharType="begin"/>
      </w:r>
      <w:r w:rsidR="00D3136F">
        <w:instrText xml:space="preserve"> SEQ Figure \* ARABIC </w:instrText>
      </w:r>
      <w:r w:rsidR="00D3136F">
        <w:fldChar w:fldCharType="separate"/>
      </w:r>
      <w:r w:rsidR="00D3136F">
        <w:rPr>
          <w:noProof/>
        </w:rPr>
        <w:t>11</w:t>
      </w:r>
      <w:r w:rsidR="00D3136F">
        <w:rPr>
          <w:noProof/>
        </w:rPr>
        <w:fldChar w:fldCharType="end"/>
      </w:r>
      <w:bookmarkEnd w:id="23"/>
      <w:r w:rsidR="002515C3">
        <w:t>:</w:t>
      </w:r>
      <w:r w:rsidRPr="0074419D">
        <w:t xml:space="preserve"> Price of Q1 201</w:t>
      </w:r>
      <w:r w:rsidR="008E7AE1">
        <w:t>8</w:t>
      </w:r>
      <w:r w:rsidRPr="0074419D">
        <w:t xml:space="preserve"> cap contracts over the past 10 weeks (and the past 2 years)</w:t>
      </w:r>
      <w:bookmarkEnd w:id="24"/>
    </w:p>
    <w:p w:rsidR="008E0420" w:rsidRPr="008E0420" w:rsidRDefault="00F12E47" w:rsidP="008E0420">
      <w:r w:rsidRPr="00F12E47">
        <w:rPr>
          <w:noProof/>
          <w:lang w:eastAsia="en-AU"/>
        </w:rPr>
        <w:drawing>
          <wp:inline distT="0" distB="0" distL="0" distR="0" wp14:anchorId="38FFD00B" wp14:editId="48DD1348">
            <wp:extent cx="5731510" cy="2874232"/>
            <wp:effectExtent l="0" t="0" r="2540" b="2540"/>
            <wp:docPr id="20" name="Picture 20" descr="Figure 11 shows how the price for each regional Quarter 1 2018 cap contract has changed over the last 10 weeks (as well as the total number of trades each week). The closing quarter 1 2016 and quarter 1 2017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bookmarkStart w:id="25" w:name="_GoBack"/>
      <w:bookmarkEnd w:id="25"/>
      <w:r w:rsidRPr="00D92E07">
        <w:t>Australian Energy Regulator</w:t>
      </w:r>
      <w:r w:rsidR="005B0EF5" w:rsidRPr="00D92E07">
        <w:br/>
      </w:r>
      <w:r w:rsidR="00E86EBB">
        <w:t>July</w:t>
      </w:r>
      <w:r w:rsidR="0084030A">
        <w:t xml:space="preserv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E6" w:rsidRDefault="00E546E6" w:rsidP="004B4412">
      <w:pPr>
        <w:spacing w:before="0"/>
      </w:pPr>
      <w:r>
        <w:separator/>
      </w:r>
    </w:p>
  </w:endnote>
  <w:endnote w:type="continuationSeparator" w:id="0">
    <w:p w:rsidR="00E546E6" w:rsidRDefault="00E546E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1A9E" w:rsidRDefault="00E546E6"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546E6" w:rsidRDefault="00E546E6"/>
  <w:p w:rsidR="00E546E6" w:rsidRDefault="00E546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3136F">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3136F">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Pr="00C764D8">
      <w:rPr>
        <w:rFonts w:cs="Arial"/>
        <w:i/>
        <w:szCs w:val="18"/>
      </w:rPr>
      <w:t>D17/</w:t>
    </w:r>
    <w:r w:rsidR="00A6028E">
      <w:rPr>
        <w:rFonts w:cs="Arial"/>
        <w:i/>
        <w:szCs w:val="18"/>
      </w:rPr>
      <w:t>104243</w:t>
    </w:r>
  </w:p>
  <w:p w:rsidR="00E546E6" w:rsidRDefault="00E546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E6" w:rsidRDefault="00E546E6" w:rsidP="004B4412">
      <w:pPr>
        <w:spacing w:before="0"/>
      </w:pPr>
      <w:r>
        <w:separator/>
      </w:r>
    </w:p>
  </w:footnote>
  <w:footnote w:type="continuationSeparator" w:id="0">
    <w:p w:rsidR="00E546E6" w:rsidRDefault="00E546E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37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16 - 22 July 2017.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2454"/>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278"/>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468B"/>
    <w:rsid w:val="000B56E8"/>
    <w:rsid w:val="000B589F"/>
    <w:rsid w:val="000B6A16"/>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0AC"/>
    <w:rsid w:val="00104F73"/>
    <w:rsid w:val="00105281"/>
    <w:rsid w:val="00105383"/>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146"/>
    <w:rsid w:val="00134BD7"/>
    <w:rsid w:val="00136716"/>
    <w:rsid w:val="00136A08"/>
    <w:rsid w:val="001373F1"/>
    <w:rsid w:val="00140164"/>
    <w:rsid w:val="00140932"/>
    <w:rsid w:val="00140DE4"/>
    <w:rsid w:val="001435CC"/>
    <w:rsid w:val="00143645"/>
    <w:rsid w:val="001436FC"/>
    <w:rsid w:val="00144D6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5510"/>
    <w:rsid w:val="00186831"/>
    <w:rsid w:val="00186F77"/>
    <w:rsid w:val="001901A4"/>
    <w:rsid w:val="00190F24"/>
    <w:rsid w:val="0019177E"/>
    <w:rsid w:val="00191C6F"/>
    <w:rsid w:val="00191DA4"/>
    <w:rsid w:val="00191EF0"/>
    <w:rsid w:val="00192441"/>
    <w:rsid w:val="001926A4"/>
    <w:rsid w:val="001936FA"/>
    <w:rsid w:val="00193ED7"/>
    <w:rsid w:val="00193FF4"/>
    <w:rsid w:val="00194FFC"/>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744"/>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BE3"/>
    <w:rsid w:val="00207D5B"/>
    <w:rsid w:val="0021027A"/>
    <w:rsid w:val="00210CAC"/>
    <w:rsid w:val="0021147E"/>
    <w:rsid w:val="00212D2F"/>
    <w:rsid w:val="00213CF6"/>
    <w:rsid w:val="00214274"/>
    <w:rsid w:val="0021431B"/>
    <w:rsid w:val="00214FBA"/>
    <w:rsid w:val="00215E19"/>
    <w:rsid w:val="002164FB"/>
    <w:rsid w:val="00216865"/>
    <w:rsid w:val="00216A04"/>
    <w:rsid w:val="00217221"/>
    <w:rsid w:val="00217A30"/>
    <w:rsid w:val="00217C29"/>
    <w:rsid w:val="00220C0F"/>
    <w:rsid w:val="002214D9"/>
    <w:rsid w:val="002216F5"/>
    <w:rsid w:val="00222F04"/>
    <w:rsid w:val="00223FEA"/>
    <w:rsid w:val="002240A7"/>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75A"/>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79"/>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692"/>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2DEE"/>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0DC"/>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08F"/>
    <w:rsid w:val="003869AF"/>
    <w:rsid w:val="00386C86"/>
    <w:rsid w:val="003874F8"/>
    <w:rsid w:val="00387CDE"/>
    <w:rsid w:val="003904D2"/>
    <w:rsid w:val="00394B85"/>
    <w:rsid w:val="003953A0"/>
    <w:rsid w:val="00395B4C"/>
    <w:rsid w:val="00397EB2"/>
    <w:rsid w:val="00397FF5"/>
    <w:rsid w:val="003A0810"/>
    <w:rsid w:val="003A0A64"/>
    <w:rsid w:val="003A0B3A"/>
    <w:rsid w:val="003A0CB8"/>
    <w:rsid w:val="003A1E66"/>
    <w:rsid w:val="003A1F17"/>
    <w:rsid w:val="003A39D5"/>
    <w:rsid w:val="003A3E2D"/>
    <w:rsid w:val="003A4136"/>
    <w:rsid w:val="003A41E0"/>
    <w:rsid w:val="003A431D"/>
    <w:rsid w:val="003A4B6B"/>
    <w:rsid w:val="003A4D05"/>
    <w:rsid w:val="003A53D5"/>
    <w:rsid w:val="003A585C"/>
    <w:rsid w:val="003A5BAC"/>
    <w:rsid w:val="003A5E58"/>
    <w:rsid w:val="003A76D9"/>
    <w:rsid w:val="003A7DC0"/>
    <w:rsid w:val="003B0295"/>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2D7A"/>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0C8"/>
    <w:rsid w:val="00405B42"/>
    <w:rsid w:val="0040684C"/>
    <w:rsid w:val="004069CC"/>
    <w:rsid w:val="00407337"/>
    <w:rsid w:val="00410937"/>
    <w:rsid w:val="00411897"/>
    <w:rsid w:val="00412176"/>
    <w:rsid w:val="00412C4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68A"/>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5D8"/>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61DD"/>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5F84"/>
    <w:rsid w:val="00496C02"/>
    <w:rsid w:val="0049751C"/>
    <w:rsid w:val="004A0AB5"/>
    <w:rsid w:val="004A1061"/>
    <w:rsid w:val="004A1184"/>
    <w:rsid w:val="004A13A6"/>
    <w:rsid w:val="004A2770"/>
    <w:rsid w:val="004A364A"/>
    <w:rsid w:val="004A3DF4"/>
    <w:rsid w:val="004A4CEF"/>
    <w:rsid w:val="004B104F"/>
    <w:rsid w:val="004B1708"/>
    <w:rsid w:val="004B231C"/>
    <w:rsid w:val="004B42A7"/>
    <w:rsid w:val="004B4372"/>
    <w:rsid w:val="004B4412"/>
    <w:rsid w:val="004B59AD"/>
    <w:rsid w:val="004B5B3F"/>
    <w:rsid w:val="004C28B2"/>
    <w:rsid w:val="004C348C"/>
    <w:rsid w:val="004C37D1"/>
    <w:rsid w:val="004C4E90"/>
    <w:rsid w:val="004C63B9"/>
    <w:rsid w:val="004C6486"/>
    <w:rsid w:val="004C6C5B"/>
    <w:rsid w:val="004C7D3A"/>
    <w:rsid w:val="004D1774"/>
    <w:rsid w:val="004D1D1A"/>
    <w:rsid w:val="004D25D6"/>
    <w:rsid w:val="004D2A5B"/>
    <w:rsid w:val="004D4A76"/>
    <w:rsid w:val="004D5447"/>
    <w:rsid w:val="004D55BA"/>
    <w:rsid w:val="004E0F0F"/>
    <w:rsid w:val="004E11F9"/>
    <w:rsid w:val="004E1B1C"/>
    <w:rsid w:val="004E1E95"/>
    <w:rsid w:val="004E34E7"/>
    <w:rsid w:val="004E38D9"/>
    <w:rsid w:val="004E390F"/>
    <w:rsid w:val="004E4142"/>
    <w:rsid w:val="004E4495"/>
    <w:rsid w:val="004E567F"/>
    <w:rsid w:val="004E6AFC"/>
    <w:rsid w:val="004E70CA"/>
    <w:rsid w:val="004E7417"/>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C14"/>
    <w:rsid w:val="00502D42"/>
    <w:rsid w:val="00502F3B"/>
    <w:rsid w:val="005033F6"/>
    <w:rsid w:val="0050349E"/>
    <w:rsid w:val="005047F1"/>
    <w:rsid w:val="005055EA"/>
    <w:rsid w:val="00505616"/>
    <w:rsid w:val="00505B5E"/>
    <w:rsid w:val="00507984"/>
    <w:rsid w:val="00510A43"/>
    <w:rsid w:val="00510F5E"/>
    <w:rsid w:val="0051195C"/>
    <w:rsid w:val="00513C6A"/>
    <w:rsid w:val="00513F48"/>
    <w:rsid w:val="00513F7F"/>
    <w:rsid w:val="005160C3"/>
    <w:rsid w:val="005177C0"/>
    <w:rsid w:val="005178E8"/>
    <w:rsid w:val="00522199"/>
    <w:rsid w:val="00522360"/>
    <w:rsid w:val="00522486"/>
    <w:rsid w:val="00522668"/>
    <w:rsid w:val="005228B8"/>
    <w:rsid w:val="00522F1C"/>
    <w:rsid w:val="00523AD2"/>
    <w:rsid w:val="00524513"/>
    <w:rsid w:val="00525B46"/>
    <w:rsid w:val="00527551"/>
    <w:rsid w:val="005279B6"/>
    <w:rsid w:val="00530128"/>
    <w:rsid w:val="00530657"/>
    <w:rsid w:val="005323B2"/>
    <w:rsid w:val="00532467"/>
    <w:rsid w:val="00532744"/>
    <w:rsid w:val="00533C15"/>
    <w:rsid w:val="005344B0"/>
    <w:rsid w:val="0053491C"/>
    <w:rsid w:val="005358F4"/>
    <w:rsid w:val="0053590F"/>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3E"/>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293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1FB3"/>
    <w:rsid w:val="00632D6D"/>
    <w:rsid w:val="00634D01"/>
    <w:rsid w:val="006350BD"/>
    <w:rsid w:val="0063567F"/>
    <w:rsid w:val="0063580F"/>
    <w:rsid w:val="00636506"/>
    <w:rsid w:val="00636936"/>
    <w:rsid w:val="00641006"/>
    <w:rsid w:val="006411E6"/>
    <w:rsid w:val="00641BEF"/>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05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0A5"/>
    <w:rsid w:val="00690F0B"/>
    <w:rsid w:val="00691995"/>
    <w:rsid w:val="00694B16"/>
    <w:rsid w:val="00694ED3"/>
    <w:rsid w:val="00694FD6"/>
    <w:rsid w:val="0069547C"/>
    <w:rsid w:val="006956EC"/>
    <w:rsid w:val="00696FCB"/>
    <w:rsid w:val="006970B8"/>
    <w:rsid w:val="00697E6D"/>
    <w:rsid w:val="006A0411"/>
    <w:rsid w:val="006A20CE"/>
    <w:rsid w:val="006A21CD"/>
    <w:rsid w:val="006A2A80"/>
    <w:rsid w:val="006A35B0"/>
    <w:rsid w:val="006A5730"/>
    <w:rsid w:val="006A6258"/>
    <w:rsid w:val="006A698D"/>
    <w:rsid w:val="006A6EDD"/>
    <w:rsid w:val="006A7C64"/>
    <w:rsid w:val="006B0C7B"/>
    <w:rsid w:val="006B28F3"/>
    <w:rsid w:val="006B3202"/>
    <w:rsid w:val="006B3293"/>
    <w:rsid w:val="006B32F3"/>
    <w:rsid w:val="006B3C64"/>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34E5"/>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2FB"/>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188A"/>
    <w:rsid w:val="0079277A"/>
    <w:rsid w:val="0079310A"/>
    <w:rsid w:val="00794A5E"/>
    <w:rsid w:val="0079529D"/>
    <w:rsid w:val="0079555C"/>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3B6"/>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47B2"/>
    <w:rsid w:val="007D53A8"/>
    <w:rsid w:val="007D569E"/>
    <w:rsid w:val="007D6FC9"/>
    <w:rsid w:val="007D74C6"/>
    <w:rsid w:val="007D7AEB"/>
    <w:rsid w:val="007E12F8"/>
    <w:rsid w:val="007E1516"/>
    <w:rsid w:val="007E4904"/>
    <w:rsid w:val="007E4CB5"/>
    <w:rsid w:val="007E4CEA"/>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5340"/>
    <w:rsid w:val="00806288"/>
    <w:rsid w:val="00806336"/>
    <w:rsid w:val="00806BC1"/>
    <w:rsid w:val="00806C88"/>
    <w:rsid w:val="00807112"/>
    <w:rsid w:val="00807A5C"/>
    <w:rsid w:val="0081034E"/>
    <w:rsid w:val="0081253D"/>
    <w:rsid w:val="00812E7B"/>
    <w:rsid w:val="0081351D"/>
    <w:rsid w:val="00813CE4"/>
    <w:rsid w:val="0081592A"/>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787"/>
    <w:rsid w:val="00850AAD"/>
    <w:rsid w:val="00850C5A"/>
    <w:rsid w:val="00851209"/>
    <w:rsid w:val="0085188E"/>
    <w:rsid w:val="00851B46"/>
    <w:rsid w:val="00852B3D"/>
    <w:rsid w:val="00854750"/>
    <w:rsid w:val="008556A5"/>
    <w:rsid w:val="00855D1C"/>
    <w:rsid w:val="00856965"/>
    <w:rsid w:val="00857917"/>
    <w:rsid w:val="00857D93"/>
    <w:rsid w:val="0086123D"/>
    <w:rsid w:val="00861AED"/>
    <w:rsid w:val="00862283"/>
    <w:rsid w:val="00862467"/>
    <w:rsid w:val="00864A9F"/>
    <w:rsid w:val="00865749"/>
    <w:rsid w:val="00865A94"/>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AAC"/>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E7AE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2DFA"/>
    <w:rsid w:val="0090347D"/>
    <w:rsid w:val="009039C7"/>
    <w:rsid w:val="00903A78"/>
    <w:rsid w:val="00903CF6"/>
    <w:rsid w:val="009057E0"/>
    <w:rsid w:val="009064FC"/>
    <w:rsid w:val="00910156"/>
    <w:rsid w:val="0091130F"/>
    <w:rsid w:val="009115F5"/>
    <w:rsid w:val="009128D6"/>
    <w:rsid w:val="00913C7D"/>
    <w:rsid w:val="00914082"/>
    <w:rsid w:val="00914975"/>
    <w:rsid w:val="00914A87"/>
    <w:rsid w:val="00915BFF"/>
    <w:rsid w:val="0091710E"/>
    <w:rsid w:val="00921066"/>
    <w:rsid w:val="009214E6"/>
    <w:rsid w:val="00921957"/>
    <w:rsid w:val="00922000"/>
    <w:rsid w:val="00922ACF"/>
    <w:rsid w:val="009233EE"/>
    <w:rsid w:val="00923B37"/>
    <w:rsid w:val="009241BB"/>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0EE4"/>
    <w:rsid w:val="0094150C"/>
    <w:rsid w:val="00941934"/>
    <w:rsid w:val="00941B66"/>
    <w:rsid w:val="00941C1B"/>
    <w:rsid w:val="0094286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A08"/>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BD6"/>
    <w:rsid w:val="009A3D22"/>
    <w:rsid w:val="009A4283"/>
    <w:rsid w:val="009A4B08"/>
    <w:rsid w:val="009A4F40"/>
    <w:rsid w:val="009A574C"/>
    <w:rsid w:val="009A6D69"/>
    <w:rsid w:val="009A73DF"/>
    <w:rsid w:val="009A7F75"/>
    <w:rsid w:val="009B0884"/>
    <w:rsid w:val="009B1174"/>
    <w:rsid w:val="009B21F2"/>
    <w:rsid w:val="009B484D"/>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3E5F"/>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BFA"/>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2A"/>
    <w:rsid w:val="00A11053"/>
    <w:rsid w:val="00A11E6C"/>
    <w:rsid w:val="00A1210E"/>
    <w:rsid w:val="00A14EE1"/>
    <w:rsid w:val="00A156C8"/>
    <w:rsid w:val="00A159BF"/>
    <w:rsid w:val="00A15E40"/>
    <w:rsid w:val="00A16DAF"/>
    <w:rsid w:val="00A16F26"/>
    <w:rsid w:val="00A178E7"/>
    <w:rsid w:val="00A20EEB"/>
    <w:rsid w:val="00A21AC7"/>
    <w:rsid w:val="00A21F54"/>
    <w:rsid w:val="00A2302C"/>
    <w:rsid w:val="00A24D45"/>
    <w:rsid w:val="00A25353"/>
    <w:rsid w:val="00A2563F"/>
    <w:rsid w:val="00A259F2"/>
    <w:rsid w:val="00A26739"/>
    <w:rsid w:val="00A26C2F"/>
    <w:rsid w:val="00A30B76"/>
    <w:rsid w:val="00A31252"/>
    <w:rsid w:val="00A3219D"/>
    <w:rsid w:val="00A35169"/>
    <w:rsid w:val="00A3632A"/>
    <w:rsid w:val="00A37512"/>
    <w:rsid w:val="00A37951"/>
    <w:rsid w:val="00A407AF"/>
    <w:rsid w:val="00A4116B"/>
    <w:rsid w:val="00A41375"/>
    <w:rsid w:val="00A42006"/>
    <w:rsid w:val="00A42A33"/>
    <w:rsid w:val="00A42C3C"/>
    <w:rsid w:val="00A432BC"/>
    <w:rsid w:val="00A433FB"/>
    <w:rsid w:val="00A441EA"/>
    <w:rsid w:val="00A4478A"/>
    <w:rsid w:val="00A4483A"/>
    <w:rsid w:val="00A44852"/>
    <w:rsid w:val="00A45EAC"/>
    <w:rsid w:val="00A463EF"/>
    <w:rsid w:val="00A46923"/>
    <w:rsid w:val="00A47A03"/>
    <w:rsid w:val="00A505D4"/>
    <w:rsid w:val="00A51808"/>
    <w:rsid w:val="00A524E9"/>
    <w:rsid w:val="00A52A18"/>
    <w:rsid w:val="00A53308"/>
    <w:rsid w:val="00A538AC"/>
    <w:rsid w:val="00A55288"/>
    <w:rsid w:val="00A5631E"/>
    <w:rsid w:val="00A575E8"/>
    <w:rsid w:val="00A57D04"/>
    <w:rsid w:val="00A57D69"/>
    <w:rsid w:val="00A6028E"/>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5CE"/>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77A"/>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5F34"/>
    <w:rsid w:val="00B06353"/>
    <w:rsid w:val="00B065C9"/>
    <w:rsid w:val="00B06B05"/>
    <w:rsid w:val="00B07545"/>
    <w:rsid w:val="00B0779B"/>
    <w:rsid w:val="00B1011C"/>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4F9C"/>
    <w:rsid w:val="00B251A4"/>
    <w:rsid w:val="00B25887"/>
    <w:rsid w:val="00B26AAA"/>
    <w:rsid w:val="00B276D9"/>
    <w:rsid w:val="00B2775B"/>
    <w:rsid w:val="00B27945"/>
    <w:rsid w:val="00B30D82"/>
    <w:rsid w:val="00B31071"/>
    <w:rsid w:val="00B31345"/>
    <w:rsid w:val="00B33C7F"/>
    <w:rsid w:val="00B35810"/>
    <w:rsid w:val="00B35937"/>
    <w:rsid w:val="00B36716"/>
    <w:rsid w:val="00B3708D"/>
    <w:rsid w:val="00B3773B"/>
    <w:rsid w:val="00B37933"/>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2CAE"/>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8A8"/>
    <w:rsid w:val="00BD1AD7"/>
    <w:rsid w:val="00BD1BCA"/>
    <w:rsid w:val="00BD2067"/>
    <w:rsid w:val="00BD26AE"/>
    <w:rsid w:val="00BD26EE"/>
    <w:rsid w:val="00BD3446"/>
    <w:rsid w:val="00BD3804"/>
    <w:rsid w:val="00BD412C"/>
    <w:rsid w:val="00BD41BB"/>
    <w:rsid w:val="00BD43C4"/>
    <w:rsid w:val="00BD4E33"/>
    <w:rsid w:val="00BD501B"/>
    <w:rsid w:val="00BD5467"/>
    <w:rsid w:val="00BD6509"/>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BF77B4"/>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05A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48"/>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834"/>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576B4"/>
    <w:rsid w:val="00C601EF"/>
    <w:rsid w:val="00C60452"/>
    <w:rsid w:val="00C6191E"/>
    <w:rsid w:val="00C62797"/>
    <w:rsid w:val="00C6290C"/>
    <w:rsid w:val="00C644CD"/>
    <w:rsid w:val="00C663D3"/>
    <w:rsid w:val="00C672E0"/>
    <w:rsid w:val="00C673E0"/>
    <w:rsid w:val="00C67D8C"/>
    <w:rsid w:val="00C70205"/>
    <w:rsid w:val="00C71F7E"/>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CF2"/>
    <w:rsid w:val="00C85FF1"/>
    <w:rsid w:val="00C86679"/>
    <w:rsid w:val="00C86919"/>
    <w:rsid w:val="00C872DB"/>
    <w:rsid w:val="00C87867"/>
    <w:rsid w:val="00C90F56"/>
    <w:rsid w:val="00C91830"/>
    <w:rsid w:val="00C933A4"/>
    <w:rsid w:val="00C94277"/>
    <w:rsid w:val="00C944D6"/>
    <w:rsid w:val="00C9478B"/>
    <w:rsid w:val="00C94A8E"/>
    <w:rsid w:val="00C950AF"/>
    <w:rsid w:val="00C95562"/>
    <w:rsid w:val="00C9660A"/>
    <w:rsid w:val="00C96A92"/>
    <w:rsid w:val="00CA04F2"/>
    <w:rsid w:val="00CA0B2E"/>
    <w:rsid w:val="00CA0ECB"/>
    <w:rsid w:val="00CA4EE0"/>
    <w:rsid w:val="00CA51FE"/>
    <w:rsid w:val="00CA6643"/>
    <w:rsid w:val="00CA771A"/>
    <w:rsid w:val="00CA792B"/>
    <w:rsid w:val="00CA7CA1"/>
    <w:rsid w:val="00CA7D3F"/>
    <w:rsid w:val="00CB0FA5"/>
    <w:rsid w:val="00CB133B"/>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5D7"/>
    <w:rsid w:val="00D11721"/>
    <w:rsid w:val="00D11BA4"/>
    <w:rsid w:val="00D11CB3"/>
    <w:rsid w:val="00D11EC6"/>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136F"/>
    <w:rsid w:val="00D323D0"/>
    <w:rsid w:val="00D32767"/>
    <w:rsid w:val="00D33489"/>
    <w:rsid w:val="00D33F61"/>
    <w:rsid w:val="00D34ED2"/>
    <w:rsid w:val="00D35B00"/>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099"/>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5490"/>
    <w:rsid w:val="00DD7649"/>
    <w:rsid w:val="00DD79F4"/>
    <w:rsid w:val="00DE27A1"/>
    <w:rsid w:val="00DE3708"/>
    <w:rsid w:val="00DE45B5"/>
    <w:rsid w:val="00DE4CDA"/>
    <w:rsid w:val="00DE4EFA"/>
    <w:rsid w:val="00DE5104"/>
    <w:rsid w:val="00DE5520"/>
    <w:rsid w:val="00DE5AB1"/>
    <w:rsid w:val="00DE6006"/>
    <w:rsid w:val="00DE6AA6"/>
    <w:rsid w:val="00DE6F1C"/>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1DA"/>
    <w:rsid w:val="00E47EAD"/>
    <w:rsid w:val="00E5181B"/>
    <w:rsid w:val="00E52107"/>
    <w:rsid w:val="00E523FC"/>
    <w:rsid w:val="00E52925"/>
    <w:rsid w:val="00E52A27"/>
    <w:rsid w:val="00E54461"/>
    <w:rsid w:val="00E546E6"/>
    <w:rsid w:val="00E55C3C"/>
    <w:rsid w:val="00E56018"/>
    <w:rsid w:val="00E56597"/>
    <w:rsid w:val="00E5713C"/>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86EBB"/>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A0B"/>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2E47"/>
    <w:rsid w:val="00F13B99"/>
    <w:rsid w:val="00F13EAA"/>
    <w:rsid w:val="00F15342"/>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900"/>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6B1F"/>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52B6"/>
    <w:rsid w:val="00F965AF"/>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7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5C90075D</Template>
  <TotalTime>0</TotalTime>
  <Pages>8</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2017-07-30T23:33:00Z</dcterms:created>
  <dcterms:modified xsi:type="dcterms:W3CDTF">2017-07-30T23:35:00Z</dcterms:modified>
</cp:coreProperties>
</file>