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E627E87" wp14:editId="239CEDFE">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B04808" w:rsidP="002A4EF8">
      <w:pPr>
        <w:rPr>
          <w:b/>
          <w:sz w:val="36"/>
          <w:szCs w:val="36"/>
        </w:rPr>
      </w:pPr>
      <w:r>
        <w:rPr>
          <w:b/>
          <w:sz w:val="36"/>
          <w:szCs w:val="36"/>
        </w:rPr>
        <w:t>25</w:t>
      </w:r>
      <w:r w:rsidR="00FC0DB9">
        <w:rPr>
          <w:b/>
          <w:sz w:val="36"/>
          <w:szCs w:val="36"/>
        </w:rPr>
        <w:t> </w:t>
      </w:r>
      <w:r w:rsidR="0051195C">
        <w:rPr>
          <w:b/>
          <w:sz w:val="36"/>
          <w:szCs w:val="36"/>
        </w:rPr>
        <w:t>September</w:t>
      </w:r>
      <w:r>
        <w:rPr>
          <w:b/>
          <w:sz w:val="36"/>
          <w:szCs w:val="36"/>
        </w:rPr>
        <w:t xml:space="preserve"> – 1 October</w:t>
      </w:r>
      <w:r w:rsidR="00FC0DB9">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37578A" w:rsidRDefault="009A4283" w:rsidP="0037578A">
      <w:pPr>
        <w:pStyle w:val="Heading2"/>
      </w:pPr>
      <w:r>
        <w:t xml:space="preserve">System Black in </w:t>
      </w:r>
      <w:r w:rsidR="0037578A" w:rsidRPr="009B7E41">
        <w:t>South Australia</w:t>
      </w:r>
    </w:p>
    <w:p w:rsidR="0037578A" w:rsidRPr="009B7E41" w:rsidRDefault="0037578A" w:rsidP="0037578A">
      <w:pPr>
        <w:pStyle w:val="Heading3"/>
        <w:rPr>
          <w:rFonts w:eastAsia="Times New Roman"/>
        </w:rPr>
      </w:pPr>
      <w:r w:rsidRPr="009B7E41">
        <w:rPr>
          <w:rFonts w:eastAsia="Times New Roman"/>
        </w:rPr>
        <w:t>Wednesday, 28 September</w:t>
      </w:r>
    </w:p>
    <w:p w:rsidR="0037578A" w:rsidRDefault="0037578A" w:rsidP="0037578A">
      <w:pPr>
        <w:pStyle w:val="AERbodytext"/>
      </w:pPr>
      <w:r>
        <w:t xml:space="preserve">At 4.18 pm EST, a System Black event occurred in South Australia. </w:t>
      </w:r>
      <w:r w:rsidR="007B0D60">
        <w:t>South Australia separated from the NEM, all generation in the State ceased and a</w:t>
      </w:r>
      <w:r>
        <w:t xml:space="preserve">ll </w:t>
      </w:r>
      <w:r w:rsidR="007B0D60">
        <w:t xml:space="preserve">State </w:t>
      </w:r>
      <w:r>
        <w:t xml:space="preserve">load was shed. </w:t>
      </w:r>
      <w:r w:rsidR="00B80E30">
        <w:t>I</w:t>
      </w:r>
      <w:r>
        <w:t xml:space="preserve">n accordance with the </w:t>
      </w:r>
      <w:r w:rsidR="007B0D60">
        <w:t>Rules</w:t>
      </w:r>
      <w:r>
        <w:t xml:space="preserve">, AEMO suspended the market in South Australia, from 4.25 pm EST. Further to this, there was Ministerial </w:t>
      </w:r>
      <w:r w:rsidRPr="00DA7664">
        <w:t xml:space="preserve">direction under </w:t>
      </w:r>
      <w:r w:rsidRPr="00DA7664">
        <w:rPr>
          <w:lang w:val="en"/>
        </w:rPr>
        <w:t>the Essential Services Act 1981 (SA)</w:t>
      </w:r>
      <w:r w:rsidRPr="00DA7664">
        <w:t xml:space="preserve"> to con</w:t>
      </w:r>
      <w:r>
        <w:t xml:space="preserve">tinue with market suspension until 10.30 pm 11 October. During this time, </w:t>
      </w:r>
      <w:r w:rsidR="00577E7C">
        <w:t xml:space="preserve">most </w:t>
      </w:r>
      <w:r>
        <w:t>participants continued to be dispatched according to their bids for generation and ancillary services</w:t>
      </w:r>
      <w:r w:rsidR="009A4283">
        <w:t>.</w:t>
      </w:r>
      <w:r>
        <w:t xml:space="preserve"> </w:t>
      </w:r>
      <w:r w:rsidR="00577E7C">
        <w:t xml:space="preserve">Market pricing during the </w:t>
      </w:r>
      <w:r>
        <w:t xml:space="preserve">suspension </w:t>
      </w:r>
      <w:r w:rsidR="00577E7C">
        <w:t>was determine</w:t>
      </w:r>
      <w:r w:rsidR="00FC608B">
        <w:t>d</w:t>
      </w:r>
      <w:r w:rsidR="00577E7C">
        <w:t xml:space="preserve"> in accordance with the market suspension </w:t>
      </w:r>
      <w:r>
        <w:t xml:space="preserve">pricing schedule, where </w:t>
      </w:r>
      <w:r w:rsidR="00577E7C">
        <w:t xml:space="preserve">AEMO determines </w:t>
      </w:r>
      <w:r>
        <w:t xml:space="preserve">reasonable estimates of typical market prices </w:t>
      </w:r>
      <w:r w:rsidR="00577E7C">
        <w:t>for the region for</w:t>
      </w:r>
      <w:r>
        <w:t xml:space="preserve"> participants</w:t>
      </w:r>
      <w:r>
        <w:rPr>
          <w:rStyle w:val="FootnoteReference"/>
        </w:rPr>
        <w:footnoteReference w:id="1"/>
      </w:r>
      <w:r>
        <w:t xml:space="preserve">. The pricing schedule is published 14 days </w:t>
      </w:r>
      <w:r w:rsidR="00DA7664">
        <w:t>before</w:t>
      </w:r>
      <w:r>
        <w:t xml:space="preserve"> the first day the schedule is effective. </w:t>
      </w:r>
      <w:r w:rsidR="00DA7664">
        <w:t xml:space="preserve">The </w:t>
      </w:r>
      <w:r w:rsidR="00492732">
        <w:t xml:space="preserve">energy and ancillary service </w:t>
      </w:r>
      <w:r>
        <w:t xml:space="preserve">prices are an average of </w:t>
      </w:r>
      <w:r w:rsidR="009A4283">
        <w:t xml:space="preserve">the </w:t>
      </w:r>
      <w:r w:rsidR="00DA7664">
        <w:t xml:space="preserve">weekday and weekend </w:t>
      </w:r>
      <w:r w:rsidR="009A4283">
        <w:t>spot prices</w:t>
      </w:r>
      <w:r w:rsidR="00492732">
        <w:t xml:space="preserve"> for each trading interval</w:t>
      </w:r>
      <w:r>
        <w:t xml:space="preserve"> 28 days prior to publishing the schedule</w:t>
      </w:r>
      <w:r w:rsidR="00253F55">
        <w:rPr>
          <w:rStyle w:val="FootnoteReference"/>
        </w:rPr>
        <w:footnoteReference w:id="2"/>
      </w:r>
      <w:r>
        <w:t xml:space="preserve">. </w:t>
      </w:r>
    </w:p>
    <w:p w:rsidR="0037578A" w:rsidRDefault="00253F55" w:rsidP="00BE6087">
      <w:pPr>
        <w:pStyle w:val="AERbodytext"/>
      </w:pPr>
      <w:r>
        <w:t>While the administered market pricing was in place, t</w:t>
      </w:r>
      <w:r w:rsidR="003F7B22">
        <w:t xml:space="preserve">here was one </w:t>
      </w:r>
      <w:r w:rsidR="00DA7664">
        <w:t>spot</w:t>
      </w:r>
      <w:r w:rsidR="003F7B22">
        <w:t xml:space="preserve"> price </w:t>
      </w:r>
      <w:r w:rsidR="00DA7664">
        <w:t xml:space="preserve">that exceeded our reporting threshold </w:t>
      </w:r>
      <w:r w:rsidR="003F7B22">
        <w:t xml:space="preserve">in South Australia at </w:t>
      </w:r>
      <w:r w:rsidR="00492732">
        <w:t>midnight</w:t>
      </w:r>
      <w:r w:rsidR="003F7B22">
        <w:t xml:space="preserve"> on 2 October of $</w:t>
      </w:r>
      <w:r w:rsidR="00DA7664">
        <w:t>325/MWh</w:t>
      </w:r>
      <w:r w:rsidR="00492732">
        <w:t xml:space="preserve"> (see </w:t>
      </w:r>
      <w:r w:rsidR="00492732">
        <w:fldChar w:fldCharType="begin"/>
      </w:r>
      <w:r w:rsidR="00492732">
        <w:instrText xml:space="preserve"> REF _Ref410382491 \h </w:instrText>
      </w:r>
      <w:r w:rsidR="00492732">
        <w:fldChar w:fldCharType="separate"/>
      </w:r>
      <w:r w:rsidR="00004E48" w:rsidRPr="00BE2075">
        <w:t xml:space="preserve">Figure </w:t>
      </w:r>
      <w:r w:rsidR="00004E48">
        <w:rPr>
          <w:noProof/>
        </w:rPr>
        <w:t>1</w:t>
      </w:r>
      <w:r w:rsidR="00492732">
        <w:fldChar w:fldCharType="end"/>
      </w:r>
      <w:r w:rsidR="00492732">
        <w:t>)</w:t>
      </w:r>
      <w:r w:rsidR="00DA7664">
        <w:t>.</w:t>
      </w:r>
      <w:r>
        <w:t xml:space="preserve"> </w:t>
      </w:r>
      <w:r w:rsidR="00DA7664">
        <w:t>This was a result of</w:t>
      </w:r>
      <w:r w:rsidR="009A4283">
        <w:t xml:space="preserve"> a </w:t>
      </w:r>
      <w:r>
        <w:t xml:space="preserve">high </w:t>
      </w:r>
      <w:r w:rsidR="009A4283">
        <w:t xml:space="preserve">spot </w:t>
      </w:r>
      <w:r>
        <w:t xml:space="preserve">price </w:t>
      </w:r>
      <w:r w:rsidR="00593DCD">
        <w:t xml:space="preserve">in South Australia </w:t>
      </w:r>
      <w:r>
        <w:t xml:space="preserve">on 5 September </w:t>
      </w:r>
      <w:r w:rsidR="009A4283">
        <w:t xml:space="preserve">at midnight </w:t>
      </w:r>
      <w:r>
        <w:t>of $</w:t>
      </w:r>
      <w:r w:rsidR="00DA7664">
        <w:t xml:space="preserve">2361/MWh </w:t>
      </w:r>
      <w:r w:rsidR="009A4283">
        <w:t>which contributed to the spike in the weekend average calculation. This high price was due to increased demand due to hot water load and is discussed in the Electricity Report 4 – 10 September 2016.</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004E48" w:rsidRPr="00BE2075">
        <w:t xml:space="preserve">Figure </w:t>
      </w:r>
      <w:r w:rsidR="00004E48">
        <w:t>1</w:t>
      </w:r>
      <w:r w:rsidRPr="00C4712A">
        <w:fldChar w:fldCharType="end"/>
      </w:r>
      <w:r w:rsidRPr="00C4712A">
        <w:t xml:space="preserve"> </w:t>
      </w:r>
      <w:r w:rsidR="00AF7058" w:rsidRPr="00C4712A">
        <w:t xml:space="preserve">shows the spot prices that occurred in each region during the week </w:t>
      </w:r>
      <w:r w:rsidR="00B04808">
        <w:t>25 September</w:t>
      </w:r>
      <w:r w:rsidR="009709BF">
        <w:t xml:space="preserve"> </w:t>
      </w:r>
      <w:r w:rsidR="0051195C">
        <w:t xml:space="preserve">to </w:t>
      </w:r>
      <w:r w:rsidR="00B04808">
        <w:t>1</w:t>
      </w:r>
      <w:r w:rsidR="00290C73">
        <w:t> </w:t>
      </w:r>
      <w:r w:rsidR="00B04808">
        <w:t>October</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lastRenderedPageBreak/>
        <w:t xml:space="preserve">Figure </w:t>
      </w:r>
      <w:r w:rsidR="00004E48">
        <w:fldChar w:fldCharType="begin"/>
      </w:r>
      <w:r w:rsidR="00004E48">
        <w:instrText xml:space="preserve"> SEQ Figure \* ARABIC </w:instrText>
      </w:r>
      <w:r w:rsidR="00004E48">
        <w:fldChar w:fldCharType="separate"/>
      </w:r>
      <w:r w:rsidR="00004E48">
        <w:rPr>
          <w:noProof/>
        </w:rPr>
        <w:t>1</w:t>
      </w:r>
      <w:r w:rsidR="00004E48">
        <w:rPr>
          <w:noProof/>
        </w:rPr>
        <w:fldChar w:fldCharType="end"/>
      </w:r>
      <w:bookmarkEnd w:id="7"/>
      <w:r w:rsidRPr="00BE2075">
        <w:t>: Spot price by region ($/MWh)</w:t>
      </w:r>
    </w:p>
    <w:p w:rsidR="00EC05BF" w:rsidRDefault="002E3D1D" w:rsidP="00C4712A">
      <w:pPr>
        <w:pStyle w:val="Caption"/>
        <w:rPr>
          <w:bCs w:val="0"/>
          <w:lang w:eastAsia="en-AU"/>
        </w:rPr>
      </w:pPr>
      <w:r w:rsidRPr="002E3D1D">
        <w:rPr>
          <w:noProof/>
          <w:lang w:eastAsia="en-AU"/>
        </w:rPr>
        <w:drawing>
          <wp:inline distT="0" distB="0" distL="0" distR="0" wp14:anchorId="40114BCF" wp14:editId="72962617">
            <wp:extent cx="5731510" cy="2858866"/>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004E48" w:rsidRPr="00C4712A">
        <w:t xml:space="preserve">Figure </w:t>
      </w:r>
      <w:r w:rsidR="00004E48">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004E48" w:rsidRPr="009A7F75">
        <w:t xml:space="preserve">Table </w:t>
      </w:r>
      <w:r w:rsidR="00004E48">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t xml:space="preserve">Figure </w:t>
      </w:r>
      <w:r w:rsidR="00004E48">
        <w:fldChar w:fldCharType="begin"/>
      </w:r>
      <w:r w:rsidR="00004E48">
        <w:instrText xml:space="preserve"> SEQ Figure \* ARABIC </w:instrText>
      </w:r>
      <w:r w:rsidR="00004E48">
        <w:fldChar w:fldCharType="separate"/>
      </w:r>
      <w:r w:rsidR="00004E48">
        <w:rPr>
          <w:noProof/>
        </w:rPr>
        <w:t>2</w:t>
      </w:r>
      <w:r w:rsidR="00004E48">
        <w:rPr>
          <w:noProof/>
        </w:rPr>
        <w:fldChar w:fldCharType="end"/>
      </w:r>
      <w:bookmarkEnd w:id="10"/>
      <w:r w:rsidRPr="00C4712A">
        <w:t>: Volume weighted average spot price by region ($/MWh)</w:t>
      </w:r>
    </w:p>
    <w:p w:rsidR="001F22EE" w:rsidRDefault="00B95B0D" w:rsidP="00F167CF">
      <w:pPr>
        <w:spacing w:before="0" w:after="120" w:line="240" w:lineRule="auto"/>
      </w:pPr>
      <w:r w:rsidRPr="00B95B0D">
        <w:rPr>
          <w:noProof/>
          <w:lang w:eastAsia="en-AU"/>
        </w:rPr>
        <w:drawing>
          <wp:inline distT="0" distB="0" distL="0" distR="0" wp14:anchorId="00BE0EC2" wp14:editId="1648DBE2">
            <wp:extent cx="5731510" cy="2860244"/>
            <wp:effectExtent l="0" t="0" r="2540" b="0"/>
            <wp:docPr id="14" name="Picture 1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9A7F75">
        <w:t xml:space="preserve">Table </w:t>
      </w:r>
      <w:r w:rsidR="00004E48">
        <w:fldChar w:fldCharType="begin"/>
      </w:r>
      <w:r w:rsidR="00004E48">
        <w:instrText xml:space="preserve"> SEQ Table \* ARABIC </w:instrText>
      </w:r>
      <w:r w:rsidR="00004E48">
        <w:fldChar w:fldCharType="separate"/>
      </w:r>
      <w:r w:rsidR="00004E48">
        <w:rPr>
          <w:noProof/>
        </w:rPr>
        <w:t>1</w:t>
      </w:r>
      <w:r w:rsidR="00004E48">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B95B0D" w:rsidRPr="00C4712A" w:rsidTr="0040513E">
        <w:trPr>
          <w:trHeight w:hRule="exact" w:val="340"/>
        </w:trPr>
        <w:tc>
          <w:tcPr>
            <w:tcW w:w="1357" w:type="pct"/>
            <w:noWrap/>
            <w:hideMark/>
          </w:tcPr>
          <w:p w:rsidR="00B95B0D" w:rsidRPr="00B95B0D" w:rsidRDefault="00B95B0D" w:rsidP="000D05BD">
            <w:pPr>
              <w:spacing w:before="60" w:afterLines="120" w:after="288"/>
              <w:rPr>
                <w:rFonts w:cs="Arial"/>
                <w:bCs/>
                <w:sz w:val="20"/>
                <w:szCs w:val="20"/>
              </w:rPr>
            </w:pPr>
            <w:r w:rsidRPr="00B95B0D">
              <w:rPr>
                <w:rFonts w:cs="Arial"/>
                <w:bCs/>
                <w:sz w:val="20"/>
                <w:szCs w:val="20"/>
              </w:rPr>
              <w:t>Current week</w:t>
            </w:r>
          </w:p>
        </w:tc>
        <w:tc>
          <w:tcPr>
            <w:tcW w:w="728"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42</w:t>
            </w:r>
          </w:p>
        </w:tc>
        <w:tc>
          <w:tcPr>
            <w:tcW w:w="729"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43</w:t>
            </w:r>
          </w:p>
        </w:tc>
        <w:tc>
          <w:tcPr>
            <w:tcW w:w="728"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37</w:t>
            </w:r>
          </w:p>
        </w:tc>
        <w:tc>
          <w:tcPr>
            <w:tcW w:w="729"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62</w:t>
            </w:r>
          </w:p>
        </w:tc>
        <w:tc>
          <w:tcPr>
            <w:tcW w:w="729"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36</w:t>
            </w:r>
          </w:p>
        </w:tc>
      </w:tr>
      <w:tr w:rsidR="00B95B0D" w:rsidRPr="00C4712A" w:rsidTr="0040513E">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B95B0D" w:rsidRPr="00B95B0D" w:rsidRDefault="00B95B0D" w:rsidP="000D05BD">
            <w:pPr>
              <w:spacing w:before="60" w:afterLines="120" w:after="288"/>
              <w:rPr>
                <w:rFonts w:cs="Arial"/>
                <w:bCs/>
                <w:szCs w:val="20"/>
              </w:rPr>
            </w:pPr>
            <w:r w:rsidRPr="00B95B0D">
              <w:rPr>
                <w:rFonts w:cs="Arial"/>
                <w:bCs/>
                <w:szCs w:val="20"/>
              </w:rPr>
              <w:t>15-16 financial YTD</w:t>
            </w:r>
          </w:p>
        </w:tc>
        <w:tc>
          <w:tcPr>
            <w:tcW w:w="728" w:type="pct"/>
            <w:noWrap/>
          </w:tcPr>
          <w:p w:rsidR="00B95B0D" w:rsidRPr="00B95B0D" w:rsidRDefault="00B95B0D" w:rsidP="000D05BD">
            <w:pPr>
              <w:spacing w:before="60" w:afterLines="120" w:after="288"/>
              <w:jc w:val="center"/>
              <w:rPr>
                <w:rFonts w:eastAsia="Times New Roman" w:cs="Arial"/>
                <w:szCs w:val="20"/>
                <w:lang w:eastAsia="en-AU"/>
              </w:rPr>
            </w:pPr>
            <w:r w:rsidRPr="00B95B0D">
              <w:rPr>
                <w:rFonts w:eastAsia="Times New Roman" w:cs="Arial"/>
                <w:szCs w:val="20"/>
                <w:lang w:eastAsia="en-AU"/>
              </w:rPr>
              <w:t>45</w:t>
            </w:r>
          </w:p>
        </w:tc>
        <w:tc>
          <w:tcPr>
            <w:tcW w:w="729" w:type="pct"/>
            <w:noWrap/>
          </w:tcPr>
          <w:p w:rsidR="00B95B0D" w:rsidRPr="00B95B0D" w:rsidRDefault="00B95B0D" w:rsidP="000D05BD">
            <w:pPr>
              <w:spacing w:before="60" w:afterLines="120" w:after="288"/>
              <w:jc w:val="center"/>
              <w:rPr>
                <w:rFonts w:eastAsia="Times New Roman" w:cs="Arial"/>
                <w:szCs w:val="20"/>
                <w:lang w:eastAsia="en-AU"/>
              </w:rPr>
            </w:pPr>
            <w:r w:rsidRPr="00B95B0D">
              <w:rPr>
                <w:rFonts w:eastAsia="Times New Roman" w:cs="Arial"/>
                <w:szCs w:val="20"/>
                <w:lang w:eastAsia="en-AU"/>
              </w:rPr>
              <w:t>46</w:t>
            </w:r>
          </w:p>
        </w:tc>
        <w:tc>
          <w:tcPr>
            <w:tcW w:w="728" w:type="pct"/>
            <w:noWrap/>
          </w:tcPr>
          <w:p w:rsidR="00B95B0D" w:rsidRPr="00B95B0D" w:rsidRDefault="00B95B0D" w:rsidP="000D05BD">
            <w:pPr>
              <w:spacing w:before="60" w:afterLines="120" w:after="288"/>
              <w:jc w:val="center"/>
              <w:rPr>
                <w:rFonts w:eastAsia="Times New Roman" w:cs="Arial"/>
                <w:szCs w:val="20"/>
                <w:lang w:eastAsia="en-AU"/>
              </w:rPr>
            </w:pPr>
            <w:r w:rsidRPr="00B95B0D">
              <w:rPr>
                <w:rFonts w:eastAsia="Times New Roman" w:cs="Arial"/>
                <w:szCs w:val="20"/>
                <w:lang w:eastAsia="en-AU"/>
              </w:rPr>
              <w:t>39</w:t>
            </w:r>
          </w:p>
        </w:tc>
        <w:tc>
          <w:tcPr>
            <w:tcW w:w="729" w:type="pct"/>
            <w:noWrap/>
          </w:tcPr>
          <w:p w:rsidR="00B95B0D" w:rsidRPr="00B95B0D" w:rsidRDefault="00B95B0D" w:rsidP="000D05BD">
            <w:pPr>
              <w:spacing w:before="60" w:afterLines="120" w:after="288"/>
              <w:jc w:val="center"/>
              <w:rPr>
                <w:rFonts w:eastAsia="Times New Roman" w:cs="Arial"/>
                <w:szCs w:val="20"/>
                <w:lang w:eastAsia="en-AU"/>
              </w:rPr>
            </w:pPr>
            <w:r w:rsidRPr="00B95B0D">
              <w:rPr>
                <w:rFonts w:eastAsia="Times New Roman" w:cs="Arial"/>
                <w:szCs w:val="20"/>
                <w:lang w:eastAsia="en-AU"/>
              </w:rPr>
              <w:t>69</w:t>
            </w:r>
          </w:p>
        </w:tc>
        <w:tc>
          <w:tcPr>
            <w:tcW w:w="729" w:type="pct"/>
            <w:noWrap/>
          </w:tcPr>
          <w:p w:rsidR="00B95B0D" w:rsidRPr="00B95B0D" w:rsidRDefault="00B95B0D" w:rsidP="000D05BD">
            <w:pPr>
              <w:spacing w:before="60" w:afterLines="120" w:after="288"/>
              <w:jc w:val="center"/>
              <w:rPr>
                <w:rFonts w:eastAsia="Times New Roman" w:cs="Arial"/>
                <w:szCs w:val="20"/>
                <w:lang w:eastAsia="en-AU"/>
              </w:rPr>
            </w:pPr>
            <w:r w:rsidRPr="00B95B0D">
              <w:rPr>
                <w:rFonts w:eastAsia="Times New Roman" w:cs="Arial"/>
                <w:szCs w:val="20"/>
                <w:lang w:eastAsia="en-AU"/>
              </w:rPr>
              <w:t>38</w:t>
            </w:r>
          </w:p>
        </w:tc>
      </w:tr>
      <w:tr w:rsidR="00B95B0D" w:rsidRPr="00C4712A" w:rsidTr="0040513E">
        <w:trPr>
          <w:trHeight w:hRule="exact" w:val="340"/>
        </w:trPr>
        <w:tc>
          <w:tcPr>
            <w:tcW w:w="1357" w:type="pct"/>
            <w:noWrap/>
            <w:hideMark/>
          </w:tcPr>
          <w:p w:rsidR="00B95B0D" w:rsidRPr="00B95B0D" w:rsidRDefault="00B95B0D" w:rsidP="000D05BD">
            <w:pPr>
              <w:spacing w:before="60" w:afterLines="120" w:after="288"/>
              <w:rPr>
                <w:rFonts w:cs="Arial"/>
                <w:bCs/>
                <w:sz w:val="20"/>
                <w:szCs w:val="20"/>
              </w:rPr>
            </w:pPr>
            <w:r w:rsidRPr="00B95B0D">
              <w:rPr>
                <w:rFonts w:cs="Arial"/>
                <w:bCs/>
                <w:sz w:val="20"/>
                <w:szCs w:val="20"/>
              </w:rPr>
              <w:t>16-17 financial YTD</w:t>
            </w:r>
          </w:p>
        </w:tc>
        <w:tc>
          <w:tcPr>
            <w:tcW w:w="728"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53</w:t>
            </w:r>
          </w:p>
        </w:tc>
        <w:tc>
          <w:tcPr>
            <w:tcW w:w="729"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56</w:t>
            </w:r>
          </w:p>
        </w:tc>
        <w:tc>
          <w:tcPr>
            <w:tcW w:w="728"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52</w:t>
            </w:r>
          </w:p>
        </w:tc>
        <w:tc>
          <w:tcPr>
            <w:tcW w:w="729"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133</w:t>
            </w:r>
          </w:p>
        </w:tc>
        <w:tc>
          <w:tcPr>
            <w:tcW w:w="729" w:type="pct"/>
            <w:noWrap/>
          </w:tcPr>
          <w:p w:rsidR="00B95B0D" w:rsidRPr="00B95B0D" w:rsidRDefault="00B95B0D" w:rsidP="000D05BD">
            <w:pPr>
              <w:spacing w:before="60" w:afterLines="120" w:after="288"/>
              <w:jc w:val="center"/>
              <w:rPr>
                <w:rFonts w:eastAsia="Times New Roman" w:cs="Arial"/>
                <w:sz w:val="20"/>
                <w:szCs w:val="20"/>
                <w:lang w:eastAsia="en-AU"/>
              </w:rPr>
            </w:pPr>
            <w:r w:rsidRPr="00B95B0D">
              <w:rPr>
                <w:rFonts w:eastAsia="Times New Roman" w:cs="Arial"/>
                <w:sz w:val="20"/>
                <w:szCs w:val="20"/>
                <w:lang w:eastAsia="en-AU"/>
              </w:rPr>
              <w:t>55</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lastRenderedPageBreak/>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FD34BC" w:rsidP="000F5487">
      <w:pPr>
        <w:pStyle w:val="AERbodytext"/>
      </w:pPr>
      <w:r>
        <w:t xml:space="preserve">There were 302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004E48" w:rsidRPr="00C4712A">
        <w:t xml:space="preserve">Table </w:t>
      </w:r>
      <w:r w:rsidR="00004E48">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t xml:space="preserve">Table </w:t>
      </w:r>
      <w:r w:rsidR="00004E48">
        <w:fldChar w:fldCharType="begin"/>
      </w:r>
      <w:r w:rsidR="00004E48">
        <w:instrText xml:space="preserve"> SEQ Table </w:instrText>
      </w:r>
      <w:r w:rsidR="00004E48">
        <w:instrText xml:space="preserve">\* ARABIC </w:instrText>
      </w:r>
      <w:r w:rsidR="00004E48">
        <w:fldChar w:fldCharType="separate"/>
      </w:r>
      <w:r w:rsidR="00004E48">
        <w:rPr>
          <w:noProof/>
        </w:rPr>
        <w:t>2</w:t>
      </w:r>
      <w:r w:rsidR="00004E48">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FD34BC"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FD34BC" w:rsidRPr="00C4712A" w:rsidRDefault="00FD34BC" w:rsidP="000D05BD">
            <w:pPr>
              <w:spacing w:before="60"/>
              <w:rPr>
                <w:sz w:val="20"/>
                <w:szCs w:val="20"/>
              </w:rPr>
            </w:pPr>
            <w:r w:rsidRPr="00C4712A">
              <w:rPr>
                <w:sz w:val="20"/>
                <w:szCs w:val="20"/>
              </w:rPr>
              <w:t>% of total above forecast</w:t>
            </w:r>
          </w:p>
        </w:tc>
        <w:tc>
          <w:tcPr>
            <w:tcW w:w="1571" w:type="dxa"/>
            <w:noWrap/>
            <w:vAlign w:val="center"/>
          </w:tcPr>
          <w:p w:rsidR="00FD34BC" w:rsidRPr="009A4283" w:rsidRDefault="00FD34BC" w:rsidP="000D05BD">
            <w:pPr>
              <w:spacing w:before="60"/>
              <w:jc w:val="center"/>
              <w:rPr>
                <w:sz w:val="20"/>
                <w:szCs w:val="20"/>
              </w:rPr>
            </w:pPr>
            <w:r w:rsidRPr="009A4283">
              <w:rPr>
                <w:sz w:val="20"/>
                <w:szCs w:val="20"/>
              </w:rPr>
              <w:t>11</w:t>
            </w:r>
          </w:p>
        </w:tc>
        <w:tc>
          <w:tcPr>
            <w:tcW w:w="1572" w:type="dxa"/>
            <w:noWrap/>
            <w:vAlign w:val="center"/>
          </w:tcPr>
          <w:p w:rsidR="00FD34BC" w:rsidRPr="009A4283" w:rsidRDefault="00FD34BC" w:rsidP="000D05BD">
            <w:pPr>
              <w:spacing w:before="60"/>
              <w:jc w:val="center"/>
              <w:rPr>
                <w:sz w:val="20"/>
                <w:szCs w:val="20"/>
              </w:rPr>
            </w:pPr>
            <w:r w:rsidRPr="009A4283">
              <w:rPr>
                <w:sz w:val="20"/>
                <w:szCs w:val="20"/>
              </w:rPr>
              <w:t>13</w:t>
            </w:r>
          </w:p>
        </w:tc>
        <w:tc>
          <w:tcPr>
            <w:tcW w:w="1572" w:type="dxa"/>
            <w:noWrap/>
            <w:vAlign w:val="center"/>
          </w:tcPr>
          <w:p w:rsidR="00FD34BC" w:rsidRPr="009A4283" w:rsidRDefault="00FD34BC" w:rsidP="000D05BD">
            <w:pPr>
              <w:spacing w:before="60"/>
              <w:jc w:val="center"/>
              <w:rPr>
                <w:sz w:val="20"/>
                <w:szCs w:val="20"/>
              </w:rPr>
            </w:pPr>
            <w:r w:rsidRPr="009A4283">
              <w:rPr>
                <w:sz w:val="20"/>
                <w:szCs w:val="20"/>
              </w:rPr>
              <w:t>0</w:t>
            </w:r>
          </w:p>
        </w:tc>
        <w:tc>
          <w:tcPr>
            <w:tcW w:w="1572" w:type="dxa"/>
            <w:vAlign w:val="center"/>
          </w:tcPr>
          <w:p w:rsidR="00FD34BC" w:rsidRPr="009A4283" w:rsidRDefault="00FD34BC" w:rsidP="000D05BD">
            <w:pPr>
              <w:spacing w:before="60"/>
              <w:jc w:val="center"/>
              <w:rPr>
                <w:sz w:val="20"/>
                <w:szCs w:val="20"/>
              </w:rPr>
            </w:pPr>
            <w:r w:rsidRPr="009A4283">
              <w:rPr>
                <w:sz w:val="20"/>
                <w:szCs w:val="20"/>
              </w:rPr>
              <w:t>2</w:t>
            </w:r>
          </w:p>
        </w:tc>
      </w:tr>
      <w:tr w:rsidR="00FD34BC"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FD34BC" w:rsidRPr="00C4712A" w:rsidRDefault="00FD34BC" w:rsidP="000D05BD">
            <w:pPr>
              <w:spacing w:before="60"/>
              <w:rPr>
                <w:sz w:val="20"/>
                <w:szCs w:val="20"/>
              </w:rPr>
            </w:pPr>
            <w:r w:rsidRPr="00C4712A">
              <w:rPr>
                <w:sz w:val="20"/>
                <w:szCs w:val="20"/>
              </w:rPr>
              <w:t>% of total below forecast</w:t>
            </w:r>
          </w:p>
        </w:tc>
        <w:tc>
          <w:tcPr>
            <w:tcW w:w="1571" w:type="dxa"/>
            <w:noWrap/>
            <w:vAlign w:val="center"/>
          </w:tcPr>
          <w:p w:rsidR="00FD34BC" w:rsidRPr="009A4283" w:rsidRDefault="00FD34BC" w:rsidP="000D05BD">
            <w:pPr>
              <w:spacing w:before="60"/>
              <w:jc w:val="center"/>
              <w:rPr>
                <w:sz w:val="20"/>
                <w:szCs w:val="20"/>
              </w:rPr>
            </w:pPr>
            <w:r w:rsidRPr="009A4283">
              <w:rPr>
                <w:sz w:val="20"/>
                <w:szCs w:val="20"/>
              </w:rPr>
              <w:t>43</w:t>
            </w:r>
          </w:p>
        </w:tc>
        <w:tc>
          <w:tcPr>
            <w:tcW w:w="1572" w:type="dxa"/>
            <w:noWrap/>
            <w:vAlign w:val="center"/>
          </w:tcPr>
          <w:p w:rsidR="00FD34BC" w:rsidRPr="009A4283" w:rsidRDefault="00FD34BC" w:rsidP="000D05BD">
            <w:pPr>
              <w:spacing w:before="60"/>
              <w:jc w:val="center"/>
              <w:rPr>
                <w:sz w:val="20"/>
                <w:szCs w:val="20"/>
              </w:rPr>
            </w:pPr>
            <w:r w:rsidRPr="009A4283">
              <w:rPr>
                <w:sz w:val="20"/>
                <w:szCs w:val="20"/>
              </w:rPr>
              <w:t>27</w:t>
            </w:r>
          </w:p>
        </w:tc>
        <w:tc>
          <w:tcPr>
            <w:tcW w:w="1572" w:type="dxa"/>
            <w:noWrap/>
            <w:vAlign w:val="center"/>
          </w:tcPr>
          <w:p w:rsidR="00FD34BC" w:rsidRPr="009A4283" w:rsidRDefault="00FD34BC" w:rsidP="000D05BD">
            <w:pPr>
              <w:spacing w:before="60"/>
              <w:jc w:val="center"/>
              <w:rPr>
                <w:sz w:val="20"/>
                <w:szCs w:val="20"/>
              </w:rPr>
            </w:pPr>
            <w:r w:rsidRPr="009A4283">
              <w:rPr>
                <w:sz w:val="20"/>
                <w:szCs w:val="20"/>
              </w:rPr>
              <w:t>0</w:t>
            </w:r>
          </w:p>
        </w:tc>
        <w:tc>
          <w:tcPr>
            <w:tcW w:w="1572" w:type="dxa"/>
            <w:vAlign w:val="center"/>
          </w:tcPr>
          <w:p w:rsidR="00FD34BC" w:rsidRPr="009A4283" w:rsidRDefault="00FD34BC" w:rsidP="000D05BD">
            <w:pPr>
              <w:spacing w:before="60"/>
              <w:jc w:val="center"/>
              <w:rPr>
                <w:sz w:val="20"/>
                <w:szCs w:val="20"/>
              </w:rPr>
            </w:pPr>
            <w:r w:rsidRPr="009A4283">
              <w:rPr>
                <w:sz w:val="20"/>
                <w:szCs w:val="20"/>
              </w:rPr>
              <w:t>4</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004E48" w:rsidRPr="00C4712A">
        <w:t xml:space="preserve">Figure </w:t>
      </w:r>
      <w:r w:rsidR="00004E48">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004E48" w:rsidRPr="002C6B96">
        <w:t xml:space="preserve">Figure </w:t>
      </w:r>
      <w:r w:rsidR="00004E48" w:rsidRPr="00004E48">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lastRenderedPageBreak/>
        <w:t xml:space="preserve">Figure </w:t>
      </w:r>
      <w:r w:rsidR="00004E48">
        <w:fldChar w:fldCharType="begin"/>
      </w:r>
      <w:r w:rsidR="00004E48">
        <w:instrText xml:space="preserve"> SEQ Figure \* ARABIC </w:instrText>
      </w:r>
      <w:r w:rsidR="00004E48">
        <w:fldChar w:fldCharType="separate"/>
      </w:r>
      <w:r w:rsidR="00004E48">
        <w:rPr>
          <w:noProof/>
        </w:rPr>
        <w:t>3</w:t>
      </w:r>
      <w:r w:rsidR="00004E48">
        <w:rPr>
          <w:noProof/>
        </w:rPr>
        <w:fldChar w:fldCharType="end"/>
      </w:r>
      <w:bookmarkEnd w:id="14"/>
      <w:r w:rsidRPr="00C4712A">
        <w:t>: Queensland generation and bidding patterns</w:t>
      </w:r>
    </w:p>
    <w:p w:rsidR="007B78AB" w:rsidRPr="008707C1" w:rsidRDefault="00FD34BC" w:rsidP="00886FA8">
      <w:pPr>
        <w:pStyle w:val="AERbodytext"/>
        <w:rPr>
          <w:bCs w:val="0"/>
        </w:rPr>
      </w:pPr>
      <w:r w:rsidRPr="00FD34BC">
        <w:rPr>
          <w:noProof/>
        </w:rPr>
        <w:drawing>
          <wp:inline distT="0" distB="0" distL="0" distR="0" wp14:anchorId="198DEACD" wp14:editId="74757A15">
            <wp:extent cx="5731510" cy="4115071"/>
            <wp:effectExtent l="0" t="0" r="2540" b="0"/>
            <wp:docPr id="15" name="Picture 1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t xml:space="preserve">Figure </w:t>
      </w:r>
      <w:r w:rsidR="00004E48">
        <w:fldChar w:fldCharType="begin"/>
      </w:r>
      <w:r w:rsidR="00004E48">
        <w:instrText xml:space="preserve"> SEQ Figure \* ARABIC </w:instrText>
      </w:r>
      <w:r w:rsidR="00004E48">
        <w:fldChar w:fldCharType="separate"/>
      </w:r>
      <w:r w:rsidR="00004E48">
        <w:rPr>
          <w:noProof/>
        </w:rPr>
        <w:t>4</w:t>
      </w:r>
      <w:r w:rsidR="00004E48">
        <w:rPr>
          <w:noProof/>
        </w:rPr>
        <w:fldChar w:fldCharType="end"/>
      </w:r>
      <w:bookmarkEnd w:id="15"/>
      <w:r w:rsidRPr="00C4712A">
        <w:t>: New South Wales generation and bidding patterns</w:t>
      </w:r>
    </w:p>
    <w:p w:rsidR="00181C46" w:rsidRPr="00C4712A" w:rsidRDefault="00FD34BC" w:rsidP="00181C46">
      <w:r w:rsidRPr="00FD34BC">
        <w:rPr>
          <w:noProof/>
          <w:lang w:eastAsia="en-AU"/>
        </w:rPr>
        <w:drawing>
          <wp:inline distT="0" distB="0" distL="0" distR="0" wp14:anchorId="2D43E2F7" wp14:editId="2066D9FA">
            <wp:extent cx="5731510" cy="4120550"/>
            <wp:effectExtent l="0" t="0" r="2540" b="0"/>
            <wp:docPr id="16" name="Picture 1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145BF2">
      <w:pPr>
        <w:pStyle w:val="Caption"/>
        <w:spacing w:before="0" w:after="0" w:line="240" w:lineRule="auto"/>
      </w:pPr>
      <w:r w:rsidRPr="00C4712A">
        <w:lastRenderedPageBreak/>
        <w:t xml:space="preserve">Figure </w:t>
      </w:r>
      <w:r w:rsidR="00004E48">
        <w:fldChar w:fldCharType="begin"/>
      </w:r>
      <w:r w:rsidR="00004E48">
        <w:instrText xml:space="preserve"> SEQ Figure \* ARABIC </w:instrText>
      </w:r>
      <w:r w:rsidR="00004E48">
        <w:fldChar w:fldCharType="separate"/>
      </w:r>
      <w:r w:rsidR="00004E48">
        <w:rPr>
          <w:noProof/>
        </w:rPr>
        <w:t>5</w:t>
      </w:r>
      <w:r w:rsidR="00004E48">
        <w:rPr>
          <w:noProof/>
        </w:rPr>
        <w:fldChar w:fldCharType="end"/>
      </w:r>
      <w:r w:rsidRPr="00C4712A">
        <w:t>: Victoria generation and bidding patterns</w:t>
      </w:r>
    </w:p>
    <w:p w:rsidR="00862283" w:rsidRDefault="00FD34BC" w:rsidP="00145BF2">
      <w:pPr>
        <w:spacing w:before="0" w:line="240" w:lineRule="auto"/>
      </w:pPr>
      <w:r w:rsidRPr="00FD34BC">
        <w:rPr>
          <w:noProof/>
          <w:lang w:eastAsia="en-AU"/>
        </w:rPr>
        <w:drawing>
          <wp:inline distT="0" distB="0" distL="0" distR="0" wp14:anchorId="242C3D62" wp14:editId="503B9FA2">
            <wp:extent cx="5731510" cy="4115071"/>
            <wp:effectExtent l="0" t="0" r="2540" b="0"/>
            <wp:docPr id="17" name="Picture 1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bookmarkStart w:id="16" w:name="_Ref423965683"/>
    </w:p>
    <w:p w:rsidR="00145BF2" w:rsidRDefault="00145BF2" w:rsidP="00145BF2">
      <w:pPr>
        <w:spacing w:before="0" w:line="240" w:lineRule="auto"/>
      </w:pPr>
    </w:p>
    <w:p w:rsidR="00275002" w:rsidRDefault="00275002" w:rsidP="00145BF2">
      <w:pPr>
        <w:pStyle w:val="Caption"/>
        <w:spacing w:before="0" w:after="0" w:line="240" w:lineRule="auto"/>
      </w:pPr>
      <w:r w:rsidRPr="00610304">
        <w:t xml:space="preserve">Figure </w:t>
      </w:r>
      <w:r w:rsidR="00004E48">
        <w:fldChar w:fldCharType="begin"/>
      </w:r>
      <w:r w:rsidR="00004E48">
        <w:instrText xml:space="preserve"> SEQ Figure \* ARABIC </w:instrText>
      </w:r>
      <w:r w:rsidR="00004E48">
        <w:fldChar w:fldCharType="separate"/>
      </w:r>
      <w:r w:rsidR="00004E48">
        <w:rPr>
          <w:noProof/>
        </w:rPr>
        <w:t>6</w:t>
      </w:r>
      <w:r w:rsidR="00004E48">
        <w:rPr>
          <w:noProof/>
        </w:rPr>
        <w:fldChar w:fldCharType="end"/>
      </w:r>
      <w:bookmarkEnd w:id="16"/>
      <w:r w:rsidRPr="00610304">
        <w:t>: South Australia generation and bidding patterns</w:t>
      </w:r>
    </w:p>
    <w:p w:rsidR="002F2481" w:rsidRDefault="00492732" w:rsidP="00145BF2">
      <w:pPr>
        <w:spacing w:before="0" w:line="240" w:lineRule="auto"/>
      </w:pPr>
      <w:r>
        <w:rPr>
          <w:noProof/>
          <w:lang w:eastAsia="en-AU"/>
        </w:rPr>
        <mc:AlternateContent>
          <mc:Choice Requires="wps">
            <w:drawing>
              <wp:anchor distT="0" distB="0" distL="114300" distR="114300" simplePos="0" relativeHeight="251667456" behindDoc="0" locked="0" layoutInCell="1" allowOverlap="1" wp14:anchorId="2E105CEA" wp14:editId="44C94A55">
                <wp:simplePos x="0" y="0"/>
                <wp:positionH relativeFrom="column">
                  <wp:posOffset>2827020</wp:posOffset>
                </wp:positionH>
                <wp:positionV relativeFrom="paragraph">
                  <wp:posOffset>306705</wp:posOffset>
                </wp:positionV>
                <wp:extent cx="1181100" cy="2301240"/>
                <wp:effectExtent l="0" t="0" r="19050" b="22860"/>
                <wp:wrapNone/>
                <wp:docPr id="3" name="Oval 3"/>
                <wp:cNvGraphicFramePr/>
                <a:graphic xmlns:a="http://schemas.openxmlformats.org/drawingml/2006/main">
                  <a:graphicData uri="http://schemas.microsoft.com/office/word/2010/wordprocessingShape">
                    <wps:wsp>
                      <wps:cNvSpPr/>
                      <wps:spPr>
                        <a:xfrm>
                          <a:off x="0" y="0"/>
                          <a:ext cx="1181100" cy="2301240"/>
                        </a:xfrm>
                        <a:prstGeom prst="ellipse">
                          <a:avLst/>
                        </a:prstGeom>
                        <a:no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222.6pt;margin-top:24.15pt;width:93pt;height:18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" filled="f" strokecolor="red" strokeweight="2pt"/>
            </w:pict>
          </mc:Fallback>
        </mc:AlternateContent>
      </w:r>
      <w:r w:rsidR="00FD34BC" w:rsidRPr="00FD34BC">
        <w:rPr>
          <w:noProof/>
          <w:lang w:eastAsia="en-AU"/>
        </w:rPr>
        <w:drawing>
          <wp:inline distT="0" distB="0" distL="0" distR="0" wp14:anchorId="79358A19" wp14:editId="15FFDE84">
            <wp:extent cx="5731510" cy="4256126"/>
            <wp:effectExtent l="0" t="0" r="2540" b="0"/>
            <wp:docPr id="18" name="Picture 18"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6126"/>
                    </a:xfrm>
                    <a:prstGeom prst="rect">
                      <a:avLst/>
                    </a:prstGeom>
                    <a:noFill/>
                    <a:ln>
                      <a:noFill/>
                    </a:ln>
                  </pic:spPr>
                </pic:pic>
              </a:graphicData>
            </a:graphic>
          </wp:inline>
        </w:drawing>
      </w:r>
    </w:p>
    <w:p w:rsidR="00492732" w:rsidRDefault="00492732" w:rsidP="00A25353">
      <w:r>
        <w:t xml:space="preserve">The red ellipse highlights when the system black occurred and </w:t>
      </w:r>
      <w:r w:rsidR="00145BF2">
        <w:t xml:space="preserve">the increase </w:t>
      </w:r>
      <w:r w:rsidR="00FC608B">
        <w:t xml:space="preserve">in </w:t>
      </w:r>
      <w:r w:rsidR="00145BF2">
        <w:t>generation as the system was restored.</w:t>
      </w:r>
    </w:p>
    <w:p w:rsidR="00704518" w:rsidRPr="002C6B96" w:rsidRDefault="00A16DAF" w:rsidP="00A25353">
      <w:pPr>
        <w:pStyle w:val="Caption"/>
      </w:pPr>
      <w:bookmarkStart w:id="17" w:name="_Ref448330536"/>
      <w:bookmarkStart w:id="18" w:name="_Ref410383520"/>
      <w:r w:rsidRPr="002C6B96">
        <w:lastRenderedPageBreak/>
        <w:t xml:space="preserve">Figure </w:t>
      </w:r>
      <w:r w:rsidR="00004E48">
        <w:fldChar w:fldCharType="begin"/>
      </w:r>
      <w:r w:rsidR="00004E48">
        <w:instrText xml:space="preserve"> SEQ Figure \* ARABIC </w:instrText>
      </w:r>
      <w:r w:rsidR="00004E48">
        <w:fldChar w:fldCharType="separate"/>
      </w:r>
      <w:r w:rsidR="00004E48">
        <w:rPr>
          <w:noProof/>
        </w:rPr>
        <w:t>7</w:t>
      </w:r>
      <w:r w:rsidR="00004E48">
        <w:rPr>
          <w:noProof/>
        </w:rPr>
        <w:fldChar w:fldCharType="end"/>
      </w:r>
      <w:bookmarkEnd w:id="17"/>
      <w:r w:rsidRPr="002C6B96">
        <w:t>: Tasmania generation and bidding patterns</w:t>
      </w:r>
    </w:p>
    <w:bookmarkEnd w:id="18"/>
    <w:p w:rsidR="00DB7B59" w:rsidRDefault="00FD34BC" w:rsidP="00AF7C0E">
      <w:pPr>
        <w:pStyle w:val="AERbodytext"/>
      </w:pPr>
      <w:r w:rsidRPr="00FD34BC">
        <w:rPr>
          <w:noProof/>
        </w:rPr>
        <w:drawing>
          <wp:inline distT="0" distB="0" distL="0" distR="0" wp14:anchorId="1793867F" wp14:editId="119B7F6B">
            <wp:extent cx="5731510" cy="4115071"/>
            <wp:effectExtent l="0" t="0" r="2540" b="0"/>
            <wp:docPr id="19" name="Picture 19"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5358F4" w:rsidRDefault="005358F4" w:rsidP="005358F4">
      <w:pPr>
        <w:spacing w:line="240" w:lineRule="auto"/>
        <w:rPr>
          <w:rFonts w:eastAsia="Times New Roman" w:cs="Arial"/>
          <w:bCs/>
          <w:lang w:eastAsia="en-AU"/>
        </w:rPr>
      </w:pPr>
      <w:bookmarkStart w:id="19" w:name="_Ref410383413"/>
      <w:r w:rsidRPr="005358F4">
        <w:rPr>
          <w:rFonts w:eastAsia="Times New Roman" w:cs="Arial"/>
          <w:bCs/>
          <w:lang w:eastAsia="en-AU"/>
        </w:rPr>
        <w:t>The total cost of FCAS on the mainland for the week was $1</w:t>
      </w:r>
      <w:r w:rsidR="00593DCD">
        <w:rPr>
          <w:rFonts w:eastAsia="Times New Roman" w:cs="Arial"/>
          <w:bCs/>
          <w:lang w:eastAsia="en-AU"/>
        </w:rPr>
        <w:t> </w:t>
      </w:r>
      <w:r w:rsidRPr="005358F4">
        <w:rPr>
          <w:rFonts w:eastAsia="Times New Roman" w:cs="Arial"/>
          <w:bCs/>
          <w:lang w:eastAsia="en-AU"/>
        </w:rPr>
        <w:t>520</w:t>
      </w:r>
      <w:r w:rsidR="00593DCD">
        <w:rPr>
          <w:rFonts w:eastAsia="Times New Roman" w:cs="Arial"/>
          <w:bCs/>
          <w:lang w:eastAsia="en-AU"/>
        </w:rPr>
        <w:t> </w:t>
      </w:r>
      <w:r w:rsidRPr="005358F4">
        <w:rPr>
          <w:rFonts w:eastAsia="Times New Roman" w:cs="Arial"/>
          <w:bCs/>
          <w:lang w:eastAsia="en-AU"/>
        </w:rPr>
        <w:t xml:space="preserve">000 or </w:t>
      </w:r>
      <w:r w:rsidR="009D5F5D">
        <w:rPr>
          <w:rFonts w:eastAsia="Times New Roman" w:cs="Arial"/>
          <w:bCs/>
          <w:lang w:eastAsia="en-AU"/>
        </w:rPr>
        <w:t>around one</w:t>
      </w:r>
      <w:r w:rsidRPr="005358F4">
        <w:rPr>
          <w:rFonts w:eastAsia="Times New Roman" w:cs="Arial"/>
          <w:bCs/>
          <w:lang w:eastAsia="en-AU"/>
        </w:rPr>
        <w:t xml:space="preserve"> per cent of energy turnover on the mainland.</w:t>
      </w:r>
    </w:p>
    <w:p w:rsidR="00004E48" w:rsidRDefault="005358F4" w:rsidP="00004E48">
      <w:pPr>
        <w:spacing w:line="240" w:lineRule="auto"/>
      </w:pPr>
      <w:r w:rsidRPr="005358F4">
        <w:rPr>
          <w:rFonts w:eastAsia="Times New Roman" w:cs="Arial"/>
          <w:bCs/>
          <w:lang w:eastAsia="en-AU"/>
        </w:rPr>
        <w:t>The total cost of FCAS in Tasmania for the week was $366</w:t>
      </w:r>
      <w:r w:rsidR="00593DCD">
        <w:rPr>
          <w:rFonts w:eastAsia="Times New Roman" w:cs="Arial"/>
          <w:bCs/>
          <w:lang w:eastAsia="en-AU"/>
        </w:rPr>
        <w:t> </w:t>
      </w:r>
      <w:r w:rsidRPr="005358F4">
        <w:rPr>
          <w:rFonts w:eastAsia="Times New Roman" w:cs="Arial"/>
          <w:bCs/>
          <w:lang w:eastAsia="en-AU"/>
        </w:rPr>
        <w:t xml:space="preserve">500 or </w:t>
      </w:r>
      <w:r w:rsidR="009D5F5D">
        <w:rPr>
          <w:rFonts w:eastAsia="Times New Roman" w:cs="Arial"/>
          <w:bCs/>
          <w:lang w:eastAsia="en-AU"/>
        </w:rPr>
        <w:t>around five</w:t>
      </w:r>
      <w:r w:rsidR="00862283">
        <w:rPr>
          <w:rFonts w:eastAsia="Times New Roman" w:cs="Arial"/>
          <w:bCs/>
          <w:lang w:eastAsia="en-AU"/>
        </w:rPr>
        <w:t xml:space="preserve"> </w:t>
      </w:r>
      <w:r w:rsidRPr="005358F4">
        <w:rPr>
          <w:rFonts w:eastAsia="Times New Roman" w:cs="Arial"/>
          <w:bCs/>
          <w:lang w:eastAsia="en-AU"/>
        </w:rPr>
        <w:t>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004E48"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lastRenderedPageBreak/>
        <w:t xml:space="preserve">Figure </w:t>
      </w:r>
      <w:r w:rsidR="00DF6E09">
        <w:rPr>
          <w:noProof/>
        </w:rPr>
        <w:fldChar w:fldCharType="begin"/>
      </w:r>
      <w:r w:rsidR="00DF6E09">
        <w:rPr>
          <w:noProof/>
        </w:rPr>
        <w:instrText xml:space="preserve"> SEQ Figure \* ARABIC </w:instrText>
      </w:r>
      <w:r w:rsidR="00DF6E09">
        <w:rPr>
          <w:noProof/>
        </w:rPr>
        <w:fldChar w:fldCharType="separate"/>
      </w:r>
      <w:r w:rsidR="00004E48">
        <w:rPr>
          <w:noProof/>
        </w:rPr>
        <w:t>8</w:t>
      </w:r>
      <w:r w:rsidR="00DF6E09">
        <w:rPr>
          <w:noProof/>
        </w:rPr>
        <w:fldChar w:fldCharType="end"/>
      </w:r>
      <w:bookmarkEnd w:id="19"/>
      <w:bookmarkEnd w:id="20"/>
      <w:r w:rsidRPr="00551739">
        <w:rPr>
          <w:noProof/>
        </w:rPr>
        <w:t>: Daily frequency control ancillary service cost</w:t>
      </w:r>
    </w:p>
    <w:p w:rsidR="00562103" w:rsidRDefault="00FD34BC" w:rsidP="00562103">
      <w:r w:rsidRPr="00FD34BC">
        <w:rPr>
          <w:noProof/>
          <w:lang w:eastAsia="en-AU"/>
        </w:rPr>
        <w:drawing>
          <wp:inline distT="0" distB="0" distL="0" distR="0" wp14:anchorId="72C673B5" wp14:editId="4251EAB4">
            <wp:extent cx="5731510" cy="2893363"/>
            <wp:effectExtent l="0" t="0" r="2540" b="2540"/>
            <wp:docPr id="20" name="Picture 20"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bookmarkEnd w:id="0"/>
    <w:bookmarkEnd w:id="1"/>
    <w:bookmarkEnd w:id="2"/>
    <w:bookmarkEnd w:id="3"/>
    <w:bookmarkEnd w:id="4"/>
    <w:bookmarkEnd w:id="5"/>
    <w:p w:rsidR="000E726E" w:rsidRDefault="000E726E">
      <w:pPr>
        <w:spacing w:line="240" w:lineRule="auto"/>
        <w:rPr>
          <w:rFonts w:eastAsia="Times New Roman" w:cs="Times New Roman"/>
          <w:b/>
          <w:bCs/>
          <w:color w:val="2272A3" w:themeColor="accent4" w:themeShade="80"/>
          <w:sz w:val="32"/>
          <w:szCs w:val="20"/>
        </w:rPr>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004E48">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r w:rsidR="00004E48">
        <w:fldChar w:fldCharType="begin"/>
      </w:r>
      <w:r w:rsidR="00004E48">
        <w:instrText xml:space="preserve"> SEQ Figure \* ARABIC </w:instrText>
      </w:r>
      <w:r w:rsidR="00004E48">
        <w:fldChar w:fldCharType="separate"/>
      </w:r>
      <w:r w:rsidR="00004E48">
        <w:rPr>
          <w:noProof/>
        </w:rPr>
        <w:t>9</w:t>
      </w:r>
      <w:r w:rsidR="00004E48">
        <w:rPr>
          <w:noProof/>
        </w:rPr>
        <w:fldChar w:fldCharType="end"/>
      </w:r>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r w:rsidR="003A585C" w:rsidRPr="003A585C">
        <w:rPr>
          <w:b w:val="0"/>
          <w:bCs w:val="0"/>
        </w:rPr>
        <w:t xml:space="preserve"> </w:t>
      </w:r>
      <w:r w:rsidR="008E0420" w:rsidRPr="008E0420">
        <w:rPr>
          <w:noProof/>
          <w:lang w:eastAsia="en-AU"/>
        </w:rPr>
        <w:drawing>
          <wp:inline distT="0" distB="0" distL="0" distR="0" wp14:anchorId="5DA8BE31" wp14:editId="2D953458">
            <wp:extent cx="5731510" cy="2887842"/>
            <wp:effectExtent l="0" t="0" r="2540" b="8255"/>
            <wp:docPr id="22" name="Picture 22"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004E48" w:rsidRPr="00491631">
        <w:t xml:space="preserve">Figure </w:t>
      </w:r>
      <w:r w:rsidR="00004E48">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124D47">
        <w:t xml:space="preserve">The AER notes that data for </w:t>
      </w:r>
      <w:r w:rsidR="005A5657" w:rsidRPr="00124D47">
        <w:t>South </w:t>
      </w:r>
      <w:r w:rsidRPr="00124D47">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004E48">
        <w:fldChar w:fldCharType="begin"/>
      </w:r>
      <w:r w:rsidR="00004E48">
        <w:instrText xml:space="preserve"> SEQ Figure \* ARABIC </w:instrText>
      </w:r>
      <w:r w:rsidR="00004E48">
        <w:fldChar w:fldCharType="separate"/>
      </w:r>
      <w:r w:rsidR="00004E48">
        <w:rPr>
          <w:noProof/>
        </w:rPr>
        <w:t>10</w:t>
      </w:r>
      <w:r w:rsidR="00004E48">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8E0420" w:rsidP="00C466B4">
      <w:pPr>
        <w:pStyle w:val="Source"/>
        <w:spacing w:before="0" w:after="120" w:line="240" w:lineRule="auto"/>
        <w:jc w:val="both"/>
      </w:pPr>
      <w:r w:rsidRPr="008E0420">
        <w:rPr>
          <w:noProof/>
          <w:lang w:eastAsia="en-AU"/>
        </w:rPr>
        <w:drawing>
          <wp:inline distT="0" distB="0" distL="0" distR="0" wp14:anchorId="539CAB07" wp14:editId="3C5A1066">
            <wp:extent cx="5731510" cy="2901820"/>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004E48">
        <w:t xml:space="preserve">Figure </w:t>
      </w:r>
      <w:r w:rsidR="00004E48">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004E48">
        <w:fldChar w:fldCharType="begin"/>
      </w:r>
      <w:r w:rsidR="00004E48">
        <w:instrText xml:space="preserve"> SEQ Figure \* ARABIC </w:instrText>
      </w:r>
      <w:r w:rsidR="00004E48">
        <w:fldChar w:fldCharType="separate"/>
      </w:r>
      <w:r w:rsidR="00004E48">
        <w:rPr>
          <w:noProof/>
        </w:rPr>
        <w:t>11</w:t>
      </w:r>
      <w:r w:rsidR="00004E48">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8E0420" w:rsidP="008E0420">
      <w:r w:rsidRPr="008E0420">
        <w:rPr>
          <w:noProof/>
          <w:lang w:eastAsia="en-AU"/>
        </w:rPr>
        <w:drawing>
          <wp:inline distT="0" distB="0" distL="0" distR="0" wp14:anchorId="359CB672" wp14:editId="58100D07">
            <wp:extent cx="5731510" cy="2873998"/>
            <wp:effectExtent l="0" t="0" r="2540" b="3175"/>
            <wp:docPr id="24" name="Picture 24"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145BF2">
        <w:t>October</w:t>
      </w:r>
      <w:r w:rsidR="004D5447" w:rsidRPr="00D92E07">
        <w:t xml:space="preserve">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04E48">
      <w:rPr>
        <w:rFonts w:cs="Arial"/>
        <w:i/>
        <w:noProof/>
      </w:rPr>
      <w:t>9</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83"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04E48">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w:t>
    </w:r>
    <w:r w:rsidR="003E4747">
      <w:rPr>
        <w:rFonts w:cs="Arial"/>
        <w:i/>
      </w:rPr>
      <w:t>13</w:t>
    </w:r>
    <w:r w:rsidR="00862283">
      <w:rPr>
        <w:rFonts w:cs="Arial"/>
        <w:i/>
      </w:rPr>
      <w:t>7079</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 w:id="1">
    <w:p w:rsidR="0037578A" w:rsidRDefault="0037578A" w:rsidP="0037578A">
      <w:pPr>
        <w:pStyle w:val="FootnoteText"/>
      </w:pPr>
      <w:r>
        <w:rPr>
          <w:rStyle w:val="FootnoteReference"/>
        </w:rPr>
        <w:footnoteRef/>
      </w:r>
      <w:r>
        <w:t xml:space="preserve"> See: </w:t>
      </w:r>
      <w:hyperlink r:id="rId1" w:history="1">
        <w:r w:rsidRPr="00D76DC7">
          <w:rPr>
            <w:rStyle w:val="Hyperlink"/>
            <w:sz w:val="16"/>
          </w:rPr>
          <w:t>AEMO's Market Suspension Pricing Schedule</w:t>
        </w:r>
      </w:hyperlink>
    </w:p>
  </w:footnote>
  <w:footnote w:id="2">
    <w:p w:rsidR="00253F55" w:rsidRDefault="00253F55" w:rsidP="00253F55">
      <w:pPr>
        <w:pStyle w:val="FootnoteText"/>
      </w:pPr>
      <w:r>
        <w:rPr>
          <w:rStyle w:val="FootnoteReference"/>
        </w:rPr>
        <w:footnoteRef/>
      </w:r>
      <w:r>
        <w:t xml:space="preserve"> For documentation on Market Suspension Pricing see </w:t>
      </w:r>
      <w:hyperlink r:id="rId2" w:history="1">
        <w:r w:rsidRPr="0063580F">
          <w:rPr>
            <w:rStyle w:val="Hyperlink"/>
            <w:sz w:val="16"/>
          </w:rPr>
          <w:t>Automation of Market Suspension Pricing Schedules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Electricity report 25 September - 1 October 2016.docx"/>
  </w:docVars>
  <w:rsids>
    <w:rsidRoot w:val="00275002"/>
    <w:rsid w:val="00000817"/>
    <w:rsid w:val="00000BFE"/>
    <w:rsid w:val="00000CC3"/>
    <w:rsid w:val="00001D6D"/>
    <w:rsid w:val="00003169"/>
    <w:rsid w:val="00004E48"/>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38D7"/>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5BF2"/>
    <w:rsid w:val="00146F42"/>
    <w:rsid w:val="001512D6"/>
    <w:rsid w:val="00151F61"/>
    <w:rsid w:val="001539E0"/>
    <w:rsid w:val="0015451B"/>
    <w:rsid w:val="0015496E"/>
    <w:rsid w:val="00155113"/>
    <w:rsid w:val="0015602B"/>
    <w:rsid w:val="001566F6"/>
    <w:rsid w:val="0015721E"/>
    <w:rsid w:val="001573E4"/>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AEF"/>
    <w:rsid w:val="001778E3"/>
    <w:rsid w:val="00180157"/>
    <w:rsid w:val="00180E51"/>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004"/>
    <w:rsid w:val="00253160"/>
    <w:rsid w:val="00253F55"/>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41C1"/>
    <w:rsid w:val="00294653"/>
    <w:rsid w:val="00294D01"/>
    <w:rsid w:val="00296B65"/>
    <w:rsid w:val="00296D07"/>
    <w:rsid w:val="002A0450"/>
    <w:rsid w:val="002A0AF0"/>
    <w:rsid w:val="002A1B5C"/>
    <w:rsid w:val="002A2900"/>
    <w:rsid w:val="002A32DF"/>
    <w:rsid w:val="002A3CF2"/>
    <w:rsid w:val="002A4EF8"/>
    <w:rsid w:val="002A72AE"/>
    <w:rsid w:val="002A7439"/>
    <w:rsid w:val="002A7729"/>
    <w:rsid w:val="002A7C78"/>
    <w:rsid w:val="002A7DEF"/>
    <w:rsid w:val="002B0749"/>
    <w:rsid w:val="002B0DAE"/>
    <w:rsid w:val="002B1949"/>
    <w:rsid w:val="002B1B50"/>
    <w:rsid w:val="002B1CD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3D1D"/>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1D84"/>
    <w:rsid w:val="003624C2"/>
    <w:rsid w:val="00362ABA"/>
    <w:rsid w:val="003642AD"/>
    <w:rsid w:val="00364EF1"/>
    <w:rsid w:val="00366515"/>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6C86"/>
    <w:rsid w:val="003874F8"/>
    <w:rsid w:val="003904D2"/>
    <w:rsid w:val="003953A0"/>
    <w:rsid w:val="00395B4C"/>
    <w:rsid w:val="00397EB2"/>
    <w:rsid w:val="00397FF5"/>
    <w:rsid w:val="003A0810"/>
    <w:rsid w:val="003A0CB8"/>
    <w:rsid w:val="003A1E66"/>
    <w:rsid w:val="003A1F17"/>
    <w:rsid w:val="003A39D5"/>
    <w:rsid w:val="003A3E2D"/>
    <w:rsid w:val="003A41E0"/>
    <w:rsid w:val="003A431D"/>
    <w:rsid w:val="003A4B6B"/>
    <w:rsid w:val="003A4D05"/>
    <w:rsid w:val="003A53D5"/>
    <w:rsid w:val="003A585C"/>
    <w:rsid w:val="003A5E58"/>
    <w:rsid w:val="003A7DC0"/>
    <w:rsid w:val="003B069D"/>
    <w:rsid w:val="003B0D56"/>
    <w:rsid w:val="003B1A79"/>
    <w:rsid w:val="003B282E"/>
    <w:rsid w:val="003B40ED"/>
    <w:rsid w:val="003B4804"/>
    <w:rsid w:val="003B4D9B"/>
    <w:rsid w:val="003B5231"/>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641"/>
    <w:rsid w:val="004176E8"/>
    <w:rsid w:val="00420AA9"/>
    <w:rsid w:val="00421154"/>
    <w:rsid w:val="0042429B"/>
    <w:rsid w:val="00424809"/>
    <w:rsid w:val="004253D6"/>
    <w:rsid w:val="00425E38"/>
    <w:rsid w:val="004269FF"/>
    <w:rsid w:val="004303EE"/>
    <w:rsid w:val="00432B5B"/>
    <w:rsid w:val="00433242"/>
    <w:rsid w:val="00436B54"/>
    <w:rsid w:val="00436F76"/>
    <w:rsid w:val="00440D85"/>
    <w:rsid w:val="0044110C"/>
    <w:rsid w:val="00441A99"/>
    <w:rsid w:val="00442767"/>
    <w:rsid w:val="00444A48"/>
    <w:rsid w:val="00445806"/>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31F8"/>
    <w:rsid w:val="004835FB"/>
    <w:rsid w:val="00484D9C"/>
    <w:rsid w:val="00485752"/>
    <w:rsid w:val="00485DC4"/>
    <w:rsid w:val="0048690A"/>
    <w:rsid w:val="00487C10"/>
    <w:rsid w:val="00491631"/>
    <w:rsid w:val="004923CD"/>
    <w:rsid w:val="00492732"/>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5381"/>
    <w:rsid w:val="004F6D0A"/>
    <w:rsid w:val="004F6ED0"/>
    <w:rsid w:val="00501B85"/>
    <w:rsid w:val="0050244E"/>
    <w:rsid w:val="00502843"/>
    <w:rsid w:val="00502D42"/>
    <w:rsid w:val="00502F3B"/>
    <w:rsid w:val="005033F6"/>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4102B"/>
    <w:rsid w:val="0054173F"/>
    <w:rsid w:val="00541B82"/>
    <w:rsid w:val="0054254C"/>
    <w:rsid w:val="0054313C"/>
    <w:rsid w:val="00543544"/>
    <w:rsid w:val="00543945"/>
    <w:rsid w:val="00543BEC"/>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E7C"/>
    <w:rsid w:val="00577F68"/>
    <w:rsid w:val="005810AE"/>
    <w:rsid w:val="005819F3"/>
    <w:rsid w:val="00581C36"/>
    <w:rsid w:val="00581FB0"/>
    <w:rsid w:val="00582183"/>
    <w:rsid w:val="00582446"/>
    <w:rsid w:val="005839B3"/>
    <w:rsid w:val="00584D8F"/>
    <w:rsid w:val="00585D42"/>
    <w:rsid w:val="0058645E"/>
    <w:rsid w:val="0059050D"/>
    <w:rsid w:val="00593DCD"/>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4063"/>
    <w:rsid w:val="005B4810"/>
    <w:rsid w:val="005B4C44"/>
    <w:rsid w:val="005B62AF"/>
    <w:rsid w:val="005B6FC9"/>
    <w:rsid w:val="005B7F8F"/>
    <w:rsid w:val="005C08DE"/>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4EB1"/>
    <w:rsid w:val="005E6DAF"/>
    <w:rsid w:val="005E6FFA"/>
    <w:rsid w:val="005E7718"/>
    <w:rsid w:val="005F0661"/>
    <w:rsid w:val="005F0CD5"/>
    <w:rsid w:val="005F37A9"/>
    <w:rsid w:val="005F59D5"/>
    <w:rsid w:val="005F69C4"/>
    <w:rsid w:val="005F6ADE"/>
    <w:rsid w:val="005F702C"/>
    <w:rsid w:val="005F7247"/>
    <w:rsid w:val="00600B2D"/>
    <w:rsid w:val="00601705"/>
    <w:rsid w:val="0060272B"/>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4083"/>
    <w:rsid w:val="00665ACC"/>
    <w:rsid w:val="00666226"/>
    <w:rsid w:val="0067092D"/>
    <w:rsid w:val="0067180B"/>
    <w:rsid w:val="00673D15"/>
    <w:rsid w:val="006741D4"/>
    <w:rsid w:val="00675C7F"/>
    <w:rsid w:val="00675E21"/>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98D"/>
    <w:rsid w:val="006A6EDD"/>
    <w:rsid w:val="006A7C64"/>
    <w:rsid w:val="006B0C7B"/>
    <w:rsid w:val="006B3202"/>
    <w:rsid w:val="006B32F3"/>
    <w:rsid w:val="006B4CF9"/>
    <w:rsid w:val="006B6CC3"/>
    <w:rsid w:val="006B77F5"/>
    <w:rsid w:val="006B7AC8"/>
    <w:rsid w:val="006C1813"/>
    <w:rsid w:val="006C196C"/>
    <w:rsid w:val="006C1E8B"/>
    <w:rsid w:val="006C1F0C"/>
    <w:rsid w:val="006C2373"/>
    <w:rsid w:val="006C318F"/>
    <w:rsid w:val="006C3620"/>
    <w:rsid w:val="006C41C4"/>
    <w:rsid w:val="006C447D"/>
    <w:rsid w:val="006C4534"/>
    <w:rsid w:val="006C5B09"/>
    <w:rsid w:val="006C62B7"/>
    <w:rsid w:val="006D0C1E"/>
    <w:rsid w:val="006D1D94"/>
    <w:rsid w:val="006D3561"/>
    <w:rsid w:val="006D38CE"/>
    <w:rsid w:val="006D44B4"/>
    <w:rsid w:val="006D550F"/>
    <w:rsid w:val="006D5B9F"/>
    <w:rsid w:val="006D6001"/>
    <w:rsid w:val="006D6AE2"/>
    <w:rsid w:val="006D6B47"/>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8A2"/>
    <w:rsid w:val="00747D2F"/>
    <w:rsid w:val="0075017A"/>
    <w:rsid w:val="00751821"/>
    <w:rsid w:val="007532DD"/>
    <w:rsid w:val="00753ADA"/>
    <w:rsid w:val="00755B85"/>
    <w:rsid w:val="007600A5"/>
    <w:rsid w:val="00760FD8"/>
    <w:rsid w:val="00761409"/>
    <w:rsid w:val="007618A3"/>
    <w:rsid w:val="00762D41"/>
    <w:rsid w:val="00763E5D"/>
    <w:rsid w:val="00764468"/>
    <w:rsid w:val="00764C7F"/>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2BB"/>
    <w:rsid w:val="007A33E8"/>
    <w:rsid w:val="007A3A5D"/>
    <w:rsid w:val="007A6572"/>
    <w:rsid w:val="007A6656"/>
    <w:rsid w:val="007A7264"/>
    <w:rsid w:val="007B0D60"/>
    <w:rsid w:val="007B1732"/>
    <w:rsid w:val="007B2C72"/>
    <w:rsid w:val="007B3F68"/>
    <w:rsid w:val="007B497F"/>
    <w:rsid w:val="007B57F8"/>
    <w:rsid w:val="007B5B65"/>
    <w:rsid w:val="007B742A"/>
    <w:rsid w:val="007B78AB"/>
    <w:rsid w:val="007C0679"/>
    <w:rsid w:val="007C1C53"/>
    <w:rsid w:val="007C2EE8"/>
    <w:rsid w:val="007C62FE"/>
    <w:rsid w:val="007C6FE2"/>
    <w:rsid w:val="007C7930"/>
    <w:rsid w:val="007D00F6"/>
    <w:rsid w:val="007D1133"/>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0C5A"/>
    <w:rsid w:val="00851209"/>
    <w:rsid w:val="0085188E"/>
    <w:rsid w:val="00851B46"/>
    <w:rsid w:val="00852B3D"/>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0420"/>
    <w:rsid w:val="008E1B1B"/>
    <w:rsid w:val="008E1E8E"/>
    <w:rsid w:val="008E2316"/>
    <w:rsid w:val="008E23D1"/>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0156"/>
    <w:rsid w:val="0091130F"/>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B7"/>
    <w:rsid w:val="009456DC"/>
    <w:rsid w:val="0094643C"/>
    <w:rsid w:val="00947919"/>
    <w:rsid w:val="00950B15"/>
    <w:rsid w:val="0095158D"/>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3016"/>
    <w:rsid w:val="009D30B3"/>
    <w:rsid w:val="009D3902"/>
    <w:rsid w:val="009D47E3"/>
    <w:rsid w:val="009D5AB7"/>
    <w:rsid w:val="009D5F5D"/>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63EF"/>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0CD4"/>
    <w:rsid w:val="00A81710"/>
    <w:rsid w:val="00A81EF8"/>
    <w:rsid w:val="00A8219E"/>
    <w:rsid w:val="00A84107"/>
    <w:rsid w:val="00A84E2D"/>
    <w:rsid w:val="00A84F46"/>
    <w:rsid w:val="00A85DE3"/>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1CC2"/>
    <w:rsid w:val="00AB6478"/>
    <w:rsid w:val="00AB6927"/>
    <w:rsid w:val="00AB6AF1"/>
    <w:rsid w:val="00AC0FE9"/>
    <w:rsid w:val="00AC1491"/>
    <w:rsid w:val="00AC1B2C"/>
    <w:rsid w:val="00AC1CF3"/>
    <w:rsid w:val="00AC242C"/>
    <w:rsid w:val="00AC3264"/>
    <w:rsid w:val="00AC48DA"/>
    <w:rsid w:val="00AC5548"/>
    <w:rsid w:val="00AC5B96"/>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70A7F"/>
    <w:rsid w:val="00B70CA5"/>
    <w:rsid w:val="00B7397E"/>
    <w:rsid w:val="00B73C3A"/>
    <w:rsid w:val="00B752C5"/>
    <w:rsid w:val="00B8080B"/>
    <w:rsid w:val="00B80E30"/>
    <w:rsid w:val="00B82845"/>
    <w:rsid w:val="00B85D8A"/>
    <w:rsid w:val="00B87C39"/>
    <w:rsid w:val="00B87DD6"/>
    <w:rsid w:val="00B904FF"/>
    <w:rsid w:val="00B91BE8"/>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2A5"/>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6643"/>
    <w:rsid w:val="00CA771A"/>
    <w:rsid w:val="00CA7D3F"/>
    <w:rsid w:val="00CB0FA5"/>
    <w:rsid w:val="00CB34AC"/>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4B01"/>
    <w:rsid w:val="00CE4F57"/>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F55"/>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DC7"/>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816"/>
    <w:rsid w:val="00DA72EB"/>
    <w:rsid w:val="00DA7664"/>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23D9"/>
    <w:rsid w:val="00E8569F"/>
    <w:rsid w:val="00E86851"/>
    <w:rsid w:val="00E90A23"/>
    <w:rsid w:val="00E91678"/>
    <w:rsid w:val="00E91BED"/>
    <w:rsid w:val="00E926FC"/>
    <w:rsid w:val="00E936DB"/>
    <w:rsid w:val="00E95CA7"/>
    <w:rsid w:val="00E96EFF"/>
    <w:rsid w:val="00E973CA"/>
    <w:rsid w:val="00EA1DEE"/>
    <w:rsid w:val="00EA3D42"/>
    <w:rsid w:val="00EA4DD9"/>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9B8"/>
    <w:rsid w:val="00F21BB0"/>
    <w:rsid w:val="00F22856"/>
    <w:rsid w:val="00F247E7"/>
    <w:rsid w:val="00F248D0"/>
    <w:rsid w:val="00F25CF1"/>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36B2"/>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1DFF"/>
    <w:rsid w:val="00F835F8"/>
    <w:rsid w:val="00F83FAD"/>
    <w:rsid w:val="00F87EBA"/>
    <w:rsid w:val="00F90705"/>
    <w:rsid w:val="00F908CD"/>
    <w:rsid w:val="00F90A80"/>
    <w:rsid w:val="00F91F06"/>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08B"/>
    <w:rsid w:val="00FC626F"/>
    <w:rsid w:val="00FC656F"/>
    <w:rsid w:val="00FC6C78"/>
    <w:rsid w:val="00FC7B0B"/>
    <w:rsid w:val="00FD0763"/>
    <w:rsid w:val="00FD166D"/>
    <w:rsid w:val="00FD22A2"/>
    <w:rsid w:val="00FD29EE"/>
    <w:rsid w:val="00FD2F97"/>
    <w:rsid w:val="00FD34BC"/>
    <w:rsid w:val="00FD3CA8"/>
    <w:rsid w:val="00FD5316"/>
    <w:rsid w:val="00FD5614"/>
    <w:rsid w:val="00FD72DC"/>
    <w:rsid w:val="00FE07CB"/>
    <w:rsid w:val="00FE0BE1"/>
    <w:rsid w:val="00FE1DE9"/>
    <w:rsid w:val="00FE292D"/>
    <w:rsid w:val="00FE39C2"/>
    <w:rsid w:val="00FE3E67"/>
    <w:rsid w:val="00FE4B6D"/>
    <w:rsid w:val="00FE602C"/>
    <w:rsid w:val="00FE64AE"/>
    <w:rsid w:val="00FE6541"/>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9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emo.com.au/Electricity/National-Electricity-Market-NEM/Security-and-reliability/Dispatch-information/-/media/F843E54A8C544D17924C366A8C83CDC6.ashx" TargetMode="External"/><Relationship Id="rId1" Type="http://schemas.openxmlformats.org/officeDocument/2006/relationships/hyperlink" Target="http://aemo.com.au/Electricity/National-Electricity-Market-NEM/Data/Market-Management-System-MMS/Market-Suspension-Pricing-Schedule"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8598BD94</Template>
  <TotalTime>0</TotalTime>
  <Pages>9</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2016-10-17T06:12:00Z</dcterms:created>
  <dcterms:modified xsi:type="dcterms:W3CDTF">2016-10-17T06:13:00Z</dcterms:modified>
</cp:coreProperties>
</file>