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5A8614BB" wp14:editId="64D63980">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2F7B3F" w:rsidP="002A4EF8">
      <w:pPr>
        <w:rPr>
          <w:b/>
          <w:sz w:val="36"/>
          <w:szCs w:val="36"/>
        </w:rPr>
      </w:pPr>
      <w:r>
        <w:rPr>
          <w:b/>
          <w:sz w:val="36"/>
          <w:szCs w:val="36"/>
        </w:rPr>
        <w:t>4</w:t>
      </w:r>
      <w:r w:rsidR="00366713">
        <w:rPr>
          <w:b/>
          <w:sz w:val="36"/>
          <w:szCs w:val="36"/>
        </w:rPr>
        <w:t xml:space="preserve"> </w:t>
      </w:r>
      <w:r w:rsidR="001761FF">
        <w:rPr>
          <w:b/>
          <w:sz w:val="36"/>
          <w:szCs w:val="36"/>
        </w:rPr>
        <w:t>–</w:t>
      </w:r>
      <w:r w:rsidR="00B04808">
        <w:rPr>
          <w:b/>
          <w:sz w:val="36"/>
          <w:szCs w:val="36"/>
        </w:rPr>
        <w:t> </w:t>
      </w:r>
      <w:r>
        <w:rPr>
          <w:b/>
          <w:sz w:val="36"/>
          <w:szCs w:val="36"/>
        </w:rPr>
        <w:t xml:space="preserve">10 December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462B2C" w:rsidRPr="00BE2075">
        <w:t xml:space="preserve">Figure </w:t>
      </w:r>
      <w:r w:rsidR="00462B2C">
        <w:t>1</w:t>
      </w:r>
      <w:r w:rsidRPr="00F21187">
        <w:fldChar w:fldCharType="end"/>
      </w:r>
      <w:r w:rsidRPr="00F21187">
        <w:t xml:space="preserve"> </w:t>
      </w:r>
      <w:r w:rsidR="00AF7058" w:rsidRPr="00F21187">
        <w:t xml:space="preserve">shows the spot prices that occurred in each region during the week </w:t>
      </w:r>
      <w:r w:rsidR="002F7B3F">
        <w:t>4</w:t>
      </w:r>
      <w:r w:rsidR="006D40F1">
        <w:t xml:space="preserve"> – </w:t>
      </w:r>
      <w:r w:rsidR="002F7B3F">
        <w:t>10</w:t>
      </w:r>
      <w:r w:rsidR="006D40F1">
        <w:t> </w:t>
      </w:r>
      <w:r w:rsidR="002F7B3F">
        <w:t xml:space="preserve">December </w:t>
      </w:r>
      <w:r w:rsidR="00FA25D4" w:rsidRPr="00F21187">
        <w:t>2016</w:t>
      </w:r>
      <w:r w:rsidR="00AF7058" w:rsidRPr="00F21187">
        <w:t>.</w:t>
      </w:r>
      <w:r w:rsidR="00E03725" w:rsidRPr="00F21187">
        <w:t xml:space="preserve"> </w:t>
      </w:r>
    </w:p>
    <w:p w:rsidR="00BF4639" w:rsidRPr="00C4712A" w:rsidRDefault="00275002" w:rsidP="00405B42">
      <w:pPr>
        <w:pStyle w:val="Caption"/>
      </w:pPr>
      <w:bookmarkStart w:id="6" w:name="_Ref410382491"/>
      <w:bookmarkStart w:id="7" w:name="OLE_LINK28"/>
      <w:bookmarkStart w:id="8" w:name="OLE_LINK29"/>
      <w:r w:rsidRPr="00BE2075">
        <w:t xml:space="preserve">Figure </w:t>
      </w:r>
      <w:fldSimple w:instr=" SEQ Figure \* ARABIC ">
        <w:r w:rsidR="00462B2C">
          <w:rPr>
            <w:noProof/>
          </w:rPr>
          <w:t>1</w:t>
        </w:r>
      </w:fldSimple>
      <w:bookmarkEnd w:id="6"/>
      <w:r w:rsidRPr="00BE2075">
        <w:t>: Spot price by region ($/MWh)</w:t>
      </w:r>
    </w:p>
    <w:p w:rsidR="00EC05BF" w:rsidRDefault="00C944D6" w:rsidP="00C4712A">
      <w:pPr>
        <w:pStyle w:val="Caption"/>
        <w:rPr>
          <w:bCs w:val="0"/>
          <w:lang w:eastAsia="en-AU"/>
        </w:rPr>
      </w:pPr>
      <w:r w:rsidRPr="00C944D6">
        <w:rPr>
          <w:noProof/>
          <w:lang w:eastAsia="en-AU"/>
        </w:rPr>
        <w:drawing>
          <wp:inline distT="0" distB="0" distL="0" distR="0" wp14:anchorId="0968CF1A" wp14:editId="14DDC5A1">
            <wp:extent cx="5731510" cy="3335144"/>
            <wp:effectExtent l="0" t="0" r="2540" b="0"/>
            <wp:docPr id="13" name="Picture 13"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335144"/>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462B2C" w:rsidRPr="00C4712A">
        <w:t xml:space="preserve">Figure </w:t>
      </w:r>
      <w:r w:rsidR="00462B2C">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462B2C" w:rsidRPr="009A7F75">
        <w:t xml:space="preserve">Table </w:t>
      </w:r>
      <w:r w:rsidR="00462B2C">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C4712A">
        <w:lastRenderedPageBreak/>
        <w:t xml:space="preserve">Figure </w:t>
      </w:r>
      <w:fldSimple w:instr=" SEQ Figure \* ARABIC ">
        <w:r w:rsidR="00462B2C">
          <w:rPr>
            <w:noProof/>
          </w:rPr>
          <w:t>2</w:t>
        </w:r>
      </w:fldSimple>
      <w:bookmarkEnd w:id="9"/>
      <w:r w:rsidRPr="00C4712A">
        <w:t>: Volume weighted average spot price by region ($/MWh)</w:t>
      </w:r>
    </w:p>
    <w:p w:rsidR="001F22EE" w:rsidRDefault="00C944D6" w:rsidP="00F167CF">
      <w:pPr>
        <w:spacing w:before="0" w:after="120" w:line="240" w:lineRule="auto"/>
      </w:pPr>
      <w:r w:rsidRPr="00C944D6">
        <w:rPr>
          <w:noProof/>
          <w:lang w:eastAsia="en-AU"/>
        </w:rPr>
        <w:drawing>
          <wp:inline distT="0" distB="0" distL="0" distR="0" wp14:anchorId="1AF37946" wp14:editId="0980265C">
            <wp:extent cx="5731510" cy="2860471"/>
            <wp:effectExtent l="0" t="0" r="2540" b="0"/>
            <wp:docPr id="14" name="Picture 1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9A7F75">
        <w:t xml:space="preserve">Table </w:t>
      </w:r>
      <w:fldSimple w:instr=" SEQ Table \* ARABIC ">
        <w:r w:rsidR="00462B2C">
          <w:rPr>
            <w:noProof/>
          </w:rPr>
          <w:t>1</w:t>
        </w:r>
      </w:fldSimple>
      <w:bookmarkEnd w:id="10"/>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C944D6" w:rsidRPr="00C4712A" w:rsidTr="00C944D6">
        <w:trPr>
          <w:trHeight w:hRule="exact" w:val="340"/>
        </w:trPr>
        <w:tc>
          <w:tcPr>
            <w:tcW w:w="1357" w:type="pct"/>
            <w:noWrap/>
            <w:hideMark/>
          </w:tcPr>
          <w:p w:rsidR="00C944D6" w:rsidRPr="00B95B0D" w:rsidRDefault="00C944D6"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71</w:t>
            </w:r>
          </w:p>
        </w:tc>
        <w:tc>
          <w:tcPr>
            <w:tcW w:w="729"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61</w:t>
            </w:r>
          </w:p>
        </w:tc>
        <w:tc>
          <w:tcPr>
            <w:tcW w:w="728"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33</w:t>
            </w:r>
          </w:p>
        </w:tc>
        <w:tc>
          <w:tcPr>
            <w:tcW w:w="729"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70</w:t>
            </w:r>
          </w:p>
        </w:tc>
        <w:tc>
          <w:tcPr>
            <w:tcW w:w="729"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49</w:t>
            </w:r>
          </w:p>
        </w:tc>
      </w:tr>
      <w:tr w:rsidR="00C944D6" w:rsidRPr="00C4712A" w:rsidTr="003077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C944D6" w:rsidRPr="00B95B0D" w:rsidRDefault="00C944D6"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C944D6" w:rsidRPr="00C944D6" w:rsidRDefault="00C944D6" w:rsidP="00C944D6">
            <w:pPr>
              <w:spacing w:before="60" w:afterLines="120" w:after="288"/>
              <w:jc w:val="center"/>
              <w:rPr>
                <w:rFonts w:eastAsia="Times New Roman" w:cs="Arial"/>
                <w:szCs w:val="20"/>
                <w:lang w:eastAsia="en-AU"/>
              </w:rPr>
            </w:pPr>
            <w:r w:rsidRPr="00C944D6">
              <w:rPr>
                <w:rFonts w:eastAsia="Times New Roman" w:cs="Arial"/>
                <w:szCs w:val="20"/>
                <w:lang w:eastAsia="en-AU"/>
              </w:rPr>
              <w:t>44</w:t>
            </w:r>
          </w:p>
        </w:tc>
        <w:tc>
          <w:tcPr>
            <w:tcW w:w="729" w:type="pct"/>
            <w:noWrap/>
            <w:vAlign w:val="center"/>
          </w:tcPr>
          <w:p w:rsidR="00C944D6" w:rsidRPr="00C944D6" w:rsidRDefault="00C944D6" w:rsidP="00C944D6">
            <w:pPr>
              <w:spacing w:before="60" w:afterLines="120" w:after="288"/>
              <w:jc w:val="center"/>
              <w:rPr>
                <w:rFonts w:eastAsia="Times New Roman" w:cs="Arial"/>
                <w:szCs w:val="20"/>
                <w:lang w:eastAsia="en-AU"/>
              </w:rPr>
            </w:pPr>
            <w:r w:rsidRPr="00C944D6">
              <w:rPr>
                <w:rFonts w:eastAsia="Times New Roman" w:cs="Arial"/>
                <w:szCs w:val="20"/>
                <w:lang w:eastAsia="en-AU"/>
              </w:rPr>
              <w:t>45</w:t>
            </w:r>
          </w:p>
        </w:tc>
        <w:tc>
          <w:tcPr>
            <w:tcW w:w="728" w:type="pct"/>
            <w:noWrap/>
            <w:vAlign w:val="center"/>
          </w:tcPr>
          <w:p w:rsidR="00C944D6" w:rsidRPr="00C944D6" w:rsidRDefault="00C944D6" w:rsidP="00C944D6">
            <w:pPr>
              <w:spacing w:before="60" w:afterLines="120" w:after="288"/>
              <w:jc w:val="center"/>
              <w:rPr>
                <w:rFonts w:eastAsia="Times New Roman" w:cs="Arial"/>
                <w:szCs w:val="20"/>
                <w:lang w:eastAsia="en-AU"/>
              </w:rPr>
            </w:pPr>
            <w:r w:rsidRPr="00C944D6">
              <w:rPr>
                <w:rFonts w:eastAsia="Times New Roman" w:cs="Arial"/>
                <w:szCs w:val="20"/>
                <w:lang w:eastAsia="en-AU"/>
              </w:rPr>
              <w:t>39</w:t>
            </w:r>
          </w:p>
        </w:tc>
        <w:tc>
          <w:tcPr>
            <w:tcW w:w="729" w:type="pct"/>
            <w:noWrap/>
            <w:vAlign w:val="center"/>
          </w:tcPr>
          <w:p w:rsidR="00C944D6" w:rsidRPr="00C944D6" w:rsidRDefault="00C944D6" w:rsidP="00C944D6">
            <w:pPr>
              <w:spacing w:before="60" w:afterLines="120" w:after="288"/>
              <w:jc w:val="center"/>
              <w:rPr>
                <w:rFonts w:eastAsia="Times New Roman" w:cs="Arial"/>
                <w:szCs w:val="20"/>
                <w:lang w:eastAsia="en-AU"/>
              </w:rPr>
            </w:pPr>
            <w:r w:rsidRPr="00C944D6">
              <w:rPr>
                <w:rFonts w:eastAsia="Times New Roman" w:cs="Arial"/>
                <w:szCs w:val="20"/>
                <w:lang w:eastAsia="en-AU"/>
              </w:rPr>
              <w:t>60</w:t>
            </w:r>
          </w:p>
        </w:tc>
        <w:tc>
          <w:tcPr>
            <w:tcW w:w="729" w:type="pct"/>
            <w:noWrap/>
            <w:vAlign w:val="center"/>
          </w:tcPr>
          <w:p w:rsidR="00C944D6" w:rsidRPr="00C944D6" w:rsidRDefault="00C944D6" w:rsidP="00C944D6">
            <w:pPr>
              <w:spacing w:before="60" w:afterLines="120" w:after="288"/>
              <w:jc w:val="center"/>
              <w:rPr>
                <w:rFonts w:eastAsia="Times New Roman" w:cs="Arial"/>
                <w:szCs w:val="20"/>
                <w:lang w:eastAsia="en-AU"/>
              </w:rPr>
            </w:pPr>
            <w:r w:rsidRPr="00C944D6">
              <w:rPr>
                <w:rFonts w:eastAsia="Times New Roman" w:cs="Arial"/>
                <w:szCs w:val="20"/>
                <w:lang w:eastAsia="en-AU"/>
              </w:rPr>
              <w:t>53</w:t>
            </w:r>
          </w:p>
        </w:tc>
      </w:tr>
      <w:tr w:rsidR="00C944D6" w:rsidRPr="00C4712A" w:rsidTr="003077EF">
        <w:trPr>
          <w:trHeight w:hRule="exact" w:val="340"/>
        </w:trPr>
        <w:tc>
          <w:tcPr>
            <w:tcW w:w="1357" w:type="pct"/>
            <w:noWrap/>
            <w:hideMark/>
          </w:tcPr>
          <w:p w:rsidR="00C944D6" w:rsidRPr="00B95B0D" w:rsidRDefault="00C944D6"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59</w:t>
            </w:r>
          </w:p>
        </w:tc>
        <w:tc>
          <w:tcPr>
            <w:tcW w:w="729"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63</w:t>
            </w:r>
          </w:p>
        </w:tc>
        <w:tc>
          <w:tcPr>
            <w:tcW w:w="728"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46</w:t>
            </w:r>
          </w:p>
        </w:tc>
        <w:tc>
          <w:tcPr>
            <w:tcW w:w="729"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112</w:t>
            </w:r>
          </w:p>
        </w:tc>
        <w:tc>
          <w:tcPr>
            <w:tcW w:w="729" w:type="pct"/>
            <w:noWrap/>
            <w:vAlign w:val="center"/>
          </w:tcPr>
          <w:p w:rsidR="00C944D6" w:rsidRPr="00C944D6" w:rsidRDefault="00C944D6" w:rsidP="00C944D6">
            <w:pPr>
              <w:spacing w:before="60" w:afterLines="120" w:after="288"/>
              <w:jc w:val="center"/>
              <w:rPr>
                <w:rFonts w:eastAsia="Times New Roman" w:cs="Arial"/>
                <w:sz w:val="20"/>
                <w:szCs w:val="20"/>
                <w:lang w:eastAsia="en-AU"/>
              </w:rPr>
            </w:pPr>
            <w:r w:rsidRPr="00C944D6">
              <w:rPr>
                <w:rFonts w:eastAsia="Times New Roman" w:cs="Arial"/>
                <w:sz w:val="20"/>
                <w:szCs w:val="20"/>
                <w:lang w:eastAsia="en-AU"/>
              </w:rPr>
              <w:t>48</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3A4136" w:rsidRPr="00C944D6">
        <w:t>2</w:t>
      </w:r>
      <w:r w:rsidR="00C944D6" w:rsidRPr="00C944D6">
        <w:t>99</w:t>
      </w:r>
      <w:r w:rsidR="00FD34BC" w:rsidRPr="00C944D6">
        <w:t xml:space="preserve"> trading</w:t>
      </w:r>
      <w:r w:rsidR="00FD34BC" w:rsidRPr="003A4136">
        <w:t xml:space="preserve"> intervals throughout the week where actual prices varied significantly from forecasts. This compares to the weekly average in 2015 of 133 counts and the average in 2014 of 71.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462B2C" w:rsidRPr="00C4712A">
        <w:t xml:space="preserve">Table </w:t>
      </w:r>
      <w:r w:rsidR="00462B2C">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fldSimple w:instr=" SEQ Table \* ARABIC ">
        <w:r w:rsidR="00462B2C">
          <w:rPr>
            <w:noProof/>
          </w:rPr>
          <w:t>2</w:t>
        </w:r>
      </w:fldSimple>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6D40F1"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6D40F1" w:rsidRPr="00C4712A" w:rsidRDefault="006D40F1" w:rsidP="000D05BD">
            <w:pPr>
              <w:spacing w:before="60"/>
              <w:rPr>
                <w:sz w:val="20"/>
                <w:szCs w:val="20"/>
              </w:rPr>
            </w:pPr>
            <w:r w:rsidRPr="00C4712A">
              <w:rPr>
                <w:sz w:val="20"/>
                <w:szCs w:val="20"/>
              </w:rPr>
              <w:t>% of total above forecast</w:t>
            </w:r>
          </w:p>
        </w:tc>
        <w:tc>
          <w:tcPr>
            <w:tcW w:w="1571" w:type="dxa"/>
            <w:noWrap/>
            <w:vAlign w:val="center"/>
          </w:tcPr>
          <w:p w:rsidR="006D40F1" w:rsidRPr="006D40F1" w:rsidRDefault="00C944D6" w:rsidP="006D40F1">
            <w:pPr>
              <w:spacing w:before="60" w:afterLines="120" w:after="288"/>
              <w:jc w:val="center"/>
              <w:rPr>
                <w:rFonts w:eastAsia="Times New Roman" w:cs="Arial"/>
                <w:sz w:val="20"/>
                <w:szCs w:val="20"/>
                <w:lang w:eastAsia="en-AU"/>
              </w:rPr>
            </w:pPr>
            <w:r>
              <w:rPr>
                <w:rFonts w:eastAsia="Times New Roman" w:cs="Arial"/>
                <w:sz w:val="20"/>
                <w:szCs w:val="20"/>
                <w:lang w:eastAsia="en-AU"/>
              </w:rPr>
              <w:t>4</w:t>
            </w:r>
          </w:p>
        </w:tc>
        <w:tc>
          <w:tcPr>
            <w:tcW w:w="1572" w:type="dxa"/>
            <w:noWrap/>
            <w:vAlign w:val="center"/>
          </w:tcPr>
          <w:p w:rsidR="006D40F1" w:rsidRPr="006D40F1" w:rsidRDefault="006D40F1" w:rsidP="00C424B7">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3</w:t>
            </w:r>
            <w:r w:rsidR="00C424B7">
              <w:rPr>
                <w:rFonts w:eastAsia="Times New Roman" w:cs="Arial"/>
                <w:sz w:val="20"/>
                <w:szCs w:val="20"/>
                <w:lang w:eastAsia="en-AU"/>
              </w:rPr>
              <w:t>6</w:t>
            </w:r>
          </w:p>
        </w:tc>
        <w:tc>
          <w:tcPr>
            <w:tcW w:w="1572" w:type="dxa"/>
            <w:noWrap/>
            <w:vAlign w:val="center"/>
          </w:tcPr>
          <w:p w:rsidR="006D40F1" w:rsidRPr="006D40F1" w:rsidRDefault="00C424B7" w:rsidP="006D40F1">
            <w:pPr>
              <w:spacing w:before="60" w:afterLines="120" w:after="288"/>
              <w:jc w:val="center"/>
              <w:rPr>
                <w:rFonts w:eastAsia="Times New Roman" w:cs="Arial"/>
                <w:sz w:val="20"/>
                <w:szCs w:val="20"/>
                <w:lang w:eastAsia="en-AU"/>
              </w:rPr>
            </w:pPr>
            <w:r>
              <w:rPr>
                <w:rFonts w:eastAsia="Times New Roman" w:cs="Arial"/>
                <w:sz w:val="20"/>
                <w:szCs w:val="20"/>
                <w:lang w:eastAsia="en-AU"/>
              </w:rPr>
              <w:t>1</w:t>
            </w:r>
          </w:p>
        </w:tc>
        <w:tc>
          <w:tcPr>
            <w:tcW w:w="1572" w:type="dxa"/>
            <w:vAlign w:val="center"/>
          </w:tcPr>
          <w:p w:rsidR="006D40F1" w:rsidRPr="006D40F1" w:rsidRDefault="00C944D6" w:rsidP="006D40F1">
            <w:pPr>
              <w:spacing w:before="60" w:afterLines="120" w:after="288"/>
              <w:jc w:val="center"/>
              <w:rPr>
                <w:rFonts w:eastAsia="Times New Roman" w:cs="Arial"/>
                <w:sz w:val="20"/>
                <w:szCs w:val="20"/>
                <w:lang w:eastAsia="en-AU"/>
              </w:rPr>
            </w:pPr>
            <w:r>
              <w:rPr>
                <w:rFonts w:eastAsia="Times New Roman" w:cs="Arial"/>
                <w:sz w:val="20"/>
                <w:szCs w:val="20"/>
                <w:lang w:eastAsia="en-AU"/>
              </w:rPr>
              <w:t>2</w:t>
            </w:r>
          </w:p>
        </w:tc>
      </w:tr>
      <w:tr w:rsidR="006D40F1"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D40F1" w:rsidRPr="00C4712A" w:rsidRDefault="006D40F1" w:rsidP="000D05BD">
            <w:pPr>
              <w:spacing w:before="60"/>
              <w:rPr>
                <w:sz w:val="20"/>
                <w:szCs w:val="20"/>
              </w:rPr>
            </w:pPr>
            <w:r w:rsidRPr="00C4712A">
              <w:rPr>
                <w:sz w:val="20"/>
                <w:szCs w:val="20"/>
              </w:rPr>
              <w:t>% of total below forecast</w:t>
            </w:r>
          </w:p>
        </w:tc>
        <w:tc>
          <w:tcPr>
            <w:tcW w:w="1571" w:type="dxa"/>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38</w:t>
            </w:r>
          </w:p>
        </w:tc>
        <w:tc>
          <w:tcPr>
            <w:tcW w:w="1572" w:type="dxa"/>
            <w:noWrap/>
            <w:vAlign w:val="center"/>
          </w:tcPr>
          <w:p w:rsidR="006D40F1" w:rsidRPr="006D40F1" w:rsidRDefault="006D40F1" w:rsidP="00C944D6">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1</w:t>
            </w:r>
            <w:r w:rsidR="00C944D6">
              <w:rPr>
                <w:rFonts w:eastAsia="Times New Roman" w:cs="Arial"/>
                <w:sz w:val="20"/>
                <w:szCs w:val="20"/>
                <w:lang w:eastAsia="en-AU"/>
              </w:rPr>
              <w:t>6</w:t>
            </w:r>
          </w:p>
        </w:tc>
        <w:tc>
          <w:tcPr>
            <w:tcW w:w="1572" w:type="dxa"/>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0</w:t>
            </w:r>
          </w:p>
        </w:tc>
        <w:tc>
          <w:tcPr>
            <w:tcW w:w="1572" w:type="dxa"/>
            <w:vAlign w:val="center"/>
          </w:tcPr>
          <w:p w:rsidR="006D40F1" w:rsidRPr="006D40F1" w:rsidRDefault="00C944D6" w:rsidP="006D40F1">
            <w:pPr>
              <w:spacing w:before="60" w:afterLines="120" w:after="288"/>
              <w:jc w:val="center"/>
              <w:rPr>
                <w:rFonts w:eastAsia="Times New Roman" w:cs="Arial"/>
                <w:sz w:val="20"/>
                <w:szCs w:val="20"/>
                <w:lang w:eastAsia="en-AU"/>
              </w:rPr>
            </w:pPr>
            <w:r>
              <w:rPr>
                <w:rFonts w:eastAsia="Times New Roman" w:cs="Arial"/>
                <w:sz w:val="20"/>
                <w:szCs w:val="20"/>
                <w:lang w:eastAsia="en-AU"/>
              </w:rPr>
              <w:t>4</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462B2C" w:rsidRPr="00C4712A">
        <w:t xml:space="preserve">Figure </w:t>
      </w:r>
      <w:r w:rsidR="00462B2C">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462B2C" w:rsidRPr="002C6B96">
        <w:t xml:space="preserve">Figure </w:t>
      </w:r>
      <w:r w:rsidR="00462B2C" w:rsidRPr="00462B2C">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fldSimple w:instr=" SEQ Figure \* ARABIC ">
        <w:r w:rsidR="00462B2C">
          <w:rPr>
            <w:noProof/>
          </w:rPr>
          <w:t>3</w:t>
        </w:r>
      </w:fldSimple>
      <w:bookmarkEnd w:id="13"/>
      <w:r w:rsidRPr="00C4712A">
        <w:t>: Queensland generation and bidding patterns</w:t>
      </w:r>
    </w:p>
    <w:p w:rsidR="007B78AB" w:rsidRPr="008707C1" w:rsidRDefault="00C944D6" w:rsidP="00886FA8">
      <w:pPr>
        <w:pStyle w:val="AERbodytext"/>
        <w:rPr>
          <w:bCs w:val="0"/>
        </w:rPr>
      </w:pPr>
      <w:r w:rsidRPr="00C944D6">
        <w:rPr>
          <w:noProof/>
        </w:rPr>
        <w:drawing>
          <wp:inline distT="0" distB="0" distL="0" distR="0" wp14:anchorId="144C462E" wp14:editId="4D2D1360">
            <wp:extent cx="5731510" cy="4118010"/>
            <wp:effectExtent l="0" t="0" r="2540" b="0"/>
            <wp:docPr id="17" name="Picture 17"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C4712A">
        <w:lastRenderedPageBreak/>
        <w:t xml:space="preserve">Figure </w:t>
      </w:r>
      <w:fldSimple w:instr=" SEQ Figure \* ARABIC ">
        <w:r w:rsidR="00462B2C">
          <w:rPr>
            <w:noProof/>
          </w:rPr>
          <w:t>4</w:t>
        </w:r>
      </w:fldSimple>
      <w:bookmarkEnd w:id="14"/>
      <w:r w:rsidRPr="00C4712A">
        <w:t>: New South Wales generation and bidding patterns</w:t>
      </w:r>
    </w:p>
    <w:p w:rsidR="00181C46" w:rsidRPr="00C4712A" w:rsidRDefault="002069B7" w:rsidP="00181C46">
      <w:r w:rsidRPr="002069B7">
        <w:rPr>
          <w:noProof/>
          <w:lang w:eastAsia="en-AU"/>
        </w:rPr>
        <w:drawing>
          <wp:inline distT="0" distB="0" distL="0" distR="0" wp14:anchorId="554D1A59" wp14:editId="09F8A552">
            <wp:extent cx="5731510" cy="4123034"/>
            <wp:effectExtent l="0" t="0" r="2540" b="0"/>
            <wp:docPr id="18" name="Picture 18"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3034"/>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462B2C">
          <w:rPr>
            <w:noProof/>
          </w:rPr>
          <w:t>5</w:t>
        </w:r>
      </w:fldSimple>
      <w:r w:rsidRPr="00C4712A">
        <w:t>: Victoria generation and bidding patterns</w:t>
      </w:r>
    </w:p>
    <w:p w:rsidR="00FB265D" w:rsidRDefault="002069B7" w:rsidP="00FB265D">
      <w:r w:rsidRPr="002069B7">
        <w:rPr>
          <w:noProof/>
          <w:lang w:eastAsia="en-AU"/>
        </w:rPr>
        <w:drawing>
          <wp:inline distT="0" distB="0" distL="0" distR="0" wp14:anchorId="22EAFE3A" wp14:editId="2C27BCD5">
            <wp:extent cx="5731510" cy="4118010"/>
            <wp:effectExtent l="0" t="0" r="2540" b="0"/>
            <wp:docPr id="19" name="Picture 19"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Default="00275002" w:rsidP="000E2946">
      <w:pPr>
        <w:pStyle w:val="Caption"/>
      </w:pPr>
      <w:r w:rsidRPr="00610304">
        <w:lastRenderedPageBreak/>
        <w:t xml:space="preserve">Figure </w:t>
      </w:r>
      <w:fldSimple w:instr=" SEQ Figure \* ARABIC ">
        <w:r w:rsidR="00462B2C">
          <w:rPr>
            <w:noProof/>
          </w:rPr>
          <w:t>6</w:t>
        </w:r>
      </w:fldSimple>
      <w:bookmarkEnd w:id="15"/>
      <w:r w:rsidRPr="00610304">
        <w:t>: South Australia generation and bidding patterns</w:t>
      </w:r>
    </w:p>
    <w:p w:rsidR="002F2481" w:rsidRDefault="002F7B3F" w:rsidP="00A25353">
      <w:r w:rsidRPr="002F7B3F">
        <w:rPr>
          <w:noProof/>
          <w:lang w:eastAsia="en-AU"/>
        </w:rPr>
        <w:drawing>
          <wp:inline distT="0" distB="0" distL="0" distR="0" wp14:anchorId="0B83EEFB" wp14:editId="5F73BE1E">
            <wp:extent cx="5731510" cy="4253266"/>
            <wp:effectExtent l="0" t="0" r="2540" b="0"/>
            <wp:docPr id="2" name="Picture 2"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3266"/>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2C6B96">
        <w:t xml:space="preserve">Figure </w:t>
      </w:r>
      <w:fldSimple w:instr=" SEQ Figure \* ARABIC ">
        <w:r w:rsidR="00462B2C">
          <w:rPr>
            <w:noProof/>
          </w:rPr>
          <w:t>7</w:t>
        </w:r>
      </w:fldSimple>
      <w:bookmarkEnd w:id="16"/>
      <w:r w:rsidRPr="002C6B96">
        <w:t>: Tasmania generation and bidding patterns</w:t>
      </w:r>
    </w:p>
    <w:bookmarkEnd w:id="17"/>
    <w:p w:rsidR="00DB7B59" w:rsidRDefault="002069B7" w:rsidP="00AF7C0E">
      <w:pPr>
        <w:pStyle w:val="AERbodytext"/>
      </w:pPr>
      <w:r w:rsidRPr="002069B7">
        <w:rPr>
          <w:noProof/>
        </w:rPr>
        <w:drawing>
          <wp:inline distT="0" distB="0" distL="0" distR="0" wp14:anchorId="765161CE" wp14:editId="2B222508">
            <wp:extent cx="5731510" cy="4118010"/>
            <wp:effectExtent l="0" t="0" r="2540" b="0"/>
            <wp:docPr id="20" name="Picture 20"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5358F4">
      <w:pPr>
        <w:spacing w:line="240" w:lineRule="auto"/>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2069B7">
        <w:rPr>
          <w:rFonts w:eastAsia="Times New Roman" w:cs="Arial"/>
          <w:bCs/>
          <w:lang w:eastAsia="en-AU"/>
        </w:rPr>
        <w:t>958</w:t>
      </w:r>
      <w:r w:rsidR="001761FF" w:rsidRPr="00612013">
        <w:rPr>
          <w:rFonts w:eastAsia="Times New Roman" w:cs="Arial"/>
          <w:bCs/>
          <w:lang w:eastAsia="en-AU"/>
        </w:rPr>
        <w:t> </w:t>
      </w:r>
      <w:r w:rsidR="00A11E6C">
        <w:rPr>
          <w:rFonts w:eastAsia="Times New Roman" w:cs="Arial"/>
          <w:bCs/>
          <w:lang w:eastAsia="en-AU"/>
        </w:rPr>
        <w:t>5</w:t>
      </w:r>
      <w:r w:rsidR="001761FF" w:rsidRPr="00612013">
        <w:rPr>
          <w:rFonts w:eastAsia="Times New Roman" w:cs="Arial"/>
          <w:bCs/>
          <w:lang w:eastAsia="en-AU"/>
        </w:rPr>
        <w:t>00</w:t>
      </w:r>
      <w:r w:rsidRPr="00612013">
        <w:rPr>
          <w:rFonts w:eastAsia="Times New Roman" w:cs="Arial"/>
          <w:bCs/>
          <w:lang w:eastAsia="en-AU"/>
        </w:rPr>
        <w:t xml:space="preserve"> or </w:t>
      </w:r>
      <w:r w:rsidR="001761FF" w:rsidRPr="00612013">
        <w:rPr>
          <w:rFonts w:eastAsia="Times New Roman" w:cs="Arial"/>
          <w:bCs/>
          <w:lang w:eastAsia="en-AU"/>
        </w:rPr>
        <w:t xml:space="preserve">around </w:t>
      </w:r>
      <w:r w:rsidR="002069B7">
        <w:rPr>
          <w:rFonts w:eastAsia="Times New Roman" w:cs="Arial"/>
          <w:bCs/>
          <w:lang w:eastAsia="en-AU"/>
        </w:rPr>
        <w:t xml:space="preserve">a half </w:t>
      </w:r>
      <w:r w:rsidRPr="00612013">
        <w:rPr>
          <w:rFonts w:eastAsia="Times New Roman" w:cs="Arial"/>
          <w:bCs/>
          <w:lang w:eastAsia="en-AU"/>
        </w:rPr>
        <w:t>per cent of energy turnover on the mainland.</w:t>
      </w:r>
    </w:p>
    <w:p w:rsidR="00462B2C" w:rsidRPr="00612013" w:rsidRDefault="005358F4" w:rsidP="00462B2C">
      <w:pPr>
        <w:spacing w:line="240" w:lineRule="auto"/>
      </w:pPr>
      <w:r w:rsidRPr="00612013">
        <w:rPr>
          <w:rFonts w:eastAsia="Times New Roman" w:cs="Arial"/>
          <w:bCs/>
          <w:lang w:eastAsia="en-AU"/>
        </w:rPr>
        <w:t>The total cost of FCAS in Tasmania for the week was $</w:t>
      </w:r>
      <w:r w:rsidR="002069B7">
        <w:rPr>
          <w:rFonts w:eastAsia="Times New Roman" w:cs="Arial"/>
          <w:bCs/>
          <w:lang w:eastAsia="en-AU"/>
        </w:rPr>
        <w:t>661</w:t>
      </w:r>
      <w:r w:rsidR="00685A1B">
        <w:rPr>
          <w:rFonts w:eastAsia="Times New Roman" w:cs="Arial"/>
          <w:bCs/>
          <w:lang w:eastAsia="en-AU"/>
        </w:rPr>
        <w:t> </w:t>
      </w:r>
      <w:r w:rsidR="002069B7">
        <w:rPr>
          <w:rFonts w:eastAsia="Times New Roman" w:cs="Arial"/>
          <w:bCs/>
          <w:lang w:eastAsia="en-AU"/>
        </w:rPr>
        <w:t>0</w:t>
      </w:r>
      <w:r w:rsidRPr="00612013">
        <w:rPr>
          <w:rFonts w:eastAsia="Times New Roman" w:cs="Arial"/>
          <w:bCs/>
          <w:lang w:eastAsia="en-AU"/>
        </w:rPr>
        <w:t xml:space="preserve">00 or </w:t>
      </w:r>
      <w:r w:rsidR="00436F28" w:rsidRPr="00612013">
        <w:rPr>
          <w:rFonts w:eastAsia="Times New Roman" w:cs="Arial"/>
          <w:bCs/>
          <w:lang w:eastAsia="en-AU"/>
        </w:rPr>
        <w:t xml:space="preserve">around </w:t>
      </w:r>
      <w:r w:rsidR="002069B7">
        <w:rPr>
          <w:rFonts w:eastAsia="Times New Roman" w:cs="Arial"/>
          <w:bCs/>
          <w:lang w:eastAsia="en-AU"/>
        </w:rPr>
        <w:t>eight</w:t>
      </w:r>
      <w:r w:rsidR="00862283" w:rsidRPr="00612013">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462B2C" w:rsidP="00551739">
      <w:pPr>
        <w:pStyle w:val="AERbodytext"/>
      </w:pPr>
      <w:r w:rsidRPr="00551739">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462B2C">
        <w:rPr>
          <w:noProof/>
        </w:rPr>
        <w:t>8</w:t>
      </w:r>
      <w:r w:rsidR="00DF6E09">
        <w:rPr>
          <w:noProof/>
        </w:rPr>
        <w:fldChar w:fldCharType="end"/>
      </w:r>
      <w:bookmarkEnd w:id="18"/>
      <w:bookmarkEnd w:id="19"/>
      <w:r w:rsidRPr="00551739">
        <w:rPr>
          <w:noProof/>
        </w:rPr>
        <w:t>: Daily frequency control ancillary service cost</w:t>
      </w:r>
    </w:p>
    <w:p w:rsidR="006D1A40" w:rsidRDefault="002069B7" w:rsidP="006D1A40">
      <w:pPr>
        <w:spacing w:line="240" w:lineRule="auto"/>
        <w:rPr>
          <w:rStyle w:val="AERbodytextChar"/>
          <w:rFonts w:eastAsiaTheme="minorHAnsi"/>
        </w:rPr>
      </w:pPr>
      <w:r w:rsidRPr="002069B7">
        <w:rPr>
          <w:noProof/>
          <w:lang w:eastAsia="en-AU"/>
        </w:rPr>
        <w:drawing>
          <wp:inline distT="0" distB="0" distL="0" distR="0" wp14:anchorId="57F36DDC" wp14:editId="30CA757A">
            <wp:extent cx="5731510" cy="2891535"/>
            <wp:effectExtent l="0" t="0" r="2540" b="4445"/>
            <wp:docPr id="21" name="Picture 21" descr="Figure 8 shows the daily breakdown of cost for each FCAS for the NEM, as well as the average cost since the beginning of the previous financial year.&#10;Should you require a description of the data for the week under review, please email us at  AERInquiry@aer.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1535"/>
                    </a:xfrm>
                    <a:prstGeom prst="rect">
                      <a:avLst/>
                    </a:prstGeom>
                    <a:noFill/>
                    <a:ln>
                      <a:noFill/>
                    </a:ln>
                  </pic:spPr>
                </pic:pic>
              </a:graphicData>
            </a:graphic>
          </wp:inline>
        </w:drawing>
      </w:r>
    </w:p>
    <w:p w:rsidR="00A11E6C" w:rsidRPr="00F92C0A" w:rsidRDefault="00B64C5A" w:rsidP="00F92C0A">
      <w:pPr>
        <w:pStyle w:val="AERbodytext"/>
        <w:rPr>
          <w:rFonts w:eastAsiaTheme="minorHAnsi"/>
        </w:rPr>
      </w:pPr>
      <w:r>
        <w:rPr>
          <w:rFonts w:eastAsiaTheme="minorHAnsi"/>
        </w:rPr>
        <w:t>Early in the morning o</w:t>
      </w:r>
      <w:r w:rsidRPr="00E21C42">
        <w:rPr>
          <w:rFonts w:eastAsiaTheme="minorHAnsi"/>
        </w:rPr>
        <w:t xml:space="preserve">n 5 December </w:t>
      </w:r>
      <w:r>
        <w:rPr>
          <w:rFonts w:eastAsiaTheme="minorHAnsi"/>
        </w:rPr>
        <w:t xml:space="preserve">there was a simultaneous trip of Basslink and the Farrell to Sheffield No.1 line. Due to lightning in the area further lines were reclassified as a credible contingency. As a result the requirement for raise 6 second services increased and </w:t>
      </w:r>
      <w:r w:rsidR="00A11E6C" w:rsidRPr="00E21C42">
        <w:rPr>
          <w:rFonts w:eastAsiaTheme="minorHAnsi"/>
        </w:rPr>
        <w:t xml:space="preserve">the price of raise </w:t>
      </w:r>
      <w:r w:rsidR="00E21C42" w:rsidRPr="00E21C42">
        <w:rPr>
          <w:rFonts w:eastAsiaTheme="minorHAnsi"/>
        </w:rPr>
        <w:t>6 second</w:t>
      </w:r>
      <w:r w:rsidR="00A11E6C" w:rsidRPr="00E21C42">
        <w:rPr>
          <w:rFonts w:eastAsiaTheme="minorHAnsi"/>
        </w:rPr>
        <w:t xml:space="preserve"> services in </w:t>
      </w:r>
      <w:r w:rsidR="00E21C42" w:rsidRPr="00E21C42">
        <w:rPr>
          <w:rFonts w:eastAsiaTheme="minorHAnsi"/>
        </w:rPr>
        <w:t>Tasmania was above $100/MW on 21 occasions, with a maximum of $3061/MW</w:t>
      </w:r>
      <w:r w:rsidR="00505616">
        <w:rPr>
          <w:rFonts w:eastAsiaTheme="minorHAnsi"/>
        </w:rPr>
        <w:t xml:space="preserve"> due to the co-optimisation of the Energy and FCAS markets</w:t>
      </w:r>
      <w:r w:rsidR="00E21C42">
        <w:rPr>
          <w:rFonts w:eastAsiaTheme="minorHAnsi"/>
        </w:rPr>
        <w:t>.</w:t>
      </w:r>
      <w:r w:rsidR="00E21C42" w:rsidRPr="00E21C42">
        <w:rPr>
          <w:rFonts w:eastAsiaTheme="minorHAnsi"/>
        </w:rPr>
        <w:t xml:space="preserve"> </w:t>
      </w:r>
    </w:p>
    <w:p w:rsidR="00CA0B2E" w:rsidRPr="00C4712A" w:rsidRDefault="00CA0B2E" w:rsidP="00CA0B2E">
      <w:pPr>
        <w:pStyle w:val="AERHeading1"/>
      </w:pPr>
      <w:r w:rsidRPr="00C4712A">
        <w:lastRenderedPageBreak/>
        <w:t>Detailed market analysis of significant price events</w:t>
      </w:r>
    </w:p>
    <w:p w:rsidR="00CA0B2E" w:rsidRDefault="00C67D8C" w:rsidP="00CA0B2E">
      <w:pPr>
        <w:pStyle w:val="Heading2"/>
        <w:rPr>
          <w:rFonts w:eastAsia="Times New Roman"/>
          <w:b w:val="0"/>
          <w:bCs w:val="0"/>
          <w:lang w:eastAsia="en-AU"/>
        </w:rPr>
      </w:pPr>
      <w:r>
        <w:rPr>
          <w:rFonts w:eastAsia="Times New Roman"/>
          <w:b w:val="0"/>
          <w:bCs w:val="0"/>
          <w:lang w:eastAsia="en-AU"/>
        </w:rPr>
        <w:t>Queensland</w:t>
      </w:r>
    </w:p>
    <w:p w:rsidR="005B4C28" w:rsidRPr="002F7B3F" w:rsidRDefault="002F7B3F" w:rsidP="002F7B3F">
      <w:pPr>
        <w:pStyle w:val="AERbodytext"/>
      </w:pPr>
      <w:r w:rsidRPr="002F7B3F">
        <w:t>There were two occasions where the spot price in Queensland was greater than three times the Queensland weekly average price of $71/MWh and above $250/MWh</w:t>
      </w:r>
      <w:r w:rsidR="005B4C28" w:rsidRPr="005B4C28">
        <w:t>.</w:t>
      </w:r>
    </w:p>
    <w:p w:rsidR="00CA0B2E" w:rsidRPr="005B4C28" w:rsidRDefault="005B4C28" w:rsidP="00CA0B2E">
      <w:pPr>
        <w:pStyle w:val="Heading3"/>
        <w:rPr>
          <w:rFonts w:eastAsia="Times New Roman"/>
        </w:rPr>
      </w:pPr>
      <w:r>
        <w:rPr>
          <w:rFonts w:eastAsia="Times New Roman" w:cs="Arial"/>
          <w:color w:val="auto"/>
          <w:sz w:val="22"/>
          <w:lang w:eastAsia="en-AU"/>
        </w:rPr>
        <w:t>Monday</w:t>
      </w:r>
      <w:r w:rsidR="003605DF" w:rsidRPr="005B4C28">
        <w:rPr>
          <w:rFonts w:eastAsia="Times New Roman" w:cs="Arial"/>
          <w:color w:val="auto"/>
          <w:sz w:val="22"/>
          <w:lang w:eastAsia="en-AU"/>
        </w:rPr>
        <w:t xml:space="preserve">, </w:t>
      </w:r>
      <w:r w:rsidR="002F7B3F">
        <w:rPr>
          <w:rFonts w:eastAsia="Times New Roman" w:cs="Arial"/>
          <w:color w:val="auto"/>
          <w:sz w:val="22"/>
          <w:lang w:eastAsia="en-AU"/>
        </w:rPr>
        <w:t>5</w:t>
      </w:r>
      <w:r w:rsidR="00CA0B2E" w:rsidRPr="005B4C28">
        <w:rPr>
          <w:rFonts w:eastAsia="Times New Roman"/>
        </w:rPr>
        <w:t xml:space="preserve"> </w:t>
      </w:r>
      <w:r w:rsidR="002F7B3F">
        <w:rPr>
          <w:rFonts w:eastAsia="Times New Roman"/>
        </w:rPr>
        <w:t>December</w:t>
      </w:r>
    </w:p>
    <w:p w:rsidR="00CA0B2E" w:rsidRPr="001C5A97" w:rsidRDefault="00CA0B2E" w:rsidP="00CA0B2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62B2C">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Availability (MW)</w:t>
            </w:r>
          </w:p>
        </w:tc>
      </w:tr>
      <w:tr w:rsidR="00CA0B2E"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r>
      <w:tr w:rsidR="002F7B3F" w:rsidRPr="0073319F"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2F7B3F" w:rsidRPr="00F3682F" w:rsidRDefault="002F7B3F" w:rsidP="00D30505">
            <w:pPr>
              <w:spacing w:after="0" w:line="240" w:lineRule="auto"/>
              <w:jc w:val="center"/>
              <w:rPr>
                <w:rFonts w:cs="Arial"/>
                <w:sz w:val="20"/>
                <w:szCs w:val="20"/>
              </w:rPr>
            </w:pPr>
            <w:r>
              <w:rPr>
                <w:rFonts w:cs="Arial"/>
                <w:sz w:val="20"/>
                <w:szCs w:val="20"/>
              </w:rPr>
              <w:t>3 pm</w:t>
            </w:r>
          </w:p>
        </w:tc>
        <w:tc>
          <w:tcPr>
            <w:tcW w:w="516"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370.08</w:t>
            </w:r>
          </w:p>
        </w:tc>
        <w:tc>
          <w:tcPr>
            <w:tcW w:w="533"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422.00</w:t>
            </w:r>
          </w:p>
        </w:tc>
        <w:tc>
          <w:tcPr>
            <w:tcW w:w="533"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263.00</w:t>
            </w:r>
          </w:p>
        </w:tc>
        <w:tc>
          <w:tcPr>
            <w:tcW w:w="455"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8038</w:t>
            </w:r>
          </w:p>
        </w:tc>
        <w:tc>
          <w:tcPr>
            <w:tcW w:w="456"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8288</w:t>
            </w:r>
          </w:p>
        </w:tc>
        <w:tc>
          <w:tcPr>
            <w:tcW w:w="534"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8270</w:t>
            </w:r>
          </w:p>
        </w:tc>
        <w:tc>
          <w:tcPr>
            <w:tcW w:w="532"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10 165</w:t>
            </w:r>
          </w:p>
        </w:tc>
        <w:tc>
          <w:tcPr>
            <w:tcW w:w="457"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10 125</w:t>
            </w:r>
          </w:p>
        </w:tc>
        <w:tc>
          <w:tcPr>
            <w:tcW w:w="453"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10 570</w:t>
            </w:r>
          </w:p>
        </w:tc>
      </w:tr>
    </w:tbl>
    <w:p w:rsidR="002F7B3F" w:rsidRDefault="00014045" w:rsidP="002F7B3F">
      <w:pPr>
        <w:pStyle w:val="AERbodytext"/>
      </w:pPr>
      <w:r w:rsidRPr="00A86840">
        <w:t xml:space="preserve">Conditions at the time saw demand </w:t>
      </w:r>
      <w:r w:rsidR="00A86840" w:rsidRPr="00A86840">
        <w:t xml:space="preserve">250 MW lower than </w:t>
      </w:r>
      <w:r w:rsidRPr="00A86840">
        <w:t xml:space="preserve">forecast while availability was around </w:t>
      </w:r>
      <w:r w:rsidR="00A86840" w:rsidRPr="00A86840">
        <w:t>400 MW greater</w:t>
      </w:r>
      <w:r w:rsidRPr="00A86840">
        <w:t xml:space="preserve"> than forecast four hours ahead.</w:t>
      </w:r>
      <w:r w:rsidR="00D30505">
        <w:t xml:space="preserve"> This saw prices slightly lower than that forecast four hours ahead.</w:t>
      </w:r>
    </w:p>
    <w:p w:rsidR="002F7B3F" w:rsidRPr="005B4C28" w:rsidRDefault="002F7B3F" w:rsidP="002F7B3F">
      <w:pPr>
        <w:pStyle w:val="Heading3"/>
        <w:rPr>
          <w:rFonts w:eastAsia="Times New Roman"/>
        </w:rPr>
      </w:pPr>
      <w:r w:rsidRPr="002F7B3F">
        <w:rPr>
          <w:rFonts w:eastAsia="Times New Roman"/>
        </w:rPr>
        <w:t>Tuesday, 6</w:t>
      </w:r>
      <w:r w:rsidRPr="005B4C28">
        <w:rPr>
          <w:rFonts w:eastAsia="Times New Roman"/>
        </w:rPr>
        <w:t xml:space="preserve"> </w:t>
      </w:r>
      <w:r>
        <w:rPr>
          <w:rFonts w:eastAsia="Times New Roman"/>
        </w:rPr>
        <w:t>December</w:t>
      </w:r>
    </w:p>
    <w:p w:rsidR="002F7B3F" w:rsidRPr="001C5A97" w:rsidRDefault="002F7B3F" w:rsidP="002F7B3F">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62B2C">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2F7B3F"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2F7B3F" w:rsidRPr="007D74C6" w:rsidRDefault="002F7B3F" w:rsidP="006D7BAE">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2F7B3F" w:rsidRPr="007D74C6" w:rsidRDefault="002F7B3F" w:rsidP="006D7BAE">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2F7B3F" w:rsidRPr="007D74C6" w:rsidRDefault="002F7B3F" w:rsidP="006D7BAE">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2F7B3F" w:rsidRPr="007D74C6" w:rsidRDefault="002F7B3F" w:rsidP="006D7BAE">
            <w:pPr>
              <w:pStyle w:val="TableHeading"/>
              <w:jc w:val="center"/>
              <w:rPr>
                <w:rFonts w:cs="Arial"/>
                <w:b w:val="0"/>
                <w:sz w:val="20"/>
                <w:szCs w:val="20"/>
              </w:rPr>
            </w:pPr>
            <w:r w:rsidRPr="007D74C6">
              <w:rPr>
                <w:rFonts w:cs="Arial"/>
                <w:b w:val="0"/>
                <w:sz w:val="20"/>
                <w:szCs w:val="20"/>
              </w:rPr>
              <w:t>Availability (MW)</w:t>
            </w:r>
          </w:p>
        </w:tc>
      </w:tr>
      <w:tr w:rsidR="002F7B3F"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2F7B3F" w:rsidRPr="007D74C6" w:rsidRDefault="002F7B3F" w:rsidP="006D7BAE">
            <w:pPr>
              <w:pStyle w:val="tableheadingline2"/>
              <w:rPr>
                <w:rFonts w:cs="Arial"/>
                <w:sz w:val="20"/>
                <w:szCs w:val="20"/>
              </w:rPr>
            </w:pPr>
            <w:r w:rsidRPr="007D74C6">
              <w:rPr>
                <w:rFonts w:cs="Arial"/>
                <w:sz w:val="20"/>
                <w:szCs w:val="20"/>
              </w:rPr>
              <w:t>12 hr forecast</w:t>
            </w:r>
          </w:p>
        </w:tc>
      </w:tr>
      <w:tr w:rsidR="002F7B3F" w:rsidRPr="0073319F"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2F7B3F" w:rsidRPr="00F3682F" w:rsidRDefault="002F7B3F" w:rsidP="00D30505">
            <w:pPr>
              <w:spacing w:after="0" w:line="240" w:lineRule="auto"/>
              <w:jc w:val="center"/>
              <w:rPr>
                <w:rFonts w:cs="Arial"/>
                <w:sz w:val="20"/>
                <w:szCs w:val="20"/>
              </w:rPr>
            </w:pPr>
            <w:r>
              <w:rPr>
                <w:rFonts w:cs="Arial"/>
                <w:sz w:val="20"/>
                <w:szCs w:val="20"/>
              </w:rPr>
              <w:t>4.30 pm</w:t>
            </w:r>
          </w:p>
        </w:tc>
        <w:tc>
          <w:tcPr>
            <w:tcW w:w="516"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351.33</w:t>
            </w:r>
          </w:p>
        </w:tc>
        <w:tc>
          <w:tcPr>
            <w:tcW w:w="533"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90.00</w:t>
            </w:r>
          </w:p>
        </w:tc>
        <w:tc>
          <w:tcPr>
            <w:tcW w:w="533"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390.69</w:t>
            </w:r>
          </w:p>
        </w:tc>
        <w:tc>
          <w:tcPr>
            <w:tcW w:w="455"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8680</w:t>
            </w:r>
          </w:p>
        </w:tc>
        <w:tc>
          <w:tcPr>
            <w:tcW w:w="456"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8349</w:t>
            </w:r>
          </w:p>
        </w:tc>
        <w:tc>
          <w:tcPr>
            <w:tcW w:w="534"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8706</w:t>
            </w:r>
          </w:p>
        </w:tc>
        <w:tc>
          <w:tcPr>
            <w:tcW w:w="532"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9899</w:t>
            </w:r>
          </w:p>
        </w:tc>
        <w:tc>
          <w:tcPr>
            <w:tcW w:w="457"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10 177</w:t>
            </w:r>
          </w:p>
        </w:tc>
        <w:tc>
          <w:tcPr>
            <w:tcW w:w="453" w:type="pct"/>
            <w:vAlign w:val="center"/>
          </w:tcPr>
          <w:p w:rsidR="002F7B3F" w:rsidRPr="002F7B3F" w:rsidRDefault="002F7B3F" w:rsidP="00D30505">
            <w:pPr>
              <w:spacing w:after="0" w:line="240" w:lineRule="auto"/>
              <w:jc w:val="center"/>
              <w:rPr>
                <w:rFonts w:cs="Arial"/>
                <w:sz w:val="20"/>
                <w:szCs w:val="20"/>
              </w:rPr>
            </w:pPr>
            <w:r w:rsidRPr="002F7B3F">
              <w:rPr>
                <w:rFonts w:cs="Arial"/>
                <w:sz w:val="20"/>
                <w:szCs w:val="20"/>
              </w:rPr>
              <w:t>10 524</w:t>
            </w:r>
          </w:p>
        </w:tc>
      </w:tr>
    </w:tbl>
    <w:p w:rsidR="009519EB" w:rsidRDefault="009D2B42" w:rsidP="009519EB">
      <w:pPr>
        <w:pStyle w:val="AERbodytext"/>
      </w:pPr>
      <w:r>
        <w:t xml:space="preserve">Conditions at the time saw </w:t>
      </w:r>
      <w:r w:rsidR="002F79C6">
        <w:t xml:space="preserve">the </w:t>
      </w:r>
      <w:r>
        <w:t xml:space="preserve">price </w:t>
      </w:r>
      <w:r w:rsidR="002F79C6">
        <w:t xml:space="preserve">lower than </w:t>
      </w:r>
      <w:r>
        <w:t>forecast 12 hours ahead and greater than that</w:t>
      </w:r>
      <w:r w:rsidR="002F79C6">
        <w:t xml:space="preserve"> forecast four hours ahead</w:t>
      </w:r>
      <w:r w:rsidR="00D30505">
        <w:t>. This was as a result of demand being lower than forecast 12 hours ahead and greater than that forecast four hours ahead</w:t>
      </w:r>
      <w:r w:rsidR="002F79C6">
        <w:t xml:space="preserve">. </w:t>
      </w:r>
    </w:p>
    <w:p w:rsidR="002F7B3F" w:rsidRDefault="002F7B3F" w:rsidP="002F7B3F">
      <w:pPr>
        <w:pStyle w:val="Heading2"/>
        <w:rPr>
          <w:rFonts w:eastAsia="Times New Roman"/>
          <w:b w:val="0"/>
          <w:bCs w:val="0"/>
          <w:lang w:eastAsia="en-AU"/>
        </w:rPr>
      </w:pPr>
      <w:r>
        <w:rPr>
          <w:rFonts w:eastAsia="Times New Roman"/>
          <w:b w:val="0"/>
          <w:bCs w:val="0"/>
          <w:lang w:eastAsia="en-AU"/>
        </w:rPr>
        <w:t>New South Wales</w:t>
      </w:r>
    </w:p>
    <w:p w:rsidR="00014045" w:rsidRDefault="002F7B3F" w:rsidP="002F7B3F">
      <w:pPr>
        <w:pStyle w:val="AERbodytext"/>
      </w:pPr>
      <w:r w:rsidRPr="002F7B3F">
        <w:t>There was one occasion where the spot price in New South Wales was greater than three times the New South Wales weekly average price of $61/MWh and above $250/MWh.</w:t>
      </w:r>
    </w:p>
    <w:p w:rsidR="00BB7D8C" w:rsidRPr="005B4C28" w:rsidRDefault="00BB7D8C" w:rsidP="00BB7D8C">
      <w:pPr>
        <w:pStyle w:val="Heading3"/>
        <w:rPr>
          <w:rFonts w:eastAsia="Times New Roman"/>
        </w:rPr>
      </w:pPr>
      <w:r>
        <w:rPr>
          <w:rFonts w:eastAsia="Times New Roman"/>
        </w:rPr>
        <w:t>Mon</w:t>
      </w:r>
      <w:r w:rsidRPr="002F7B3F">
        <w:rPr>
          <w:rFonts w:eastAsia="Times New Roman"/>
        </w:rPr>
        <w:t xml:space="preserve">day, </w:t>
      </w:r>
      <w:r>
        <w:rPr>
          <w:rFonts w:eastAsia="Times New Roman"/>
        </w:rPr>
        <w:t>5</w:t>
      </w:r>
      <w:r w:rsidRPr="005B4C28">
        <w:rPr>
          <w:rFonts w:eastAsia="Times New Roman"/>
        </w:rPr>
        <w:t xml:space="preserve"> </w:t>
      </w:r>
      <w:r>
        <w:rPr>
          <w:rFonts w:eastAsia="Times New Roman"/>
        </w:rPr>
        <w:t>December</w:t>
      </w:r>
    </w:p>
    <w:p w:rsidR="00BB7D8C" w:rsidRPr="001C5A97" w:rsidRDefault="00BB7D8C" w:rsidP="00BB7D8C">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62B2C">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BB7D8C"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BB7D8C" w:rsidRPr="007D74C6" w:rsidRDefault="00BB7D8C" w:rsidP="006D7BAE">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BB7D8C" w:rsidRPr="007D74C6" w:rsidRDefault="00BB7D8C" w:rsidP="006D7BAE">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BB7D8C" w:rsidRPr="007D74C6" w:rsidRDefault="00BB7D8C" w:rsidP="006D7BAE">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BB7D8C" w:rsidRPr="007D74C6" w:rsidRDefault="00BB7D8C" w:rsidP="006D7BAE">
            <w:pPr>
              <w:pStyle w:val="TableHeading"/>
              <w:jc w:val="center"/>
              <w:rPr>
                <w:rFonts w:cs="Arial"/>
                <w:b w:val="0"/>
                <w:sz w:val="20"/>
                <w:szCs w:val="20"/>
              </w:rPr>
            </w:pPr>
            <w:r w:rsidRPr="007D74C6">
              <w:rPr>
                <w:rFonts w:cs="Arial"/>
                <w:b w:val="0"/>
                <w:sz w:val="20"/>
                <w:szCs w:val="20"/>
              </w:rPr>
              <w:t>Availability (MW)</w:t>
            </w:r>
          </w:p>
        </w:tc>
      </w:tr>
      <w:tr w:rsidR="00BB7D8C"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BB7D8C" w:rsidRPr="007D74C6" w:rsidRDefault="00BB7D8C" w:rsidP="006D7BAE">
            <w:pPr>
              <w:pStyle w:val="tableheadingline2"/>
              <w:rPr>
                <w:rFonts w:cs="Arial"/>
                <w:sz w:val="20"/>
                <w:szCs w:val="20"/>
              </w:rPr>
            </w:pPr>
            <w:r w:rsidRPr="007D74C6">
              <w:rPr>
                <w:rFonts w:cs="Arial"/>
                <w:sz w:val="20"/>
                <w:szCs w:val="20"/>
              </w:rPr>
              <w:t>12 hr forecast</w:t>
            </w:r>
          </w:p>
        </w:tc>
      </w:tr>
      <w:tr w:rsidR="00BB7D8C" w:rsidRPr="0073319F"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BB7D8C" w:rsidRPr="00F3682F" w:rsidRDefault="00BB7D8C" w:rsidP="00D30505">
            <w:pPr>
              <w:spacing w:after="0" w:line="240" w:lineRule="auto"/>
              <w:jc w:val="center"/>
              <w:rPr>
                <w:rFonts w:cs="Arial"/>
                <w:sz w:val="20"/>
                <w:szCs w:val="20"/>
              </w:rPr>
            </w:pPr>
            <w:r>
              <w:rPr>
                <w:rFonts w:cs="Arial"/>
                <w:sz w:val="20"/>
                <w:szCs w:val="20"/>
              </w:rPr>
              <w:t>3 pm</w:t>
            </w:r>
          </w:p>
        </w:tc>
        <w:tc>
          <w:tcPr>
            <w:tcW w:w="516"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399.84</w:t>
            </w:r>
          </w:p>
        </w:tc>
        <w:tc>
          <w:tcPr>
            <w:tcW w:w="533"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407.39</w:t>
            </w:r>
          </w:p>
        </w:tc>
        <w:tc>
          <w:tcPr>
            <w:tcW w:w="533"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248.53</w:t>
            </w:r>
          </w:p>
        </w:tc>
        <w:tc>
          <w:tcPr>
            <w:tcW w:w="455"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11 505</w:t>
            </w:r>
          </w:p>
        </w:tc>
        <w:tc>
          <w:tcPr>
            <w:tcW w:w="456"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11 280</w:t>
            </w:r>
          </w:p>
        </w:tc>
        <w:tc>
          <w:tcPr>
            <w:tcW w:w="534"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10 974</w:t>
            </w:r>
          </w:p>
        </w:tc>
        <w:tc>
          <w:tcPr>
            <w:tcW w:w="532"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13 019</w:t>
            </w:r>
          </w:p>
        </w:tc>
        <w:tc>
          <w:tcPr>
            <w:tcW w:w="457"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13 165</w:t>
            </w:r>
          </w:p>
        </w:tc>
        <w:tc>
          <w:tcPr>
            <w:tcW w:w="453" w:type="pct"/>
            <w:vAlign w:val="center"/>
          </w:tcPr>
          <w:p w:rsidR="00BB7D8C" w:rsidRPr="00BB7D8C" w:rsidRDefault="00BB7D8C" w:rsidP="00D30505">
            <w:pPr>
              <w:spacing w:after="0" w:line="240" w:lineRule="auto"/>
              <w:jc w:val="center"/>
              <w:rPr>
                <w:rFonts w:cs="Arial"/>
                <w:sz w:val="20"/>
                <w:szCs w:val="20"/>
              </w:rPr>
            </w:pPr>
            <w:r w:rsidRPr="00BB7D8C">
              <w:rPr>
                <w:rFonts w:cs="Arial"/>
                <w:sz w:val="20"/>
                <w:szCs w:val="20"/>
              </w:rPr>
              <w:t>13 178</w:t>
            </w:r>
          </w:p>
        </w:tc>
      </w:tr>
    </w:tbl>
    <w:p w:rsidR="00BB7D8C" w:rsidRPr="002F7B3F" w:rsidRDefault="00D30505" w:rsidP="002F7B3F">
      <w:pPr>
        <w:pStyle w:val="AERbodytext"/>
      </w:pPr>
      <w:r>
        <w:t>Conditions at the time saw the spot price close to that forecast four hours ahead.</w:t>
      </w:r>
    </w:p>
    <w:p w:rsidR="005B4C28" w:rsidRDefault="005B4C28" w:rsidP="005B4C28">
      <w:pPr>
        <w:pStyle w:val="Heading2"/>
        <w:rPr>
          <w:rFonts w:eastAsia="Times New Roman"/>
          <w:b w:val="0"/>
          <w:bCs w:val="0"/>
          <w:lang w:eastAsia="en-AU"/>
        </w:rPr>
      </w:pPr>
      <w:r>
        <w:rPr>
          <w:rFonts w:eastAsia="Times New Roman"/>
          <w:b w:val="0"/>
          <w:bCs w:val="0"/>
          <w:lang w:eastAsia="en-AU"/>
        </w:rPr>
        <w:t>Victoria</w:t>
      </w:r>
    </w:p>
    <w:p w:rsidR="005B4C28" w:rsidRDefault="005B4C28" w:rsidP="00A86840">
      <w:pPr>
        <w:pStyle w:val="AERbodytext"/>
      </w:pPr>
      <w:r w:rsidRPr="005B4C28">
        <w:t>There was one occasion where the spot price in Victoria was below -$100/MWh.</w:t>
      </w:r>
      <w:r>
        <w:t xml:space="preserve"> </w:t>
      </w:r>
    </w:p>
    <w:p w:rsidR="005B4C28" w:rsidRPr="005F37A9" w:rsidRDefault="00BB7D8C" w:rsidP="005B4C28">
      <w:pPr>
        <w:pStyle w:val="Heading3"/>
        <w:rPr>
          <w:rFonts w:eastAsia="Times New Roman"/>
        </w:rPr>
      </w:pPr>
      <w:r>
        <w:rPr>
          <w:rFonts w:eastAsia="Times New Roman"/>
        </w:rPr>
        <w:t>Monday</w:t>
      </w:r>
      <w:r w:rsidR="005B4C28">
        <w:rPr>
          <w:rFonts w:eastAsia="Times New Roman"/>
        </w:rPr>
        <w:t xml:space="preserve">, </w:t>
      </w:r>
      <w:r>
        <w:rPr>
          <w:rFonts w:eastAsia="Times New Roman"/>
        </w:rPr>
        <w:t>5</w:t>
      </w:r>
      <w:r w:rsidR="005B4C28">
        <w:rPr>
          <w:rFonts w:eastAsia="Times New Roman"/>
        </w:rPr>
        <w:t xml:space="preserve"> </w:t>
      </w:r>
      <w:r>
        <w:rPr>
          <w:rFonts w:eastAsia="Times New Roman"/>
        </w:rPr>
        <w:t>Dece</w:t>
      </w:r>
      <w:r w:rsidR="005B4C28">
        <w:rPr>
          <w:rFonts w:eastAsia="Times New Roman"/>
        </w:rPr>
        <w:t>mber</w:t>
      </w:r>
    </w:p>
    <w:p w:rsidR="005B4C28" w:rsidRPr="001C5A97" w:rsidRDefault="005B4C28" w:rsidP="005B4C28">
      <w:pPr>
        <w:pStyle w:val="Caption"/>
        <w:spacing w:before="120" w:after="60"/>
        <w:rPr>
          <w:rFonts w:asciiTheme="minorHAnsi" w:hAnsiTheme="minorHAnsi" w:cstheme="minorHAnsi"/>
        </w:rPr>
      </w:pPr>
      <w:r w:rsidRPr="0073319F">
        <w:rPr>
          <w:rFonts w:asciiTheme="minorHAnsi" w:hAnsiTheme="minorHAnsi" w:cstheme="minorHAnsi"/>
        </w:rPr>
        <w:lastRenderedPageBreak/>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62B2C">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B4C28"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B4C28" w:rsidRPr="007D74C6" w:rsidRDefault="005B4C28" w:rsidP="006D7BAE">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5B4C28" w:rsidRPr="007D74C6" w:rsidRDefault="005B4C28" w:rsidP="006D7BAE">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B4C28" w:rsidRPr="007D74C6" w:rsidRDefault="005B4C28" w:rsidP="006D7BAE">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5B4C28" w:rsidRPr="007D74C6" w:rsidRDefault="005B4C28" w:rsidP="006D7BAE">
            <w:pPr>
              <w:pStyle w:val="TableHeading"/>
              <w:jc w:val="center"/>
              <w:rPr>
                <w:rFonts w:cs="Arial"/>
                <w:b w:val="0"/>
                <w:sz w:val="20"/>
                <w:szCs w:val="20"/>
              </w:rPr>
            </w:pPr>
            <w:r w:rsidRPr="007D74C6">
              <w:rPr>
                <w:rFonts w:cs="Arial"/>
                <w:b w:val="0"/>
                <w:sz w:val="20"/>
                <w:szCs w:val="20"/>
              </w:rPr>
              <w:t>Availability (MW)</w:t>
            </w:r>
          </w:p>
        </w:tc>
      </w:tr>
      <w:tr w:rsidR="005B4C28"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12 hr forecast</w:t>
            </w:r>
          </w:p>
        </w:tc>
      </w:tr>
      <w:tr w:rsidR="00BB7D8C" w:rsidRPr="0073319F"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BB7D8C" w:rsidRPr="005C33B2" w:rsidRDefault="00BB7D8C" w:rsidP="003B7D5E">
            <w:pPr>
              <w:spacing w:after="0" w:line="240" w:lineRule="auto"/>
              <w:jc w:val="center"/>
              <w:rPr>
                <w:rFonts w:cs="Arial"/>
                <w:sz w:val="20"/>
                <w:szCs w:val="20"/>
              </w:rPr>
            </w:pPr>
            <w:r w:rsidRPr="005C33B2">
              <w:rPr>
                <w:rFonts w:cs="Arial"/>
                <w:sz w:val="20"/>
                <w:szCs w:val="20"/>
              </w:rPr>
              <w:t>2</w:t>
            </w:r>
            <w:r>
              <w:rPr>
                <w:rFonts w:cs="Arial"/>
                <w:sz w:val="20"/>
                <w:szCs w:val="20"/>
              </w:rPr>
              <w:t>.</w:t>
            </w:r>
            <w:r w:rsidRPr="005C33B2">
              <w:rPr>
                <w:rFonts w:cs="Arial"/>
                <w:sz w:val="20"/>
                <w:szCs w:val="20"/>
              </w:rPr>
              <w:t xml:space="preserve">30 </w:t>
            </w:r>
            <w:r>
              <w:rPr>
                <w:rFonts w:cs="Arial"/>
                <w:sz w:val="20"/>
                <w:szCs w:val="20"/>
              </w:rPr>
              <w:t>pm</w:t>
            </w:r>
          </w:p>
        </w:tc>
        <w:tc>
          <w:tcPr>
            <w:tcW w:w="516"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-156.69</w:t>
            </w:r>
          </w:p>
        </w:tc>
        <w:tc>
          <w:tcPr>
            <w:tcW w:w="533"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17.40</w:t>
            </w:r>
          </w:p>
        </w:tc>
        <w:tc>
          <w:tcPr>
            <w:tcW w:w="533"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53.74</w:t>
            </w:r>
          </w:p>
        </w:tc>
        <w:tc>
          <w:tcPr>
            <w:tcW w:w="455"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5089</w:t>
            </w:r>
          </w:p>
        </w:tc>
        <w:tc>
          <w:tcPr>
            <w:tcW w:w="456"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4916</w:t>
            </w:r>
          </w:p>
        </w:tc>
        <w:tc>
          <w:tcPr>
            <w:tcW w:w="534"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5264</w:t>
            </w:r>
          </w:p>
        </w:tc>
        <w:tc>
          <w:tcPr>
            <w:tcW w:w="532"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8895</w:t>
            </w:r>
          </w:p>
        </w:tc>
        <w:tc>
          <w:tcPr>
            <w:tcW w:w="457"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8929</w:t>
            </w:r>
          </w:p>
        </w:tc>
        <w:tc>
          <w:tcPr>
            <w:tcW w:w="453" w:type="pct"/>
            <w:vAlign w:val="center"/>
          </w:tcPr>
          <w:p w:rsidR="00BB7D8C" w:rsidRPr="00BB7D8C" w:rsidRDefault="00BB7D8C" w:rsidP="003B7D5E">
            <w:pPr>
              <w:spacing w:after="0" w:line="240" w:lineRule="auto"/>
              <w:jc w:val="center"/>
              <w:rPr>
                <w:rFonts w:cs="Arial"/>
                <w:sz w:val="20"/>
                <w:szCs w:val="20"/>
              </w:rPr>
            </w:pPr>
            <w:r w:rsidRPr="00BB7D8C">
              <w:rPr>
                <w:rFonts w:cs="Arial"/>
                <w:sz w:val="20"/>
                <w:szCs w:val="20"/>
              </w:rPr>
              <w:t>8905</w:t>
            </w:r>
          </w:p>
        </w:tc>
        <w:bookmarkStart w:id="20" w:name="_GoBack"/>
        <w:bookmarkEnd w:id="20"/>
      </w:tr>
    </w:tbl>
    <w:p w:rsidR="003B7D5E" w:rsidRDefault="003B7D5E" w:rsidP="00703838">
      <w:pPr>
        <w:pStyle w:val="AERbodytext"/>
      </w:pPr>
      <w:r>
        <w:t xml:space="preserve">Conditions at the time saw demand and available capacity close to that forecast four hours ahead. </w:t>
      </w:r>
    </w:p>
    <w:p w:rsidR="003B7D5E" w:rsidRDefault="00990793" w:rsidP="00703838">
      <w:pPr>
        <w:pStyle w:val="AERbodytext"/>
      </w:pPr>
      <w:r>
        <w:t>From 6 am t</w:t>
      </w:r>
      <w:r w:rsidR="003B7D5E">
        <w:t>here was a</w:t>
      </w:r>
      <w:r>
        <w:t xml:space="preserve"> planned</w:t>
      </w:r>
      <w:r w:rsidR="003B7D5E">
        <w:t xml:space="preserve"> outage of the </w:t>
      </w:r>
      <w:r w:rsidR="003B7D5E" w:rsidRPr="003B7D5E">
        <w:t xml:space="preserve">Gullen Range to Yass </w:t>
      </w:r>
      <w:r w:rsidR="003B7D5E">
        <w:t>line in Southern New South Wales</w:t>
      </w:r>
      <w:r w:rsidR="003B7D5E" w:rsidRPr="003B7D5E">
        <w:t xml:space="preserve">, </w:t>
      </w:r>
      <w:r w:rsidR="003B7D5E">
        <w:t>limiting flow from generators in Southern New South Wales to Sydney. At 2.20 pm Snowy Hydro rebid 550 MW of capacity at Tumut from $300/MWh to the price floor</w:t>
      </w:r>
      <w:r w:rsidR="00715A00">
        <w:t xml:space="preserve"> causing an increase in generation</w:t>
      </w:r>
      <w:r w:rsidR="003B7D5E">
        <w:t>. The reason given was “</w:t>
      </w:r>
      <w:r w:rsidR="003B7D5E" w:rsidRPr="003B7D5E">
        <w:t xml:space="preserve">14:11:00 A NSW 5MIN PD </w:t>
      </w:r>
      <w:r w:rsidR="003B7D5E">
        <w:t>price</w:t>
      </w:r>
      <w:r w:rsidR="003B7D5E" w:rsidRPr="003B7D5E">
        <w:t xml:space="preserve"> $1,462.04 higher than 5MIN PD 14:35@14:06 ($1,547.70)”.</w:t>
      </w:r>
      <w:r w:rsidR="003B7D5E">
        <w:t xml:space="preserve"> This increase in generation </w:t>
      </w:r>
      <w:r w:rsidR="00715A00">
        <w:t>was forced into Victoria across the Vic-NSW interconnector</w:t>
      </w:r>
      <w:r w:rsidR="00715A00">
        <w:t xml:space="preserve"> due to the </w:t>
      </w:r>
      <w:r w:rsidR="003B7D5E">
        <w:t>network limitation</w:t>
      </w:r>
      <w:r w:rsidR="00715A00">
        <w:t>s</w:t>
      </w:r>
      <w:r>
        <w:t xml:space="preserve">. </w:t>
      </w:r>
      <w:r w:rsidR="00715A00">
        <w:t>Forced</w:t>
      </w:r>
      <w:r>
        <w:t xml:space="preserve"> imports into Victoria increase</w:t>
      </w:r>
      <w:r w:rsidR="00715A00">
        <w:t>d</w:t>
      </w:r>
      <w:r>
        <w:t xml:space="preserve"> from 101 MW at 2.15 pm to 532 MW at 2.20 pm and generation in Victoria decrease</w:t>
      </w:r>
      <w:r w:rsidR="00715A00">
        <w:t>d</w:t>
      </w:r>
      <w:r>
        <w:t xml:space="preserve"> by 382 MW.</w:t>
      </w:r>
    </w:p>
    <w:p w:rsidR="00BF559B" w:rsidRPr="00BF559B" w:rsidRDefault="00D16F5E" w:rsidP="00703838">
      <w:pPr>
        <w:pStyle w:val="AERbodytext"/>
      </w:pPr>
      <w:r>
        <w:t xml:space="preserve">This step change in interconnector flow, combined with generation in </w:t>
      </w:r>
      <w:r w:rsidR="00703838">
        <w:t>Victoria</w:t>
      </w:r>
      <w:r>
        <w:t xml:space="preserve"> </w:t>
      </w:r>
      <w:r w:rsidR="00703838">
        <w:t>ramp rate</w:t>
      </w:r>
      <w:r>
        <w:t xml:space="preserve"> down constrained, caused the price to decrease to -$1000/MWh for the 2.20 pm dispatch interval. </w:t>
      </w:r>
    </w:p>
    <w:p w:rsidR="005B4C28" w:rsidRDefault="005B4C28" w:rsidP="005B4C28">
      <w:pPr>
        <w:pStyle w:val="Heading2"/>
        <w:rPr>
          <w:rFonts w:eastAsia="Times New Roman"/>
          <w:b w:val="0"/>
          <w:bCs w:val="0"/>
          <w:lang w:eastAsia="en-AU"/>
        </w:rPr>
      </w:pPr>
      <w:r>
        <w:rPr>
          <w:rFonts w:eastAsia="Times New Roman"/>
          <w:b w:val="0"/>
          <w:bCs w:val="0"/>
          <w:lang w:eastAsia="en-AU"/>
        </w:rPr>
        <w:t>South Australia</w:t>
      </w:r>
    </w:p>
    <w:p w:rsidR="005B4C28" w:rsidRPr="00BB7D8C" w:rsidRDefault="00BB7D8C" w:rsidP="00BB7D8C">
      <w:pPr>
        <w:pStyle w:val="AERbodytext"/>
      </w:pPr>
      <w:r w:rsidRPr="00BB7D8C">
        <w:t>There were six occasions where the spot price in South Australia was greater than three times the South Australia weekly average price of $70/MWh and above $250/MWh.</w:t>
      </w:r>
      <w:r w:rsidR="005B4C28" w:rsidRPr="00BB7D8C">
        <w:t xml:space="preserve"> </w:t>
      </w:r>
    </w:p>
    <w:p w:rsidR="005B4C28" w:rsidRPr="005F37A9" w:rsidRDefault="00BB7D8C" w:rsidP="005B4C28">
      <w:pPr>
        <w:pStyle w:val="Heading3"/>
        <w:rPr>
          <w:rFonts w:eastAsia="Times New Roman"/>
        </w:rPr>
      </w:pPr>
      <w:r>
        <w:rPr>
          <w:rFonts w:eastAsia="Times New Roman"/>
        </w:rPr>
        <w:t>Sun</w:t>
      </w:r>
      <w:r w:rsidR="005B4C28">
        <w:rPr>
          <w:rFonts w:eastAsia="Times New Roman"/>
        </w:rPr>
        <w:t xml:space="preserve">day, </w:t>
      </w:r>
      <w:r>
        <w:rPr>
          <w:rFonts w:eastAsia="Times New Roman"/>
        </w:rPr>
        <w:t>4</w:t>
      </w:r>
      <w:r w:rsidR="005B4C28">
        <w:rPr>
          <w:rFonts w:eastAsia="Times New Roman"/>
        </w:rPr>
        <w:t xml:space="preserve"> </w:t>
      </w:r>
      <w:r>
        <w:rPr>
          <w:rFonts w:eastAsia="Times New Roman"/>
        </w:rPr>
        <w:t>December</w:t>
      </w:r>
    </w:p>
    <w:p w:rsidR="005B4C28" w:rsidRPr="001C5A97" w:rsidRDefault="005B4C28" w:rsidP="005B4C28">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62B2C">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1102"/>
        <w:gridCol w:w="850"/>
        <w:gridCol w:w="994"/>
        <w:gridCol w:w="995"/>
        <w:gridCol w:w="848"/>
        <w:gridCol w:w="850"/>
        <w:gridCol w:w="995"/>
        <w:gridCol w:w="992"/>
        <w:gridCol w:w="852"/>
        <w:gridCol w:w="843"/>
      </w:tblGrid>
      <w:tr w:rsidR="005B4C28" w:rsidRPr="0073319F" w:rsidTr="00A722BF">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5B4C28" w:rsidRPr="007D74C6" w:rsidRDefault="005B4C28" w:rsidP="006D7BAE">
            <w:pPr>
              <w:pStyle w:val="TableHeading"/>
              <w:jc w:val="center"/>
              <w:rPr>
                <w:rFonts w:cs="Arial"/>
                <w:b w:val="0"/>
                <w:sz w:val="20"/>
                <w:szCs w:val="20"/>
              </w:rPr>
            </w:pPr>
            <w:r w:rsidRPr="007D74C6">
              <w:rPr>
                <w:rFonts w:cs="Arial"/>
                <w:b w:val="0"/>
                <w:sz w:val="20"/>
                <w:szCs w:val="20"/>
              </w:rPr>
              <w:t xml:space="preserve">Time </w:t>
            </w:r>
          </w:p>
        </w:tc>
        <w:tc>
          <w:tcPr>
            <w:tcW w:w="1523" w:type="pct"/>
            <w:gridSpan w:val="3"/>
            <w:hideMark/>
          </w:tcPr>
          <w:p w:rsidR="005B4C28" w:rsidRPr="007D74C6" w:rsidRDefault="005B4C28" w:rsidP="006D7BAE">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B4C28" w:rsidRPr="007D74C6" w:rsidRDefault="005B4C28" w:rsidP="006D7BAE">
            <w:pPr>
              <w:pStyle w:val="TableHeading"/>
              <w:jc w:val="center"/>
              <w:rPr>
                <w:rFonts w:cs="Arial"/>
                <w:b w:val="0"/>
                <w:sz w:val="20"/>
                <w:szCs w:val="20"/>
              </w:rPr>
            </w:pPr>
            <w:r w:rsidRPr="007D74C6">
              <w:rPr>
                <w:rFonts w:cs="Arial"/>
                <w:b w:val="0"/>
                <w:sz w:val="20"/>
                <w:szCs w:val="20"/>
              </w:rPr>
              <w:t>Demand (MW)</w:t>
            </w:r>
          </w:p>
        </w:tc>
        <w:tc>
          <w:tcPr>
            <w:tcW w:w="1441" w:type="pct"/>
            <w:gridSpan w:val="3"/>
            <w:hideMark/>
          </w:tcPr>
          <w:p w:rsidR="005B4C28" w:rsidRPr="007D74C6" w:rsidRDefault="005B4C28" w:rsidP="006D7BAE">
            <w:pPr>
              <w:pStyle w:val="TableHeading"/>
              <w:jc w:val="center"/>
              <w:rPr>
                <w:rFonts w:cs="Arial"/>
                <w:b w:val="0"/>
                <w:sz w:val="20"/>
                <w:szCs w:val="20"/>
              </w:rPr>
            </w:pPr>
            <w:r w:rsidRPr="007D74C6">
              <w:rPr>
                <w:rFonts w:cs="Arial"/>
                <w:b w:val="0"/>
                <w:sz w:val="20"/>
                <w:szCs w:val="20"/>
              </w:rPr>
              <w:t>Availability (MW)</w:t>
            </w:r>
          </w:p>
        </w:tc>
      </w:tr>
      <w:tr w:rsidR="005B4C28" w:rsidRPr="0073319F" w:rsidTr="00A722BF">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 </w:t>
            </w:r>
          </w:p>
        </w:tc>
        <w:tc>
          <w:tcPr>
            <w:tcW w:w="456"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4 hr forecast</w:t>
            </w:r>
          </w:p>
        </w:tc>
        <w:tc>
          <w:tcPr>
            <w:tcW w:w="452" w:type="pct"/>
            <w:tcMar>
              <w:left w:w="57" w:type="dxa"/>
              <w:right w:w="57" w:type="dxa"/>
            </w:tcMar>
            <w:hideMark/>
          </w:tcPr>
          <w:p w:rsidR="005B4C28" w:rsidRPr="007D74C6" w:rsidRDefault="005B4C28" w:rsidP="006D7BAE">
            <w:pPr>
              <w:pStyle w:val="tableheadingline2"/>
              <w:rPr>
                <w:rFonts w:cs="Arial"/>
                <w:sz w:val="20"/>
                <w:szCs w:val="20"/>
              </w:rPr>
            </w:pPr>
            <w:r w:rsidRPr="007D74C6">
              <w:rPr>
                <w:rFonts w:cs="Arial"/>
                <w:sz w:val="20"/>
                <w:szCs w:val="20"/>
              </w:rPr>
              <w:t>12 hr forecast</w:t>
            </w:r>
          </w:p>
        </w:tc>
      </w:tr>
      <w:tr w:rsidR="00BB7D8C" w:rsidRPr="0073319F" w:rsidTr="00A722BF">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BB7D8C" w:rsidRPr="005B4C28" w:rsidRDefault="00BB7D8C" w:rsidP="00990793">
            <w:pPr>
              <w:spacing w:after="0" w:line="240" w:lineRule="auto"/>
              <w:jc w:val="center"/>
              <w:rPr>
                <w:rFonts w:cs="Arial"/>
                <w:sz w:val="20"/>
                <w:szCs w:val="20"/>
              </w:rPr>
            </w:pPr>
            <w:r>
              <w:rPr>
                <w:rFonts w:cs="Arial"/>
                <w:sz w:val="20"/>
                <w:szCs w:val="20"/>
              </w:rPr>
              <w:t>9.30 am</w:t>
            </w:r>
          </w:p>
        </w:tc>
        <w:tc>
          <w:tcPr>
            <w:tcW w:w="456" w:type="pct"/>
            <w:vAlign w:val="center"/>
          </w:tcPr>
          <w:p w:rsidR="00BB7D8C" w:rsidRPr="00BB7D8C" w:rsidRDefault="00BB7D8C" w:rsidP="00990793">
            <w:pPr>
              <w:spacing w:after="0" w:line="240" w:lineRule="auto"/>
              <w:jc w:val="center"/>
              <w:rPr>
                <w:rFonts w:cs="Arial"/>
                <w:sz w:val="20"/>
                <w:szCs w:val="20"/>
              </w:rPr>
            </w:pPr>
            <w:r w:rsidRPr="00BB7D8C">
              <w:rPr>
                <w:rFonts w:cs="Arial"/>
                <w:sz w:val="20"/>
                <w:szCs w:val="20"/>
              </w:rPr>
              <w:t>265.14</w:t>
            </w:r>
          </w:p>
        </w:tc>
        <w:tc>
          <w:tcPr>
            <w:tcW w:w="533" w:type="pct"/>
            <w:vAlign w:val="center"/>
          </w:tcPr>
          <w:p w:rsidR="00BB7D8C" w:rsidRPr="00BB7D8C" w:rsidRDefault="00BB7D8C" w:rsidP="00990793">
            <w:pPr>
              <w:pStyle w:val="NormalWeb"/>
              <w:spacing w:before="0" w:beforeAutospacing="0" w:after="0" w:afterAutospacing="0"/>
              <w:jc w:val="center"/>
              <w:rPr>
                <w:rFonts w:ascii="Arial" w:eastAsiaTheme="minorHAnsi" w:hAnsi="Arial" w:cs="Arial"/>
                <w:sz w:val="20"/>
                <w:szCs w:val="20"/>
                <w:lang w:eastAsia="en-US"/>
              </w:rPr>
            </w:pPr>
            <w:r w:rsidRPr="00BB7D8C">
              <w:rPr>
                <w:rFonts w:ascii="Arial" w:eastAsiaTheme="minorHAnsi" w:hAnsi="Arial" w:cs="Arial"/>
                <w:sz w:val="20"/>
                <w:szCs w:val="20"/>
                <w:lang w:eastAsia="en-US"/>
              </w:rPr>
              <w:t>44.15</w:t>
            </w:r>
          </w:p>
        </w:tc>
        <w:tc>
          <w:tcPr>
            <w:tcW w:w="534" w:type="pct"/>
            <w:vAlign w:val="center"/>
          </w:tcPr>
          <w:p w:rsidR="00BB7D8C" w:rsidRPr="00BB7D8C" w:rsidRDefault="00BB7D8C" w:rsidP="00990793">
            <w:pPr>
              <w:pStyle w:val="NormalWeb"/>
              <w:spacing w:before="0" w:beforeAutospacing="0" w:after="0" w:afterAutospacing="0"/>
              <w:jc w:val="center"/>
              <w:rPr>
                <w:rFonts w:ascii="Arial" w:eastAsiaTheme="minorHAnsi" w:hAnsi="Arial" w:cs="Arial"/>
                <w:sz w:val="20"/>
                <w:szCs w:val="20"/>
                <w:lang w:eastAsia="en-US"/>
              </w:rPr>
            </w:pPr>
            <w:r w:rsidRPr="00BB7D8C">
              <w:rPr>
                <w:rFonts w:ascii="Arial" w:eastAsiaTheme="minorHAnsi" w:hAnsi="Arial" w:cs="Arial"/>
                <w:sz w:val="20"/>
                <w:szCs w:val="20"/>
                <w:lang w:eastAsia="en-US"/>
              </w:rPr>
              <w:t>38.14</w:t>
            </w:r>
          </w:p>
        </w:tc>
        <w:tc>
          <w:tcPr>
            <w:tcW w:w="455" w:type="pct"/>
            <w:vAlign w:val="center"/>
          </w:tcPr>
          <w:p w:rsidR="00BB7D8C" w:rsidRPr="00BB7D8C" w:rsidRDefault="00BB7D8C" w:rsidP="00990793">
            <w:pPr>
              <w:pStyle w:val="NormalWeb"/>
              <w:spacing w:before="0" w:beforeAutospacing="0" w:after="0" w:afterAutospacing="0"/>
              <w:jc w:val="center"/>
              <w:rPr>
                <w:rFonts w:ascii="Arial" w:eastAsiaTheme="minorHAnsi" w:hAnsi="Arial" w:cs="Arial"/>
                <w:sz w:val="20"/>
                <w:szCs w:val="20"/>
                <w:lang w:eastAsia="en-US"/>
              </w:rPr>
            </w:pPr>
            <w:r w:rsidRPr="00BB7D8C">
              <w:rPr>
                <w:rFonts w:ascii="Arial" w:eastAsiaTheme="minorHAnsi" w:hAnsi="Arial" w:cs="Arial"/>
                <w:sz w:val="20"/>
                <w:szCs w:val="20"/>
                <w:lang w:eastAsia="en-US"/>
              </w:rPr>
              <w:t>1229</w:t>
            </w:r>
          </w:p>
        </w:tc>
        <w:tc>
          <w:tcPr>
            <w:tcW w:w="456" w:type="pct"/>
            <w:vAlign w:val="center"/>
          </w:tcPr>
          <w:p w:rsidR="00BB7D8C" w:rsidRPr="00BB7D8C" w:rsidRDefault="00BB7D8C" w:rsidP="00990793">
            <w:pPr>
              <w:pStyle w:val="NormalWeb"/>
              <w:spacing w:before="0" w:beforeAutospacing="0" w:after="0" w:afterAutospacing="0"/>
              <w:jc w:val="center"/>
              <w:rPr>
                <w:rFonts w:ascii="Arial" w:eastAsiaTheme="minorHAnsi" w:hAnsi="Arial" w:cs="Arial"/>
                <w:sz w:val="20"/>
                <w:szCs w:val="20"/>
                <w:lang w:eastAsia="en-US"/>
              </w:rPr>
            </w:pPr>
            <w:r w:rsidRPr="00BB7D8C">
              <w:rPr>
                <w:rFonts w:ascii="Arial" w:eastAsiaTheme="minorHAnsi" w:hAnsi="Arial" w:cs="Arial"/>
                <w:sz w:val="20"/>
                <w:szCs w:val="20"/>
                <w:lang w:eastAsia="en-US"/>
              </w:rPr>
              <w:t>1115</w:t>
            </w:r>
          </w:p>
        </w:tc>
        <w:tc>
          <w:tcPr>
            <w:tcW w:w="534" w:type="pct"/>
            <w:vAlign w:val="center"/>
          </w:tcPr>
          <w:p w:rsidR="00BB7D8C" w:rsidRPr="00BB7D8C" w:rsidRDefault="00BB7D8C" w:rsidP="00990793">
            <w:pPr>
              <w:pStyle w:val="NormalWeb"/>
              <w:spacing w:before="0" w:beforeAutospacing="0" w:after="0" w:afterAutospacing="0"/>
              <w:jc w:val="center"/>
              <w:rPr>
                <w:rFonts w:ascii="Arial" w:eastAsiaTheme="minorHAnsi" w:hAnsi="Arial" w:cs="Arial"/>
                <w:sz w:val="20"/>
                <w:szCs w:val="20"/>
                <w:lang w:eastAsia="en-US"/>
              </w:rPr>
            </w:pPr>
            <w:r w:rsidRPr="00BB7D8C">
              <w:rPr>
                <w:rFonts w:ascii="Arial" w:eastAsiaTheme="minorHAnsi" w:hAnsi="Arial" w:cs="Arial"/>
                <w:sz w:val="20"/>
                <w:szCs w:val="20"/>
                <w:lang w:eastAsia="en-US"/>
              </w:rPr>
              <w:t>1165</w:t>
            </w:r>
          </w:p>
        </w:tc>
        <w:tc>
          <w:tcPr>
            <w:tcW w:w="532" w:type="pct"/>
            <w:vAlign w:val="center"/>
          </w:tcPr>
          <w:p w:rsidR="00BB7D8C" w:rsidRPr="00BB7D8C" w:rsidRDefault="00BB7D8C" w:rsidP="00990793">
            <w:pPr>
              <w:pStyle w:val="NormalWeb"/>
              <w:spacing w:before="0" w:beforeAutospacing="0" w:after="0" w:afterAutospacing="0"/>
              <w:jc w:val="center"/>
              <w:rPr>
                <w:rFonts w:ascii="Arial" w:eastAsiaTheme="minorHAnsi" w:hAnsi="Arial" w:cs="Arial"/>
                <w:sz w:val="20"/>
                <w:szCs w:val="20"/>
                <w:lang w:eastAsia="en-US"/>
              </w:rPr>
            </w:pPr>
            <w:r w:rsidRPr="00BB7D8C">
              <w:rPr>
                <w:rFonts w:ascii="Arial" w:eastAsiaTheme="minorHAnsi" w:hAnsi="Arial" w:cs="Arial"/>
                <w:sz w:val="20"/>
                <w:szCs w:val="20"/>
                <w:lang w:eastAsia="en-US"/>
              </w:rPr>
              <w:t>1773</w:t>
            </w:r>
          </w:p>
        </w:tc>
        <w:tc>
          <w:tcPr>
            <w:tcW w:w="457" w:type="pct"/>
            <w:vAlign w:val="center"/>
          </w:tcPr>
          <w:p w:rsidR="00BB7D8C" w:rsidRPr="00BB7D8C" w:rsidRDefault="00BB7D8C" w:rsidP="00990793">
            <w:pPr>
              <w:pStyle w:val="NormalWeb"/>
              <w:spacing w:before="0" w:beforeAutospacing="0" w:after="0" w:afterAutospacing="0"/>
              <w:jc w:val="center"/>
              <w:rPr>
                <w:rFonts w:ascii="Arial" w:eastAsiaTheme="minorHAnsi" w:hAnsi="Arial" w:cs="Arial"/>
                <w:sz w:val="20"/>
                <w:szCs w:val="20"/>
                <w:lang w:eastAsia="en-US"/>
              </w:rPr>
            </w:pPr>
            <w:r w:rsidRPr="00BB7D8C">
              <w:rPr>
                <w:rFonts w:ascii="Arial" w:eastAsiaTheme="minorHAnsi" w:hAnsi="Arial" w:cs="Arial"/>
                <w:sz w:val="20"/>
                <w:szCs w:val="20"/>
                <w:lang w:eastAsia="en-US"/>
              </w:rPr>
              <w:t>2180</w:t>
            </w:r>
          </w:p>
        </w:tc>
        <w:tc>
          <w:tcPr>
            <w:tcW w:w="452" w:type="pct"/>
            <w:vAlign w:val="center"/>
          </w:tcPr>
          <w:p w:rsidR="00BB7D8C" w:rsidRPr="005B4C28" w:rsidRDefault="00BB7D8C" w:rsidP="00990793">
            <w:pPr>
              <w:spacing w:after="0" w:line="240" w:lineRule="auto"/>
              <w:jc w:val="center"/>
              <w:rPr>
                <w:rFonts w:cs="Arial"/>
                <w:sz w:val="20"/>
                <w:szCs w:val="20"/>
              </w:rPr>
            </w:pPr>
            <w:r>
              <w:rPr>
                <w:rFonts w:cs="Arial"/>
                <w:sz w:val="20"/>
                <w:szCs w:val="20"/>
              </w:rPr>
              <w:t>2276</w:t>
            </w:r>
          </w:p>
        </w:tc>
      </w:tr>
      <w:tr w:rsidR="00E351F9" w:rsidRPr="00E351F9" w:rsidTr="00A722BF">
        <w:trPr>
          <w:cnfStyle w:val="000000010000" w:firstRow="0" w:lastRow="0" w:firstColumn="0" w:lastColumn="0" w:oddVBand="0" w:evenVBand="0" w:oddHBand="0" w:evenHBand="1" w:firstRowFirstColumn="0" w:firstRowLastColumn="0" w:lastRowFirstColumn="0" w:lastRowLastColumn="0"/>
          <w:trHeight w:val="510"/>
        </w:trPr>
        <w:tc>
          <w:tcPr>
            <w:tcW w:w="591" w:type="pct"/>
            <w:vAlign w:val="center"/>
          </w:tcPr>
          <w:p w:rsidR="00E351F9" w:rsidRPr="005B4C28" w:rsidRDefault="00E351F9" w:rsidP="00990793">
            <w:pPr>
              <w:spacing w:after="0" w:line="240" w:lineRule="auto"/>
              <w:jc w:val="center"/>
              <w:rPr>
                <w:rFonts w:cs="Arial"/>
                <w:sz w:val="20"/>
                <w:szCs w:val="20"/>
              </w:rPr>
            </w:pPr>
            <w:r w:rsidRPr="005B4C28">
              <w:rPr>
                <w:rFonts w:cs="Arial"/>
                <w:sz w:val="20"/>
                <w:szCs w:val="20"/>
              </w:rPr>
              <w:t>1</w:t>
            </w:r>
            <w:r>
              <w:rPr>
                <w:rFonts w:cs="Arial"/>
                <w:sz w:val="20"/>
                <w:szCs w:val="20"/>
              </w:rPr>
              <w:t>0.</w:t>
            </w:r>
            <w:r w:rsidRPr="005B4C28">
              <w:rPr>
                <w:rFonts w:cs="Arial"/>
                <w:sz w:val="20"/>
                <w:szCs w:val="20"/>
              </w:rPr>
              <w:t xml:space="preserve">30 </w:t>
            </w:r>
            <w:r>
              <w:rPr>
                <w:rFonts w:cs="Arial"/>
                <w:sz w:val="20"/>
                <w:szCs w:val="20"/>
              </w:rPr>
              <w:t>am</w:t>
            </w:r>
          </w:p>
        </w:tc>
        <w:tc>
          <w:tcPr>
            <w:tcW w:w="456"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304.99</w:t>
            </w:r>
          </w:p>
        </w:tc>
        <w:tc>
          <w:tcPr>
            <w:tcW w:w="533"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58.05</w:t>
            </w:r>
          </w:p>
        </w:tc>
        <w:tc>
          <w:tcPr>
            <w:tcW w:w="534"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60.51</w:t>
            </w:r>
          </w:p>
        </w:tc>
        <w:tc>
          <w:tcPr>
            <w:tcW w:w="455"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1246</w:t>
            </w:r>
          </w:p>
        </w:tc>
        <w:tc>
          <w:tcPr>
            <w:tcW w:w="456"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1193</w:t>
            </w:r>
          </w:p>
        </w:tc>
        <w:tc>
          <w:tcPr>
            <w:tcW w:w="534"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1192</w:t>
            </w:r>
          </w:p>
        </w:tc>
        <w:tc>
          <w:tcPr>
            <w:tcW w:w="532"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1645</w:t>
            </w:r>
          </w:p>
        </w:tc>
        <w:tc>
          <w:tcPr>
            <w:tcW w:w="457"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2136</w:t>
            </w:r>
          </w:p>
        </w:tc>
        <w:tc>
          <w:tcPr>
            <w:tcW w:w="452" w:type="pct"/>
            <w:vAlign w:val="center"/>
          </w:tcPr>
          <w:p w:rsidR="00E351F9" w:rsidRPr="00E351F9" w:rsidRDefault="00E351F9" w:rsidP="00990793">
            <w:pPr>
              <w:spacing w:after="0" w:line="240" w:lineRule="auto"/>
              <w:jc w:val="center"/>
              <w:rPr>
                <w:rFonts w:cs="Arial"/>
                <w:sz w:val="20"/>
                <w:szCs w:val="20"/>
              </w:rPr>
            </w:pPr>
            <w:r w:rsidRPr="00E351F9">
              <w:rPr>
                <w:rFonts w:cs="Arial"/>
                <w:sz w:val="20"/>
                <w:szCs w:val="20"/>
              </w:rPr>
              <w:t>2128</w:t>
            </w:r>
          </w:p>
        </w:tc>
      </w:tr>
    </w:tbl>
    <w:p w:rsidR="005B4C28" w:rsidRPr="00703838" w:rsidRDefault="00A722BF" w:rsidP="00F92C0A">
      <w:pPr>
        <w:pStyle w:val="AERbodytext"/>
      </w:pPr>
      <w:r w:rsidRPr="00703838">
        <w:t xml:space="preserve">Conditions at </w:t>
      </w:r>
      <w:r w:rsidR="00422F80" w:rsidRPr="00703838">
        <w:t xml:space="preserve">the time </w:t>
      </w:r>
      <w:r w:rsidRPr="00703838">
        <w:t xml:space="preserve">saw demand </w:t>
      </w:r>
      <w:r w:rsidR="00786FE5" w:rsidRPr="00703838">
        <w:t xml:space="preserve">up to </w:t>
      </w:r>
      <w:r w:rsidR="00703838" w:rsidRPr="00703838">
        <w:t>114</w:t>
      </w:r>
      <w:r w:rsidRPr="00703838">
        <w:t xml:space="preserve"> MW higher than forecast while availability was </w:t>
      </w:r>
      <w:r w:rsidR="00791588">
        <w:t>around 40</w:t>
      </w:r>
      <w:r w:rsidR="00703838" w:rsidRPr="00703838">
        <w:t>0 MW lower than</w:t>
      </w:r>
      <w:r w:rsidRPr="00703838">
        <w:t xml:space="preserve"> what was forecast four hours ahead.</w:t>
      </w:r>
      <w:r w:rsidR="00B700CA">
        <w:t xml:space="preserve"> Wind output was over 350 MW</w:t>
      </w:r>
      <w:r w:rsidR="00791588">
        <w:t xml:space="preserve"> and 480 MW </w:t>
      </w:r>
      <w:r w:rsidR="00B700CA">
        <w:t>lower than that forecast four hours ahead</w:t>
      </w:r>
      <w:r w:rsidR="00791588">
        <w:t xml:space="preserve"> for the 9.30 am and 10.30 am trading intervals respectively. This led </w:t>
      </w:r>
      <w:r w:rsidR="00B700CA">
        <w:t>to higher priced generation meeting demand</w:t>
      </w:r>
      <w:r w:rsidR="00791588">
        <w:t xml:space="preserve"> for both trading intervals</w:t>
      </w:r>
      <w:r w:rsidR="00B700CA">
        <w:t xml:space="preserve">. </w:t>
      </w:r>
    </w:p>
    <w:p w:rsidR="006D7BAE" w:rsidRPr="005F37A9" w:rsidRDefault="006D7BAE" w:rsidP="006D7BAE">
      <w:pPr>
        <w:pStyle w:val="Heading3"/>
        <w:rPr>
          <w:rFonts w:eastAsia="Times New Roman"/>
        </w:rPr>
      </w:pPr>
      <w:r>
        <w:rPr>
          <w:rFonts w:eastAsia="Times New Roman"/>
        </w:rPr>
        <w:t>Monday, 5 December</w:t>
      </w:r>
    </w:p>
    <w:p w:rsidR="00A722BF" w:rsidRPr="00A722BF" w:rsidRDefault="00A722BF" w:rsidP="00A722BF">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62B2C">
        <w:rPr>
          <w:rFonts w:asciiTheme="minorHAnsi" w:hAnsiTheme="minorHAnsi" w:cstheme="minorHAnsi"/>
          <w:noProof/>
        </w:rPr>
        <w:t>8</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1102"/>
        <w:gridCol w:w="992"/>
        <w:gridCol w:w="854"/>
        <w:gridCol w:w="995"/>
        <w:gridCol w:w="848"/>
        <w:gridCol w:w="850"/>
        <w:gridCol w:w="995"/>
        <w:gridCol w:w="992"/>
        <w:gridCol w:w="852"/>
        <w:gridCol w:w="841"/>
      </w:tblGrid>
      <w:tr w:rsidR="00A722BF"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A722BF" w:rsidRPr="007D74C6" w:rsidRDefault="00A722BF" w:rsidP="006D7BAE">
            <w:pPr>
              <w:pStyle w:val="TableHeading"/>
              <w:jc w:val="center"/>
              <w:rPr>
                <w:rFonts w:cs="Arial"/>
                <w:b w:val="0"/>
                <w:sz w:val="20"/>
                <w:szCs w:val="20"/>
              </w:rPr>
            </w:pPr>
            <w:r w:rsidRPr="007D74C6">
              <w:rPr>
                <w:rFonts w:cs="Arial"/>
                <w:b w:val="0"/>
                <w:sz w:val="20"/>
                <w:szCs w:val="20"/>
              </w:rPr>
              <w:t xml:space="preserve">Time </w:t>
            </w:r>
          </w:p>
        </w:tc>
        <w:tc>
          <w:tcPr>
            <w:tcW w:w="1524" w:type="pct"/>
            <w:gridSpan w:val="3"/>
            <w:hideMark/>
          </w:tcPr>
          <w:p w:rsidR="00A722BF" w:rsidRPr="007D74C6" w:rsidRDefault="00A722BF" w:rsidP="006D7BAE">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A722BF" w:rsidRPr="007D74C6" w:rsidRDefault="00A722BF" w:rsidP="006D7BAE">
            <w:pPr>
              <w:pStyle w:val="TableHeading"/>
              <w:jc w:val="center"/>
              <w:rPr>
                <w:rFonts w:cs="Arial"/>
                <w:b w:val="0"/>
                <w:sz w:val="20"/>
                <w:szCs w:val="20"/>
              </w:rPr>
            </w:pPr>
            <w:r w:rsidRPr="007D74C6">
              <w:rPr>
                <w:rFonts w:cs="Arial"/>
                <w:b w:val="0"/>
                <w:sz w:val="20"/>
                <w:szCs w:val="20"/>
              </w:rPr>
              <w:t>Demand (MW)</w:t>
            </w:r>
          </w:p>
        </w:tc>
        <w:tc>
          <w:tcPr>
            <w:tcW w:w="1440" w:type="pct"/>
            <w:gridSpan w:val="3"/>
            <w:hideMark/>
          </w:tcPr>
          <w:p w:rsidR="00A722BF" w:rsidRPr="007D74C6" w:rsidRDefault="00A722BF" w:rsidP="006D7BAE">
            <w:pPr>
              <w:pStyle w:val="TableHeading"/>
              <w:jc w:val="center"/>
              <w:rPr>
                <w:rFonts w:cs="Arial"/>
                <w:b w:val="0"/>
                <w:sz w:val="20"/>
                <w:szCs w:val="20"/>
              </w:rPr>
            </w:pPr>
            <w:r w:rsidRPr="007D74C6">
              <w:rPr>
                <w:rFonts w:cs="Arial"/>
                <w:b w:val="0"/>
                <w:sz w:val="20"/>
                <w:szCs w:val="20"/>
              </w:rPr>
              <w:t>Availability (MW)</w:t>
            </w:r>
          </w:p>
        </w:tc>
      </w:tr>
      <w:tr w:rsidR="00A722BF"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 </w:t>
            </w:r>
          </w:p>
        </w:tc>
        <w:tc>
          <w:tcPr>
            <w:tcW w:w="532"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Actual</w:t>
            </w:r>
          </w:p>
        </w:tc>
        <w:tc>
          <w:tcPr>
            <w:tcW w:w="458"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4 hr forecast</w:t>
            </w:r>
          </w:p>
        </w:tc>
        <w:tc>
          <w:tcPr>
            <w:tcW w:w="451" w:type="pct"/>
            <w:tcMar>
              <w:left w:w="57" w:type="dxa"/>
              <w:right w:w="57" w:type="dxa"/>
            </w:tcMar>
            <w:hideMark/>
          </w:tcPr>
          <w:p w:rsidR="00A722BF" w:rsidRPr="007D74C6" w:rsidRDefault="00A722BF" w:rsidP="006D7BAE">
            <w:pPr>
              <w:pStyle w:val="tableheadingline2"/>
              <w:rPr>
                <w:rFonts w:cs="Arial"/>
                <w:sz w:val="20"/>
                <w:szCs w:val="20"/>
              </w:rPr>
            </w:pPr>
            <w:r w:rsidRPr="007D74C6">
              <w:rPr>
                <w:rFonts w:cs="Arial"/>
                <w:sz w:val="20"/>
                <w:szCs w:val="20"/>
              </w:rPr>
              <w:t>12 hr forecast</w:t>
            </w:r>
          </w:p>
        </w:tc>
      </w:tr>
      <w:tr w:rsidR="006D7BAE" w:rsidRPr="0073319F" w:rsidTr="006D7BAE">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6D7BAE" w:rsidRPr="005B4C28" w:rsidRDefault="006D7BAE" w:rsidP="007030FA">
            <w:pPr>
              <w:spacing w:after="0" w:line="240" w:lineRule="auto"/>
              <w:jc w:val="center"/>
              <w:rPr>
                <w:rFonts w:cs="Arial"/>
                <w:sz w:val="20"/>
                <w:szCs w:val="20"/>
              </w:rPr>
            </w:pPr>
            <w:r w:rsidRPr="005B4C28">
              <w:rPr>
                <w:rFonts w:cs="Arial"/>
                <w:sz w:val="20"/>
                <w:szCs w:val="20"/>
              </w:rPr>
              <w:t>2</w:t>
            </w:r>
            <w:r>
              <w:rPr>
                <w:rFonts w:cs="Arial"/>
                <w:sz w:val="20"/>
                <w:szCs w:val="20"/>
              </w:rPr>
              <w:t> pm</w:t>
            </w:r>
          </w:p>
        </w:tc>
        <w:tc>
          <w:tcPr>
            <w:tcW w:w="532"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260.41</w:t>
            </w:r>
          </w:p>
        </w:tc>
        <w:tc>
          <w:tcPr>
            <w:tcW w:w="458"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227.74</w:t>
            </w:r>
          </w:p>
        </w:tc>
        <w:tc>
          <w:tcPr>
            <w:tcW w:w="534"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79.99</w:t>
            </w:r>
          </w:p>
        </w:tc>
        <w:tc>
          <w:tcPr>
            <w:tcW w:w="455"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1298</w:t>
            </w:r>
          </w:p>
        </w:tc>
        <w:tc>
          <w:tcPr>
            <w:tcW w:w="456"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1117</w:t>
            </w:r>
          </w:p>
        </w:tc>
        <w:tc>
          <w:tcPr>
            <w:tcW w:w="534"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1162</w:t>
            </w:r>
          </w:p>
        </w:tc>
        <w:tc>
          <w:tcPr>
            <w:tcW w:w="532"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1771</w:t>
            </w:r>
          </w:p>
        </w:tc>
        <w:tc>
          <w:tcPr>
            <w:tcW w:w="457"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1811</w:t>
            </w:r>
          </w:p>
        </w:tc>
        <w:tc>
          <w:tcPr>
            <w:tcW w:w="451"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1793</w:t>
            </w:r>
          </w:p>
        </w:tc>
      </w:tr>
      <w:tr w:rsidR="006D7BAE" w:rsidRPr="0073319F" w:rsidTr="006D7BAE">
        <w:trPr>
          <w:cnfStyle w:val="000000010000" w:firstRow="0" w:lastRow="0" w:firstColumn="0" w:lastColumn="0" w:oddVBand="0" w:evenVBand="0" w:oddHBand="0" w:evenHBand="1" w:firstRowFirstColumn="0" w:firstRowLastColumn="0" w:lastRowFirstColumn="0" w:lastRowLastColumn="0"/>
          <w:trHeight w:val="510"/>
        </w:trPr>
        <w:tc>
          <w:tcPr>
            <w:tcW w:w="591" w:type="pct"/>
            <w:vAlign w:val="center"/>
          </w:tcPr>
          <w:p w:rsidR="006D7BAE" w:rsidRPr="005B4C28" w:rsidRDefault="006D7BAE" w:rsidP="007030FA">
            <w:pPr>
              <w:spacing w:after="0" w:line="240" w:lineRule="auto"/>
              <w:jc w:val="center"/>
              <w:rPr>
                <w:rFonts w:cs="Arial"/>
                <w:sz w:val="20"/>
                <w:szCs w:val="20"/>
              </w:rPr>
            </w:pPr>
            <w:r>
              <w:rPr>
                <w:rFonts w:cs="Arial"/>
                <w:sz w:val="20"/>
                <w:szCs w:val="20"/>
              </w:rPr>
              <w:lastRenderedPageBreak/>
              <w:t>3.30 pm</w:t>
            </w:r>
          </w:p>
        </w:tc>
        <w:tc>
          <w:tcPr>
            <w:tcW w:w="532"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270.83</w:t>
            </w:r>
          </w:p>
        </w:tc>
        <w:tc>
          <w:tcPr>
            <w:tcW w:w="458"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221.92</w:t>
            </w:r>
          </w:p>
        </w:tc>
        <w:tc>
          <w:tcPr>
            <w:tcW w:w="534"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124.99</w:t>
            </w:r>
          </w:p>
        </w:tc>
        <w:tc>
          <w:tcPr>
            <w:tcW w:w="455"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1294</w:t>
            </w:r>
          </w:p>
        </w:tc>
        <w:tc>
          <w:tcPr>
            <w:tcW w:w="456"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1263</w:t>
            </w:r>
          </w:p>
        </w:tc>
        <w:tc>
          <w:tcPr>
            <w:tcW w:w="534"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1210</w:t>
            </w:r>
          </w:p>
        </w:tc>
        <w:tc>
          <w:tcPr>
            <w:tcW w:w="532"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1736</w:t>
            </w:r>
          </w:p>
        </w:tc>
        <w:tc>
          <w:tcPr>
            <w:tcW w:w="457"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1817</w:t>
            </w:r>
          </w:p>
        </w:tc>
        <w:tc>
          <w:tcPr>
            <w:tcW w:w="451"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1814</w:t>
            </w:r>
          </w:p>
        </w:tc>
      </w:tr>
      <w:tr w:rsidR="006D7BAE" w:rsidRPr="0073319F" w:rsidTr="006D7BAE">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6D7BAE" w:rsidRPr="005B4C28" w:rsidRDefault="006D7BAE" w:rsidP="007030FA">
            <w:pPr>
              <w:spacing w:after="0" w:line="240" w:lineRule="auto"/>
              <w:jc w:val="center"/>
              <w:rPr>
                <w:rFonts w:cs="Arial"/>
                <w:sz w:val="20"/>
                <w:szCs w:val="20"/>
              </w:rPr>
            </w:pPr>
            <w:r>
              <w:rPr>
                <w:rFonts w:cs="Arial"/>
                <w:sz w:val="20"/>
                <w:szCs w:val="20"/>
              </w:rPr>
              <w:t>4 pm</w:t>
            </w:r>
          </w:p>
        </w:tc>
        <w:tc>
          <w:tcPr>
            <w:tcW w:w="532"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299.99</w:t>
            </w:r>
          </w:p>
        </w:tc>
        <w:tc>
          <w:tcPr>
            <w:tcW w:w="458"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299.99</w:t>
            </w:r>
          </w:p>
        </w:tc>
        <w:tc>
          <w:tcPr>
            <w:tcW w:w="534"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124.99</w:t>
            </w:r>
          </w:p>
        </w:tc>
        <w:tc>
          <w:tcPr>
            <w:tcW w:w="455"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1314</w:t>
            </w:r>
          </w:p>
        </w:tc>
        <w:tc>
          <w:tcPr>
            <w:tcW w:w="456"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1319</w:t>
            </w:r>
          </w:p>
        </w:tc>
        <w:tc>
          <w:tcPr>
            <w:tcW w:w="534"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1244</w:t>
            </w:r>
          </w:p>
        </w:tc>
        <w:tc>
          <w:tcPr>
            <w:tcW w:w="532"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1753</w:t>
            </w:r>
          </w:p>
        </w:tc>
        <w:tc>
          <w:tcPr>
            <w:tcW w:w="457"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1819</w:t>
            </w:r>
          </w:p>
        </w:tc>
        <w:tc>
          <w:tcPr>
            <w:tcW w:w="451" w:type="pct"/>
            <w:vAlign w:val="center"/>
          </w:tcPr>
          <w:p w:rsidR="006D7BAE" w:rsidRPr="006D7BAE" w:rsidRDefault="006D7BAE" w:rsidP="007030FA">
            <w:pPr>
              <w:spacing w:after="0" w:line="240" w:lineRule="auto"/>
              <w:jc w:val="center"/>
              <w:rPr>
                <w:rFonts w:cs="Arial"/>
                <w:sz w:val="20"/>
                <w:szCs w:val="20"/>
              </w:rPr>
            </w:pPr>
            <w:r w:rsidRPr="006D7BAE">
              <w:rPr>
                <w:rFonts w:cs="Arial"/>
                <w:sz w:val="20"/>
                <w:szCs w:val="20"/>
              </w:rPr>
              <w:t>1823</w:t>
            </w:r>
          </w:p>
        </w:tc>
      </w:tr>
    </w:tbl>
    <w:p w:rsidR="002B5F1D" w:rsidRDefault="002B5F1D" w:rsidP="00F92C0A">
      <w:pPr>
        <w:pStyle w:val="AERbodytext"/>
      </w:pPr>
      <w:r>
        <w:t>Conditions at the time saw demand slightly higher than forecast four hours ahead for the 2 pm and 3.30 pm trading intervals and close to forecast for the 4 pm trading interval. As a result prices were slightly higher or as forecast four hours ahead.</w:t>
      </w:r>
    </w:p>
    <w:p w:rsidR="006D7BAE" w:rsidRPr="005F37A9" w:rsidRDefault="006D7BAE" w:rsidP="006D7BAE">
      <w:pPr>
        <w:pStyle w:val="Heading3"/>
        <w:rPr>
          <w:rFonts w:eastAsia="Times New Roman"/>
        </w:rPr>
      </w:pPr>
      <w:r>
        <w:rPr>
          <w:rFonts w:eastAsia="Times New Roman"/>
        </w:rPr>
        <w:t>Sunday, 11 December</w:t>
      </w:r>
    </w:p>
    <w:p w:rsidR="006D7BAE" w:rsidRPr="00A722BF" w:rsidRDefault="006D7BAE" w:rsidP="006D7BA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62B2C">
        <w:rPr>
          <w:rFonts w:asciiTheme="minorHAnsi" w:hAnsiTheme="minorHAnsi" w:cstheme="minorHAnsi"/>
          <w:noProof/>
        </w:rPr>
        <w:t>9</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1102"/>
        <w:gridCol w:w="992"/>
        <w:gridCol w:w="854"/>
        <w:gridCol w:w="995"/>
        <w:gridCol w:w="848"/>
        <w:gridCol w:w="850"/>
        <w:gridCol w:w="995"/>
        <w:gridCol w:w="992"/>
        <w:gridCol w:w="852"/>
        <w:gridCol w:w="841"/>
      </w:tblGrid>
      <w:tr w:rsidR="006D7BAE"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6D7BAE" w:rsidRPr="007D74C6" w:rsidRDefault="006D7BAE" w:rsidP="006D7BAE">
            <w:pPr>
              <w:pStyle w:val="TableHeading"/>
              <w:jc w:val="center"/>
              <w:rPr>
                <w:rFonts w:cs="Arial"/>
                <w:b w:val="0"/>
                <w:sz w:val="20"/>
                <w:szCs w:val="20"/>
              </w:rPr>
            </w:pPr>
            <w:r w:rsidRPr="007D74C6">
              <w:rPr>
                <w:rFonts w:cs="Arial"/>
                <w:b w:val="0"/>
                <w:sz w:val="20"/>
                <w:szCs w:val="20"/>
              </w:rPr>
              <w:t xml:space="preserve">Time </w:t>
            </w:r>
          </w:p>
        </w:tc>
        <w:tc>
          <w:tcPr>
            <w:tcW w:w="1524" w:type="pct"/>
            <w:gridSpan w:val="3"/>
            <w:hideMark/>
          </w:tcPr>
          <w:p w:rsidR="006D7BAE" w:rsidRPr="007D74C6" w:rsidRDefault="006D7BAE" w:rsidP="006D7BAE">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6D7BAE" w:rsidRPr="007D74C6" w:rsidRDefault="006D7BAE" w:rsidP="006D7BAE">
            <w:pPr>
              <w:pStyle w:val="TableHeading"/>
              <w:jc w:val="center"/>
              <w:rPr>
                <w:rFonts w:cs="Arial"/>
                <w:b w:val="0"/>
                <w:sz w:val="20"/>
                <w:szCs w:val="20"/>
              </w:rPr>
            </w:pPr>
            <w:r w:rsidRPr="007D74C6">
              <w:rPr>
                <w:rFonts w:cs="Arial"/>
                <w:b w:val="0"/>
                <w:sz w:val="20"/>
                <w:szCs w:val="20"/>
              </w:rPr>
              <w:t>Demand (MW)</w:t>
            </w:r>
          </w:p>
        </w:tc>
        <w:tc>
          <w:tcPr>
            <w:tcW w:w="1440" w:type="pct"/>
            <w:gridSpan w:val="3"/>
            <w:hideMark/>
          </w:tcPr>
          <w:p w:rsidR="006D7BAE" w:rsidRPr="007D74C6" w:rsidRDefault="006D7BAE" w:rsidP="006D7BAE">
            <w:pPr>
              <w:pStyle w:val="TableHeading"/>
              <w:jc w:val="center"/>
              <w:rPr>
                <w:rFonts w:cs="Arial"/>
                <w:b w:val="0"/>
                <w:sz w:val="20"/>
                <w:szCs w:val="20"/>
              </w:rPr>
            </w:pPr>
            <w:r w:rsidRPr="007D74C6">
              <w:rPr>
                <w:rFonts w:cs="Arial"/>
                <w:b w:val="0"/>
                <w:sz w:val="20"/>
                <w:szCs w:val="20"/>
              </w:rPr>
              <w:t>Availability (MW)</w:t>
            </w:r>
          </w:p>
        </w:tc>
      </w:tr>
      <w:tr w:rsidR="006D7BAE"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 </w:t>
            </w:r>
          </w:p>
        </w:tc>
        <w:tc>
          <w:tcPr>
            <w:tcW w:w="532"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Actual</w:t>
            </w:r>
          </w:p>
        </w:tc>
        <w:tc>
          <w:tcPr>
            <w:tcW w:w="458"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4 hr forecast</w:t>
            </w:r>
          </w:p>
        </w:tc>
        <w:tc>
          <w:tcPr>
            <w:tcW w:w="451"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12 hr forecast</w:t>
            </w:r>
          </w:p>
        </w:tc>
      </w:tr>
      <w:tr w:rsidR="006D7BAE" w:rsidRPr="0073319F" w:rsidTr="006D7BAE">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6D7BAE" w:rsidRPr="005B4C28" w:rsidRDefault="006D7BAE" w:rsidP="002B5F1D">
            <w:pPr>
              <w:spacing w:after="0" w:line="240" w:lineRule="auto"/>
              <w:jc w:val="center"/>
              <w:rPr>
                <w:rFonts w:cs="Arial"/>
                <w:sz w:val="20"/>
                <w:szCs w:val="20"/>
              </w:rPr>
            </w:pPr>
            <w:r>
              <w:rPr>
                <w:rFonts w:cs="Arial"/>
                <w:sz w:val="20"/>
                <w:szCs w:val="20"/>
              </w:rPr>
              <w:t>Midnight</w:t>
            </w:r>
          </w:p>
        </w:tc>
        <w:tc>
          <w:tcPr>
            <w:tcW w:w="532"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2347.55</w:t>
            </w:r>
          </w:p>
        </w:tc>
        <w:tc>
          <w:tcPr>
            <w:tcW w:w="458"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39.78</w:t>
            </w:r>
          </w:p>
        </w:tc>
        <w:tc>
          <w:tcPr>
            <w:tcW w:w="534"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31.90</w:t>
            </w:r>
          </w:p>
        </w:tc>
        <w:tc>
          <w:tcPr>
            <w:tcW w:w="455"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1360</w:t>
            </w:r>
          </w:p>
        </w:tc>
        <w:tc>
          <w:tcPr>
            <w:tcW w:w="456"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1393</w:t>
            </w:r>
          </w:p>
        </w:tc>
        <w:tc>
          <w:tcPr>
            <w:tcW w:w="534"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1376</w:t>
            </w:r>
          </w:p>
        </w:tc>
        <w:tc>
          <w:tcPr>
            <w:tcW w:w="532"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1939</w:t>
            </w:r>
          </w:p>
        </w:tc>
        <w:tc>
          <w:tcPr>
            <w:tcW w:w="457"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2008</w:t>
            </w:r>
          </w:p>
        </w:tc>
        <w:tc>
          <w:tcPr>
            <w:tcW w:w="451" w:type="pct"/>
            <w:vAlign w:val="center"/>
          </w:tcPr>
          <w:p w:rsidR="006D7BAE" w:rsidRPr="006D7BAE" w:rsidRDefault="006D7BAE" w:rsidP="002B5F1D">
            <w:pPr>
              <w:spacing w:after="0" w:line="240" w:lineRule="auto"/>
              <w:jc w:val="center"/>
              <w:rPr>
                <w:rFonts w:cs="Arial"/>
                <w:sz w:val="20"/>
                <w:szCs w:val="20"/>
              </w:rPr>
            </w:pPr>
            <w:r w:rsidRPr="006D7BAE">
              <w:rPr>
                <w:rFonts w:cs="Arial"/>
                <w:sz w:val="20"/>
                <w:szCs w:val="20"/>
              </w:rPr>
              <w:t>2015</w:t>
            </w:r>
          </w:p>
        </w:tc>
      </w:tr>
    </w:tbl>
    <w:p w:rsidR="000C2C53" w:rsidRDefault="000C2C53" w:rsidP="000C2C53">
      <w:pPr>
        <w:pStyle w:val="AERbodytext"/>
      </w:pPr>
      <w:r>
        <w:t xml:space="preserve">Conditions at the time saw demand and available generation slightly lower than that forecast four hours ahead. </w:t>
      </w:r>
    </w:p>
    <w:p w:rsidR="008D5018" w:rsidRDefault="008D5018" w:rsidP="000C2C53">
      <w:pPr>
        <w:pStyle w:val="AERbodytext"/>
      </w:pPr>
      <w:r w:rsidRPr="008D5018">
        <w:t>At 11</w:t>
      </w:r>
      <w:r>
        <w:t>.</w:t>
      </w:r>
      <w:r w:rsidRPr="008D5018">
        <w:t>35</w:t>
      </w:r>
      <w:r>
        <w:t> </w:t>
      </w:r>
      <w:r w:rsidRPr="008D5018">
        <w:t xml:space="preserve">pm demand increased by </w:t>
      </w:r>
      <w:r>
        <w:t>124 MW, due to hot water load</w:t>
      </w:r>
      <w:r w:rsidRPr="008D5018">
        <w:t xml:space="preserve">. With </w:t>
      </w:r>
      <w:r>
        <w:t>only Torrens Island (which was ramp rate limited) and wind farms generating</w:t>
      </w:r>
      <w:r w:rsidR="007066E9">
        <w:t>,</w:t>
      </w:r>
      <w:r w:rsidRPr="008D5018">
        <w:t xml:space="preserve"> the dispatch price increased from $</w:t>
      </w:r>
      <w:r>
        <w:t>2</w:t>
      </w:r>
      <w:r w:rsidRPr="008D5018">
        <w:t>3/MWh at 11.30</w:t>
      </w:r>
      <w:r>
        <w:t> </w:t>
      </w:r>
      <w:r w:rsidRPr="008D5018">
        <w:t>pm to $14</w:t>
      </w:r>
      <w:r>
        <w:t> </w:t>
      </w:r>
      <w:r w:rsidRPr="008D5018">
        <w:t>000/MWh at 11.35</w:t>
      </w:r>
      <w:r>
        <w:t> </w:t>
      </w:r>
      <w:r w:rsidRPr="008D5018">
        <w:t>pm.</w:t>
      </w:r>
    </w:p>
    <w:p w:rsidR="006D7BAE" w:rsidRDefault="006D7BAE" w:rsidP="006D7BAE">
      <w:pPr>
        <w:pStyle w:val="Heading2"/>
        <w:rPr>
          <w:rFonts w:eastAsia="Times New Roman"/>
          <w:b w:val="0"/>
          <w:bCs w:val="0"/>
          <w:lang w:eastAsia="en-AU"/>
        </w:rPr>
      </w:pPr>
      <w:r>
        <w:rPr>
          <w:rFonts w:eastAsia="Times New Roman"/>
          <w:b w:val="0"/>
          <w:bCs w:val="0"/>
          <w:lang w:eastAsia="en-AU"/>
        </w:rPr>
        <w:t>Tasmania</w:t>
      </w:r>
    </w:p>
    <w:p w:rsidR="006D7BAE" w:rsidRPr="00BB7D8C" w:rsidRDefault="001841A0" w:rsidP="001841A0">
      <w:pPr>
        <w:pStyle w:val="AERbodytext"/>
      </w:pPr>
      <w:r>
        <w:t>There were three occasions where the spot price in Tasmania was greater than three times the Tasmania weekly average price of $49/MWh and above $250/MWh</w:t>
      </w:r>
      <w:r w:rsidR="006D7BAE" w:rsidRPr="00BB7D8C">
        <w:t xml:space="preserve">. </w:t>
      </w:r>
    </w:p>
    <w:p w:rsidR="006D7BAE" w:rsidRPr="005F37A9" w:rsidRDefault="008D5018" w:rsidP="006D7BAE">
      <w:pPr>
        <w:pStyle w:val="Heading3"/>
        <w:rPr>
          <w:rFonts w:eastAsia="Times New Roman"/>
        </w:rPr>
      </w:pPr>
      <w:r>
        <w:rPr>
          <w:rFonts w:eastAsia="Times New Roman"/>
        </w:rPr>
        <w:t>Monday</w:t>
      </w:r>
      <w:r w:rsidR="006D7BAE">
        <w:rPr>
          <w:rFonts w:eastAsia="Times New Roman"/>
        </w:rPr>
        <w:t xml:space="preserve">, </w:t>
      </w:r>
      <w:r>
        <w:rPr>
          <w:rFonts w:eastAsia="Times New Roman"/>
        </w:rPr>
        <w:t>5</w:t>
      </w:r>
      <w:r w:rsidR="006D7BAE">
        <w:rPr>
          <w:rFonts w:eastAsia="Times New Roman"/>
        </w:rPr>
        <w:t xml:space="preserve"> December</w:t>
      </w:r>
    </w:p>
    <w:p w:rsidR="006D7BAE" w:rsidRPr="001C5A97" w:rsidRDefault="006D7BAE" w:rsidP="006D7BA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62B2C">
        <w:rPr>
          <w:rFonts w:asciiTheme="minorHAnsi" w:hAnsiTheme="minorHAnsi" w:cstheme="minorHAnsi"/>
          <w:noProof/>
        </w:rPr>
        <w:t>10</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1102"/>
        <w:gridCol w:w="850"/>
        <w:gridCol w:w="994"/>
        <w:gridCol w:w="995"/>
        <w:gridCol w:w="848"/>
        <w:gridCol w:w="850"/>
        <w:gridCol w:w="995"/>
        <w:gridCol w:w="992"/>
        <w:gridCol w:w="852"/>
        <w:gridCol w:w="843"/>
      </w:tblGrid>
      <w:tr w:rsidR="006D7BAE"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6D7BAE" w:rsidRPr="007D74C6" w:rsidRDefault="006D7BAE" w:rsidP="006D7BAE">
            <w:pPr>
              <w:pStyle w:val="TableHeading"/>
              <w:jc w:val="center"/>
              <w:rPr>
                <w:rFonts w:cs="Arial"/>
                <w:b w:val="0"/>
                <w:sz w:val="20"/>
                <w:szCs w:val="20"/>
              </w:rPr>
            </w:pPr>
            <w:r w:rsidRPr="007D74C6">
              <w:rPr>
                <w:rFonts w:cs="Arial"/>
                <w:b w:val="0"/>
                <w:sz w:val="20"/>
                <w:szCs w:val="20"/>
              </w:rPr>
              <w:t xml:space="preserve">Time </w:t>
            </w:r>
          </w:p>
        </w:tc>
        <w:tc>
          <w:tcPr>
            <w:tcW w:w="1523" w:type="pct"/>
            <w:gridSpan w:val="3"/>
            <w:hideMark/>
          </w:tcPr>
          <w:p w:rsidR="006D7BAE" w:rsidRPr="007D74C6" w:rsidRDefault="006D7BAE" w:rsidP="006D7BAE">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6D7BAE" w:rsidRPr="007D74C6" w:rsidRDefault="006D7BAE" w:rsidP="006D7BAE">
            <w:pPr>
              <w:pStyle w:val="TableHeading"/>
              <w:jc w:val="center"/>
              <w:rPr>
                <w:rFonts w:cs="Arial"/>
                <w:b w:val="0"/>
                <w:sz w:val="20"/>
                <w:szCs w:val="20"/>
              </w:rPr>
            </w:pPr>
            <w:r w:rsidRPr="007D74C6">
              <w:rPr>
                <w:rFonts w:cs="Arial"/>
                <w:b w:val="0"/>
                <w:sz w:val="20"/>
                <w:szCs w:val="20"/>
              </w:rPr>
              <w:t>Demand (MW)</w:t>
            </w:r>
          </w:p>
        </w:tc>
        <w:tc>
          <w:tcPr>
            <w:tcW w:w="1441" w:type="pct"/>
            <w:gridSpan w:val="3"/>
            <w:hideMark/>
          </w:tcPr>
          <w:p w:rsidR="006D7BAE" w:rsidRPr="007D74C6" w:rsidRDefault="006D7BAE" w:rsidP="006D7BAE">
            <w:pPr>
              <w:pStyle w:val="TableHeading"/>
              <w:jc w:val="center"/>
              <w:rPr>
                <w:rFonts w:cs="Arial"/>
                <w:b w:val="0"/>
                <w:sz w:val="20"/>
                <w:szCs w:val="20"/>
              </w:rPr>
            </w:pPr>
            <w:r w:rsidRPr="007D74C6">
              <w:rPr>
                <w:rFonts w:cs="Arial"/>
                <w:b w:val="0"/>
                <w:sz w:val="20"/>
                <w:szCs w:val="20"/>
              </w:rPr>
              <w:t>Availability (MW)</w:t>
            </w:r>
          </w:p>
        </w:tc>
      </w:tr>
      <w:tr w:rsidR="006D7BAE" w:rsidRPr="0073319F" w:rsidTr="006D7BAE">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 </w:t>
            </w:r>
          </w:p>
        </w:tc>
        <w:tc>
          <w:tcPr>
            <w:tcW w:w="456"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4 hr forecast</w:t>
            </w:r>
          </w:p>
        </w:tc>
        <w:tc>
          <w:tcPr>
            <w:tcW w:w="452" w:type="pct"/>
            <w:tcMar>
              <w:left w:w="57" w:type="dxa"/>
              <w:right w:w="57" w:type="dxa"/>
            </w:tcMar>
            <w:hideMark/>
          </w:tcPr>
          <w:p w:rsidR="006D7BAE" w:rsidRPr="007D74C6" w:rsidRDefault="006D7BAE" w:rsidP="006D7BAE">
            <w:pPr>
              <w:pStyle w:val="tableheadingline2"/>
              <w:rPr>
                <w:rFonts w:cs="Arial"/>
                <w:sz w:val="20"/>
                <w:szCs w:val="20"/>
              </w:rPr>
            </w:pPr>
            <w:r w:rsidRPr="007D74C6">
              <w:rPr>
                <w:rFonts w:cs="Arial"/>
                <w:sz w:val="20"/>
                <w:szCs w:val="20"/>
              </w:rPr>
              <w:t>12 hr forecast</w:t>
            </w:r>
          </w:p>
        </w:tc>
      </w:tr>
      <w:tr w:rsidR="001841A0" w:rsidRPr="0073319F" w:rsidTr="006D7BAE">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1841A0" w:rsidRPr="001841A0" w:rsidRDefault="001841A0" w:rsidP="001841A0">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7 am</w:t>
            </w:r>
          </w:p>
        </w:tc>
        <w:tc>
          <w:tcPr>
            <w:tcW w:w="456"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287.62</w:t>
            </w:r>
          </w:p>
        </w:tc>
        <w:tc>
          <w:tcPr>
            <w:tcW w:w="533"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97.59</w:t>
            </w:r>
          </w:p>
        </w:tc>
        <w:tc>
          <w:tcPr>
            <w:tcW w:w="534"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97.59</w:t>
            </w:r>
          </w:p>
        </w:tc>
        <w:tc>
          <w:tcPr>
            <w:tcW w:w="455"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1070</w:t>
            </w:r>
          </w:p>
        </w:tc>
        <w:tc>
          <w:tcPr>
            <w:tcW w:w="456"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1039</w:t>
            </w:r>
          </w:p>
        </w:tc>
        <w:tc>
          <w:tcPr>
            <w:tcW w:w="534"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1140</w:t>
            </w:r>
          </w:p>
        </w:tc>
        <w:tc>
          <w:tcPr>
            <w:tcW w:w="532"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2294</w:t>
            </w:r>
          </w:p>
        </w:tc>
        <w:tc>
          <w:tcPr>
            <w:tcW w:w="457"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2278</w:t>
            </w:r>
          </w:p>
        </w:tc>
        <w:tc>
          <w:tcPr>
            <w:tcW w:w="452"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2278</w:t>
            </w:r>
          </w:p>
        </w:tc>
      </w:tr>
      <w:tr w:rsidR="001841A0" w:rsidRPr="00E351F9" w:rsidTr="006D7BAE">
        <w:trPr>
          <w:cnfStyle w:val="000000010000" w:firstRow="0" w:lastRow="0" w:firstColumn="0" w:lastColumn="0" w:oddVBand="0" w:evenVBand="0" w:oddHBand="0" w:evenHBand="1" w:firstRowFirstColumn="0" w:firstRowLastColumn="0" w:lastRowFirstColumn="0" w:lastRowLastColumn="0"/>
          <w:trHeight w:val="510"/>
        </w:trPr>
        <w:tc>
          <w:tcPr>
            <w:tcW w:w="591" w:type="pct"/>
            <w:vAlign w:val="center"/>
          </w:tcPr>
          <w:p w:rsidR="001841A0" w:rsidRPr="001841A0" w:rsidRDefault="001841A0" w:rsidP="008D5018">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7</w:t>
            </w:r>
            <w:r w:rsidR="008D5018">
              <w:rPr>
                <w:rFonts w:ascii="Arial" w:eastAsiaTheme="minorHAnsi" w:hAnsi="Arial" w:cs="Arial"/>
                <w:sz w:val="20"/>
                <w:szCs w:val="20"/>
                <w:lang w:eastAsia="en-US"/>
              </w:rPr>
              <w:t>.</w:t>
            </w:r>
            <w:r>
              <w:rPr>
                <w:rFonts w:ascii="Arial" w:eastAsiaTheme="minorHAnsi" w:hAnsi="Arial" w:cs="Arial"/>
                <w:sz w:val="20"/>
                <w:szCs w:val="20"/>
                <w:lang w:eastAsia="en-US"/>
              </w:rPr>
              <w:t>30 am</w:t>
            </w:r>
          </w:p>
        </w:tc>
        <w:tc>
          <w:tcPr>
            <w:tcW w:w="456"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303.01</w:t>
            </w:r>
          </w:p>
        </w:tc>
        <w:tc>
          <w:tcPr>
            <w:tcW w:w="533"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97.59</w:t>
            </w:r>
          </w:p>
        </w:tc>
        <w:tc>
          <w:tcPr>
            <w:tcW w:w="534"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55.92</w:t>
            </w:r>
          </w:p>
        </w:tc>
        <w:tc>
          <w:tcPr>
            <w:tcW w:w="455"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1051</w:t>
            </w:r>
          </w:p>
        </w:tc>
        <w:tc>
          <w:tcPr>
            <w:tcW w:w="456"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1079</w:t>
            </w:r>
          </w:p>
        </w:tc>
        <w:tc>
          <w:tcPr>
            <w:tcW w:w="534"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1129</w:t>
            </w:r>
          </w:p>
        </w:tc>
        <w:tc>
          <w:tcPr>
            <w:tcW w:w="532"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2181</w:t>
            </w:r>
          </w:p>
        </w:tc>
        <w:tc>
          <w:tcPr>
            <w:tcW w:w="457"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2171</w:t>
            </w:r>
          </w:p>
        </w:tc>
        <w:tc>
          <w:tcPr>
            <w:tcW w:w="452"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2163</w:t>
            </w:r>
          </w:p>
        </w:tc>
      </w:tr>
      <w:tr w:rsidR="001841A0" w:rsidRPr="00E351F9" w:rsidTr="006D7BAE">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1841A0" w:rsidRPr="001841A0" w:rsidRDefault="001841A0" w:rsidP="008D5018">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11</w:t>
            </w:r>
            <w:r w:rsidR="008D5018">
              <w:rPr>
                <w:rFonts w:ascii="Arial" w:eastAsiaTheme="minorHAnsi" w:hAnsi="Arial" w:cs="Arial"/>
                <w:sz w:val="20"/>
                <w:szCs w:val="20"/>
                <w:lang w:eastAsia="en-US"/>
              </w:rPr>
              <w:t> </w:t>
            </w:r>
            <w:r>
              <w:rPr>
                <w:rFonts w:ascii="Arial" w:eastAsiaTheme="minorHAnsi" w:hAnsi="Arial" w:cs="Arial"/>
                <w:sz w:val="20"/>
                <w:szCs w:val="20"/>
                <w:lang w:eastAsia="en-US"/>
              </w:rPr>
              <w:t>am</w:t>
            </w:r>
          </w:p>
        </w:tc>
        <w:tc>
          <w:tcPr>
            <w:tcW w:w="456"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293.32</w:t>
            </w:r>
          </w:p>
        </w:tc>
        <w:tc>
          <w:tcPr>
            <w:tcW w:w="533"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42.70</w:t>
            </w:r>
          </w:p>
        </w:tc>
        <w:tc>
          <w:tcPr>
            <w:tcW w:w="534"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57.48</w:t>
            </w:r>
          </w:p>
        </w:tc>
        <w:tc>
          <w:tcPr>
            <w:tcW w:w="455"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1011</w:t>
            </w:r>
          </w:p>
        </w:tc>
        <w:tc>
          <w:tcPr>
            <w:tcW w:w="456"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995</w:t>
            </w:r>
          </w:p>
        </w:tc>
        <w:tc>
          <w:tcPr>
            <w:tcW w:w="534"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1015</w:t>
            </w:r>
          </w:p>
        </w:tc>
        <w:tc>
          <w:tcPr>
            <w:tcW w:w="532"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2062</w:t>
            </w:r>
          </w:p>
        </w:tc>
        <w:tc>
          <w:tcPr>
            <w:tcW w:w="457"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2094</w:t>
            </w:r>
          </w:p>
        </w:tc>
        <w:tc>
          <w:tcPr>
            <w:tcW w:w="452" w:type="pct"/>
            <w:vAlign w:val="center"/>
          </w:tcPr>
          <w:p w:rsidR="001841A0" w:rsidRPr="001841A0" w:rsidRDefault="001841A0">
            <w:pPr>
              <w:pStyle w:val="NormalWeb"/>
              <w:jc w:val="center"/>
              <w:rPr>
                <w:rFonts w:ascii="Arial" w:eastAsiaTheme="minorHAnsi" w:hAnsi="Arial" w:cs="Arial"/>
                <w:sz w:val="20"/>
                <w:szCs w:val="20"/>
                <w:lang w:eastAsia="en-US"/>
              </w:rPr>
            </w:pPr>
            <w:r w:rsidRPr="001841A0">
              <w:rPr>
                <w:rFonts w:ascii="Arial" w:eastAsiaTheme="minorHAnsi" w:hAnsi="Arial" w:cs="Arial"/>
                <w:sz w:val="20"/>
                <w:szCs w:val="20"/>
                <w:lang w:eastAsia="en-US"/>
              </w:rPr>
              <w:t>2084</w:t>
            </w:r>
          </w:p>
        </w:tc>
      </w:tr>
    </w:tbl>
    <w:p w:rsidR="006D7BAE" w:rsidRDefault="008E46F9" w:rsidP="00F92C0A">
      <w:pPr>
        <w:pStyle w:val="AERbodytext"/>
      </w:pPr>
      <w:r>
        <w:t>Conditions at the time saw demand and available capacity close to that forecast four hours ahead.</w:t>
      </w:r>
    </w:p>
    <w:p w:rsidR="008E46F9" w:rsidRDefault="008E46F9" w:rsidP="00F92C0A">
      <w:pPr>
        <w:pStyle w:val="AERbodytext"/>
      </w:pPr>
      <w:r>
        <w:t>Throughout the morning a</w:t>
      </w:r>
      <w:r w:rsidRPr="008E46F9">
        <w:t xml:space="preserve"> </w:t>
      </w:r>
      <w:r w:rsidRPr="008D5018">
        <w:t>network constraint designed to control Basslink, which forms part of the network co</w:t>
      </w:r>
      <w:r>
        <w:t>ntrol special protection scheme</w:t>
      </w:r>
      <w:r w:rsidRPr="008D5018">
        <w:t xml:space="preserve"> </w:t>
      </w:r>
      <w:r>
        <w:t xml:space="preserve">bound limiting imports into Tasmania. </w:t>
      </w:r>
      <w:r w:rsidR="008A1F2D">
        <w:t>There was also an outage of one of the Sheffield to Georgetown lines which reduced output from nine units. As a result dispatch prices varied between $100/MWh and $350/MWh for most of the morning.</w:t>
      </w:r>
    </w:p>
    <w:bookmarkEnd w:id="0"/>
    <w:bookmarkEnd w:id="1"/>
    <w:bookmarkEnd w:id="2"/>
    <w:bookmarkEnd w:id="3"/>
    <w:bookmarkEnd w:id="4"/>
    <w:bookmarkEnd w:id="5"/>
    <w:p w:rsidR="00275002" w:rsidRPr="009064FC" w:rsidRDefault="00275002" w:rsidP="004F6D0A">
      <w:pPr>
        <w:pStyle w:val="Heading2"/>
      </w:pPr>
      <w:r w:rsidRPr="004F6D0A">
        <w:lastRenderedPageBreak/>
        <w:t>Financial</w:t>
      </w:r>
      <w:r w:rsidRPr="0031019A">
        <w:t xml:space="preserve">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462B2C">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fldSimple w:instr=" SEQ Figure \* ARABIC ">
        <w:r w:rsidR="00462B2C">
          <w:rPr>
            <w:noProof/>
          </w:rPr>
          <w:t>9</w:t>
        </w:r>
      </w:fldSimple>
      <w:bookmarkEnd w:id="21"/>
      <w:r w:rsidR="002515C3">
        <w:t>:</w:t>
      </w:r>
      <w:r>
        <w:t xml:space="preserve"> </w:t>
      </w:r>
      <w:r w:rsidRPr="007A6ACB">
        <w:t>Quarterly base future prices Q</w:t>
      </w:r>
      <w:r w:rsidR="001955D5">
        <w:t>4</w:t>
      </w:r>
      <w:r w:rsidR="00C4712A">
        <w:t xml:space="preserve"> 2016</w:t>
      </w:r>
      <w:r w:rsidRPr="007A6ACB">
        <w:t xml:space="preserve"> – Q</w:t>
      </w:r>
      <w:r w:rsidR="001955D5">
        <w:t>3</w:t>
      </w:r>
      <w:r w:rsidR="0069547C">
        <w:t xml:space="preserve"> 2020</w:t>
      </w:r>
      <w:r w:rsidR="003A585C" w:rsidRPr="003A585C">
        <w:rPr>
          <w:b w:val="0"/>
          <w:bCs w:val="0"/>
        </w:rPr>
        <w:t xml:space="preserve"> </w:t>
      </w:r>
      <w:r w:rsidR="00200A30" w:rsidRPr="00200A30">
        <w:rPr>
          <w:noProof/>
          <w:lang w:eastAsia="en-AU"/>
        </w:rPr>
        <w:drawing>
          <wp:inline distT="0" distB="0" distL="0" distR="0" wp14:anchorId="21BC3462" wp14:editId="4C325EC1">
            <wp:extent cx="5731510" cy="2883692"/>
            <wp:effectExtent l="0" t="0" r="2540" b="0"/>
            <wp:docPr id="22" name="Picture 22"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462B2C" w:rsidRPr="00491631">
        <w:t xml:space="preserve">Figure </w:t>
      </w:r>
      <w:r w:rsidR="00462B2C">
        <w:rPr>
          <w:noProof/>
        </w:rPr>
        <w:t>10</w:t>
      </w:r>
      <w:r w:rsidRPr="000048ED">
        <w:fldChar w:fldCharType="end"/>
      </w:r>
      <w:r w:rsidRPr="000048ED">
        <w:t xml:space="preserve"> shows h</w:t>
      </w:r>
      <w:r w:rsidR="004E567F" w:rsidRPr="000048ED">
        <w:t>ow the price for each regional q</w:t>
      </w:r>
      <w:r w:rsidRPr="000048ED">
        <w:t>uarter 1 201</w:t>
      </w:r>
      <w:r w:rsidR="00414EA6" w:rsidRPr="000048ED">
        <w:t>7</w:t>
      </w:r>
      <w:r w:rsidRPr="000048ED">
        <w:t xml:space="preserve"> base contract has changed over the last 10 weeks (as well as the total number of trades each week). The closing quarter 1 201</w:t>
      </w:r>
      <w:r w:rsidR="00414EA6" w:rsidRPr="000048ED">
        <w:t>5</w:t>
      </w:r>
      <w:r w:rsidRPr="000048ED">
        <w:t xml:space="preserve"> and quarter 1 201</w:t>
      </w:r>
      <w:r w:rsidR="00414EA6" w:rsidRPr="000048ED">
        <w:t>6</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fldSimple w:instr=" SEQ Figure \* ARABIC ">
        <w:r w:rsidR="00462B2C">
          <w:rPr>
            <w:noProof/>
          </w:rPr>
          <w:t>10</w:t>
        </w:r>
      </w:fldSimple>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200A30" w:rsidP="00C466B4">
      <w:pPr>
        <w:pStyle w:val="Source"/>
        <w:spacing w:before="0" w:after="120" w:line="240" w:lineRule="auto"/>
        <w:jc w:val="both"/>
      </w:pPr>
      <w:r w:rsidRPr="00200A30">
        <w:rPr>
          <w:noProof/>
          <w:lang w:eastAsia="en-AU"/>
        </w:rPr>
        <w:drawing>
          <wp:inline distT="0" distB="0" distL="0" distR="0" wp14:anchorId="67660059" wp14:editId="4F28484C">
            <wp:extent cx="5731510" cy="2899279"/>
            <wp:effectExtent l="0" t="0" r="2540" b="0"/>
            <wp:docPr id="23" name="Picture 2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927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09653D" w:rsidRPr="000048ED">
          <w:rPr>
            <w:rStyle w:val="Hyperlink"/>
            <w:color w:val="auto"/>
          </w:rPr>
          <w:t>Industry Statistics</w:t>
        </w:r>
      </w:hyperlink>
      <w:r w:rsidR="00D615F9" w:rsidRPr="000048ED">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462B2C">
        <w:t xml:space="preserve">Figure </w:t>
      </w:r>
      <w:r w:rsidR="00462B2C">
        <w:rPr>
          <w:noProof/>
        </w:rPr>
        <w:t>11</w:t>
      </w:r>
      <w:r w:rsidRPr="000048ED">
        <w:fldChar w:fldCharType="end"/>
      </w:r>
      <w:r w:rsidRPr="000048ED">
        <w:t xml:space="preserve"> </w:t>
      </w:r>
      <w:r w:rsidR="00275002" w:rsidRPr="000048ED">
        <w:t>shows how the price for each regional Quarter 1 201</w:t>
      </w:r>
      <w:r w:rsidR="007C6FE2" w:rsidRPr="000048ED">
        <w:t>7</w:t>
      </w:r>
      <w:r w:rsidR="00275002" w:rsidRPr="000048ED">
        <w:t xml:space="preserve"> cap contract has changed over the last 10 weeks (as well as the total number of trades each week). The closing quarter 1 201</w:t>
      </w:r>
      <w:r w:rsidR="007C6FE2" w:rsidRPr="000048ED">
        <w:t>5</w:t>
      </w:r>
      <w:r w:rsidR="00275002" w:rsidRPr="000048ED">
        <w:t xml:space="preserve"> and quarter 1 201</w:t>
      </w:r>
      <w:r w:rsidR="007C6FE2" w:rsidRPr="000048ED">
        <w:t>6</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462B2C">
          <w:rPr>
            <w:noProof/>
          </w:rPr>
          <w:t>11</w:t>
        </w:r>
      </w:fldSimple>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200A30" w:rsidP="008E0420">
      <w:r w:rsidRPr="00200A30">
        <w:rPr>
          <w:noProof/>
          <w:lang w:eastAsia="en-AU"/>
        </w:rPr>
        <w:drawing>
          <wp:inline distT="0" distB="0" distL="0" distR="0" wp14:anchorId="3334F879" wp14:editId="122D0C02">
            <wp:extent cx="5731510" cy="2873546"/>
            <wp:effectExtent l="0" t="0" r="2540" b="3175"/>
            <wp:docPr id="24" name="Picture 24"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3546"/>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685A1B">
        <w:t>January</w:t>
      </w:r>
      <w:r w:rsidR="00854750">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2A" w:rsidRDefault="00D7672A" w:rsidP="004B4412">
      <w:pPr>
        <w:spacing w:before="0"/>
      </w:pPr>
      <w:r>
        <w:separator/>
      </w:r>
    </w:p>
  </w:endnote>
  <w:endnote w:type="continuationSeparator" w:id="0">
    <w:p w:rsidR="00D7672A" w:rsidRDefault="00D7672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2A" w:rsidRPr="00A91A9E" w:rsidRDefault="00D7672A"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7672A" w:rsidRDefault="00D7672A"/>
  <w:p w:rsidR="00D7672A" w:rsidRDefault="00D767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2A" w:rsidRPr="00A94D89" w:rsidRDefault="00D7672A"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62B2C">
      <w:rPr>
        <w:rFonts w:cs="Arial"/>
        <w:i/>
        <w:noProof/>
      </w:rPr>
      <w:t>11</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2A" w:rsidRPr="00A94D89" w:rsidRDefault="00D7672A"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62B2C">
      <w:rPr>
        <w:rFonts w:cs="Arial"/>
        <w:i/>
        <w:noProof/>
      </w:rPr>
      <w:t>1</w:t>
    </w:r>
    <w:r w:rsidRPr="001F1B78">
      <w:rPr>
        <w:rFonts w:cs="Arial"/>
        <w:i/>
        <w:noProof/>
      </w:rPr>
      <w:fldChar w:fldCharType="end"/>
    </w:r>
    <w:r w:rsidRPr="00F52F00">
      <w:rPr>
        <w:rFonts w:cs="Arial"/>
        <w:i/>
      </w:rPr>
      <w:tab/>
      <w:t xml:space="preserve">AER reference: 39220 – </w:t>
    </w:r>
    <w:r>
      <w:rPr>
        <w:rFonts w:cs="Arial"/>
        <w:i/>
      </w:rPr>
      <w:t>D16/1</w:t>
    </w:r>
    <w:r w:rsidR="00C877D8">
      <w:rPr>
        <w:rFonts w:cs="Arial"/>
        <w:i/>
      </w:rPr>
      <w:t>71969</w:t>
    </w:r>
  </w:p>
  <w:p w:rsidR="00D7672A" w:rsidRDefault="00D767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2A" w:rsidRDefault="00D7672A" w:rsidP="004B4412">
      <w:pPr>
        <w:spacing w:before="0"/>
      </w:pPr>
      <w:r>
        <w:separator/>
      </w:r>
    </w:p>
  </w:footnote>
  <w:footnote w:type="continuationSeparator" w:id="0">
    <w:p w:rsidR="00D7672A" w:rsidRDefault="00D7672A"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Weekly upload\Uploaded weeklies\Electricity report 4 - 10 December 2016.docx"/>
  </w:docVars>
  <w:rsids>
    <w:rsidRoot w:val="00275002"/>
    <w:rsid w:val="00000817"/>
    <w:rsid w:val="00000BFE"/>
    <w:rsid w:val="00000CC3"/>
    <w:rsid w:val="00001D6D"/>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1FB4"/>
    <w:rsid w:val="00092DE3"/>
    <w:rsid w:val="000938D7"/>
    <w:rsid w:val="000938FB"/>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C2C53"/>
    <w:rsid w:val="000C6144"/>
    <w:rsid w:val="000D05BD"/>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3D55"/>
    <w:rsid w:val="000E4537"/>
    <w:rsid w:val="000E4F81"/>
    <w:rsid w:val="000E54D6"/>
    <w:rsid w:val="000E55C7"/>
    <w:rsid w:val="000E5B55"/>
    <w:rsid w:val="000E6C72"/>
    <w:rsid w:val="000E7180"/>
    <w:rsid w:val="000E726E"/>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5D4E"/>
    <w:rsid w:val="0010740E"/>
    <w:rsid w:val="00107F6C"/>
    <w:rsid w:val="0011019A"/>
    <w:rsid w:val="001107FF"/>
    <w:rsid w:val="00112136"/>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FBA"/>
    <w:rsid w:val="00215E19"/>
    <w:rsid w:val="002164FB"/>
    <w:rsid w:val="00216865"/>
    <w:rsid w:val="00216A04"/>
    <w:rsid w:val="00217221"/>
    <w:rsid w:val="00217C29"/>
    <w:rsid w:val="00220C0F"/>
    <w:rsid w:val="002214D9"/>
    <w:rsid w:val="002216F5"/>
    <w:rsid w:val="00222F04"/>
    <w:rsid w:val="00223FEA"/>
    <w:rsid w:val="002242B5"/>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4AD"/>
    <w:rsid w:val="00247E84"/>
    <w:rsid w:val="00250859"/>
    <w:rsid w:val="002515C3"/>
    <w:rsid w:val="002516A1"/>
    <w:rsid w:val="00251745"/>
    <w:rsid w:val="00251C37"/>
    <w:rsid w:val="00251D74"/>
    <w:rsid w:val="00253004"/>
    <w:rsid w:val="00253160"/>
    <w:rsid w:val="00253F55"/>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817AB"/>
    <w:rsid w:val="002828A0"/>
    <w:rsid w:val="00283BF8"/>
    <w:rsid w:val="0028440E"/>
    <w:rsid w:val="0028521F"/>
    <w:rsid w:val="00285B8A"/>
    <w:rsid w:val="00286874"/>
    <w:rsid w:val="00286D68"/>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5C6F"/>
    <w:rsid w:val="00386C86"/>
    <w:rsid w:val="003874F8"/>
    <w:rsid w:val="00387CDE"/>
    <w:rsid w:val="003904D2"/>
    <w:rsid w:val="00394B85"/>
    <w:rsid w:val="003953A0"/>
    <w:rsid w:val="00395B4C"/>
    <w:rsid w:val="00397EB2"/>
    <w:rsid w:val="00397FF5"/>
    <w:rsid w:val="003A0810"/>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62E9"/>
    <w:rsid w:val="003C6315"/>
    <w:rsid w:val="003C6BA6"/>
    <w:rsid w:val="003C7164"/>
    <w:rsid w:val="003C7EFA"/>
    <w:rsid w:val="003D1C42"/>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02D8"/>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B5B"/>
    <w:rsid w:val="00433242"/>
    <w:rsid w:val="00436B54"/>
    <w:rsid w:val="00436F28"/>
    <w:rsid w:val="00436F76"/>
    <w:rsid w:val="00440D85"/>
    <w:rsid w:val="004410F1"/>
    <w:rsid w:val="0044110C"/>
    <w:rsid w:val="00441A99"/>
    <w:rsid w:val="00442767"/>
    <w:rsid w:val="00444A48"/>
    <w:rsid w:val="00445806"/>
    <w:rsid w:val="0044748A"/>
    <w:rsid w:val="00450611"/>
    <w:rsid w:val="004507A1"/>
    <w:rsid w:val="0045129B"/>
    <w:rsid w:val="004518EA"/>
    <w:rsid w:val="00451DFF"/>
    <w:rsid w:val="00453327"/>
    <w:rsid w:val="00453A41"/>
    <w:rsid w:val="00456C20"/>
    <w:rsid w:val="00462718"/>
    <w:rsid w:val="00462B2C"/>
    <w:rsid w:val="00462CFF"/>
    <w:rsid w:val="00463932"/>
    <w:rsid w:val="00465210"/>
    <w:rsid w:val="0046790A"/>
    <w:rsid w:val="0047014C"/>
    <w:rsid w:val="00470AF4"/>
    <w:rsid w:val="00470EE9"/>
    <w:rsid w:val="0047130B"/>
    <w:rsid w:val="00471992"/>
    <w:rsid w:val="00471E68"/>
    <w:rsid w:val="0047237E"/>
    <w:rsid w:val="0047251B"/>
    <w:rsid w:val="00473433"/>
    <w:rsid w:val="0047346C"/>
    <w:rsid w:val="004740D3"/>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381"/>
    <w:rsid w:val="004F6D0A"/>
    <w:rsid w:val="004F6ED0"/>
    <w:rsid w:val="00501B85"/>
    <w:rsid w:val="0050244E"/>
    <w:rsid w:val="00502843"/>
    <w:rsid w:val="00502D42"/>
    <w:rsid w:val="00502F3B"/>
    <w:rsid w:val="005033F6"/>
    <w:rsid w:val="0050349E"/>
    <w:rsid w:val="005047F1"/>
    <w:rsid w:val="00505616"/>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739"/>
    <w:rsid w:val="00552108"/>
    <w:rsid w:val="0055298D"/>
    <w:rsid w:val="00552DA2"/>
    <w:rsid w:val="00554D95"/>
    <w:rsid w:val="00555667"/>
    <w:rsid w:val="005556B9"/>
    <w:rsid w:val="00556553"/>
    <w:rsid w:val="00556B64"/>
    <w:rsid w:val="005575B9"/>
    <w:rsid w:val="00560CE5"/>
    <w:rsid w:val="00561A9D"/>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3DCD"/>
    <w:rsid w:val="005943E8"/>
    <w:rsid w:val="005950AB"/>
    <w:rsid w:val="0059539A"/>
    <w:rsid w:val="00595613"/>
    <w:rsid w:val="00595ED0"/>
    <w:rsid w:val="00596275"/>
    <w:rsid w:val="005A1287"/>
    <w:rsid w:val="005A1339"/>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62AF"/>
    <w:rsid w:val="005B6994"/>
    <w:rsid w:val="005B6FC9"/>
    <w:rsid w:val="005B7F8F"/>
    <w:rsid w:val="005C08DE"/>
    <w:rsid w:val="005C0D2F"/>
    <w:rsid w:val="005C26CC"/>
    <w:rsid w:val="005C33B2"/>
    <w:rsid w:val="005C3411"/>
    <w:rsid w:val="005C3D54"/>
    <w:rsid w:val="005C3DEC"/>
    <w:rsid w:val="005C4A25"/>
    <w:rsid w:val="005C4E3D"/>
    <w:rsid w:val="005C4F80"/>
    <w:rsid w:val="005C53C0"/>
    <w:rsid w:val="005C546A"/>
    <w:rsid w:val="005C553B"/>
    <w:rsid w:val="005C592F"/>
    <w:rsid w:val="005C5D2E"/>
    <w:rsid w:val="005C5E72"/>
    <w:rsid w:val="005C6C60"/>
    <w:rsid w:val="005D0D61"/>
    <w:rsid w:val="005D0F07"/>
    <w:rsid w:val="005D24A9"/>
    <w:rsid w:val="005D2FBD"/>
    <w:rsid w:val="005D416B"/>
    <w:rsid w:val="005D4D5F"/>
    <w:rsid w:val="005D5ECD"/>
    <w:rsid w:val="005D69AF"/>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580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6226"/>
    <w:rsid w:val="0067092D"/>
    <w:rsid w:val="0067180B"/>
    <w:rsid w:val="00673D15"/>
    <w:rsid w:val="006741D4"/>
    <w:rsid w:val="00675C7F"/>
    <w:rsid w:val="00675E21"/>
    <w:rsid w:val="00676197"/>
    <w:rsid w:val="00676392"/>
    <w:rsid w:val="00676679"/>
    <w:rsid w:val="00677233"/>
    <w:rsid w:val="006777D7"/>
    <w:rsid w:val="00681479"/>
    <w:rsid w:val="0068251F"/>
    <w:rsid w:val="00682A0D"/>
    <w:rsid w:val="006836D7"/>
    <w:rsid w:val="00684647"/>
    <w:rsid w:val="00684E01"/>
    <w:rsid w:val="00685A1B"/>
    <w:rsid w:val="006861F0"/>
    <w:rsid w:val="00686411"/>
    <w:rsid w:val="00687AA8"/>
    <w:rsid w:val="00690F0B"/>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30FA"/>
    <w:rsid w:val="007037F6"/>
    <w:rsid w:val="00703838"/>
    <w:rsid w:val="00704518"/>
    <w:rsid w:val="00704CA4"/>
    <w:rsid w:val="007066E9"/>
    <w:rsid w:val="00707011"/>
    <w:rsid w:val="00707242"/>
    <w:rsid w:val="00707563"/>
    <w:rsid w:val="0071151C"/>
    <w:rsid w:val="00711BF6"/>
    <w:rsid w:val="00712D03"/>
    <w:rsid w:val="007152FC"/>
    <w:rsid w:val="00715A00"/>
    <w:rsid w:val="00716355"/>
    <w:rsid w:val="0071735A"/>
    <w:rsid w:val="007200F4"/>
    <w:rsid w:val="00720480"/>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37494"/>
    <w:rsid w:val="00741247"/>
    <w:rsid w:val="00741D03"/>
    <w:rsid w:val="007426D5"/>
    <w:rsid w:val="00743223"/>
    <w:rsid w:val="00746063"/>
    <w:rsid w:val="007466DE"/>
    <w:rsid w:val="00746E01"/>
    <w:rsid w:val="007478A2"/>
    <w:rsid w:val="00747D2F"/>
    <w:rsid w:val="0075017A"/>
    <w:rsid w:val="00751821"/>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3F68"/>
    <w:rsid w:val="007B497F"/>
    <w:rsid w:val="007B57F8"/>
    <w:rsid w:val="007B5B65"/>
    <w:rsid w:val="007B742A"/>
    <w:rsid w:val="007B78AB"/>
    <w:rsid w:val="007C0679"/>
    <w:rsid w:val="007C09C7"/>
    <w:rsid w:val="007C1C53"/>
    <w:rsid w:val="007C26D6"/>
    <w:rsid w:val="007C2CC0"/>
    <w:rsid w:val="007C2EE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C0C"/>
    <w:rsid w:val="00840C6C"/>
    <w:rsid w:val="00840D87"/>
    <w:rsid w:val="00840FCC"/>
    <w:rsid w:val="00843C59"/>
    <w:rsid w:val="008445D3"/>
    <w:rsid w:val="00845396"/>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82E1D"/>
    <w:rsid w:val="008837AC"/>
    <w:rsid w:val="00883B12"/>
    <w:rsid w:val="00883FB8"/>
    <w:rsid w:val="00884D30"/>
    <w:rsid w:val="0088604D"/>
    <w:rsid w:val="00886662"/>
    <w:rsid w:val="00886BAB"/>
    <w:rsid w:val="00886CEC"/>
    <w:rsid w:val="00886FA8"/>
    <w:rsid w:val="00887EBF"/>
    <w:rsid w:val="008906A9"/>
    <w:rsid w:val="008909FD"/>
    <w:rsid w:val="00890E9F"/>
    <w:rsid w:val="008934F4"/>
    <w:rsid w:val="00895878"/>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F4B"/>
    <w:rsid w:val="008C094A"/>
    <w:rsid w:val="008C1D7C"/>
    <w:rsid w:val="008C1FE0"/>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28D6"/>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90B"/>
    <w:rsid w:val="009A0A73"/>
    <w:rsid w:val="009A0EDF"/>
    <w:rsid w:val="009A14D0"/>
    <w:rsid w:val="009A19DB"/>
    <w:rsid w:val="009A2F14"/>
    <w:rsid w:val="009A3D22"/>
    <w:rsid w:val="009A4283"/>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41F4"/>
    <w:rsid w:val="00A04451"/>
    <w:rsid w:val="00A04F9F"/>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73F0"/>
    <w:rsid w:val="00AB0A2E"/>
    <w:rsid w:val="00AB1500"/>
    <w:rsid w:val="00AB1CC2"/>
    <w:rsid w:val="00AB2E4E"/>
    <w:rsid w:val="00AB482F"/>
    <w:rsid w:val="00AB6478"/>
    <w:rsid w:val="00AB6927"/>
    <w:rsid w:val="00AB6AF1"/>
    <w:rsid w:val="00AC02C6"/>
    <w:rsid w:val="00AC0FE9"/>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C5A"/>
    <w:rsid w:val="00B64DF7"/>
    <w:rsid w:val="00B652AF"/>
    <w:rsid w:val="00B65ABB"/>
    <w:rsid w:val="00B65CAC"/>
    <w:rsid w:val="00B66E74"/>
    <w:rsid w:val="00B673A4"/>
    <w:rsid w:val="00B67E25"/>
    <w:rsid w:val="00B700CA"/>
    <w:rsid w:val="00B70A7F"/>
    <w:rsid w:val="00B70B77"/>
    <w:rsid w:val="00B70CA5"/>
    <w:rsid w:val="00B7397E"/>
    <w:rsid w:val="00B73C3A"/>
    <w:rsid w:val="00B752C5"/>
    <w:rsid w:val="00B8080B"/>
    <w:rsid w:val="00B82845"/>
    <w:rsid w:val="00B85D8A"/>
    <w:rsid w:val="00B87C39"/>
    <w:rsid w:val="00B87DD6"/>
    <w:rsid w:val="00B904FF"/>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B127C"/>
    <w:rsid w:val="00BB20BA"/>
    <w:rsid w:val="00BB20C6"/>
    <w:rsid w:val="00BB2FB2"/>
    <w:rsid w:val="00BB3304"/>
    <w:rsid w:val="00BB4732"/>
    <w:rsid w:val="00BB51C2"/>
    <w:rsid w:val="00BB5E51"/>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2CEE"/>
    <w:rsid w:val="00C238EB"/>
    <w:rsid w:val="00C24398"/>
    <w:rsid w:val="00C248B1"/>
    <w:rsid w:val="00C24CDC"/>
    <w:rsid w:val="00C25A9A"/>
    <w:rsid w:val="00C26CA2"/>
    <w:rsid w:val="00C273A6"/>
    <w:rsid w:val="00C30BBE"/>
    <w:rsid w:val="00C33370"/>
    <w:rsid w:val="00C3355D"/>
    <w:rsid w:val="00C33EE6"/>
    <w:rsid w:val="00C34065"/>
    <w:rsid w:val="00C345D6"/>
    <w:rsid w:val="00C35876"/>
    <w:rsid w:val="00C35BA6"/>
    <w:rsid w:val="00C361EB"/>
    <w:rsid w:val="00C41237"/>
    <w:rsid w:val="00C420D7"/>
    <w:rsid w:val="00C420EB"/>
    <w:rsid w:val="00C424B7"/>
    <w:rsid w:val="00C43065"/>
    <w:rsid w:val="00C43C4F"/>
    <w:rsid w:val="00C452B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7D8"/>
    <w:rsid w:val="00C87867"/>
    <w:rsid w:val="00C90F56"/>
    <w:rsid w:val="00C91830"/>
    <w:rsid w:val="00C933A4"/>
    <w:rsid w:val="00C944D6"/>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34AC"/>
    <w:rsid w:val="00CB45EC"/>
    <w:rsid w:val="00CB666B"/>
    <w:rsid w:val="00CB695E"/>
    <w:rsid w:val="00CB698F"/>
    <w:rsid w:val="00CC1AC0"/>
    <w:rsid w:val="00CC1D64"/>
    <w:rsid w:val="00CC2C03"/>
    <w:rsid w:val="00CC2CA1"/>
    <w:rsid w:val="00CC3B19"/>
    <w:rsid w:val="00CC4F2E"/>
    <w:rsid w:val="00CC6516"/>
    <w:rsid w:val="00CC656F"/>
    <w:rsid w:val="00CC6738"/>
    <w:rsid w:val="00CD2754"/>
    <w:rsid w:val="00CD331F"/>
    <w:rsid w:val="00CD40AD"/>
    <w:rsid w:val="00CD4E7F"/>
    <w:rsid w:val="00CD5338"/>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72FA"/>
    <w:rsid w:val="00D40B44"/>
    <w:rsid w:val="00D41446"/>
    <w:rsid w:val="00D41EB0"/>
    <w:rsid w:val="00D42ECE"/>
    <w:rsid w:val="00D43232"/>
    <w:rsid w:val="00D43663"/>
    <w:rsid w:val="00D43C03"/>
    <w:rsid w:val="00D44037"/>
    <w:rsid w:val="00D4594F"/>
    <w:rsid w:val="00D4681D"/>
    <w:rsid w:val="00D46841"/>
    <w:rsid w:val="00D510A2"/>
    <w:rsid w:val="00D5111E"/>
    <w:rsid w:val="00D5124C"/>
    <w:rsid w:val="00D53342"/>
    <w:rsid w:val="00D53F55"/>
    <w:rsid w:val="00D57D7E"/>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72A"/>
    <w:rsid w:val="00D76DC7"/>
    <w:rsid w:val="00D77C40"/>
    <w:rsid w:val="00D80893"/>
    <w:rsid w:val="00D81B2D"/>
    <w:rsid w:val="00D839A7"/>
    <w:rsid w:val="00D83BFF"/>
    <w:rsid w:val="00D83DD9"/>
    <w:rsid w:val="00D84797"/>
    <w:rsid w:val="00D855CD"/>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2FDB"/>
    <w:rsid w:val="00EE347F"/>
    <w:rsid w:val="00EE42C2"/>
    <w:rsid w:val="00EE46CE"/>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6043C"/>
    <w:rsid w:val="00F60561"/>
    <w:rsid w:val="00F60B34"/>
    <w:rsid w:val="00F61055"/>
    <w:rsid w:val="00F61AA8"/>
    <w:rsid w:val="00F61EEA"/>
    <w:rsid w:val="00F63B85"/>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6B3"/>
    <w:rsid w:val="00F77D49"/>
    <w:rsid w:val="00F8021A"/>
    <w:rsid w:val="00F805F3"/>
    <w:rsid w:val="00F80AA2"/>
    <w:rsid w:val="00F81DFF"/>
    <w:rsid w:val="00F835F8"/>
    <w:rsid w:val="00F83FAD"/>
    <w:rsid w:val="00F87EBA"/>
    <w:rsid w:val="00F90705"/>
    <w:rsid w:val="00F908CD"/>
    <w:rsid w:val="00F90A80"/>
    <w:rsid w:val="00F91F06"/>
    <w:rsid w:val="00F92C0A"/>
    <w:rsid w:val="00F93027"/>
    <w:rsid w:val="00F946BA"/>
    <w:rsid w:val="00F94788"/>
    <w:rsid w:val="00F952A0"/>
    <w:rsid w:val="00F965FC"/>
    <w:rsid w:val="00F9786B"/>
    <w:rsid w:val="00FA25D4"/>
    <w:rsid w:val="00FA279B"/>
    <w:rsid w:val="00FA3830"/>
    <w:rsid w:val="00FA3C7F"/>
    <w:rsid w:val="00FA7736"/>
    <w:rsid w:val="00FA77AD"/>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9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C06F5F72</Template>
  <TotalTime>0</TotalTime>
  <Pages>11</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2017-01-03T03:57:00Z</dcterms:created>
  <dcterms:modified xsi:type="dcterms:W3CDTF">2017-01-03T03:57:00Z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\\cdchnas-evs02\home$\dbutl\20161204 - 20161210 electricity report (D2016-00171969).docx</vt:lpwstr>
  </property>
</Properties>
</file>