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9174FD5" wp14:editId="7E5E639C">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513F7F" w:rsidP="002A4EF8">
      <w:pPr>
        <w:rPr>
          <w:b/>
          <w:sz w:val="36"/>
          <w:szCs w:val="36"/>
        </w:rPr>
      </w:pPr>
      <w:r>
        <w:rPr>
          <w:b/>
          <w:sz w:val="36"/>
          <w:szCs w:val="36"/>
        </w:rPr>
        <w:t>5</w:t>
      </w:r>
      <w:r w:rsidR="00366713">
        <w:rPr>
          <w:b/>
          <w:sz w:val="36"/>
          <w:szCs w:val="36"/>
        </w:rPr>
        <w:t xml:space="preserve"> </w:t>
      </w:r>
      <w:r w:rsidR="001761FF">
        <w:rPr>
          <w:b/>
          <w:sz w:val="36"/>
          <w:szCs w:val="36"/>
        </w:rPr>
        <w:t>–</w:t>
      </w:r>
      <w:r w:rsidR="00B04808">
        <w:rPr>
          <w:b/>
          <w:sz w:val="36"/>
          <w:szCs w:val="36"/>
        </w:rPr>
        <w:t> </w:t>
      </w:r>
      <w:r>
        <w:rPr>
          <w:b/>
          <w:sz w:val="36"/>
          <w:szCs w:val="36"/>
        </w:rPr>
        <w:t>11</w:t>
      </w:r>
      <w:r w:rsidR="00432A51">
        <w:rPr>
          <w:b/>
          <w:sz w:val="36"/>
          <w:szCs w:val="36"/>
        </w:rPr>
        <w:t> March</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bookmarkStart w:id="6" w:name="_GoBack"/>
      <w:bookmarkEnd w:id="6"/>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755B85" w:rsidRPr="00F21187">
        <w:t>Figure 1</w:t>
      </w:r>
      <w:r w:rsidRPr="00F21187">
        <w:fldChar w:fldCharType="end"/>
      </w:r>
      <w:r w:rsidRPr="00F21187">
        <w:t xml:space="preserve"> </w:t>
      </w:r>
      <w:r w:rsidR="00AF7058" w:rsidRPr="00F21187">
        <w:t xml:space="preserve">shows the spot prices that occurred in each region during the week </w:t>
      </w:r>
      <w:r w:rsidR="00513F7F">
        <w:t>5</w:t>
      </w:r>
      <w:r w:rsidR="005D385A">
        <w:t xml:space="preserve"> </w:t>
      </w:r>
      <w:r w:rsidR="006D40F1">
        <w:t xml:space="preserve">– </w:t>
      </w:r>
      <w:r w:rsidR="00513F7F">
        <w:t>11</w:t>
      </w:r>
      <w:r w:rsidR="00432A51">
        <w:t xml:space="preserve"> March </w:t>
      </w:r>
      <w:r w:rsidR="00FA25D4" w:rsidRPr="00F21187">
        <w:t>201</w:t>
      </w:r>
      <w:r w:rsidR="00474513">
        <w:t>7</w:t>
      </w:r>
      <w:r w:rsidR="00AF7058" w:rsidRPr="00F21187">
        <w:t>.</w:t>
      </w:r>
      <w:r w:rsidR="00E03725" w:rsidRPr="00F21187">
        <w:t xml:space="preserve"> </w:t>
      </w:r>
    </w:p>
    <w:p w:rsidR="00BF4639" w:rsidRPr="00C4712A" w:rsidRDefault="00275002" w:rsidP="00405B42">
      <w:pPr>
        <w:pStyle w:val="Caption"/>
      </w:pPr>
      <w:bookmarkStart w:id="7" w:name="_Ref410382491"/>
      <w:bookmarkStart w:id="8" w:name="OLE_LINK28"/>
      <w:bookmarkStart w:id="9" w:name="OLE_LINK29"/>
      <w:r w:rsidRPr="0000255F">
        <w:t xml:space="preserve">Figure </w:t>
      </w:r>
      <w:r w:rsidR="005C2C58">
        <w:fldChar w:fldCharType="begin"/>
      </w:r>
      <w:r w:rsidR="005C2C58">
        <w:instrText xml:space="preserve"> SEQ Figure \* ARABIC </w:instrText>
      </w:r>
      <w:r w:rsidR="005C2C58">
        <w:fldChar w:fldCharType="separate"/>
      </w:r>
      <w:r w:rsidR="00755B85" w:rsidRPr="0000255F">
        <w:rPr>
          <w:noProof/>
        </w:rPr>
        <w:t>1</w:t>
      </w:r>
      <w:r w:rsidR="005C2C58">
        <w:rPr>
          <w:noProof/>
        </w:rPr>
        <w:fldChar w:fldCharType="end"/>
      </w:r>
      <w:bookmarkEnd w:id="7"/>
      <w:r w:rsidRPr="0000255F">
        <w:t>: Spot price by region ($/MWh)</w:t>
      </w:r>
    </w:p>
    <w:p w:rsidR="00EC05BF" w:rsidRDefault="00586153" w:rsidP="00C4712A">
      <w:pPr>
        <w:pStyle w:val="Caption"/>
        <w:rPr>
          <w:bCs w:val="0"/>
          <w:lang w:eastAsia="en-AU"/>
        </w:rPr>
      </w:pPr>
      <w:r w:rsidRPr="00586153">
        <w:rPr>
          <w:noProof/>
          <w:lang w:eastAsia="en-AU"/>
        </w:rPr>
        <w:drawing>
          <wp:inline distT="0" distB="0" distL="0" distR="0" wp14:anchorId="5A0FC684" wp14:editId="2A3F8F0B">
            <wp:extent cx="5731510" cy="2861620"/>
            <wp:effectExtent l="0" t="0" r="2540" b="0"/>
            <wp:docPr id="8" name="Picture 8"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1620"/>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755B85" w:rsidRPr="000938FB">
        <w:t>Figure 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755B85" w:rsidRPr="000938FB">
        <w:t>Table 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10" w:name="_Ref410382517"/>
      <w:r w:rsidRPr="0000255F">
        <w:lastRenderedPageBreak/>
        <w:t xml:space="preserve">Figure </w:t>
      </w:r>
      <w:r w:rsidR="005C2C58">
        <w:fldChar w:fldCharType="begin"/>
      </w:r>
      <w:r w:rsidR="005C2C58">
        <w:instrText xml:space="preserve"> SEQ Figure \* ARABIC </w:instrText>
      </w:r>
      <w:r w:rsidR="005C2C58">
        <w:fldChar w:fldCharType="separate"/>
      </w:r>
      <w:r w:rsidR="00755B85" w:rsidRPr="0000255F">
        <w:rPr>
          <w:noProof/>
        </w:rPr>
        <w:t>2</w:t>
      </w:r>
      <w:r w:rsidR="005C2C58">
        <w:rPr>
          <w:noProof/>
        </w:rPr>
        <w:fldChar w:fldCharType="end"/>
      </w:r>
      <w:bookmarkEnd w:id="10"/>
      <w:r w:rsidRPr="0000255F">
        <w:t>: Volume weighted average spot price by region ($/MWh)</w:t>
      </w:r>
    </w:p>
    <w:p w:rsidR="001F22EE" w:rsidRDefault="00586153" w:rsidP="00F167CF">
      <w:pPr>
        <w:spacing w:before="0" w:after="120" w:line="240" w:lineRule="auto"/>
      </w:pPr>
      <w:r w:rsidRPr="00586153">
        <w:rPr>
          <w:noProof/>
          <w:lang w:eastAsia="en-AU"/>
        </w:rPr>
        <w:drawing>
          <wp:inline distT="0" distB="0" distL="0" distR="0" wp14:anchorId="1B565BEA" wp14:editId="5B10F38D">
            <wp:extent cx="5731510" cy="2861620"/>
            <wp:effectExtent l="0" t="0" r="2540" b="0"/>
            <wp:docPr id="9" name="Picture 9"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1620"/>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686EDE">
        <w:t xml:space="preserve">Table </w:t>
      </w:r>
      <w:r w:rsidR="005C2C58">
        <w:fldChar w:fldCharType="begin"/>
      </w:r>
      <w:r w:rsidR="005C2C58">
        <w:instrText xml:space="preserve"> SEQ Table \* ARABIC </w:instrText>
      </w:r>
      <w:r w:rsidR="005C2C58">
        <w:fldChar w:fldCharType="separate"/>
      </w:r>
      <w:r w:rsidR="003077EF" w:rsidRPr="00686EDE">
        <w:rPr>
          <w:noProof/>
        </w:rPr>
        <w:t>1</w:t>
      </w:r>
      <w:r w:rsidR="005C2C58">
        <w:rPr>
          <w:noProof/>
        </w:rPr>
        <w:fldChar w:fldCharType="end"/>
      </w:r>
      <w:bookmarkEnd w:id="11"/>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r w:rsidRPr="00C4712A">
              <w:rPr>
                <w:sz w:val="20"/>
              </w:rPr>
              <w:t>Tas</w:t>
            </w:r>
          </w:p>
        </w:tc>
      </w:tr>
      <w:tr w:rsidR="00586153" w:rsidRPr="00C4712A" w:rsidTr="00C944D6">
        <w:trPr>
          <w:trHeight w:hRule="exact" w:val="340"/>
        </w:trPr>
        <w:tc>
          <w:tcPr>
            <w:tcW w:w="1357" w:type="pct"/>
            <w:noWrap/>
            <w:hideMark/>
          </w:tcPr>
          <w:p w:rsidR="00586153" w:rsidRPr="00B95B0D" w:rsidRDefault="00586153"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65</w:t>
            </w:r>
          </w:p>
        </w:tc>
        <w:tc>
          <w:tcPr>
            <w:tcW w:w="729"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64</w:t>
            </w:r>
          </w:p>
        </w:tc>
        <w:tc>
          <w:tcPr>
            <w:tcW w:w="728"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65</w:t>
            </w:r>
          </w:p>
        </w:tc>
        <w:tc>
          <w:tcPr>
            <w:tcW w:w="729"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85</w:t>
            </w:r>
          </w:p>
        </w:tc>
        <w:tc>
          <w:tcPr>
            <w:tcW w:w="729"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99</w:t>
            </w:r>
          </w:p>
        </w:tc>
      </w:tr>
      <w:tr w:rsidR="00586153"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586153" w:rsidRPr="00B95B0D" w:rsidRDefault="00586153"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586153" w:rsidRPr="00586153" w:rsidRDefault="00586153" w:rsidP="00586153">
            <w:pPr>
              <w:spacing w:before="60" w:afterLines="120" w:after="288"/>
              <w:jc w:val="center"/>
              <w:rPr>
                <w:rFonts w:eastAsia="Times New Roman" w:cs="Arial"/>
                <w:szCs w:val="20"/>
                <w:lang w:eastAsia="en-AU"/>
              </w:rPr>
            </w:pPr>
            <w:r w:rsidRPr="00586153">
              <w:rPr>
                <w:rFonts w:eastAsia="Times New Roman" w:cs="Arial"/>
                <w:szCs w:val="20"/>
                <w:lang w:eastAsia="en-AU"/>
              </w:rPr>
              <w:t>58</w:t>
            </w:r>
          </w:p>
        </w:tc>
        <w:tc>
          <w:tcPr>
            <w:tcW w:w="729" w:type="pct"/>
            <w:noWrap/>
            <w:vAlign w:val="center"/>
          </w:tcPr>
          <w:p w:rsidR="00586153" w:rsidRPr="00586153" w:rsidRDefault="00586153" w:rsidP="00586153">
            <w:pPr>
              <w:spacing w:before="60" w:afterLines="120" w:after="288"/>
              <w:jc w:val="center"/>
              <w:rPr>
                <w:rFonts w:eastAsia="Times New Roman" w:cs="Arial"/>
                <w:szCs w:val="20"/>
                <w:lang w:eastAsia="en-AU"/>
              </w:rPr>
            </w:pPr>
            <w:r w:rsidRPr="00586153">
              <w:rPr>
                <w:rFonts w:eastAsia="Times New Roman" w:cs="Arial"/>
                <w:szCs w:val="20"/>
                <w:lang w:eastAsia="en-AU"/>
              </w:rPr>
              <w:t>46</w:t>
            </w:r>
          </w:p>
        </w:tc>
        <w:tc>
          <w:tcPr>
            <w:tcW w:w="728" w:type="pct"/>
            <w:noWrap/>
            <w:vAlign w:val="center"/>
          </w:tcPr>
          <w:p w:rsidR="00586153" w:rsidRPr="00586153" w:rsidRDefault="00586153" w:rsidP="00586153">
            <w:pPr>
              <w:spacing w:before="60" w:afterLines="120" w:after="288"/>
              <w:jc w:val="center"/>
              <w:rPr>
                <w:rFonts w:eastAsia="Times New Roman" w:cs="Arial"/>
                <w:szCs w:val="20"/>
                <w:lang w:eastAsia="en-AU"/>
              </w:rPr>
            </w:pPr>
            <w:r w:rsidRPr="00586153">
              <w:rPr>
                <w:rFonts w:eastAsia="Times New Roman" w:cs="Arial"/>
                <w:szCs w:val="20"/>
                <w:lang w:eastAsia="en-AU"/>
              </w:rPr>
              <w:t>44</w:t>
            </w:r>
          </w:p>
        </w:tc>
        <w:tc>
          <w:tcPr>
            <w:tcW w:w="729" w:type="pct"/>
            <w:noWrap/>
            <w:vAlign w:val="center"/>
          </w:tcPr>
          <w:p w:rsidR="00586153" w:rsidRPr="00586153" w:rsidRDefault="00586153" w:rsidP="00586153">
            <w:pPr>
              <w:spacing w:before="60" w:afterLines="120" w:after="288"/>
              <w:jc w:val="center"/>
              <w:rPr>
                <w:rFonts w:eastAsia="Times New Roman" w:cs="Arial"/>
                <w:szCs w:val="20"/>
                <w:lang w:eastAsia="en-AU"/>
              </w:rPr>
            </w:pPr>
            <w:r w:rsidRPr="00586153">
              <w:rPr>
                <w:rFonts w:eastAsia="Times New Roman" w:cs="Arial"/>
                <w:szCs w:val="20"/>
                <w:lang w:eastAsia="en-AU"/>
              </w:rPr>
              <w:t>62</w:t>
            </w:r>
          </w:p>
        </w:tc>
        <w:tc>
          <w:tcPr>
            <w:tcW w:w="729" w:type="pct"/>
            <w:noWrap/>
            <w:vAlign w:val="center"/>
          </w:tcPr>
          <w:p w:rsidR="00586153" w:rsidRPr="00586153" w:rsidRDefault="00586153" w:rsidP="00586153">
            <w:pPr>
              <w:spacing w:before="60" w:afterLines="120" w:after="288"/>
              <w:jc w:val="center"/>
              <w:rPr>
                <w:rFonts w:eastAsia="Times New Roman" w:cs="Arial"/>
                <w:szCs w:val="20"/>
                <w:lang w:eastAsia="en-AU"/>
              </w:rPr>
            </w:pPr>
            <w:r w:rsidRPr="00586153">
              <w:rPr>
                <w:rFonts w:eastAsia="Times New Roman" w:cs="Arial"/>
                <w:szCs w:val="20"/>
                <w:lang w:eastAsia="en-AU"/>
              </w:rPr>
              <w:t>82</w:t>
            </w:r>
          </w:p>
        </w:tc>
      </w:tr>
      <w:tr w:rsidR="00586153" w:rsidRPr="00C4712A" w:rsidTr="003077EF">
        <w:trPr>
          <w:trHeight w:hRule="exact" w:val="340"/>
        </w:trPr>
        <w:tc>
          <w:tcPr>
            <w:tcW w:w="1357" w:type="pct"/>
            <w:noWrap/>
            <w:hideMark/>
          </w:tcPr>
          <w:p w:rsidR="00586153" w:rsidRPr="00B95B0D" w:rsidRDefault="00586153"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108</w:t>
            </w:r>
          </w:p>
        </w:tc>
        <w:tc>
          <w:tcPr>
            <w:tcW w:w="729"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84</w:t>
            </w:r>
          </w:p>
        </w:tc>
        <w:tc>
          <w:tcPr>
            <w:tcW w:w="728"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53</w:t>
            </w:r>
          </w:p>
        </w:tc>
        <w:tc>
          <w:tcPr>
            <w:tcW w:w="729"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124</w:t>
            </w:r>
          </w:p>
        </w:tc>
        <w:tc>
          <w:tcPr>
            <w:tcW w:w="729" w:type="pct"/>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58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214274">
        <w:t>2</w:t>
      </w:r>
      <w:r w:rsidR="00586153">
        <w:t>77</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755B85" w:rsidRPr="003A4136">
        <w:t>Table 2</w:t>
      </w:r>
      <w:r w:rsidR="00E7472E" w:rsidRPr="003A4136">
        <w:fldChar w:fldCharType="end"/>
      </w:r>
      <w:r w:rsidR="00275002" w:rsidRPr="003A4136">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686EDE">
        <w:lastRenderedPageBreak/>
        <w:t xml:space="preserve">Table </w:t>
      </w:r>
      <w:r w:rsidR="005C2C58">
        <w:fldChar w:fldCharType="begin"/>
      </w:r>
      <w:r w:rsidR="005C2C58">
        <w:instrText xml:space="preserve"> SEQ Table \* ARABIC </w:instrText>
      </w:r>
      <w:r w:rsidR="005C2C58">
        <w:fldChar w:fldCharType="separate"/>
      </w:r>
      <w:r w:rsidR="003077EF" w:rsidRPr="00686EDE">
        <w:rPr>
          <w:noProof/>
        </w:rPr>
        <w:t>2</w:t>
      </w:r>
      <w:r w:rsidR="005C2C58">
        <w:rPr>
          <w:noProof/>
        </w:rPr>
        <w:fldChar w:fldCharType="end"/>
      </w:r>
      <w:bookmarkEnd w:id="12"/>
      <w:r w:rsidRPr="00686EDE">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586153"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86153" w:rsidRPr="00C4712A" w:rsidRDefault="00586153" w:rsidP="000D05BD">
            <w:pPr>
              <w:spacing w:before="60"/>
              <w:rPr>
                <w:sz w:val="20"/>
                <w:szCs w:val="20"/>
              </w:rPr>
            </w:pPr>
            <w:r w:rsidRPr="00C4712A">
              <w:rPr>
                <w:sz w:val="20"/>
                <w:szCs w:val="20"/>
              </w:rPr>
              <w:t>% of total above forecast</w:t>
            </w:r>
          </w:p>
        </w:tc>
        <w:tc>
          <w:tcPr>
            <w:tcW w:w="1571" w:type="dxa"/>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1</w:t>
            </w:r>
          </w:p>
        </w:tc>
        <w:tc>
          <w:tcPr>
            <w:tcW w:w="1572" w:type="dxa"/>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20</w:t>
            </w:r>
          </w:p>
        </w:tc>
        <w:tc>
          <w:tcPr>
            <w:tcW w:w="1572" w:type="dxa"/>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0</w:t>
            </w:r>
          </w:p>
        </w:tc>
        <w:tc>
          <w:tcPr>
            <w:tcW w:w="1572" w:type="dxa"/>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1</w:t>
            </w:r>
          </w:p>
        </w:tc>
      </w:tr>
      <w:tr w:rsidR="00586153"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86153" w:rsidRPr="00C4712A" w:rsidRDefault="00586153" w:rsidP="000D05BD">
            <w:pPr>
              <w:spacing w:before="60"/>
              <w:rPr>
                <w:sz w:val="20"/>
                <w:szCs w:val="20"/>
              </w:rPr>
            </w:pPr>
            <w:r w:rsidRPr="00C4712A">
              <w:rPr>
                <w:sz w:val="20"/>
                <w:szCs w:val="20"/>
              </w:rPr>
              <w:t>% of total below forecast</w:t>
            </w:r>
          </w:p>
        </w:tc>
        <w:tc>
          <w:tcPr>
            <w:tcW w:w="1571" w:type="dxa"/>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66</w:t>
            </w:r>
          </w:p>
        </w:tc>
        <w:tc>
          <w:tcPr>
            <w:tcW w:w="1572" w:type="dxa"/>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10</w:t>
            </w:r>
          </w:p>
        </w:tc>
        <w:tc>
          <w:tcPr>
            <w:tcW w:w="1572" w:type="dxa"/>
            <w:noWrap/>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0</w:t>
            </w:r>
          </w:p>
        </w:tc>
        <w:tc>
          <w:tcPr>
            <w:tcW w:w="1572" w:type="dxa"/>
            <w:vAlign w:val="center"/>
          </w:tcPr>
          <w:p w:rsidR="00586153" w:rsidRPr="00586153" w:rsidRDefault="00586153" w:rsidP="00586153">
            <w:pPr>
              <w:spacing w:before="60" w:afterLines="120" w:after="288"/>
              <w:jc w:val="center"/>
              <w:rPr>
                <w:rFonts w:eastAsia="Times New Roman" w:cs="Arial"/>
                <w:sz w:val="20"/>
                <w:szCs w:val="20"/>
                <w:lang w:eastAsia="en-AU"/>
              </w:rPr>
            </w:pPr>
            <w:r w:rsidRPr="00586153">
              <w:rPr>
                <w:rFonts w:eastAsia="Times New Roman" w:cs="Arial"/>
                <w:sz w:val="20"/>
                <w:szCs w:val="20"/>
                <w:lang w:eastAsia="en-AU"/>
              </w:rPr>
              <w:t>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755B85" w:rsidRPr="003A4136">
        <w:t>Figure 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755B85" w:rsidRPr="003A4136">
        <w:t xml:space="preserve">Figure </w:t>
      </w:r>
      <w:r w:rsidR="00755B85" w:rsidRPr="003A4136">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r w:rsidR="005C2C58">
        <w:fldChar w:fldCharType="begin"/>
      </w:r>
      <w:r w:rsidR="005C2C58">
        <w:instrText xml:space="preserve"> SEQ Figure \* ARABIC </w:instrText>
      </w:r>
      <w:r w:rsidR="005C2C58">
        <w:fldChar w:fldCharType="separate"/>
      </w:r>
      <w:r w:rsidR="00755B85" w:rsidRPr="00686EDE">
        <w:rPr>
          <w:noProof/>
        </w:rPr>
        <w:t>3</w:t>
      </w:r>
      <w:r w:rsidR="005C2C58">
        <w:rPr>
          <w:noProof/>
        </w:rPr>
        <w:fldChar w:fldCharType="end"/>
      </w:r>
      <w:bookmarkEnd w:id="14"/>
      <w:r w:rsidRPr="00686EDE">
        <w:t>: Queensland generation and bidding patterns</w:t>
      </w:r>
    </w:p>
    <w:p w:rsidR="007B78AB" w:rsidRPr="008707C1" w:rsidRDefault="00586153" w:rsidP="00886FA8">
      <w:pPr>
        <w:pStyle w:val="AERbodytext"/>
        <w:rPr>
          <w:bCs w:val="0"/>
        </w:rPr>
      </w:pPr>
      <w:r w:rsidRPr="00586153">
        <w:rPr>
          <w:noProof/>
        </w:rPr>
        <w:drawing>
          <wp:inline distT="0" distB="0" distL="0" distR="0" wp14:anchorId="5B28AAEF" wp14:editId="42327E1F">
            <wp:extent cx="5731510" cy="4116968"/>
            <wp:effectExtent l="0" t="0" r="2540" b="0"/>
            <wp:docPr id="10" name="Picture 10"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6968"/>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r w:rsidR="005C2C58">
        <w:fldChar w:fldCharType="begin"/>
      </w:r>
      <w:r w:rsidR="005C2C58">
        <w:instrText xml:space="preserve"> SEQ Figure \* ARABIC </w:instrText>
      </w:r>
      <w:r w:rsidR="005C2C58">
        <w:fldChar w:fldCharType="separate"/>
      </w:r>
      <w:r w:rsidR="00755B85" w:rsidRPr="00686EDE">
        <w:rPr>
          <w:noProof/>
        </w:rPr>
        <w:t>4</w:t>
      </w:r>
      <w:r w:rsidR="005C2C58">
        <w:rPr>
          <w:noProof/>
        </w:rPr>
        <w:fldChar w:fldCharType="end"/>
      </w:r>
      <w:bookmarkEnd w:id="15"/>
      <w:r w:rsidRPr="00686EDE">
        <w:t>: New South Wales generation and bidding patterns</w:t>
      </w:r>
    </w:p>
    <w:p w:rsidR="00181C46" w:rsidRPr="00C4712A" w:rsidRDefault="00586153" w:rsidP="00181C46">
      <w:r w:rsidRPr="00586153">
        <w:rPr>
          <w:noProof/>
          <w:lang w:eastAsia="en-AU"/>
        </w:rPr>
        <w:drawing>
          <wp:inline distT="0" distB="0" distL="0" distR="0" wp14:anchorId="2D9C5B50" wp14:editId="6267C4DB">
            <wp:extent cx="5731510" cy="4125646"/>
            <wp:effectExtent l="0" t="0" r="2540" b="8255"/>
            <wp:docPr id="11" name="Picture 11"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5646"/>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5C2C58">
        <w:fldChar w:fldCharType="begin"/>
      </w:r>
      <w:r w:rsidR="005C2C58">
        <w:instrText xml:space="preserve"> SEQ Figure \* ARABIC </w:instrText>
      </w:r>
      <w:r w:rsidR="005C2C58">
        <w:fldChar w:fldCharType="separate"/>
      </w:r>
      <w:r w:rsidR="00755B85" w:rsidRPr="00686EDE">
        <w:rPr>
          <w:noProof/>
        </w:rPr>
        <w:t>5</w:t>
      </w:r>
      <w:r w:rsidR="005C2C58">
        <w:rPr>
          <w:noProof/>
        </w:rPr>
        <w:fldChar w:fldCharType="end"/>
      </w:r>
      <w:r w:rsidRPr="00686EDE">
        <w:t>: Victoria generation and bidding patterns</w:t>
      </w:r>
    </w:p>
    <w:p w:rsidR="00FB265D" w:rsidRDefault="00586153" w:rsidP="00FB265D">
      <w:r w:rsidRPr="00586153">
        <w:rPr>
          <w:noProof/>
          <w:lang w:eastAsia="en-AU"/>
        </w:rPr>
        <w:drawing>
          <wp:inline distT="0" distB="0" distL="0" distR="0" wp14:anchorId="230C852D" wp14:editId="325DD5DB">
            <wp:extent cx="5731510" cy="4116968"/>
            <wp:effectExtent l="0" t="0" r="2540" b="0"/>
            <wp:docPr id="14" name="Picture 14"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6968"/>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686EDE">
        <w:lastRenderedPageBreak/>
        <w:t xml:space="preserve">Figure </w:t>
      </w:r>
      <w:r w:rsidR="005C2C58">
        <w:fldChar w:fldCharType="begin"/>
      </w:r>
      <w:r w:rsidR="005C2C58">
        <w:instrText xml:space="preserve"> SEQ Figure \* ARABIC </w:instrText>
      </w:r>
      <w:r w:rsidR="005C2C58">
        <w:fldChar w:fldCharType="separate"/>
      </w:r>
      <w:r w:rsidR="00755B85" w:rsidRPr="00686EDE">
        <w:rPr>
          <w:noProof/>
        </w:rPr>
        <w:t>6</w:t>
      </w:r>
      <w:r w:rsidR="005C2C58">
        <w:rPr>
          <w:noProof/>
        </w:rPr>
        <w:fldChar w:fldCharType="end"/>
      </w:r>
      <w:bookmarkEnd w:id="16"/>
      <w:r w:rsidRPr="00686EDE">
        <w:t>: South Australia generation and bidding patterns</w:t>
      </w:r>
    </w:p>
    <w:p w:rsidR="002F2481" w:rsidRPr="00686EDE" w:rsidRDefault="00586153" w:rsidP="00A25353">
      <w:r w:rsidRPr="00586153">
        <w:rPr>
          <w:noProof/>
          <w:lang w:eastAsia="en-AU"/>
        </w:rPr>
        <w:drawing>
          <wp:inline distT="0" distB="0" distL="0" distR="0" wp14:anchorId="7504FC87" wp14:editId="5B58C31F">
            <wp:extent cx="5731510" cy="4259980"/>
            <wp:effectExtent l="0" t="0" r="2540" b="7620"/>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9980"/>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r w:rsidR="005C2C58">
        <w:fldChar w:fldCharType="begin"/>
      </w:r>
      <w:r w:rsidR="005C2C58">
        <w:instrText xml:space="preserve"> SEQ Figure \* ARABIC </w:instrText>
      </w:r>
      <w:r w:rsidR="005C2C58">
        <w:fldChar w:fldCharType="separate"/>
      </w:r>
      <w:r w:rsidR="00755B85" w:rsidRPr="00686EDE">
        <w:rPr>
          <w:noProof/>
        </w:rPr>
        <w:t>7</w:t>
      </w:r>
      <w:r w:rsidR="005C2C58">
        <w:rPr>
          <w:noProof/>
        </w:rPr>
        <w:fldChar w:fldCharType="end"/>
      </w:r>
      <w:bookmarkEnd w:id="17"/>
      <w:r w:rsidRPr="00686EDE">
        <w:t>: Tasmania generation and bidding patterns</w:t>
      </w:r>
    </w:p>
    <w:bookmarkEnd w:id="18"/>
    <w:p w:rsidR="00DB7B59" w:rsidRDefault="00586153" w:rsidP="00AF7C0E">
      <w:pPr>
        <w:pStyle w:val="AERbodytext"/>
      </w:pPr>
      <w:r w:rsidRPr="00586153">
        <w:rPr>
          <w:noProof/>
        </w:rPr>
        <w:drawing>
          <wp:inline distT="0" distB="0" distL="0" distR="0" wp14:anchorId="5D1638D0" wp14:editId="388E6259">
            <wp:extent cx="5731510" cy="4116968"/>
            <wp:effectExtent l="0" t="0" r="2540" b="0"/>
            <wp:docPr id="17" name="Picture 17"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696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D05B72">
        <w:rPr>
          <w:rFonts w:eastAsia="Times New Roman" w:cs="Arial"/>
          <w:bCs/>
          <w:lang w:eastAsia="en-AU"/>
        </w:rPr>
        <w:t xml:space="preserve">1 </w:t>
      </w:r>
      <w:r w:rsidR="00586153">
        <w:rPr>
          <w:rFonts w:eastAsia="Times New Roman" w:cs="Arial"/>
          <w:bCs/>
          <w:lang w:eastAsia="en-AU"/>
        </w:rPr>
        <w:t>526 0</w:t>
      </w:r>
      <w:r w:rsidR="001761FF" w:rsidRPr="00612013">
        <w:rPr>
          <w:rFonts w:eastAsia="Times New Roman" w:cs="Arial"/>
          <w:bCs/>
          <w:lang w:eastAsia="en-AU"/>
        </w:rPr>
        <w:t>00</w:t>
      </w:r>
      <w:r w:rsidRPr="00612013">
        <w:rPr>
          <w:rFonts w:eastAsia="Times New Roman" w:cs="Arial"/>
          <w:bCs/>
          <w:lang w:eastAsia="en-AU"/>
        </w:rPr>
        <w:t xml:space="preserve"> or </w:t>
      </w:r>
      <w:r w:rsidR="009115F5">
        <w:rPr>
          <w:rFonts w:eastAsia="Times New Roman" w:cs="Arial"/>
          <w:bCs/>
          <w:lang w:eastAsia="en-AU"/>
        </w:rPr>
        <w:t>less than</w:t>
      </w:r>
      <w:r w:rsidR="001761FF" w:rsidRPr="00612013">
        <w:rPr>
          <w:rFonts w:eastAsia="Times New Roman" w:cs="Arial"/>
          <w:bCs/>
          <w:lang w:eastAsia="en-AU"/>
        </w:rPr>
        <w:t xml:space="preserve"> </w:t>
      </w:r>
      <w:r w:rsidR="00D05B72">
        <w:rPr>
          <w:rFonts w:eastAsia="Times New Roman" w:cs="Arial"/>
          <w:bCs/>
          <w:lang w:eastAsia="en-AU"/>
        </w:rPr>
        <w:t>one </w:t>
      </w:r>
      <w:r w:rsidRPr="00612013">
        <w:rPr>
          <w:rFonts w:eastAsia="Times New Roman" w:cs="Arial"/>
          <w:bCs/>
          <w:lang w:eastAsia="en-AU"/>
        </w:rPr>
        <w:t>per cent of energy turnover on the mainland.</w:t>
      </w:r>
    </w:p>
    <w:p w:rsidR="00755B85" w:rsidRPr="00612013" w:rsidRDefault="005358F4" w:rsidP="00E40F94">
      <w:pPr>
        <w:spacing w:line="240" w:lineRule="auto"/>
        <w:jc w:val="both"/>
      </w:pPr>
      <w:r w:rsidRPr="00612013">
        <w:rPr>
          <w:rFonts w:eastAsia="Times New Roman" w:cs="Arial"/>
          <w:bCs/>
          <w:lang w:eastAsia="en-AU"/>
        </w:rPr>
        <w:t>The total cost of FCAS in Tasmania for the week was $</w:t>
      </w:r>
      <w:r w:rsidR="00586153">
        <w:rPr>
          <w:rFonts w:eastAsia="Times New Roman" w:cs="Arial"/>
          <w:bCs/>
          <w:lang w:eastAsia="en-AU"/>
        </w:rPr>
        <w:t>410</w:t>
      </w:r>
      <w:r w:rsidR="00685A1B">
        <w:rPr>
          <w:rFonts w:eastAsia="Times New Roman" w:cs="Arial"/>
          <w:bCs/>
          <w:lang w:eastAsia="en-AU"/>
        </w:rPr>
        <w:t> </w:t>
      </w:r>
      <w:r w:rsidR="00586153">
        <w:rPr>
          <w:rFonts w:eastAsia="Times New Roman" w:cs="Arial"/>
          <w:bCs/>
          <w:lang w:eastAsia="en-AU"/>
        </w:rPr>
        <w:t>0</w:t>
      </w:r>
      <w:r w:rsidRPr="00612013">
        <w:rPr>
          <w:rFonts w:eastAsia="Times New Roman" w:cs="Arial"/>
          <w:bCs/>
          <w:lang w:eastAsia="en-AU"/>
        </w:rPr>
        <w:t xml:space="preserve">00 or </w:t>
      </w:r>
      <w:r w:rsidR="007044F1">
        <w:rPr>
          <w:rFonts w:eastAsia="Times New Roman" w:cs="Arial"/>
          <w:bCs/>
          <w:lang w:eastAsia="en-AU"/>
        </w:rPr>
        <w:t>around 2</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755B85" w:rsidP="00551739">
      <w:pPr>
        <w:pStyle w:val="AERbodytext"/>
      </w:pPr>
      <w:r w:rsidRPr="00612013">
        <w:t>Figure 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755B85" w:rsidRPr="00686EDE">
        <w:rPr>
          <w:noProof/>
        </w:rPr>
        <w:t>8</w:t>
      </w:r>
      <w:r w:rsidR="00DF6E09" w:rsidRPr="00686EDE">
        <w:rPr>
          <w:noProof/>
        </w:rPr>
        <w:fldChar w:fldCharType="end"/>
      </w:r>
      <w:bookmarkEnd w:id="19"/>
      <w:bookmarkEnd w:id="20"/>
      <w:r w:rsidRPr="00686EDE">
        <w:rPr>
          <w:noProof/>
        </w:rPr>
        <w:t>: Daily frequency control ancillary service cost</w:t>
      </w:r>
    </w:p>
    <w:p w:rsidR="006D1A40" w:rsidRDefault="00586153" w:rsidP="006D1A40">
      <w:pPr>
        <w:spacing w:line="240" w:lineRule="auto"/>
        <w:rPr>
          <w:rStyle w:val="AERbodytextChar"/>
          <w:rFonts w:eastAsiaTheme="minorHAnsi"/>
        </w:rPr>
      </w:pPr>
      <w:r w:rsidRPr="00586153">
        <w:rPr>
          <w:noProof/>
          <w:lang w:eastAsia="en-AU"/>
        </w:rPr>
        <w:drawing>
          <wp:inline distT="0" distB="0" distL="0" distR="0" wp14:anchorId="449D72FA" wp14:editId="6750B171">
            <wp:extent cx="5731510" cy="2891755"/>
            <wp:effectExtent l="0" t="0" r="2540" b="4445"/>
            <wp:docPr id="19" name="Picture 19"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1755"/>
                    </a:xfrm>
                    <a:prstGeom prst="rect">
                      <a:avLst/>
                    </a:prstGeom>
                    <a:noFill/>
                    <a:ln>
                      <a:noFill/>
                    </a:ln>
                  </pic:spPr>
                </pic:pic>
              </a:graphicData>
            </a:graphic>
          </wp:inline>
        </w:drawing>
      </w:r>
    </w:p>
    <w:p w:rsidR="006163F5" w:rsidRDefault="00586153" w:rsidP="00665FE2">
      <w:pPr>
        <w:spacing w:line="240" w:lineRule="auto"/>
        <w:jc w:val="both"/>
        <w:rPr>
          <w:rStyle w:val="AERbodytextChar"/>
          <w:rFonts w:eastAsiaTheme="minorHAnsi"/>
        </w:rPr>
      </w:pPr>
      <w:r w:rsidRPr="00F054C2">
        <w:rPr>
          <w:rStyle w:val="AERbodytextChar"/>
          <w:rFonts w:eastAsiaTheme="minorHAnsi"/>
        </w:rPr>
        <w:t>On Tuesday 7 March, the South Australia raise and lower regulation price spiked to (or near) the price cap for dispatch intervals at 4.35 am and 6.25 am.</w:t>
      </w:r>
      <w:r w:rsidR="00F054C2" w:rsidRPr="00F054C2">
        <w:rPr>
          <w:rStyle w:val="AERbodytextChar"/>
          <w:rFonts w:eastAsiaTheme="minorHAnsi"/>
        </w:rPr>
        <w:t xml:space="preserve"> Requirements were sitting at 35 MW at the time of the spikes.</w:t>
      </w:r>
    </w:p>
    <w:bookmarkEnd w:id="0"/>
    <w:bookmarkEnd w:id="1"/>
    <w:bookmarkEnd w:id="2"/>
    <w:bookmarkEnd w:id="3"/>
    <w:bookmarkEnd w:id="4"/>
    <w:bookmarkEnd w:id="5"/>
    <w:p w:rsidR="00974F59" w:rsidRPr="00C4712A" w:rsidRDefault="00974F59" w:rsidP="00974F59">
      <w:pPr>
        <w:pStyle w:val="AERHeading1"/>
      </w:pPr>
      <w:r w:rsidRPr="00686EDE">
        <w:lastRenderedPageBreak/>
        <w:t>Detailed market analysis of significant price events</w:t>
      </w:r>
    </w:p>
    <w:p w:rsidR="00974F59" w:rsidRPr="00E52925" w:rsidRDefault="00F054C2" w:rsidP="00974F59">
      <w:pPr>
        <w:pStyle w:val="Heading2"/>
        <w:rPr>
          <w:rFonts w:eastAsia="Times New Roman"/>
          <w:b w:val="0"/>
          <w:bCs w:val="0"/>
          <w:lang w:eastAsia="en-AU"/>
        </w:rPr>
      </w:pPr>
      <w:r>
        <w:rPr>
          <w:rFonts w:eastAsia="Times New Roman"/>
          <w:b w:val="0"/>
          <w:bCs w:val="0"/>
          <w:lang w:eastAsia="en-AU"/>
        </w:rPr>
        <w:t>Queensland</w:t>
      </w:r>
    </w:p>
    <w:p w:rsidR="00974F59" w:rsidRDefault="00F054C2" w:rsidP="00974F59">
      <w:pPr>
        <w:pStyle w:val="AERbodytext"/>
      </w:pPr>
      <w:r w:rsidRPr="00F054C2">
        <w:t xml:space="preserve">There was one occasion where the spot price in Queensland was greater than three times the Queensland weekly average price of $65/MWh and above </w:t>
      </w:r>
      <w:r w:rsidR="00974F59" w:rsidRPr="00E52925">
        <w:t>$250/MWh</w:t>
      </w:r>
      <w:r w:rsidR="00974F59">
        <w:t>.</w:t>
      </w:r>
    </w:p>
    <w:p w:rsidR="00974F59" w:rsidRPr="00E52925" w:rsidRDefault="00DB7A94" w:rsidP="00974F59">
      <w:pPr>
        <w:pStyle w:val="Heading3"/>
        <w:rPr>
          <w:rFonts w:eastAsia="Times New Roman"/>
        </w:rPr>
      </w:pPr>
      <w:r>
        <w:rPr>
          <w:rFonts w:eastAsia="Times New Roman"/>
        </w:rPr>
        <w:t>Sunday, 5 March</w:t>
      </w:r>
    </w:p>
    <w:p w:rsidR="00974F59" w:rsidRDefault="00974F59" w:rsidP="00974F59">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Pr="00E52925">
        <w:rPr>
          <w:rFonts w:asciiTheme="minorHAnsi" w:hAnsiTheme="minorHAnsi" w:cstheme="minorHAnsi"/>
          <w:noProof/>
        </w:rPr>
        <w:t>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974F59" w:rsidRPr="00E52925" w:rsidTr="00AB0D5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Availability (MW)</w:t>
            </w:r>
          </w:p>
        </w:tc>
      </w:tr>
      <w:tr w:rsidR="00974F59" w:rsidRPr="00686EDE" w:rsidTr="00AB0D5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12 hr forecast</w:t>
            </w:r>
          </w:p>
        </w:tc>
      </w:tr>
      <w:tr w:rsidR="00DB7A94" w:rsidRPr="00DB7A94" w:rsidTr="00AB0D5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7</w:t>
            </w:r>
            <w:r>
              <w:rPr>
                <w:rFonts w:cs="Arial"/>
                <w:sz w:val="20"/>
                <w:szCs w:val="20"/>
              </w:rPr>
              <w:t> pm</w:t>
            </w:r>
          </w:p>
        </w:tc>
        <w:tc>
          <w:tcPr>
            <w:tcW w:w="51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331.98</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355.95</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98.93</w:t>
            </w:r>
          </w:p>
        </w:tc>
        <w:tc>
          <w:tcPr>
            <w:tcW w:w="455"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8230</w:t>
            </w:r>
          </w:p>
        </w:tc>
        <w:tc>
          <w:tcPr>
            <w:tcW w:w="45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8038</w:t>
            </w:r>
          </w:p>
        </w:tc>
        <w:tc>
          <w:tcPr>
            <w:tcW w:w="534"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7897</w:t>
            </w:r>
          </w:p>
        </w:tc>
        <w:tc>
          <w:tcPr>
            <w:tcW w:w="532"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10 944</w:t>
            </w:r>
          </w:p>
        </w:tc>
        <w:tc>
          <w:tcPr>
            <w:tcW w:w="457"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10 941</w:t>
            </w:r>
          </w:p>
        </w:tc>
        <w:tc>
          <w:tcPr>
            <w:tcW w:w="45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11 191</w:t>
            </w:r>
          </w:p>
        </w:tc>
      </w:tr>
    </w:tbl>
    <w:p w:rsidR="00DB7A94" w:rsidRDefault="000E0120" w:rsidP="00974F59">
      <w:pPr>
        <w:pStyle w:val="Heading3"/>
        <w:rPr>
          <w:rFonts w:eastAsia="Times New Roman"/>
          <w:b w:val="0"/>
        </w:rPr>
      </w:pPr>
      <w:r w:rsidRPr="000E0120">
        <w:rPr>
          <w:rFonts w:eastAsia="Times New Roman"/>
          <w:b w:val="0"/>
        </w:rPr>
        <w:t>Condit</w:t>
      </w:r>
      <w:r>
        <w:rPr>
          <w:rFonts w:eastAsia="Times New Roman"/>
          <w:b w:val="0"/>
        </w:rPr>
        <w:t>ions at the time saw prices close to forecast four hours ahead.</w:t>
      </w:r>
    </w:p>
    <w:p w:rsidR="00F054C2" w:rsidRPr="00E52925" w:rsidRDefault="00F054C2" w:rsidP="00F054C2">
      <w:pPr>
        <w:pStyle w:val="Heading2"/>
        <w:rPr>
          <w:rFonts w:eastAsia="Times New Roman"/>
          <w:b w:val="0"/>
          <w:bCs w:val="0"/>
          <w:lang w:eastAsia="en-AU"/>
        </w:rPr>
      </w:pPr>
      <w:r>
        <w:rPr>
          <w:rFonts w:eastAsia="Times New Roman"/>
          <w:b w:val="0"/>
          <w:bCs w:val="0"/>
          <w:lang w:eastAsia="en-AU"/>
        </w:rPr>
        <w:t>South Australia</w:t>
      </w:r>
    </w:p>
    <w:p w:rsidR="00F054C2" w:rsidRDefault="00F054C2" w:rsidP="00F054C2">
      <w:pPr>
        <w:pStyle w:val="AERbodytext"/>
      </w:pPr>
      <w:r w:rsidRPr="00F054C2">
        <w:t xml:space="preserve">There were five occasions where the spot price in South Australia was greater than three times the South Australia weekly average price of $85/MWh and above </w:t>
      </w:r>
      <w:r w:rsidRPr="00E52925">
        <w:t>$250/MWh</w:t>
      </w:r>
      <w:r>
        <w:t>.</w:t>
      </w:r>
    </w:p>
    <w:p w:rsidR="00974F59" w:rsidRPr="00E52925" w:rsidRDefault="00DB7A94" w:rsidP="00974F59">
      <w:pPr>
        <w:pStyle w:val="Heading3"/>
        <w:rPr>
          <w:rFonts w:eastAsia="Times New Roman"/>
        </w:rPr>
      </w:pPr>
      <w:r>
        <w:rPr>
          <w:rFonts w:eastAsia="Times New Roman"/>
        </w:rPr>
        <w:t>Tu</w:t>
      </w:r>
      <w:r w:rsidR="00974F59">
        <w:rPr>
          <w:rFonts w:eastAsia="Times New Roman"/>
        </w:rPr>
        <w:t>esday</w:t>
      </w:r>
      <w:r w:rsidR="00974F59" w:rsidRPr="003C4327">
        <w:rPr>
          <w:rFonts w:eastAsia="Times New Roman"/>
        </w:rPr>
        <w:t xml:space="preserve">, </w:t>
      </w:r>
      <w:r>
        <w:rPr>
          <w:rFonts w:eastAsia="Times New Roman"/>
        </w:rPr>
        <w:t>7</w:t>
      </w:r>
      <w:r w:rsidR="00974F59">
        <w:rPr>
          <w:rFonts w:eastAsia="Times New Roman"/>
        </w:rPr>
        <w:t> March</w:t>
      </w:r>
    </w:p>
    <w:p w:rsidR="00974F59" w:rsidRDefault="00974F59" w:rsidP="00974F59">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Pr="00E52925">
        <w:rPr>
          <w:rFonts w:asciiTheme="minorHAnsi" w:hAnsiTheme="minorHAnsi" w:cstheme="minorHAnsi"/>
          <w:noProof/>
        </w:rPr>
        <w:t>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974F59" w:rsidRPr="00E52925" w:rsidTr="00AB0D5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974F59" w:rsidRPr="00E52925" w:rsidRDefault="00974F59" w:rsidP="00AB0D54">
            <w:pPr>
              <w:pStyle w:val="TableHeading"/>
              <w:jc w:val="center"/>
              <w:rPr>
                <w:rFonts w:cs="Arial"/>
                <w:b w:val="0"/>
                <w:sz w:val="20"/>
                <w:szCs w:val="20"/>
              </w:rPr>
            </w:pPr>
            <w:r w:rsidRPr="00E52925">
              <w:rPr>
                <w:rFonts w:cs="Arial"/>
                <w:b w:val="0"/>
                <w:sz w:val="20"/>
                <w:szCs w:val="20"/>
              </w:rPr>
              <w:t>Availability (MW)</w:t>
            </w:r>
          </w:p>
        </w:tc>
      </w:tr>
      <w:tr w:rsidR="00974F59" w:rsidRPr="00686EDE" w:rsidTr="00AB0D5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4 hr forecast</w:t>
            </w:r>
          </w:p>
        </w:tc>
        <w:tc>
          <w:tcPr>
            <w:tcW w:w="533"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12 hr forecast</w:t>
            </w:r>
          </w:p>
        </w:tc>
        <w:tc>
          <w:tcPr>
            <w:tcW w:w="455"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4 hr forecast</w:t>
            </w:r>
          </w:p>
        </w:tc>
        <w:tc>
          <w:tcPr>
            <w:tcW w:w="534"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12 hr forecast</w:t>
            </w:r>
          </w:p>
        </w:tc>
        <w:tc>
          <w:tcPr>
            <w:tcW w:w="532"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4 hr forecast</w:t>
            </w:r>
          </w:p>
        </w:tc>
        <w:tc>
          <w:tcPr>
            <w:tcW w:w="453" w:type="pct"/>
            <w:tcMar>
              <w:left w:w="57" w:type="dxa"/>
              <w:right w:w="57" w:type="dxa"/>
            </w:tcMar>
            <w:hideMark/>
          </w:tcPr>
          <w:p w:rsidR="00974F59" w:rsidRPr="00E52925" w:rsidRDefault="00974F59" w:rsidP="00AB0D54">
            <w:pPr>
              <w:pStyle w:val="tableheadingline2"/>
              <w:rPr>
                <w:rFonts w:cs="Arial"/>
                <w:sz w:val="20"/>
                <w:szCs w:val="20"/>
              </w:rPr>
            </w:pPr>
            <w:r w:rsidRPr="00E52925">
              <w:rPr>
                <w:rFonts w:cs="Arial"/>
                <w:sz w:val="20"/>
                <w:szCs w:val="20"/>
              </w:rPr>
              <w:t>12 hr forecast</w:t>
            </w:r>
          </w:p>
        </w:tc>
      </w:tr>
      <w:tr w:rsidR="00DB7A94" w:rsidRPr="00686EDE" w:rsidTr="00AB0D5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w:t>
            </w:r>
            <w:r>
              <w:rPr>
                <w:rFonts w:cs="Arial"/>
                <w:sz w:val="20"/>
                <w:szCs w:val="20"/>
              </w:rPr>
              <w:t> pm</w:t>
            </w:r>
          </w:p>
        </w:tc>
        <w:tc>
          <w:tcPr>
            <w:tcW w:w="51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270.69</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309.29</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349.98</w:t>
            </w:r>
          </w:p>
        </w:tc>
        <w:tc>
          <w:tcPr>
            <w:tcW w:w="455"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1462</w:t>
            </w:r>
          </w:p>
        </w:tc>
        <w:tc>
          <w:tcPr>
            <w:tcW w:w="45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1582</w:t>
            </w:r>
          </w:p>
        </w:tc>
        <w:tc>
          <w:tcPr>
            <w:tcW w:w="534"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1576</w:t>
            </w:r>
          </w:p>
        </w:tc>
        <w:tc>
          <w:tcPr>
            <w:tcW w:w="532"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1921</w:t>
            </w:r>
          </w:p>
        </w:tc>
        <w:tc>
          <w:tcPr>
            <w:tcW w:w="457"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2062</w:t>
            </w:r>
          </w:p>
        </w:tc>
        <w:tc>
          <w:tcPr>
            <w:tcW w:w="45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2059</w:t>
            </w:r>
          </w:p>
        </w:tc>
      </w:tr>
      <w:tr w:rsidR="00DB7A94" w:rsidRPr="00686EDE" w:rsidTr="00AB0D5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w:t>
            </w:r>
            <w:r>
              <w:rPr>
                <w:rFonts w:cs="Arial"/>
                <w:sz w:val="20"/>
                <w:szCs w:val="20"/>
              </w:rPr>
              <w:t>.30 pm</w:t>
            </w:r>
          </w:p>
        </w:tc>
        <w:tc>
          <w:tcPr>
            <w:tcW w:w="51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259.06</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349.98</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349.98</w:t>
            </w:r>
          </w:p>
        </w:tc>
        <w:tc>
          <w:tcPr>
            <w:tcW w:w="455"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1497</w:t>
            </w:r>
          </w:p>
        </w:tc>
        <w:tc>
          <w:tcPr>
            <w:tcW w:w="45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1617</w:t>
            </w:r>
          </w:p>
        </w:tc>
        <w:tc>
          <w:tcPr>
            <w:tcW w:w="534"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1612</w:t>
            </w:r>
          </w:p>
        </w:tc>
        <w:tc>
          <w:tcPr>
            <w:tcW w:w="532"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1898</w:t>
            </w:r>
          </w:p>
        </w:tc>
        <w:tc>
          <w:tcPr>
            <w:tcW w:w="457"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2031</w:t>
            </w:r>
          </w:p>
        </w:tc>
        <w:tc>
          <w:tcPr>
            <w:tcW w:w="45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2035</w:t>
            </w:r>
          </w:p>
        </w:tc>
      </w:tr>
      <w:tr w:rsidR="00DB7A94" w:rsidRPr="00686EDE" w:rsidTr="00AB0D5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w:t>
            </w:r>
            <w:r>
              <w:rPr>
                <w:rFonts w:cs="Arial"/>
                <w:sz w:val="20"/>
                <w:szCs w:val="20"/>
              </w:rPr>
              <w:t>.30 pm</w:t>
            </w:r>
          </w:p>
        </w:tc>
        <w:tc>
          <w:tcPr>
            <w:tcW w:w="51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271.26</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350.69</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350.69</w:t>
            </w:r>
          </w:p>
        </w:tc>
        <w:tc>
          <w:tcPr>
            <w:tcW w:w="455"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1540</w:t>
            </w:r>
          </w:p>
        </w:tc>
        <w:tc>
          <w:tcPr>
            <w:tcW w:w="45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1705</w:t>
            </w:r>
          </w:p>
        </w:tc>
        <w:tc>
          <w:tcPr>
            <w:tcW w:w="534"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1700</w:t>
            </w:r>
          </w:p>
        </w:tc>
        <w:tc>
          <w:tcPr>
            <w:tcW w:w="532"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1955</w:t>
            </w:r>
          </w:p>
        </w:tc>
        <w:tc>
          <w:tcPr>
            <w:tcW w:w="457"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2071</w:t>
            </w:r>
          </w:p>
        </w:tc>
        <w:tc>
          <w:tcPr>
            <w:tcW w:w="45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2097</w:t>
            </w:r>
          </w:p>
        </w:tc>
      </w:tr>
      <w:tr w:rsidR="00DB7A94" w:rsidRPr="00686EDE" w:rsidTr="00AB0D54">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w:t>
            </w:r>
            <w:r>
              <w:rPr>
                <w:rFonts w:cs="Arial"/>
                <w:sz w:val="20"/>
                <w:szCs w:val="20"/>
              </w:rPr>
              <w:t> pm</w:t>
            </w:r>
          </w:p>
        </w:tc>
        <w:tc>
          <w:tcPr>
            <w:tcW w:w="51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353.12</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485.69</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350.69</w:t>
            </w:r>
          </w:p>
        </w:tc>
        <w:tc>
          <w:tcPr>
            <w:tcW w:w="455"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1574</w:t>
            </w:r>
          </w:p>
        </w:tc>
        <w:tc>
          <w:tcPr>
            <w:tcW w:w="45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1748</w:t>
            </w:r>
          </w:p>
        </w:tc>
        <w:tc>
          <w:tcPr>
            <w:tcW w:w="534"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1732</w:t>
            </w:r>
          </w:p>
        </w:tc>
        <w:tc>
          <w:tcPr>
            <w:tcW w:w="532"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2013</w:t>
            </w:r>
          </w:p>
        </w:tc>
        <w:tc>
          <w:tcPr>
            <w:tcW w:w="457"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2103</w:t>
            </w:r>
          </w:p>
        </w:tc>
        <w:tc>
          <w:tcPr>
            <w:tcW w:w="45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2141</w:t>
            </w:r>
          </w:p>
        </w:tc>
      </w:tr>
      <w:tr w:rsidR="00DB7A94" w:rsidRPr="00686EDE" w:rsidTr="00AB0D5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w:t>
            </w:r>
            <w:r>
              <w:rPr>
                <w:rFonts w:cs="Arial"/>
                <w:sz w:val="20"/>
                <w:szCs w:val="20"/>
              </w:rPr>
              <w:t>.30 pm</w:t>
            </w:r>
          </w:p>
        </w:tc>
        <w:tc>
          <w:tcPr>
            <w:tcW w:w="51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349.98</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350.69</w:t>
            </w:r>
          </w:p>
        </w:tc>
        <w:tc>
          <w:tcPr>
            <w:tcW w:w="53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349.98</w:t>
            </w:r>
          </w:p>
        </w:tc>
        <w:tc>
          <w:tcPr>
            <w:tcW w:w="455"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1631</w:t>
            </w:r>
          </w:p>
        </w:tc>
        <w:tc>
          <w:tcPr>
            <w:tcW w:w="456"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1795</w:t>
            </w:r>
          </w:p>
        </w:tc>
        <w:tc>
          <w:tcPr>
            <w:tcW w:w="534"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1778</w:t>
            </w:r>
          </w:p>
        </w:tc>
        <w:tc>
          <w:tcPr>
            <w:tcW w:w="532"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2131</w:t>
            </w:r>
          </w:p>
        </w:tc>
        <w:tc>
          <w:tcPr>
            <w:tcW w:w="457"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2200</w:t>
            </w:r>
          </w:p>
        </w:tc>
        <w:tc>
          <w:tcPr>
            <w:tcW w:w="453" w:type="pct"/>
            <w:vAlign w:val="center"/>
          </w:tcPr>
          <w:p w:rsidR="00DB7A94" w:rsidRPr="00DB7A94" w:rsidRDefault="00DB7A94" w:rsidP="00DB7A94">
            <w:pPr>
              <w:spacing w:after="0" w:line="240" w:lineRule="auto"/>
              <w:jc w:val="center"/>
              <w:rPr>
                <w:rFonts w:cs="Arial"/>
                <w:sz w:val="20"/>
                <w:szCs w:val="20"/>
              </w:rPr>
            </w:pPr>
            <w:r w:rsidRPr="00DB7A94">
              <w:rPr>
                <w:rFonts w:cs="Arial"/>
                <w:sz w:val="20"/>
                <w:szCs w:val="20"/>
              </w:rPr>
              <w:t>2226</w:t>
            </w:r>
          </w:p>
        </w:tc>
      </w:tr>
    </w:tbl>
    <w:p w:rsidR="00DB7A94" w:rsidRDefault="000E0120">
      <w:pPr>
        <w:spacing w:line="240" w:lineRule="auto"/>
      </w:pPr>
      <w:r>
        <w:t>Conditions at the time saw prices close, or lower than, forecast levels.</w:t>
      </w:r>
    </w:p>
    <w:p w:rsidR="005C5287" w:rsidRDefault="005C5287">
      <w:pPr>
        <w:spacing w:line="240" w:lineRule="auto"/>
        <w:rPr>
          <w:rFonts w:eastAsiaTheme="majorEastAsia" w:cstheme="majorBidi"/>
          <w:b/>
          <w:bCs/>
          <w:color w:val="51626F"/>
          <w:sz w:val="28"/>
          <w:szCs w:val="26"/>
        </w:rPr>
      </w:pPr>
      <w:r>
        <w:br w:type="page"/>
      </w:r>
    </w:p>
    <w:p w:rsidR="00275002" w:rsidRPr="009064FC" w:rsidRDefault="00275002" w:rsidP="004F6D0A">
      <w:pPr>
        <w:pStyle w:val="Heading2"/>
      </w:pPr>
      <w:r w:rsidRPr="00686EDE">
        <w:lastRenderedPageBreak/>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755B85" w:rsidRPr="00293FE7">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5C2C58">
        <w:fldChar w:fldCharType="begin"/>
      </w:r>
      <w:r w:rsidR="005C2C58">
        <w:instrText xml:space="preserve"> SEQ Figure \* ARABIC </w:instrText>
      </w:r>
      <w:r w:rsidR="005C2C58">
        <w:fldChar w:fldCharType="separate"/>
      </w:r>
      <w:r w:rsidR="00755B85">
        <w:rPr>
          <w:noProof/>
        </w:rPr>
        <w:t>9</w:t>
      </w:r>
      <w:r w:rsidR="005C2C58">
        <w:rPr>
          <w:noProof/>
        </w:rPr>
        <w:fldChar w:fldCharType="end"/>
      </w:r>
      <w:bookmarkEnd w:id="21"/>
      <w:r w:rsidR="002515C3">
        <w:t>:</w:t>
      </w:r>
      <w:r>
        <w:t xml:space="preserve"> </w:t>
      </w:r>
      <w:r w:rsidRPr="007A6ACB">
        <w:t>Quarterly base future prices Q</w:t>
      </w:r>
      <w:r w:rsidR="00345595">
        <w:t>1</w:t>
      </w:r>
      <w:r w:rsidR="00C4712A">
        <w:t xml:space="preserve"> 201</w:t>
      </w:r>
      <w:r w:rsidR="00345595">
        <w:t>7</w:t>
      </w:r>
      <w:r w:rsidRPr="007A6ACB">
        <w:t xml:space="preserve"> – Q</w:t>
      </w:r>
      <w:r w:rsidR="00345595">
        <w:t>4</w:t>
      </w:r>
      <w:r w:rsidR="0069547C">
        <w:t xml:space="preserve"> 2020</w:t>
      </w:r>
      <w:r w:rsidR="003A585C" w:rsidRPr="003A585C">
        <w:rPr>
          <w:b w:val="0"/>
          <w:bCs w:val="0"/>
        </w:rPr>
        <w:t xml:space="preserve"> </w:t>
      </w:r>
      <w:r w:rsidR="00586153" w:rsidRPr="00586153">
        <w:rPr>
          <w:noProof/>
          <w:lang w:eastAsia="en-AU"/>
        </w:rPr>
        <w:drawing>
          <wp:inline distT="0" distB="0" distL="0" distR="0" wp14:anchorId="4A8E681C" wp14:editId="543CCD7E">
            <wp:extent cx="5731510" cy="2883012"/>
            <wp:effectExtent l="0" t="0" r="2540" b="0"/>
            <wp:docPr id="21" name="Picture 21"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01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r w:rsidRPr="00A64EBB">
        <w:rPr>
          <w:sz w:val="16"/>
          <w:szCs w:val="16"/>
        </w:rPr>
        <w:t>Source</w:t>
      </w:r>
      <w:r w:rsidR="00F72F41">
        <w:rPr>
          <w:sz w:val="16"/>
          <w:szCs w:val="16"/>
        </w:rPr>
        <w:t>.</w:t>
      </w:r>
      <w:r w:rsidRPr="00A64EBB">
        <w:rPr>
          <w:sz w:val="16"/>
          <w:szCs w:val="16"/>
        </w:rPr>
        <w:t xml:space="preserve"> </w:t>
      </w:r>
      <w:hyperlink r:id="rId21"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755B85" w:rsidRPr="000048ED">
        <w:t xml:space="preserve">Figure </w:t>
      </w:r>
      <w:r w:rsidR="00755B85" w:rsidRPr="000048ED">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5C2C58">
        <w:fldChar w:fldCharType="begin"/>
      </w:r>
      <w:r w:rsidR="005C2C58">
        <w:instrText xml:space="preserve"> SEQ Figure \* ARABIC </w:instrText>
      </w:r>
      <w:r w:rsidR="005C2C58">
        <w:fldChar w:fldCharType="separate"/>
      </w:r>
      <w:r w:rsidR="00755B85">
        <w:rPr>
          <w:noProof/>
        </w:rPr>
        <w:t>10</w:t>
      </w:r>
      <w:r w:rsidR="005C2C58">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586153" w:rsidP="00C466B4">
      <w:pPr>
        <w:pStyle w:val="Source"/>
        <w:spacing w:before="0" w:after="120" w:line="240" w:lineRule="auto"/>
        <w:jc w:val="both"/>
      </w:pPr>
      <w:r w:rsidRPr="00586153">
        <w:rPr>
          <w:noProof/>
          <w:lang w:eastAsia="en-AU"/>
        </w:rPr>
        <w:drawing>
          <wp:inline distT="0" distB="0" distL="0" distR="0" wp14:anchorId="215FD8E4" wp14:editId="75106DFA">
            <wp:extent cx="5731510" cy="2896033"/>
            <wp:effectExtent l="0" t="0" r="2540" b="0"/>
            <wp:docPr id="22" name="Picture 22"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033"/>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r w:rsidRPr="002A7439">
        <w:t>Source</w:t>
      </w:r>
      <w:r w:rsidR="00F72F41">
        <w:t>.</w:t>
      </w:r>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755B85" w:rsidRPr="000048ED">
        <w:t xml:space="preserve">Figure </w:t>
      </w:r>
      <w:r w:rsidR="00755B85" w:rsidRPr="000048ED">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r w:rsidR="005C2C58">
        <w:fldChar w:fldCharType="begin"/>
      </w:r>
      <w:r w:rsidR="005C2C58">
        <w:instrText xml:space="preserve"> SEQ Figure \* ARABIC </w:instrText>
      </w:r>
      <w:r w:rsidR="005C2C58">
        <w:fldChar w:fldCharType="separate"/>
      </w:r>
      <w:r w:rsidR="00755B85">
        <w:rPr>
          <w:noProof/>
        </w:rPr>
        <w:t>11</w:t>
      </w:r>
      <w:r w:rsidR="005C2C58">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6834AD" w:rsidP="008E0420">
      <w:r w:rsidRPr="006834AD">
        <w:rPr>
          <w:noProof/>
          <w:lang w:eastAsia="en-AU"/>
        </w:rPr>
        <w:drawing>
          <wp:inline distT="0" distB="0" distL="0" distR="0" wp14:anchorId="0BEA1053" wp14:editId="2D80F67A">
            <wp:extent cx="5731510" cy="2870107"/>
            <wp:effectExtent l="0" t="0" r="2540" b="6985"/>
            <wp:docPr id="23" name="Picture 23"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0107"/>
                    </a:xfrm>
                    <a:prstGeom prst="rect">
                      <a:avLst/>
                    </a:prstGeom>
                    <a:noFill/>
                    <a:ln>
                      <a:noFill/>
                    </a:ln>
                  </pic:spPr>
                </pic:pic>
              </a:graphicData>
            </a:graphic>
          </wp:inline>
        </w:drawing>
      </w:r>
    </w:p>
    <w:p w:rsidR="000D4350" w:rsidRDefault="00275002" w:rsidP="00037EB9">
      <w:pPr>
        <w:pStyle w:val="Source"/>
        <w:spacing w:before="0" w:after="0" w:line="240" w:lineRule="auto"/>
      </w:pPr>
      <w:r w:rsidRPr="002A7439">
        <w:t>Source</w:t>
      </w:r>
      <w:r w:rsidR="00F72F41">
        <w:t>.</w:t>
      </w:r>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F7640C">
        <w:t>March</w:t>
      </w:r>
      <w:r w:rsidR="00854750">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C2C58">
      <w:rPr>
        <w:rFonts w:cs="Arial"/>
        <w:i/>
        <w:noProof/>
      </w:rPr>
      <w:t>7</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C2C58">
      <w:rPr>
        <w:rFonts w:cs="Arial"/>
        <w:i/>
        <w:noProof/>
      </w:rPr>
      <w:t>1</w:t>
    </w:r>
    <w:r w:rsidRPr="001F1B78">
      <w:rPr>
        <w:rFonts w:cs="Arial"/>
        <w:i/>
        <w:noProof/>
      </w:rPr>
      <w:fldChar w:fldCharType="end"/>
    </w:r>
    <w:r w:rsidRPr="00F52F00">
      <w:rPr>
        <w:rFonts w:cs="Arial"/>
        <w:i/>
      </w:rPr>
      <w:tab/>
      <w:t>AER reference</w:t>
    </w:r>
    <w:r w:rsidRPr="0000255F">
      <w:rPr>
        <w:rFonts w:cs="Arial"/>
        <w:i/>
      </w:rPr>
      <w:t>: 39220 – D17/</w:t>
    </w:r>
    <w:r w:rsidR="00F86173">
      <w:rPr>
        <w:rFonts w:cs="Arial"/>
        <w:i/>
      </w:rPr>
      <w:t>39950</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53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944\D17 39950  20170305 - 20170311 Electricity Report - draft completed, unpublished.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56E8"/>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A79BC"/>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3BF8"/>
    <w:rsid w:val="0028440E"/>
    <w:rsid w:val="0028521F"/>
    <w:rsid w:val="00285B8A"/>
    <w:rsid w:val="00286874"/>
    <w:rsid w:val="00286D68"/>
    <w:rsid w:val="00286F80"/>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195C"/>
    <w:rsid w:val="00513F48"/>
    <w:rsid w:val="00513F7F"/>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2C58"/>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FE2"/>
    <w:rsid w:val="007C7930"/>
    <w:rsid w:val="007D00F6"/>
    <w:rsid w:val="007D1133"/>
    <w:rsid w:val="007D1258"/>
    <w:rsid w:val="007D2028"/>
    <w:rsid w:val="007D47B2"/>
    <w:rsid w:val="007D53A8"/>
    <w:rsid w:val="007D569E"/>
    <w:rsid w:val="007D6551"/>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BC3"/>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594F"/>
    <w:rsid w:val="00D4681D"/>
    <w:rsid w:val="00D46841"/>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971"/>
    <w:rsid w:val="00D7672A"/>
    <w:rsid w:val="00D76DC7"/>
    <w:rsid w:val="00D77C40"/>
    <w:rsid w:val="00D80893"/>
    <w:rsid w:val="00D81B2D"/>
    <w:rsid w:val="00D839A7"/>
    <w:rsid w:val="00D83BFF"/>
    <w:rsid w:val="00D83DD9"/>
    <w:rsid w:val="00D84797"/>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4C2"/>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0FFD04-557A-4544-81BF-C53B928D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8A598EDC.dotm</Template>
  <TotalTime>0</TotalTime>
  <Pages>9</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2017-03-29T04:59:00Z</dcterms:created>
  <dcterms:modified xsi:type="dcterms:W3CDTF">2017-03-29T04:59:00Z</dcterms:modified>
</cp:coreProperties>
</file>