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BCF591B" wp14:editId="2C9A2A2A">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D81099" w:rsidP="002A4EF8">
      <w:pPr>
        <w:rPr>
          <w:b/>
          <w:sz w:val="36"/>
          <w:szCs w:val="36"/>
        </w:rPr>
      </w:pPr>
      <w:r>
        <w:rPr>
          <w:b/>
          <w:sz w:val="36"/>
          <w:szCs w:val="36"/>
        </w:rPr>
        <w:t>9</w:t>
      </w:r>
      <w:r w:rsidR="002A4EC8">
        <w:rPr>
          <w:b/>
          <w:sz w:val="36"/>
          <w:szCs w:val="36"/>
        </w:rPr>
        <w:t xml:space="preserve"> - </w:t>
      </w:r>
      <w:r>
        <w:rPr>
          <w:b/>
          <w:sz w:val="36"/>
          <w:szCs w:val="36"/>
        </w:rPr>
        <w:t>15</w:t>
      </w:r>
      <w:r w:rsidR="00432A51">
        <w:rPr>
          <w:b/>
          <w:sz w:val="36"/>
          <w:szCs w:val="36"/>
        </w:rPr>
        <w:t> </w:t>
      </w:r>
      <w:r w:rsidR="00F76B1F">
        <w:rPr>
          <w:b/>
          <w:sz w:val="36"/>
          <w:szCs w:val="36"/>
        </w:rPr>
        <w:t>July</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412C46" w:rsidRPr="0000255F">
        <w:t xml:space="preserve">Figure </w:t>
      </w:r>
      <w:r w:rsidR="00412C46">
        <w:t>1</w:t>
      </w:r>
      <w:r w:rsidRPr="00F21187">
        <w:fldChar w:fldCharType="end"/>
      </w:r>
      <w:r w:rsidRPr="00F21187">
        <w:t xml:space="preserve"> </w:t>
      </w:r>
      <w:r w:rsidR="00AF7058" w:rsidRPr="00F21187">
        <w:t xml:space="preserve">shows the spot prices that occurred in each region during the week </w:t>
      </w:r>
      <w:r w:rsidR="00D81099">
        <w:t>9 - 15</w:t>
      </w:r>
      <w:r w:rsidR="00D94449">
        <w:t> </w:t>
      </w:r>
      <w:r w:rsidR="00F76B1F">
        <w:t>July</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E67B62">
        <w:fldChar w:fldCharType="begin"/>
      </w:r>
      <w:r w:rsidR="00E67B62">
        <w:instrText xml:space="preserve"> SEQ Figure \* ARABIC </w:instrText>
      </w:r>
      <w:r w:rsidR="00E67B62">
        <w:fldChar w:fldCharType="separate"/>
      </w:r>
      <w:r w:rsidR="00412C46">
        <w:rPr>
          <w:noProof/>
        </w:rPr>
        <w:t>1</w:t>
      </w:r>
      <w:r w:rsidR="00E67B62">
        <w:rPr>
          <w:noProof/>
        </w:rPr>
        <w:fldChar w:fldCharType="end"/>
      </w:r>
      <w:bookmarkEnd w:id="6"/>
      <w:r w:rsidRPr="0000255F">
        <w:t>: Spot price by region ($/MWh)</w:t>
      </w:r>
    </w:p>
    <w:p w:rsidR="00EC05BF" w:rsidRDefault="004E4495" w:rsidP="00C4712A">
      <w:pPr>
        <w:pStyle w:val="Caption"/>
        <w:rPr>
          <w:bCs w:val="0"/>
          <w:lang w:eastAsia="en-AU"/>
        </w:rPr>
      </w:pPr>
      <w:r w:rsidRPr="004E4495">
        <w:rPr>
          <w:noProof/>
          <w:lang w:eastAsia="en-AU"/>
        </w:rPr>
        <w:drawing>
          <wp:inline distT="0" distB="0" distL="0" distR="0" wp14:anchorId="3150606E" wp14:editId="73902743">
            <wp:extent cx="5731510" cy="2859781"/>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412C46" w:rsidRPr="0000255F">
        <w:t xml:space="preserve">Figure </w:t>
      </w:r>
      <w:r w:rsidR="00412C46">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412C46" w:rsidRPr="00686EDE">
        <w:t xml:space="preserve">Table </w:t>
      </w:r>
      <w:r w:rsidR="00412C46">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E67B62">
        <w:fldChar w:fldCharType="begin"/>
      </w:r>
      <w:r w:rsidR="00E67B62">
        <w:instrText xml:space="preserve"> SEQ Figure \* ARABIC </w:instrText>
      </w:r>
      <w:r w:rsidR="00E67B62">
        <w:fldChar w:fldCharType="separate"/>
      </w:r>
      <w:r w:rsidR="00412C46">
        <w:rPr>
          <w:noProof/>
        </w:rPr>
        <w:t>2</w:t>
      </w:r>
      <w:r w:rsidR="00E67B62">
        <w:rPr>
          <w:noProof/>
        </w:rPr>
        <w:fldChar w:fldCharType="end"/>
      </w:r>
      <w:bookmarkEnd w:id="9"/>
      <w:r w:rsidRPr="0000255F">
        <w:t>: Volume weighted average spot price by region ($/MWh)</w:t>
      </w:r>
    </w:p>
    <w:p w:rsidR="001F22EE" w:rsidRDefault="00495F84" w:rsidP="00F167CF">
      <w:pPr>
        <w:spacing w:before="0" w:after="120" w:line="240" w:lineRule="auto"/>
      </w:pPr>
      <w:r w:rsidRPr="00495F84">
        <w:rPr>
          <w:noProof/>
          <w:lang w:eastAsia="en-AU"/>
        </w:rPr>
        <w:drawing>
          <wp:inline distT="0" distB="0" distL="0" distR="0" wp14:anchorId="7C3F243B" wp14:editId="1D5DE50B">
            <wp:extent cx="5731510" cy="2859781"/>
            <wp:effectExtent l="0" t="0" r="2540" b="0"/>
            <wp:docPr id="3" name="Picture 3"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E67B62">
        <w:fldChar w:fldCharType="begin"/>
      </w:r>
      <w:r w:rsidR="00E67B62">
        <w:instrText xml:space="preserve"> SEQ Table \* ARABIC </w:instrText>
      </w:r>
      <w:r w:rsidR="00E67B62">
        <w:fldChar w:fldCharType="separate"/>
      </w:r>
      <w:r w:rsidR="00412C46">
        <w:rPr>
          <w:noProof/>
        </w:rPr>
        <w:t>1</w:t>
      </w:r>
      <w:r w:rsidR="00E67B62">
        <w:rPr>
          <w:noProof/>
        </w:rPr>
        <w:fldChar w:fldCharType="end"/>
      </w:r>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83"/>
        <w:gridCol w:w="1385"/>
        <w:gridCol w:w="1387"/>
        <w:gridCol w:w="1385"/>
        <w:gridCol w:w="1387"/>
        <w:gridCol w:w="138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495F84"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495F84" w:rsidRPr="004B59AD" w:rsidRDefault="00495F84" w:rsidP="00A4483A">
            <w:pPr>
              <w:spacing w:before="60" w:after="60"/>
              <w:rPr>
                <w:rFonts w:cs="Arial"/>
                <w:bCs/>
                <w:szCs w:val="18"/>
              </w:rPr>
            </w:pPr>
            <w:r w:rsidRPr="004B59AD">
              <w:rPr>
                <w:rFonts w:cs="Arial"/>
                <w:bCs/>
                <w:szCs w:val="18"/>
              </w:rPr>
              <w:t>Current week</w:t>
            </w:r>
          </w:p>
        </w:tc>
        <w:tc>
          <w:tcPr>
            <w:tcW w:w="728" w:type="pct"/>
            <w:noWrap/>
            <w:vAlign w:val="center"/>
          </w:tcPr>
          <w:p w:rsidR="00495F84" w:rsidRDefault="00495F84" w:rsidP="00495F84">
            <w:pPr>
              <w:spacing w:before="60" w:after="60"/>
              <w:jc w:val="center"/>
              <w:rPr>
                <w:rFonts w:cs="Arial"/>
                <w:sz w:val="20"/>
                <w:szCs w:val="20"/>
              </w:rPr>
            </w:pPr>
            <w:r>
              <w:rPr>
                <w:rFonts w:cs="Arial"/>
                <w:sz w:val="20"/>
                <w:szCs w:val="20"/>
              </w:rPr>
              <w:t>73</w:t>
            </w:r>
          </w:p>
        </w:tc>
        <w:tc>
          <w:tcPr>
            <w:tcW w:w="729" w:type="pct"/>
            <w:noWrap/>
            <w:vAlign w:val="center"/>
          </w:tcPr>
          <w:p w:rsidR="00495F84" w:rsidRDefault="00495F84" w:rsidP="00495F84">
            <w:pPr>
              <w:spacing w:before="60" w:after="60"/>
              <w:jc w:val="center"/>
              <w:rPr>
                <w:rFonts w:cs="Arial"/>
                <w:sz w:val="20"/>
                <w:szCs w:val="20"/>
              </w:rPr>
            </w:pPr>
            <w:r>
              <w:rPr>
                <w:rFonts w:cs="Arial"/>
                <w:sz w:val="20"/>
                <w:szCs w:val="20"/>
              </w:rPr>
              <w:t>88</w:t>
            </w:r>
          </w:p>
        </w:tc>
        <w:tc>
          <w:tcPr>
            <w:tcW w:w="728" w:type="pct"/>
            <w:noWrap/>
            <w:vAlign w:val="center"/>
          </w:tcPr>
          <w:p w:rsidR="00495F84" w:rsidRDefault="00495F84" w:rsidP="00495F84">
            <w:pPr>
              <w:spacing w:before="60" w:after="60"/>
              <w:jc w:val="center"/>
              <w:rPr>
                <w:rFonts w:cs="Arial"/>
                <w:sz w:val="20"/>
                <w:szCs w:val="20"/>
              </w:rPr>
            </w:pPr>
            <w:r>
              <w:rPr>
                <w:rFonts w:cs="Arial"/>
                <w:sz w:val="20"/>
                <w:szCs w:val="20"/>
              </w:rPr>
              <w:t>122</w:t>
            </w:r>
          </w:p>
        </w:tc>
        <w:tc>
          <w:tcPr>
            <w:tcW w:w="729" w:type="pct"/>
            <w:noWrap/>
            <w:vAlign w:val="center"/>
          </w:tcPr>
          <w:p w:rsidR="00495F84" w:rsidRDefault="00495F84" w:rsidP="00495F84">
            <w:pPr>
              <w:spacing w:before="60" w:after="60"/>
              <w:jc w:val="center"/>
              <w:rPr>
                <w:rFonts w:cs="Arial"/>
                <w:sz w:val="20"/>
                <w:szCs w:val="20"/>
              </w:rPr>
            </w:pPr>
            <w:r>
              <w:rPr>
                <w:rFonts w:cs="Arial"/>
                <w:sz w:val="20"/>
                <w:szCs w:val="20"/>
              </w:rPr>
              <w:t>126</w:t>
            </w:r>
          </w:p>
        </w:tc>
        <w:tc>
          <w:tcPr>
            <w:tcW w:w="729" w:type="pct"/>
            <w:noWrap/>
            <w:vAlign w:val="center"/>
          </w:tcPr>
          <w:p w:rsidR="00495F84" w:rsidRDefault="00495F84" w:rsidP="00495F84">
            <w:pPr>
              <w:spacing w:before="60" w:after="60"/>
              <w:jc w:val="center"/>
              <w:rPr>
                <w:rFonts w:cs="Arial"/>
                <w:sz w:val="20"/>
                <w:szCs w:val="20"/>
              </w:rPr>
            </w:pPr>
            <w:r>
              <w:rPr>
                <w:rFonts w:cs="Arial"/>
                <w:sz w:val="20"/>
                <w:szCs w:val="20"/>
              </w:rPr>
              <w:t>123</w:t>
            </w:r>
          </w:p>
        </w:tc>
      </w:tr>
      <w:tr w:rsidR="00A915CE" w:rsidRPr="00C4712A" w:rsidTr="00792E43">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A915CE" w:rsidRPr="00A915CE" w:rsidRDefault="00A915CE" w:rsidP="00A915CE">
            <w:pPr>
              <w:spacing w:before="60" w:after="60"/>
              <w:rPr>
                <w:rFonts w:cs="Arial"/>
                <w:sz w:val="20"/>
                <w:szCs w:val="20"/>
              </w:rPr>
            </w:pPr>
            <w:r w:rsidRPr="00A915CE">
              <w:rPr>
                <w:rFonts w:cs="Arial"/>
                <w:sz w:val="20"/>
                <w:szCs w:val="20"/>
              </w:rPr>
              <w:t>16-17 financial YTD</w:t>
            </w:r>
          </w:p>
        </w:tc>
        <w:tc>
          <w:tcPr>
            <w:tcW w:w="728" w:type="pct"/>
            <w:noWrap/>
            <w:vAlign w:val="center"/>
          </w:tcPr>
          <w:p w:rsidR="00A915CE" w:rsidRDefault="00A915CE" w:rsidP="00495F84">
            <w:pPr>
              <w:spacing w:before="60" w:after="60"/>
              <w:jc w:val="center"/>
              <w:rPr>
                <w:rFonts w:cs="Arial"/>
                <w:sz w:val="20"/>
                <w:szCs w:val="20"/>
              </w:rPr>
            </w:pPr>
            <w:r>
              <w:rPr>
                <w:rFonts w:cs="Arial"/>
                <w:sz w:val="20"/>
                <w:szCs w:val="20"/>
              </w:rPr>
              <w:t>85</w:t>
            </w:r>
          </w:p>
        </w:tc>
        <w:tc>
          <w:tcPr>
            <w:tcW w:w="729" w:type="pct"/>
            <w:noWrap/>
            <w:vAlign w:val="center"/>
          </w:tcPr>
          <w:p w:rsidR="00A915CE" w:rsidRDefault="00A915CE" w:rsidP="00495F84">
            <w:pPr>
              <w:spacing w:before="60" w:after="60"/>
              <w:jc w:val="center"/>
              <w:rPr>
                <w:rFonts w:cs="Arial"/>
                <w:sz w:val="20"/>
                <w:szCs w:val="20"/>
              </w:rPr>
            </w:pPr>
            <w:r>
              <w:rPr>
                <w:rFonts w:cs="Arial"/>
                <w:sz w:val="20"/>
                <w:szCs w:val="20"/>
              </w:rPr>
              <w:t>97</w:t>
            </w:r>
          </w:p>
        </w:tc>
        <w:tc>
          <w:tcPr>
            <w:tcW w:w="728" w:type="pct"/>
            <w:noWrap/>
            <w:vAlign w:val="center"/>
          </w:tcPr>
          <w:p w:rsidR="00A915CE" w:rsidRDefault="00A915CE" w:rsidP="00495F84">
            <w:pPr>
              <w:spacing w:before="60" w:after="60"/>
              <w:jc w:val="center"/>
              <w:rPr>
                <w:rFonts w:cs="Arial"/>
                <w:sz w:val="20"/>
                <w:szCs w:val="20"/>
              </w:rPr>
            </w:pPr>
            <w:r>
              <w:rPr>
                <w:rFonts w:cs="Arial"/>
                <w:sz w:val="20"/>
                <w:szCs w:val="20"/>
              </w:rPr>
              <w:t>94</w:t>
            </w:r>
          </w:p>
        </w:tc>
        <w:tc>
          <w:tcPr>
            <w:tcW w:w="729" w:type="pct"/>
            <w:noWrap/>
            <w:vAlign w:val="center"/>
          </w:tcPr>
          <w:p w:rsidR="00A915CE" w:rsidRDefault="00A915CE" w:rsidP="00495F84">
            <w:pPr>
              <w:spacing w:before="60" w:after="60"/>
              <w:jc w:val="center"/>
              <w:rPr>
                <w:rFonts w:cs="Arial"/>
                <w:sz w:val="20"/>
                <w:szCs w:val="20"/>
              </w:rPr>
            </w:pPr>
            <w:r>
              <w:rPr>
                <w:rFonts w:cs="Arial"/>
                <w:sz w:val="20"/>
                <w:szCs w:val="20"/>
              </w:rPr>
              <w:t>398</w:t>
            </w:r>
          </w:p>
        </w:tc>
        <w:tc>
          <w:tcPr>
            <w:tcW w:w="729" w:type="pct"/>
            <w:noWrap/>
            <w:vAlign w:val="center"/>
          </w:tcPr>
          <w:p w:rsidR="00A915CE" w:rsidRDefault="00A915CE" w:rsidP="00495F84">
            <w:pPr>
              <w:spacing w:before="60" w:after="60"/>
              <w:jc w:val="center"/>
              <w:rPr>
                <w:rFonts w:cs="Arial"/>
                <w:sz w:val="20"/>
                <w:szCs w:val="20"/>
              </w:rPr>
            </w:pPr>
            <w:r>
              <w:rPr>
                <w:rFonts w:cs="Arial"/>
                <w:sz w:val="20"/>
                <w:szCs w:val="20"/>
              </w:rPr>
              <w:t>95</w:t>
            </w:r>
          </w:p>
        </w:tc>
      </w:tr>
      <w:tr w:rsidR="00A915CE" w:rsidRPr="00C4712A" w:rsidTr="00792E43">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vAlign w:val="center"/>
            <w:hideMark/>
          </w:tcPr>
          <w:p w:rsidR="00A915CE" w:rsidRPr="00A915CE" w:rsidRDefault="00A915CE" w:rsidP="00A915CE">
            <w:pPr>
              <w:spacing w:before="60" w:after="60"/>
              <w:rPr>
                <w:rFonts w:cs="Arial"/>
                <w:sz w:val="20"/>
                <w:szCs w:val="20"/>
              </w:rPr>
            </w:pPr>
            <w:r w:rsidRPr="00A915CE">
              <w:rPr>
                <w:rFonts w:cs="Arial"/>
                <w:sz w:val="20"/>
                <w:szCs w:val="20"/>
              </w:rPr>
              <w:t>17-18 financial YTD</w:t>
            </w:r>
          </w:p>
        </w:tc>
        <w:tc>
          <w:tcPr>
            <w:tcW w:w="728" w:type="pct"/>
            <w:noWrap/>
            <w:vAlign w:val="center"/>
          </w:tcPr>
          <w:p w:rsidR="00A915CE" w:rsidRDefault="00A915CE" w:rsidP="00495F84">
            <w:pPr>
              <w:spacing w:before="60" w:after="60"/>
              <w:jc w:val="center"/>
              <w:rPr>
                <w:rFonts w:cs="Arial"/>
                <w:sz w:val="20"/>
                <w:szCs w:val="20"/>
              </w:rPr>
            </w:pPr>
            <w:r>
              <w:rPr>
                <w:rFonts w:cs="Arial"/>
                <w:sz w:val="20"/>
                <w:szCs w:val="20"/>
              </w:rPr>
              <w:t>75</w:t>
            </w:r>
          </w:p>
        </w:tc>
        <w:tc>
          <w:tcPr>
            <w:tcW w:w="729" w:type="pct"/>
            <w:noWrap/>
            <w:vAlign w:val="center"/>
          </w:tcPr>
          <w:p w:rsidR="00A915CE" w:rsidRDefault="00A915CE" w:rsidP="00495F84">
            <w:pPr>
              <w:spacing w:before="60" w:after="60"/>
              <w:jc w:val="center"/>
              <w:rPr>
                <w:rFonts w:cs="Arial"/>
                <w:sz w:val="20"/>
                <w:szCs w:val="20"/>
              </w:rPr>
            </w:pPr>
            <w:r>
              <w:rPr>
                <w:rFonts w:cs="Arial"/>
                <w:sz w:val="20"/>
                <w:szCs w:val="20"/>
              </w:rPr>
              <w:t>89</w:t>
            </w:r>
          </w:p>
        </w:tc>
        <w:tc>
          <w:tcPr>
            <w:tcW w:w="728" w:type="pct"/>
            <w:noWrap/>
            <w:vAlign w:val="center"/>
          </w:tcPr>
          <w:p w:rsidR="00A915CE" w:rsidRDefault="00A915CE" w:rsidP="00495F84">
            <w:pPr>
              <w:spacing w:before="60" w:after="60"/>
              <w:jc w:val="center"/>
              <w:rPr>
                <w:rFonts w:cs="Arial"/>
                <w:sz w:val="20"/>
                <w:szCs w:val="20"/>
              </w:rPr>
            </w:pPr>
            <w:r>
              <w:rPr>
                <w:rFonts w:cs="Arial"/>
                <w:sz w:val="20"/>
                <w:szCs w:val="20"/>
              </w:rPr>
              <w:t>128</w:t>
            </w:r>
          </w:p>
        </w:tc>
        <w:tc>
          <w:tcPr>
            <w:tcW w:w="729" w:type="pct"/>
            <w:noWrap/>
            <w:vAlign w:val="center"/>
          </w:tcPr>
          <w:p w:rsidR="00A915CE" w:rsidRDefault="00A915CE" w:rsidP="00495F84">
            <w:pPr>
              <w:spacing w:before="60" w:after="60"/>
              <w:jc w:val="center"/>
              <w:rPr>
                <w:rFonts w:cs="Arial"/>
                <w:sz w:val="20"/>
                <w:szCs w:val="20"/>
              </w:rPr>
            </w:pPr>
            <w:r>
              <w:rPr>
                <w:rFonts w:cs="Arial"/>
                <w:sz w:val="20"/>
                <w:szCs w:val="20"/>
              </w:rPr>
              <w:t>127</w:t>
            </w:r>
          </w:p>
        </w:tc>
        <w:tc>
          <w:tcPr>
            <w:tcW w:w="729" w:type="pct"/>
            <w:noWrap/>
            <w:vAlign w:val="center"/>
          </w:tcPr>
          <w:p w:rsidR="00A915CE" w:rsidRDefault="00A915CE" w:rsidP="00495F84">
            <w:pPr>
              <w:spacing w:before="60" w:after="60"/>
              <w:jc w:val="center"/>
              <w:rPr>
                <w:rFonts w:cs="Arial"/>
                <w:sz w:val="20"/>
                <w:szCs w:val="20"/>
              </w:rPr>
            </w:pPr>
            <w:r>
              <w:rPr>
                <w:rFonts w:cs="Arial"/>
                <w:sz w:val="20"/>
                <w:szCs w:val="20"/>
              </w:rPr>
              <w:t>127</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A4483A">
        <w:t>1</w:t>
      </w:r>
      <w:r w:rsidR="00495F84">
        <w:t>45</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412C46" w:rsidRPr="00686EDE">
        <w:t xml:space="preserve">Table </w:t>
      </w:r>
      <w:r w:rsidR="00412C46">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r w:rsidR="00E67B62">
        <w:fldChar w:fldCharType="begin"/>
      </w:r>
      <w:r w:rsidR="00E67B62">
        <w:instrText xml:space="preserve"> SEQ Table \* ARABIC </w:instrText>
      </w:r>
      <w:r w:rsidR="00E67B62">
        <w:fldChar w:fldCharType="separate"/>
      </w:r>
      <w:r w:rsidR="00412C46">
        <w:rPr>
          <w:noProof/>
        </w:rPr>
        <w:t>2</w:t>
      </w:r>
      <w:r w:rsidR="00E67B62">
        <w:rPr>
          <w:noProof/>
        </w:rPr>
        <w:fldChar w:fldCharType="end"/>
      </w:r>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495F84"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95F84" w:rsidRPr="00865A94" w:rsidRDefault="00495F84" w:rsidP="008E7AE1">
            <w:pPr>
              <w:spacing w:after="0" w:line="240" w:lineRule="auto"/>
              <w:rPr>
                <w:sz w:val="20"/>
                <w:szCs w:val="20"/>
              </w:rPr>
            </w:pPr>
            <w:r w:rsidRPr="00865A94">
              <w:rPr>
                <w:sz w:val="20"/>
                <w:szCs w:val="20"/>
              </w:rPr>
              <w:t>% of total above forecast</w:t>
            </w:r>
          </w:p>
        </w:tc>
        <w:tc>
          <w:tcPr>
            <w:tcW w:w="1571" w:type="dxa"/>
            <w:noWrap/>
            <w:vAlign w:val="center"/>
          </w:tcPr>
          <w:p w:rsidR="00495F84" w:rsidRDefault="00495F84" w:rsidP="00495F84">
            <w:pPr>
              <w:spacing w:before="60" w:after="60"/>
              <w:jc w:val="center"/>
              <w:rPr>
                <w:rFonts w:cs="Arial"/>
                <w:sz w:val="20"/>
                <w:szCs w:val="20"/>
              </w:rPr>
            </w:pPr>
            <w:r>
              <w:rPr>
                <w:rFonts w:cs="Arial"/>
                <w:sz w:val="20"/>
                <w:szCs w:val="20"/>
              </w:rPr>
              <w:t>1</w:t>
            </w:r>
          </w:p>
        </w:tc>
        <w:tc>
          <w:tcPr>
            <w:tcW w:w="1572" w:type="dxa"/>
            <w:noWrap/>
            <w:vAlign w:val="center"/>
          </w:tcPr>
          <w:p w:rsidR="00495F84" w:rsidRDefault="00495F84" w:rsidP="00495F84">
            <w:pPr>
              <w:spacing w:before="60" w:after="60"/>
              <w:jc w:val="center"/>
              <w:rPr>
                <w:rFonts w:cs="Arial"/>
                <w:sz w:val="20"/>
                <w:szCs w:val="20"/>
              </w:rPr>
            </w:pPr>
            <w:r>
              <w:rPr>
                <w:rFonts w:cs="Arial"/>
                <w:sz w:val="20"/>
                <w:szCs w:val="20"/>
              </w:rPr>
              <w:t>31</w:t>
            </w:r>
          </w:p>
        </w:tc>
        <w:tc>
          <w:tcPr>
            <w:tcW w:w="1572" w:type="dxa"/>
            <w:noWrap/>
            <w:vAlign w:val="center"/>
          </w:tcPr>
          <w:p w:rsidR="00495F84" w:rsidRDefault="00495F84" w:rsidP="00495F84">
            <w:pPr>
              <w:spacing w:before="60" w:after="60"/>
              <w:jc w:val="center"/>
              <w:rPr>
                <w:rFonts w:cs="Arial"/>
                <w:sz w:val="20"/>
                <w:szCs w:val="20"/>
              </w:rPr>
            </w:pPr>
            <w:r>
              <w:rPr>
                <w:rFonts w:cs="Arial"/>
                <w:sz w:val="20"/>
                <w:szCs w:val="20"/>
              </w:rPr>
              <w:t>0</w:t>
            </w:r>
          </w:p>
        </w:tc>
        <w:tc>
          <w:tcPr>
            <w:tcW w:w="1572" w:type="dxa"/>
            <w:vAlign w:val="center"/>
          </w:tcPr>
          <w:p w:rsidR="00495F84" w:rsidRDefault="00495F84" w:rsidP="00495F84">
            <w:pPr>
              <w:spacing w:before="60" w:after="60"/>
              <w:jc w:val="center"/>
              <w:rPr>
                <w:rFonts w:cs="Arial"/>
                <w:sz w:val="20"/>
                <w:szCs w:val="20"/>
              </w:rPr>
            </w:pPr>
            <w:r>
              <w:rPr>
                <w:rFonts w:cs="Arial"/>
                <w:sz w:val="20"/>
                <w:szCs w:val="20"/>
              </w:rPr>
              <w:t>4</w:t>
            </w:r>
          </w:p>
        </w:tc>
      </w:tr>
      <w:tr w:rsidR="00495F84"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95F84" w:rsidRPr="00865A94" w:rsidRDefault="00495F84" w:rsidP="008E7AE1">
            <w:pPr>
              <w:spacing w:after="0" w:line="240" w:lineRule="auto"/>
              <w:rPr>
                <w:sz w:val="20"/>
                <w:szCs w:val="20"/>
              </w:rPr>
            </w:pPr>
            <w:r w:rsidRPr="00865A94">
              <w:rPr>
                <w:sz w:val="20"/>
                <w:szCs w:val="20"/>
              </w:rPr>
              <w:t>% of total below forecast</w:t>
            </w:r>
          </w:p>
        </w:tc>
        <w:tc>
          <w:tcPr>
            <w:tcW w:w="1571" w:type="dxa"/>
            <w:noWrap/>
            <w:vAlign w:val="center"/>
          </w:tcPr>
          <w:p w:rsidR="00495F84" w:rsidRDefault="00495F84" w:rsidP="00495F84">
            <w:pPr>
              <w:spacing w:before="60" w:after="60"/>
              <w:jc w:val="center"/>
              <w:rPr>
                <w:rFonts w:cs="Arial"/>
                <w:sz w:val="20"/>
                <w:szCs w:val="20"/>
              </w:rPr>
            </w:pPr>
            <w:r>
              <w:rPr>
                <w:rFonts w:cs="Arial"/>
                <w:sz w:val="20"/>
                <w:szCs w:val="20"/>
              </w:rPr>
              <w:t>57</w:t>
            </w:r>
          </w:p>
        </w:tc>
        <w:tc>
          <w:tcPr>
            <w:tcW w:w="1572" w:type="dxa"/>
            <w:noWrap/>
            <w:vAlign w:val="center"/>
          </w:tcPr>
          <w:p w:rsidR="00495F84" w:rsidRDefault="00495F84" w:rsidP="00495F84">
            <w:pPr>
              <w:spacing w:before="60" w:after="60"/>
              <w:jc w:val="center"/>
              <w:rPr>
                <w:rFonts w:cs="Arial"/>
                <w:sz w:val="20"/>
                <w:szCs w:val="20"/>
              </w:rPr>
            </w:pPr>
            <w:r>
              <w:rPr>
                <w:rFonts w:cs="Arial"/>
                <w:sz w:val="20"/>
                <w:szCs w:val="20"/>
              </w:rPr>
              <w:t>6</w:t>
            </w:r>
          </w:p>
        </w:tc>
        <w:tc>
          <w:tcPr>
            <w:tcW w:w="1572" w:type="dxa"/>
            <w:noWrap/>
            <w:vAlign w:val="center"/>
          </w:tcPr>
          <w:p w:rsidR="00495F84" w:rsidRDefault="00495F84" w:rsidP="00495F84">
            <w:pPr>
              <w:spacing w:before="60" w:after="60"/>
              <w:jc w:val="center"/>
              <w:rPr>
                <w:rFonts w:cs="Arial"/>
                <w:sz w:val="20"/>
                <w:szCs w:val="20"/>
              </w:rPr>
            </w:pPr>
            <w:r>
              <w:rPr>
                <w:rFonts w:cs="Arial"/>
                <w:sz w:val="20"/>
                <w:szCs w:val="20"/>
              </w:rPr>
              <w:t>0</w:t>
            </w:r>
          </w:p>
        </w:tc>
        <w:tc>
          <w:tcPr>
            <w:tcW w:w="1572" w:type="dxa"/>
            <w:vAlign w:val="center"/>
          </w:tcPr>
          <w:p w:rsidR="00495F84" w:rsidRDefault="00495F84" w:rsidP="00495F84">
            <w:pPr>
              <w:spacing w:before="60" w:after="60"/>
              <w:jc w:val="center"/>
              <w:rPr>
                <w:rFonts w:cs="Arial"/>
                <w:sz w:val="20"/>
                <w:szCs w:val="20"/>
              </w:rPr>
            </w:pPr>
            <w:r>
              <w:rPr>
                <w:rFonts w:cs="Arial"/>
                <w:sz w:val="20"/>
                <w:szCs w:val="20"/>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412C46" w:rsidRPr="00686EDE">
        <w:t xml:space="preserve">Figure </w:t>
      </w:r>
      <w:r w:rsidR="00412C46">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412C46" w:rsidRPr="00686EDE">
        <w:t xml:space="preserve">Figure </w:t>
      </w:r>
      <w:r w:rsidR="00412C46" w:rsidRPr="00412C46">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E67B62">
        <w:fldChar w:fldCharType="begin"/>
      </w:r>
      <w:r w:rsidR="00E67B62">
        <w:instrText xml:space="preserve"> SEQ Figure \* ARABIC </w:instrText>
      </w:r>
      <w:r w:rsidR="00E67B62">
        <w:fldChar w:fldCharType="separate"/>
      </w:r>
      <w:r w:rsidR="00412C46">
        <w:rPr>
          <w:noProof/>
        </w:rPr>
        <w:t>3</w:t>
      </w:r>
      <w:r w:rsidR="00E67B62">
        <w:rPr>
          <w:noProof/>
        </w:rPr>
        <w:fldChar w:fldCharType="end"/>
      </w:r>
      <w:bookmarkEnd w:id="13"/>
      <w:r w:rsidRPr="00686EDE">
        <w:t>: Queensland generation and bidding patterns</w:t>
      </w:r>
    </w:p>
    <w:p w:rsidR="007B78AB" w:rsidRPr="008707C1" w:rsidRDefault="00495F84" w:rsidP="00886FA8">
      <w:pPr>
        <w:pStyle w:val="AERbodytext"/>
        <w:rPr>
          <w:bCs w:val="0"/>
        </w:rPr>
      </w:pPr>
      <w:r w:rsidRPr="00495F84">
        <w:rPr>
          <w:noProof/>
        </w:rPr>
        <w:drawing>
          <wp:inline distT="0" distB="0" distL="0" distR="0" wp14:anchorId="3628A958" wp14:editId="50F56059">
            <wp:extent cx="5731510" cy="4118538"/>
            <wp:effectExtent l="0" t="0" r="2540" b="0"/>
            <wp:docPr id="4" name="Picture 4"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E67B62">
        <w:fldChar w:fldCharType="begin"/>
      </w:r>
      <w:r w:rsidR="00E67B62">
        <w:instrText xml:space="preserve"> SEQ Figure \* ARABIC </w:instrText>
      </w:r>
      <w:r w:rsidR="00E67B62">
        <w:fldChar w:fldCharType="separate"/>
      </w:r>
      <w:r w:rsidR="00412C46">
        <w:rPr>
          <w:noProof/>
        </w:rPr>
        <w:t>4</w:t>
      </w:r>
      <w:r w:rsidR="00E67B62">
        <w:rPr>
          <w:noProof/>
        </w:rPr>
        <w:fldChar w:fldCharType="end"/>
      </w:r>
      <w:bookmarkEnd w:id="14"/>
      <w:r w:rsidRPr="00BD6509">
        <w:t>: New South</w:t>
      </w:r>
      <w:r w:rsidRPr="00686EDE">
        <w:t xml:space="preserve"> Wales generation and bidding patterns</w:t>
      </w:r>
    </w:p>
    <w:p w:rsidR="00181C46" w:rsidRPr="00C4712A" w:rsidRDefault="00495F84" w:rsidP="00181C46">
      <w:r w:rsidRPr="00495F84">
        <w:rPr>
          <w:noProof/>
          <w:lang w:eastAsia="en-AU"/>
        </w:rPr>
        <w:drawing>
          <wp:inline distT="0" distB="0" distL="0" distR="0" wp14:anchorId="707E05D4" wp14:editId="2DB28B81">
            <wp:extent cx="5731510" cy="4124019"/>
            <wp:effectExtent l="0" t="0" r="2540" b="0"/>
            <wp:docPr id="5" name="Picture 5"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E67B62">
        <w:fldChar w:fldCharType="begin"/>
      </w:r>
      <w:r w:rsidR="00E67B62">
        <w:instrText xml:space="preserve"> SEQ Figure \* ARABIC </w:instrText>
      </w:r>
      <w:r w:rsidR="00E67B62">
        <w:fldChar w:fldCharType="separate"/>
      </w:r>
      <w:r w:rsidR="00412C46">
        <w:rPr>
          <w:noProof/>
        </w:rPr>
        <w:t>5</w:t>
      </w:r>
      <w:r w:rsidR="00E67B62">
        <w:rPr>
          <w:noProof/>
        </w:rPr>
        <w:fldChar w:fldCharType="end"/>
      </w:r>
      <w:r w:rsidRPr="00686EDE">
        <w:t>: Victoria generation and bidding patterns</w:t>
      </w:r>
    </w:p>
    <w:p w:rsidR="00FB265D" w:rsidRDefault="00495F84" w:rsidP="00FB265D">
      <w:r w:rsidRPr="00495F84">
        <w:rPr>
          <w:noProof/>
          <w:lang w:eastAsia="en-AU"/>
        </w:rPr>
        <w:drawing>
          <wp:inline distT="0" distB="0" distL="0" distR="0" wp14:anchorId="359EA683" wp14:editId="2266B07B">
            <wp:extent cx="5731510" cy="4118538"/>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r w:rsidR="00E67B62">
        <w:fldChar w:fldCharType="begin"/>
      </w:r>
      <w:r w:rsidR="00E67B62">
        <w:instrText xml:space="preserve"> SEQ Figure \* ARABIC </w:instrText>
      </w:r>
      <w:r w:rsidR="00E67B62">
        <w:fldChar w:fldCharType="separate"/>
      </w:r>
      <w:r w:rsidR="00412C46">
        <w:rPr>
          <w:noProof/>
        </w:rPr>
        <w:t>6</w:t>
      </w:r>
      <w:r w:rsidR="00E67B62">
        <w:rPr>
          <w:noProof/>
        </w:rPr>
        <w:fldChar w:fldCharType="end"/>
      </w:r>
      <w:bookmarkEnd w:id="15"/>
      <w:r w:rsidRPr="003370DC">
        <w:t>: South Australia generation and bidding patterns</w:t>
      </w:r>
    </w:p>
    <w:p w:rsidR="002F2481" w:rsidRPr="00686EDE" w:rsidRDefault="00495F84" w:rsidP="00A25353">
      <w:r w:rsidRPr="00495F84">
        <w:rPr>
          <w:noProof/>
          <w:lang w:eastAsia="en-AU"/>
        </w:rPr>
        <w:drawing>
          <wp:inline distT="0" distB="0" distL="0" distR="0" wp14:anchorId="588D1DB2" wp14:editId="38B92CA7">
            <wp:extent cx="5731510" cy="4254505"/>
            <wp:effectExtent l="0" t="0" r="2540" b="0"/>
            <wp:docPr id="13" name="Picture 1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4505"/>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E67B62">
        <w:fldChar w:fldCharType="begin"/>
      </w:r>
      <w:r w:rsidR="00E67B62">
        <w:instrText xml:space="preserve"> SEQ Figure \* ARABIC </w:instrText>
      </w:r>
      <w:r w:rsidR="00E67B62">
        <w:fldChar w:fldCharType="separate"/>
      </w:r>
      <w:r w:rsidR="00412C46">
        <w:rPr>
          <w:noProof/>
        </w:rPr>
        <w:t>7</w:t>
      </w:r>
      <w:r w:rsidR="00E67B62">
        <w:rPr>
          <w:noProof/>
        </w:rPr>
        <w:fldChar w:fldCharType="end"/>
      </w:r>
      <w:bookmarkEnd w:id="16"/>
      <w:r w:rsidRPr="00686EDE">
        <w:t>: Tasmania generation and bidding patterns</w:t>
      </w:r>
    </w:p>
    <w:bookmarkEnd w:id="17"/>
    <w:p w:rsidR="00DB7B59" w:rsidRDefault="00BD18A8" w:rsidP="00AF7C0E">
      <w:pPr>
        <w:pStyle w:val="AERbodytext"/>
      </w:pPr>
      <w:r w:rsidRPr="00BD18A8">
        <w:rPr>
          <w:noProof/>
        </w:rPr>
        <w:drawing>
          <wp:inline distT="0" distB="0" distL="0" distR="0" wp14:anchorId="32F2C73A" wp14:editId="26D1DDA1">
            <wp:extent cx="5731510" cy="4118538"/>
            <wp:effectExtent l="0" t="0" r="2540" b="0"/>
            <wp:docPr id="15" name="Picture 15"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BD18A8">
        <w:rPr>
          <w:rFonts w:eastAsia="Times New Roman" w:cs="Arial"/>
          <w:bCs/>
          <w:lang w:eastAsia="en-AU"/>
        </w:rPr>
        <w:t>1</w:t>
      </w:r>
      <w:r w:rsidR="00EA447B">
        <w:rPr>
          <w:rFonts w:eastAsia="Times New Roman" w:cs="Arial"/>
          <w:bCs/>
          <w:lang w:eastAsia="en-AU"/>
        </w:rPr>
        <w:t> </w:t>
      </w:r>
      <w:r w:rsidR="00BD18A8">
        <w:rPr>
          <w:rFonts w:eastAsia="Times New Roman" w:cs="Arial"/>
          <w:bCs/>
          <w:lang w:eastAsia="en-AU"/>
        </w:rPr>
        <w:t>748</w:t>
      </w:r>
      <w:r w:rsidR="00EA447B">
        <w:rPr>
          <w:rFonts w:eastAsia="Times New Roman" w:cs="Arial"/>
          <w:bCs/>
          <w:lang w:eastAsia="en-AU"/>
        </w:rPr>
        <w:t> </w:t>
      </w:r>
      <w:r w:rsidR="00276279">
        <w:rPr>
          <w:rFonts w:eastAsia="Times New Roman" w:cs="Arial"/>
          <w:bCs/>
          <w:lang w:eastAsia="en-AU"/>
        </w:rPr>
        <w:t>5</w:t>
      </w:r>
      <w:r w:rsidR="006C3CFD">
        <w:rPr>
          <w:rFonts w:eastAsia="Times New Roman" w:cs="Arial"/>
          <w:bCs/>
          <w:lang w:eastAsia="en-AU"/>
        </w:rPr>
        <w:t>00</w:t>
      </w:r>
      <w:r w:rsidRPr="00612013">
        <w:rPr>
          <w:rFonts w:eastAsia="Times New Roman" w:cs="Arial"/>
          <w:bCs/>
          <w:lang w:eastAsia="en-AU"/>
        </w:rPr>
        <w:t xml:space="preserve"> or </w:t>
      </w:r>
      <w:r w:rsidR="00BD18A8">
        <w:rPr>
          <w:rFonts w:eastAsia="Times New Roman" w:cs="Arial"/>
          <w:bCs/>
          <w:lang w:eastAsia="en-AU"/>
        </w:rPr>
        <w:t>less than</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412C46" w:rsidRPr="00612013" w:rsidRDefault="005358F4" w:rsidP="00412C46">
      <w:pPr>
        <w:spacing w:line="240" w:lineRule="auto"/>
      </w:pPr>
      <w:r w:rsidRPr="00612013">
        <w:rPr>
          <w:rFonts w:eastAsia="Times New Roman" w:cs="Arial"/>
          <w:bCs/>
          <w:lang w:eastAsia="en-AU"/>
        </w:rPr>
        <w:t>The total cost of FCAS in Tasmania for the week was $</w:t>
      </w:r>
      <w:r w:rsidR="00BD18A8">
        <w:rPr>
          <w:rFonts w:eastAsia="Times New Roman" w:cs="Arial"/>
          <w:bCs/>
          <w:lang w:eastAsia="en-AU"/>
        </w:rPr>
        <w:t>551</w:t>
      </w:r>
      <w:r w:rsidR="007134E5">
        <w:rPr>
          <w:rFonts w:eastAsia="Times New Roman" w:cs="Arial"/>
          <w:bCs/>
          <w:lang w:eastAsia="en-AU"/>
        </w:rPr>
        <w:t> </w:t>
      </w:r>
      <w:r w:rsidR="00C47834">
        <w:rPr>
          <w:rFonts w:eastAsia="Times New Roman" w:cs="Arial"/>
          <w:bCs/>
          <w:lang w:eastAsia="en-AU"/>
        </w:rPr>
        <w:t>0</w:t>
      </w:r>
      <w:r w:rsidRPr="00612013">
        <w:rPr>
          <w:rFonts w:eastAsia="Times New Roman" w:cs="Arial"/>
          <w:bCs/>
          <w:lang w:eastAsia="en-AU"/>
        </w:rPr>
        <w:t xml:space="preserve">00 or </w:t>
      </w:r>
      <w:r w:rsidR="00B62CAE">
        <w:rPr>
          <w:rFonts w:eastAsia="Times New Roman" w:cs="Arial"/>
          <w:bCs/>
          <w:lang w:eastAsia="en-AU"/>
        </w:rPr>
        <w:t xml:space="preserve">around </w:t>
      </w:r>
      <w:r w:rsidR="00C47834">
        <w:rPr>
          <w:rFonts w:eastAsia="Times New Roman" w:cs="Arial"/>
          <w:bCs/>
          <w:lang w:eastAsia="en-AU"/>
        </w:rPr>
        <w:t>two</w:t>
      </w:r>
      <w:r w:rsidR="00D05B72">
        <w:rPr>
          <w:rFonts w:eastAsia="Times New Roman" w:cs="Arial"/>
          <w:bCs/>
          <w:lang w:eastAsia="en-AU"/>
        </w:rPr>
        <w:t xml:space="preserve"> </w:t>
      </w:r>
      <w:r w:rsidRPr="00612013">
        <w:rPr>
          <w:rFonts w:eastAsia="Times New Roman" w:cs="Arial"/>
          <w:bCs/>
          <w:lang w:eastAsia="en-AU"/>
        </w:rPr>
        <w:t xml:space="preserve">per cent of energy turnover in </w:t>
      </w:r>
      <w:proofErr w:type="spellStart"/>
      <w:r w:rsidRPr="00612013">
        <w:rPr>
          <w:rFonts w:eastAsia="Times New Roman" w:cs="Arial"/>
          <w:bCs/>
          <w:lang w:eastAsia="en-AU"/>
        </w:rPr>
        <w:t>Tasmania</w:t>
      </w:r>
      <w:r w:rsidR="002E7692">
        <w:rPr>
          <w:rFonts w:eastAsia="Times New Roman" w:cs="Arial"/>
          <w:bCs/>
          <w:lang w:eastAsia="en-AU"/>
        </w:rPr>
        <w:t>.</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roofErr w:type="gramStart"/>
      <w:r w:rsidR="00412C46">
        <w:t>of</w:t>
      </w:r>
      <w:proofErr w:type="spellEnd"/>
      <w:proofErr w:type="gramEnd"/>
      <w:r w:rsidR="00412C46">
        <w:t xml:space="preserve"> the previous financial year.</w:t>
      </w:r>
    </w:p>
    <w:p w:rsidR="00B01BD3" w:rsidRPr="00612013" w:rsidRDefault="00412C46"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412C46">
        <w:rPr>
          <w:noProof/>
        </w:rPr>
        <w:t>8</w:t>
      </w:r>
      <w:r w:rsidR="00DF6E09" w:rsidRPr="00686EDE">
        <w:rPr>
          <w:noProof/>
        </w:rPr>
        <w:fldChar w:fldCharType="end"/>
      </w:r>
      <w:bookmarkEnd w:id="18"/>
      <w:bookmarkEnd w:id="19"/>
      <w:r w:rsidRPr="00686EDE">
        <w:rPr>
          <w:noProof/>
        </w:rPr>
        <w:t>: Daily frequency control ancillary service cost</w:t>
      </w:r>
    </w:p>
    <w:p w:rsidR="00CA7CA1" w:rsidRDefault="00BD18A8" w:rsidP="003A0B3A">
      <w:pPr>
        <w:spacing w:line="240" w:lineRule="auto"/>
      </w:pPr>
      <w:r w:rsidRPr="00BD18A8">
        <w:rPr>
          <w:noProof/>
          <w:lang w:eastAsia="en-AU"/>
        </w:rPr>
        <w:drawing>
          <wp:inline distT="0" distB="0" distL="0" distR="0" wp14:anchorId="5C302FFF" wp14:editId="3FAE208E">
            <wp:extent cx="5731510" cy="2894535"/>
            <wp:effectExtent l="0" t="0" r="2540" b="1270"/>
            <wp:docPr id="18" name="Picture 18"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8E7AE1" w:rsidRDefault="00A915CE" w:rsidP="003A0B3A">
      <w:pPr>
        <w:spacing w:line="240" w:lineRule="auto"/>
      </w:pPr>
      <w:r>
        <w:br w:type="page"/>
      </w:r>
    </w:p>
    <w:p w:rsidR="00902DFA" w:rsidRPr="004E1AA3" w:rsidRDefault="00902DFA" w:rsidP="00902DFA">
      <w:pPr>
        <w:keepNext/>
        <w:tabs>
          <w:tab w:val="left" w:pos="680"/>
        </w:tabs>
        <w:spacing w:line="240" w:lineRule="atLeast"/>
        <w:outlineLvl w:val="1"/>
        <w:rPr>
          <w:rFonts w:eastAsia="Times New Roman" w:cs="Times New Roman"/>
          <w:b/>
          <w:bCs/>
          <w:color w:val="2272A3" w:themeColor="accent4" w:themeShade="80"/>
          <w:sz w:val="32"/>
          <w:szCs w:val="20"/>
        </w:rPr>
      </w:pPr>
      <w:r w:rsidRPr="004E1AA3">
        <w:rPr>
          <w:rFonts w:eastAsia="Times New Roman" w:cs="Times New Roman"/>
          <w:b/>
          <w:bCs/>
          <w:color w:val="2272A3" w:themeColor="accent4" w:themeShade="80"/>
          <w:sz w:val="32"/>
          <w:szCs w:val="20"/>
        </w:rPr>
        <w:lastRenderedPageBreak/>
        <w:t>Detailed market analysis of significant price events</w:t>
      </w:r>
    </w:p>
    <w:p w:rsidR="00902DFA" w:rsidRPr="004E1AA3" w:rsidRDefault="00902DFA" w:rsidP="00902DFA">
      <w:pPr>
        <w:keepNext/>
        <w:spacing w:line="240" w:lineRule="atLeast"/>
        <w:outlineLvl w:val="1"/>
        <w:rPr>
          <w:rFonts w:eastAsia="Times New Roman" w:cstheme="majorBidi"/>
          <w:color w:val="51626F"/>
          <w:sz w:val="28"/>
          <w:szCs w:val="26"/>
          <w:lang w:eastAsia="en-AU"/>
        </w:rPr>
      </w:pPr>
      <w:r>
        <w:rPr>
          <w:rFonts w:eastAsia="Times New Roman" w:cstheme="majorBidi"/>
          <w:color w:val="51626F"/>
          <w:sz w:val="28"/>
          <w:szCs w:val="26"/>
          <w:lang w:eastAsia="en-AU"/>
        </w:rPr>
        <w:t>Queensland</w:t>
      </w:r>
    </w:p>
    <w:p w:rsidR="00902DFA" w:rsidRPr="00AD1AA5" w:rsidRDefault="00902DFA" w:rsidP="00902DFA">
      <w:pPr>
        <w:spacing w:before="240"/>
        <w:outlineLvl w:val="2"/>
      </w:pPr>
      <w:r w:rsidRPr="00AD1AA5">
        <w:t xml:space="preserve">There was one occasion where the spot price in </w:t>
      </w:r>
      <w:r>
        <w:t>Queensland</w:t>
      </w:r>
      <w:r w:rsidRPr="00AD1AA5">
        <w:t xml:space="preserve"> was below -$100/MWh.</w:t>
      </w:r>
    </w:p>
    <w:p w:rsidR="00902DFA" w:rsidRPr="004E1AA3" w:rsidRDefault="00902DFA" w:rsidP="00902DFA">
      <w:pPr>
        <w:spacing w:before="240"/>
        <w:outlineLvl w:val="2"/>
        <w:rPr>
          <w:rFonts w:eastAsia="Times New Roman" w:cstheme="majorBidi"/>
          <w:b/>
          <w:bCs/>
          <w:color w:val="000000" w:themeColor="text1" w:themeShade="BF"/>
          <w:sz w:val="24"/>
        </w:rPr>
      </w:pPr>
      <w:r>
        <w:rPr>
          <w:rFonts w:eastAsia="Times New Roman" w:cstheme="majorBidi"/>
          <w:b/>
          <w:bCs/>
          <w:color w:val="000000" w:themeColor="text1" w:themeShade="BF"/>
          <w:sz w:val="24"/>
        </w:rPr>
        <w:t>Thursday</w:t>
      </w:r>
      <w:r w:rsidRPr="004E1AA3">
        <w:rPr>
          <w:rFonts w:eastAsia="Times New Roman" w:cstheme="majorBidi"/>
          <w:b/>
          <w:bCs/>
          <w:color w:val="000000" w:themeColor="text1" w:themeShade="BF"/>
          <w:sz w:val="24"/>
        </w:rPr>
        <w:t xml:space="preserve">, </w:t>
      </w:r>
      <w:r>
        <w:rPr>
          <w:rFonts w:eastAsia="Times New Roman" w:cstheme="majorBidi"/>
          <w:b/>
          <w:bCs/>
          <w:color w:val="000000" w:themeColor="text1" w:themeShade="BF"/>
          <w:sz w:val="24"/>
        </w:rPr>
        <w:t>13</w:t>
      </w:r>
      <w:r w:rsidRPr="004E1AA3">
        <w:rPr>
          <w:rFonts w:eastAsia="Times New Roman" w:cstheme="majorBidi"/>
          <w:b/>
          <w:bCs/>
          <w:color w:val="000000" w:themeColor="text1" w:themeShade="BF"/>
          <w:sz w:val="24"/>
        </w:rPr>
        <w:t> </w:t>
      </w:r>
      <w:r>
        <w:rPr>
          <w:rFonts w:eastAsia="Times New Roman" w:cstheme="majorBidi"/>
          <w:b/>
          <w:bCs/>
          <w:color w:val="000000" w:themeColor="text1" w:themeShade="BF"/>
          <w:sz w:val="24"/>
        </w:rPr>
        <w:t>July</w:t>
      </w:r>
    </w:p>
    <w:p w:rsidR="00902DFA" w:rsidRPr="004E1AA3" w:rsidRDefault="00902DFA" w:rsidP="00902DFA">
      <w:pPr>
        <w:keepNext/>
        <w:spacing w:before="120" w:after="60"/>
        <w:rPr>
          <w:rFonts w:asciiTheme="minorHAnsi" w:hAnsiTheme="minorHAnsi" w:cstheme="minorHAnsi"/>
          <w:b/>
          <w:bCs/>
          <w:color w:val="2272A3" w:themeColor="accent4" w:themeShade="80"/>
          <w:sz w:val="24"/>
          <w:szCs w:val="18"/>
        </w:rPr>
      </w:pPr>
      <w:r w:rsidRPr="004E1AA3">
        <w:rPr>
          <w:rFonts w:asciiTheme="minorHAnsi" w:hAnsiTheme="minorHAnsi" w:cstheme="minorHAnsi"/>
          <w:b/>
          <w:bCs/>
          <w:color w:val="2272A3" w:themeColor="accent4" w:themeShade="80"/>
          <w:sz w:val="24"/>
          <w:szCs w:val="18"/>
        </w:rPr>
        <w:t xml:space="preserve">Table </w:t>
      </w:r>
      <w:r w:rsidRPr="004E1AA3">
        <w:rPr>
          <w:rFonts w:asciiTheme="minorHAnsi" w:hAnsiTheme="minorHAnsi" w:cstheme="minorHAnsi"/>
          <w:b/>
          <w:bCs/>
          <w:color w:val="2272A3" w:themeColor="accent4" w:themeShade="80"/>
          <w:sz w:val="24"/>
          <w:szCs w:val="18"/>
        </w:rPr>
        <w:fldChar w:fldCharType="begin"/>
      </w:r>
      <w:r w:rsidRPr="004E1AA3">
        <w:rPr>
          <w:rFonts w:asciiTheme="minorHAnsi" w:hAnsiTheme="minorHAnsi" w:cstheme="minorHAnsi"/>
          <w:b/>
          <w:bCs/>
          <w:color w:val="2272A3" w:themeColor="accent4" w:themeShade="80"/>
          <w:sz w:val="24"/>
          <w:szCs w:val="18"/>
        </w:rPr>
        <w:instrText xml:space="preserve"> SEQ Table \* ARABIC </w:instrText>
      </w:r>
      <w:r w:rsidRPr="004E1AA3">
        <w:rPr>
          <w:rFonts w:asciiTheme="minorHAnsi" w:hAnsiTheme="minorHAnsi" w:cstheme="minorHAnsi"/>
          <w:b/>
          <w:bCs/>
          <w:color w:val="2272A3" w:themeColor="accent4" w:themeShade="80"/>
          <w:sz w:val="24"/>
          <w:szCs w:val="18"/>
        </w:rPr>
        <w:fldChar w:fldCharType="separate"/>
      </w:r>
      <w:r w:rsidR="00412C46">
        <w:rPr>
          <w:rFonts w:asciiTheme="minorHAnsi" w:hAnsiTheme="minorHAnsi" w:cstheme="minorHAnsi"/>
          <w:b/>
          <w:bCs/>
          <w:noProof/>
          <w:color w:val="2272A3" w:themeColor="accent4" w:themeShade="80"/>
          <w:sz w:val="24"/>
          <w:szCs w:val="18"/>
        </w:rPr>
        <w:t>3</w:t>
      </w:r>
      <w:r w:rsidRPr="004E1AA3">
        <w:rPr>
          <w:rFonts w:asciiTheme="minorHAnsi" w:hAnsiTheme="minorHAnsi" w:cstheme="minorHAnsi"/>
          <w:b/>
          <w:bCs/>
          <w:noProof/>
          <w:color w:val="2272A3" w:themeColor="accent4" w:themeShade="80"/>
          <w:sz w:val="24"/>
          <w:szCs w:val="18"/>
        </w:rPr>
        <w:fldChar w:fldCharType="end"/>
      </w:r>
      <w:r w:rsidRPr="004E1AA3">
        <w:rPr>
          <w:rFonts w:asciiTheme="minorHAnsi" w:hAnsiTheme="minorHAnsi" w:cstheme="minorHAnsi"/>
          <w:b/>
          <w:bCs/>
          <w:color w:val="2272A3" w:themeColor="accent4" w:themeShade="80"/>
          <w:sz w:val="24"/>
          <w:szCs w:val="18"/>
        </w:rPr>
        <w:t>: Price, Demand and Availability</w:t>
      </w:r>
    </w:p>
    <w:tbl>
      <w:tblPr>
        <w:tblStyle w:val="AERsummarytable2"/>
        <w:tblW w:w="5043" w:type="pct"/>
        <w:tblLayout w:type="fixed"/>
        <w:tblLook w:val="04A0" w:firstRow="1" w:lastRow="0" w:firstColumn="1" w:lastColumn="0" w:noHBand="0" w:noVBand="1"/>
      </w:tblPr>
      <w:tblGrid>
        <w:gridCol w:w="1134"/>
        <w:gridCol w:w="1021"/>
        <w:gridCol w:w="879"/>
        <w:gridCol w:w="1025"/>
        <w:gridCol w:w="873"/>
        <w:gridCol w:w="875"/>
        <w:gridCol w:w="1025"/>
        <w:gridCol w:w="1021"/>
        <w:gridCol w:w="877"/>
        <w:gridCol w:w="866"/>
      </w:tblGrid>
      <w:tr w:rsidR="00902DFA" w:rsidRPr="004E1AA3" w:rsidTr="00902DFA">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902DFA" w:rsidRPr="004E1AA3" w:rsidRDefault="00902DFA" w:rsidP="005D17F3">
            <w:pPr>
              <w:spacing w:before="60" w:after="60"/>
              <w:jc w:val="center"/>
              <w:rPr>
                <w:rFonts w:cs="Arial"/>
                <w:sz w:val="20"/>
                <w:szCs w:val="20"/>
                <w14:numSpacing w14:val="default"/>
              </w:rPr>
            </w:pPr>
            <w:r w:rsidRPr="004E1AA3">
              <w:rPr>
                <w:rFonts w:cs="Arial"/>
                <w:b w:val="0"/>
                <w:sz w:val="20"/>
                <w:szCs w:val="20"/>
                <w14:numSpacing w14:val="default"/>
              </w:rPr>
              <w:t xml:space="preserve">Time </w:t>
            </w:r>
          </w:p>
        </w:tc>
        <w:tc>
          <w:tcPr>
            <w:tcW w:w="1524" w:type="pct"/>
            <w:gridSpan w:val="3"/>
            <w:hideMark/>
          </w:tcPr>
          <w:p w:rsidR="00902DFA" w:rsidRPr="004E1AA3" w:rsidRDefault="00902DFA" w:rsidP="005D17F3">
            <w:pPr>
              <w:spacing w:before="60" w:after="60"/>
              <w:jc w:val="center"/>
              <w:rPr>
                <w:rFonts w:cs="Arial"/>
                <w:sz w:val="20"/>
                <w:szCs w:val="20"/>
                <w14:numSpacing w14:val="default"/>
              </w:rPr>
            </w:pPr>
            <w:r w:rsidRPr="004E1AA3">
              <w:rPr>
                <w:rFonts w:cs="Arial"/>
                <w:b w:val="0"/>
                <w:sz w:val="20"/>
                <w:szCs w:val="20"/>
                <w14:numSpacing w14:val="default"/>
              </w:rPr>
              <w:t>Price ($/MWh)</w:t>
            </w:r>
          </w:p>
        </w:tc>
        <w:tc>
          <w:tcPr>
            <w:tcW w:w="1445" w:type="pct"/>
            <w:gridSpan w:val="3"/>
            <w:hideMark/>
          </w:tcPr>
          <w:p w:rsidR="00902DFA" w:rsidRPr="004E1AA3" w:rsidRDefault="00902DFA" w:rsidP="005D17F3">
            <w:pPr>
              <w:spacing w:before="60" w:after="60"/>
              <w:jc w:val="center"/>
              <w:rPr>
                <w:rFonts w:cs="Arial"/>
                <w:sz w:val="20"/>
                <w:szCs w:val="20"/>
                <w14:numSpacing w14:val="default"/>
              </w:rPr>
            </w:pPr>
            <w:r w:rsidRPr="004E1AA3">
              <w:rPr>
                <w:rFonts w:cs="Arial"/>
                <w:b w:val="0"/>
                <w:sz w:val="20"/>
                <w:szCs w:val="20"/>
                <w14:numSpacing w14:val="default"/>
              </w:rPr>
              <w:t>Demand (MW)</w:t>
            </w:r>
          </w:p>
        </w:tc>
        <w:tc>
          <w:tcPr>
            <w:tcW w:w="1440" w:type="pct"/>
            <w:gridSpan w:val="3"/>
            <w:hideMark/>
          </w:tcPr>
          <w:p w:rsidR="00902DFA" w:rsidRPr="004E1AA3" w:rsidRDefault="00902DFA" w:rsidP="005D17F3">
            <w:pPr>
              <w:spacing w:before="60" w:after="60"/>
              <w:jc w:val="center"/>
              <w:rPr>
                <w:rFonts w:cs="Arial"/>
                <w:sz w:val="20"/>
                <w:szCs w:val="20"/>
                <w14:numSpacing w14:val="default"/>
              </w:rPr>
            </w:pPr>
            <w:r w:rsidRPr="004E1AA3">
              <w:rPr>
                <w:rFonts w:cs="Arial"/>
                <w:b w:val="0"/>
                <w:sz w:val="20"/>
                <w:szCs w:val="20"/>
                <w14:numSpacing w14:val="default"/>
              </w:rPr>
              <w:t>Availability (MW)</w:t>
            </w:r>
          </w:p>
        </w:tc>
      </w:tr>
      <w:tr w:rsidR="00902DFA" w:rsidRPr="004E1AA3" w:rsidTr="00902DFA">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902DFA" w:rsidRPr="004E1AA3" w:rsidRDefault="00902DFA" w:rsidP="005D17F3">
            <w:pPr>
              <w:spacing w:before="0"/>
              <w:jc w:val="center"/>
              <w:rPr>
                <w:rFonts w:cs="Arial"/>
                <w:color w:val="auto"/>
                <w:sz w:val="20"/>
                <w:szCs w:val="20"/>
              </w:rPr>
            </w:pPr>
            <w:r w:rsidRPr="004E1AA3">
              <w:rPr>
                <w:rFonts w:cs="Arial"/>
                <w:color w:val="auto"/>
                <w:sz w:val="20"/>
                <w:szCs w:val="20"/>
              </w:rPr>
              <w:t> </w:t>
            </w:r>
          </w:p>
        </w:tc>
        <w:tc>
          <w:tcPr>
            <w:tcW w:w="532"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Actual</w:t>
            </w:r>
          </w:p>
        </w:tc>
        <w:tc>
          <w:tcPr>
            <w:tcW w:w="458"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Actual</w:t>
            </w:r>
          </w:p>
        </w:tc>
        <w:tc>
          <w:tcPr>
            <w:tcW w:w="456"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2"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Actual</w:t>
            </w:r>
          </w:p>
        </w:tc>
        <w:tc>
          <w:tcPr>
            <w:tcW w:w="457"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1" w:type="pct"/>
            <w:tcMar>
              <w:left w:w="57" w:type="dxa"/>
              <w:right w:w="57" w:type="dxa"/>
            </w:tcMar>
            <w:hideMark/>
          </w:tcPr>
          <w:p w:rsidR="00902DFA" w:rsidRPr="004E1AA3" w:rsidRDefault="00902DFA" w:rsidP="005D17F3">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r>
      <w:tr w:rsidR="00902DFA" w:rsidRPr="004E1AA3" w:rsidTr="00902DFA">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902DFA" w:rsidRPr="00AD1AA5" w:rsidRDefault="00902DFA" w:rsidP="00902DFA">
            <w:pPr>
              <w:spacing w:before="100" w:beforeAutospacing="1" w:after="100" w:afterAutospacing="1" w:line="240" w:lineRule="auto"/>
              <w:jc w:val="center"/>
              <w:rPr>
                <w:rFonts w:cs="Arial"/>
                <w:sz w:val="20"/>
                <w:szCs w:val="20"/>
              </w:rPr>
            </w:pPr>
            <w:r>
              <w:rPr>
                <w:rFonts w:cs="Arial"/>
                <w:sz w:val="20"/>
                <w:szCs w:val="20"/>
              </w:rPr>
              <w:t>3.30 am</w:t>
            </w:r>
          </w:p>
        </w:tc>
        <w:tc>
          <w:tcPr>
            <w:tcW w:w="532"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-108.37</w:t>
            </w:r>
          </w:p>
        </w:tc>
        <w:tc>
          <w:tcPr>
            <w:tcW w:w="458"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59.73</w:t>
            </w:r>
          </w:p>
        </w:tc>
        <w:tc>
          <w:tcPr>
            <w:tcW w:w="534"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62.03</w:t>
            </w:r>
          </w:p>
        </w:tc>
        <w:tc>
          <w:tcPr>
            <w:tcW w:w="455"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5043</w:t>
            </w:r>
          </w:p>
        </w:tc>
        <w:tc>
          <w:tcPr>
            <w:tcW w:w="456"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5083</w:t>
            </w:r>
          </w:p>
        </w:tc>
        <w:tc>
          <w:tcPr>
            <w:tcW w:w="534"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5092</w:t>
            </w:r>
          </w:p>
        </w:tc>
        <w:tc>
          <w:tcPr>
            <w:tcW w:w="532"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10 185</w:t>
            </w:r>
          </w:p>
        </w:tc>
        <w:tc>
          <w:tcPr>
            <w:tcW w:w="457"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10 198</w:t>
            </w:r>
          </w:p>
        </w:tc>
        <w:tc>
          <w:tcPr>
            <w:tcW w:w="451" w:type="pct"/>
            <w:vAlign w:val="center"/>
          </w:tcPr>
          <w:p w:rsidR="00902DFA" w:rsidRPr="00902DFA" w:rsidRDefault="00902DFA" w:rsidP="00902DFA">
            <w:pPr>
              <w:spacing w:before="100" w:beforeAutospacing="1" w:after="100" w:afterAutospacing="1" w:line="240" w:lineRule="auto"/>
              <w:jc w:val="center"/>
              <w:rPr>
                <w:rFonts w:cs="Arial"/>
                <w:sz w:val="20"/>
                <w:szCs w:val="20"/>
              </w:rPr>
            </w:pPr>
            <w:r w:rsidRPr="00902DFA">
              <w:rPr>
                <w:rFonts w:cs="Arial"/>
                <w:sz w:val="20"/>
                <w:szCs w:val="20"/>
              </w:rPr>
              <w:t>10 238</w:t>
            </w:r>
          </w:p>
        </w:tc>
      </w:tr>
    </w:tbl>
    <w:p w:rsidR="008E7AE1" w:rsidRPr="00DE6F1C" w:rsidRDefault="00902DFA" w:rsidP="00DE6F1C">
      <w:pPr>
        <w:pStyle w:val="AERbodytext"/>
      </w:pPr>
      <w:r w:rsidRPr="00DE6F1C">
        <w:t>Conditions at the time saw demand and availability close to that forecast four hours ahead.</w:t>
      </w:r>
    </w:p>
    <w:p w:rsidR="00BD3804" w:rsidRDefault="00BD3804" w:rsidP="00BD3804">
      <w:pPr>
        <w:pStyle w:val="AERbodytext"/>
      </w:pPr>
      <w:r>
        <w:t xml:space="preserve">Energy consumption by pump loads must be offset by an increase in generation. At </w:t>
      </w:r>
      <w:r w:rsidR="00502C14">
        <w:t>2</w:t>
      </w:r>
      <w:r>
        <w:t>.</w:t>
      </w:r>
      <w:r w:rsidR="00502C14">
        <w:t>46</w:t>
      </w:r>
      <w:r>
        <w:t xml:space="preserve"> am, effective from </w:t>
      </w:r>
      <w:r w:rsidR="00502C14">
        <w:t>2</w:t>
      </w:r>
      <w:r>
        <w:t>.</w:t>
      </w:r>
      <w:r w:rsidR="00502C14">
        <w:t>55</w:t>
      </w:r>
      <w:r>
        <w:t xml:space="preserve"> am, CS Energy rebid 236 MW of </w:t>
      </w:r>
      <w:r w:rsidR="00F42900">
        <w:t xml:space="preserve">load </w:t>
      </w:r>
      <w:r>
        <w:t>capacity at the Wivenhoe Pump</w:t>
      </w:r>
      <w:r w:rsidR="00502C14">
        <w:t xml:space="preserve"> 2</w:t>
      </w:r>
      <w:r>
        <w:t xml:space="preserve"> available. The reason given was “</w:t>
      </w:r>
      <w:r w:rsidRPr="00BD3804">
        <w:t>0</w:t>
      </w:r>
      <w:r w:rsidR="00502C14">
        <w:t>246</w:t>
      </w:r>
      <w:r w:rsidRPr="00BD3804">
        <w:t>P water management-environmental run -</w:t>
      </w:r>
      <w:proofErr w:type="spellStart"/>
      <w:r w:rsidRPr="00BD3804">
        <w:t>sl</w:t>
      </w:r>
      <w:proofErr w:type="spellEnd"/>
      <w:r>
        <w:t xml:space="preserve">”. As a result </w:t>
      </w:r>
      <w:r w:rsidR="00502C14">
        <w:t xml:space="preserve">Pump 2 </w:t>
      </w:r>
      <w:r>
        <w:t xml:space="preserve">received a target of </w:t>
      </w:r>
      <w:r w:rsidR="00502C14">
        <w:t>236 MW at 3 am</w:t>
      </w:r>
      <w:r>
        <w:t xml:space="preserve">, which saw a </w:t>
      </w:r>
      <w:r w:rsidR="00502C14">
        <w:t>similar increase</w:t>
      </w:r>
      <w:r>
        <w:t xml:space="preserve"> in generation. </w:t>
      </w:r>
    </w:p>
    <w:p w:rsidR="00BD3804" w:rsidRDefault="00BD3804" w:rsidP="00BD3804">
      <w:pPr>
        <w:pStyle w:val="AERbodytext"/>
      </w:pPr>
      <w:r>
        <w:t xml:space="preserve">At 3.15 am, effective from 3.25 am, CS Energy rebid 236 MW of </w:t>
      </w:r>
      <w:r w:rsidR="00F42900">
        <w:t xml:space="preserve">load </w:t>
      </w:r>
      <w:r>
        <w:t>capacity at the Wivenhoe Pump unavailable. The reason given was “</w:t>
      </w:r>
      <w:r w:rsidRPr="00BD3804">
        <w:t>0314P water management-environmental run completed-</w:t>
      </w:r>
      <w:proofErr w:type="spellStart"/>
      <w:r w:rsidRPr="00BD3804">
        <w:t>sl</w:t>
      </w:r>
      <w:proofErr w:type="spellEnd"/>
      <w:r>
        <w:t xml:space="preserve">”. This resulted in </w:t>
      </w:r>
      <w:r w:rsidR="00502C14">
        <w:t>a similar decrease in generation, which occurred the same time as a 100 MW decrease in demand</w:t>
      </w:r>
      <w:r w:rsidR="00AB677A">
        <w:t>. With excess generation being ramped down the</w:t>
      </w:r>
      <w:r>
        <w:t xml:space="preserve"> dispatch price f</w:t>
      </w:r>
      <w:r w:rsidR="00AB677A">
        <w:t>ell</w:t>
      </w:r>
      <w:r>
        <w:t xml:space="preserve"> to </w:t>
      </w:r>
      <w:r w:rsidR="00AB677A">
        <w:t>the price floor at 3.25 am</w:t>
      </w:r>
      <w:r>
        <w:t>.</w:t>
      </w:r>
    </w:p>
    <w:bookmarkEnd w:id="0"/>
    <w:bookmarkEnd w:id="1"/>
    <w:bookmarkEnd w:id="2"/>
    <w:bookmarkEnd w:id="3"/>
    <w:bookmarkEnd w:id="4"/>
    <w:bookmarkEnd w:id="5"/>
    <w:p w:rsidR="00275002" w:rsidRDefault="00275002" w:rsidP="002E01BF">
      <w:pPr>
        <w:pStyle w:val="Heading2"/>
        <w:spacing w:after="120"/>
      </w:pPr>
      <w:r w:rsidRPr="00686EDE">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412C46">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0" w:name="_Ref410386540"/>
      <w:r>
        <w:t xml:space="preserve">Figure </w:t>
      </w:r>
      <w:r w:rsidR="00E67B62">
        <w:fldChar w:fldCharType="begin"/>
      </w:r>
      <w:r w:rsidR="00E67B62">
        <w:instrText xml:space="preserve"> SEQ Figure \* ARABIC </w:instrText>
      </w:r>
      <w:r w:rsidR="00E67B62">
        <w:fldChar w:fldCharType="separate"/>
      </w:r>
      <w:r w:rsidR="00412C46">
        <w:rPr>
          <w:noProof/>
        </w:rPr>
        <w:t>9</w:t>
      </w:r>
      <w:r w:rsidR="00E67B62">
        <w:rPr>
          <w:noProof/>
        </w:rPr>
        <w:fldChar w:fldCharType="end"/>
      </w:r>
      <w:bookmarkEnd w:id="20"/>
      <w:r w:rsidR="002515C3">
        <w:t>:</w:t>
      </w:r>
      <w:r>
        <w:t xml:space="preserve"> </w:t>
      </w:r>
      <w:r w:rsidRPr="007A6ACB">
        <w:t>Quarterly base future prices Q</w:t>
      </w:r>
      <w:r w:rsidR="008E7AE1">
        <w:t>3</w:t>
      </w:r>
      <w:r w:rsidR="00C4712A">
        <w:t xml:space="preserve"> 201</w:t>
      </w:r>
      <w:r w:rsidR="00345595">
        <w:t>7</w:t>
      </w:r>
      <w:r w:rsidRPr="007A6ACB">
        <w:t xml:space="preserve"> – Q</w:t>
      </w:r>
      <w:r w:rsidR="008E7AE1">
        <w:t>2</w:t>
      </w:r>
      <w:r w:rsidR="0069547C">
        <w:t xml:space="preserve"> 202</w:t>
      </w:r>
      <w:r w:rsidR="008E7AE1">
        <w:t>1</w:t>
      </w:r>
      <w:r w:rsidR="003A585C" w:rsidRPr="003A585C">
        <w:rPr>
          <w:b w:val="0"/>
          <w:bCs w:val="0"/>
        </w:rPr>
        <w:t xml:space="preserve"> </w:t>
      </w:r>
    </w:p>
    <w:p w:rsidR="00CA0ECB" w:rsidRPr="00037EB9" w:rsidRDefault="00DE6F1C" w:rsidP="00783D4E">
      <w:pPr>
        <w:spacing w:before="0" w:after="120" w:line="240" w:lineRule="auto"/>
        <w:rPr>
          <w:sz w:val="16"/>
          <w:szCs w:val="16"/>
        </w:rPr>
      </w:pPr>
      <w:r w:rsidRPr="00DE6F1C">
        <w:rPr>
          <w:noProof/>
          <w:lang w:eastAsia="en-AU"/>
        </w:rPr>
        <w:drawing>
          <wp:inline distT="0" distB="0" distL="0" distR="0" wp14:anchorId="1623B60A" wp14:editId="730B57ED">
            <wp:extent cx="5731510" cy="2885766"/>
            <wp:effectExtent l="0" t="0" r="2540" b="0"/>
            <wp:docPr id="23" name="Picture 23"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Pr="00DE6F1C">
        <w:t xml:space="preserve"> </w:t>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412C46" w:rsidRPr="00491631">
        <w:t xml:space="preserve">Figure </w:t>
      </w:r>
      <w:r w:rsidR="00412C46">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8E7AE1">
        <w:t>8</w:t>
      </w:r>
      <w:r w:rsidRPr="000048ED">
        <w:t xml:space="preserve"> base contract has changed over the last 10 weeks (as well as the total number of trades each week). The closing quarter 1 201</w:t>
      </w:r>
      <w:r w:rsidR="008E7AE1">
        <w:t>6</w:t>
      </w:r>
      <w:r w:rsidRPr="000048ED">
        <w:t xml:space="preserve"> and quarter 1 201</w:t>
      </w:r>
      <w:r w:rsidR="008E7AE1">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1" w:name="_Ref410380382"/>
      <w:r w:rsidRPr="00491631">
        <w:lastRenderedPageBreak/>
        <w:t xml:space="preserve">Figure </w:t>
      </w:r>
      <w:r w:rsidR="00E67B62">
        <w:fldChar w:fldCharType="begin"/>
      </w:r>
      <w:r w:rsidR="00E67B62">
        <w:instrText xml:space="preserve"> SEQ Figure \* ARABIC </w:instrText>
      </w:r>
      <w:r w:rsidR="00E67B62">
        <w:fldChar w:fldCharType="separate"/>
      </w:r>
      <w:r w:rsidR="00412C46">
        <w:rPr>
          <w:noProof/>
        </w:rPr>
        <w:t>10</w:t>
      </w:r>
      <w:r w:rsidR="00E67B62">
        <w:rPr>
          <w:noProof/>
        </w:rPr>
        <w:fldChar w:fldCharType="end"/>
      </w:r>
      <w:bookmarkEnd w:id="21"/>
      <w:r w:rsidR="002515C3" w:rsidRPr="00491631">
        <w:t>:</w:t>
      </w:r>
      <w:r w:rsidR="00E86EBB">
        <w:t xml:space="preserve"> Price of Q1 201</w:t>
      </w:r>
      <w:r w:rsidR="008E7AE1">
        <w:t>8</w:t>
      </w:r>
      <w:r w:rsidRPr="00491631">
        <w:t xml:space="preserve"> base contracts over the past 10 weeks (and the past 2 years)</w:t>
      </w:r>
    </w:p>
    <w:p w:rsidR="007C26D6" w:rsidRDefault="00DE6F1C" w:rsidP="00C466B4">
      <w:pPr>
        <w:pStyle w:val="Source"/>
        <w:spacing w:before="0" w:after="120" w:line="240" w:lineRule="auto"/>
        <w:jc w:val="both"/>
      </w:pPr>
      <w:r w:rsidRPr="00DE6F1C">
        <w:rPr>
          <w:noProof/>
          <w:lang w:eastAsia="en-AU"/>
        </w:rPr>
        <w:drawing>
          <wp:inline distT="0" distB="0" distL="0" distR="0" wp14:anchorId="15390514" wp14:editId="47848BFC">
            <wp:extent cx="5731510" cy="2900199"/>
            <wp:effectExtent l="0" t="0" r="2540" b="0"/>
            <wp:docPr id="24" name="Picture 24"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412C46">
        <w:t xml:space="preserve">Figure </w:t>
      </w:r>
      <w:r w:rsidR="00412C46">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bookmarkStart w:id="22" w:name="_GoBack"/>
      <w:bookmarkEnd w:id="22"/>
    </w:p>
    <w:p w:rsidR="00275002" w:rsidRDefault="00275002" w:rsidP="002B720D">
      <w:pPr>
        <w:pStyle w:val="Caption"/>
      </w:pPr>
      <w:bookmarkStart w:id="23" w:name="_Ref428276233"/>
      <w:bookmarkStart w:id="24" w:name="_Ref410744936"/>
      <w:r>
        <w:t xml:space="preserve">Figure </w:t>
      </w:r>
      <w:r w:rsidR="00E67B62">
        <w:fldChar w:fldCharType="begin"/>
      </w:r>
      <w:r w:rsidR="00E67B62">
        <w:instrText xml:space="preserve"> SEQ Figure \* ARABIC </w:instrText>
      </w:r>
      <w:r w:rsidR="00E67B62">
        <w:fldChar w:fldCharType="separate"/>
      </w:r>
      <w:r w:rsidR="00412C46">
        <w:rPr>
          <w:noProof/>
        </w:rPr>
        <w:t>11</w:t>
      </w:r>
      <w:r w:rsidR="00E67B62">
        <w:rPr>
          <w:noProof/>
        </w:rPr>
        <w:fldChar w:fldCharType="end"/>
      </w:r>
      <w:bookmarkEnd w:id="23"/>
      <w:r w:rsidR="002515C3">
        <w:t>:</w:t>
      </w:r>
      <w:r w:rsidRPr="0074419D">
        <w:t xml:space="preserve"> Price of Q1 201</w:t>
      </w:r>
      <w:r w:rsidR="008E7AE1">
        <w:t>8</w:t>
      </w:r>
      <w:r w:rsidRPr="0074419D">
        <w:t xml:space="preserve"> cap contracts over the past 10 weeks (and the past 2 years)</w:t>
      </w:r>
      <w:bookmarkEnd w:id="24"/>
    </w:p>
    <w:p w:rsidR="008E0420" w:rsidRPr="008E0420" w:rsidRDefault="00DE6F1C" w:rsidP="008E0420">
      <w:r w:rsidRPr="00DE6F1C">
        <w:rPr>
          <w:noProof/>
          <w:lang w:eastAsia="en-AU"/>
        </w:rPr>
        <w:drawing>
          <wp:inline distT="0" distB="0" distL="0" distR="0" wp14:anchorId="42FB1378" wp14:editId="3526C307">
            <wp:extent cx="5731510" cy="2874232"/>
            <wp:effectExtent l="0" t="0" r="2540" b="2540"/>
            <wp:docPr id="25" name="Picture 25" descr="Figure 11 shows how the price for each regional Quarter 1 2018 cap contract has changed over the last 10 weeks (as well as the total number of trades each week). The closing quarter 1 2016 and quarter 1 2017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E86EBB">
        <w:t>July</w:t>
      </w:r>
      <w:r w:rsidR="0084030A">
        <w:t xml:space="preserve"> </w:t>
      </w:r>
      <w:r w:rsidR="00C4712A" w:rsidRPr="00D92E07">
        <w:t>201</w:t>
      </w:r>
      <w:r w:rsidR="00685A1B">
        <w:t>7</w:t>
      </w:r>
    </w:p>
    <w:sectPr w:rsidR="00275002" w:rsidRPr="009F2CAC" w:rsidSect="00E67B62">
      <w:footerReference w:type="even" r:id="rId27"/>
      <w:footerReference w:type="default" r:id="rId28"/>
      <w:footerReference w:type="first" r:id="rId29"/>
      <w:pgSz w:w="11906" w:h="16838"/>
      <w:pgMar w:top="794" w:right="1304" w:bottom="737" w:left="1304"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6" w:rsidRDefault="00E546E6" w:rsidP="004B4412">
      <w:pPr>
        <w:spacing w:before="0"/>
      </w:pPr>
      <w:r>
        <w:separator/>
      </w:r>
    </w:p>
  </w:endnote>
  <w:endnote w:type="continuationSeparator" w:id="0">
    <w:p w:rsidR="00E546E6" w:rsidRDefault="00E546E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1A9E" w:rsidRDefault="00E546E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546E6" w:rsidRDefault="00E546E6"/>
  <w:p w:rsidR="00E546E6" w:rsidRDefault="00E54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67B62">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67B62">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4E4495">
      <w:rPr>
        <w:rFonts w:cs="Arial"/>
        <w:i/>
        <w:szCs w:val="18"/>
      </w:rPr>
      <w:t>101612</w:t>
    </w:r>
  </w:p>
  <w:p w:rsidR="00E546E6" w:rsidRDefault="00E54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6" w:rsidRDefault="00E546E6" w:rsidP="004B4412">
      <w:pPr>
        <w:spacing w:before="0"/>
      </w:pPr>
      <w:r>
        <w:separator/>
      </w:r>
    </w:p>
  </w:footnote>
  <w:footnote w:type="continuationSeparator" w:id="0">
    <w:p w:rsidR="00E546E6" w:rsidRDefault="00E546E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31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Electricity report 9 - 15 July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932"/>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0CAC"/>
    <w:rsid w:val="0021147E"/>
    <w:rsid w:val="00212D2F"/>
    <w:rsid w:val="00213CF6"/>
    <w:rsid w:val="00214274"/>
    <w:rsid w:val="0021431B"/>
    <w:rsid w:val="00214FBA"/>
    <w:rsid w:val="00215E19"/>
    <w:rsid w:val="002164FB"/>
    <w:rsid w:val="00216865"/>
    <w:rsid w:val="00216A04"/>
    <w:rsid w:val="00217221"/>
    <w:rsid w:val="00217A30"/>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75A"/>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C4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61DD"/>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5F8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4495"/>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C14"/>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590F"/>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293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1BEF"/>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188A"/>
    <w:rsid w:val="0079277A"/>
    <w:rsid w:val="0079310A"/>
    <w:rsid w:val="00794A5E"/>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E7AE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2DFA"/>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3E5F"/>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3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5CE"/>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77A"/>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8A8"/>
    <w:rsid w:val="00BD1AD7"/>
    <w:rsid w:val="00BD1BCA"/>
    <w:rsid w:val="00BD2067"/>
    <w:rsid w:val="00BD26AE"/>
    <w:rsid w:val="00BD26EE"/>
    <w:rsid w:val="00BD3446"/>
    <w:rsid w:val="00BD3804"/>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05A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48"/>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834"/>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099"/>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6F1C"/>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67B62"/>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900"/>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6B1F"/>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1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69539-C220-4F7F-895B-3C1E835E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CEAA4488</Template>
  <TotalTime>0</TotalTime>
  <Pages>8</Pages>
  <Words>1365</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2017-07-28T04:53:00Z</dcterms:created>
  <dcterms:modified xsi:type="dcterms:W3CDTF">2017-07-28T04:53:00Z</dcterms:modified>
</cp:coreProperties>
</file>