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2B" w:rsidRDefault="0066022B" w:rsidP="00F80431">
      <w:r>
        <w:rPr>
          <w:noProof/>
          <w:lang w:eastAsia="en-AU"/>
        </w:rPr>
        <mc:AlternateContent>
          <mc:Choice Requires="wps">
            <w:drawing>
              <wp:anchor distT="0" distB="0" distL="114300" distR="114300" simplePos="0" relativeHeight="251663360" behindDoc="0" locked="0" layoutInCell="1" allowOverlap="1" wp14:anchorId="6225922C" wp14:editId="56657BE6">
                <wp:simplePos x="0" y="0"/>
                <wp:positionH relativeFrom="column">
                  <wp:posOffset>-668740</wp:posOffset>
                </wp:positionH>
                <wp:positionV relativeFrom="paragraph">
                  <wp:posOffset>9007522</wp:posOffset>
                </wp:positionV>
                <wp:extent cx="7099935" cy="436729"/>
                <wp:effectExtent l="0" t="0" r="5715" b="1905"/>
                <wp:wrapNone/>
                <wp:docPr id="53" name="Rounded Rectangle 53"/>
                <wp:cNvGraphicFramePr/>
                <a:graphic xmlns:a="http://schemas.openxmlformats.org/drawingml/2006/main">
                  <a:graphicData uri="http://schemas.microsoft.com/office/word/2010/wordprocessingShape">
                    <wps:wsp>
                      <wps:cNvSpPr/>
                      <wps:spPr>
                        <a:xfrm>
                          <a:off x="0" y="0"/>
                          <a:ext cx="7099935" cy="436729"/>
                        </a:xfrm>
                        <a:prstGeom prst="roundRect">
                          <a:avLst>
                            <a:gd name="adj" fmla="val 9072"/>
                          </a:avLst>
                        </a:prstGeom>
                        <a:solidFill>
                          <a:srgbClr val="0081C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022B" w:rsidRPr="00EB7190" w:rsidRDefault="0066022B" w:rsidP="003D212B">
                            <w:pPr>
                              <w:pStyle w:val="Partchapterlist"/>
                              <w:numPr>
                                <w:ilvl w:val="0"/>
                                <w:numId w:val="0"/>
                              </w:numPr>
                              <w:jc w:val="right"/>
                            </w:pPr>
                            <w:r>
                              <w:t>Energex regulatory proposal – October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26" style="position:absolute;margin-left:-52.65pt;margin-top:709.25pt;width:559.05pt;height:3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" fillcolor="#0081c3" stroked="f" strokeweight="2pt">
                <v:textbox>
                  <w:txbxContent>
                    <w:p w:rsidR="0066022B" w:rsidRPr="00EB7190" w:rsidRDefault="0066022B" w:rsidP="003D212B">
                      <w:pPr>
                        <w:pStyle w:val="Partchapterlist"/>
                        <w:numPr>
                          <w:ilvl w:val="0"/>
                          <w:numId w:val="0"/>
                        </w:numPr>
                        <w:jc w:val="right"/>
                      </w:pPr>
                      <w:r>
                        <w:t>Energex regulatory proposal – October 2014</w:t>
                      </w:r>
                    </w:p>
                  </w:txbxContent>
                </v:textbox>
              </v:roundrect>
            </w:pict>
          </mc:Fallback>
        </mc:AlternateContent>
      </w:r>
      <w:r>
        <w:rPr>
          <w:noProof/>
          <w:lang w:eastAsia="en-AU"/>
        </w:rPr>
        <mc:AlternateContent>
          <mc:Choice Requires="wps">
            <w:drawing>
              <wp:anchor distT="0" distB="0" distL="114300" distR="114300" simplePos="0" relativeHeight="251662336" behindDoc="0" locked="0" layoutInCell="1" allowOverlap="1" wp14:anchorId="0E4EFF33" wp14:editId="07A0F670">
                <wp:simplePos x="0" y="0"/>
                <wp:positionH relativeFrom="column">
                  <wp:posOffset>448887</wp:posOffset>
                </wp:positionH>
                <wp:positionV relativeFrom="paragraph">
                  <wp:posOffset>670214</wp:posOffset>
                </wp:positionV>
                <wp:extent cx="5899785" cy="913822"/>
                <wp:effectExtent l="0" t="0" r="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13822"/>
                        </a:xfrm>
                        <a:prstGeom prst="rect">
                          <a:avLst/>
                        </a:prstGeom>
                        <a:noFill/>
                        <a:ln w="9525">
                          <a:noFill/>
                          <a:miter lim="800000"/>
                          <a:headEnd/>
                          <a:tailEnd/>
                        </a:ln>
                      </wps:spPr>
                      <wps:txbx>
                        <w:txbxContent>
                          <w:p w:rsidR="0066022B" w:rsidRPr="00AB4362" w:rsidRDefault="0066022B" w:rsidP="00AB4362">
                            <w:pPr>
                              <w:pStyle w:val="Partheading"/>
                            </w:pPr>
                            <w:r>
                              <w:t>APPENDIX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35.35pt;margin-top:52.75pt;width:464.55pt;height:7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" filled="f" stroked="f">
                <v:textbox>
                  <w:txbxContent>
                    <w:p w:rsidR="0066022B" w:rsidRPr="00AB4362" w:rsidRDefault="0066022B" w:rsidP="00AB4362">
                      <w:pPr>
                        <w:pStyle w:val="Partheading"/>
                      </w:pPr>
                      <w:r>
                        <w:t>APPENDIX 1</w:t>
                      </w:r>
                    </w:p>
                  </w:txbxContent>
                </v:textbox>
              </v:shape>
            </w:pict>
          </mc:Fallback>
        </mc:AlternateContent>
      </w:r>
      <w:r w:rsidRPr="009C09EA">
        <w:rPr>
          <w:noProof/>
          <w:lang w:eastAsia="en-AU"/>
        </w:rPr>
        <mc:AlternateContent>
          <mc:Choice Requires="wps">
            <w:drawing>
              <wp:anchor distT="0" distB="0" distL="114300" distR="114300" simplePos="0" relativeHeight="251661312" behindDoc="0" locked="0" layoutInCell="1" allowOverlap="1" wp14:anchorId="451ACEED" wp14:editId="30812254">
                <wp:simplePos x="0" y="0"/>
                <wp:positionH relativeFrom="column">
                  <wp:posOffset>383822</wp:posOffset>
                </wp:positionH>
                <wp:positionV relativeFrom="paragraph">
                  <wp:posOffset>1591591</wp:posOffset>
                </wp:positionV>
                <wp:extent cx="5899785" cy="4679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467995"/>
                        </a:xfrm>
                        <a:prstGeom prst="rect">
                          <a:avLst/>
                        </a:prstGeom>
                        <a:noFill/>
                        <a:ln w="9525">
                          <a:noFill/>
                          <a:miter lim="800000"/>
                          <a:headEnd/>
                          <a:tailEnd/>
                        </a:ln>
                      </wps:spPr>
                      <wps:txbx>
                        <w:txbxContent>
                          <w:p w:rsidR="0066022B" w:rsidRPr="00D83C21" w:rsidRDefault="0066022B" w:rsidP="00582E39">
                            <w:pPr>
                              <w:pStyle w:val="Cover3"/>
                              <w:spacing w:before="120" w:line="240" w:lineRule="atLeast"/>
                              <w:rPr>
                                <w:sz w:val="36"/>
                              </w:rPr>
                            </w:pPr>
                            <w:r w:rsidRPr="007D52DB">
                              <w:rPr>
                                <w:sz w:val="36"/>
                              </w:rPr>
                              <w:t>Confidential information 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30.2pt;margin-top:125.3pt;width:464.5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" filled="f" stroked="f">
                <v:textbox>
                  <w:txbxContent>
                    <w:p w:rsidR="0066022B" w:rsidRPr="00D83C21" w:rsidRDefault="0066022B" w:rsidP="00582E39">
                      <w:pPr>
                        <w:pStyle w:val="Cover3"/>
                        <w:spacing w:before="120" w:line="240" w:lineRule="atLeast"/>
                        <w:rPr>
                          <w:sz w:val="36"/>
                        </w:rPr>
                      </w:pPr>
                      <w:r w:rsidRPr="007D52DB">
                        <w:rPr>
                          <w:sz w:val="36"/>
                        </w:rPr>
                        <w:t>Confidential information template</w:t>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650ECE40" wp14:editId="040B5002">
                <wp:simplePos x="0" y="0"/>
                <wp:positionH relativeFrom="column">
                  <wp:posOffset>-914400</wp:posOffset>
                </wp:positionH>
                <wp:positionV relativeFrom="paragraph">
                  <wp:posOffset>1589891</wp:posOffset>
                </wp:positionV>
                <wp:extent cx="7552690" cy="467995"/>
                <wp:effectExtent l="0" t="0" r="0" b="8255"/>
                <wp:wrapNone/>
                <wp:docPr id="26" name="Rectangle 26"/>
                <wp:cNvGraphicFramePr/>
                <a:graphic xmlns:a="http://schemas.openxmlformats.org/drawingml/2006/main">
                  <a:graphicData uri="http://schemas.microsoft.com/office/word/2010/wordprocessingShape">
                    <wps:wsp>
                      <wps:cNvSpPr/>
                      <wps:spPr>
                        <a:xfrm>
                          <a:off x="0" y="0"/>
                          <a:ext cx="7552690" cy="467995"/>
                        </a:xfrm>
                        <a:prstGeom prst="rect">
                          <a:avLst/>
                        </a:prstGeom>
                        <a:gradFill flip="none" rotWithShape="1">
                          <a:gsLst>
                            <a:gs pos="0">
                              <a:schemeClr val="bg1"/>
                            </a:gs>
                            <a:gs pos="49000">
                              <a:schemeClr val="bg1">
                                <a:alpha val="66000"/>
                              </a:schemeClr>
                            </a:gs>
                            <a:gs pos="100000">
                              <a:schemeClr val="bg1">
                                <a:lumMod val="94000"/>
                                <a:lumOff val="6000"/>
                                <a:alpha val="30000"/>
                              </a:schemeClr>
                            </a:gs>
                          </a:gsLst>
                          <a:lin ang="10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in;margin-top:125.2pt;width:594.7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" fillcolor="white [3212]" stroked="f" strokeweight="2pt">
                <v:fill opacity="19660f" color2="white [3036]" rotate="t" angle="270" focus="49%" type="gradient">
                  <o:fill v:ext="view" type="gradientUnscaled"/>
                </v:fill>
              </v:rect>
            </w:pict>
          </mc:Fallback>
        </mc:AlternateContent>
      </w:r>
      <w:r>
        <w:rPr>
          <w:noProof/>
          <w:lang w:eastAsia="en-AU"/>
        </w:rPr>
        <mc:AlternateContent>
          <mc:Choice Requires="wps">
            <w:drawing>
              <wp:anchor distT="0" distB="0" distL="114300" distR="114300" simplePos="0" relativeHeight="251659264" behindDoc="0" locked="0" layoutInCell="1" allowOverlap="1" wp14:anchorId="41091FA3" wp14:editId="160F91ED">
                <wp:simplePos x="0" y="0"/>
                <wp:positionH relativeFrom="column">
                  <wp:posOffset>-914400</wp:posOffset>
                </wp:positionH>
                <wp:positionV relativeFrom="paragraph">
                  <wp:posOffset>-925830</wp:posOffset>
                </wp:positionV>
                <wp:extent cx="7600950" cy="10772775"/>
                <wp:effectExtent l="0" t="0" r="0" b="9525"/>
                <wp:wrapNone/>
                <wp:docPr id="24" name="Rectangle 24"/>
                <wp:cNvGraphicFramePr/>
                <a:graphic xmlns:a="http://schemas.openxmlformats.org/drawingml/2006/main">
                  <a:graphicData uri="http://schemas.microsoft.com/office/word/2010/wordprocessingShape">
                    <wps:wsp>
                      <wps:cNvSpPr/>
                      <wps:spPr>
                        <a:xfrm>
                          <a:off x="0" y="0"/>
                          <a:ext cx="7600950" cy="10772775"/>
                        </a:xfrm>
                        <a:prstGeom prst="rect">
                          <a:avLst/>
                        </a:prstGeom>
                        <a:solidFill>
                          <a:srgbClr val="C4D545">
                            <a:alpha val="86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022B" w:rsidRDefault="0066022B" w:rsidP="00547C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9" style="position:absolute;margin-left:-1in;margin-top:-72.9pt;width:598.5pt;height:8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" fillcolor="#c4d545" stroked="f" strokeweight="2pt">
                <v:fill opacity="56283f"/>
                <v:textbox>
                  <w:txbxContent>
                    <w:p w:rsidR="0066022B" w:rsidRDefault="0066022B" w:rsidP="00547C7A">
                      <w:pPr>
                        <w:jc w:val="center"/>
                      </w:pPr>
                      <w:bookmarkStart w:id="1" w:name="_GoBack"/>
                      <w:bookmarkEnd w:id="1"/>
                    </w:p>
                  </w:txbxContent>
                </v:textbox>
              </v:rect>
            </w:pict>
          </mc:Fallback>
        </mc:AlternateContent>
      </w:r>
    </w:p>
    <w:p w:rsidR="0066022B" w:rsidRDefault="0066022B">
      <w:pPr>
        <w:spacing w:before="0" w:after="200" w:line="276" w:lineRule="auto"/>
        <w:sectPr w:rsidR="0066022B" w:rsidSect="0066022B">
          <w:headerReference w:type="default" r:id="rId12"/>
          <w:footerReference w:type="default" r:id="rId13"/>
          <w:pgSz w:w="11906" w:h="16838"/>
          <w:pgMar w:top="1440" w:right="1440" w:bottom="1702" w:left="1440" w:header="708" w:footer="708" w:gutter="0"/>
          <w:cols w:space="708"/>
          <w:docGrid w:linePitch="360"/>
        </w:sectPr>
      </w:pPr>
      <w:r>
        <w:br w:type="page"/>
      </w:r>
    </w:p>
    <w:p w:rsidR="000D4504" w:rsidRDefault="001C79FA" w:rsidP="000D4504">
      <w:pPr>
        <w:pStyle w:val="Heading2"/>
        <w:numPr>
          <w:ilvl w:val="0"/>
          <w:numId w:val="0"/>
        </w:numPr>
        <w:ind w:left="-426"/>
      </w:pPr>
      <w:r>
        <w:lastRenderedPageBreak/>
        <w:t>Energex</w:t>
      </w:r>
      <w:r w:rsidR="008B1A2D">
        <w:t xml:space="preserve"> </w:t>
      </w:r>
      <w:r w:rsidR="000D4504">
        <w:t>Confidentiality Template</w:t>
      </w:r>
    </w:p>
    <w:p w:rsidR="00A174AD" w:rsidRDefault="001B2D21" w:rsidP="00A174AD">
      <w:r>
        <w:t>Note: I</w:t>
      </w:r>
      <w:r w:rsidR="00A174AD">
        <w:t xml:space="preserve">f a piece of information is </w:t>
      </w:r>
      <w:r>
        <w:t xml:space="preserve">identified as </w:t>
      </w:r>
      <w:r w:rsidR="00A174AD">
        <w:t>commercially sensitive there are steps that can be taken to provide this information in certain circumstances</w:t>
      </w:r>
      <w:r>
        <w:t>.</w:t>
      </w:r>
      <w:r w:rsidR="001C79FA" w:rsidRPr="001C79FA">
        <w:rPr>
          <w:sz w:val="20"/>
        </w:rPr>
        <w:t xml:space="preserve"> </w:t>
      </w:r>
      <w:r w:rsidR="001C79FA">
        <w:rPr>
          <w:sz w:val="20"/>
        </w:rPr>
        <w:t>In addition to completing the confidentiality template a confidential (version which highlights in yellow the confidential information) and public version (the confidential information is redacted i.e. removed or blacked out rather than highlighted).</w:t>
      </w:r>
    </w:p>
    <w:p w:rsidR="001C79FA" w:rsidRDefault="001C79FA" w:rsidP="001C79FA">
      <w:pPr>
        <w:outlineLvl w:val="0"/>
        <w:rPr>
          <w:sz w:val="20"/>
          <w:u w:val="single"/>
        </w:rPr>
      </w:pPr>
      <w:r>
        <w:rPr>
          <w:sz w:val="20"/>
          <w:u w:val="single"/>
        </w:rPr>
        <w:t>AER categories of confidential information</w:t>
      </w:r>
    </w:p>
    <w:p w:rsidR="001C79FA" w:rsidRDefault="001C79FA" w:rsidP="001C79FA">
      <w:pPr>
        <w:numPr>
          <w:ilvl w:val="0"/>
          <w:numId w:val="13"/>
        </w:numPr>
        <w:spacing w:before="40" w:after="0" w:line="240" w:lineRule="auto"/>
        <w:ind w:left="357" w:hanging="357"/>
        <w:rPr>
          <w:sz w:val="20"/>
        </w:rPr>
      </w:pPr>
      <w:r>
        <w:rPr>
          <w:b/>
          <w:i/>
          <w:sz w:val="20"/>
        </w:rPr>
        <w:t>Information affecting the security of the network</w:t>
      </w:r>
      <w:r>
        <w:rPr>
          <w:sz w:val="20"/>
        </w:rPr>
        <w:t xml:space="preserve"> – information, which if made public, may jeopardise the security of the network or a NSP’s ability to effectively plan and operate its network.</w:t>
      </w:r>
    </w:p>
    <w:p w:rsidR="001C79FA" w:rsidRDefault="001C79FA" w:rsidP="001C79FA">
      <w:pPr>
        <w:numPr>
          <w:ilvl w:val="0"/>
          <w:numId w:val="13"/>
        </w:numPr>
        <w:spacing w:before="80" w:after="0" w:line="240" w:lineRule="auto"/>
        <w:ind w:left="357" w:hanging="357"/>
        <w:rPr>
          <w:sz w:val="20"/>
        </w:rPr>
      </w:pPr>
      <w:r>
        <w:rPr>
          <w:b/>
          <w:i/>
          <w:sz w:val="20"/>
        </w:rPr>
        <w:t>Market sensitive cost inputs</w:t>
      </w:r>
      <w:r>
        <w:rPr>
          <w:sz w:val="20"/>
        </w:rPr>
        <w:t xml:space="preserve"> – information such as supplier prices or information that would affect the NSP’s ability to obtain a competitive price in future infrastructure transactions, such as tender processes.</w:t>
      </w:r>
    </w:p>
    <w:p w:rsidR="001C79FA" w:rsidRDefault="001C79FA" w:rsidP="001C79FA">
      <w:pPr>
        <w:numPr>
          <w:ilvl w:val="0"/>
          <w:numId w:val="13"/>
        </w:numPr>
        <w:spacing w:before="80" w:after="0" w:line="240" w:lineRule="auto"/>
        <w:ind w:left="357" w:hanging="357"/>
        <w:rPr>
          <w:b/>
          <w:sz w:val="20"/>
        </w:rPr>
      </w:pPr>
      <w:r>
        <w:rPr>
          <w:b/>
          <w:i/>
          <w:sz w:val="20"/>
        </w:rPr>
        <w:t>Market intelligence</w:t>
      </w:r>
      <w:r>
        <w:rPr>
          <w:sz w:val="20"/>
        </w:rPr>
        <w:t xml:space="preserve"> – information which may provide an advantage to a NSP’s competitors for non-regulated or contestable activities.</w:t>
      </w:r>
    </w:p>
    <w:p w:rsidR="001C79FA" w:rsidRDefault="001C79FA" w:rsidP="001C79FA">
      <w:pPr>
        <w:numPr>
          <w:ilvl w:val="0"/>
          <w:numId w:val="13"/>
        </w:numPr>
        <w:spacing w:before="80" w:after="0" w:line="240" w:lineRule="auto"/>
        <w:ind w:left="357" w:hanging="357"/>
        <w:rPr>
          <w:b/>
          <w:i/>
          <w:sz w:val="20"/>
        </w:rPr>
      </w:pPr>
      <w:r>
        <w:rPr>
          <w:b/>
          <w:i/>
          <w:sz w:val="20"/>
        </w:rPr>
        <w:t>Strategic information</w:t>
      </w:r>
      <w:r>
        <w:rPr>
          <w:sz w:val="20"/>
        </w:rPr>
        <w:t xml:space="preserve"> – information such as the acquisition of land and easements, where the release of information might adversely impact the NSP’s ability to negotiate a fair market price for these items.</w:t>
      </w:r>
    </w:p>
    <w:p w:rsidR="001C79FA" w:rsidRDefault="001C79FA" w:rsidP="001C79FA">
      <w:pPr>
        <w:numPr>
          <w:ilvl w:val="0"/>
          <w:numId w:val="13"/>
        </w:numPr>
        <w:spacing w:before="80" w:after="0" w:line="240" w:lineRule="auto"/>
        <w:ind w:left="357" w:hanging="357"/>
        <w:rPr>
          <w:b/>
          <w:sz w:val="20"/>
        </w:rPr>
      </w:pPr>
      <w:r>
        <w:rPr>
          <w:b/>
          <w:i/>
          <w:sz w:val="20"/>
        </w:rPr>
        <w:t>Personal information</w:t>
      </w:r>
      <w:r>
        <w:rPr>
          <w:sz w:val="20"/>
        </w:rPr>
        <w:t>- information about an individual or customer whose identity is apparent or can reasonably ascertained from the information which raises privacy considerations.</w:t>
      </w:r>
    </w:p>
    <w:p w:rsidR="001C79FA" w:rsidRDefault="001C79FA" w:rsidP="001C79FA">
      <w:pPr>
        <w:numPr>
          <w:ilvl w:val="0"/>
          <w:numId w:val="13"/>
        </w:numPr>
        <w:spacing w:before="40" w:after="0" w:line="240" w:lineRule="auto"/>
        <w:rPr>
          <w:b/>
          <w:sz w:val="20"/>
        </w:rPr>
      </w:pPr>
      <w:r>
        <w:rPr>
          <w:b/>
          <w:i/>
          <w:sz w:val="20"/>
        </w:rPr>
        <w:t>Other</w:t>
      </w:r>
      <w:r>
        <w:rPr>
          <w:sz w:val="20"/>
        </w:rPr>
        <w:t xml:space="preserve"> – information a NSP claims as confidential but does not fit into any of the above categories.</w:t>
      </w:r>
    </w:p>
    <w:p w:rsidR="001C79FA" w:rsidRDefault="001C79FA" w:rsidP="00A174AD">
      <w:pPr>
        <w:sectPr w:rsidR="001C79FA" w:rsidSect="0066022B">
          <w:headerReference w:type="default" r:id="rId14"/>
          <w:footerReference w:type="default" r:id="rId15"/>
          <w:pgSz w:w="16838" w:h="11906" w:orient="landscape"/>
          <w:pgMar w:top="1440" w:right="1440" w:bottom="1440" w:left="1702" w:header="708" w:footer="708" w:gutter="0"/>
          <w:pgNumType w:start="1"/>
          <w:cols w:space="708"/>
          <w:docGrid w:linePitch="360"/>
        </w:sectPr>
      </w:pPr>
    </w:p>
    <w:p w:rsidR="001C79FA" w:rsidRPr="00A174AD" w:rsidRDefault="001C79FA" w:rsidP="00A174AD"/>
    <w:tbl>
      <w:tblPr>
        <w:tblStyle w:val="TableGrid"/>
        <w:tblW w:w="5531" w:type="pct"/>
        <w:jc w:val="center"/>
        <w:tblInd w:w="-1477" w:type="dxa"/>
        <w:tblLook w:val="04A0" w:firstRow="1" w:lastRow="0" w:firstColumn="1" w:lastColumn="0" w:noHBand="0" w:noVBand="1"/>
      </w:tblPr>
      <w:tblGrid>
        <w:gridCol w:w="2052"/>
        <w:gridCol w:w="2051"/>
        <w:gridCol w:w="1644"/>
        <w:gridCol w:w="2159"/>
        <w:gridCol w:w="2633"/>
        <w:gridCol w:w="2394"/>
        <w:gridCol w:w="2456"/>
      </w:tblGrid>
      <w:tr w:rsidR="00733166" w:rsidTr="002968FA">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052" w:type="dxa"/>
          </w:tcPr>
          <w:p w:rsidR="0051760F" w:rsidRDefault="0051760F" w:rsidP="00E32EED">
            <w:pPr>
              <w:pStyle w:val="Caption-Figure"/>
              <w:spacing w:before="120"/>
              <w:jc w:val="left"/>
            </w:pPr>
            <w:r>
              <w:t>Title, page and paragraph number of the document containing the confidential information</w:t>
            </w:r>
          </w:p>
        </w:tc>
        <w:tc>
          <w:tcPr>
            <w:tcW w:w="2051" w:type="dxa"/>
          </w:tcPr>
          <w:p w:rsidR="0051760F" w:rsidRDefault="0051760F"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Description of the confidential information</w:t>
            </w:r>
          </w:p>
        </w:tc>
        <w:tc>
          <w:tcPr>
            <w:tcW w:w="1644" w:type="dxa"/>
          </w:tcPr>
          <w:p w:rsidR="0051760F" w:rsidRDefault="0051760F"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 xml:space="preserve">Topic the confidential information relates to (e.g. capex, </w:t>
            </w:r>
            <w:proofErr w:type="spellStart"/>
            <w:r>
              <w:t>opex</w:t>
            </w:r>
            <w:proofErr w:type="spellEnd"/>
            <w:r>
              <w:t>, the rate of return)</w:t>
            </w:r>
          </w:p>
        </w:tc>
        <w:tc>
          <w:tcPr>
            <w:tcW w:w="2159" w:type="dxa"/>
          </w:tcPr>
          <w:p w:rsidR="0051760F" w:rsidRDefault="0051760F"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Identify the recognised confidentiality category that the confidential information falls within</w:t>
            </w:r>
          </w:p>
        </w:tc>
        <w:tc>
          <w:tcPr>
            <w:tcW w:w="2633" w:type="dxa"/>
          </w:tcPr>
          <w:p w:rsidR="0051760F" w:rsidRDefault="0051760F"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Provide a brief explanation of why the confidential information falls into the selected category</w:t>
            </w:r>
          </w:p>
        </w:tc>
        <w:tc>
          <w:tcPr>
            <w:tcW w:w="2394" w:type="dxa"/>
          </w:tcPr>
          <w:p w:rsidR="0051760F" w:rsidRDefault="0051760F"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Specify reasons supporting how and why detriment would be caused from disclosing the confidential information</w:t>
            </w:r>
          </w:p>
        </w:tc>
        <w:tc>
          <w:tcPr>
            <w:tcW w:w="2456" w:type="dxa"/>
          </w:tcPr>
          <w:p w:rsidR="0051760F" w:rsidRDefault="0051760F"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Provide any reasons supporting why the identified detriment is not outweighed by the public benefit (especially public benefits such as the effect on the long term interests of consumers)</w:t>
            </w:r>
          </w:p>
        </w:tc>
      </w:tr>
      <w:tr w:rsidR="00733166" w:rsidTr="002968F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2C7DF8" w:rsidRPr="0062107D" w:rsidRDefault="002C7DF8" w:rsidP="00461C41">
            <w:pPr>
              <w:pStyle w:val="Caption-Figure"/>
              <w:spacing w:before="120"/>
              <w:jc w:val="left"/>
            </w:pPr>
            <w:r w:rsidRPr="0062107D">
              <w:t>R</w:t>
            </w:r>
            <w:r w:rsidR="0062107D">
              <w:t>egulatory proposal</w:t>
            </w:r>
          </w:p>
          <w:p w:rsidR="002C7DF8" w:rsidRPr="0062107D" w:rsidRDefault="002C7DF8" w:rsidP="00461C41">
            <w:pPr>
              <w:pStyle w:val="Caption-Figure"/>
              <w:spacing w:before="120"/>
              <w:jc w:val="left"/>
            </w:pPr>
            <w:r w:rsidRPr="0062107D">
              <w:t>Chapter 13</w:t>
            </w:r>
          </w:p>
          <w:p w:rsidR="0062107D" w:rsidRPr="0062107D" w:rsidRDefault="002C7DF8" w:rsidP="0049567E">
            <w:pPr>
              <w:pStyle w:val="Caption-Figure"/>
              <w:spacing w:before="120"/>
              <w:jc w:val="left"/>
            </w:pPr>
            <w:r w:rsidRPr="0062107D">
              <w:t xml:space="preserve">Section 13.4.7 </w:t>
            </w:r>
          </w:p>
          <w:p w:rsidR="002C7DF8" w:rsidRDefault="002C7DF8" w:rsidP="0049567E">
            <w:pPr>
              <w:pStyle w:val="Caption-Figure"/>
              <w:spacing w:before="120"/>
              <w:jc w:val="left"/>
            </w:pPr>
            <w:r w:rsidRPr="0062107D">
              <w:t xml:space="preserve">Page </w:t>
            </w:r>
            <w:r w:rsidR="008E777B">
              <w:t>–</w:t>
            </w:r>
            <w:r w:rsidRPr="008E777B">
              <w:t xml:space="preserve"> </w:t>
            </w:r>
            <w:r w:rsidR="008E777B" w:rsidRPr="008E777B">
              <w:t>176</w:t>
            </w:r>
          </w:p>
          <w:p w:rsidR="008E777B" w:rsidRPr="005F7011" w:rsidRDefault="008E777B" w:rsidP="0049567E">
            <w:pPr>
              <w:pStyle w:val="Caption-Figure"/>
              <w:spacing w:before="120"/>
              <w:jc w:val="left"/>
              <w:rPr>
                <w:b w:val="0"/>
                <w:color w:val="FF0000"/>
              </w:rPr>
            </w:pPr>
            <w:r w:rsidRPr="008E777B">
              <w:rPr>
                <w:b w:val="0"/>
              </w:rPr>
              <w:t>Nominating Averaging Periods – 3</w:t>
            </w:r>
            <w:r w:rsidRPr="008E777B">
              <w:rPr>
                <w:b w:val="0"/>
                <w:vertAlign w:val="superscript"/>
              </w:rPr>
              <w:t>rd</w:t>
            </w:r>
            <w:r w:rsidRPr="008E777B">
              <w:rPr>
                <w:b w:val="0"/>
              </w:rPr>
              <w:t xml:space="preserve"> paragraph</w:t>
            </w:r>
          </w:p>
        </w:tc>
        <w:tc>
          <w:tcPr>
            <w:tcW w:w="2051" w:type="dxa"/>
          </w:tcPr>
          <w:p w:rsidR="002C7DF8" w:rsidRDefault="002C7DF8" w:rsidP="00461C41">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Averaging period for use in calculating the return on debt</w:t>
            </w:r>
          </w:p>
          <w:p w:rsidR="002C7DF8" w:rsidRPr="00C54F3F" w:rsidRDefault="002C7DF8"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tc>
        <w:tc>
          <w:tcPr>
            <w:tcW w:w="1644" w:type="dxa"/>
          </w:tcPr>
          <w:p w:rsidR="002C7DF8" w:rsidRPr="00C54F3F" w:rsidRDefault="002C7DF8"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Rate of return</w:t>
            </w:r>
          </w:p>
        </w:tc>
        <w:tc>
          <w:tcPr>
            <w:tcW w:w="2159" w:type="dxa"/>
          </w:tcPr>
          <w:p w:rsidR="002C7DF8" w:rsidRPr="00C54F3F" w:rsidRDefault="002C7DF8"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Market sensitive information</w:t>
            </w:r>
          </w:p>
        </w:tc>
        <w:tc>
          <w:tcPr>
            <w:tcW w:w="2633" w:type="dxa"/>
          </w:tcPr>
          <w:p w:rsidR="002C7DF8" w:rsidRPr="00C54F3F" w:rsidRDefault="002C7DF8"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The information is confidential because it specifies the date/s when Energex expects to raise debt.</w:t>
            </w:r>
          </w:p>
        </w:tc>
        <w:tc>
          <w:tcPr>
            <w:tcW w:w="2394" w:type="dxa"/>
          </w:tcPr>
          <w:p w:rsidR="002C7DF8" w:rsidRDefault="002C7DF8" w:rsidP="00461C41">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Disclosure of Energex’s proposed dates on which it proposes to raise debt would potentially influence the behaviour of prospective lenders</w:t>
            </w:r>
          </w:p>
          <w:p w:rsidR="002C7DF8" w:rsidRPr="00C54F3F" w:rsidRDefault="002C7DF8"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tc>
        <w:tc>
          <w:tcPr>
            <w:tcW w:w="2456" w:type="dxa"/>
          </w:tcPr>
          <w:p w:rsidR="002C7DF8" w:rsidRPr="00C76C05" w:rsidRDefault="002C7DF8"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color w:val="FF0000"/>
              </w:rPr>
            </w:pPr>
            <w:r>
              <w:rPr>
                <w:b w:val="0"/>
              </w:rPr>
              <w:t>As the Cost of Debt is a key input to the Rate of Return Energex receives on its assets, not receiving an efficient market rate will have a detrimental impact on the price customers will ultimately pay for the distribution of electricity.</w:t>
            </w:r>
          </w:p>
        </w:tc>
      </w:tr>
      <w:tr w:rsidR="00733166" w:rsidTr="002968F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151E6B" w:rsidRPr="0062107D" w:rsidRDefault="00151E6B" w:rsidP="00461C41">
            <w:pPr>
              <w:pStyle w:val="Caption-Figure"/>
              <w:spacing w:before="120"/>
              <w:jc w:val="left"/>
            </w:pPr>
            <w:r w:rsidRPr="0062107D">
              <w:t xml:space="preserve">Regulatory Proposal </w:t>
            </w:r>
          </w:p>
          <w:p w:rsidR="00121B99" w:rsidRPr="0062107D" w:rsidRDefault="00121B99" w:rsidP="00461C41">
            <w:pPr>
              <w:pStyle w:val="Caption-Figure"/>
              <w:spacing w:before="120"/>
              <w:jc w:val="left"/>
            </w:pPr>
            <w:r w:rsidRPr="0062107D">
              <w:t>Chapter 15</w:t>
            </w:r>
          </w:p>
          <w:p w:rsidR="008E777B" w:rsidRDefault="00151E6B" w:rsidP="00121B99">
            <w:pPr>
              <w:pStyle w:val="Caption-Figure"/>
              <w:spacing w:before="120"/>
              <w:jc w:val="left"/>
            </w:pPr>
            <w:r w:rsidRPr="0062107D">
              <w:t>Section 15.3.3</w:t>
            </w:r>
            <w:r w:rsidR="00121B99" w:rsidRPr="0062107D">
              <w:rPr>
                <w:highlight w:val="yellow"/>
              </w:rPr>
              <w:t xml:space="preserve"> </w:t>
            </w:r>
          </w:p>
          <w:p w:rsidR="00121B99" w:rsidRPr="0062107D" w:rsidRDefault="00121B99" w:rsidP="00121B99">
            <w:pPr>
              <w:pStyle w:val="Caption-Figure"/>
              <w:spacing w:before="120"/>
              <w:jc w:val="left"/>
            </w:pPr>
            <w:r w:rsidRPr="008E777B">
              <w:t>Page</w:t>
            </w:r>
            <w:r w:rsidR="00311A15">
              <w:t>188</w:t>
            </w:r>
          </w:p>
          <w:p w:rsidR="00151E6B" w:rsidRDefault="00151E6B" w:rsidP="008E777B">
            <w:pPr>
              <w:pStyle w:val="Caption-Figure"/>
              <w:spacing w:before="120"/>
              <w:jc w:val="left"/>
              <w:rPr>
                <w:b w:val="0"/>
              </w:rPr>
            </w:pPr>
            <w:r>
              <w:rPr>
                <w:b w:val="0"/>
              </w:rPr>
              <w:t xml:space="preserve">‘Inspection Costs of </w:t>
            </w:r>
            <w:r>
              <w:rPr>
                <w:b w:val="0"/>
              </w:rPr>
              <w:lastRenderedPageBreak/>
              <w:t>Service Lines’</w:t>
            </w:r>
            <w:r w:rsidR="008E777B">
              <w:rPr>
                <w:b w:val="0"/>
              </w:rPr>
              <w:t xml:space="preserve"> - </w:t>
            </w:r>
            <w:r w:rsidR="008E777B" w:rsidRPr="008E777B">
              <w:rPr>
                <w:b w:val="0"/>
              </w:rPr>
              <w:t>3rd Paragraph</w:t>
            </w:r>
          </w:p>
        </w:tc>
        <w:tc>
          <w:tcPr>
            <w:tcW w:w="2051" w:type="dxa"/>
          </w:tcPr>
          <w:p w:rsidR="00151E6B" w:rsidRDefault="00151E6B" w:rsidP="00461C41">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Paragraphs disclosing commercial dispute with customer service line manufacturer and the negotiated </w:t>
            </w:r>
            <w:r>
              <w:rPr>
                <w:b w:val="0"/>
              </w:rPr>
              <w:lastRenderedPageBreak/>
              <w:t>settlement of this dispute</w:t>
            </w:r>
          </w:p>
        </w:tc>
        <w:tc>
          <w:tcPr>
            <w:tcW w:w="1644" w:type="dxa"/>
          </w:tcPr>
          <w:p w:rsidR="00151E6B" w:rsidRDefault="00151E6B"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EBSS</w:t>
            </w:r>
          </w:p>
        </w:tc>
        <w:tc>
          <w:tcPr>
            <w:tcW w:w="2159" w:type="dxa"/>
          </w:tcPr>
          <w:p w:rsidR="00151E6B" w:rsidRDefault="00151E6B"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Other</w:t>
            </w:r>
          </w:p>
        </w:tc>
        <w:tc>
          <w:tcPr>
            <w:tcW w:w="2633" w:type="dxa"/>
          </w:tcPr>
          <w:p w:rsidR="00151E6B" w:rsidRDefault="00151E6B" w:rsidP="00151E6B">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Energex and the service line manufacturer negotiated a commercial settlement to the dispute over the quality of the service line which included a payment without </w:t>
            </w:r>
            <w:r>
              <w:rPr>
                <w:b w:val="0"/>
              </w:rPr>
              <w:lastRenderedPageBreak/>
              <w:t>admission of liability by the manufacturer.  This was recorded in a Settlement Deed which contained a confidentiality provision preventing disclosure except in limited circumstances.</w:t>
            </w:r>
          </w:p>
          <w:p w:rsidR="00151E6B" w:rsidRDefault="00151E6B"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p>
        </w:tc>
        <w:tc>
          <w:tcPr>
            <w:tcW w:w="2394" w:type="dxa"/>
          </w:tcPr>
          <w:p w:rsidR="00151E6B" w:rsidRDefault="00151E6B" w:rsidP="00461C41">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Disclosing this information in the knowledge that it would be published in a publicly available document is a breach of Energex’s obligations to </w:t>
            </w:r>
            <w:r>
              <w:rPr>
                <w:b w:val="0"/>
              </w:rPr>
              <w:lastRenderedPageBreak/>
              <w:t>the manufacturer in the settlement deed.</w:t>
            </w:r>
          </w:p>
          <w:p w:rsidR="00151E6B" w:rsidRDefault="00151E6B" w:rsidP="00461C41">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Disclosing the quantum of this settlement would also prejudice the manufacturer as the ‘no liability’ aspect of their payment would be unlikely to be satisfactorily recorded.  </w:t>
            </w:r>
          </w:p>
        </w:tc>
        <w:tc>
          <w:tcPr>
            <w:tcW w:w="2456" w:type="dxa"/>
          </w:tcPr>
          <w:p w:rsidR="00151E6B" w:rsidRDefault="00151E6B" w:rsidP="008E777B">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There is little public benefit in the details of the settlement of this commercial dispute.  A one off dispute and its settlement has no larger impact on customers or </w:t>
            </w:r>
            <w:r>
              <w:rPr>
                <w:b w:val="0"/>
              </w:rPr>
              <w:lastRenderedPageBreak/>
              <w:t>their long term interests.  .</w:t>
            </w:r>
          </w:p>
        </w:tc>
      </w:tr>
      <w:tr w:rsidR="00071CC5" w:rsidTr="002968F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071CC5" w:rsidRDefault="00071CC5" w:rsidP="0049567E">
            <w:pPr>
              <w:pStyle w:val="Caption-Figure"/>
              <w:spacing w:before="120"/>
              <w:jc w:val="left"/>
            </w:pPr>
            <w:r>
              <w:lastRenderedPageBreak/>
              <w:t>Regulatory Proposal</w:t>
            </w:r>
          </w:p>
          <w:p w:rsidR="00071CC5" w:rsidRDefault="00071CC5" w:rsidP="0049567E">
            <w:pPr>
              <w:pStyle w:val="Caption-Figure"/>
              <w:spacing w:before="120"/>
              <w:jc w:val="left"/>
            </w:pPr>
            <w:r>
              <w:t>Chapter 25</w:t>
            </w:r>
          </w:p>
          <w:p w:rsidR="00071CC5" w:rsidRDefault="00071CC5" w:rsidP="0049567E">
            <w:pPr>
              <w:pStyle w:val="Caption-Figure"/>
              <w:spacing w:before="120"/>
              <w:jc w:val="left"/>
            </w:pPr>
            <w:r>
              <w:t>Section 25.6.3</w:t>
            </w:r>
          </w:p>
          <w:p w:rsidR="00071CC5" w:rsidRDefault="00311A15" w:rsidP="0049567E">
            <w:pPr>
              <w:pStyle w:val="Caption-Figure"/>
              <w:spacing w:before="120"/>
              <w:jc w:val="left"/>
            </w:pPr>
            <w:r>
              <w:t xml:space="preserve">Table </w:t>
            </w:r>
            <w:r w:rsidR="00071CC5">
              <w:t>25.</w:t>
            </w:r>
            <w:r>
              <w:t>6</w:t>
            </w:r>
            <w:r w:rsidR="00D05D3A">
              <w:t xml:space="preserve"> </w:t>
            </w:r>
            <w:r w:rsidR="00D05D3A" w:rsidRPr="00D05D3A">
              <w:rPr>
                <w:b w:val="0"/>
              </w:rPr>
              <w:t>(meter reading line only)</w:t>
            </w:r>
          </w:p>
          <w:p w:rsidR="00071CC5" w:rsidRPr="0062107D" w:rsidRDefault="00071CC5" w:rsidP="0049567E">
            <w:pPr>
              <w:pStyle w:val="Caption-Figure"/>
              <w:spacing w:before="120"/>
              <w:jc w:val="left"/>
            </w:pPr>
            <w:r>
              <w:t xml:space="preserve">Page </w:t>
            </w:r>
            <w:r w:rsidR="00311A15">
              <w:t>274</w:t>
            </w:r>
          </w:p>
        </w:tc>
        <w:tc>
          <w:tcPr>
            <w:tcW w:w="2051" w:type="dxa"/>
          </w:tcPr>
          <w:p w:rsidR="00071CC5" w:rsidRDefault="00071CC5" w:rsidP="00C75BC6">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Mete</w:t>
            </w:r>
            <w:r w:rsidR="00C75BC6">
              <w:rPr>
                <w:b w:val="0"/>
              </w:rPr>
              <w:t xml:space="preserve">r reading costs </w:t>
            </w:r>
          </w:p>
        </w:tc>
        <w:tc>
          <w:tcPr>
            <w:tcW w:w="1644" w:type="dxa"/>
          </w:tcPr>
          <w:p w:rsidR="00071CC5"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roofErr w:type="spellStart"/>
            <w:r>
              <w:rPr>
                <w:b w:val="0"/>
              </w:rPr>
              <w:t>Opex</w:t>
            </w:r>
            <w:proofErr w:type="spellEnd"/>
          </w:p>
        </w:tc>
        <w:tc>
          <w:tcPr>
            <w:tcW w:w="2159" w:type="dxa"/>
          </w:tcPr>
          <w:p w:rsidR="00071CC5" w:rsidRDefault="00071CC5" w:rsidP="0092664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ED60D1">
              <w:rPr>
                <w:b w:val="0"/>
              </w:rPr>
              <w:t xml:space="preserve">Market sensitive cost inputs </w:t>
            </w:r>
          </w:p>
          <w:p w:rsidR="00071CC5" w:rsidRPr="00ED60D1" w:rsidRDefault="00071CC5" w:rsidP="00071CC5">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tc>
        <w:tc>
          <w:tcPr>
            <w:tcW w:w="2633" w:type="dxa"/>
          </w:tcPr>
          <w:p w:rsidR="00071CC5" w:rsidRDefault="00071CC5" w:rsidP="0092664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Meter reading services are outsourced, and carried out by a single contractor</w:t>
            </w:r>
          </w:p>
          <w:p w:rsidR="00071CC5" w:rsidRDefault="00071CC5" w:rsidP="0092664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49567E">
              <w:rPr>
                <w:b w:val="0"/>
              </w:rPr>
              <w:t>The total expenditure would enable the contract price to be calculated</w:t>
            </w:r>
          </w:p>
          <w:p w:rsidR="00071CC5" w:rsidRDefault="00071CC5" w:rsidP="0092664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p w:rsidR="00071CC5" w:rsidRDefault="00071CC5" w:rsidP="0092664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p w:rsidR="00071CC5" w:rsidRDefault="00071CC5" w:rsidP="002332E5">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tc>
        <w:tc>
          <w:tcPr>
            <w:tcW w:w="2394" w:type="dxa"/>
          </w:tcPr>
          <w:p w:rsidR="00071CC5" w:rsidRPr="0049567E" w:rsidRDefault="00071CC5" w:rsidP="00926647">
            <w:pPr>
              <w:pStyle w:val="Caption-Figure"/>
              <w:spacing w:before="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b w:val="0"/>
              </w:rPr>
              <w:lastRenderedPageBreak/>
              <w:t xml:space="preserve">Specific references to the current and forecast costs may impact the competitive tender process undertaken and </w:t>
            </w:r>
            <w:r w:rsidRPr="0049567E">
              <w:rPr>
                <w:b w:val="0"/>
              </w:rPr>
              <w:t>Energex’s ability to obtain competitive prices in the future</w:t>
            </w:r>
          </w:p>
          <w:p w:rsidR="00071CC5" w:rsidRDefault="00071CC5" w:rsidP="002332E5">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49567E">
              <w:rPr>
                <w:b w:val="0"/>
              </w:rPr>
              <w:t xml:space="preserve">Further, this information </w:t>
            </w:r>
            <w:r w:rsidRPr="0049567E">
              <w:rPr>
                <w:b w:val="0"/>
              </w:rPr>
              <w:lastRenderedPageBreak/>
              <w:t xml:space="preserve">would provide a detriment to the third party supplier and will affect its competiveness in the market. </w:t>
            </w:r>
          </w:p>
        </w:tc>
        <w:tc>
          <w:tcPr>
            <w:tcW w:w="2456" w:type="dxa"/>
          </w:tcPr>
          <w:p w:rsidR="004F2377" w:rsidRPr="0049567E"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49567E">
              <w:rPr>
                <w:b w:val="0"/>
              </w:rPr>
              <w:lastRenderedPageBreak/>
              <w:t xml:space="preserve">Energex believes there is not the requisite degree of public benefit in disclosing individual commercial in confidence contract unit prices to customers and the third party supplier’s competitors, which would </w:t>
            </w:r>
            <w:r w:rsidRPr="0049567E">
              <w:rPr>
                <w:b w:val="0"/>
              </w:rPr>
              <w:lastRenderedPageBreak/>
              <w:t>outweigh the detriment to Energex and the third party supplier.  Competitors of the supplier having access to the supplier’s prices would distort the market and affect Energex’s ability to obtain competitive prices in future tender processes</w:t>
            </w:r>
            <w:r>
              <w:rPr>
                <w:b w:val="0"/>
              </w:rPr>
              <w:t xml:space="preserve">.  It </w:t>
            </w:r>
            <w:r w:rsidRPr="0049567E">
              <w:rPr>
                <w:b w:val="0"/>
              </w:rPr>
              <w:t>might also damage the third party supplier’s position in a market in which that third party supplier competes.</w:t>
            </w:r>
          </w:p>
        </w:tc>
      </w:tr>
      <w:tr w:rsidR="00071CC5" w:rsidTr="002968F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071CC5" w:rsidRPr="0062107D" w:rsidRDefault="00071CC5" w:rsidP="0049567E">
            <w:pPr>
              <w:pStyle w:val="Caption-Figure"/>
              <w:spacing w:before="120"/>
              <w:jc w:val="left"/>
            </w:pPr>
            <w:r w:rsidRPr="0062107D">
              <w:lastRenderedPageBreak/>
              <w:t xml:space="preserve">Appendix 21 ‘Forecast Cost Escalation Rates’ </w:t>
            </w:r>
            <w:r w:rsidRPr="0062107D">
              <w:lastRenderedPageBreak/>
              <w:t>PWC Final Report</w:t>
            </w:r>
          </w:p>
          <w:p w:rsidR="00071CC5" w:rsidRPr="0062107D" w:rsidRDefault="00071CC5" w:rsidP="0049567E">
            <w:pPr>
              <w:pStyle w:val="Caption-Figure"/>
              <w:spacing w:before="120"/>
              <w:jc w:val="left"/>
            </w:pPr>
            <w:r w:rsidRPr="0062107D">
              <w:t xml:space="preserve">Page 17 </w:t>
            </w:r>
          </w:p>
          <w:p w:rsidR="00071CC5" w:rsidRPr="00071CC5" w:rsidRDefault="00071CC5" w:rsidP="0049567E">
            <w:pPr>
              <w:pStyle w:val="Caption-Figure"/>
              <w:spacing w:before="120"/>
              <w:jc w:val="left"/>
            </w:pPr>
            <w:r w:rsidRPr="00071CC5">
              <w:t>Table 6</w:t>
            </w:r>
          </w:p>
        </w:tc>
        <w:tc>
          <w:tcPr>
            <w:tcW w:w="2051" w:type="dxa"/>
          </w:tcPr>
          <w:p w:rsidR="00071CC5"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Energex Service Contractor Costs – Fleet Management and Metering </w:t>
            </w:r>
            <w:r>
              <w:rPr>
                <w:b w:val="0"/>
              </w:rPr>
              <w:lastRenderedPageBreak/>
              <w:t>Reading</w:t>
            </w:r>
          </w:p>
        </w:tc>
        <w:tc>
          <w:tcPr>
            <w:tcW w:w="1644" w:type="dxa"/>
          </w:tcPr>
          <w:p w:rsidR="00071CC5"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Service contractor expenditure </w:t>
            </w:r>
            <w:r>
              <w:rPr>
                <w:b w:val="0"/>
              </w:rPr>
              <w:lastRenderedPageBreak/>
              <w:t>and escalation</w:t>
            </w:r>
          </w:p>
        </w:tc>
        <w:tc>
          <w:tcPr>
            <w:tcW w:w="2159" w:type="dxa"/>
          </w:tcPr>
          <w:p w:rsidR="00071CC5" w:rsidRDefault="00071CC5" w:rsidP="002332E5">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ED60D1">
              <w:rPr>
                <w:b w:val="0"/>
              </w:rPr>
              <w:lastRenderedPageBreak/>
              <w:t xml:space="preserve">Market sensitive cost inputs </w:t>
            </w:r>
          </w:p>
          <w:p w:rsidR="00071CC5" w:rsidRPr="00ED60D1"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p>
        </w:tc>
        <w:tc>
          <w:tcPr>
            <w:tcW w:w="2633" w:type="dxa"/>
          </w:tcPr>
          <w:p w:rsidR="00071CC5" w:rsidRDefault="00071CC5" w:rsidP="002332E5">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Meter reading and fleet management services are outsourced, and carried </w:t>
            </w:r>
            <w:r>
              <w:rPr>
                <w:b w:val="0"/>
              </w:rPr>
              <w:lastRenderedPageBreak/>
              <w:t>out by a single contractor</w:t>
            </w:r>
          </w:p>
          <w:p w:rsidR="00071CC5"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9567E">
              <w:rPr>
                <w:b w:val="0"/>
              </w:rPr>
              <w:t>The total expenditure numbers</w:t>
            </w:r>
            <w:r>
              <w:rPr>
                <w:b w:val="0"/>
              </w:rPr>
              <w:t xml:space="preserve"> presented in the table</w:t>
            </w:r>
            <w:r w:rsidRPr="0049567E">
              <w:rPr>
                <w:b w:val="0"/>
              </w:rPr>
              <w:t xml:space="preserve"> would enable the contract price to be calculated</w:t>
            </w:r>
          </w:p>
        </w:tc>
        <w:tc>
          <w:tcPr>
            <w:tcW w:w="2394" w:type="dxa"/>
          </w:tcPr>
          <w:p w:rsidR="00071CC5" w:rsidRPr="0049567E" w:rsidRDefault="00071CC5" w:rsidP="002332E5">
            <w:pPr>
              <w:pStyle w:val="Caption-Figure"/>
              <w:spacing w:before="12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Pr>
                <w:b w:val="0"/>
              </w:rPr>
              <w:lastRenderedPageBreak/>
              <w:t xml:space="preserve">Specific references to the current contract costs may impact the competitive tender </w:t>
            </w:r>
            <w:r>
              <w:rPr>
                <w:b w:val="0"/>
              </w:rPr>
              <w:lastRenderedPageBreak/>
              <w:t xml:space="preserve">process undertaken and </w:t>
            </w:r>
            <w:r w:rsidRPr="0049567E">
              <w:rPr>
                <w:b w:val="0"/>
              </w:rPr>
              <w:t>Energex’s ability to obtain competitive prices in the future</w:t>
            </w:r>
          </w:p>
          <w:p w:rsidR="00071CC5" w:rsidRDefault="00071CC5" w:rsidP="002332E5">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9567E">
              <w:rPr>
                <w:b w:val="0"/>
              </w:rPr>
              <w:t>Further, this information would provide a detriment to the third party supplier and will affect its competiveness in the market.</w:t>
            </w:r>
          </w:p>
        </w:tc>
        <w:tc>
          <w:tcPr>
            <w:tcW w:w="2456" w:type="dxa"/>
          </w:tcPr>
          <w:p w:rsidR="00071CC5" w:rsidRPr="0049567E"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9567E">
              <w:rPr>
                <w:b w:val="0"/>
              </w:rPr>
              <w:lastRenderedPageBreak/>
              <w:t xml:space="preserve">Energex believes there is not the requisite degree of public benefit in disclosing </w:t>
            </w:r>
            <w:r>
              <w:rPr>
                <w:b w:val="0"/>
              </w:rPr>
              <w:t xml:space="preserve">expenditure </w:t>
            </w:r>
            <w:r>
              <w:rPr>
                <w:b w:val="0"/>
              </w:rPr>
              <w:lastRenderedPageBreak/>
              <w:t xml:space="preserve">with sole suppliers </w:t>
            </w:r>
            <w:r w:rsidRPr="0049567E">
              <w:rPr>
                <w:b w:val="0"/>
              </w:rPr>
              <w:t>to customers and the third party supplier’s competitors, which would outweigh the detriment to Energex and the third party supplier.  Competitors of the supplier having access to the supplier’s prices would distort the market and affect Energex’s ability to obtain competitive prices in future tender processes</w:t>
            </w:r>
            <w:r>
              <w:rPr>
                <w:b w:val="0"/>
              </w:rPr>
              <w:t xml:space="preserve">.  It </w:t>
            </w:r>
            <w:r w:rsidRPr="0049567E">
              <w:rPr>
                <w:b w:val="0"/>
              </w:rPr>
              <w:t>might also damage the third party supplier’s position in a market in which that third party supplier competes.</w:t>
            </w:r>
          </w:p>
        </w:tc>
      </w:tr>
      <w:tr w:rsidR="00071CC5" w:rsidTr="002968F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071CC5" w:rsidRPr="0062107D" w:rsidRDefault="00071CC5" w:rsidP="004F0C84">
            <w:pPr>
              <w:pStyle w:val="Caption-Figure"/>
              <w:spacing w:before="120"/>
              <w:jc w:val="left"/>
            </w:pPr>
            <w:r w:rsidRPr="0062107D">
              <w:lastRenderedPageBreak/>
              <w:t>Appendix 21 ‘Forecast Cost Escalation Rates PWC’</w:t>
            </w:r>
          </w:p>
          <w:p w:rsidR="00071CC5" w:rsidRPr="0062107D" w:rsidRDefault="00071CC5" w:rsidP="0049567E">
            <w:pPr>
              <w:pStyle w:val="Caption-Figure"/>
              <w:spacing w:before="120"/>
              <w:jc w:val="left"/>
            </w:pPr>
            <w:r w:rsidRPr="0062107D">
              <w:t xml:space="preserve">Page 57 </w:t>
            </w:r>
          </w:p>
          <w:p w:rsidR="00071CC5" w:rsidRPr="0062107D" w:rsidRDefault="00071CC5" w:rsidP="0049567E">
            <w:pPr>
              <w:pStyle w:val="Caption-Figure"/>
              <w:spacing w:before="120"/>
              <w:jc w:val="left"/>
            </w:pPr>
            <w:r w:rsidRPr="0062107D">
              <w:t xml:space="preserve">Section 8.5.1 </w:t>
            </w:r>
          </w:p>
          <w:p w:rsidR="00071CC5" w:rsidRDefault="00071CC5" w:rsidP="0049567E">
            <w:pPr>
              <w:pStyle w:val="Caption-Figure"/>
              <w:spacing w:before="120"/>
              <w:jc w:val="left"/>
              <w:rPr>
                <w:b w:val="0"/>
              </w:rPr>
            </w:pPr>
            <w:r w:rsidRPr="0062107D">
              <w:t>Paragraph 2</w:t>
            </w:r>
          </w:p>
        </w:tc>
        <w:tc>
          <w:tcPr>
            <w:tcW w:w="2051" w:type="dxa"/>
          </w:tcPr>
          <w:p w:rsidR="00071CC5" w:rsidRDefault="00071CC5" w:rsidP="00C1616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Energex’s escalation rates for current lease arrangements for corporate office</w:t>
            </w:r>
          </w:p>
        </w:tc>
        <w:tc>
          <w:tcPr>
            <w:tcW w:w="1644" w:type="dxa"/>
          </w:tcPr>
          <w:p w:rsidR="00071CC5"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Rent escalation rates</w:t>
            </w:r>
          </w:p>
        </w:tc>
        <w:tc>
          <w:tcPr>
            <w:tcW w:w="2159" w:type="dxa"/>
          </w:tcPr>
          <w:p w:rsidR="00071CC5" w:rsidRPr="00ED60D1" w:rsidRDefault="00071CC5" w:rsidP="00C1616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Market sensitive cost inputs</w:t>
            </w:r>
          </w:p>
        </w:tc>
        <w:tc>
          <w:tcPr>
            <w:tcW w:w="2633" w:type="dxa"/>
          </w:tcPr>
          <w:p w:rsidR="00071CC5"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Information contains an indication of Energex’s current lease arrangements with respect to escalation clauses for its corporate head office </w:t>
            </w:r>
          </w:p>
        </w:tc>
        <w:tc>
          <w:tcPr>
            <w:tcW w:w="2394" w:type="dxa"/>
          </w:tcPr>
          <w:p w:rsidR="00071CC5"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Disclosure of this information would detriment Energex’s ability to negotiate competitive leasing arrangements and the third party’s competiveness in the market.</w:t>
            </w:r>
          </w:p>
        </w:tc>
        <w:tc>
          <w:tcPr>
            <w:tcW w:w="2456" w:type="dxa"/>
          </w:tcPr>
          <w:p w:rsidR="00071CC5" w:rsidRPr="0049567E"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Energex does not believe that the public or customers would benefit from disclosure of Energex’s escalation rates for current leasing arrangements for its corporate office.</w:t>
            </w:r>
          </w:p>
        </w:tc>
      </w:tr>
      <w:tr w:rsidR="00071CC5" w:rsidTr="002968F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071CC5" w:rsidRPr="0062107D" w:rsidRDefault="002A30F7" w:rsidP="00461C41">
            <w:pPr>
              <w:pStyle w:val="Caption-Figure"/>
              <w:spacing w:before="120"/>
              <w:jc w:val="left"/>
            </w:pPr>
            <w:r>
              <w:t>Appendix 24</w:t>
            </w:r>
          </w:p>
          <w:p w:rsidR="00071CC5" w:rsidRPr="0062107D" w:rsidRDefault="00071CC5" w:rsidP="00461C41">
            <w:pPr>
              <w:pStyle w:val="Caption-Figure"/>
              <w:spacing w:before="120"/>
              <w:jc w:val="left"/>
            </w:pPr>
            <w:r w:rsidRPr="0062107D">
              <w:t>‘</w:t>
            </w:r>
            <w:r w:rsidR="002A30F7">
              <w:t xml:space="preserve">Unit Rate Review Addendum - AECOM </w:t>
            </w:r>
            <w:r w:rsidRPr="0062107D">
              <w:t>’</w:t>
            </w:r>
          </w:p>
          <w:p w:rsidR="004F2377" w:rsidRDefault="004F2377" w:rsidP="004F2377">
            <w:pPr>
              <w:pStyle w:val="Caption-Figure"/>
              <w:spacing w:before="120"/>
              <w:jc w:val="left"/>
              <w:rPr>
                <w:b w:val="0"/>
              </w:rPr>
            </w:pPr>
            <w:r>
              <w:rPr>
                <w:b w:val="0"/>
              </w:rPr>
              <w:t>Page 7-23</w:t>
            </w:r>
          </w:p>
          <w:p w:rsidR="00071CC5" w:rsidRDefault="004F2377" w:rsidP="004F2377">
            <w:pPr>
              <w:pStyle w:val="Caption-Figure"/>
              <w:spacing w:before="120"/>
              <w:jc w:val="left"/>
              <w:rPr>
                <w:b w:val="0"/>
              </w:rPr>
            </w:pPr>
            <w:r>
              <w:rPr>
                <w:b w:val="0"/>
              </w:rPr>
              <w:t>H</w:t>
            </w:r>
            <w:r w:rsidR="00071CC5">
              <w:rPr>
                <w:b w:val="0"/>
              </w:rPr>
              <w:t>eadings</w:t>
            </w:r>
            <w:r>
              <w:rPr>
                <w:b w:val="0"/>
              </w:rPr>
              <w:t xml:space="preserve"> and information relating to ‘Description, Quantity and Units’ </w:t>
            </w:r>
            <w:r w:rsidR="00071CC5" w:rsidRPr="00BE481C">
              <w:rPr>
                <w:b w:val="0"/>
              </w:rPr>
              <w:lastRenderedPageBreak/>
              <w:t xml:space="preserve">have not been </w:t>
            </w:r>
            <w:r>
              <w:rPr>
                <w:b w:val="0"/>
              </w:rPr>
              <w:t>redacted</w:t>
            </w:r>
          </w:p>
        </w:tc>
        <w:tc>
          <w:tcPr>
            <w:tcW w:w="2051" w:type="dxa"/>
          </w:tcPr>
          <w:p w:rsidR="00071CC5"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Unit Rate Review </w:t>
            </w:r>
          </w:p>
        </w:tc>
        <w:tc>
          <w:tcPr>
            <w:tcW w:w="1644" w:type="dxa"/>
          </w:tcPr>
          <w:p w:rsidR="00071CC5"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Capex</w:t>
            </w:r>
          </w:p>
        </w:tc>
        <w:tc>
          <w:tcPr>
            <w:tcW w:w="2159" w:type="dxa"/>
          </w:tcPr>
          <w:p w:rsidR="00071CC5" w:rsidRPr="00ED60D1"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Market sensitive cost inputs</w:t>
            </w:r>
          </w:p>
        </w:tc>
        <w:tc>
          <w:tcPr>
            <w:tcW w:w="2633" w:type="dxa"/>
          </w:tcPr>
          <w:p w:rsidR="00071CC5"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Information contains details on current suppliers and contracts. </w:t>
            </w:r>
          </w:p>
        </w:tc>
        <w:tc>
          <w:tcPr>
            <w:tcW w:w="2394" w:type="dxa"/>
          </w:tcPr>
          <w:p w:rsidR="00071CC5"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Disclosure of this information may affect Energex’s ability to obtain competitive prices in the future.</w:t>
            </w:r>
          </w:p>
        </w:tc>
        <w:tc>
          <w:tcPr>
            <w:tcW w:w="2456" w:type="dxa"/>
          </w:tcPr>
          <w:p w:rsidR="00071CC5" w:rsidRPr="0049567E"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We consider there is limited public benefit or consumer interest in having access to Energex’s current suppliers or contracts and the detriment of disclosure is greater than any public benefit.  </w:t>
            </w:r>
          </w:p>
        </w:tc>
      </w:tr>
      <w:tr w:rsidR="00071CC5" w:rsidTr="002968FA">
        <w:trPr>
          <w:cnfStyle w:val="000000100000" w:firstRow="0" w:lastRow="0" w:firstColumn="0" w:lastColumn="0" w:oddVBand="0" w:evenVBand="0" w:oddHBand="1" w:evenHBand="0" w:firstRowFirstColumn="0" w:firstRowLastColumn="0" w:lastRowFirstColumn="0" w:lastRowLastColumn="0"/>
          <w:trHeight w:val="1168"/>
          <w:jc w:val="center"/>
        </w:trPr>
        <w:tc>
          <w:tcPr>
            <w:cnfStyle w:val="001000000000" w:firstRow="0" w:lastRow="0" w:firstColumn="1" w:lastColumn="0" w:oddVBand="0" w:evenVBand="0" w:oddHBand="0" w:evenHBand="0" w:firstRowFirstColumn="0" w:firstRowLastColumn="0" w:lastRowFirstColumn="0" w:lastRowLastColumn="0"/>
            <w:tcW w:w="2052" w:type="dxa"/>
          </w:tcPr>
          <w:p w:rsidR="00071CC5" w:rsidRPr="0062107D" w:rsidRDefault="00071CC5" w:rsidP="00E337B7">
            <w:pPr>
              <w:pStyle w:val="Default"/>
              <w:rPr>
                <w:b/>
                <w:bCs/>
                <w:sz w:val="20"/>
                <w:szCs w:val="20"/>
              </w:rPr>
            </w:pPr>
            <w:r w:rsidRPr="0062107D">
              <w:rPr>
                <w:b/>
                <w:bCs/>
                <w:sz w:val="20"/>
                <w:szCs w:val="20"/>
              </w:rPr>
              <w:lastRenderedPageBreak/>
              <w:t>Appendix 31 ‘Property Strategic Plan”</w:t>
            </w:r>
          </w:p>
          <w:p w:rsidR="00071CC5" w:rsidRPr="0062107D" w:rsidRDefault="00071CC5" w:rsidP="00E337B7">
            <w:pPr>
              <w:pStyle w:val="Default"/>
              <w:rPr>
                <w:b/>
                <w:bCs/>
                <w:sz w:val="20"/>
                <w:szCs w:val="20"/>
              </w:rPr>
            </w:pPr>
          </w:p>
          <w:p w:rsidR="00071CC5" w:rsidRPr="0062107D" w:rsidRDefault="00071CC5" w:rsidP="00E337B7">
            <w:pPr>
              <w:pStyle w:val="Default"/>
              <w:rPr>
                <w:b/>
                <w:bCs/>
                <w:sz w:val="20"/>
                <w:szCs w:val="20"/>
              </w:rPr>
            </w:pPr>
            <w:r w:rsidRPr="0062107D">
              <w:rPr>
                <w:b/>
                <w:bCs/>
                <w:sz w:val="20"/>
                <w:szCs w:val="20"/>
              </w:rPr>
              <w:t xml:space="preserve">Appendix I – Strategic Property Plan – Detailed CAPEX Budget </w:t>
            </w:r>
          </w:p>
          <w:p w:rsidR="00071CC5" w:rsidRPr="00E337B7" w:rsidRDefault="00AB3BFE" w:rsidP="00E337B7">
            <w:pPr>
              <w:pStyle w:val="Default"/>
              <w:rPr>
                <w:color w:val="auto"/>
                <w:sz w:val="20"/>
                <w:szCs w:val="20"/>
              </w:rPr>
            </w:pPr>
            <w:r>
              <w:rPr>
                <w:color w:val="auto"/>
                <w:sz w:val="20"/>
                <w:szCs w:val="20"/>
              </w:rPr>
              <w:t>Cost items and titles identifying specific costs have been redacted</w:t>
            </w:r>
          </w:p>
          <w:p w:rsidR="00071CC5" w:rsidRPr="00E337B7" w:rsidRDefault="00071CC5" w:rsidP="00AB3BFE">
            <w:pPr>
              <w:pStyle w:val="Caption-Figure"/>
              <w:spacing w:before="120"/>
              <w:jc w:val="left"/>
              <w:rPr>
                <w:b w:val="0"/>
                <w:color w:val="FF0000"/>
              </w:rPr>
            </w:pPr>
            <w:r w:rsidRPr="00E337B7">
              <w:rPr>
                <w:b w:val="0"/>
              </w:rPr>
              <w:t>(headings have not been</w:t>
            </w:r>
            <w:r w:rsidR="00AB3BFE">
              <w:rPr>
                <w:b w:val="0"/>
              </w:rPr>
              <w:t xml:space="preserve"> redacted</w:t>
            </w:r>
            <w:r w:rsidRPr="00E337B7">
              <w:rPr>
                <w:b w:val="0"/>
              </w:rPr>
              <w:t>)</w:t>
            </w:r>
          </w:p>
        </w:tc>
        <w:tc>
          <w:tcPr>
            <w:tcW w:w="2051" w:type="dxa"/>
          </w:tcPr>
          <w:p w:rsidR="00071CC5" w:rsidRPr="00E337B7"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E337B7">
              <w:rPr>
                <w:b w:val="0"/>
              </w:rPr>
              <w:t>Specific cost estimates of land values for property acquisitions and construction values for construction contracts</w:t>
            </w:r>
          </w:p>
        </w:tc>
        <w:tc>
          <w:tcPr>
            <w:tcW w:w="1644" w:type="dxa"/>
          </w:tcPr>
          <w:p w:rsidR="00071CC5" w:rsidRPr="003B7959" w:rsidRDefault="00071CC5" w:rsidP="00E337B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Capex</w:t>
            </w:r>
          </w:p>
        </w:tc>
        <w:tc>
          <w:tcPr>
            <w:tcW w:w="2159" w:type="dxa"/>
          </w:tcPr>
          <w:p w:rsidR="00071CC5" w:rsidRDefault="00071CC5" w:rsidP="00E337B7">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Market sensitive cost inputs (forecast land and construction price estimates for future acquisitions and building works) </w:t>
            </w:r>
          </w:p>
          <w:p w:rsidR="00071CC5" w:rsidRPr="003B7959"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tc>
        <w:tc>
          <w:tcPr>
            <w:tcW w:w="2633" w:type="dxa"/>
          </w:tcPr>
          <w:p w:rsidR="00071CC5" w:rsidRDefault="00071CC5" w:rsidP="00E337B7">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This Appendix separates overall project cost estimates into individual components of land acquisitions and estimated construction cost and furniture purchase values that make up the overall project costs. </w:t>
            </w:r>
          </w:p>
          <w:p w:rsidR="00071CC5" w:rsidRDefault="00071CC5" w:rsidP="00E337B7">
            <w:pPr>
              <w:pStyle w:val="Default"/>
              <w:cnfStyle w:val="000000100000" w:firstRow="0" w:lastRow="0" w:firstColumn="0" w:lastColumn="0" w:oddVBand="0" w:evenVBand="0" w:oddHBand="1" w:evenHBand="0" w:firstRowFirstColumn="0" w:firstRowLastColumn="0" w:lastRowFirstColumn="0" w:lastRowLastColumn="0"/>
              <w:rPr>
                <w:sz w:val="20"/>
                <w:szCs w:val="20"/>
              </w:rPr>
            </w:pPr>
          </w:p>
          <w:p w:rsidR="00071CC5" w:rsidRPr="00E337B7" w:rsidRDefault="00071CC5" w:rsidP="00E337B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E337B7">
              <w:rPr>
                <w:b w:val="0"/>
              </w:rPr>
              <w:t>It also specifies locations where Energex intends to purchase land or facilities</w:t>
            </w:r>
          </w:p>
        </w:tc>
        <w:tc>
          <w:tcPr>
            <w:tcW w:w="2394" w:type="dxa"/>
          </w:tcPr>
          <w:p w:rsidR="00071CC5" w:rsidRPr="00E337B7" w:rsidRDefault="00071CC5" w:rsidP="00E337B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E337B7">
              <w:rPr>
                <w:b w:val="0"/>
              </w:rPr>
              <w:t>The subject information identifies both the location and the price Energex is estimating for future land acquisitions. This may result in artificial price inflation at the time of purchase if this information is publicly known. Similarly with construction cost estimates, this may diminish the integrity of the competitive tender process for construction</w:t>
            </w:r>
          </w:p>
          <w:p w:rsidR="00071CC5" w:rsidRPr="003B7959" w:rsidRDefault="00071CC5" w:rsidP="00697EC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tc>
        <w:tc>
          <w:tcPr>
            <w:tcW w:w="2456" w:type="dxa"/>
          </w:tcPr>
          <w:p w:rsidR="00071CC5" w:rsidRPr="00E337B7" w:rsidRDefault="00071CC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E337B7">
              <w:rPr>
                <w:b w:val="0"/>
              </w:rPr>
              <w:t>The benefit of a fair market price for land purchases and a competitively tendered construction cost would be diminished by disclosing this information, and potentially higher costs would subsequently be passed on to the public through electricity prices.</w:t>
            </w:r>
          </w:p>
        </w:tc>
      </w:tr>
      <w:tr w:rsidR="00071CC5" w:rsidTr="002968F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071CC5" w:rsidRPr="0062107D" w:rsidRDefault="00071CC5" w:rsidP="00E337B7">
            <w:pPr>
              <w:pStyle w:val="Default"/>
              <w:rPr>
                <w:b/>
                <w:bCs/>
                <w:sz w:val="20"/>
                <w:szCs w:val="20"/>
              </w:rPr>
            </w:pPr>
            <w:r w:rsidRPr="0062107D">
              <w:rPr>
                <w:b/>
                <w:bCs/>
                <w:sz w:val="20"/>
                <w:szCs w:val="20"/>
              </w:rPr>
              <w:lastRenderedPageBreak/>
              <w:t>Appendix 31 ‘Property Strategic Plan”</w:t>
            </w:r>
          </w:p>
          <w:p w:rsidR="00071CC5" w:rsidRPr="0062107D" w:rsidRDefault="00071CC5" w:rsidP="00697ECD">
            <w:pPr>
              <w:pStyle w:val="Default"/>
              <w:rPr>
                <w:b/>
                <w:sz w:val="20"/>
                <w:szCs w:val="20"/>
              </w:rPr>
            </w:pPr>
            <w:r w:rsidRPr="0062107D">
              <w:rPr>
                <w:b/>
                <w:bCs/>
                <w:sz w:val="20"/>
                <w:szCs w:val="20"/>
              </w:rPr>
              <w:t xml:space="preserve">Appendix J - Strategic Property Plan – Project Plans </w:t>
            </w:r>
          </w:p>
          <w:p w:rsidR="00071CC5" w:rsidRPr="003B7959" w:rsidRDefault="00AB3BFE" w:rsidP="00AB3BFE">
            <w:pPr>
              <w:pStyle w:val="Default"/>
            </w:pPr>
            <w:r>
              <w:rPr>
                <w:sz w:val="20"/>
                <w:szCs w:val="20"/>
              </w:rPr>
              <w:t>H</w:t>
            </w:r>
            <w:r w:rsidR="00071CC5" w:rsidRPr="00BE481C">
              <w:rPr>
                <w:sz w:val="20"/>
                <w:szCs w:val="20"/>
              </w:rPr>
              <w:t>eadings</w:t>
            </w:r>
            <w:r w:rsidR="00071CC5" w:rsidRPr="00BE481C">
              <w:t xml:space="preserve"> </w:t>
            </w:r>
            <w:r w:rsidR="00071CC5" w:rsidRPr="00BE481C">
              <w:rPr>
                <w:sz w:val="20"/>
                <w:szCs w:val="20"/>
              </w:rPr>
              <w:t xml:space="preserve">have not been </w:t>
            </w:r>
            <w:r>
              <w:rPr>
                <w:sz w:val="20"/>
                <w:szCs w:val="20"/>
              </w:rPr>
              <w:t>redacted</w:t>
            </w:r>
          </w:p>
        </w:tc>
        <w:tc>
          <w:tcPr>
            <w:tcW w:w="2051" w:type="dxa"/>
          </w:tcPr>
          <w:p w:rsidR="00071CC5" w:rsidRPr="003B7959" w:rsidRDefault="00071CC5">
            <w:pPr>
              <w:pStyle w:val="Default"/>
              <w:cnfStyle w:val="000000010000" w:firstRow="0" w:lastRow="0" w:firstColumn="0" w:lastColumn="0" w:oddVBand="0" w:evenVBand="0" w:oddHBand="0" w:evenHBand="1" w:firstRowFirstColumn="0" w:firstRowLastColumn="0" w:lastRowFirstColumn="0" w:lastRowLastColumn="0"/>
            </w:pPr>
            <w:r w:rsidRPr="003B7959">
              <w:rPr>
                <w:sz w:val="20"/>
                <w:szCs w:val="20"/>
              </w:rPr>
              <w:t xml:space="preserve">Strategic information and associated cost estimates for future plans to renew or end current leases, to acquire or dispose of property, and upcoming construction works, as well as detailed information on the critical functions of key property facilities that are </w:t>
            </w:r>
            <w:r>
              <w:rPr>
                <w:sz w:val="20"/>
                <w:szCs w:val="20"/>
              </w:rPr>
              <w:t>crucial to ongoing network operations</w:t>
            </w:r>
          </w:p>
        </w:tc>
        <w:tc>
          <w:tcPr>
            <w:tcW w:w="1644" w:type="dxa"/>
          </w:tcPr>
          <w:p w:rsidR="00071CC5" w:rsidRDefault="00071CC5"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Capex and </w:t>
            </w:r>
            <w:proofErr w:type="spellStart"/>
            <w:r>
              <w:rPr>
                <w:b w:val="0"/>
              </w:rPr>
              <w:t>Opex</w:t>
            </w:r>
            <w:proofErr w:type="spellEnd"/>
          </w:p>
        </w:tc>
        <w:tc>
          <w:tcPr>
            <w:tcW w:w="2159" w:type="dxa"/>
          </w:tcPr>
          <w:p w:rsidR="00071CC5" w:rsidRDefault="00071CC5">
            <w:pPr>
              <w:pStyle w:val="Defaul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Strategic information (</w:t>
            </w:r>
            <w:proofErr w:type="spellStart"/>
            <w:r>
              <w:rPr>
                <w:sz w:val="20"/>
                <w:szCs w:val="20"/>
              </w:rPr>
              <w:t>e.g</w:t>
            </w:r>
            <w:proofErr w:type="spellEnd"/>
            <w:r>
              <w:rPr>
                <w:sz w:val="20"/>
                <w:szCs w:val="20"/>
              </w:rPr>
              <w:t xml:space="preserve"> acquisition of land and easements) </w:t>
            </w:r>
          </w:p>
          <w:p w:rsidR="00071CC5" w:rsidRDefault="00071CC5" w:rsidP="003B7959">
            <w:pPr>
              <w:pStyle w:val="Default"/>
              <w:numPr>
                <w:ilvl w:val="0"/>
                <w:numId w:val="9"/>
              </w:numPr>
              <w:ind w:left="317" w:hanging="27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Market sensitive cost inputs (forecast land and construction price estimates for future acquisitions and building works, as well as lease costs) </w:t>
            </w:r>
          </w:p>
          <w:p w:rsidR="00071CC5" w:rsidRDefault="00071CC5" w:rsidP="003B7959">
            <w:pPr>
              <w:pStyle w:val="Default"/>
              <w:numPr>
                <w:ilvl w:val="0"/>
                <w:numId w:val="9"/>
              </w:numPr>
              <w:ind w:left="317" w:hanging="277"/>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Information affecting the security of the network </w:t>
            </w:r>
          </w:p>
          <w:p w:rsidR="00071CC5" w:rsidRDefault="00071CC5">
            <w:pPr>
              <w:pStyle w:val="Default"/>
              <w:cnfStyle w:val="000000010000" w:firstRow="0" w:lastRow="0" w:firstColumn="0" w:lastColumn="0" w:oddVBand="0" w:evenVBand="0" w:oddHBand="0" w:evenHBand="1" w:firstRowFirstColumn="0" w:firstRowLastColumn="0" w:lastRowFirstColumn="0" w:lastRowLastColumn="0"/>
              <w:rPr>
                <w:sz w:val="20"/>
                <w:szCs w:val="20"/>
              </w:rPr>
            </w:pPr>
          </w:p>
        </w:tc>
        <w:tc>
          <w:tcPr>
            <w:tcW w:w="2633" w:type="dxa"/>
          </w:tcPr>
          <w:p w:rsidR="00AB3BFE" w:rsidRDefault="00071CC5" w:rsidP="003B7959">
            <w:pPr>
              <w:pStyle w:val="Defaul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This Appendix describes in detail the specific project plans for the property programs to be undertaken by Energex over the 2015-2020 period. </w:t>
            </w:r>
          </w:p>
          <w:p w:rsidR="00AB3BFE" w:rsidRDefault="00071CC5" w:rsidP="003B7959">
            <w:pPr>
              <w:pStyle w:val="Defaul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This involves matters such as the purchase and sale of land, the continuing or ending of specific leases and the construction of building works. </w:t>
            </w:r>
          </w:p>
          <w:p w:rsidR="00071CC5" w:rsidRDefault="00071CC5" w:rsidP="003B7959">
            <w:pPr>
              <w:pStyle w:val="Defaul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It also includes detailed information on security systems utilised on Energex properties and the critical functions performed at certain facilities. </w:t>
            </w:r>
          </w:p>
          <w:p w:rsidR="00071CC5" w:rsidRDefault="00071CC5" w:rsidP="003B7959">
            <w:pPr>
              <w:pStyle w:val="Default"/>
              <w:cnfStyle w:val="000000010000" w:firstRow="0" w:lastRow="0" w:firstColumn="0" w:lastColumn="0" w:oddVBand="0" w:evenVBand="0" w:oddHBand="0" w:evenHBand="1" w:firstRowFirstColumn="0" w:firstRowLastColumn="0" w:lastRowFirstColumn="0" w:lastRowLastColumn="0"/>
              <w:rPr>
                <w:sz w:val="20"/>
                <w:szCs w:val="20"/>
              </w:rPr>
            </w:pPr>
          </w:p>
          <w:p w:rsidR="00071CC5" w:rsidRDefault="00071CC5">
            <w:pPr>
              <w:pStyle w:val="Default"/>
              <w:cnfStyle w:val="000000010000" w:firstRow="0" w:lastRow="0" w:firstColumn="0" w:lastColumn="0" w:oddVBand="0" w:evenVBand="0" w:oddHBand="0" w:evenHBand="1" w:firstRowFirstColumn="0" w:firstRowLastColumn="0" w:lastRowFirstColumn="0" w:lastRowLastColumn="0"/>
            </w:pPr>
          </w:p>
        </w:tc>
        <w:tc>
          <w:tcPr>
            <w:tcW w:w="2394" w:type="dxa"/>
          </w:tcPr>
          <w:p w:rsidR="00AB3BFE" w:rsidRDefault="00071CC5" w:rsidP="00AB3BFE">
            <w:pPr>
              <w:pStyle w:val="Defaul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disclosure of this information could have significant commercial impacts on all of the described transactions, including negotiations with </w:t>
            </w:r>
            <w:r w:rsidR="00AB3BFE">
              <w:rPr>
                <w:sz w:val="20"/>
                <w:szCs w:val="20"/>
              </w:rPr>
              <w:t>l</w:t>
            </w:r>
            <w:r>
              <w:rPr>
                <w:sz w:val="20"/>
                <w:szCs w:val="20"/>
              </w:rPr>
              <w:t xml:space="preserve">andlords on leased properties, receiving fair market price for land purchases and sales and diminishing of the benefit of the competitive tender process for </w:t>
            </w:r>
            <w:r w:rsidRPr="003B7959">
              <w:rPr>
                <w:sz w:val="20"/>
                <w:szCs w:val="20"/>
              </w:rPr>
              <w:t xml:space="preserve">construction contracts. </w:t>
            </w:r>
          </w:p>
          <w:p w:rsidR="00071CC5" w:rsidRDefault="00071CC5" w:rsidP="00AB3BFE">
            <w:pPr>
              <w:pStyle w:val="Default"/>
              <w:cnfStyle w:val="000000010000" w:firstRow="0" w:lastRow="0" w:firstColumn="0" w:lastColumn="0" w:oddVBand="0" w:evenVBand="0" w:oddHBand="0" w:evenHBand="1" w:firstRowFirstColumn="0" w:firstRowLastColumn="0" w:lastRowFirstColumn="0" w:lastRowLastColumn="0"/>
            </w:pPr>
            <w:r w:rsidRPr="003B7959">
              <w:rPr>
                <w:sz w:val="20"/>
                <w:szCs w:val="20"/>
              </w:rPr>
              <w:t xml:space="preserve">It could also negatively impact safety and security through public knowledge of specific security systems used by Energex to protect system and non-system properties. Information in the document may </w:t>
            </w:r>
            <w:r w:rsidRPr="003B7959">
              <w:rPr>
                <w:sz w:val="20"/>
                <w:szCs w:val="20"/>
              </w:rPr>
              <w:lastRenderedPageBreak/>
              <w:t>also increase the vulnerability of the network through disclosure of critical functions performed at specific sites.</w:t>
            </w:r>
          </w:p>
        </w:tc>
        <w:tc>
          <w:tcPr>
            <w:tcW w:w="2456" w:type="dxa"/>
          </w:tcPr>
          <w:p w:rsidR="00071CC5" w:rsidRDefault="00071CC5">
            <w:pPr>
              <w:pStyle w:val="Defaul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 xml:space="preserve">The benefit of a fair market price for land purchases and a competitively tendered construction cost would be diminished by disclosing this information, and potentially higher costs would subsequently be passed on to the public through electricity prices. </w:t>
            </w:r>
          </w:p>
          <w:p w:rsidR="00071CC5" w:rsidRDefault="00071CC5">
            <w:pPr>
              <w:pStyle w:val="Default"/>
              <w:cnfStyle w:val="000000010000" w:firstRow="0" w:lastRow="0" w:firstColumn="0" w:lastColumn="0" w:oddVBand="0" w:evenVBand="0" w:oddHBand="0" w:evenHBand="1" w:firstRowFirstColumn="0" w:firstRowLastColumn="0" w:lastRowFirstColumn="0" w:lastRowLastColumn="0"/>
            </w:pPr>
            <w:r>
              <w:rPr>
                <w:sz w:val="20"/>
                <w:szCs w:val="20"/>
              </w:rPr>
              <w:t xml:space="preserve">The potential for security system and critical facility functions to be disclosed could also impact the </w:t>
            </w:r>
            <w:r w:rsidRPr="003B7959">
              <w:rPr>
                <w:sz w:val="20"/>
                <w:szCs w:val="20"/>
              </w:rPr>
              <w:t>public in terms of safety risks and ongoing security of the network.</w:t>
            </w:r>
          </w:p>
        </w:tc>
      </w:tr>
      <w:tr w:rsidR="00AB3BFE" w:rsidTr="002968F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AB3BFE" w:rsidRPr="0062107D" w:rsidRDefault="00AB3BFE" w:rsidP="00AB3BFE">
            <w:pPr>
              <w:pStyle w:val="Default"/>
              <w:rPr>
                <w:b/>
                <w:bCs/>
                <w:sz w:val="20"/>
                <w:szCs w:val="20"/>
              </w:rPr>
            </w:pPr>
            <w:r w:rsidRPr="0062107D">
              <w:rPr>
                <w:b/>
                <w:bCs/>
                <w:sz w:val="20"/>
                <w:szCs w:val="20"/>
              </w:rPr>
              <w:lastRenderedPageBreak/>
              <w:t>Appendix 31 ‘Property Strategic Plan”</w:t>
            </w:r>
          </w:p>
          <w:p w:rsidR="00AB3BFE" w:rsidRDefault="00AB3BFE" w:rsidP="00D766B3">
            <w:pPr>
              <w:pStyle w:val="Caption-Figure"/>
              <w:spacing w:before="120"/>
              <w:jc w:val="left"/>
            </w:pPr>
            <w:r>
              <w:t>Appendix K</w:t>
            </w:r>
            <w:r w:rsidR="00400FA5">
              <w:t xml:space="preserve"> ‘Strategic Property Plan – Project Financial Analysis’</w:t>
            </w:r>
          </w:p>
          <w:p w:rsidR="00400FA5" w:rsidRPr="00400FA5" w:rsidRDefault="00400FA5" w:rsidP="00D766B3">
            <w:pPr>
              <w:pStyle w:val="Caption-Figure"/>
              <w:spacing w:before="120"/>
              <w:jc w:val="left"/>
              <w:rPr>
                <w:b w:val="0"/>
              </w:rPr>
            </w:pPr>
            <w:r>
              <w:rPr>
                <w:b w:val="0"/>
              </w:rPr>
              <w:t>Headings have not been redacted</w:t>
            </w:r>
          </w:p>
        </w:tc>
        <w:tc>
          <w:tcPr>
            <w:tcW w:w="2051" w:type="dxa"/>
          </w:tcPr>
          <w:p w:rsidR="00AB3BFE" w:rsidRPr="00412F20" w:rsidRDefault="00400FA5">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Strategic information and associated cost estimates for future plans to renew or end current leases, to acquire or dispose of property, and upcoming construction works</w:t>
            </w:r>
          </w:p>
        </w:tc>
        <w:tc>
          <w:tcPr>
            <w:tcW w:w="1644" w:type="dxa"/>
          </w:tcPr>
          <w:p w:rsidR="00AB3BFE" w:rsidRPr="00412F20" w:rsidRDefault="00400FA5"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Capex and </w:t>
            </w:r>
            <w:proofErr w:type="spellStart"/>
            <w:r>
              <w:rPr>
                <w:b w:val="0"/>
              </w:rPr>
              <w:t>Opex</w:t>
            </w:r>
            <w:proofErr w:type="spellEnd"/>
          </w:p>
        </w:tc>
        <w:tc>
          <w:tcPr>
            <w:tcW w:w="2159" w:type="dxa"/>
          </w:tcPr>
          <w:p w:rsidR="00AB3BFE" w:rsidRDefault="00400FA5" w:rsidP="00D766B3">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Strategic information (e.g. acquisitions of land and easements)</w:t>
            </w:r>
          </w:p>
          <w:p w:rsidR="00400FA5" w:rsidRDefault="00400FA5" w:rsidP="00D766B3">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p w:rsidR="00400FA5" w:rsidRPr="00412F20" w:rsidRDefault="00400FA5" w:rsidP="00D766B3">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Market sensitive cost inputs (forecast land and construction price estimates for future acquisitions and building works as well as lease costs)</w:t>
            </w:r>
          </w:p>
        </w:tc>
        <w:tc>
          <w:tcPr>
            <w:tcW w:w="2633" w:type="dxa"/>
          </w:tcPr>
          <w:p w:rsidR="00AB3BFE" w:rsidRPr="00412F20" w:rsidRDefault="00400FA5" w:rsidP="00D766B3">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This Appendix describes in details the project plans and costs for the specific property programs to be undertaken by Energex over the 2015-20 period.  This involves matters such as the purchase and sale of land, the continuing or ending of specific leases and the construction of building works.</w:t>
            </w:r>
          </w:p>
        </w:tc>
        <w:tc>
          <w:tcPr>
            <w:tcW w:w="2394" w:type="dxa"/>
          </w:tcPr>
          <w:p w:rsidR="00AB3BFE" w:rsidRPr="00412F20" w:rsidRDefault="00400FA5" w:rsidP="00D766B3">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400FA5">
              <w:rPr>
                <w:b w:val="0"/>
              </w:rPr>
              <w:t xml:space="preserve">The disclosing of this information could have significant commercial impacts on all of the described transactions, including negotiations with Landlords on leased properties, receiving fair market price for land purchases and sales and diminishing of the benefit of the competitive tender process for construction </w:t>
            </w:r>
            <w:r w:rsidRPr="00400FA5">
              <w:rPr>
                <w:b w:val="0"/>
              </w:rPr>
              <w:lastRenderedPageBreak/>
              <w:t>contracts.</w:t>
            </w:r>
          </w:p>
        </w:tc>
        <w:tc>
          <w:tcPr>
            <w:tcW w:w="2456" w:type="dxa"/>
          </w:tcPr>
          <w:p w:rsidR="00AB3BFE" w:rsidRPr="00412F20" w:rsidRDefault="00400FA5" w:rsidP="000677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400FA5">
              <w:rPr>
                <w:b w:val="0"/>
              </w:rPr>
              <w:lastRenderedPageBreak/>
              <w:t>The benefit of a fair market price for land purchases and a competitively tendered construction cost would be diminished by disclosing this information, and potentially higher costs would subsequently be passed on to the public through electricity prices.</w:t>
            </w:r>
          </w:p>
        </w:tc>
      </w:tr>
      <w:tr w:rsidR="00412F20" w:rsidTr="002968F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412F20" w:rsidRPr="00412F20" w:rsidRDefault="00412F20" w:rsidP="00D766B3">
            <w:pPr>
              <w:pStyle w:val="Caption-Figure"/>
              <w:spacing w:before="120"/>
              <w:jc w:val="left"/>
            </w:pPr>
            <w:r w:rsidRPr="00412F20">
              <w:lastRenderedPageBreak/>
              <w:t>Appendix 61 ‘Indicative unbundled metering service charge’</w:t>
            </w:r>
          </w:p>
          <w:p w:rsidR="00412F20" w:rsidRPr="00412F20" w:rsidRDefault="00412F20" w:rsidP="00D766B3">
            <w:pPr>
              <w:pStyle w:val="Caption-Figure"/>
              <w:spacing w:before="120"/>
              <w:jc w:val="left"/>
            </w:pPr>
            <w:r w:rsidRPr="00412F20">
              <w:t>Page 1</w:t>
            </w:r>
          </w:p>
          <w:p w:rsidR="00412F20" w:rsidRPr="00412F20" w:rsidRDefault="00412F20" w:rsidP="00D766B3">
            <w:pPr>
              <w:pStyle w:val="Caption-Figure"/>
              <w:spacing w:before="120"/>
              <w:jc w:val="left"/>
              <w:rPr>
                <w:b w:val="0"/>
              </w:rPr>
            </w:pPr>
            <w:r w:rsidRPr="00412F20">
              <w:rPr>
                <w:b w:val="0"/>
              </w:rPr>
              <w:t>Table 1; meter reading line item</w:t>
            </w:r>
            <w:r w:rsidR="00400FA5">
              <w:rPr>
                <w:b w:val="0"/>
              </w:rPr>
              <w:t>s</w:t>
            </w:r>
            <w:r w:rsidRPr="00412F20">
              <w:rPr>
                <w:b w:val="0"/>
              </w:rPr>
              <w:t xml:space="preserve"> only</w:t>
            </w:r>
          </w:p>
          <w:p w:rsidR="00412F20" w:rsidRPr="00412F20" w:rsidRDefault="00412F20" w:rsidP="00461C41">
            <w:pPr>
              <w:pStyle w:val="Caption-Figure"/>
              <w:spacing w:before="120"/>
              <w:jc w:val="left"/>
            </w:pPr>
          </w:p>
        </w:tc>
        <w:tc>
          <w:tcPr>
            <w:tcW w:w="2051" w:type="dxa"/>
          </w:tcPr>
          <w:p w:rsidR="00412F20" w:rsidRPr="00412F20" w:rsidRDefault="00412F20">
            <w:pPr>
              <w:pStyle w:val="Default"/>
              <w:cnfStyle w:val="000000010000" w:firstRow="0" w:lastRow="0" w:firstColumn="0" w:lastColumn="0" w:oddVBand="0" w:evenVBand="0" w:oddHBand="0" w:evenHBand="1" w:firstRowFirstColumn="0" w:firstRowLastColumn="0" w:lastRowFirstColumn="0" w:lastRowLastColumn="0"/>
              <w:rPr>
                <w:sz w:val="20"/>
                <w:szCs w:val="20"/>
              </w:rPr>
            </w:pPr>
            <w:r w:rsidRPr="00412F20">
              <w:rPr>
                <w:sz w:val="20"/>
                <w:szCs w:val="20"/>
              </w:rPr>
              <w:t>Meter reading costs</w:t>
            </w:r>
          </w:p>
        </w:tc>
        <w:tc>
          <w:tcPr>
            <w:tcW w:w="1644" w:type="dxa"/>
          </w:tcPr>
          <w:p w:rsidR="00412F20" w:rsidRPr="00412F20" w:rsidRDefault="00412F20"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12F20">
              <w:rPr>
                <w:b w:val="0"/>
              </w:rPr>
              <w:t>Metering expenditure</w:t>
            </w:r>
          </w:p>
        </w:tc>
        <w:tc>
          <w:tcPr>
            <w:tcW w:w="2159" w:type="dxa"/>
          </w:tcPr>
          <w:p w:rsidR="00412F20" w:rsidRPr="00412F20" w:rsidRDefault="00412F20" w:rsidP="00D766B3">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12F20">
              <w:rPr>
                <w:b w:val="0"/>
              </w:rPr>
              <w:t xml:space="preserve">Market sensitive cost inputs </w:t>
            </w:r>
          </w:p>
          <w:p w:rsidR="00412F20" w:rsidRPr="00412F20" w:rsidRDefault="00412F20" w:rsidP="00D766B3">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12F20">
              <w:rPr>
                <w:b w:val="0"/>
              </w:rPr>
              <w:t>A similar claim was submitted with the Category Analysis RIN – the AER accepted this claim</w:t>
            </w:r>
          </w:p>
          <w:p w:rsidR="00412F20" w:rsidRPr="00412F20" w:rsidRDefault="00412F20">
            <w:pPr>
              <w:pStyle w:val="Default"/>
              <w:cnfStyle w:val="000000010000" w:firstRow="0" w:lastRow="0" w:firstColumn="0" w:lastColumn="0" w:oddVBand="0" w:evenVBand="0" w:oddHBand="0" w:evenHBand="1" w:firstRowFirstColumn="0" w:firstRowLastColumn="0" w:lastRowFirstColumn="0" w:lastRowLastColumn="0"/>
              <w:rPr>
                <w:sz w:val="20"/>
                <w:szCs w:val="20"/>
              </w:rPr>
            </w:pPr>
          </w:p>
        </w:tc>
        <w:tc>
          <w:tcPr>
            <w:tcW w:w="2633" w:type="dxa"/>
          </w:tcPr>
          <w:p w:rsidR="00412F20" w:rsidRPr="00412F20" w:rsidRDefault="00412F20" w:rsidP="00D766B3">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12F20">
              <w:rPr>
                <w:b w:val="0"/>
              </w:rPr>
              <w:t>Meter reading services are outsourced, and carried out by a single contractor</w:t>
            </w:r>
          </w:p>
          <w:p w:rsidR="00412F20" w:rsidRPr="00412F20" w:rsidRDefault="00412F20" w:rsidP="00D766B3">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12F20">
              <w:rPr>
                <w:b w:val="0"/>
              </w:rPr>
              <w:t>The total expenditure and volume numbers would enable the contract price to be calculated</w:t>
            </w:r>
          </w:p>
          <w:p w:rsidR="00412F20" w:rsidRPr="00412F20" w:rsidRDefault="00412F20" w:rsidP="00D766B3">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p>
          <w:p w:rsidR="00412F20" w:rsidRPr="00412F20" w:rsidRDefault="00412F20" w:rsidP="00D766B3">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p>
          <w:p w:rsidR="00412F20" w:rsidRPr="00412F20" w:rsidRDefault="00412F20" w:rsidP="003B7959">
            <w:pPr>
              <w:pStyle w:val="Default"/>
              <w:cnfStyle w:val="000000010000" w:firstRow="0" w:lastRow="0" w:firstColumn="0" w:lastColumn="0" w:oddVBand="0" w:evenVBand="0" w:oddHBand="0" w:evenHBand="1" w:firstRowFirstColumn="0" w:firstRowLastColumn="0" w:lastRowFirstColumn="0" w:lastRowLastColumn="0"/>
              <w:rPr>
                <w:sz w:val="20"/>
                <w:szCs w:val="20"/>
              </w:rPr>
            </w:pPr>
          </w:p>
        </w:tc>
        <w:tc>
          <w:tcPr>
            <w:tcW w:w="2394" w:type="dxa"/>
          </w:tcPr>
          <w:p w:rsidR="00412F20" w:rsidRPr="00412F20" w:rsidRDefault="00412F20" w:rsidP="00D766B3">
            <w:pPr>
              <w:pStyle w:val="Caption-Figure"/>
              <w:spacing w:before="12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412F20">
              <w:rPr>
                <w:b w:val="0"/>
              </w:rPr>
              <w:t>Specific references to the current contract costs may impact the competitive tender process undertaken and Energex’s ability to obtain competitive prices in the future</w:t>
            </w:r>
          </w:p>
          <w:p w:rsidR="00412F20" w:rsidRPr="00412F20" w:rsidRDefault="00412F20">
            <w:pPr>
              <w:pStyle w:val="Default"/>
              <w:cnfStyle w:val="000000010000" w:firstRow="0" w:lastRow="0" w:firstColumn="0" w:lastColumn="0" w:oddVBand="0" w:evenVBand="0" w:oddHBand="0" w:evenHBand="1" w:firstRowFirstColumn="0" w:firstRowLastColumn="0" w:lastRowFirstColumn="0" w:lastRowLastColumn="0"/>
              <w:rPr>
                <w:sz w:val="20"/>
                <w:szCs w:val="20"/>
              </w:rPr>
            </w:pPr>
            <w:r w:rsidRPr="00412F20">
              <w:rPr>
                <w:sz w:val="20"/>
                <w:szCs w:val="20"/>
              </w:rPr>
              <w:t xml:space="preserve">Further, this information would provide a detriment to the third party supplier and will affect its competiveness in the market. </w:t>
            </w:r>
          </w:p>
        </w:tc>
        <w:tc>
          <w:tcPr>
            <w:tcW w:w="2456" w:type="dxa"/>
          </w:tcPr>
          <w:p w:rsidR="00412F20" w:rsidRPr="00412F20" w:rsidRDefault="00412F20" w:rsidP="000677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412F20">
              <w:rPr>
                <w:b w:val="0"/>
              </w:rPr>
              <w:t xml:space="preserve">Energex believes there is not the requisite degree of public benefit in disclosing individual commercial in confidence contract unit prices to customers and the third party supplier’s competitors, which would outweigh the detriment to Energex and the third party supplier.  Competitors of the supplier having access to the supplier’s prices would distort the market and affect Energex’s ability to obtain competitive prices in </w:t>
            </w:r>
            <w:r w:rsidRPr="00412F20">
              <w:rPr>
                <w:b w:val="0"/>
              </w:rPr>
              <w:lastRenderedPageBreak/>
              <w:t>future tender processes.  It might also damage the third party supplier’s position in a market in which that third party supplier competes.</w:t>
            </w:r>
          </w:p>
        </w:tc>
      </w:tr>
      <w:tr w:rsidR="00412F20" w:rsidTr="002968F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412F20" w:rsidRPr="0062107D" w:rsidRDefault="00412F20" w:rsidP="00461C41">
            <w:pPr>
              <w:pStyle w:val="Caption-Figure"/>
              <w:spacing w:before="120"/>
              <w:jc w:val="left"/>
            </w:pPr>
            <w:r w:rsidRPr="0062107D">
              <w:lastRenderedPageBreak/>
              <w:t xml:space="preserve">Reset RIN </w:t>
            </w:r>
          </w:p>
          <w:p w:rsidR="00412F20" w:rsidRDefault="00412F20" w:rsidP="00461C41">
            <w:pPr>
              <w:pStyle w:val="Caption-Figure"/>
              <w:spacing w:before="120"/>
              <w:jc w:val="left"/>
              <w:rPr>
                <w:b w:val="0"/>
              </w:rPr>
            </w:pPr>
            <w:r w:rsidRPr="0062107D">
              <w:t>Template 2.4</w:t>
            </w:r>
            <w:r>
              <w:rPr>
                <w:b w:val="0"/>
              </w:rPr>
              <w:t xml:space="preserve"> – </w:t>
            </w:r>
            <w:proofErr w:type="spellStart"/>
            <w:r>
              <w:rPr>
                <w:b w:val="0"/>
              </w:rPr>
              <w:t>Augex</w:t>
            </w:r>
            <w:proofErr w:type="spellEnd"/>
            <w:r>
              <w:rPr>
                <w:b w:val="0"/>
              </w:rPr>
              <w:t xml:space="preserve"> Models</w:t>
            </w:r>
          </w:p>
          <w:p w:rsidR="00412F20" w:rsidRDefault="00412F20" w:rsidP="00461C41">
            <w:pPr>
              <w:pStyle w:val="Caption-Figure"/>
              <w:spacing w:before="120"/>
              <w:jc w:val="left"/>
              <w:rPr>
                <w:b w:val="0"/>
              </w:rPr>
            </w:pPr>
            <w:r w:rsidRPr="0062107D">
              <w:t>Table 2.4.1</w:t>
            </w:r>
            <w:r w:rsidRPr="002C7DF8">
              <w:rPr>
                <w:b w:val="0"/>
              </w:rPr>
              <w:t xml:space="preserve"> </w:t>
            </w:r>
            <w:r>
              <w:rPr>
                <w:b w:val="0"/>
              </w:rPr>
              <w:t>(</w:t>
            </w:r>
            <w:r w:rsidR="00F45599">
              <w:rPr>
                <w:b w:val="0"/>
              </w:rPr>
              <w:t>All cells in rows 29-31</w:t>
            </w:r>
            <w:r w:rsidRPr="0062107D">
              <w:rPr>
                <w:b w:val="0"/>
              </w:rPr>
              <w:t xml:space="preserve">, 53, 55-56, 61-67, 114, 122, 129, 132, 151, 168-169, 174-175, 192, 209-211, 214, 217-218, 238-239, 254, 261, 296, 367-368, 374, 462-463, </w:t>
            </w:r>
            <w:r w:rsidRPr="0062107D">
              <w:rPr>
                <w:b w:val="0"/>
              </w:rPr>
              <w:lastRenderedPageBreak/>
              <w:t>467-470</w:t>
            </w:r>
            <w:r>
              <w:rPr>
                <w:b w:val="0"/>
              </w:rPr>
              <w:t>)</w:t>
            </w:r>
          </w:p>
          <w:p w:rsidR="00412F20" w:rsidRPr="0062107D" w:rsidRDefault="00412F20" w:rsidP="00461C41">
            <w:pPr>
              <w:pStyle w:val="Caption-Figure"/>
              <w:spacing w:before="120"/>
              <w:jc w:val="left"/>
              <w:rPr>
                <w:b w:val="0"/>
              </w:rPr>
            </w:pPr>
            <w:r w:rsidRPr="0062107D">
              <w:t>Table 2.4.3</w:t>
            </w:r>
            <w:r>
              <w:t xml:space="preserve"> </w:t>
            </w:r>
            <w:r>
              <w:rPr>
                <w:b w:val="0"/>
              </w:rPr>
              <w:t>(</w:t>
            </w:r>
            <w:r w:rsidRPr="0062107D">
              <w:rPr>
                <w:b w:val="0"/>
              </w:rPr>
              <w:t>All cells in rows 6,984 - 6,994</w:t>
            </w:r>
            <w:r>
              <w:rPr>
                <w:b w:val="0"/>
              </w:rPr>
              <w:t>)</w:t>
            </w:r>
          </w:p>
          <w:p w:rsidR="00412F20" w:rsidRPr="002C7DF8" w:rsidRDefault="00412F20" w:rsidP="00697ECD">
            <w:pPr>
              <w:pStyle w:val="Default"/>
              <w:rPr>
                <w:bCs/>
                <w:sz w:val="20"/>
                <w:szCs w:val="20"/>
              </w:rPr>
            </w:pPr>
          </w:p>
        </w:tc>
        <w:tc>
          <w:tcPr>
            <w:tcW w:w="2051" w:type="dxa"/>
          </w:tcPr>
          <w:p w:rsidR="00412F20" w:rsidRPr="002C7DF8" w:rsidRDefault="00412F2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2C7DF8">
              <w:rPr>
                <w:sz w:val="20"/>
                <w:szCs w:val="20"/>
              </w:rPr>
              <w:lastRenderedPageBreak/>
              <w:t xml:space="preserve">Demand and growth rate for substations and feeders supplying a single customer </w:t>
            </w:r>
          </w:p>
        </w:tc>
        <w:tc>
          <w:tcPr>
            <w:tcW w:w="1644" w:type="dxa"/>
          </w:tcPr>
          <w:p w:rsidR="00412F20" w:rsidRPr="002C7DF8" w:rsidRDefault="00412F20"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2C7DF8">
              <w:rPr>
                <w:b w:val="0"/>
              </w:rPr>
              <w:t>Capex (</w:t>
            </w:r>
            <w:proofErr w:type="spellStart"/>
            <w:r w:rsidRPr="002C7DF8">
              <w:rPr>
                <w:b w:val="0"/>
              </w:rPr>
              <w:t>Augex</w:t>
            </w:r>
            <w:proofErr w:type="spellEnd"/>
            <w:r w:rsidRPr="002C7DF8">
              <w:rPr>
                <w:b w:val="0"/>
              </w:rPr>
              <w:t xml:space="preserve"> model)</w:t>
            </w:r>
          </w:p>
        </w:tc>
        <w:tc>
          <w:tcPr>
            <w:tcW w:w="2159" w:type="dxa"/>
          </w:tcPr>
          <w:p w:rsidR="00412F20" w:rsidRPr="002C7DF8" w:rsidRDefault="00412F2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2C7DF8">
              <w:rPr>
                <w:sz w:val="20"/>
                <w:szCs w:val="20"/>
              </w:rPr>
              <w:t>Personal information</w:t>
            </w:r>
          </w:p>
        </w:tc>
        <w:tc>
          <w:tcPr>
            <w:tcW w:w="2633" w:type="dxa"/>
          </w:tcPr>
          <w:p w:rsidR="00412F20" w:rsidRPr="002C7DF8" w:rsidRDefault="00412F20" w:rsidP="003B7959">
            <w:pPr>
              <w:pStyle w:val="Defaul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2C7DF8">
              <w:rPr>
                <w:sz w:val="20"/>
                <w:szCs w:val="20"/>
              </w:rPr>
              <w:t>These</w:t>
            </w:r>
            <w:proofErr w:type="gramEnd"/>
            <w:r w:rsidRPr="002C7DF8">
              <w:rPr>
                <w:sz w:val="20"/>
                <w:szCs w:val="20"/>
              </w:rPr>
              <w:t xml:space="preserve"> information directly relates to the operations of customer’s business activities.</w:t>
            </w:r>
          </w:p>
        </w:tc>
        <w:tc>
          <w:tcPr>
            <w:tcW w:w="2394" w:type="dxa"/>
          </w:tcPr>
          <w:p w:rsidR="00412F20" w:rsidRPr="002C7DF8" w:rsidRDefault="00412F2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2C7DF8">
              <w:rPr>
                <w:sz w:val="20"/>
                <w:szCs w:val="20"/>
              </w:rPr>
              <w:t>Disclosing this information could provide business intelligence to the customer’s competitors.</w:t>
            </w:r>
          </w:p>
        </w:tc>
        <w:tc>
          <w:tcPr>
            <w:tcW w:w="2456" w:type="dxa"/>
          </w:tcPr>
          <w:p w:rsidR="00412F20" w:rsidRPr="0006777E" w:rsidRDefault="00412F20" w:rsidP="000677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2C7DF8">
              <w:rPr>
                <w:b w:val="0"/>
              </w:rPr>
              <w:t>The asset only services a single customer, any augmentation works on the asset would be at the customer’s cost, which has no impact on the long term interests of other consumers.</w:t>
            </w:r>
          </w:p>
        </w:tc>
      </w:tr>
      <w:tr w:rsidR="00412F20" w:rsidTr="002968F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412F20" w:rsidRPr="0062107D" w:rsidRDefault="00412F20" w:rsidP="00461C41">
            <w:pPr>
              <w:pStyle w:val="Caption-Figure"/>
              <w:spacing w:before="120"/>
              <w:jc w:val="left"/>
            </w:pPr>
            <w:r w:rsidRPr="0062107D">
              <w:lastRenderedPageBreak/>
              <w:t xml:space="preserve">Reset RIN </w:t>
            </w:r>
          </w:p>
          <w:p w:rsidR="00412F20" w:rsidRPr="0062107D" w:rsidRDefault="00412F20" w:rsidP="00461C41">
            <w:pPr>
              <w:pStyle w:val="Caption-Figure"/>
              <w:spacing w:before="120"/>
              <w:jc w:val="left"/>
            </w:pPr>
            <w:r w:rsidRPr="0062107D">
              <w:t>Template 2.15</w:t>
            </w:r>
          </w:p>
          <w:p w:rsidR="00412F20" w:rsidRPr="002C7DF8" w:rsidRDefault="00412F20" w:rsidP="00461C41">
            <w:pPr>
              <w:pStyle w:val="Caption-Figure"/>
              <w:spacing w:before="120"/>
              <w:jc w:val="left"/>
              <w:rPr>
                <w:b w:val="0"/>
              </w:rPr>
            </w:pPr>
            <w:r w:rsidRPr="0062107D">
              <w:t>Table 2.15.</w:t>
            </w:r>
            <w:r w:rsidRPr="002C7DF8">
              <w:rPr>
                <w:b w:val="0"/>
              </w:rPr>
              <w:t>1 – Forecast Commercial Insurance Premiums by Risk Category</w:t>
            </w:r>
          </w:p>
          <w:p w:rsidR="00412F20" w:rsidRPr="002C7DF8" w:rsidRDefault="00412F20" w:rsidP="00461C41">
            <w:pPr>
              <w:pStyle w:val="Caption-Figure"/>
              <w:spacing w:before="120"/>
              <w:jc w:val="left"/>
              <w:rPr>
                <w:b w:val="0"/>
              </w:rPr>
            </w:pPr>
            <w:r w:rsidRPr="002C7DF8">
              <w:rPr>
                <w:b w:val="0"/>
              </w:rPr>
              <w:t xml:space="preserve">Cells </w:t>
            </w:r>
            <w:r w:rsidRPr="00F45599">
              <w:rPr>
                <w:b w:val="0"/>
              </w:rPr>
              <w:t>C15, D15, E15-26, F15-26, G15-26, H15-26, I15-26, J15-26, K15-26, L15-26, M15-26, N15-17</w:t>
            </w:r>
          </w:p>
        </w:tc>
        <w:tc>
          <w:tcPr>
            <w:tcW w:w="2051" w:type="dxa"/>
          </w:tcPr>
          <w:p w:rsidR="00412F20" w:rsidRPr="002C7DF8" w:rsidRDefault="00412F20">
            <w:pPr>
              <w:pStyle w:val="Default"/>
              <w:cnfStyle w:val="000000010000" w:firstRow="0" w:lastRow="0" w:firstColumn="0" w:lastColumn="0" w:oddVBand="0" w:evenVBand="0" w:oddHBand="0" w:evenHBand="1" w:firstRowFirstColumn="0" w:firstRowLastColumn="0" w:lastRowFirstColumn="0" w:lastRowLastColumn="0"/>
              <w:rPr>
                <w:sz w:val="20"/>
                <w:szCs w:val="20"/>
              </w:rPr>
            </w:pPr>
            <w:r w:rsidRPr="002C7DF8">
              <w:rPr>
                <w:sz w:val="20"/>
                <w:szCs w:val="20"/>
              </w:rPr>
              <w:t>The existence of certain types of insurance and the various policy limits a</w:t>
            </w:r>
            <w:r w:rsidRPr="0006777E">
              <w:rPr>
                <w:sz w:val="20"/>
                <w:szCs w:val="20"/>
              </w:rPr>
              <w:t xml:space="preserve">nd </w:t>
            </w:r>
            <w:r w:rsidRPr="002C7DF8">
              <w:rPr>
                <w:sz w:val="20"/>
                <w:szCs w:val="20"/>
              </w:rPr>
              <w:t xml:space="preserve">deductibles associated with such insurance </w:t>
            </w:r>
          </w:p>
        </w:tc>
        <w:tc>
          <w:tcPr>
            <w:tcW w:w="1644" w:type="dxa"/>
          </w:tcPr>
          <w:p w:rsidR="00412F20" w:rsidRPr="002C7DF8" w:rsidRDefault="00412F20" w:rsidP="0049567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2C7DF8">
              <w:rPr>
                <w:b w:val="0"/>
              </w:rPr>
              <w:t>Insurance</w:t>
            </w:r>
          </w:p>
        </w:tc>
        <w:tc>
          <w:tcPr>
            <w:tcW w:w="2159" w:type="dxa"/>
          </w:tcPr>
          <w:p w:rsidR="00412F20" w:rsidRPr="002C7DF8" w:rsidRDefault="00412F20">
            <w:pPr>
              <w:pStyle w:val="Default"/>
              <w:cnfStyle w:val="000000010000" w:firstRow="0" w:lastRow="0" w:firstColumn="0" w:lastColumn="0" w:oddVBand="0" w:evenVBand="0" w:oddHBand="0" w:evenHBand="1" w:firstRowFirstColumn="0" w:firstRowLastColumn="0" w:lastRowFirstColumn="0" w:lastRowLastColumn="0"/>
              <w:rPr>
                <w:sz w:val="20"/>
                <w:szCs w:val="20"/>
              </w:rPr>
            </w:pPr>
            <w:r w:rsidRPr="002C7DF8">
              <w:rPr>
                <w:sz w:val="20"/>
                <w:szCs w:val="20"/>
              </w:rPr>
              <w:t>Other</w:t>
            </w:r>
          </w:p>
        </w:tc>
        <w:tc>
          <w:tcPr>
            <w:tcW w:w="2633" w:type="dxa"/>
          </w:tcPr>
          <w:p w:rsidR="00412F20" w:rsidRPr="002C7DF8" w:rsidRDefault="00412F20" w:rsidP="003B7959">
            <w:pPr>
              <w:pStyle w:val="Default"/>
              <w:cnfStyle w:val="000000010000" w:firstRow="0" w:lastRow="0" w:firstColumn="0" w:lastColumn="0" w:oddVBand="0" w:evenVBand="0" w:oddHBand="0" w:evenHBand="1" w:firstRowFirstColumn="0" w:firstRowLastColumn="0" w:lastRowFirstColumn="0" w:lastRowLastColumn="0"/>
              <w:rPr>
                <w:sz w:val="20"/>
                <w:szCs w:val="20"/>
              </w:rPr>
            </w:pPr>
            <w:r w:rsidRPr="002C7DF8">
              <w:rPr>
                <w:sz w:val="20"/>
                <w:szCs w:val="20"/>
              </w:rPr>
              <w:t>The disclosure of this information would be a breach of contract</w:t>
            </w:r>
          </w:p>
        </w:tc>
        <w:tc>
          <w:tcPr>
            <w:tcW w:w="2394" w:type="dxa"/>
          </w:tcPr>
          <w:p w:rsidR="00412F20" w:rsidRPr="002C7DF8" w:rsidRDefault="00412F20" w:rsidP="00461C41">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2C7DF8">
              <w:rPr>
                <w:b w:val="0"/>
              </w:rPr>
              <w:t>There are two main detriments:</w:t>
            </w:r>
          </w:p>
          <w:p w:rsidR="00412F20" w:rsidRPr="002C7DF8" w:rsidRDefault="00412F20" w:rsidP="00461C41">
            <w:pPr>
              <w:pStyle w:val="Caption-Figure"/>
              <w:numPr>
                <w:ilvl w:val="0"/>
                <w:numId w:val="8"/>
              </w:numPr>
              <w:spacing w:before="120"/>
              <w:ind w:left="175" w:hanging="175"/>
              <w:jc w:val="left"/>
              <w:cnfStyle w:val="000000010000" w:firstRow="0" w:lastRow="0" w:firstColumn="0" w:lastColumn="0" w:oddVBand="0" w:evenVBand="0" w:oddHBand="0" w:evenHBand="1" w:firstRowFirstColumn="0" w:firstRowLastColumn="0" w:lastRowFirstColumn="0" w:lastRowLastColumn="0"/>
              <w:rPr>
                <w:b w:val="0"/>
              </w:rPr>
            </w:pPr>
            <w:r w:rsidRPr="002C7DF8">
              <w:rPr>
                <w:b w:val="0"/>
              </w:rPr>
              <w:t>The failure to comply with the confidentiality obligation is a breach of contract and could allow the insurance company to deny cover in the event of a claim.</w:t>
            </w:r>
          </w:p>
          <w:p w:rsidR="00412F20" w:rsidRPr="0006777E" w:rsidRDefault="00412F20" w:rsidP="0006777E">
            <w:pPr>
              <w:pStyle w:val="Caption-Figure"/>
              <w:numPr>
                <w:ilvl w:val="0"/>
                <w:numId w:val="8"/>
              </w:numPr>
              <w:spacing w:before="120"/>
              <w:ind w:left="317"/>
              <w:jc w:val="left"/>
              <w:cnfStyle w:val="000000010000" w:firstRow="0" w:lastRow="0" w:firstColumn="0" w:lastColumn="0" w:oddVBand="0" w:evenVBand="0" w:oddHBand="0" w:evenHBand="1" w:firstRowFirstColumn="0" w:firstRowLastColumn="0" w:lastRowFirstColumn="0" w:lastRowLastColumn="0"/>
              <w:rPr>
                <w:b w:val="0"/>
              </w:rPr>
            </w:pPr>
            <w:r w:rsidRPr="002C7DF8">
              <w:rPr>
                <w:b w:val="0"/>
              </w:rPr>
              <w:t xml:space="preserve">Parties making claim against Energex could increase their claim with the </w:t>
            </w:r>
            <w:r w:rsidRPr="002C7DF8">
              <w:rPr>
                <w:b w:val="0"/>
              </w:rPr>
              <w:lastRenderedPageBreak/>
              <w:t>knowledge of insurance policies that could cover that claim.</w:t>
            </w:r>
          </w:p>
        </w:tc>
        <w:tc>
          <w:tcPr>
            <w:tcW w:w="2456" w:type="dxa"/>
          </w:tcPr>
          <w:p w:rsidR="00412F20" w:rsidRPr="002C7DF8" w:rsidRDefault="00412F20" w:rsidP="00461C41">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2C7DF8">
              <w:rPr>
                <w:b w:val="0"/>
              </w:rPr>
              <w:lastRenderedPageBreak/>
              <w:t xml:space="preserve">We consider there is limited public benefit or consumer interest in understanding the finer details of Energex’s insurance regime for the three types of insurance.  Consequently, a risk (even small) that disclosing this information could lead to cover being denied when Energex sought to make a claim, far outweighs </w:t>
            </w:r>
            <w:r w:rsidRPr="002C7DF8">
              <w:rPr>
                <w:b w:val="0"/>
              </w:rPr>
              <w:lastRenderedPageBreak/>
              <w:t>any benefits.</w:t>
            </w:r>
          </w:p>
        </w:tc>
      </w:tr>
      <w:tr w:rsidR="00412F20" w:rsidTr="002968F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52" w:type="dxa"/>
          </w:tcPr>
          <w:p w:rsidR="00F45599" w:rsidRDefault="00F45599" w:rsidP="00F45599">
            <w:pPr>
              <w:pStyle w:val="Caption-Figure"/>
              <w:spacing w:before="120"/>
              <w:jc w:val="left"/>
            </w:pPr>
            <w:r>
              <w:lastRenderedPageBreak/>
              <w:t xml:space="preserve">Reset RIN </w:t>
            </w:r>
          </w:p>
          <w:p w:rsidR="00F45599" w:rsidRDefault="00F45599" w:rsidP="00F45599">
            <w:pPr>
              <w:pStyle w:val="Caption-Figure"/>
              <w:spacing w:before="120"/>
              <w:jc w:val="left"/>
            </w:pPr>
            <w:r>
              <w:t>Template 4.2 Metering</w:t>
            </w:r>
          </w:p>
          <w:p w:rsidR="00F45599" w:rsidRDefault="00F45599" w:rsidP="00F45599">
            <w:pPr>
              <w:pStyle w:val="Caption-Figure"/>
              <w:spacing w:before="120"/>
              <w:jc w:val="left"/>
            </w:pPr>
            <w:r>
              <w:t>Table 4.2.4 – Cost Metrics</w:t>
            </w:r>
          </w:p>
          <w:p w:rsidR="00F45599" w:rsidRDefault="00F45599" w:rsidP="00F45599">
            <w:pPr>
              <w:pStyle w:val="Caption-Figure"/>
              <w:spacing w:before="120"/>
              <w:jc w:val="left"/>
            </w:pPr>
            <w:r>
              <w:t>Cells S23 to AC23</w:t>
            </w:r>
          </w:p>
          <w:p w:rsidR="00F45599" w:rsidRDefault="00F45599" w:rsidP="00F45599">
            <w:pPr>
              <w:pStyle w:val="Caption-Figure"/>
              <w:spacing w:before="120"/>
              <w:jc w:val="left"/>
            </w:pPr>
            <w:r>
              <w:t>S26 to AC26</w:t>
            </w:r>
          </w:p>
          <w:p w:rsidR="00F45599" w:rsidRDefault="00F45599" w:rsidP="00F45599">
            <w:pPr>
              <w:pStyle w:val="Caption-Figure"/>
              <w:spacing w:before="120"/>
              <w:jc w:val="left"/>
            </w:pPr>
            <w:r>
              <w:t>Expenditure</w:t>
            </w:r>
          </w:p>
          <w:p w:rsidR="00F45599" w:rsidRDefault="00F45599" w:rsidP="00F45599">
            <w:pPr>
              <w:pStyle w:val="Caption-Figure"/>
              <w:spacing w:before="120"/>
              <w:jc w:val="left"/>
            </w:pPr>
            <w:r>
              <w:t xml:space="preserve">Service subcategories - “SCHEDULED </w:t>
            </w:r>
            <w:r>
              <w:lastRenderedPageBreak/>
              <w:t>METER READING($000,s)” TYPE 6 and “SPECIAL METER READING($000,s)” TYPE 6</w:t>
            </w:r>
          </w:p>
          <w:p w:rsidR="00F45599" w:rsidRDefault="00F45599" w:rsidP="00F45599">
            <w:pPr>
              <w:pStyle w:val="Caption-Figure"/>
              <w:spacing w:before="120"/>
              <w:jc w:val="left"/>
            </w:pPr>
            <w:r>
              <w:t>Cells AG23 to AQ23</w:t>
            </w:r>
          </w:p>
          <w:p w:rsidR="00F45599" w:rsidRDefault="00F45599" w:rsidP="00F45599">
            <w:pPr>
              <w:pStyle w:val="Caption-Figure"/>
              <w:spacing w:before="120"/>
              <w:jc w:val="left"/>
            </w:pPr>
            <w:r>
              <w:t>AG26 to AQ26</w:t>
            </w:r>
          </w:p>
          <w:p w:rsidR="00F45599" w:rsidRDefault="00F45599" w:rsidP="00F45599">
            <w:pPr>
              <w:pStyle w:val="Caption-Figure"/>
              <w:spacing w:before="120"/>
              <w:jc w:val="left"/>
            </w:pPr>
            <w:r>
              <w:t>Volume</w:t>
            </w:r>
          </w:p>
          <w:p w:rsidR="00F45599" w:rsidRDefault="00F45599" w:rsidP="00F45599">
            <w:pPr>
              <w:pStyle w:val="Caption-Figure"/>
              <w:spacing w:before="120"/>
              <w:jc w:val="left"/>
            </w:pPr>
            <w:r>
              <w:t>Service subcategories -</w:t>
            </w:r>
          </w:p>
          <w:p w:rsidR="00F45599" w:rsidRDefault="00F45599" w:rsidP="00F45599">
            <w:pPr>
              <w:pStyle w:val="Caption-Figure"/>
              <w:spacing w:before="120"/>
              <w:jc w:val="left"/>
            </w:pPr>
            <w:r>
              <w:t xml:space="preserve">“SCHEDULED METER READING(000,s)” TYPE 6 and “SPECIAL METER </w:t>
            </w:r>
            <w:r>
              <w:lastRenderedPageBreak/>
              <w:t>READING(000,s)” TYPE 6</w:t>
            </w:r>
          </w:p>
          <w:p w:rsidR="00412F20" w:rsidRPr="0062107D" w:rsidRDefault="00F45599" w:rsidP="00F45599">
            <w:pPr>
              <w:pStyle w:val="Caption-Figure"/>
              <w:spacing w:before="120"/>
              <w:jc w:val="left"/>
            </w:pPr>
            <w:r>
              <w:t>Years 2008/09 – 2019/20</w:t>
            </w:r>
          </w:p>
        </w:tc>
        <w:tc>
          <w:tcPr>
            <w:tcW w:w="2051" w:type="dxa"/>
          </w:tcPr>
          <w:p w:rsidR="00412F20" w:rsidRPr="00C75BC6" w:rsidRDefault="00412F2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75BC6">
              <w:rPr>
                <w:sz w:val="20"/>
                <w:szCs w:val="20"/>
              </w:rPr>
              <w:lastRenderedPageBreak/>
              <w:t xml:space="preserve">Type 6 meter reading expenditure and volumes for the period 2008/09 – 2019/20 </w:t>
            </w:r>
          </w:p>
        </w:tc>
        <w:tc>
          <w:tcPr>
            <w:tcW w:w="1644" w:type="dxa"/>
          </w:tcPr>
          <w:p w:rsidR="00412F20" w:rsidRPr="00C75BC6" w:rsidRDefault="00412F20" w:rsidP="0049567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75BC6">
              <w:rPr>
                <w:b w:val="0"/>
              </w:rPr>
              <w:t>Metering expenditure</w:t>
            </w:r>
          </w:p>
        </w:tc>
        <w:tc>
          <w:tcPr>
            <w:tcW w:w="2159" w:type="dxa"/>
          </w:tcPr>
          <w:p w:rsidR="00412F20" w:rsidRPr="00C75BC6" w:rsidRDefault="00412F2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75BC6">
              <w:rPr>
                <w:sz w:val="20"/>
                <w:szCs w:val="20"/>
              </w:rPr>
              <w:t>Market sensitive cost inputs</w:t>
            </w:r>
          </w:p>
        </w:tc>
        <w:tc>
          <w:tcPr>
            <w:tcW w:w="2633" w:type="dxa"/>
          </w:tcPr>
          <w:p w:rsidR="00412F20" w:rsidRPr="00C75BC6" w:rsidRDefault="00412F20" w:rsidP="0092664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75BC6">
              <w:rPr>
                <w:b w:val="0"/>
              </w:rPr>
              <w:t xml:space="preserve">This work is currently carried out by a single contractor </w:t>
            </w:r>
          </w:p>
          <w:p w:rsidR="00412F20" w:rsidRPr="00C75BC6" w:rsidRDefault="00412F20" w:rsidP="0092664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p w:rsidR="00412F20" w:rsidRPr="00C75BC6" w:rsidRDefault="00412F20" w:rsidP="003B7959">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75BC6">
              <w:rPr>
                <w:sz w:val="20"/>
                <w:szCs w:val="20"/>
              </w:rPr>
              <w:t>The total expenditure and volume numbers would enable the contract price to be calculated</w:t>
            </w:r>
          </w:p>
        </w:tc>
        <w:tc>
          <w:tcPr>
            <w:tcW w:w="2394" w:type="dxa"/>
          </w:tcPr>
          <w:p w:rsidR="00412F20" w:rsidRPr="00C75BC6" w:rsidRDefault="00412F20" w:rsidP="00926647">
            <w:pPr>
              <w:cnfStyle w:val="000000100000" w:firstRow="0" w:lastRow="0" w:firstColumn="0" w:lastColumn="0" w:oddVBand="0" w:evenVBand="0" w:oddHBand="1" w:evenHBand="0" w:firstRowFirstColumn="0" w:firstRowLastColumn="0" w:lastRowFirstColumn="0" w:lastRowLastColumn="0"/>
              <w:rPr>
                <w:szCs w:val="20"/>
              </w:rPr>
            </w:pPr>
            <w:r w:rsidRPr="00C75BC6">
              <w:rPr>
                <w:szCs w:val="20"/>
              </w:rPr>
              <w:t>This information would affect Energex’s ability to obtain competitive prices in the future tender processes.</w:t>
            </w:r>
          </w:p>
          <w:p w:rsidR="00412F20" w:rsidRPr="00C75BC6" w:rsidRDefault="00412F20" w:rsidP="00461C41">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75BC6">
              <w:rPr>
                <w:b w:val="0"/>
              </w:rPr>
              <w:t xml:space="preserve">Further, this information would provide a detriment to the third party supplier and will affect its competiveness in the market. The third party detriment is a </w:t>
            </w:r>
            <w:r w:rsidRPr="00C75BC6">
              <w:rPr>
                <w:b w:val="0"/>
              </w:rPr>
              <w:lastRenderedPageBreak/>
              <w:t>relevant consideration for the AER.</w:t>
            </w:r>
            <w:r w:rsidRPr="00C75BC6">
              <w:rPr>
                <w:rStyle w:val="FootnoteReference"/>
                <w:b w:val="0"/>
              </w:rPr>
              <w:footnoteReference w:id="1"/>
            </w:r>
          </w:p>
        </w:tc>
        <w:tc>
          <w:tcPr>
            <w:tcW w:w="2456" w:type="dxa"/>
          </w:tcPr>
          <w:p w:rsidR="00412F20" w:rsidRPr="00C75BC6" w:rsidRDefault="00412F20" w:rsidP="00461C41">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75BC6">
              <w:rPr>
                <w:b w:val="0"/>
              </w:rPr>
              <w:lastRenderedPageBreak/>
              <w:t xml:space="preserve">Energex believes there is not the requisite degree of public benefit in disclosing individual commercial in confidence contract unit prices to customers and the third party supplier’s competitors, which would outweigh the detriment to Energex and the third party supplier.  Competitors of the </w:t>
            </w:r>
            <w:r w:rsidRPr="00C75BC6">
              <w:rPr>
                <w:b w:val="0"/>
              </w:rPr>
              <w:lastRenderedPageBreak/>
              <w:t>supplier having access to the supplier’s prices would distort the market and affect Energex’s ability to obtain competitive prices i</w:t>
            </w:r>
            <w:r>
              <w:rPr>
                <w:b w:val="0"/>
              </w:rPr>
              <w:t xml:space="preserve">n future tender processes.  It </w:t>
            </w:r>
            <w:r w:rsidRPr="00C75BC6">
              <w:rPr>
                <w:b w:val="0"/>
              </w:rPr>
              <w:t xml:space="preserve">might also damage the third party supplier’s position in a market in which that third party supplier competes. </w:t>
            </w:r>
          </w:p>
        </w:tc>
      </w:tr>
    </w:tbl>
    <w:p w:rsidR="000D4504" w:rsidRDefault="000D4504" w:rsidP="0049567E">
      <w:r>
        <w:lastRenderedPageBreak/>
        <w:br w:type="page"/>
      </w:r>
    </w:p>
    <w:p w:rsidR="000D4504" w:rsidRDefault="000D4504" w:rsidP="000D4504">
      <w:pPr>
        <w:pStyle w:val="Heading2"/>
        <w:numPr>
          <w:ilvl w:val="0"/>
          <w:numId w:val="0"/>
        </w:numPr>
        <w:ind w:left="-426"/>
      </w:pPr>
      <w:r>
        <w:lastRenderedPageBreak/>
        <w:t>Proportion of confidential material</w:t>
      </w:r>
    </w:p>
    <w:tbl>
      <w:tblPr>
        <w:tblStyle w:val="TableGrid"/>
        <w:tblW w:w="5299" w:type="pct"/>
        <w:jc w:val="center"/>
        <w:tblInd w:w="-1081" w:type="dxa"/>
        <w:tblLook w:val="04A0" w:firstRow="1" w:lastRow="0" w:firstColumn="1" w:lastColumn="0" w:noHBand="0" w:noVBand="1"/>
      </w:tblPr>
      <w:tblGrid>
        <w:gridCol w:w="2599"/>
        <w:gridCol w:w="2261"/>
        <w:gridCol w:w="2436"/>
        <w:gridCol w:w="2083"/>
        <w:gridCol w:w="2595"/>
        <w:gridCol w:w="2770"/>
      </w:tblGrid>
      <w:tr w:rsidR="000D4504" w:rsidTr="000D450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599" w:type="dxa"/>
          </w:tcPr>
          <w:p w:rsidR="000D4504" w:rsidRDefault="000D4504" w:rsidP="00E32EED">
            <w:pPr>
              <w:pStyle w:val="Caption-Figure"/>
              <w:spacing w:before="120"/>
              <w:jc w:val="left"/>
            </w:pPr>
            <w:r>
              <w:t>Submission title</w:t>
            </w:r>
          </w:p>
        </w:tc>
        <w:tc>
          <w:tcPr>
            <w:tcW w:w="2261" w:type="dxa"/>
          </w:tcPr>
          <w:p w:rsidR="000D4504" w:rsidRDefault="000D4504"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Number of pages of submission that includes information subject to a claim of confidentiality</w:t>
            </w:r>
          </w:p>
        </w:tc>
        <w:tc>
          <w:tcPr>
            <w:tcW w:w="2436" w:type="dxa"/>
          </w:tcPr>
          <w:p w:rsidR="000D4504" w:rsidRDefault="000D4504"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Number of pages of submission that do not include information subject to a claim of confidentiality</w:t>
            </w:r>
          </w:p>
        </w:tc>
        <w:tc>
          <w:tcPr>
            <w:tcW w:w="2083" w:type="dxa"/>
          </w:tcPr>
          <w:p w:rsidR="000D4504" w:rsidRDefault="000D4504"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Total number of pages of submission</w:t>
            </w:r>
          </w:p>
        </w:tc>
        <w:tc>
          <w:tcPr>
            <w:tcW w:w="2595" w:type="dxa"/>
          </w:tcPr>
          <w:p w:rsidR="000D4504" w:rsidRDefault="000D4504"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Percentage of pages of submission that include information subject to a claim of confidentiality</w:t>
            </w:r>
          </w:p>
        </w:tc>
        <w:tc>
          <w:tcPr>
            <w:tcW w:w="2770" w:type="dxa"/>
          </w:tcPr>
          <w:p w:rsidR="000D4504" w:rsidRDefault="000D4504" w:rsidP="00E32EED">
            <w:pPr>
              <w:pStyle w:val="Caption-Figure"/>
              <w:spacing w:before="120"/>
              <w:cnfStyle w:val="100000000000" w:firstRow="1" w:lastRow="0" w:firstColumn="0" w:lastColumn="0" w:oddVBand="0" w:evenVBand="0" w:oddHBand="0" w:evenHBand="0" w:firstRowFirstColumn="0" w:firstRowLastColumn="0" w:lastRowFirstColumn="0" w:lastRowLastColumn="0"/>
            </w:pPr>
            <w:r>
              <w:t>Percentage of pages of submission that do not include information subject to a claim of confidentiality</w:t>
            </w:r>
          </w:p>
        </w:tc>
      </w:tr>
      <w:tr w:rsidR="003B7959" w:rsidTr="000D450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599" w:type="dxa"/>
          </w:tcPr>
          <w:p w:rsidR="003B7959" w:rsidRPr="00C54F3F" w:rsidRDefault="00CF4C1B" w:rsidP="00E32EED">
            <w:pPr>
              <w:pStyle w:val="Caption-Figure"/>
              <w:spacing w:before="120"/>
              <w:jc w:val="left"/>
              <w:rPr>
                <w:b w:val="0"/>
              </w:rPr>
            </w:pPr>
            <w:r>
              <w:rPr>
                <w:b w:val="0"/>
              </w:rPr>
              <w:t>Regulatory Proposal, 2015-20</w:t>
            </w:r>
          </w:p>
        </w:tc>
        <w:tc>
          <w:tcPr>
            <w:tcW w:w="2261" w:type="dxa"/>
          </w:tcPr>
          <w:p w:rsidR="003B7959" w:rsidRPr="003B7959" w:rsidRDefault="00CF4C1B" w:rsidP="00CF4C1B">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3</w:t>
            </w:r>
          </w:p>
        </w:tc>
        <w:tc>
          <w:tcPr>
            <w:tcW w:w="2436" w:type="dxa"/>
          </w:tcPr>
          <w:p w:rsidR="003B7959" w:rsidRPr="00C54F3F" w:rsidRDefault="006F41CD" w:rsidP="00E32EED">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320</w:t>
            </w:r>
          </w:p>
        </w:tc>
        <w:tc>
          <w:tcPr>
            <w:tcW w:w="2083" w:type="dxa"/>
          </w:tcPr>
          <w:p w:rsidR="003B7959" w:rsidRPr="00C54F3F" w:rsidRDefault="00064DD1" w:rsidP="00E32EED">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323</w:t>
            </w:r>
          </w:p>
        </w:tc>
        <w:tc>
          <w:tcPr>
            <w:tcW w:w="2595" w:type="dxa"/>
          </w:tcPr>
          <w:p w:rsidR="003B7959" w:rsidRPr="00C54F3F" w:rsidRDefault="00CF4C1B" w:rsidP="00E32EED">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0.9%</w:t>
            </w:r>
          </w:p>
        </w:tc>
        <w:tc>
          <w:tcPr>
            <w:tcW w:w="2770" w:type="dxa"/>
          </w:tcPr>
          <w:p w:rsidR="003B7959" w:rsidRPr="00C54F3F" w:rsidRDefault="00CF4C1B" w:rsidP="00E32EED">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99.1%</w:t>
            </w:r>
          </w:p>
        </w:tc>
      </w:tr>
      <w:tr w:rsidR="003B7959" w:rsidTr="000D4504">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599" w:type="dxa"/>
          </w:tcPr>
          <w:p w:rsidR="003B7959" w:rsidRPr="00C54F3F" w:rsidRDefault="00CF4C1B" w:rsidP="00E32EED">
            <w:pPr>
              <w:pStyle w:val="Caption-Figure"/>
              <w:spacing w:before="120"/>
              <w:jc w:val="left"/>
              <w:rPr>
                <w:b w:val="0"/>
              </w:rPr>
            </w:pPr>
            <w:r>
              <w:rPr>
                <w:b w:val="0"/>
              </w:rPr>
              <w:t>Regulatory Proposal Appendices</w:t>
            </w:r>
          </w:p>
        </w:tc>
        <w:tc>
          <w:tcPr>
            <w:tcW w:w="2261" w:type="dxa"/>
          </w:tcPr>
          <w:p w:rsidR="003B7959" w:rsidRPr="00C54F3F" w:rsidRDefault="00CD08AD" w:rsidP="00E32EED">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61</w:t>
            </w:r>
          </w:p>
        </w:tc>
        <w:tc>
          <w:tcPr>
            <w:tcW w:w="2436" w:type="dxa"/>
          </w:tcPr>
          <w:p w:rsidR="003B7959" w:rsidRPr="00C54F3F" w:rsidRDefault="00FD4FD6" w:rsidP="00E32EED">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2313</w:t>
            </w:r>
          </w:p>
        </w:tc>
        <w:tc>
          <w:tcPr>
            <w:tcW w:w="2083" w:type="dxa"/>
          </w:tcPr>
          <w:p w:rsidR="003B7959" w:rsidRPr="00C54F3F" w:rsidRDefault="00FD4FD6" w:rsidP="00E32EED">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2374</w:t>
            </w:r>
          </w:p>
        </w:tc>
        <w:tc>
          <w:tcPr>
            <w:tcW w:w="2595" w:type="dxa"/>
          </w:tcPr>
          <w:p w:rsidR="003B7959" w:rsidRPr="00C54F3F" w:rsidRDefault="00FD4FD6" w:rsidP="00E32EED">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2.57%</w:t>
            </w:r>
          </w:p>
        </w:tc>
        <w:tc>
          <w:tcPr>
            <w:tcW w:w="2770" w:type="dxa"/>
          </w:tcPr>
          <w:p w:rsidR="003B7959" w:rsidRPr="00C54F3F" w:rsidRDefault="00FD4FD6" w:rsidP="00E32EED">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97.43%</w:t>
            </w:r>
            <w:bookmarkStart w:id="0" w:name="_GoBack"/>
            <w:bookmarkEnd w:id="0"/>
          </w:p>
        </w:tc>
      </w:tr>
    </w:tbl>
    <w:p w:rsidR="00941091" w:rsidRDefault="00941091" w:rsidP="00941091"/>
    <w:sectPr w:rsidR="00941091" w:rsidSect="0066022B">
      <w:pgSz w:w="16838" w:h="11906" w:orient="landscape"/>
      <w:pgMar w:top="1440" w:right="1440" w:bottom="1440" w:left="1702"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00" w:rsidRDefault="004D7100" w:rsidP="00545CDF">
      <w:pPr>
        <w:spacing w:before="0" w:after="0" w:line="240" w:lineRule="auto"/>
      </w:pPr>
      <w:r>
        <w:separator/>
      </w:r>
    </w:p>
  </w:endnote>
  <w:endnote w:type="continuationSeparator" w:id="0">
    <w:p w:rsidR="004D7100" w:rsidRDefault="004D7100" w:rsidP="00545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688482275"/>
      <w:docPartObj>
        <w:docPartGallery w:val="Page Numbers (Bottom of Page)"/>
        <w:docPartUnique/>
      </w:docPartObj>
    </w:sdtPr>
    <w:sdtEndPr>
      <w:rPr>
        <w:noProof/>
      </w:rPr>
    </w:sdtEndPr>
    <w:sdtContent>
      <w:p w:rsidR="00641368" w:rsidRPr="0024611F" w:rsidRDefault="0024611F" w:rsidP="00277CE3">
        <w:pPr>
          <w:tabs>
            <w:tab w:val="center" w:pos="4536"/>
            <w:tab w:val="right" w:pos="9072"/>
          </w:tabs>
          <w:spacing w:before="160"/>
          <w:rPr>
            <w:b/>
            <w:color w:val="FFFFFF"/>
          </w:rPr>
        </w:pPr>
        <w:r w:rsidRPr="00DE2D0E">
          <w:rPr>
            <w:b/>
            <w:color w:val="FFFFFF"/>
            <w:sz w:val="48"/>
            <w:szCs w:val="44"/>
          </w:rPr>
          <w:tab/>
        </w:r>
        <w:r w:rsidR="000D4504">
          <w:rPr>
            <w:b/>
            <w:color w:val="FFFFFF"/>
            <w:sz w:val="48"/>
            <w:szCs w:val="44"/>
          </w:rPr>
          <w:ptab w:relativeTo="margin" w:alignment="center" w:leader="none"/>
        </w:r>
        <w:r w:rsidRPr="00DE2D0E">
          <w:rPr>
            <w:b/>
            <w:color w:val="FFFFFF"/>
            <w:sz w:val="16"/>
            <w:szCs w:val="16"/>
          </w:rPr>
          <w:t>-</w:t>
        </w:r>
        <w:r w:rsidRPr="00DE2D0E">
          <w:rPr>
            <w:b/>
            <w:color w:val="FFFFFF"/>
            <w:sz w:val="16"/>
            <w:szCs w:val="16"/>
          </w:rPr>
          <w:fldChar w:fldCharType="begin"/>
        </w:r>
        <w:r w:rsidRPr="00DE2D0E">
          <w:rPr>
            <w:b/>
            <w:color w:val="FFFFFF"/>
            <w:sz w:val="16"/>
            <w:szCs w:val="16"/>
          </w:rPr>
          <w:instrText xml:space="preserve"> PAGE   \* MERGEFORMAT </w:instrText>
        </w:r>
        <w:r w:rsidRPr="00DE2D0E">
          <w:rPr>
            <w:b/>
            <w:color w:val="FFFFFF"/>
            <w:sz w:val="16"/>
            <w:szCs w:val="16"/>
          </w:rPr>
          <w:fldChar w:fldCharType="separate"/>
        </w:r>
        <w:r w:rsidR="006F41CD">
          <w:rPr>
            <w:b/>
            <w:noProof/>
            <w:color w:val="FFFFFF"/>
            <w:sz w:val="16"/>
            <w:szCs w:val="16"/>
          </w:rPr>
          <w:t>1</w:t>
        </w:r>
        <w:r w:rsidRPr="00DE2D0E">
          <w:rPr>
            <w:b/>
            <w:color w:val="FFFFFF"/>
            <w:sz w:val="16"/>
            <w:szCs w:val="16"/>
          </w:rPr>
          <w:fldChar w:fldCharType="end"/>
        </w:r>
        <w:r w:rsidRPr="00DE2D0E">
          <w:rPr>
            <w:b/>
            <w:color w:val="FFFFFF"/>
            <w:sz w:val="16"/>
            <w:szCs w:val="16"/>
          </w:rPr>
          <w:t>-</w:t>
        </w:r>
        <w:r w:rsidRPr="00DE2D0E">
          <w:rPr>
            <w:b/>
            <w:color w:val="FFFFFF"/>
            <w:sz w:val="16"/>
            <w:szCs w:val="16"/>
          </w:rPr>
          <w:tab/>
        </w:r>
        <w:r w:rsidR="000D4504">
          <w:rPr>
            <w:b/>
            <w:color w:val="FFFFFF"/>
            <w:sz w:val="16"/>
            <w:szCs w:val="16"/>
          </w:rPr>
          <w:ptab w:relativeTo="margin" w:alignment="right" w:leader="none"/>
        </w:r>
        <w:r w:rsidR="0066022B">
          <w:rPr>
            <w:b/>
            <w:color w:val="FFFFFF"/>
            <w:sz w:val="16"/>
            <w:szCs w:val="16"/>
          </w:rPr>
          <w:t>Confidential Information Template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587932105"/>
      <w:docPartObj>
        <w:docPartGallery w:val="Page Numbers (Bottom of Page)"/>
        <w:docPartUnique/>
      </w:docPartObj>
    </w:sdtPr>
    <w:sdtEndPr>
      <w:rPr>
        <w:noProof/>
      </w:rPr>
    </w:sdtEndPr>
    <w:sdtContent>
      <w:p w:rsidR="0066022B" w:rsidRPr="0024611F" w:rsidRDefault="0066022B" w:rsidP="00277CE3">
        <w:pPr>
          <w:tabs>
            <w:tab w:val="center" w:pos="4536"/>
            <w:tab w:val="right" w:pos="9072"/>
          </w:tabs>
          <w:spacing w:before="160"/>
          <w:rPr>
            <w:b/>
            <w:color w:val="FFFFFF"/>
          </w:rPr>
        </w:pPr>
        <w:r>
          <w:rPr>
            <w:noProof/>
            <w:lang w:eastAsia="en-AU"/>
          </w:rPr>
          <w:drawing>
            <wp:anchor distT="0" distB="0" distL="114300" distR="114300" simplePos="0" relativeHeight="251657728" behindDoc="1" locked="0" layoutInCell="1" allowOverlap="1" wp14:anchorId="2B145700" wp14:editId="465A6D32">
              <wp:simplePos x="0" y="0"/>
              <wp:positionH relativeFrom="margin">
                <wp:align>center</wp:align>
              </wp:positionH>
              <wp:positionV relativeFrom="paragraph">
                <wp:posOffset>101600</wp:posOffset>
              </wp:positionV>
              <wp:extent cx="9900000" cy="219600"/>
              <wp:effectExtent l="0" t="0" r="0" b="9525"/>
              <wp:wrapNone/>
              <wp:docPr id="2" name="Picture 2" descr="Page-Banner_Bottom-A4_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Page-Banner_Bottom-A4_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0000" cy="219600"/>
                      </a:xfrm>
                      <a:prstGeom prst="rect">
                        <a:avLst/>
                      </a:prstGeom>
                      <a:noFill/>
                    </pic:spPr>
                  </pic:pic>
                </a:graphicData>
              </a:graphic>
              <wp14:sizeRelH relativeFrom="page">
                <wp14:pctWidth>0</wp14:pctWidth>
              </wp14:sizeRelH>
              <wp14:sizeRelV relativeFrom="page">
                <wp14:pctHeight>0</wp14:pctHeight>
              </wp14:sizeRelV>
            </wp:anchor>
          </w:drawing>
        </w:r>
        <w:r w:rsidRPr="00DE2D0E">
          <w:rPr>
            <w:b/>
            <w:color w:val="FFFFFF"/>
            <w:sz w:val="48"/>
            <w:szCs w:val="44"/>
          </w:rPr>
          <w:tab/>
        </w:r>
        <w:r>
          <w:rPr>
            <w:b/>
            <w:color w:val="FFFFFF"/>
            <w:sz w:val="48"/>
            <w:szCs w:val="44"/>
          </w:rPr>
          <w:ptab w:relativeTo="margin" w:alignment="center" w:leader="none"/>
        </w:r>
        <w:r w:rsidRPr="00DE2D0E">
          <w:rPr>
            <w:b/>
            <w:color w:val="FFFFFF"/>
            <w:sz w:val="16"/>
            <w:szCs w:val="16"/>
          </w:rPr>
          <w:t>-</w:t>
        </w:r>
        <w:r w:rsidRPr="00DE2D0E">
          <w:rPr>
            <w:b/>
            <w:color w:val="FFFFFF"/>
            <w:sz w:val="16"/>
            <w:szCs w:val="16"/>
          </w:rPr>
          <w:fldChar w:fldCharType="begin"/>
        </w:r>
        <w:r w:rsidRPr="00DE2D0E">
          <w:rPr>
            <w:b/>
            <w:color w:val="FFFFFF"/>
            <w:sz w:val="16"/>
            <w:szCs w:val="16"/>
          </w:rPr>
          <w:instrText xml:space="preserve"> PAGE   \* MERGEFORMAT </w:instrText>
        </w:r>
        <w:r w:rsidRPr="00DE2D0E">
          <w:rPr>
            <w:b/>
            <w:color w:val="FFFFFF"/>
            <w:sz w:val="16"/>
            <w:szCs w:val="16"/>
          </w:rPr>
          <w:fldChar w:fldCharType="separate"/>
        </w:r>
        <w:r w:rsidR="00FD4FD6">
          <w:rPr>
            <w:b/>
            <w:noProof/>
            <w:color w:val="FFFFFF"/>
            <w:sz w:val="16"/>
            <w:szCs w:val="16"/>
          </w:rPr>
          <w:t>15</w:t>
        </w:r>
        <w:r w:rsidRPr="00DE2D0E">
          <w:rPr>
            <w:b/>
            <w:color w:val="FFFFFF"/>
            <w:sz w:val="16"/>
            <w:szCs w:val="16"/>
          </w:rPr>
          <w:fldChar w:fldCharType="end"/>
        </w:r>
        <w:r w:rsidRPr="00DE2D0E">
          <w:rPr>
            <w:b/>
            <w:color w:val="FFFFFF"/>
            <w:sz w:val="16"/>
            <w:szCs w:val="16"/>
          </w:rPr>
          <w:t>-</w:t>
        </w:r>
        <w:r w:rsidRPr="00DE2D0E">
          <w:rPr>
            <w:b/>
            <w:color w:val="FFFFFF"/>
            <w:sz w:val="16"/>
            <w:szCs w:val="16"/>
          </w:rPr>
          <w:tab/>
        </w:r>
        <w:r>
          <w:rPr>
            <w:b/>
            <w:color w:val="FFFFFF"/>
            <w:sz w:val="16"/>
            <w:szCs w:val="16"/>
          </w:rPr>
          <w:ptab w:relativeTo="margin" w:alignment="right" w:leader="none"/>
        </w:r>
        <w:r>
          <w:rPr>
            <w:b/>
            <w:color w:val="FFFFFF"/>
            <w:sz w:val="16"/>
            <w:szCs w:val="16"/>
          </w:rPr>
          <w:t>Confidential Information Template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00" w:rsidRDefault="004D7100" w:rsidP="00545CDF">
      <w:pPr>
        <w:spacing w:before="0" w:after="0" w:line="240" w:lineRule="auto"/>
      </w:pPr>
      <w:r>
        <w:separator/>
      </w:r>
    </w:p>
  </w:footnote>
  <w:footnote w:type="continuationSeparator" w:id="0">
    <w:p w:rsidR="004D7100" w:rsidRDefault="004D7100" w:rsidP="00545CDF">
      <w:pPr>
        <w:spacing w:before="0" w:after="0" w:line="240" w:lineRule="auto"/>
      </w:pPr>
      <w:r>
        <w:continuationSeparator/>
      </w:r>
    </w:p>
  </w:footnote>
  <w:footnote w:id="1">
    <w:p w:rsidR="00412F20" w:rsidRDefault="00412F20">
      <w:pPr>
        <w:pStyle w:val="FootnoteText"/>
      </w:pPr>
      <w:r>
        <w:rPr>
          <w:rStyle w:val="FootnoteReference"/>
        </w:rPr>
        <w:footnoteRef/>
      </w:r>
      <w:r>
        <w:t xml:space="preserve"> </w:t>
      </w:r>
      <w:proofErr w:type="gramStart"/>
      <w:r>
        <w:t xml:space="preserve">AER, 2013, </w:t>
      </w:r>
      <w:r w:rsidRPr="002845D1">
        <w:t>Better Regulation</w:t>
      </w:r>
      <w:r>
        <w:t xml:space="preserve"> - </w:t>
      </w:r>
      <w:r w:rsidRPr="002845D1">
        <w:t>Explanatory Statement Confidentiality Guideline</w:t>
      </w:r>
      <w:r>
        <w:t>.</w:t>
      </w:r>
      <w:proofErr w:type="gramEnd"/>
      <w:r>
        <w:t xml:space="preserve">  </w:t>
      </w:r>
      <w:proofErr w:type="gramStart"/>
      <w:r w:rsidRPr="002845D1">
        <w:t>D13/130204</w:t>
      </w:r>
      <w:r>
        <w:t>.</w:t>
      </w:r>
      <w:proofErr w:type="gramEnd"/>
      <w:r>
        <w:t xml:space="preserve">  </w:t>
      </w:r>
      <w:r w:rsidRPr="002845D1">
        <w:t xml:space="preserve"> </w:t>
      </w:r>
      <w:r>
        <w:t>p.</w:t>
      </w:r>
      <w:r w:rsidRPr="002845D1">
        <w:t>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1F" w:rsidRDefault="0024611F" w:rsidP="0024611F">
    <w:pPr>
      <w:pStyle w:val="Header"/>
    </w:pPr>
  </w:p>
  <w:p w:rsidR="0024611F" w:rsidRDefault="00246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2B" w:rsidRDefault="0066022B">
    <w:pPr>
      <w:pStyle w:val="Header"/>
    </w:pPr>
    <w:r>
      <w:rPr>
        <w:noProof/>
        <w:lang w:eastAsia="en-AU"/>
      </w:rPr>
      <mc:AlternateContent>
        <mc:Choice Requires="wps">
          <w:drawing>
            <wp:anchor distT="0" distB="0" distL="114300" distR="114300" simplePos="0" relativeHeight="251656704" behindDoc="0" locked="0" layoutInCell="1" allowOverlap="1" wp14:anchorId="74F4C523" wp14:editId="6D3BD2D6">
              <wp:simplePos x="0" y="0"/>
              <wp:positionH relativeFrom="margin">
                <wp:align>center</wp:align>
              </wp:positionH>
              <wp:positionV relativeFrom="paragraph">
                <wp:posOffset>2540</wp:posOffset>
              </wp:positionV>
              <wp:extent cx="9900000" cy="0"/>
              <wp:effectExtent l="0" t="19050" r="63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0000" cy="0"/>
                      </a:xfrm>
                      <a:prstGeom prst="straightConnector1">
                        <a:avLst/>
                      </a:prstGeom>
                      <a:noFill/>
                      <a:ln w="28575">
                        <a:solidFill>
                          <a:srgbClr val="C4D5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2pt;width:779.55pt;height:0;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cbKQIAAEs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" strokecolor="#c4d545" strokeweight="2.25p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BE4"/>
    <w:multiLevelType w:val="hybridMultilevel"/>
    <w:tmpl w:val="83A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A74CD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8C1101"/>
    <w:multiLevelType w:val="hybridMultilevel"/>
    <w:tmpl w:val="1F9E3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3887AAD"/>
    <w:multiLevelType w:val="hybridMultilevel"/>
    <w:tmpl w:val="308CBC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2BF22C63"/>
    <w:multiLevelType w:val="hybridMultilevel"/>
    <w:tmpl w:val="BD2CD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87E0292C">
      <w:start w:val="1"/>
      <w:numFmt w:val="decimal"/>
      <w:pStyle w:val="Partchapterlist"/>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F2E2262"/>
    <w:multiLevelType w:val="hybridMultilevel"/>
    <w:tmpl w:val="20A0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292E99"/>
    <w:multiLevelType w:val="hybridMultilevel"/>
    <w:tmpl w:val="D1DC9716"/>
    <w:lvl w:ilvl="0" w:tplc="3902663C">
      <w:start w:val="1"/>
      <w:numFmt w:val="decimal"/>
      <w:pStyle w:val="Numbered1"/>
      <w:lvlText w:val="%1)"/>
      <w:lvlJc w:val="left"/>
      <w:pPr>
        <w:ind w:left="785" w:hanging="360"/>
      </w:pPr>
    </w:lvl>
    <w:lvl w:ilvl="1" w:tplc="E3E8F018">
      <w:start w:val="1"/>
      <w:numFmt w:val="lowerLetter"/>
      <w:pStyle w:val="Numbered2"/>
      <w:lvlText w:val="%2."/>
      <w:lvlJc w:val="left"/>
      <w:pPr>
        <w:ind w:left="1440" w:hanging="360"/>
      </w:pPr>
    </w:lvl>
    <w:lvl w:ilvl="2" w:tplc="B7D04768">
      <w:start w:val="1"/>
      <w:numFmt w:val="lowerRoman"/>
      <w:pStyle w:val="Numbered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407854"/>
    <w:multiLevelType w:val="hybridMultilevel"/>
    <w:tmpl w:val="E55207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3C972652"/>
    <w:multiLevelType w:val="hybridMultilevel"/>
    <w:tmpl w:val="8CE22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622261"/>
    <w:multiLevelType w:val="hybridMultilevel"/>
    <w:tmpl w:val="4F2006BE"/>
    <w:lvl w:ilvl="0" w:tplc="09AEBD3C">
      <w:start w:val="1"/>
      <w:numFmt w:val="bullet"/>
      <w:pStyle w:val="Bullet2"/>
      <w:lvlText w:val="-"/>
      <w:lvlJc w:val="left"/>
      <w:pPr>
        <w:ind w:left="4254" w:hanging="360"/>
      </w:pPr>
      <w:rPr>
        <w:rFonts w:ascii="Courier New" w:hAnsi="Courier New" w:hint="default"/>
      </w:rPr>
    </w:lvl>
    <w:lvl w:ilvl="1" w:tplc="0C090003" w:tentative="1">
      <w:start w:val="1"/>
      <w:numFmt w:val="bullet"/>
      <w:lvlText w:val="o"/>
      <w:lvlJc w:val="left"/>
      <w:pPr>
        <w:ind w:left="4974" w:hanging="360"/>
      </w:pPr>
      <w:rPr>
        <w:rFonts w:ascii="Courier New" w:hAnsi="Courier New" w:cs="Courier New" w:hint="default"/>
      </w:rPr>
    </w:lvl>
    <w:lvl w:ilvl="2" w:tplc="0C090005" w:tentative="1">
      <w:start w:val="1"/>
      <w:numFmt w:val="bullet"/>
      <w:lvlText w:val=""/>
      <w:lvlJc w:val="left"/>
      <w:pPr>
        <w:ind w:left="5694" w:hanging="360"/>
      </w:pPr>
      <w:rPr>
        <w:rFonts w:ascii="Wingdings" w:hAnsi="Wingdings" w:hint="default"/>
      </w:rPr>
    </w:lvl>
    <w:lvl w:ilvl="3" w:tplc="0C090001" w:tentative="1">
      <w:start w:val="1"/>
      <w:numFmt w:val="bullet"/>
      <w:lvlText w:val=""/>
      <w:lvlJc w:val="left"/>
      <w:pPr>
        <w:ind w:left="6414" w:hanging="360"/>
      </w:pPr>
      <w:rPr>
        <w:rFonts w:ascii="Symbol" w:hAnsi="Symbol" w:hint="default"/>
      </w:rPr>
    </w:lvl>
    <w:lvl w:ilvl="4" w:tplc="0C090003" w:tentative="1">
      <w:start w:val="1"/>
      <w:numFmt w:val="bullet"/>
      <w:lvlText w:val="o"/>
      <w:lvlJc w:val="left"/>
      <w:pPr>
        <w:ind w:left="7134" w:hanging="360"/>
      </w:pPr>
      <w:rPr>
        <w:rFonts w:ascii="Courier New" w:hAnsi="Courier New" w:cs="Courier New" w:hint="default"/>
      </w:rPr>
    </w:lvl>
    <w:lvl w:ilvl="5" w:tplc="0C090005" w:tentative="1">
      <w:start w:val="1"/>
      <w:numFmt w:val="bullet"/>
      <w:lvlText w:val=""/>
      <w:lvlJc w:val="left"/>
      <w:pPr>
        <w:ind w:left="7854" w:hanging="360"/>
      </w:pPr>
      <w:rPr>
        <w:rFonts w:ascii="Wingdings" w:hAnsi="Wingdings" w:hint="default"/>
      </w:rPr>
    </w:lvl>
    <w:lvl w:ilvl="6" w:tplc="0C090001" w:tentative="1">
      <w:start w:val="1"/>
      <w:numFmt w:val="bullet"/>
      <w:lvlText w:val=""/>
      <w:lvlJc w:val="left"/>
      <w:pPr>
        <w:ind w:left="8574" w:hanging="360"/>
      </w:pPr>
      <w:rPr>
        <w:rFonts w:ascii="Symbol" w:hAnsi="Symbol" w:hint="default"/>
      </w:rPr>
    </w:lvl>
    <w:lvl w:ilvl="7" w:tplc="0C090003" w:tentative="1">
      <w:start w:val="1"/>
      <w:numFmt w:val="bullet"/>
      <w:lvlText w:val="o"/>
      <w:lvlJc w:val="left"/>
      <w:pPr>
        <w:ind w:left="9294" w:hanging="360"/>
      </w:pPr>
      <w:rPr>
        <w:rFonts w:ascii="Courier New" w:hAnsi="Courier New" w:cs="Courier New" w:hint="default"/>
      </w:rPr>
    </w:lvl>
    <w:lvl w:ilvl="8" w:tplc="0C090005" w:tentative="1">
      <w:start w:val="1"/>
      <w:numFmt w:val="bullet"/>
      <w:lvlText w:val=""/>
      <w:lvlJc w:val="left"/>
      <w:pPr>
        <w:ind w:left="10014" w:hanging="360"/>
      </w:pPr>
      <w:rPr>
        <w:rFonts w:ascii="Wingdings" w:hAnsi="Wingdings" w:hint="default"/>
      </w:rPr>
    </w:lvl>
  </w:abstractNum>
  <w:abstractNum w:abstractNumId="10">
    <w:nsid w:val="5F7317BD"/>
    <w:multiLevelType w:val="hybridMultilevel"/>
    <w:tmpl w:val="540234E8"/>
    <w:lvl w:ilvl="0" w:tplc="1D8CD860">
      <w:start w:val="1"/>
      <w:numFmt w:val="bullet"/>
      <w:pStyle w:val="Bullet1"/>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4573A9"/>
    <w:multiLevelType w:val="hybridMultilevel"/>
    <w:tmpl w:val="3022D316"/>
    <w:lvl w:ilvl="0" w:tplc="5B5085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43D2471"/>
    <w:multiLevelType w:val="hybridMultilevel"/>
    <w:tmpl w:val="5732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1"/>
  </w:num>
  <w:num w:numId="5">
    <w:abstractNumId w:val="0"/>
  </w:num>
  <w:num w:numId="6">
    <w:abstractNumId w:val="6"/>
  </w:num>
  <w:num w:numId="7">
    <w:abstractNumId w:val="5"/>
  </w:num>
  <w:num w:numId="8">
    <w:abstractNumId w:val="8"/>
  </w:num>
  <w:num w:numId="9">
    <w:abstractNumId w:val="12"/>
  </w:num>
  <w:num w:numId="10">
    <w:abstractNumId w:val="3"/>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04"/>
    <w:rsid w:val="000461B7"/>
    <w:rsid w:val="00051052"/>
    <w:rsid w:val="00064DD1"/>
    <w:rsid w:val="0006777E"/>
    <w:rsid w:val="00071CC5"/>
    <w:rsid w:val="00074F88"/>
    <w:rsid w:val="00077E1E"/>
    <w:rsid w:val="000869F3"/>
    <w:rsid w:val="000B24F9"/>
    <w:rsid w:val="000C7C96"/>
    <w:rsid w:val="000D4504"/>
    <w:rsid w:val="000D4D38"/>
    <w:rsid w:val="00121B99"/>
    <w:rsid w:val="00127FB3"/>
    <w:rsid w:val="00130355"/>
    <w:rsid w:val="0014644A"/>
    <w:rsid w:val="00151E6B"/>
    <w:rsid w:val="00173FAA"/>
    <w:rsid w:val="00182FF2"/>
    <w:rsid w:val="00197FD4"/>
    <w:rsid w:val="001B2D21"/>
    <w:rsid w:val="001C79FA"/>
    <w:rsid w:val="001E7D5E"/>
    <w:rsid w:val="00221590"/>
    <w:rsid w:val="002332E5"/>
    <w:rsid w:val="00236EC0"/>
    <w:rsid w:val="0024611F"/>
    <w:rsid w:val="0025497C"/>
    <w:rsid w:val="00264030"/>
    <w:rsid w:val="00271520"/>
    <w:rsid w:val="00277CE3"/>
    <w:rsid w:val="002835D4"/>
    <w:rsid w:val="00293926"/>
    <w:rsid w:val="002968FA"/>
    <w:rsid w:val="002A30F7"/>
    <w:rsid w:val="002B2EE0"/>
    <w:rsid w:val="002B4418"/>
    <w:rsid w:val="002C7DF8"/>
    <w:rsid w:val="002C7F64"/>
    <w:rsid w:val="002E7ABD"/>
    <w:rsid w:val="002F086D"/>
    <w:rsid w:val="002F758E"/>
    <w:rsid w:val="003040D6"/>
    <w:rsid w:val="00311611"/>
    <w:rsid w:val="00311A15"/>
    <w:rsid w:val="003A0809"/>
    <w:rsid w:val="003B7959"/>
    <w:rsid w:val="003C5864"/>
    <w:rsid w:val="00400FA5"/>
    <w:rsid w:val="00406BF6"/>
    <w:rsid w:val="00412F20"/>
    <w:rsid w:val="00464353"/>
    <w:rsid w:val="00494890"/>
    <w:rsid w:val="0049567E"/>
    <w:rsid w:val="004C5436"/>
    <w:rsid w:val="004D7100"/>
    <w:rsid w:val="004F0C84"/>
    <w:rsid w:val="004F2377"/>
    <w:rsid w:val="004F510F"/>
    <w:rsid w:val="005057BA"/>
    <w:rsid w:val="00507903"/>
    <w:rsid w:val="0051760F"/>
    <w:rsid w:val="00545CDF"/>
    <w:rsid w:val="0056060B"/>
    <w:rsid w:val="00594118"/>
    <w:rsid w:val="005D3AD7"/>
    <w:rsid w:val="005E6D45"/>
    <w:rsid w:val="005F7011"/>
    <w:rsid w:val="00616D86"/>
    <w:rsid w:val="00617221"/>
    <w:rsid w:val="0062107D"/>
    <w:rsid w:val="00630E59"/>
    <w:rsid w:val="00641368"/>
    <w:rsid w:val="006455BF"/>
    <w:rsid w:val="0066022B"/>
    <w:rsid w:val="00681024"/>
    <w:rsid w:val="006B1845"/>
    <w:rsid w:val="006C3CDB"/>
    <w:rsid w:val="006E7DB5"/>
    <w:rsid w:val="006F41CD"/>
    <w:rsid w:val="00705A75"/>
    <w:rsid w:val="00733166"/>
    <w:rsid w:val="00734E08"/>
    <w:rsid w:val="00766705"/>
    <w:rsid w:val="00772C0F"/>
    <w:rsid w:val="00803769"/>
    <w:rsid w:val="00804EE0"/>
    <w:rsid w:val="008222E3"/>
    <w:rsid w:val="0087297B"/>
    <w:rsid w:val="008B1A2D"/>
    <w:rsid w:val="008B3A14"/>
    <w:rsid w:val="008C0E1B"/>
    <w:rsid w:val="008E777B"/>
    <w:rsid w:val="00935D23"/>
    <w:rsid w:val="00941091"/>
    <w:rsid w:val="009763F0"/>
    <w:rsid w:val="00993C34"/>
    <w:rsid w:val="009B05D3"/>
    <w:rsid w:val="009B4E84"/>
    <w:rsid w:val="009B6575"/>
    <w:rsid w:val="009E3121"/>
    <w:rsid w:val="009E50EA"/>
    <w:rsid w:val="00A07630"/>
    <w:rsid w:val="00A0794D"/>
    <w:rsid w:val="00A12E15"/>
    <w:rsid w:val="00A174AD"/>
    <w:rsid w:val="00A40D37"/>
    <w:rsid w:val="00A54EE2"/>
    <w:rsid w:val="00A83D07"/>
    <w:rsid w:val="00AA5939"/>
    <w:rsid w:val="00AB3BFE"/>
    <w:rsid w:val="00AC26C6"/>
    <w:rsid w:val="00AC493C"/>
    <w:rsid w:val="00AC7D73"/>
    <w:rsid w:val="00AD3D8A"/>
    <w:rsid w:val="00AD4D37"/>
    <w:rsid w:val="00AF6B4F"/>
    <w:rsid w:val="00B325A5"/>
    <w:rsid w:val="00B46EF2"/>
    <w:rsid w:val="00BA5B7C"/>
    <w:rsid w:val="00BB35B1"/>
    <w:rsid w:val="00BE481C"/>
    <w:rsid w:val="00C16168"/>
    <w:rsid w:val="00C54F3F"/>
    <w:rsid w:val="00C735E5"/>
    <w:rsid w:val="00C75BC6"/>
    <w:rsid w:val="00C76C05"/>
    <w:rsid w:val="00CB6888"/>
    <w:rsid w:val="00CD08AD"/>
    <w:rsid w:val="00CF16D2"/>
    <w:rsid w:val="00CF4C1B"/>
    <w:rsid w:val="00CF5603"/>
    <w:rsid w:val="00D05D3A"/>
    <w:rsid w:val="00D21FA9"/>
    <w:rsid w:val="00D22866"/>
    <w:rsid w:val="00D2619A"/>
    <w:rsid w:val="00D52646"/>
    <w:rsid w:val="00D71F36"/>
    <w:rsid w:val="00D74FB9"/>
    <w:rsid w:val="00D97F43"/>
    <w:rsid w:val="00DA5793"/>
    <w:rsid w:val="00DD49F0"/>
    <w:rsid w:val="00DE6AE1"/>
    <w:rsid w:val="00E337B7"/>
    <w:rsid w:val="00E9543E"/>
    <w:rsid w:val="00EB0E7F"/>
    <w:rsid w:val="00EB7DF4"/>
    <w:rsid w:val="00EE4DF9"/>
    <w:rsid w:val="00F252A7"/>
    <w:rsid w:val="00F27062"/>
    <w:rsid w:val="00F27BFC"/>
    <w:rsid w:val="00F45599"/>
    <w:rsid w:val="00F94DB0"/>
    <w:rsid w:val="00FB4DC4"/>
    <w:rsid w:val="00FB56BE"/>
    <w:rsid w:val="00FD4FD6"/>
    <w:rsid w:val="00FD5FFE"/>
    <w:rsid w:val="00FF2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A5B7C"/>
    <w:pPr>
      <w:spacing w:before="280" w:after="120" w:line="280" w:lineRule="atLeast"/>
    </w:pPr>
  </w:style>
  <w:style w:type="paragraph" w:styleId="Heading1">
    <w:name w:val="heading 1"/>
    <w:basedOn w:val="Normal"/>
    <w:next w:val="Normal"/>
    <w:link w:val="Heading1Char"/>
    <w:uiPriority w:val="9"/>
    <w:qFormat/>
    <w:rsid w:val="00BB35B1"/>
    <w:pPr>
      <w:keepNext/>
      <w:keepLines/>
      <w:pageBreakBefore/>
      <w:numPr>
        <w:numId w:val="1"/>
      </w:numPr>
      <w:spacing w:before="360" w:after="360"/>
      <w:ind w:left="851" w:hanging="851"/>
      <w:outlineLvl w:val="0"/>
    </w:pPr>
    <w:rPr>
      <w:rFonts w:eastAsiaTheme="majorEastAsia" w:cstheme="majorBidi"/>
      <w:b/>
      <w:bCs/>
      <w:color w:val="0081C3"/>
      <w:sz w:val="48"/>
      <w:szCs w:val="28"/>
    </w:rPr>
  </w:style>
  <w:style w:type="paragraph" w:styleId="Heading2">
    <w:name w:val="heading 2"/>
    <w:basedOn w:val="Normal"/>
    <w:next w:val="Normal"/>
    <w:link w:val="Heading2Char"/>
    <w:uiPriority w:val="9"/>
    <w:unhideWhenUsed/>
    <w:qFormat/>
    <w:rsid w:val="00705A75"/>
    <w:pPr>
      <w:keepNext/>
      <w:keepLines/>
      <w:numPr>
        <w:ilvl w:val="1"/>
        <w:numId w:val="1"/>
      </w:numPr>
      <w:spacing w:before="360"/>
      <w:ind w:left="851" w:hanging="851"/>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05A75"/>
    <w:pPr>
      <w:keepNext/>
      <w:keepLines/>
      <w:numPr>
        <w:ilvl w:val="2"/>
        <w:numId w:val="1"/>
      </w:numPr>
      <w:spacing w:before="360"/>
      <w:ind w:left="851" w:hanging="851"/>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72C0F"/>
    <w:pPr>
      <w:keepNext/>
      <w:keepLines/>
      <w:numPr>
        <w:ilvl w:val="3"/>
        <w:numId w:val="1"/>
      </w:numPr>
      <w:spacing w:before="360"/>
      <w:ind w:left="851" w:hanging="851"/>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unhideWhenUsed/>
    <w:rsid w:val="00AC49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9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9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9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9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B1"/>
    <w:rPr>
      <w:rFonts w:eastAsiaTheme="majorEastAsia" w:cstheme="majorBidi"/>
      <w:b/>
      <w:bCs/>
      <w:color w:val="0081C3"/>
      <w:sz w:val="48"/>
      <w:szCs w:val="28"/>
    </w:rPr>
  </w:style>
  <w:style w:type="character" w:customStyle="1" w:styleId="Heading2Char">
    <w:name w:val="Heading 2 Char"/>
    <w:basedOn w:val="DefaultParagraphFont"/>
    <w:link w:val="Heading2"/>
    <w:uiPriority w:val="9"/>
    <w:rsid w:val="00705A75"/>
    <w:rPr>
      <w:rFonts w:eastAsiaTheme="majorEastAsia" w:cstheme="majorBidi"/>
      <w:b/>
      <w:bCs/>
      <w:sz w:val="28"/>
      <w:szCs w:val="26"/>
    </w:rPr>
  </w:style>
  <w:style w:type="character" w:customStyle="1" w:styleId="Heading3Char">
    <w:name w:val="Heading 3 Char"/>
    <w:basedOn w:val="DefaultParagraphFont"/>
    <w:link w:val="Heading3"/>
    <w:uiPriority w:val="9"/>
    <w:rsid w:val="00705A75"/>
    <w:rPr>
      <w:rFonts w:eastAsiaTheme="majorEastAsia" w:cstheme="majorBidi"/>
      <w:b/>
      <w:bCs/>
      <w:sz w:val="24"/>
    </w:rPr>
  </w:style>
  <w:style w:type="character" w:customStyle="1" w:styleId="Heading4Char">
    <w:name w:val="Heading 4 Char"/>
    <w:basedOn w:val="DefaultParagraphFont"/>
    <w:link w:val="Heading4"/>
    <w:uiPriority w:val="9"/>
    <w:rsid w:val="00772C0F"/>
    <w:rPr>
      <w:rFonts w:ascii="Arial Bold" w:eastAsiaTheme="majorEastAsia" w:hAnsi="Arial Bold" w:cstheme="majorBidi"/>
      <w:b/>
      <w:bCs/>
      <w:iCs/>
    </w:rPr>
  </w:style>
  <w:style w:type="character" w:customStyle="1" w:styleId="Heading5Char">
    <w:name w:val="Heading 5 Char"/>
    <w:basedOn w:val="DefaultParagraphFont"/>
    <w:link w:val="Heading5"/>
    <w:uiPriority w:val="9"/>
    <w:semiHidden/>
    <w:rsid w:val="00AC49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9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9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9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B3A14"/>
    <w:pPr>
      <w:ind w:left="720"/>
      <w:contextualSpacing/>
    </w:pPr>
  </w:style>
  <w:style w:type="paragraph" w:customStyle="1" w:styleId="Bullet1">
    <w:name w:val="Bullet 1"/>
    <w:basedOn w:val="ListParagraph"/>
    <w:link w:val="Bullet1Char"/>
    <w:qFormat/>
    <w:rsid w:val="0014644A"/>
    <w:pPr>
      <w:numPr>
        <w:numId w:val="2"/>
      </w:numPr>
      <w:spacing w:before="240"/>
      <w:ind w:left="850" w:hanging="425"/>
      <w:contextualSpacing w:val="0"/>
    </w:pPr>
  </w:style>
  <w:style w:type="paragraph" w:customStyle="1" w:styleId="Bullet2">
    <w:name w:val="Bullet 2"/>
    <w:basedOn w:val="ListParagraph"/>
    <w:link w:val="Bullet2Char"/>
    <w:qFormat/>
    <w:rsid w:val="00311611"/>
    <w:pPr>
      <w:numPr>
        <w:numId w:val="3"/>
      </w:numPr>
      <w:spacing w:before="120"/>
      <w:ind w:left="1276" w:hanging="425"/>
      <w:contextualSpacing w:val="0"/>
    </w:pPr>
  </w:style>
  <w:style w:type="character" w:customStyle="1" w:styleId="ListParagraphChar">
    <w:name w:val="List Paragraph Char"/>
    <w:basedOn w:val="DefaultParagraphFont"/>
    <w:link w:val="ListParagraph"/>
    <w:uiPriority w:val="34"/>
    <w:rsid w:val="0014644A"/>
  </w:style>
  <w:style w:type="character" w:customStyle="1" w:styleId="Bullet1Char">
    <w:name w:val="Bullet 1 Char"/>
    <w:basedOn w:val="ListParagraphChar"/>
    <w:link w:val="Bullet1"/>
    <w:rsid w:val="0014644A"/>
  </w:style>
  <w:style w:type="paragraph" w:customStyle="1" w:styleId="Caption-Table">
    <w:name w:val="Caption - Table"/>
    <w:basedOn w:val="Normal"/>
    <w:link w:val="Caption-TableChar"/>
    <w:qFormat/>
    <w:rsid w:val="0087297B"/>
    <w:pPr>
      <w:jc w:val="center"/>
    </w:pPr>
    <w:rPr>
      <w:b/>
      <w:sz w:val="20"/>
      <w:szCs w:val="20"/>
    </w:rPr>
  </w:style>
  <w:style w:type="character" w:customStyle="1" w:styleId="Bullet2Char">
    <w:name w:val="Bullet 2 Char"/>
    <w:basedOn w:val="ListParagraphChar"/>
    <w:link w:val="Bullet2"/>
    <w:rsid w:val="00311611"/>
  </w:style>
  <w:style w:type="paragraph" w:customStyle="1" w:styleId="Caption-Figure">
    <w:name w:val="Caption - Figure"/>
    <w:basedOn w:val="Caption-Table"/>
    <w:link w:val="Caption-FigureChar"/>
    <w:qFormat/>
    <w:rsid w:val="0087297B"/>
  </w:style>
  <w:style w:type="character" w:customStyle="1" w:styleId="Caption-TableChar">
    <w:name w:val="Caption - Table Char"/>
    <w:basedOn w:val="DefaultParagraphFont"/>
    <w:link w:val="Caption-Table"/>
    <w:rsid w:val="0087297B"/>
    <w:rPr>
      <w:b/>
      <w:sz w:val="20"/>
      <w:szCs w:val="20"/>
    </w:rPr>
  </w:style>
  <w:style w:type="table" w:styleId="TableGrid">
    <w:name w:val="Table Grid"/>
    <w:basedOn w:val="TableNormal"/>
    <w:uiPriority w:val="59"/>
    <w:rsid w:val="00293926"/>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character" w:customStyle="1" w:styleId="Caption-FigureChar">
    <w:name w:val="Caption - Figure Char"/>
    <w:basedOn w:val="Caption-TableChar"/>
    <w:link w:val="Caption-Figure"/>
    <w:rsid w:val="0087297B"/>
    <w:rPr>
      <w:b/>
      <w:sz w:val="20"/>
      <w:szCs w:val="20"/>
    </w:rPr>
  </w:style>
  <w:style w:type="table" w:styleId="MediumGrid1-Accent3">
    <w:name w:val="Medium Grid 1 Accent 3"/>
    <w:basedOn w:val="TableNormal"/>
    <w:uiPriority w:val="67"/>
    <w:rsid w:val="008729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1">
    <w:name w:val="Light List Accent 1"/>
    <w:basedOn w:val="TableNormal"/>
    <w:uiPriority w:val="61"/>
    <w:rsid w:val="002939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verviewBox">
    <w:name w:val="Overview Box"/>
    <w:basedOn w:val="TableNormal"/>
    <w:uiPriority w:val="99"/>
    <w:rsid w:val="00293926"/>
    <w:pPr>
      <w:spacing w:after="0" w:line="240" w:lineRule="auto"/>
    </w:pPr>
    <w:tblPr/>
  </w:style>
  <w:style w:type="table" w:customStyle="1" w:styleId="Overviewbox0">
    <w:name w:val="Overview box"/>
    <w:basedOn w:val="TableGrid"/>
    <w:uiPriority w:val="99"/>
    <w:rsid w:val="006455BF"/>
    <w:rPr>
      <w:color w:val="FFFFFF" w:themeColor="background1"/>
      <w:sz w:val="16"/>
    </w:rPr>
    <w:tblPr>
      <w:tblStyleColBandSize w:val="1"/>
      <w:tblBorders>
        <w:top w:val="single" w:sz="8" w:space="0" w:color="0081C3"/>
        <w:left w:val="single" w:sz="8" w:space="0" w:color="0081C3"/>
        <w:bottom w:val="single" w:sz="8" w:space="0" w:color="0081C3"/>
        <w:right w:val="single" w:sz="8" w:space="0" w:color="0081C3"/>
        <w:insideH w:val="single" w:sz="8" w:space="0" w:color="0081C3"/>
        <w:insideV w:val="single" w:sz="8" w:space="0" w:color="0081C3"/>
      </w:tblBorders>
    </w:tblPr>
    <w:tcPr>
      <w:shd w:val="clear" w:color="auto" w:fill="808080" w:themeFill="background1" w:themeFillShade="80"/>
    </w:tcPr>
    <w:tblStylePr w:type="firstRow">
      <w:pPr>
        <w:wordWrap/>
        <w:spacing w:beforeLines="0" w:before="0" w:beforeAutospacing="0" w:afterLines="0" w:after="0" w:afterAutospacing="0"/>
        <w:jc w:val="left"/>
      </w:pPr>
      <w:rPr>
        <w:rFonts w:ascii="Arial Bold" w:hAnsi="Arial Bold"/>
        <w:b/>
        <w:i w:val="0"/>
        <w:sz w:val="16"/>
      </w:rPr>
      <w:tblPr/>
      <w:tcPr>
        <w:shd w:val="clear" w:color="auto" w:fill="808080" w:themeFill="background1" w:themeFillShade="80"/>
        <w:vAlign w:val="center"/>
      </w:tcPr>
    </w:tblStylePr>
    <w:tblStylePr w:type="firstCol">
      <w:pPr>
        <w:wordWrap/>
        <w:jc w:val="left"/>
      </w:pPr>
      <w:tblPr/>
      <w:tcPr>
        <w:shd w:val="clear" w:color="auto" w:fill="808080" w:themeFill="background1" w:themeFillShade="80"/>
      </w:tcPr>
    </w:tblStylePr>
    <w:tblStylePr w:type="band1Vert">
      <w:tblPr/>
      <w:tcPr>
        <w:shd w:val="clear" w:color="auto" w:fill="808080" w:themeFill="background1" w:themeFillShade="80"/>
      </w:tcPr>
    </w:tblStylePr>
    <w:tblStylePr w:type="band2Vert">
      <w:tblPr/>
      <w:tcPr>
        <w:shd w:val="clear" w:color="auto" w:fill="808080" w:themeFill="background1" w:themeFillShade="80"/>
      </w:tcPr>
    </w:tblStylePr>
    <w:tblStylePr w:type="band1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tblStylePr w:type="band2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style>
  <w:style w:type="table" w:customStyle="1" w:styleId="Style1">
    <w:name w:val="Style1"/>
    <w:basedOn w:val="LightList-Accent1"/>
    <w:uiPriority w:val="99"/>
    <w:rsid w:val="002C7F64"/>
    <w:tblPr/>
    <w:tcPr>
      <w:shd w:val="clear" w:color="auto" w:fill="0081C3"/>
    </w:tcPr>
    <w:tblStylePr w:type="firstRow">
      <w:pPr>
        <w:spacing w:before="0" w:after="0" w:line="240" w:lineRule="auto"/>
      </w:pPr>
      <w:rPr>
        <w:b/>
        <w:bCs/>
        <w:color w:val="FFFFFF" w:themeColor="background1"/>
      </w:rPr>
      <w:tblPr/>
      <w:tcPr>
        <w:shd w:val="clear" w:color="auto" w:fill="0081C3"/>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1">
    <w:name w:val="Caption1"/>
    <w:basedOn w:val="Normal"/>
    <w:link w:val="Caption1Char"/>
    <w:rsid w:val="00F27BFC"/>
    <w:pPr>
      <w:jc w:val="center"/>
    </w:pPr>
    <w:rPr>
      <w:rFonts w:cstheme="minorBidi"/>
      <w:b/>
      <w:sz w:val="20"/>
      <w:szCs w:val="20"/>
    </w:rPr>
  </w:style>
  <w:style w:type="character" w:customStyle="1" w:styleId="Caption1Char">
    <w:name w:val="Caption1 Char"/>
    <w:basedOn w:val="DefaultParagraphFont"/>
    <w:link w:val="Caption1"/>
    <w:rsid w:val="00F27BFC"/>
    <w:rPr>
      <w:rFonts w:cstheme="minorBidi"/>
      <w:b/>
      <w:sz w:val="20"/>
      <w:szCs w:val="20"/>
    </w:rPr>
  </w:style>
  <w:style w:type="paragraph" w:styleId="Header">
    <w:name w:val="header"/>
    <w:basedOn w:val="Normal"/>
    <w:link w:val="HeaderChar"/>
    <w:unhideWhenUsed/>
    <w:rsid w:val="00545C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5CDF"/>
  </w:style>
  <w:style w:type="paragraph" w:styleId="Footer">
    <w:name w:val="footer"/>
    <w:basedOn w:val="Normal"/>
    <w:link w:val="FooterChar"/>
    <w:uiPriority w:val="99"/>
    <w:unhideWhenUsed/>
    <w:rsid w:val="00545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5CDF"/>
  </w:style>
  <w:style w:type="character" w:styleId="PageNumber">
    <w:name w:val="page number"/>
    <w:basedOn w:val="DefaultParagraphFont"/>
    <w:rsid w:val="00641368"/>
  </w:style>
  <w:style w:type="paragraph" w:customStyle="1" w:styleId="Numbered1">
    <w:name w:val="Numbered 1"/>
    <w:basedOn w:val="ListParagraph"/>
    <w:link w:val="Numbered1Char"/>
    <w:qFormat/>
    <w:rsid w:val="00311611"/>
    <w:pPr>
      <w:numPr>
        <w:numId w:val="6"/>
      </w:numPr>
      <w:spacing w:before="240"/>
      <w:ind w:left="850" w:hanging="425"/>
      <w:contextualSpacing w:val="0"/>
    </w:pPr>
  </w:style>
  <w:style w:type="character" w:customStyle="1" w:styleId="Numbered1Char">
    <w:name w:val="Numbered 1 Char"/>
    <w:basedOn w:val="ListParagraphChar"/>
    <w:link w:val="Numbered1"/>
    <w:rsid w:val="00311611"/>
  </w:style>
  <w:style w:type="paragraph" w:customStyle="1" w:styleId="Numbered2">
    <w:name w:val="Numbered 2"/>
    <w:basedOn w:val="Numbered1"/>
    <w:link w:val="Numbered2Char"/>
    <w:qFormat/>
    <w:rsid w:val="00311611"/>
    <w:pPr>
      <w:numPr>
        <w:ilvl w:val="1"/>
      </w:numPr>
      <w:spacing w:before="120"/>
      <w:ind w:left="1276" w:hanging="425"/>
    </w:pPr>
  </w:style>
  <w:style w:type="paragraph" w:customStyle="1" w:styleId="Numbered3">
    <w:name w:val="Numbered 3"/>
    <w:basedOn w:val="Numbered1"/>
    <w:link w:val="Numbered3Char"/>
    <w:rsid w:val="00051052"/>
    <w:pPr>
      <w:numPr>
        <w:ilvl w:val="2"/>
      </w:numPr>
      <w:spacing w:before="120"/>
      <w:ind w:left="2285" w:hanging="357"/>
    </w:pPr>
  </w:style>
  <w:style w:type="character" w:customStyle="1" w:styleId="Numbered2Char">
    <w:name w:val="Numbered 2 Char"/>
    <w:basedOn w:val="Numbered1Char"/>
    <w:link w:val="Numbered2"/>
    <w:rsid w:val="00311611"/>
  </w:style>
  <w:style w:type="paragraph" w:customStyle="1" w:styleId="Numbered30">
    <w:name w:val="Numbered (3)"/>
    <w:basedOn w:val="Numbered3"/>
    <w:link w:val="Numbered3Char0"/>
    <w:qFormat/>
    <w:rsid w:val="00311611"/>
    <w:pPr>
      <w:ind w:left="1775"/>
    </w:pPr>
  </w:style>
  <w:style w:type="character" w:customStyle="1" w:styleId="Numbered3Char">
    <w:name w:val="Numbered 3 Char"/>
    <w:basedOn w:val="Numbered1Char"/>
    <w:link w:val="Numbered3"/>
    <w:rsid w:val="00051052"/>
  </w:style>
  <w:style w:type="character" w:customStyle="1" w:styleId="Numbered3Char0">
    <w:name w:val="Numbered (3) Char"/>
    <w:basedOn w:val="Numbered3Char"/>
    <w:link w:val="Numbered30"/>
    <w:rsid w:val="00311611"/>
  </w:style>
  <w:style w:type="paragraph" w:customStyle="1" w:styleId="Default">
    <w:name w:val="Default"/>
    <w:rsid w:val="003B7959"/>
    <w:pPr>
      <w:autoSpaceDE w:val="0"/>
      <w:autoSpaceDN w:val="0"/>
      <w:adjustRightInd w:val="0"/>
      <w:spacing w:after="0" w:line="240" w:lineRule="auto"/>
    </w:pPr>
    <w:rPr>
      <w:color w:val="000000"/>
      <w:sz w:val="24"/>
      <w:szCs w:val="24"/>
    </w:rPr>
  </w:style>
  <w:style w:type="paragraph" w:styleId="FootnoteText">
    <w:name w:val="footnote text"/>
    <w:basedOn w:val="Normal"/>
    <w:link w:val="FootnoteTextChar"/>
    <w:uiPriority w:val="99"/>
    <w:semiHidden/>
    <w:unhideWhenUsed/>
    <w:rsid w:val="00A0794D"/>
    <w:pPr>
      <w:spacing w:before="0"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0794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A0794D"/>
    <w:rPr>
      <w:vertAlign w:val="superscript"/>
    </w:rPr>
  </w:style>
  <w:style w:type="paragraph" w:customStyle="1" w:styleId="Cover3">
    <w:name w:val="Cover 3"/>
    <w:basedOn w:val="Normal"/>
    <w:link w:val="Cover3Char"/>
    <w:qFormat/>
    <w:rsid w:val="0066022B"/>
    <w:pPr>
      <w:spacing w:line="240" w:lineRule="exact"/>
      <w:jc w:val="right"/>
    </w:pPr>
    <w:rPr>
      <w:b/>
      <w:color w:val="0081C3"/>
      <w:sz w:val="44"/>
      <w:szCs w:val="44"/>
    </w:rPr>
  </w:style>
  <w:style w:type="character" w:customStyle="1" w:styleId="Cover3Char">
    <w:name w:val="Cover 3 Char"/>
    <w:basedOn w:val="DefaultParagraphFont"/>
    <w:link w:val="Cover3"/>
    <w:rsid w:val="0066022B"/>
    <w:rPr>
      <w:b/>
      <w:color w:val="0081C3"/>
      <w:sz w:val="44"/>
      <w:szCs w:val="44"/>
    </w:rPr>
  </w:style>
  <w:style w:type="paragraph" w:customStyle="1" w:styleId="Partheading">
    <w:name w:val="Part heading"/>
    <w:basedOn w:val="Normal"/>
    <w:link w:val="PartheadingChar"/>
    <w:qFormat/>
    <w:rsid w:val="0066022B"/>
    <w:pPr>
      <w:spacing w:before="120" w:line="240" w:lineRule="atLeast"/>
      <w:jc w:val="right"/>
    </w:pPr>
    <w:rPr>
      <w:rFonts w:ascii="Arial Black" w:hAnsi="Arial Black"/>
      <w:b/>
      <w:color w:val="FFFFFF"/>
      <w:sz w:val="96"/>
      <w:szCs w:val="120"/>
    </w:rPr>
  </w:style>
  <w:style w:type="paragraph" w:customStyle="1" w:styleId="Partchapterlist">
    <w:name w:val="Part chapter list"/>
    <w:basedOn w:val="ListParagraph"/>
    <w:link w:val="PartchapterlistChar"/>
    <w:qFormat/>
    <w:rsid w:val="0066022B"/>
    <w:pPr>
      <w:numPr>
        <w:ilvl w:val="3"/>
        <w:numId w:val="12"/>
      </w:numPr>
      <w:spacing w:before="120"/>
      <w:ind w:left="567" w:hanging="425"/>
      <w:contextualSpacing w:val="0"/>
    </w:pPr>
    <w:rPr>
      <w:b/>
      <w:color w:val="FFFFFF" w:themeColor="background1"/>
      <w:sz w:val="24"/>
    </w:rPr>
  </w:style>
  <w:style w:type="character" w:customStyle="1" w:styleId="PartheadingChar">
    <w:name w:val="Part heading Char"/>
    <w:basedOn w:val="DefaultParagraphFont"/>
    <w:link w:val="Partheading"/>
    <w:rsid w:val="0066022B"/>
    <w:rPr>
      <w:rFonts w:ascii="Arial Black" w:hAnsi="Arial Black"/>
      <w:b/>
      <w:color w:val="FFFFFF"/>
      <w:sz w:val="96"/>
      <w:szCs w:val="120"/>
    </w:rPr>
  </w:style>
  <w:style w:type="character" w:customStyle="1" w:styleId="PartchapterlistChar">
    <w:name w:val="Part chapter list Char"/>
    <w:basedOn w:val="ListParagraphChar"/>
    <w:link w:val="Partchapterlist"/>
    <w:rsid w:val="0066022B"/>
    <w:rPr>
      <w:b/>
      <w:color w:val="FFFFFF" w:themeColor="background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A5B7C"/>
    <w:pPr>
      <w:spacing w:before="280" w:after="120" w:line="280" w:lineRule="atLeast"/>
    </w:pPr>
  </w:style>
  <w:style w:type="paragraph" w:styleId="Heading1">
    <w:name w:val="heading 1"/>
    <w:basedOn w:val="Normal"/>
    <w:next w:val="Normal"/>
    <w:link w:val="Heading1Char"/>
    <w:uiPriority w:val="9"/>
    <w:qFormat/>
    <w:rsid w:val="00BB35B1"/>
    <w:pPr>
      <w:keepNext/>
      <w:keepLines/>
      <w:pageBreakBefore/>
      <w:numPr>
        <w:numId w:val="1"/>
      </w:numPr>
      <w:spacing w:before="360" w:after="360"/>
      <w:ind w:left="851" w:hanging="851"/>
      <w:outlineLvl w:val="0"/>
    </w:pPr>
    <w:rPr>
      <w:rFonts w:eastAsiaTheme="majorEastAsia" w:cstheme="majorBidi"/>
      <w:b/>
      <w:bCs/>
      <w:color w:val="0081C3"/>
      <w:sz w:val="48"/>
      <w:szCs w:val="28"/>
    </w:rPr>
  </w:style>
  <w:style w:type="paragraph" w:styleId="Heading2">
    <w:name w:val="heading 2"/>
    <w:basedOn w:val="Normal"/>
    <w:next w:val="Normal"/>
    <w:link w:val="Heading2Char"/>
    <w:uiPriority w:val="9"/>
    <w:unhideWhenUsed/>
    <w:qFormat/>
    <w:rsid w:val="00705A75"/>
    <w:pPr>
      <w:keepNext/>
      <w:keepLines/>
      <w:numPr>
        <w:ilvl w:val="1"/>
        <w:numId w:val="1"/>
      </w:numPr>
      <w:spacing w:before="360"/>
      <w:ind w:left="851" w:hanging="851"/>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05A75"/>
    <w:pPr>
      <w:keepNext/>
      <w:keepLines/>
      <w:numPr>
        <w:ilvl w:val="2"/>
        <w:numId w:val="1"/>
      </w:numPr>
      <w:spacing w:before="360"/>
      <w:ind w:left="851" w:hanging="851"/>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72C0F"/>
    <w:pPr>
      <w:keepNext/>
      <w:keepLines/>
      <w:numPr>
        <w:ilvl w:val="3"/>
        <w:numId w:val="1"/>
      </w:numPr>
      <w:spacing w:before="360"/>
      <w:ind w:left="851" w:hanging="851"/>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unhideWhenUsed/>
    <w:rsid w:val="00AC49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9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9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9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9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B1"/>
    <w:rPr>
      <w:rFonts w:eastAsiaTheme="majorEastAsia" w:cstheme="majorBidi"/>
      <w:b/>
      <w:bCs/>
      <w:color w:val="0081C3"/>
      <w:sz w:val="48"/>
      <w:szCs w:val="28"/>
    </w:rPr>
  </w:style>
  <w:style w:type="character" w:customStyle="1" w:styleId="Heading2Char">
    <w:name w:val="Heading 2 Char"/>
    <w:basedOn w:val="DefaultParagraphFont"/>
    <w:link w:val="Heading2"/>
    <w:uiPriority w:val="9"/>
    <w:rsid w:val="00705A75"/>
    <w:rPr>
      <w:rFonts w:eastAsiaTheme="majorEastAsia" w:cstheme="majorBidi"/>
      <w:b/>
      <w:bCs/>
      <w:sz w:val="28"/>
      <w:szCs w:val="26"/>
    </w:rPr>
  </w:style>
  <w:style w:type="character" w:customStyle="1" w:styleId="Heading3Char">
    <w:name w:val="Heading 3 Char"/>
    <w:basedOn w:val="DefaultParagraphFont"/>
    <w:link w:val="Heading3"/>
    <w:uiPriority w:val="9"/>
    <w:rsid w:val="00705A75"/>
    <w:rPr>
      <w:rFonts w:eastAsiaTheme="majorEastAsia" w:cstheme="majorBidi"/>
      <w:b/>
      <w:bCs/>
      <w:sz w:val="24"/>
    </w:rPr>
  </w:style>
  <w:style w:type="character" w:customStyle="1" w:styleId="Heading4Char">
    <w:name w:val="Heading 4 Char"/>
    <w:basedOn w:val="DefaultParagraphFont"/>
    <w:link w:val="Heading4"/>
    <w:uiPriority w:val="9"/>
    <w:rsid w:val="00772C0F"/>
    <w:rPr>
      <w:rFonts w:ascii="Arial Bold" w:eastAsiaTheme="majorEastAsia" w:hAnsi="Arial Bold" w:cstheme="majorBidi"/>
      <w:b/>
      <w:bCs/>
      <w:iCs/>
    </w:rPr>
  </w:style>
  <w:style w:type="character" w:customStyle="1" w:styleId="Heading5Char">
    <w:name w:val="Heading 5 Char"/>
    <w:basedOn w:val="DefaultParagraphFont"/>
    <w:link w:val="Heading5"/>
    <w:uiPriority w:val="9"/>
    <w:semiHidden/>
    <w:rsid w:val="00AC49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9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9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9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B3A14"/>
    <w:pPr>
      <w:ind w:left="720"/>
      <w:contextualSpacing/>
    </w:pPr>
  </w:style>
  <w:style w:type="paragraph" w:customStyle="1" w:styleId="Bullet1">
    <w:name w:val="Bullet 1"/>
    <w:basedOn w:val="ListParagraph"/>
    <w:link w:val="Bullet1Char"/>
    <w:qFormat/>
    <w:rsid w:val="0014644A"/>
    <w:pPr>
      <w:numPr>
        <w:numId w:val="2"/>
      </w:numPr>
      <w:spacing w:before="240"/>
      <w:ind w:left="850" w:hanging="425"/>
      <w:contextualSpacing w:val="0"/>
    </w:pPr>
  </w:style>
  <w:style w:type="paragraph" w:customStyle="1" w:styleId="Bullet2">
    <w:name w:val="Bullet 2"/>
    <w:basedOn w:val="ListParagraph"/>
    <w:link w:val="Bullet2Char"/>
    <w:qFormat/>
    <w:rsid w:val="00311611"/>
    <w:pPr>
      <w:numPr>
        <w:numId w:val="3"/>
      </w:numPr>
      <w:spacing w:before="120"/>
      <w:ind w:left="1276" w:hanging="425"/>
      <w:contextualSpacing w:val="0"/>
    </w:pPr>
  </w:style>
  <w:style w:type="character" w:customStyle="1" w:styleId="ListParagraphChar">
    <w:name w:val="List Paragraph Char"/>
    <w:basedOn w:val="DefaultParagraphFont"/>
    <w:link w:val="ListParagraph"/>
    <w:uiPriority w:val="34"/>
    <w:rsid w:val="0014644A"/>
  </w:style>
  <w:style w:type="character" w:customStyle="1" w:styleId="Bullet1Char">
    <w:name w:val="Bullet 1 Char"/>
    <w:basedOn w:val="ListParagraphChar"/>
    <w:link w:val="Bullet1"/>
    <w:rsid w:val="0014644A"/>
  </w:style>
  <w:style w:type="paragraph" w:customStyle="1" w:styleId="Caption-Table">
    <w:name w:val="Caption - Table"/>
    <w:basedOn w:val="Normal"/>
    <w:link w:val="Caption-TableChar"/>
    <w:qFormat/>
    <w:rsid w:val="0087297B"/>
    <w:pPr>
      <w:jc w:val="center"/>
    </w:pPr>
    <w:rPr>
      <w:b/>
      <w:sz w:val="20"/>
      <w:szCs w:val="20"/>
    </w:rPr>
  </w:style>
  <w:style w:type="character" w:customStyle="1" w:styleId="Bullet2Char">
    <w:name w:val="Bullet 2 Char"/>
    <w:basedOn w:val="ListParagraphChar"/>
    <w:link w:val="Bullet2"/>
    <w:rsid w:val="00311611"/>
  </w:style>
  <w:style w:type="paragraph" w:customStyle="1" w:styleId="Caption-Figure">
    <w:name w:val="Caption - Figure"/>
    <w:basedOn w:val="Caption-Table"/>
    <w:link w:val="Caption-FigureChar"/>
    <w:qFormat/>
    <w:rsid w:val="0087297B"/>
  </w:style>
  <w:style w:type="character" w:customStyle="1" w:styleId="Caption-TableChar">
    <w:name w:val="Caption - Table Char"/>
    <w:basedOn w:val="DefaultParagraphFont"/>
    <w:link w:val="Caption-Table"/>
    <w:rsid w:val="0087297B"/>
    <w:rPr>
      <w:b/>
      <w:sz w:val="20"/>
      <w:szCs w:val="20"/>
    </w:rPr>
  </w:style>
  <w:style w:type="table" w:styleId="TableGrid">
    <w:name w:val="Table Grid"/>
    <w:basedOn w:val="TableNormal"/>
    <w:uiPriority w:val="59"/>
    <w:rsid w:val="00293926"/>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character" w:customStyle="1" w:styleId="Caption-FigureChar">
    <w:name w:val="Caption - Figure Char"/>
    <w:basedOn w:val="Caption-TableChar"/>
    <w:link w:val="Caption-Figure"/>
    <w:rsid w:val="0087297B"/>
    <w:rPr>
      <w:b/>
      <w:sz w:val="20"/>
      <w:szCs w:val="20"/>
    </w:rPr>
  </w:style>
  <w:style w:type="table" w:styleId="MediumGrid1-Accent3">
    <w:name w:val="Medium Grid 1 Accent 3"/>
    <w:basedOn w:val="TableNormal"/>
    <w:uiPriority w:val="67"/>
    <w:rsid w:val="008729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1">
    <w:name w:val="Light List Accent 1"/>
    <w:basedOn w:val="TableNormal"/>
    <w:uiPriority w:val="61"/>
    <w:rsid w:val="002939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verviewBox">
    <w:name w:val="Overview Box"/>
    <w:basedOn w:val="TableNormal"/>
    <w:uiPriority w:val="99"/>
    <w:rsid w:val="00293926"/>
    <w:pPr>
      <w:spacing w:after="0" w:line="240" w:lineRule="auto"/>
    </w:pPr>
    <w:tblPr/>
  </w:style>
  <w:style w:type="table" w:customStyle="1" w:styleId="Overviewbox0">
    <w:name w:val="Overview box"/>
    <w:basedOn w:val="TableGrid"/>
    <w:uiPriority w:val="99"/>
    <w:rsid w:val="006455BF"/>
    <w:rPr>
      <w:color w:val="FFFFFF" w:themeColor="background1"/>
      <w:sz w:val="16"/>
    </w:rPr>
    <w:tblPr>
      <w:tblStyleColBandSize w:val="1"/>
      <w:tblBorders>
        <w:top w:val="single" w:sz="8" w:space="0" w:color="0081C3"/>
        <w:left w:val="single" w:sz="8" w:space="0" w:color="0081C3"/>
        <w:bottom w:val="single" w:sz="8" w:space="0" w:color="0081C3"/>
        <w:right w:val="single" w:sz="8" w:space="0" w:color="0081C3"/>
        <w:insideH w:val="single" w:sz="8" w:space="0" w:color="0081C3"/>
        <w:insideV w:val="single" w:sz="8" w:space="0" w:color="0081C3"/>
      </w:tblBorders>
    </w:tblPr>
    <w:tcPr>
      <w:shd w:val="clear" w:color="auto" w:fill="808080" w:themeFill="background1" w:themeFillShade="80"/>
    </w:tcPr>
    <w:tblStylePr w:type="firstRow">
      <w:pPr>
        <w:wordWrap/>
        <w:spacing w:beforeLines="0" w:before="0" w:beforeAutospacing="0" w:afterLines="0" w:after="0" w:afterAutospacing="0"/>
        <w:jc w:val="left"/>
      </w:pPr>
      <w:rPr>
        <w:rFonts w:ascii="Arial Bold" w:hAnsi="Arial Bold"/>
        <w:b/>
        <w:i w:val="0"/>
        <w:sz w:val="16"/>
      </w:rPr>
      <w:tblPr/>
      <w:tcPr>
        <w:shd w:val="clear" w:color="auto" w:fill="808080" w:themeFill="background1" w:themeFillShade="80"/>
        <w:vAlign w:val="center"/>
      </w:tcPr>
    </w:tblStylePr>
    <w:tblStylePr w:type="firstCol">
      <w:pPr>
        <w:wordWrap/>
        <w:jc w:val="left"/>
      </w:pPr>
      <w:tblPr/>
      <w:tcPr>
        <w:shd w:val="clear" w:color="auto" w:fill="808080" w:themeFill="background1" w:themeFillShade="80"/>
      </w:tcPr>
    </w:tblStylePr>
    <w:tblStylePr w:type="band1Vert">
      <w:tblPr/>
      <w:tcPr>
        <w:shd w:val="clear" w:color="auto" w:fill="808080" w:themeFill="background1" w:themeFillShade="80"/>
      </w:tcPr>
    </w:tblStylePr>
    <w:tblStylePr w:type="band2Vert">
      <w:tblPr/>
      <w:tcPr>
        <w:shd w:val="clear" w:color="auto" w:fill="808080" w:themeFill="background1" w:themeFillShade="80"/>
      </w:tcPr>
    </w:tblStylePr>
    <w:tblStylePr w:type="band1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tblStylePr w:type="band2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style>
  <w:style w:type="table" w:customStyle="1" w:styleId="Style1">
    <w:name w:val="Style1"/>
    <w:basedOn w:val="LightList-Accent1"/>
    <w:uiPriority w:val="99"/>
    <w:rsid w:val="002C7F64"/>
    <w:tblPr/>
    <w:tcPr>
      <w:shd w:val="clear" w:color="auto" w:fill="0081C3"/>
    </w:tcPr>
    <w:tblStylePr w:type="firstRow">
      <w:pPr>
        <w:spacing w:before="0" w:after="0" w:line="240" w:lineRule="auto"/>
      </w:pPr>
      <w:rPr>
        <w:b/>
        <w:bCs/>
        <w:color w:val="FFFFFF" w:themeColor="background1"/>
      </w:rPr>
      <w:tblPr/>
      <w:tcPr>
        <w:shd w:val="clear" w:color="auto" w:fill="0081C3"/>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1">
    <w:name w:val="Caption1"/>
    <w:basedOn w:val="Normal"/>
    <w:link w:val="Caption1Char"/>
    <w:rsid w:val="00F27BFC"/>
    <w:pPr>
      <w:jc w:val="center"/>
    </w:pPr>
    <w:rPr>
      <w:rFonts w:cstheme="minorBidi"/>
      <w:b/>
      <w:sz w:val="20"/>
      <w:szCs w:val="20"/>
    </w:rPr>
  </w:style>
  <w:style w:type="character" w:customStyle="1" w:styleId="Caption1Char">
    <w:name w:val="Caption1 Char"/>
    <w:basedOn w:val="DefaultParagraphFont"/>
    <w:link w:val="Caption1"/>
    <w:rsid w:val="00F27BFC"/>
    <w:rPr>
      <w:rFonts w:cstheme="minorBidi"/>
      <w:b/>
      <w:sz w:val="20"/>
      <w:szCs w:val="20"/>
    </w:rPr>
  </w:style>
  <w:style w:type="paragraph" w:styleId="Header">
    <w:name w:val="header"/>
    <w:basedOn w:val="Normal"/>
    <w:link w:val="HeaderChar"/>
    <w:unhideWhenUsed/>
    <w:rsid w:val="00545C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5CDF"/>
  </w:style>
  <w:style w:type="paragraph" w:styleId="Footer">
    <w:name w:val="footer"/>
    <w:basedOn w:val="Normal"/>
    <w:link w:val="FooterChar"/>
    <w:uiPriority w:val="99"/>
    <w:unhideWhenUsed/>
    <w:rsid w:val="00545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5CDF"/>
  </w:style>
  <w:style w:type="character" w:styleId="PageNumber">
    <w:name w:val="page number"/>
    <w:basedOn w:val="DefaultParagraphFont"/>
    <w:rsid w:val="00641368"/>
  </w:style>
  <w:style w:type="paragraph" w:customStyle="1" w:styleId="Numbered1">
    <w:name w:val="Numbered 1"/>
    <w:basedOn w:val="ListParagraph"/>
    <w:link w:val="Numbered1Char"/>
    <w:qFormat/>
    <w:rsid w:val="00311611"/>
    <w:pPr>
      <w:numPr>
        <w:numId w:val="6"/>
      </w:numPr>
      <w:spacing w:before="240"/>
      <w:ind w:left="850" w:hanging="425"/>
      <w:contextualSpacing w:val="0"/>
    </w:pPr>
  </w:style>
  <w:style w:type="character" w:customStyle="1" w:styleId="Numbered1Char">
    <w:name w:val="Numbered 1 Char"/>
    <w:basedOn w:val="ListParagraphChar"/>
    <w:link w:val="Numbered1"/>
    <w:rsid w:val="00311611"/>
  </w:style>
  <w:style w:type="paragraph" w:customStyle="1" w:styleId="Numbered2">
    <w:name w:val="Numbered 2"/>
    <w:basedOn w:val="Numbered1"/>
    <w:link w:val="Numbered2Char"/>
    <w:qFormat/>
    <w:rsid w:val="00311611"/>
    <w:pPr>
      <w:numPr>
        <w:ilvl w:val="1"/>
      </w:numPr>
      <w:spacing w:before="120"/>
      <w:ind w:left="1276" w:hanging="425"/>
    </w:pPr>
  </w:style>
  <w:style w:type="paragraph" w:customStyle="1" w:styleId="Numbered3">
    <w:name w:val="Numbered 3"/>
    <w:basedOn w:val="Numbered1"/>
    <w:link w:val="Numbered3Char"/>
    <w:rsid w:val="00051052"/>
    <w:pPr>
      <w:numPr>
        <w:ilvl w:val="2"/>
      </w:numPr>
      <w:spacing w:before="120"/>
      <w:ind w:left="2285" w:hanging="357"/>
    </w:pPr>
  </w:style>
  <w:style w:type="character" w:customStyle="1" w:styleId="Numbered2Char">
    <w:name w:val="Numbered 2 Char"/>
    <w:basedOn w:val="Numbered1Char"/>
    <w:link w:val="Numbered2"/>
    <w:rsid w:val="00311611"/>
  </w:style>
  <w:style w:type="paragraph" w:customStyle="1" w:styleId="Numbered30">
    <w:name w:val="Numbered (3)"/>
    <w:basedOn w:val="Numbered3"/>
    <w:link w:val="Numbered3Char0"/>
    <w:qFormat/>
    <w:rsid w:val="00311611"/>
    <w:pPr>
      <w:ind w:left="1775"/>
    </w:pPr>
  </w:style>
  <w:style w:type="character" w:customStyle="1" w:styleId="Numbered3Char">
    <w:name w:val="Numbered 3 Char"/>
    <w:basedOn w:val="Numbered1Char"/>
    <w:link w:val="Numbered3"/>
    <w:rsid w:val="00051052"/>
  </w:style>
  <w:style w:type="character" w:customStyle="1" w:styleId="Numbered3Char0">
    <w:name w:val="Numbered (3) Char"/>
    <w:basedOn w:val="Numbered3Char"/>
    <w:link w:val="Numbered30"/>
    <w:rsid w:val="00311611"/>
  </w:style>
  <w:style w:type="paragraph" w:customStyle="1" w:styleId="Default">
    <w:name w:val="Default"/>
    <w:rsid w:val="003B7959"/>
    <w:pPr>
      <w:autoSpaceDE w:val="0"/>
      <w:autoSpaceDN w:val="0"/>
      <w:adjustRightInd w:val="0"/>
      <w:spacing w:after="0" w:line="240" w:lineRule="auto"/>
    </w:pPr>
    <w:rPr>
      <w:color w:val="000000"/>
      <w:sz w:val="24"/>
      <w:szCs w:val="24"/>
    </w:rPr>
  </w:style>
  <w:style w:type="paragraph" w:styleId="FootnoteText">
    <w:name w:val="footnote text"/>
    <w:basedOn w:val="Normal"/>
    <w:link w:val="FootnoteTextChar"/>
    <w:uiPriority w:val="99"/>
    <w:semiHidden/>
    <w:unhideWhenUsed/>
    <w:rsid w:val="00A0794D"/>
    <w:pPr>
      <w:spacing w:before="0"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0794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A0794D"/>
    <w:rPr>
      <w:vertAlign w:val="superscript"/>
    </w:rPr>
  </w:style>
  <w:style w:type="paragraph" w:customStyle="1" w:styleId="Cover3">
    <w:name w:val="Cover 3"/>
    <w:basedOn w:val="Normal"/>
    <w:link w:val="Cover3Char"/>
    <w:qFormat/>
    <w:rsid w:val="0066022B"/>
    <w:pPr>
      <w:spacing w:line="240" w:lineRule="exact"/>
      <w:jc w:val="right"/>
    </w:pPr>
    <w:rPr>
      <w:b/>
      <w:color w:val="0081C3"/>
      <w:sz w:val="44"/>
      <w:szCs w:val="44"/>
    </w:rPr>
  </w:style>
  <w:style w:type="character" w:customStyle="1" w:styleId="Cover3Char">
    <w:name w:val="Cover 3 Char"/>
    <w:basedOn w:val="DefaultParagraphFont"/>
    <w:link w:val="Cover3"/>
    <w:rsid w:val="0066022B"/>
    <w:rPr>
      <w:b/>
      <w:color w:val="0081C3"/>
      <w:sz w:val="44"/>
      <w:szCs w:val="44"/>
    </w:rPr>
  </w:style>
  <w:style w:type="paragraph" w:customStyle="1" w:styleId="Partheading">
    <w:name w:val="Part heading"/>
    <w:basedOn w:val="Normal"/>
    <w:link w:val="PartheadingChar"/>
    <w:qFormat/>
    <w:rsid w:val="0066022B"/>
    <w:pPr>
      <w:spacing w:before="120" w:line="240" w:lineRule="atLeast"/>
      <w:jc w:val="right"/>
    </w:pPr>
    <w:rPr>
      <w:rFonts w:ascii="Arial Black" w:hAnsi="Arial Black"/>
      <w:b/>
      <w:color w:val="FFFFFF"/>
      <w:sz w:val="96"/>
      <w:szCs w:val="120"/>
    </w:rPr>
  </w:style>
  <w:style w:type="paragraph" w:customStyle="1" w:styleId="Partchapterlist">
    <w:name w:val="Part chapter list"/>
    <w:basedOn w:val="ListParagraph"/>
    <w:link w:val="PartchapterlistChar"/>
    <w:qFormat/>
    <w:rsid w:val="0066022B"/>
    <w:pPr>
      <w:numPr>
        <w:ilvl w:val="3"/>
        <w:numId w:val="12"/>
      </w:numPr>
      <w:spacing w:before="120"/>
      <w:ind w:left="567" w:hanging="425"/>
      <w:contextualSpacing w:val="0"/>
    </w:pPr>
    <w:rPr>
      <w:b/>
      <w:color w:val="FFFFFF" w:themeColor="background1"/>
      <w:sz w:val="24"/>
    </w:rPr>
  </w:style>
  <w:style w:type="character" w:customStyle="1" w:styleId="PartheadingChar">
    <w:name w:val="Part heading Char"/>
    <w:basedOn w:val="DefaultParagraphFont"/>
    <w:link w:val="Partheading"/>
    <w:rsid w:val="0066022B"/>
    <w:rPr>
      <w:rFonts w:ascii="Arial Black" w:hAnsi="Arial Black"/>
      <w:b/>
      <w:color w:val="FFFFFF"/>
      <w:sz w:val="96"/>
      <w:szCs w:val="120"/>
    </w:rPr>
  </w:style>
  <w:style w:type="character" w:customStyle="1" w:styleId="PartchapterlistChar">
    <w:name w:val="Part chapter list Char"/>
    <w:basedOn w:val="ListParagraphChar"/>
    <w:link w:val="Partchapterlist"/>
    <w:rsid w:val="0066022B"/>
    <w:rPr>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32845">
      <w:bodyDiv w:val="1"/>
      <w:marLeft w:val="0"/>
      <w:marRight w:val="0"/>
      <w:marTop w:val="0"/>
      <w:marBottom w:val="0"/>
      <w:divBdr>
        <w:top w:val="none" w:sz="0" w:space="0" w:color="auto"/>
        <w:left w:val="none" w:sz="0" w:space="0" w:color="auto"/>
        <w:bottom w:val="none" w:sz="0" w:space="0" w:color="auto"/>
        <w:right w:val="none" w:sz="0" w:space="0" w:color="auto"/>
      </w:divBdr>
    </w:div>
    <w:div w:id="823744125">
      <w:bodyDiv w:val="1"/>
      <w:marLeft w:val="0"/>
      <w:marRight w:val="0"/>
      <w:marTop w:val="0"/>
      <w:marBottom w:val="0"/>
      <w:divBdr>
        <w:top w:val="none" w:sz="0" w:space="0" w:color="auto"/>
        <w:left w:val="none" w:sz="0" w:space="0" w:color="auto"/>
        <w:bottom w:val="none" w:sz="0" w:space="0" w:color="auto"/>
        <w:right w:val="none" w:sz="0" w:space="0" w:color="auto"/>
      </w:divBdr>
    </w:div>
    <w:div w:id="15412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2113A6987CD4AB9C47D620CE843F0" ma:contentTypeVersion="0" ma:contentTypeDescription="Create a new document." ma:contentTypeScope="" ma:versionID="f0a3a6ac234347df46736b6cf58fe5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4E88-BBD9-4C50-A23A-F866A26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CCF28A-68F3-4D8C-9F60-2C27265EFE53}">
  <ds:schemaRefs>
    <ds:schemaRef ds:uri="http://schemas.microsoft.com/sharepoint/v3/contenttype/forms"/>
  </ds:schemaRefs>
</ds:datastoreItem>
</file>

<file path=customXml/itemProps3.xml><?xml version="1.0" encoding="utf-8"?>
<ds:datastoreItem xmlns:ds="http://schemas.openxmlformats.org/officeDocument/2006/customXml" ds:itemID="{9F39154F-767F-4FDF-8282-78D34C3E02AA}">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88A563E-786C-4CF1-9454-FA9154B7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17</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SPARQ Solutions</Company>
  <LinksUpToDate>false</LinksUpToDate>
  <CharactersWithSpaces>17955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Guest</dc:creator>
  <cp:lastModifiedBy>Rachel Guest</cp:lastModifiedBy>
  <cp:revision>20</cp:revision>
  <dcterms:created xsi:type="dcterms:W3CDTF">2014-10-08T21:29:00Z</dcterms:created>
  <dcterms:modified xsi:type="dcterms:W3CDTF">2014-10-30T06:25:00Z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0x010100D122113A6987CD4AB9C47D620CE843F0</vt:lpwstr>
  </property>
</Properties>
</file>