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2078BB8" w14:textId="20722271" w:rsidR="00DF3DD8" w:rsidRDefault="005C78F2" w:rsidP="006C23DB">
      <w:pPr>
        <w:sectPr w:rsidR="00DF3DD8" w:rsidSect="00EB7DF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702" w:left="1440" w:header="708" w:footer="708" w:gutter="0"/>
          <w:cols w:space="708"/>
          <w:docGrid w:linePitch="360"/>
        </w:sectPr>
      </w:pPr>
      <w:r>
        <w:rPr>
          <w:noProof/>
          <w:lang w:eastAsia="en-AU"/>
        </w:rPr>
        <mc:AlternateContent>
          <mc:Choice Requires="wps">
            <w:drawing>
              <wp:anchor distT="0" distB="0" distL="114300" distR="114300" simplePos="0" relativeHeight="251658241" behindDoc="0" locked="0" layoutInCell="1" allowOverlap="1" wp14:anchorId="62078F15" wp14:editId="62078F16">
                <wp:simplePos x="0" y="0"/>
                <wp:positionH relativeFrom="column">
                  <wp:posOffset>-339090</wp:posOffset>
                </wp:positionH>
                <wp:positionV relativeFrom="paragraph">
                  <wp:posOffset>3133725</wp:posOffset>
                </wp:positionV>
                <wp:extent cx="6467475" cy="3251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325120"/>
                        </a:xfrm>
                        <a:prstGeom prst="rect">
                          <a:avLst/>
                        </a:prstGeom>
                        <a:noFill/>
                        <a:ln w="9525">
                          <a:noFill/>
                          <a:miter lim="800000"/>
                          <a:headEnd/>
                          <a:tailEnd/>
                        </a:ln>
                      </wps:spPr>
                      <wps:txbx>
                        <w:txbxContent>
                          <w:p w14:paraId="64781EAA" w14:textId="77777777" w:rsidR="004C29FD" w:rsidRDefault="004C29FD" w:rsidP="00445B2D">
                            <w:pPr>
                              <w:jc w:val="right"/>
                              <w:rPr>
                                <w:b/>
                                <w:color w:val="FFFFFF"/>
                                <w:sz w:val="52"/>
                                <w:szCs w:val="32"/>
                              </w:rPr>
                            </w:pPr>
                            <w:r>
                              <w:rPr>
                                <w:b/>
                                <w:color w:val="FFFFFF"/>
                                <w:sz w:val="52"/>
                                <w:szCs w:val="32"/>
                              </w:rPr>
                              <w:t>Repex model supporting</w:t>
                            </w:r>
                          </w:p>
                          <w:p w14:paraId="62078F49" w14:textId="6F3D5DC9" w:rsidR="004C29FD" w:rsidRPr="006C23DB" w:rsidRDefault="004C29FD" w:rsidP="00445B2D">
                            <w:pPr>
                              <w:jc w:val="right"/>
                              <w:rPr>
                                <w:b/>
                                <w:color w:val="FFFFFF"/>
                                <w:sz w:val="52"/>
                                <w:szCs w:val="32"/>
                              </w:rPr>
                            </w:pPr>
                            <w:r>
                              <w:rPr>
                                <w:b/>
                                <w:color w:val="FFFFFF"/>
                                <w:sz w:val="52"/>
                                <w:szCs w:val="32"/>
                              </w:rPr>
                              <w:t>information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6.7pt;margin-top:246.75pt;width:509.25pt;height:25.6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" filled="f" stroked="f">
                <v:textbox style="mso-fit-shape-to-text:t">
                  <w:txbxContent>
                    <w:p w14:paraId="64781EAA" w14:textId="77777777" w:rsidR="004C29FD" w:rsidRDefault="004C29FD" w:rsidP="00445B2D">
                      <w:pPr>
                        <w:jc w:val="right"/>
                        <w:rPr>
                          <w:b/>
                          <w:color w:val="FFFFFF"/>
                          <w:sz w:val="52"/>
                          <w:szCs w:val="32"/>
                        </w:rPr>
                      </w:pPr>
                      <w:r>
                        <w:rPr>
                          <w:b/>
                          <w:color w:val="FFFFFF"/>
                          <w:sz w:val="52"/>
                          <w:szCs w:val="32"/>
                        </w:rPr>
                        <w:t>Repex model supporting</w:t>
                      </w:r>
                    </w:p>
                    <w:p w14:paraId="62078F49" w14:textId="6F3D5DC9" w:rsidR="004C29FD" w:rsidRPr="006C23DB" w:rsidRDefault="004C29FD" w:rsidP="00445B2D">
                      <w:pPr>
                        <w:jc w:val="right"/>
                        <w:rPr>
                          <w:b/>
                          <w:color w:val="FFFFFF"/>
                          <w:sz w:val="52"/>
                          <w:szCs w:val="32"/>
                        </w:rPr>
                      </w:pPr>
                      <w:proofErr w:type="gramStart"/>
                      <w:r>
                        <w:rPr>
                          <w:b/>
                          <w:color w:val="FFFFFF"/>
                          <w:sz w:val="52"/>
                          <w:szCs w:val="32"/>
                        </w:rPr>
                        <w:t>information</w:t>
                      </w:r>
                      <w:proofErr w:type="gramEnd"/>
                    </w:p>
                  </w:txbxContent>
                </v:textbox>
              </v:shape>
            </w:pict>
          </mc:Fallback>
        </mc:AlternateContent>
      </w:r>
      <w:r w:rsidR="00E765DD">
        <w:rPr>
          <w:noProof/>
          <w:lang w:eastAsia="en-AU"/>
        </w:rPr>
        <mc:AlternateContent>
          <mc:Choice Requires="wps">
            <w:drawing>
              <wp:anchor distT="0" distB="0" distL="114300" distR="114300" simplePos="0" relativeHeight="251658243" behindDoc="0" locked="0" layoutInCell="1" allowOverlap="1" wp14:anchorId="62078F17" wp14:editId="62078F18">
                <wp:simplePos x="0" y="0"/>
                <wp:positionH relativeFrom="column">
                  <wp:posOffset>208915</wp:posOffset>
                </wp:positionH>
                <wp:positionV relativeFrom="paragraph">
                  <wp:posOffset>4399915</wp:posOffset>
                </wp:positionV>
                <wp:extent cx="5900400" cy="504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00" cy="504000"/>
                        </a:xfrm>
                        <a:prstGeom prst="rect">
                          <a:avLst/>
                        </a:prstGeom>
                        <a:noFill/>
                        <a:ln w="9525">
                          <a:noFill/>
                          <a:miter lim="800000"/>
                          <a:headEnd/>
                          <a:tailEnd/>
                        </a:ln>
                      </wps:spPr>
                      <wps:txbx>
                        <w:txbxContent>
                          <w:p w14:paraId="62078F4A" w14:textId="7069A5C3" w:rsidR="004C29FD" w:rsidRPr="00731D5E" w:rsidRDefault="004C29FD" w:rsidP="00E765DD">
                            <w:pPr>
                              <w:pStyle w:val="Cover3"/>
                            </w:pPr>
                            <w:r>
                              <w:t>Asset Management Division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6.45pt;margin-top:346.45pt;width:464.6pt;height:39.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" filled="f" stroked="f">
                <v:textbox>
                  <w:txbxContent>
                    <w:p w14:paraId="62078F4A" w14:textId="7069A5C3" w:rsidR="004C29FD" w:rsidRPr="00731D5E" w:rsidRDefault="004C29FD" w:rsidP="00E765DD">
                      <w:pPr>
                        <w:pStyle w:val="Cover3"/>
                      </w:pPr>
                      <w:r>
                        <w:t>Asset Management Division</w:t>
                      </w:r>
                    </w:p>
                  </w:txbxContent>
                </v:textbox>
              </v:shape>
            </w:pict>
          </mc:Fallback>
        </mc:AlternateContent>
      </w:r>
      <w:r w:rsidR="00E765DD">
        <w:rPr>
          <w:noProof/>
          <w:lang w:eastAsia="en-AU"/>
        </w:rPr>
        <mc:AlternateContent>
          <mc:Choice Requires="wps">
            <w:drawing>
              <wp:anchor distT="0" distB="0" distL="114300" distR="114300" simplePos="0" relativeHeight="251658242" behindDoc="0" locked="0" layoutInCell="1" allowOverlap="1" wp14:anchorId="62078F19" wp14:editId="62078F1A">
                <wp:simplePos x="0" y="0"/>
                <wp:positionH relativeFrom="column">
                  <wp:posOffset>2293620</wp:posOffset>
                </wp:positionH>
                <wp:positionV relativeFrom="paragraph">
                  <wp:posOffset>2430145</wp:posOffset>
                </wp:positionV>
                <wp:extent cx="3816000" cy="838800"/>
                <wp:effectExtent l="0" t="0" r="0" b="0"/>
                <wp:wrapNone/>
                <wp:docPr id="5"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816000" cy="838800"/>
                        </a:xfrm>
                        <a:prstGeom prst="rect">
                          <a:avLst/>
                        </a:prstGeom>
                        <a:noFill/>
                        <a:ln w="9525">
                          <a:noFill/>
                          <a:miter lim="800000"/>
                          <a:headEnd/>
                          <a:tailEnd/>
                        </a:ln>
                      </wps:spPr>
                      <wps:txbx>
                        <w:txbxContent>
                          <w:p w14:paraId="62078F4B" w14:textId="77777777" w:rsidR="004C29FD" w:rsidRPr="007A6E72" w:rsidRDefault="004C29FD" w:rsidP="00E765DD">
                            <w:pPr>
                              <w:pStyle w:val="Cover1"/>
                            </w:pPr>
                            <w:r w:rsidRPr="007A6E72">
                              <w:t>Energex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180.6pt;margin-top:191.35pt;width:300.45pt;height:66.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" filled="f" stroked="f">
                <o:lock v:ext="edit" aspectratio="t"/>
                <v:textbox>
                  <w:txbxContent>
                    <w:p w14:paraId="62078F4B" w14:textId="77777777" w:rsidR="004C29FD" w:rsidRPr="007A6E72" w:rsidRDefault="004C29FD" w:rsidP="00E765DD">
                      <w:pPr>
                        <w:pStyle w:val="Cover1"/>
                      </w:pPr>
                      <w:r w:rsidRPr="007A6E72">
                        <w:t>Energex</w:t>
                      </w:r>
                    </w:p>
                  </w:txbxContent>
                </v:textbox>
              </v:shape>
            </w:pict>
          </mc:Fallback>
        </mc:AlternateContent>
      </w:r>
      <w:r w:rsidR="006C23DB">
        <w:rPr>
          <w:noProof/>
          <w:lang w:eastAsia="en-AU"/>
        </w:rPr>
        <w:drawing>
          <wp:anchor distT="0" distB="0" distL="114300" distR="114300" simplePos="0" relativeHeight="251658240" behindDoc="1" locked="0" layoutInCell="1" allowOverlap="1" wp14:anchorId="62078F1B" wp14:editId="62078F1C">
            <wp:simplePos x="0" y="0"/>
            <wp:positionH relativeFrom="page">
              <wp:posOffset>0</wp:posOffset>
            </wp:positionH>
            <wp:positionV relativeFrom="page">
              <wp:posOffset>0</wp:posOffset>
            </wp:positionV>
            <wp:extent cx="7613650" cy="1077087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13650" cy="10770870"/>
                    </a:xfrm>
                    <a:prstGeom prst="rect">
                      <a:avLst/>
                    </a:prstGeom>
                    <a:noFill/>
                  </pic:spPr>
                </pic:pic>
              </a:graphicData>
            </a:graphic>
            <wp14:sizeRelH relativeFrom="margin">
              <wp14:pctWidth>0</wp14:pctWidth>
            </wp14:sizeRelH>
            <wp14:sizeRelV relativeFrom="margin">
              <wp14:pctHeight>0</wp14:pctHeight>
            </wp14:sizeRelV>
          </wp:anchor>
        </w:drawing>
      </w:r>
    </w:p>
    <w:p w14:paraId="62078BB9" w14:textId="77777777" w:rsidR="00D9178F" w:rsidRPr="00D9178F" w:rsidRDefault="00D9178F" w:rsidP="00D9178F">
      <w:pPr>
        <w:keepNext/>
        <w:spacing w:line="300" w:lineRule="auto"/>
        <w:rPr>
          <w:rFonts w:eastAsia="Times New Roman"/>
          <w:b/>
          <w:bCs/>
          <w:color w:val="000000"/>
          <w:sz w:val="20"/>
          <w:szCs w:val="20"/>
          <w:lang w:eastAsia="en-AU"/>
        </w:rPr>
      </w:pPr>
      <w:r w:rsidRPr="00D9178F">
        <w:rPr>
          <w:rFonts w:eastAsia="Times New Roman"/>
          <w:b/>
          <w:bCs/>
          <w:color w:val="000000"/>
          <w:sz w:val="20"/>
          <w:szCs w:val="20"/>
          <w:lang w:eastAsia="en-AU"/>
        </w:rPr>
        <w:lastRenderedPageBreak/>
        <w:t xml:space="preserve">Version </w:t>
      </w:r>
      <w:r>
        <w:rPr>
          <w:rFonts w:eastAsia="Times New Roman"/>
          <w:b/>
          <w:bCs/>
          <w:color w:val="000000"/>
          <w:sz w:val="20"/>
          <w:szCs w:val="20"/>
          <w:lang w:eastAsia="en-AU"/>
        </w:rPr>
        <w:t>c</w:t>
      </w:r>
      <w:r w:rsidRPr="00D9178F">
        <w:rPr>
          <w:rFonts w:eastAsia="Times New Roman"/>
          <w:b/>
          <w:bCs/>
          <w:color w:val="000000"/>
          <w:sz w:val="20"/>
          <w:szCs w:val="20"/>
          <w:lang w:eastAsia="en-AU"/>
        </w:rPr>
        <w:t>ontrol</w:t>
      </w:r>
    </w:p>
    <w:tbl>
      <w:tblPr>
        <w:tblStyle w:val="TableGrid"/>
        <w:tblW w:w="5000" w:type="pct"/>
        <w:jc w:val="center"/>
        <w:tblLook w:val="04A0" w:firstRow="1" w:lastRow="0" w:firstColumn="1" w:lastColumn="0" w:noHBand="0" w:noVBand="1"/>
      </w:tblPr>
      <w:tblGrid>
        <w:gridCol w:w="1116"/>
        <w:gridCol w:w="1866"/>
        <w:gridCol w:w="6304"/>
      </w:tblGrid>
      <w:tr w:rsidR="00D9178F" w14:paraId="62078BBD" w14:textId="77777777" w:rsidTr="00536E63">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1116" w:type="dxa"/>
          </w:tcPr>
          <w:p w14:paraId="62078BBA" w14:textId="77777777" w:rsidR="00D9178F" w:rsidRDefault="00D9178F" w:rsidP="00606251">
            <w:pPr>
              <w:pStyle w:val="Caption-Figure"/>
              <w:spacing w:before="120"/>
              <w:jc w:val="left"/>
            </w:pPr>
            <w:r>
              <w:t>Version</w:t>
            </w:r>
          </w:p>
        </w:tc>
        <w:tc>
          <w:tcPr>
            <w:tcW w:w="1866" w:type="dxa"/>
          </w:tcPr>
          <w:p w14:paraId="62078BBB" w14:textId="77777777" w:rsidR="00D9178F" w:rsidRDefault="00D9178F" w:rsidP="00D9178F">
            <w:pPr>
              <w:pStyle w:val="Caption-Figure"/>
              <w:spacing w:before="120"/>
              <w:jc w:val="left"/>
              <w:cnfStyle w:val="100000000000" w:firstRow="1" w:lastRow="0" w:firstColumn="0" w:lastColumn="0" w:oddVBand="0" w:evenVBand="0" w:oddHBand="0" w:evenHBand="0" w:firstRowFirstColumn="0" w:firstRowLastColumn="0" w:lastRowFirstColumn="0" w:lastRowLastColumn="0"/>
            </w:pPr>
            <w:r>
              <w:t>Date</w:t>
            </w:r>
          </w:p>
        </w:tc>
        <w:tc>
          <w:tcPr>
            <w:tcW w:w="6304" w:type="dxa"/>
          </w:tcPr>
          <w:p w14:paraId="62078BBC" w14:textId="77777777" w:rsidR="00D9178F" w:rsidRDefault="00D9178F" w:rsidP="00D9178F">
            <w:pPr>
              <w:pStyle w:val="Caption-Figure"/>
              <w:spacing w:before="120"/>
              <w:jc w:val="left"/>
              <w:cnfStyle w:val="100000000000" w:firstRow="1" w:lastRow="0" w:firstColumn="0" w:lastColumn="0" w:oddVBand="0" w:evenVBand="0" w:oddHBand="0" w:evenHBand="0" w:firstRowFirstColumn="0" w:firstRowLastColumn="0" w:lastRowFirstColumn="0" w:lastRowLastColumn="0"/>
            </w:pPr>
            <w:r>
              <w:t>Description</w:t>
            </w:r>
          </w:p>
        </w:tc>
      </w:tr>
      <w:tr w:rsidR="00D9178F" w14:paraId="62078BC1" w14:textId="77777777" w:rsidTr="00536E63">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116" w:type="dxa"/>
          </w:tcPr>
          <w:p w14:paraId="62078BBE" w14:textId="4485870C" w:rsidR="00D9178F" w:rsidRPr="00C54F3F" w:rsidRDefault="00E947AF" w:rsidP="00606251">
            <w:pPr>
              <w:pStyle w:val="Caption-Figure"/>
              <w:spacing w:before="120"/>
              <w:jc w:val="left"/>
              <w:rPr>
                <w:b w:val="0"/>
              </w:rPr>
            </w:pPr>
            <w:r>
              <w:rPr>
                <w:b w:val="0"/>
              </w:rPr>
              <w:t>1.0</w:t>
            </w:r>
          </w:p>
        </w:tc>
        <w:tc>
          <w:tcPr>
            <w:tcW w:w="1866" w:type="dxa"/>
          </w:tcPr>
          <w:p w14:paraId="62078BBF" w14:textId="128095BE" w:rsidR="00D9178F" w:rsidRPr="00C54F3F" w:rsidRDefault="00EA1FDC" w:rsidP="00472C34">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2</w:t>
            </w:r>
            <w:r w:rsidR="006E1FDC">
              <w:rPr>
                <w:b w:val="0"/>
              </w:rPr>
              <w:t>9</w:t>
            </w:r>
            <w:r w:rsidR="00536E63">
              <w:rPr>
                <w:b w:val="0"/>
              </w:rPr>
              <w:t>/</w:t>
            </w:r>
            <w:r w:rsidR="00E43C74">
              <w:rPr>
                <w:b w:val="0"/>
              </w:rPr>
              <w:t>0</w:t>
            </w:r>
            <w:r w:rsidR="00536E63">
              <w:rPr>
                <w:b w:val="0"/>
              </w:rPr>
              <w:t>8</w:t>
            </w:r>
            <w:r>
              <w:rPr>
                <w:b w:val="0"/>
              </w:rPr>
              <w:t>/</w:t>
            </w:r>
            <w:r w:rsidR="00E43C74">
              <w:rPr>
                <w:b w:val="0"/>
              </w:rPr>
              <w:t>20</w:t>
            </w:r>
            <w:r>
              <w:rPr>
                <w:b w:val="0"/>
              </w:rPr>
              <w:t>14</w:t>
            </w:r>
          </w:p>
        </w:tc>
        <w:tc>
          <w:tcPr>
            <w:tcW w:w="6304" w:type="dxa"/>
          </w:tcPr>
          <w:p w14:paraId="62078BC0" w14:textId="5F3E702B" w:rsidR="00D9178F" w:rsidRPr="00C54F3F" w:rsidRDefault="00536E63" w:rsidP="00D9178F">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Final draft for legal review</w:t>
            </w:r>
          </w:p>
        </w:tc>
      </w:tr>
      <w:tr w:rsidR="00536E63" w14:paraId="78A95B67" w14:textId="77777777" w:rsidTr="00536E63">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116" w:type="dxa"/>
          </w:tcPr>
          <w:p w14:paraId="20434748" w14:textId="37C3A0EA" w:rsidR="00536E63" w:rsidRDefault="00E43C74" w:rsidP="00606251">
            <w:pPr>
              <w:pStyle w:val="Caption-Figure"/>
              <w:spacing w:before="120"/>
              <w:jc w:val="left"/>
              <w:rPr>
                <w:b w:val="0"/>
              </w:rPr>
            </w:pPr>
            <w:r>
              <w:rPr>
                <w:b w:val="0"/>
              </w:rPr>
              <w:t>2.0</w:t>
            </w:r>
          </w:p>
        </w:tc>
        <w:tc>
          <w:tcPr>
            <w:tcW w:w="1866" w:type="dxa"/>
          </w:tcPr>
          <w:p w14:paraId="501256CB" w14:textId="2C4FB0E2" w:rsidR="00536E63" w:rsidRDefault="00E43C74" w:rsidP="00472C34">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26/09/2014</w:t>
            </w:r>
          </w:p>
        </w:tc>
        <w:tc>
          <w:tcPr>
            <w:tcW w:w="6304" w:type="dxa"/>
          </w:tcPr>
          <w:p w14:paraId="6A988814" w14:textId="1FCF45A1" w:rsidR="00536E63" w:rsidRDefault="00E43C74" w:rsidP="00D9178F">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Final</w:t>
            </w:r>
          </w:p>
        </w:tc>
      </w:tr>
    </w:tbl>
    <w:p w14:paraId="62078BD2" w14:textId="77777777" w:rsidR="00D9178F" w:rsidRPr="00D9178F" w:rsidRDefault="00D9178F" w:rsidP="00D9178F">
      <w:pPr>
        <w:spacing w:before="0" w:after="0" w:line="240" w:lineRule="auto"/>
        <w:jc w:val="both"/>
        <w:rPr>
          <w:rFonts w:eastAsia="Times New Roman" w:cs="Times New Roman"/>
          <w:sz w:val="20"/>
          <w:szCs w:val="20"/>
          <w:lang w:eastAsia="en-AU"/>
        </w:rPr>
      </w:pPr>
    </w:p>
    <w:p w14:paraId="62078BD3" w14:textId="77777777" w:rsidR="00243985" w:rsidRPr="00243985" w:rsidRDefault="00243985" w:rsidP="00243985">
      <w:pPr>
        <w:rPr>
          <w:rFonts w:eastAsia="Times New Roman" w:cs="Times New Roman"/>
          <w:sz w:val="20"/>
          <w:szCs w:val="20"/>
          <w:lang w:eastAsia="en-AU"/>
        </w:rPr>
      </w:pPr>
      <w:r w:rsidRPr="00243985">
        <w:rPr>
          <w:rFonts w:eastAsia="Times New Roman" w:cs="Times New Roman"/>
          <w:sz w:val="20"/>
          <w:szCs w:val="20"/>
          <w:lang w:eastAsia="en-AU"/>
        </w:rPr>
        <w:t xml:space="preserve">Energex Limited (Energex) is a Queensland Government Owned Corporation that builds, owns, operates and maintains the electricity distribution network in the growing region of South East Queensland. Energex provides distribution services to almost 1.4 million domestic and business connections, delivering electricity to a population base of around 3.2 million people. </w:t>
      </w:r>
    </w:p>
    <w:p w14:paraId="62078BD4" w14:textId="77777777" w:rsidR="00243985" w:rsidRDefault="00243985" w:rsidP="00D9178F">
      <w:pPr>
        <w:spacing w:before="80" w:after="80"/>
        <w:rPr>
          <w:rFonts w:eastAsia="Times New Roman" w:cs="Times New Roman"/>
          <w:sz w:val="20"/>
          <w:szCs w:val="20"/>
          <w:lang w:eastAsia="en-AU"/>
        </w:rPr>
      </w:pPr>
    </w:p>
    <w:p w14:paraId="62078BD5" w14:textId="77777777" w:rsidR="00D9178F" w:rsidRPr="00D9178F" w:rsidRDefault="00D9178F" w:rsidP="00D9178F">
      <w:pPr>
        <w:spacing w:before="80" w:after="80"/>
        <w:rPr>
          <w:rFonts w:eastAsia="Times New Roman" w:cs="Times New Roman"/>
          <w:sz w:val="20"/>
          <w:szCs w:val="20"/>
          <w:lang w:eastAsia="en-AU"/>
        </w:rPr>
      </w:pPr>
      <w:r w:rsidRPr="00D9178F">
        <w:rPr>
          <w:rFonts w:eastAsia="Times New Roman" w:cs="Times New Roman"/>
          <w:sz w:val="20"/>
          <w:szCs w:val="20"/>
          <w:lang w:eastAsia="en-AU"/>
        </w:rPr>
        <w:t xml:space="preserve">Energex’s key focus is distributing safe, reliable and affordable electricity in a commercially balanced way that provides value for its customers, manages risk and builds a sustainable future.  </w:t>
      </w:r>
    </w:p>
    <w:p w14:paraId="62078BDB" w14:textId="77777777" w:rsidR="00D9178F" w:rsidRPr="00D9178F" w:rsidRDefault="00D9178F" w:rsidP="00D9178F">
      <w:pPr>
        <w:rPr>
          <w:lang w:eastAsia="en-AU"/>
        </w:rPr>
      </w:pPr>
    </w:p>
    <w:p w14:paraId="62078BDC" w14:textId="77777777" w:rsidR="00D9178F" w:rsidRPr="00D9178F" w:rsidRDefault="00D9178F" w:rsidP="00D9178F">
      <w:pPr>
        <w:spacing w:before="0" w:after="0"/>
        <w:rPr>
          <w:rFonts w:eastAsia="Times New Roman" w:cs="Times New Roman"/>
          <w:sz w:val="16"/>
          <w:szCs w:val="16"/>
          <w:lang w:eastAsia="en-AU"/>
        </w:rPr>
      </w:pPr>
      <w:r w:rsidRPr="00D9178F">
        <w:rPr>
          <w:rFonts w:ascii="Lucida Console" w:eastAsia="Times New Roman" w:hAnsi="Lucida Console" w:cs="Times New Roman"/>
          <w:sz w:val="16"/>
          <w:szCs w:val="16"/>
          <w:lang w:eastAsia="en-AU"/>
        </w:rPr>
        <w:t>©</w:t>
      </w:r>
      <w:r w:rsidRPr="00D9178F">
        <w:rPr>
          <w:rFonts w:eastAsia="Times New Roman" w:cs="Times New Roman"/>
          <w:sz w:val="16"/>
          <w:szCs w:val="16"/>
          <w:lang w:eastAsia="en-AU"/>
        </w:rPr>
        <w:t xml:space="preserve"> Energex Limited, Australia</w:t>
      </w:r>
    </w:p>
    <w:p w14:paraId="62078BDD" w14:textId="77777777" w:rsidR="00D9178F" w:rsidRPr="00D9178F" w:rsidRDefault="00D9178F" w:rsidP="00D9178F">
      <w:pPr>
        <w:spacing w:before="0" w:after="0"/>
        <w:rPr>
          <w:rFonts w:eastAsia="Times New Roman" w:cs="Times New Roman"/>
          <w:sz w:val="16"/>
          <w:szCs w:val="16"/>
          <w:lang w:eastAsia="en-AU"/>
        </w:rPr>
      </w:pPr>
    </w:p>
    <w:p w14:paraId="62078BDE" w14:textId="77777777" w:rsidR="00D9178F" w:rsidRPr="00D9178F" w:rsidRDefault="00D9178F" w:rsidP="00D9178F">
      <w:pPr>
        <w:spacing w:before="0" w:after="0"/>
        <w:rPr>
          <w:rFonts w:eastAsia="Times New Roman" w:cs="Times New Roman"/>
          <w:sz w:val="16"/>
          <w:szCs w:val="16"/>
          <w:lang w:eastAsia="en-AU"/>
        </w:rPr>
      </w:pPr>
      <w:r w:rsidRPr="00D9178F">
        <w:rPr>
          <w:rFonts w:eastAsia="Times New Roman" w:cs="Times New Roman"/>
          <w:sz w:val="16"/>
          <w:szCs w:val="16"/>
          <w:lang w:eastAsia="en-AU"/>
        </w:rPr>
        <w:t>This work is copyright. Material contained in this document may be reproduced for personal, in-house or non-commercial use, without formal permission or charge, provided there is due acknowledgment of Energex Limited as the source.</w:t>
      </w:r>
    </w:p>
    <w:p w14:paraId="62078BDF" w14:textId="77777777" w:rsidR="00D9178F" w:rsidRPr="00D9178F" w:rsidRDefault="00D9178F" w:rsidP="00D9178F">
      <w:pPr>
        <w:spacing w:before="0" w:after="0"/>
        <w:rPr>
          <w:rFonts w:eastAsia="Times New Roman" w:cs="Times New Roman"/>
          <w:sz w:val="16"/>
          <w:szCs w:val="16"/>
          <w:lang w:eastAsia="en-AU"/>
        </w:rPr>
      </w:pPr>
    </w:p>
    <w:p w14:paraId="62078BE0" w14:textId="77777777" w:rsidR="00D9178F" w:rsidRDefault="00D9178F" w:rsidP="00D9178F">
      <w:pPr>
        <w:spacing w:before="0" w:after="0"/>
        <w:rPr>
          <w:rFonts w:eastAsia="Times New Roman" w:cs="Times New Roman"/>
          <w:sz w:val="16"/>
          <w:szCs w:val="16"/>
          <w:lang w:eastAsia="en-AU"/>
        </w:rPr>
      </w:pPr>
      <w:r w:rsidRPr="00D9178F">
        <w:rPr>
          <w:rFonts w:eastAsia="Times New Roman" w:cs="Times New Roman"/>
          <w:sz w:val="16"/>
          <w:szCs w:val="16"/>
          <w:lang w:eastAsia="en-AU"/>
        </w:rPr>
        <w:t>Requests and enquiries concerning reproduction and rights for a purpose other than personal, in-house or non-commercial use should be addressed to:</w:t>
      </w:r>
    </w:p>
    <w:p w14:paraId="62078BE1" w14:textId="77777777" w:rsidR="004C2FF7" w:rsidRPr="00D9178F" w:rsidRDefault="004C2FF7" w:rsidP="00D9178F">
      <w:pPr>
        <w:spacing w:before="0" w:after="0"/>
        <w:rPr>
          <w:rFonts w:eastAsia="Times New Roman" w:cs="Times New Roman"/>
          <w:sz w:val="16"/>
          <w:szCs w:val="16"/>
          <w:lang w:eastAsia="en-AU"/>
        </w:rPr>
      </w:pPr>
    </w:p>
    <w:p w14:paraId="62078BE2" w14:textId="77777777" w:rsidR="00D9178F" w:rsidRPr="00D9178F" w:rsidRDefault="00D9178F" w:rsidP="00D9178F">
      <w:pPr>
        <w:spacing w:before="0" w:after="0"/>
        <w:rPr>
          <w:rFonts w:eastAsia="Times New Roman" w:cs="Times New Roman"/>
          <w:sz w:val="16"/>
          <w:szCs w:val="16"/>
          <w:lang w:eastAsia="en-AU"/>
        </w:rPr>
      </w:pPr>
      <w:r w:rsidRPr="00D9178F">
        <w:rPr>
          <w:rFonts w:eastAsia="Times New Roman" w:cs="Times New Roman"/>
          <w:sz w:val="16"/>
          <w:szCs w:val="16"/>
          <w:lang w:eastAsia="en-AU"/>
        </w:rPr>
        <w:t xml:space="preserve">Group Manager </w:t>
      </w:r>
      <w:r w:rsidRPr="00D9178F">
        <w:rPr>
          <w:rFonts w:eastAsia="Times New Roman" w:cs="Times New Roman"/>
          <w:sz w:val="16"/>
          <w:szCs w:val="16"/>
          <w:lang w:eastAsia="en-AU"/>
        </w:rPr>
        <w:br/>
        <w:t>Corporate Communications</w:t>
      </w:r>
    </w:p>
    <w:p w14:paraId="62078BE3" w14:textId="77777777" w:rsidR="00D9178F" w:rsidRPr="00D9178F" w:rsidRDefault="00D9178F" w:rsidP="00D9178F">
      <w:pPr>
        <w:spacing w:before="0" w:after="0"/>
        <w:rPr>
          <w:rFonts w:eastAsia="Times New Roman" w:cs="Times New Roman"/>
          <w:sz w:val="16"/>
          <w:szCs w:val="16"/>
          <w:lang w:eastAsia="en-AU"/>
        </w:rPr>
      </w:pPr>
      <w:r w:rsidRPr="00D9178F">
        <w:rPr>
          <w:rFonts w:eastAsia="Times New Roman" w:cs="Times New Roman"/>
          <w:sz w:val="16"/>
          <w:szCs w:val="16"/>
          <w:lang w:eastAsia="en-AU"/>
        </w:rPr>
        <w:t>Energex</w:t>
      </w:r>
    </w:p>
    <w:p w14:paraId="62078BE4" w14:textId="77777777" w:rsidR="00D9178F" w:rsidRPr="00D9178F" w:rsidRDefault="00D9178F" w:rsidP="00D9178F">
      <w:pPr>
        <w:spacing w:before="0" w:after="0"/>
        <w:rPr>
          <w:rFonts w:eastAsia="Times New Roman" w:cs="Times New Roman"/>
          <w:sz w:val="16"/>
          <w:szCs w:val="16"/>
          <w:lang w:eastAsia="en-AU"/>
        </w:rPr>
      </w:pPr>
      <w:r w:rsidRPr="00D9178F">
        <w:rPr>
          <w:rFonts w:eastAsia="Times New Roman" w:cs="Times New Roman"/>
          <w:sz w:val="16"/>
          <w:szCs w:val="16"/>
          <w:lang w:eastAsia="en-AU"/>
        </w:rPr>
        <w:t>GPO Box 1461</w:t>
      </w:r>
    </w:p>
    <w:p w14:paraId="62078BE5" w14:textId="77777777" w:rsidR="00863C83" w:rsidRDefault="00D9178F" w:rsidP="00D9178F">
      <w:pPr>
        <w:spacing w:before="0" w:after="0"/>
        <w:rPr>
          <w:rFonts w:eastAsia="Times New Roman" w:cs="Times New Roman"/>
          <w:sz w:val="16"/>
          <w:szCs w:val="16"/>
          <w:lang w:eastAsia="en-AU"/>
        </w:rPr>
      </w:pPr>
      <w:r w:rsidRPr="00D9178F">
        <w:rPr>
          <w:rFonts w:eastAsia="Times New Roman" w:cs="Times New Roman"/>
          <w:sz w:val="16"/>
          <w:szCs w:val="16"/>
          <w:lang w:eastAsia="en-AU"/>
        </w:rPr>
        <w:t>BRISBANE QLD 4001</w:t>
      </w:r>
    </w:p>
    <w:p w14:paraId="62078BE6" w14:textId="77777777" w:rsidR="00863C83" w:rsidRDefault="00863C83">
      <w:pPr>
        <w:spacing w:before="0" w:after="200" w:line="276" w:lineRule="auto"/>
        <w:rPr>
          <w:rFonts w:eastAsia="Times New Roman" w:cs="Times New Roman"/>
          <w:sz w:val="16"/>
          <w:szCs w:val="16"/>
          <w:lang w:eastAsia="en-AU"/>
        </w:rPr>
      </w:pPr>
      <w:r>
        <w:rPr>
          <w:rFonts w:eastAsia="Times New Roman" w:cs="Times New Roman"/>
          <w:sz w:val="16"/>
          <w:szCs w:val="16"/>
          <w:lang w:eastAsia="en-AU"/>
        </w:rPr>
        <w:br w:type="page"/>
      </w:r>
    </w:p>
    <w:p w14:paraId="62078BE7" w14:textId="77777777" w:rsidR="003B0D0C" w:rsidRPr="00E84B5B" w:rsidRDefault="003B0D0C" w:rsidP="00E84B5B">
      <w:pPr>
        <w:spacing w:before="480"/>
        <w:rPr>
          <w:b/>
          <w:color w:val="0081C3"/>
          <w:sz w:val="48"/>
          <w:szCs w:val="48"/>
          <w:lang w:eastAsia="en-AU"/>
        </w:rPr>
      </w:pPr>
      <w:r w:rsidRPr="00E84B5B">
        <w:rPr>
          <w:b/>
          <w:color w:val="0081C3"/>
          <w:sz w:val="48"/>
          <w:szCs w:val="48"/>
          <w:lang w:eastAsia="en-AU"/>
        </w:rPr>
        <w:lastRenderedPageBreak/>
        <w:t>Table of Contents</w:t>
      </w:r>
    </w:p>
    <w:p w14:paraId="7BA22E23" w14:textId="77777777" w:rsidR="00AA3C4D" w:rsidRDefault="00B35FD5">
      <w:pPr>
        <w:pStyle w:val="TOC1"/>
        <w:rPr>
          <w:rFonts w:asciiTheme="minorHAnsi" w:eastAsiaTheme="minorEastAsia" w:hAnsiTheme="minorHAnsi" w:cstheme="minorBidi"/>
          <w:b w:val="0"/>
          <w:bCs w:val="0"/>
          <w:caps w:val="0"/>
          <w:noProof/>
          <w:szCs w:val="22"/>
          <w:lang w:eastAsia="en-AU"/>
        </w:rPr>
      </w:pPr>
      <w:r>
        <w:rPr>
          <w:sz w:val="28"/>
          <w:lang w:eastAsia="en-AU"/>
        </w:rPr>
        <w:fldChar w:fldCharType="begin"/>
      </w:r>
      <w:r>
        <w:rPr>
          <w:sz w:val="28"/>
          <w:lang w:eastAsia="en-AU"/>
        </w:rPr>
        <w:instrText xml:space="preserve"> TOC \o "1-3" \h \z \u </w:instrText>
      </w:r>
      <w:r>
        <w:rPr>
          <w:sz w:val="28"/>
          <w:lang w:eastAsia="en-AU"/>
        </w:rPr>
        <w:fldChar w:fldCharType="separate"/>
      </w:r>
      <w:hyperlink w:anchor="_Toc397097235" w:history="1">
        <w:r w:rsidR="00AA3C4D" w:rsidRPr="00E40654">
          <w:rPr>
            <w:rStyle w:val="Hyperlink"/>
            <w:noProof/>
          </w:rPr>
          <w:t>1</w:t>
        </w:r>
        <w:r w:rsidR="00AA3C4D">
          <w:rPr>
            <w:rFonts w:asciiTheme="minorHAnsi" w:eastAsiaTheme="minorEastAsia" w:hAnsiTheme="minorHAnsi" w:cstheme="minorBidi"/>
            <w:b w:val="0"/>
            <w:bCs w:val="0"/>
            <w:caps w:val="0"/>
            <w:noProof/>
            <w:szCs w:val="22"/>
            <w:lang w:eastAsia="en-AU"/>
          </w:rPr>
          <w:tab/>
        </w:r>
        <w:r w:rsidR="00AA3C4D" w:rsidRPr="00E40654">
          <w:rPr>
            <w:rStyle w:val="Hyperlink"/>
            <w:noProof/>
          </w:rPr>
          <w:t>Introduction</w:t>
        </w:r>
        <w:r w:rsidR="00AA3C4D">
          <w:rPr>
            <w:noProof/>
            <w:webHidden/>
          </w:rPr>
          <w:tab/>
        </w:r>
        <w:r w:rsidR="00AA3C4D">
          <w:rPr>
            <w:noProof/>
            <w:webHidden/>
          </w:rPr>
          <w:fldChar w:fldCharType="begin"/>
        </w:r>
        <w:r w:rsidR="00AA3C4D">
          <w:rPr>
            <w:noProof/>
            <w:webHidden/>
          </w:rPr>
          <w:instrText xml:space="preserve"> PAGEREF _Toc397097235 \h </w:instrText>
        </w:r>
        <w:r w:rsidR="00AA3C4D">
          <w:rPr>
            <w:noProof/>
            <w:webHidden/>
          </w:rPr>
        </w:r>
        <w:r w:rsidR="00AA3C4D">
          <w:rPr>
            <w:noProof/>
            <w:webHidden/>
          </w:rPr>
          <w:fldChar w:fldCharType="separate"/>
        </w:r>
        <w:r w:rsidR="00B27C70">
          <w:rPr>
            <w:noProof/>
            <w:webHidden/>
          </w:rPr>
          <w:t>4</w:t>
        </w:r>
        <w:r w:rsidR="00AA3C4D">
          <w:rPr>
            <w:noProof/>
            <w:webHidden/>
          </w:rPr>
          <w:fldChar w:fldCharType="end"/>
        </w:r>
      </w:hyperlink>
    </w:p>
    <w:p w14:paraId="17D0FFC9" w14:textId="77777777" w:rsidR="00AA3C4D" w:rsidRDefault="00257E36">
      <w:pPr>
        <w:pStyle w:val="TOC2"/>
        <w:rPr>
          <w:rFonts w:asciiTheme="minorHAnsi" w:eastAsiaTheme="minorEastAsia" w:hAnsiTheme="minorHAnsi" w:cstheme="minorBidi"/>
          <w:bCs w:val="0"/>
          <w:szCs w:val="22"/>
          <w:lang w:eastAsia="en-AU"/>
        </w:rPr>
      </w:pPr>
      <w:hyperlink w:anchor="_Toc397097236" w:history="1">
        <w:r w:rsidR="00AA3C4D" w:rsidRPr="00E40654">
          <w:rPr>
            <w:rStyle w:val="Hyperlink"/>
          </w:rPr>
          <w:t>1.1</w:t>
        </w:r>
        <w:r w:rsidR="00AA3C4D">
          <w:rPr>
            <w:rFonts w:asciiTheme="minorHAnsi" w:eastAsiaTheme="minorEastAsia" w:hAnsiTheme="minorHAnsi" w:cstheme="minorBidi"/>
            <w:bCs w:val="0"/>
            <w:szCs w:val="22"/>
            <w:lang w:eastAsia="en-AU"/>
          </w:rPr>
          <w:tab/>
        </w:r>
        <w:r w:rsidR="00AA3C4D" w:rsidRPr="00E40654">
          <w:rPr>
            <w:rStyle w:val="Hyperlink"/>
          </w:rPr>
          <w:t>Background</w:t>
        </w:r>
        <w:r w:rsidR="00AA3C4D">
          <w:rPr>
            <w:webHidden/>
          </w:rPr>
          <w:tab/>
        </w:r>
        <w:r w:rsidR="00AA3C4D">
          <w:rPr>
            <w:webHidden/>
          </w:rPr>
          <w:fldChar w:fldCharType="begin"/>
        </w:r>
        <w:r w:rsidR="00AA3C4D">
          <w:rPr>
            <w:webHidden/>
          </w:rPr>
          <w:instrText xml:space="preserve"> PAGEREF _Toc397097236 \h </w:instrText>
        </w:r>
        <w:r w:rsidR="00AA3C4D">
          <w:rPr>
            <w:webHidden/>
          </w:rPr>
        </w:r>
        <w:r w:rsidR="00AA3C4D">
          <w:rPr>
            <w:webHidden/>
          </w:rPr>
          <w:fldChar w:fldCharType="separate"/>
        </w:r>
        <w:r w:rsidR="00B27C70">
          <w:rPr>
            <w:webHidden/>
          </w:rPr>
          <w:t>4</w:t>
        </w:r>
        <w:r w:rsidR="00AA3C4D">
          <w:rPr>
            <w:webHidden/>
          </w:rPr>
          <w:fldChar w:fldCharType="end"/>
        </w:r>
      </w:hyperlink>
    </w:p>
    <w:p w14:paraId="47F17A4A" w14:textId="77777777" w:rsidR="00AA3C4D" w:rsidRDefault="00257E36">
      <w:pPr>
        <w:pStyle w:val="TOC2"/>
        <w:rPr>
          <w:rFonts w:asciiTheme="minorHAnsi" w:eastAsiaTheme="minorEastAsia" w:hAnsiTheme="minorHAnsi" w:cstheme="minorBidi"/>
          <w:bCs w:val="0"/>
          <w:szCs w:val="22"/>
          <w:lang w:eastAsia="en-AU"/>
        </w:rPr>
      </w:pPr>
      <w:hyperlink w:anchor="_Toc397097237" w:history="1">
        <w:r w:rsidR="00AA3C4D" w:rsidRPr="00E40654">
          <w:rPr>
            <w:rStyle w:val="Hyperlink"/>
          </w:rPr>
          <w:t>1.2</w:t>
        </w:r>
        <w:r w:rsidR="00AA3C4D">
          <w:rPr>
            <w:rFonts w:asciiTheme="minorHAnsi" w:eastAsiaTheme="minorEastAsia" w:hAnsiTheme="minorHAnsi" w:cstheme="minorBidi"/>
            <w:bCs w:val="0"/>
            <w:szCs w:val="22"/>
            <w:lang w:eastAsia="en-AU"/>
          </w:rPr>
          <w:tab/>
        </w:r>
        <w:r w:rsidR="00AA3C4D" w:rsidRPr="00E40654">
          <w:rPr>
            <w:rStyle w:val="Hyperlink"/>
          </w:rPr>
          <w:t>Purpose</w:t>
        </w:r>
        <w:r w:rsidR="00AA3C4D">
          <w:rPr>
            <w:webHidden/>
          </w:rPr>
          <w:tab/>
        </w:r>
        <w:r w:rsidR="00AA3C4D">
          <w:rPr>
            <w:webHidden/>
          </w:rPr>
          <w:fldChar w:fldCharType="begin"/>
        </w:r>
        <w:r w:rsidR="00AA3C4D">
          <w:rPr>
            <w:webHidden/>
          </w:rPr>
          <w:instrText xml:space="preserve"> PAGEREF _Toc397097237 \h </w:instrText>
        </w:r>
        <w:r w:rsidR="00AA3C4D">
          <w:rPr>
            <w:webHidden/>
          </w:rPr>
        </w:r>
        <w:r w:rsidR="00AA3C4D">
          <w:rPr>
            <w:webHidden/>
          </w:rPr>
          <w:fldChar w:fldCharType="separate"/>
        </w:r>
        <w:r w:rsidR="00B27C70">
          <w:rPr>
            <w:webHidden/>
          </w:rPr>
          <w:t>4</w:t>
        </w:r>
        <w:r w:rsidR="00AA3C4D">
          <w:rPr>
            <w:webHidden/>
          </w:rPr>
          <w:fldChar w:fldCharType="end"/>
        </w:r>
      </w:hyperlink>
    </w:p>
    <w:p w14:paraId="15ED5289" w14:textId="77777777" w:rsidR="00AA3C4D" w:rsidRDefault="00257E36">
      <w:pPr>
        <w:pStyle w:val="TOC2"/>
        <w:rPr>
          <w:rFonts w:asciiTheme="minorHAnsi" w:eastAsiaTheme="minorEastAsia" w:hAnsiTheme="minorHAnsi" w:cstheme="minorBidi"/>
          <w:bCs w:val="0"/>
          <w:szCs w:val="22"/>
          <w:lang w:eastAsia="en-AU"/>
        </w:rPr>
      </w:pPr>
      <w:hyperlink w:anchor="_Toc397097238" w:history="1">
        <w:r w:rsidR="00AA3C4D" w:rsidRPr="00E40654">
          <w:rPr>
            <w:rStyle w:val="Hyperlink"/>
          </w:rPr>
          <w:t>1.3</w:t>
        </w:r>
        <w:r w:rsidR="00AA3C4D">
          <w:rPr>
            <w:rFonts w:asciiTheme="minorHAnsi" w:eastAsiaTheme="minorEastAsia" w:hAnsiTheme="minorHAnsi" w:cstheme="minorBidi"/>
            <w:bCs w:val="0"/>
            <w:szCs w:val="22"/>
            <w:lang w:eastAsia="en-AU"/>
          </w:rPr>
          <w:tab/>
        </w:r>
        <w:r w:rsidR="00AA3C4D" w:rsidRPr="00E40654">
          <w:rPr>
            <w:rStyle w:val="Hyperlink"/>
          </w:rPr>
          <w:t>Structure</w:t>
        </w:r>
        <w:r w:rsidR="00AA3C4D">
          <w:rPr>
            <w:webHidden/>
          </w:rPr>
          <w:tab/>
        </w:r>
        <w:r w:rsidR="00AA3C4D">
          <w:rPr>
            <w:webHidden/>
          </w:rPr>
          <w:fldChar w:fldCharType="begin"/>
        </w:r>
        <w:r w:rsidR="00AA3C4D">
          <w:rPr>
            <w:webHidden/>
          </w:rPr>
          <w:instrText xml:space="preserve"> PAGEREF _Toc397097238 \h </w:instrText>
        </w:r>
        <w:r w:rsidR="00AA3C4D">
          <w:rPr>
            <w:webHidden/>
          </w:rPr>
        </w:r>
        <w:r w:rsidR="00AA3C4D">
          <w:rPr>
            <w:webHidden/>
          </w:rPr>
          <w:fldChar w:fldCharType="separate"/>
        </w:r>
        <w:r w:rsidR="00B27C70">
          <w:rPr>
            <w:webHidden/>
          </w:rPr>
          <w:t>4</w:t>
        </w:r>
        <w:r w:rsidR="00AA3C4D">
          <w:rPr>
            <w:webHidden/>
          </w:rPr>
          <w:fldChar w:fldCharType="end"/>
        </w:r>
      </w:hyperlink>
    </w:p>
    <w:p w14:paraId="4C840997" w14:textId="77777777" w:rsidR="00AA3C4D" w:rsidRDefault="00257E36">
      <w:pPr>
        <w:pStyle w:val="TOC2"/>
        <w:rPr>
          <w:rFonts w:asciiTheme="minorHAnsi" w:eastAsiaTheme="minorEastAsia" w:hAnsiTheme="minorHAnsi" w:cstheme="minorBidi"/>
          <w:bCs w:val="0"/>
          <w:szCs w:val="22"/>
          <w:lang w:eastAsia="en-AU"/>
        </w:rPr>
      </w:pPr>
      <w:hyperlink w:anchor="_Toc397097239" w:history="1">
        <w:r w:rsidR="00AA3C4D" w:rsidRPr="00E40654">
          <w:rPr>
            <w:rStyle w:val="Hyperlink"/>
          </w:rPr>
          <w:t>1.4</w:t>
        </w:r>
        <w:r w:rsidR="00AA3C4D">
          <w:rPr>
            <w:rFonts w:asciiTheme="minorHAnsi" w:eastAsiaTheme="minorEastAsia" w:hAnsiTheme="minorHAnsi" w:cstheme="minorBidi"/>
            <w:bCs w:val="0"/>
            <w:szCs w:val="22"/>
            <w:lang w:eastAsia="en-AU"/>
          </w:rPr>
          <w:tab/>
        </w:r>
        <w:r w:rsidR="00AA3C4D" w:rsidRPr="00E40654">
          <w:rPr>
            <w:rStyle w:val="Hyperlink"/>
          </w:rPr>
          <w:t>Document terminology</w:t>
        </w:r>
        <w:r w:rsidR="00AA3C4D">
          <w:rPr>
            <w:webHidden/>
          </w:rPr>
          <w:tab/>
        </w:r>
        <w:r w:rsidR="00AA3C4D">
          <w:rPr>
            <w:webHidden/>
          </w:rPr>
          <w:fldChar w:fldCharType="begin"/>
        </w:r>
        <w:r w:rsidR="00AA3C4D">
          <w:rPr>
            <w:webHidden/>
          </w:rPr>
          <w:instrText xml:space="preserve"> PAGEREF _Toc397097239 \h </w:instrText>
        </w:r>
        <w:r w:rsidR="00AA3C4D">
          <w:rPr>
            <w:webHidden/>
          </w:rPr>
        </w:r>
        <w:r w:rsidR="00AA3C4D">
          <w:rPr>
            <w:webHidden/>
          </w:rPr>
          <w:fldChar w:fldCharType="separate"/>
        </w:r>
        <w:r w:rsidR="00B27C70">
          <w:rPr>
            <w:webHidden/>
          </w:rPr>
          <w:t>4</w:t>
        </w:r>
        <w:r w:rsidR="00AA3C4D">
          <w:rPr>
            <w:webHidden/>
          </w:rPr>
          <w:fldChar w:fldCharType="end"/>
        </w:r>
      </w:hyperlink>
    </w:p>
    <w:p w14:paraId="0070CC10" w14:textId="77777777" w:rsidR="00AA3C4D" w:rsidRDefault="00257E36">
      <w:pPr>
        <w:pStyle w:val="TOC2"/>
        <w:rPr>
          <w:rFonts w:asciiTheme="minorHAnsi" w:eastAsiaTheme="minorEastAsia" w:hAnsiTheme="minorHAnsi" w:cstheme="minorBidi"/>
          <w:bCs w:val="0"/>
          <w:szCs w:val="22"/>
          <w:lang w:eastAsia="en-AU"/>
        </w:rPr>
      </w:pPr>
      <w:hyperlink w:anchor="_Toc397097240" w:history="1">
        <w:r w:rsidR="00AA3C4D" w:rsidRPr="00E40654">
          <w:rPr>
            <w:rStyle w:val="Hyperlink"/>
          </w:rPr>
          <w:t>1.5</w:t>
        </w:r>
        <w:r w:rsidR="00AA3C4D">
          <w:rPr>
            <w:rFonts w:asciiTheme="minorHAnsi" w:eastAsiaTheme="minorEastAsia" w:hAnsiTheme="minorHAnsi" w:cstheme="minorBidi"/>
            <w:bCs w:val="0"/>
            <w:szCs w:val="22"/>
            <w:lang w:eastAsia="en-AU"/>
          </w:rPr>
          <w:tab/>
        </w:r>
        <w:r w:rsidR="00AA3C4D" w:rsidRPr="00E40654">
          <w:rPr>
            <w:rStyle w:val="Hyperlink"/>
          </w:rPr>
          <w:t>Repex model observations</w:t>
        </w:r>
        <w:r w:rsidR="00AA3C4D">
          <w:rPr>
            <w:webHidden/>
          </w:rPr>
          <w:tab/>
        </w:r>
        <w:r w:rsidR="00AA3C4D">
          <w:rPr>
            <w:webHidden/>
          </w:rPr>
          <w:fldChar w:fldCharType="begin"/>
        </w:r>
        <w:r w:rsidR="00AA3C4D">
          <w:rPr>
            <w:webHidden/>
          </w:rPr>
          <w:instrText xml:space="preserve"> PAGEREF _Toc397097240 \h </w:instrText>
        </w:r>
        <w:r w:rsidR="00AA3C4D">
          <w:rPr>
            <w:webHidden/>
          </w:rPr>
        </w:r>
        <w:r w:rsidR="00AA3C4D">
          <w:rPr>
            <w:webHidden/>
          </w:rPr>
          <w:fldChar w:fldCharType="separate"/>
        </w:r>
        <w:r w:rsidR="00B27C70">
          <w:rPr>
            <w:webHidden/>
          </w:rPr>
          <w:t>5</w:t>
        </w:r>
        <w:r w:rsidR="00AA3C4D">
          <w:rPr>
            <w:webHidden/>
          </w:rPr>
          <w:fldChar w:fldCharType="end"/>
        </w:r>
      </w:hyperlink>
    </w:p>
    <w:p w14:paraId="02512C00" w14:textId="77777777" w:rsidR="00AA3C4D" w:rsidRDefault="00257E36">
      <w:pPr>
        <w:pStyle w:val="TOC3"/>
        <w:rPr>
          <w:rFonts w:asciiTheme="minorHAnsi" w:eastAsiaTheme="minorEastAsia" w:hAnsiTheme="minorHAnsi" w:cstheme="minorBidi"/>
          <w:sz w:val="22"/>
          <w:szCs w:val="22"/>
          <w:lang w:eastAsia="en-AU"/>
        </w:rPr>
      </w:pPr>
      <w:hyperlink w:anchor="_Toc397097241" w:history="1">
        <w:r w:rsidR="00AA3C4D" w:rsidRPr="00E40654">
          <w:rPr>
            <w:rStyle w:val="Hyperlink"/>
          </w:rPr>
          <w:t>1.5.1</w:t>
        </w:r>
        <w:r w:rsidR="00AA3C4D">
          <w:rPr>
            <w:rFonts w:asciiTheme="minorHAnsi" w:eastAsiaTheme="minorEastAsia" w:hAnsiTheme="minorHAnsi" w:cstheme="minorBidi"/>
            <w:sz w:val="22"/>
            <w:szCs w:val="22"/>
            <w:lang w:eastAsia="en-AU"/>
          </w:rPr>
          <w:tab/>
        </w:r>
        <w:r w:rsidR="00AA3C4D" w:rsidRPr="00E40654">
          <w:rPr>
            <w:rStyle w:val="Hyperlink"/>
          </w:rPr>
          <w:t>Recalibration using historical replacement volumes and costs</w:t>
        </w:r>
        <w:r w:rsidR="00AA3C4D">
          <w:rPr>
            <w:webHidden/>
          </w:rPr>
          <w:tab/>
        </w:r>
        <w:r w:rsidR="00AA3C4D">
          <w:rPr>
            <w:webHidden/>
          </w:rPr>
          <w:fldChar w:fldCharType="begin"/>
        </w:r>
        <w:r w:rsidR="00AA3C4D">
          <w:rPr>
            <w:webHidden/>
          </w:rPr>
          <w:instrText xml:space="preserve"> PAGEREF _Toc397097241 \h </w:instrText>
        </w:r>
        <w:r w:rsidR="00AA3C4D">
          <w:rPr>
            <w:webHidden/>
          </w:rPr>
        </w:r>
        <w:r w:rsidR="00AA3C4D">
          <w:rPr>
            <w:webHidden/>
          </w:rPr>
          <w:fldChar w:fldCharType="separate"/>
        </w:r>
        <w:r w:rsidR="00B27C70">
          <w:rPr>
            <w:webHidden/>
          </w:rPr>
          <w:t>5</w:t>
        </w:r>
        <w:r w:rsidR="00AA3C4D">
          <w:rPr>
            <w:webHidden/>
          </w:rPr>
          <w:fldChar w:fldCharType="end"/>
        </w:r>
      </w:hyperlink>
    </w:p>
    <w:p w14:paraId="7F11B997" w14:textId="77777777" w:rsidR="00AA3C4D" w:rsidRDefault="00257E36">
      <w:pPr>
        <w:pStyle w:val="TOC3"/>
        <w:rPr>
          <w:rFonts w:asciiTheme="minorHAnsi" w:eastAsiaTheme="minorEastAsia" w:hAnsiTheme="minorHAnsi" w:cstheme="minorBidi"/>
          <w:sz w:val="22"/>
          <w:szCs w:val="22"/>
          <w:lang w:eastAsia="en-AU"/>
        </w:rPr>
      </w:pPr>
      <w:hyperlink w:anchor="_Toc397097242" w:history="1">
        <w:r w:rsidR="00AA3C4D" w:rsidRPr="00E40654">
          <w:rPr>
            <w:rStyle w:val="Hyperlink"/>
          </w:rPr>
          <w:t>1.5.2</w:t>
        </w:r>
        <w:r w:rsidR="00AA3C4D">
          <w:rPr>
            <w:rFonts w:asciiTheme="minorHAnsi" w:eastAsiaTheme="minorEastAsia" w:hAnsiTheme="minorHAnsi" w:cstheme="minorBidi"/>
            <w:sz w:val="22"/>
            <w:szCs w:val="22"/>
            <w:lang w:eastAsia="en-AU"/>
          </w:rPr>
          <w:tab/>
        </w:r>
        <w:r w:rsidR="00AA3C4D" w:rsidRPr="00E40654">
          <w:rPr>
            <w:rStyle w:val="Hyperlink"/>
          </w:rPr>
          <w:t>Reliance on age data</w:t>
        </w:r>
        <w:r w:rsidR="00AA3C4D">
          <w:rPr>
            <w:webHidden/>
          </w:rPr>
          <w:tab/>
        </w:r>
        <w:r w:rsidR="00AA3C4D">
          <w:rPr>
            <w:webHidden/>
          </w:rPr>
          <w:fldChar w:fldCharType="begin"/>
        </w:r>
        <w:r w:rsidR="00AA3C4D">
          <w:rPr>
            <w:webHidden/>
          </w:rPr>
          <w:instrText xml:space="preserve"> PAGEREF _Toc397097242 \h </w:instrText>
        </w:r>
        <w:r w:rsidR="00AA3C4D">
          <w:rPr>
            <w:webHidden/>
          </w:rPr>
        </w:r>
        <w:r w:rsidR="00AA3C4D">
          <w:rPr>
            <w:webHidden/>
          </w:rPr>
          <w:fldChar w:fldCharType="separate"/>
        </w:r>
        <w:r w:rsidR="00B27C70">
          <w:rPr>
            <w:webHidden/>
          </w:rPr>
          <w:t>5</w:t>
        </w:r>
        <w:r w:rsidR="00AA3C4D">
          <w:rPr>
            <w:webHidden/>
          </w:rPr>
          <w:fldChar w:fldCharType="end"/>
        </w:r>
      </w:hyperlink>
    </w:p>
    <w:p w14:paraId="6609C708" w14:textId="77777777" w:rsidR="00AA3C4D" w:rsidRDefault="00257E36">
      <w:pPr>
        <w:pStyle w:val="TOC1"/>
        <w:rPr>
          <w:rFonts w:asciiTheme="minorHAnsi" w:eastAsiaTheme="minorEastAsia" w:hAnsiTheme="minorHAnsi" w:cstheme="minorBidi"/>
          <w:b w:val="0"/>
          <w:bCs w:val="0"/>
          <w:caps w:val="0"/>
          <w:noProof/>
          <w:szCs w:val="22"/>
          <w:lang w:eastAsia="en-AU"/>
        </w:rPr>
      </w:pPr>
      <w:hyperlink w:anchor="_Toc397097243" w:history="1">
        <w:r w:rsidR="00AA3C4D" w:rsidRPr="00E40654">
          <w:rPr>
            <w:rStyle w:val="Hyperlink"/>
            <w:noProof/>
          </w:rPr>
          <w:t>2</w:t>
        </w:r>
        <w:r w:rsidR="00AA3C4D">
          <w:rPr>
            <w:rFonts w:asciiTheme="minorHAnsi" w:eastAsiaTheme="minorEastAsia" w:hAnsiTheme="minorHAnsi" w:cstheme="minorBidi"/>
            <w:b w:val="0"/>
            <w:bCs w:val="0"/>
            <w:caps w:val="0"/>
            <w:noProof/>
            <w:szCs w:val="22"/>
            <w:lang w:eastAsia="en-AU"/>
          </w:rPr>
          <w:tab/>
        </w:r>
        <w:r w:rsidR="00AA3C4D" w:rsidRPr="00E40654">
          <w:rPr>
            <w:rStyle w:val="Hyperlink"/>
            <w:noProof/>
          </w:rPr>
          <w:t>Asset categories</w:t>
        </w:r>
        <w:r w:rsidR="00AA3C4D">
          <w:rPr>
            <w:noProof/>
            <w:webHidden/>
          </w:rPr>
          <w:tab/>
        </w:r>
        <w:r w:rsidR="00AA3C4D">
          <w:rPr>
            <w:noProof/>
            <w:webHidden/>
          </w:rPr>
          <w:fldChar w:fldCharType="begin"/>
        </w:r>
        <w:r w:rsidR="00AA3C4D">
          <w:rPr>
            <w:noProof/>
            <w:webHidden/>
          </w:rPr>
          <w:instrText xml:space="preserve"> PAGEREF _Toc397097243 \h </w:instrText>
        </w:r>
        <w:r w:rsidR="00AA3C4D">
          <w:rPr>
            <w:noProof/>
            <w:webHidden/>
          </w:rPr>
        </w:r>
        <w:r w:rsidR="00AA3C4D">
          <w:rPr>
            <w:noProof/>
            <w:webHidden/>
          </w:rPr>
          <w:fldChar w:fldCharType="separate"/>
        </w:r>
        <w:r w:rsidR="00B27C70">
          <w:rPr>
            <w:noProof/>
            <w:webHidden/>
          </w:rPr>
          <w:t>6</w:t>
        </w:r>
        <w:r w:rsidR="00AA3C4D">
          <w:rPr>
            <w:noProof/>
            <w:webHidden/>
          </w:rPr>
          <w:fldChar w:fldCharType="end"/>
        </w:r>
      </w:hyperlink>
    </w:p>
    <w:p w14:paraId="20256216" w14:textId="77777777" w:rsidR="00AA3C4D" w:rsidRDefault="00257E36">
      <w:pPr>
        <w:pStyle w:val="TOC2"/>
        <w:rPr>
          <w:rFonts w:asciiTheme="minorHAnsi" w:eastAsiaTheme="minorEastAsia" w:hAnsiTheme="minorHAnsi" w:cstheme="minorBidi"/>
          <w:bCs w:val="0"/>
          <w:szCs w:val="22"/>
          <w:lang w:eastAsia="en-AU"/>
        </w:rPr>
      </w:pPr>
      <w:hyperlink w:anchor="_Toc397097244" w:history="1">
        <w:r w:rsidR="00AA3C4D" w:rsidRPr="00E40654">
          <w:rPr>
            <w:rStyle w:val="Hyperlink"/>
          </w:rPr>
          <w:t>2.1</w:t>
        </w:r>
        <w:r w:rsidR="00AA3C4D">
          <w:rPr>
            <w:rFonts w:asciiTheme="minorHAnsi" w:eastAsiaTheme="minorEastAsia" w:hAnsiTheme="minorHAnsi" w:cstheme="minorBidi"/>
            <w:bCs w:val="0"/>
            <w:szCs w:val="22"/>
            <w:lang w:eastAsia="en-AU"/>
          </w:rPr>
          <w:tab/>
        </w:r>
        <w:r w:rsidR="00AA3C4D" w:rsidRPr="00E40654">
          <w:rPr>
            <w:rStyle w:val="Hyperlink"/>
          </w:rPr>
          <w:t>Asset category description</w:t>
        </w:r>
        <w:r w:rsidR="00AA3C4D">
          <w:rPr>
            <w:webHidden/>
          </w:rPr>
          <w:tab/>
        </w:r>
        <w:r w:rsidR="00AA3C4D">
          <w:rPr>
            <w:webHidden/>
          </w:rPr>
          <w:fldChar w:fldCharType="begin"/>
        </w:r>
        <w:r w:rsidR="00AA3C4D">
          <w:rPr>
            <w:webHidden/>
          </w:rPr>
          <w:instrText xml:space="preserve"> PAGEREF _Toc397097244 \h </w:instrText>
        </w:r>
        <w:r w:rsidR="00AA3C4D">
          <w:rPr>
            <w:webHidden/>
          </w:rPr>
        </w:r>
        <w:r w:rsidR="00AA3C4D">
          <w:rPr>
            <w:webHidden/>
          </w:rPr>
          <w:fldChar w:fldCharType="separate"/>
        </w:r>
        <w:r w:rsidR="00B27C70">
          <w:rPr>
            <w:webHidden/>
          </w:rPr>
          <w:t>6</w:t>
        </w:r>
        <w:r w:rsidR="00AA3C4D">
          <w:rPr>
            <w:webHidden/>
          </w:rPr>
          <w:fldChar w:fldCharType="end"/>
        </w:r>
      </w:hyperlink>
    </w:p>
    <w:p w14:paraId="5530BA36" w14:textId="77777777" w:rsidR="00AA3C4D" w:rsidRDefault="00257E36">
      <w:pPr>
        <w:pStyle w:val="TOC3"/>
        <w:rPr>
          <w:rFonts w:asciiTheme="minorHAnsi" w:eastAsiaTheme="minorEastAsia" w:hAnsiTheme="minorHAnsi" w:cstheme="minorBidi"/>
          <w:sz w:val="22"/>
          <w:szCs w:val="22"/>
          <w:lang w:eastAsia="en-AU"/>
        </w:rPr>
      </w:pPr>
      <w:hyperlink w:anchor="_Toc397097245" w:history="1">
        <w:r w:rsidR="00AA3C4D" w:rsidRPr="00E40654">
          <w:rPr>
            <w:rStyle w:val="Hyperlink"/>
          </w:rPr>
          <w:t>2.1.1</w:t>
        </w:r>
        <w:r w:rsidR="00AA3C4D">
          <w:rPr>
            <w:rFonts w:asciiTheme="minorHAnsi" w:eastAsiaTheme="minorEastAsia" w:hAnsiTheme="minorHAnsi" w:cstheme="minorBidi"/>
            <w:sz w:val="22"/>
            <w:szCs w:val="22"/>
            <w:lang w:eastAsia="en-AU"/>
          </w:rPr>
          <w:tab/>
        </w:r>
        <w:r w:rsidR="00AA3C4D" w:rsidRPr="00E40654">
          <w:rPr>
            <w:rStyle w:val="Hyperlink"/>
          </w:rPr>
          <w:t>Boundary issues</w:t>
        </w:r>
        <w:r w:rsidR="00AA3C4D">
          <w:rPr>
            <w:webHidden/>
          </w:rPr>
          <w:tab/>
        </w:r>
        <w:r w:rsidR="00AA3C4D">
          <w:rPr>
            <w:webHidden/>
          </w:rPr>
          <w:fldChar w:fldCharType="begin"/>
        </w:r>
        <w:r w:rsidR="00AA3C4D">
          <w:rPr>
            <w:webHidden/>
          </w:rPr>
          <w:instrText xml:space="preserve"> PAGEREF _Toc397097245 \h </w:instrText>
        </w:r>
        <w:r w:rsidR="00AA3C4D">
          <w:rPr>
            <w:webHidden/>
          </w:rPr>
        </w:r>
        <w:r w:rsidR="00AA3C4D">
          <w:rPr>
            <w:webHidden/>
          </w:rPr>
          <w:fldChar w:fldCharType="separate"/>
        </w:r>
        <w:r w:rsidR="00B27C70">
          <w:rPr>
            <w:webHidden/>
          </w:rPr>
          <w:t>8</w:t>
        </w:r>
        <w:r w:rsidR="00AA3C4D">
          <w:rPr>
            <w:webHidden/>
          </w:rPr>
          <w:fldChar w:fldCharType="end"/>
        </w:r>
      </w:hyperlink>
    </w:p>
    <w:p w14:paraId="496489C0" w14:textId="77777777" w:rsidR="00AA3C4D" w:rsidRDefault="00257E36">
      <w:pPr>
        <w:pStyle w:val="TOC3"/>
        <w:rPr>
          <w:rFonts w:asciiTheme="minorHAnsi" w:eastAsiaTheme="minorEastAsia" w:hAnsiTheme="minorHAnsi" w:cstheme="minorBidi"/>
          <w:sz w:val="22"/>
          <w:szCs w:val="22"/>
          <w:lang w:eastAsia="en-AU"/>
        </w:rPr>
      </w:pPr>
      <w:hyperlink w:anchor="_Toc397097246" w:history="1">
        <w:r w:rsidR="00AA3C4D" w:rsidRPr="00E40654">
          <w:rPr>
            <w:rStyle w:val="Hyperlink"/>
          </w:rPr>
          <w:t>2.1.2</w:t>
        </w:r>
        <w:r w:rsidR="00AA3C4D">
          <w:rPr>
            <w:rFonts w:asciiTheme="minorHAnsi" w:eastAsiaTheme="minorEastAsia" w:hAnsiTheme="minorHAnsi" w:cstheme="minorBidi"/>
            <w:sz w:val="22"/>
            <w:szCs w:val="22"/>
            <w:lang w:eastAsia="en-AU"/>
          </w:rPr>
          <w:tab/>
        </w:r>
        <w:r w:rsidR="00AA3C4D" w:rsidRPr="00E40654">
          <w:rPr>
            <w:rStyle w:val="Hyperlink"/>
          </w:rPr>
          <w:t>Age profile determination</w:t>
        </w:r>
        <w:r w:rsidR="00AA3C4D">
          <w:rPr>
            <w:webHidden/>
          </w:rPr>
          <w:tab/>
        </w:r>
        <w:r w:rsidR="00AA3C4D">
          <w:rPr>
            <w:webHidden/>
          </w:rPr>
          <w:fldChar w:fldCharType="begin"/>
        </w:r>
        <w:r w:rsidR="00AA3C4D">
          <w:rPr>
            <w:webHidden/>
          </w:rPr>
          <w:instrText xml:space="preserve"> PAGEREF _Toc397097246 \h </w:instrText>
        </w:r>
        <w:r w:rsidR="00AA3C4D">
          <w:rPr>
            <w:webHidden/>
          </w:rPr>
        </w:r>
        <w:r w:rsidR="00AA3C4D">
          <w:rPr>
            <w:webHidden/>
          </w:rPr>
          <w:fldChar w:fldCharType="separate"/>
        </w:r>
        <w:r w:rsidR="00B27C70">
          <w:rPr>
            <w:webHidden/>
          </w:rPr>
          <w:t>8</w:t>
        </w:r>
        <w:r w:rsidR="00AA3C4D">
          <w:rPr>
            <w:webHidden/>
          </w:rPr>
          <w:fldChar w:fldCharType="end"/>
        </w:r>
      </w:hyperlink>
    </w:p>
    <w:p w14:paraId="31056650" w14:textId="77777777" w:rsidR="00AA3C4D" w:rsidRDefault="00257E36">
      <w:pPr>
        <w:pStyle w:val="TOC3"/>
        <w:rPr>
          <w:rFonts w:asciiTheme="minorHAnsi" w:eastAsiaTheme="minorEastAsia" w:hAnsiTheme="minorHAnsi" w:cstheme="minorBidi"/>
          <w:sz w:val="22"/>
          <w:szCs w:val="22"/>
          <w:lang w:eastAsia="en-AU"/>
        </w:rPr>
      </w:pPr>
      <w:hyperlink w:anchor="_Toc397097247" w:history="1">
        <w:r w:rsidR="00AA3C4D" w:rsidRPr="00E40654">
          <w:rPr>
            <w:rStyle w:val="Hyperlink"/>
          </w:rPr>
          <w:t>2.1.3</w:t>
        </w:r>
        <w:r w:rsidR="00AA3C4D">
          <w:rPr>
            <w:rFonts w:asciiTheme="minorHAnsi" w:eastAsiaTheme="minorEastAsia" w:hAnsiTheme="minorHAnsi" w:cstheme="minorBidi"/>
            <w:sz w:val="22"/>
            <w:szCs w:val="22"/>
            <w:lang w:eastAsia="en-AU"/>
          </w:rPr>
          <w:tab/>
        </w:r>
        <w:r w:rsidR="00AA3C4D" w:rsidRPr="00E40654">
          <w:rPr>
            <w:rStyle w:val="Hyperlink"/>
          </w:rPr>
          <w:t>Main drivers of replacement</w:t>
        </w:r>
        <w:r w:rsidR="00AA3C4D">
          <w:rPr>
            <w:webHidden/>
          </w:rPr>
          <w:tab/>
        </w:r>
        <w:r w:rsidR="00AA3C4D">
          <w:rPr>
            <w:webHidden/>
          </w:rPr>
          <w:fldChar w:fldCharType="begin"/>
        </w:r>
        <w:r w:rsidR="00AA3C4D">
          <w:rPr>
            <w:webHidden/>
          </w:rPr>
          <w:instrText xml:space="preserve"> PAGEREF _Toc397097247 \h </w:instrText>
        </w:r>
        <w:r w:rsidR="00AA3C4D">
          <w:rPr>
            <w:webHidden/>
          </w:rPr>
        </w:r>
        <w:r w:rsidR="00AA3C4D">
          <w:rPr>
            <w:webHidden/>
          </w:rPr>
          <w:fldChar w:fldCharType="separate"/>
        </w:r>
        <w:r w:rsidR="00B27C70">
          <w:rPr>
            <w:webHidden/>
          </w:rPr>
          <w:t>11</w:t>
        </w:r>
        <w:r w:rsidR="00AA3C4D">
          <w:rPr>
            <w:webHidden/>
          </w:rPr>
          <w:fldChar w:fldCharType="end"/>
        </w:r>
      </w:hyperlink>
    </w:p>
    <w:p w14:paraId="3732E38E" w14:textId="77777777" w:rsidR="00AA3C4D" w:rsidRDefault="00257E36">
      <w:pPr>
        <w:pStyle w:val="TOC3"/>
        <w:rPr>
          <w:rFonts w:asciiTheme="minorHAnsi" w:eastAsiaTheme="minorEastAsia" w:hAnsiTheme="minorHAnsi" w:cstheme="minorBidi"/>
          <w:sz w:val="22"/>
          <w:szCs w:val="22"/>
          <w:lang w:eastAsia="en-AU"/>
        </w:rPr>
      </w:pPr>
      <w:hyperlink w:anchor="_Toc397097248" w:history="1">
        <w:r w:rsidR="00AA3C4D" w:rsidRPr="00E40654">
          <w:rPr>
            <w:rStyle w:val="Hyperlink"/>
          </w:rPr>
          <w:t>2.1.4</w:t>
        </w:r>
        <w:r w:rsidR="00AA3C4D">
          <w:rPr>
            <w:rFonts w:asciiTheme="minorHAnsi" w:eastAsiaTheme="minorEastAsia" w:hAnsiTheme="minorHAnsi" w:cstheme="minorBidi"/>
            <w:sz w:val="22"/>
            <w:szCs w:val="22"/>
            <w:lang w:eastAsia="en-AU"/>
          </w:rPr>
          <w:tab/>
        </w:r>
        <w:r w:rsidR="00AA3C4D" w:rsidRPr="00E40654">
          <w:rPr>
            <w:rStyle w:val="Hyperlink"/>
          </w:rPr>
          <w:t>Explanation replacement unit cost</w:t>
        </w:r>
        <w:r w:rsidR="00AA3C4D">
          <w:rPr>
            <w:webHidden/>
          </w:rPr>
          <w:tab/>
        </w:r>
        <w:r w:rsidR="00AA3C4D">
          <w:rPr>
            <w:webHidden/>
          </w:rPr>
          <w:fldChar w:fldCharType="begin"/>
        </w:r>
        <w:r w:rsidR="00AA3C4D">
          <w:rPr>
            <w:webHidden/>
          </w:rPr>
          <w:instrText xml:space="preserve"> PAGEREF _Toc397097248 \h </w:instrText>
        </w:r>
        <w:r w:rsidR="00AA3C4D">
          <w:rPr>
            <w:webHidden/>
          </w:rPr>
        </w:r>
        <w:r w:rsidR="00AA3C4D">
          <w:rPr>
            <w:webHidden/>
          </w:rPr>
          <w:fldChar w:fldCharType="separate"/>
        </w:r>
        <w:r w:rsidR="00B27C70">
          <w:rPr>
            <w:webHidden/>
          </w:rPr>
          <w:t>12</w:t>
        </w:r>
        <w:r w:rsidR="00AA3C4D">
          <w:rPr>
            <w:webHidden/>
          </w:rPr>
          <w:fldChar w:fldCharType="end"/>
        </w:r>
      </w:hyperlink>
    </w:p>
    <w:p w14:paraId="365085EB" w14:textId="77777777" w:rsidR="00AA3C4D" w:rsidRDefault="00257E36">
      <w:pPr>
        <w:pStyle w:val="TOC2"/>
        <w:rPr>
          <w:rFonts w:asciiTheme="minorHAnsi" w:eastAsiaTheme="minorEastAsia" w:hAnsiTheme="minorHAnsi" w:cstheme="minorBidi"/>
          <w:bCs w:val="0"/>
          <w:szCs w:val="22"/>
          <w:lang w:eastAsia="en-AU"/>
        </w:rPr>
      </w:pPr>
      <w:hyperlink w:anchor="_Toc397097249" w:history="1">
        <w:r w:rsidR="00AA3C4D" w:rsidRPr="00E40654">
          <w:rPr>
            <w:rStyle w:val="Hyperlink"/>
          </w:rPr>
          <w:t>2.2</w:t>
        </w:r>
        <w:r w:rsidR="00AA3C4D">
          <w:rPr>
            <w:rFonts w:asciiTheme="minorHAnsi" w:eastAsiaTheme="minorEastAsia" w:hAnsiTheme="minorHAnsi" w:cstheme="minorBidi"/>
            <w:bCs w:val="0"/>
            <w:szCs w:val="22"/>
            <w:lang w:eastAsia="en-AU"/>
          </w:rPr>
          <w:tab/>
        </w:r>
        <w:r w:rsidR="00AA3C4D" w:rsidRPr="00E40654">
          <w:rPr>
            <w:rStyle w:val="Hyperlink"/>
          </w:rPr>
          <w:t>Proportion of assets replaced</w:t>
        </w:r>
        <w:r w:rsidR="00AA3C4D">
          <w:rPr>
            <w:webHidden/>
          </w:rPr>
          <w:tab/>
        </w:r>
        <w:r w:rsidR="00AA3C4D">
          <w:rPr>
            <w:webHidden/>
          </w:rPr>
          <w:fldChar w:fldCharType="begin"/>
        </w:r>
        <w:r w:rsidR="00AA3C4D">
          <w:rPr>
            <w:webHidden/>
          </w:rPr>
          <w:instrText xml:space="preserve"> PAGEREF _Toc397097249 \h </w:instrText>
        </w:r>
        <w:r w:rsidR="00AA3C4D">
          <w:rPr>
            <w:webHidden/>
          </w:rPr>
        </w:r>
        <w:r w:rsidR="00AA3C4D">
          <w:rPr>
            <w:webHidden/>
          </w:rPr>
          <w:fldChar w:fldCharType="separate"/>
        </w:r>
        <w:r w:rsidR="00B27C70">
          <w:rPr>
            <w:webHidden/>
          </w:rPr>
          <w:t>12</w:t>
        </w:r>
        <w:r w:rsidR="00AA3C4D">
          <w:rPr>
            <w:webHidden/>
          </w:rPr>
          <w:fldChar w:fldCharType="end"/>
        </w:r>
      </w:hyperlink>
    </w:p>
    <w:p w14:paraId="4A2E5F36" w14:textId="77777777" w:rsidR="00AA3C4D" w:rsidRDefault="00257E36">
      <w:pPr>
        <w:pStyle w:val="TOC3"/>
        <w:rPr>
          <w:rFonts w:asciiTheme="minorHAnsi" w:eastAsiaTheme="minorEastAsia" w:hAnsiTheme="minorHAnsi" w:cstheme="minorBidi"/>
          <w:sz w:val="22"/>
          <w:szCs w:val="22"/>
          <w:lang w:eastAsia="en-AU"/>
        </w:rPr>
      </w:pPr>
      <w:hyperlink w:anchor="_Toc397097250" w:history="1">
        <w:r w:rsidR="00AA3C4D" w:rsidRPr="00E40654">
          <w:rPr>
            <w:rStyle w:val="Hyperlink"/>
          </w:rPr>
          <w:t>2.2.1</w:t>
        </w:r>
        <w:r w:rsidR="00AA3C4D">
          <w:rPr>
            <w:rFonts w:asciiTheme="minorHAnsi" w:eastAsiaTheme="minorEastAsia" w:hAnsiTheme="minorHAnsi" w:cstheme="minorBidi"/>
            <w:sz w:val="22"/>
            <w:szCs w:val="22"/>
            <w:lang w:eastAsia="en-AU"/>
          </w:rPr>
          <w:tab/>
        </w:r>
        <w:r w:rsidR="00AA3C4D" w:rsidRPr="00E40654">
          <w:rPr>
            <w:rStyle w:val="Hyperlink"/>
          </w:rPr>
          <w:t>Replacements due to asset ageing</w:t>
        </w:r>
        <w:r w:rsidR="00AA3C4D">
          <w:rPr>
            <w:webHidden/>
          </w:rPr>
          <w:tab/>
        </w:r>
        <w:r w:rsidR="00AA3C4D">
          <w:rPr>
            <w:webHidden/>
          </w:rPr>
          <w:fldChar w:fldCharType="begin"/>
        </w:r>
        <w:r w:rsidR="00AA3C4D">
          <w:rPr>
            <w:webHidden/>
          </w:rPr>
          <w:instrText xml:space="preserve"> PAGEREF _Toc397097250 \h </w:instrText>
        </w:r>
        <w:r w:rsidR="00AA3C4D">
          <w:rPr>
            <w:webHidden/>
          </w:rPr>
        </w:r>
        <w:r w:rsidR="00AA3C4D">
          <w:rPr>
            <w:webHidden/>
          </w:rPr>
          <w:fldChar w:fldCharType="separate"/>
        </w:r>
        <w:r w:rsidR="00B27C70">
          <w:rPr>
            <w:webHidden/>
          </w:rPr>
          <w:t>12</w:t>
        </w:r>
        <w:r w:rsidR="00AA3C4D">
          <w:rPr>
            <w:webHidden/>
          </w:rPr>
          <w:fldChar w:fldCharType="end"/>
        </w:r>
      </w:hyperlink>
    </w:p>
    <w:p w14:paraId="70078876" w14:textId="77777777" w:rsidR="00AA3C4D" w:rsidRDefault="00257E36">
      <w:pPr>
        <w:pStyle w:val="TOC3"/>
        <w:rPr>
          <w:rFonts w:asciiTheme="minorHAnsi" w:eastAsiaTheme="minorEastAsia" w:hAnsiTheme="minorHAnsi" w:cstheme="minorBidi"/>
          <w:sz w:val="22"/>
          <w:szCs w:val="22"/>
          <w:lang w:eastAsia="en-AU"/>
        </w:rPr>
      </w:pPr>
      <w:hyperlink w:anchor="_Toc397097251" w:history="1">
        <w:r w:rsidR="00AA3C4D" w:rsidRPr="00E40654">
          <w:rPr>
            <w:rStyle w:val="Hyperlink"/>
          </w:rPr>
          <w:t>2.2.2</w:t>
        </w:r>
        <w:r w:rsidR="00AA3C4D">
          <w:rPr>
            <w:rFonts w:asciiTheme="minorHAnsi" w:eastAsiaTheme="minorEastAsia" w:hAnsiTheme="minorHAnsi" w:cstheme="minorBidi"/>
            <w:sz w:val="22"/>
            <w:szCs w:val="22"/>
            <w:lang w:eastAsia="en-AU"/>
          </w:rPr>
          <w:tab/>
        </w:r>
        <w:r w:rsidR="00AA3C4D" w:rsidRPr="00E40654">
          <w:rPr>
            <w:rStyle w:val="Hyperlink"/>
          </w:rPr>
          <w:t>Replacement due to other factors</w:t>
        </w:r>
        <w:r w:rsidR="00AA3C4D">
          <w:rPr>
            <w:webHidden/>
          </w:rPr>
          <w:tab/>
        </w:r>
        <w:r w:rsidR="00AA3C4D">
          <w:rPr>
            <w:webHidden/>
          </w:rPr>
          <w:fldChar w:fldCharType="begin"/>
        </w:r>
        <w:r w:rsidR="00AA3C4D">
          <w:rPr>
            <w:webHidden/>
          </w:rPr>
          <w:instrText xml:space="preserve"> PAGEREF _Toc397097251 \h </w:instrText>
        </w:r>
        <w:r w:rsidR="00AA3C4D">
          <w:rPr>
            <w:webHidden/>
          </w:rPr>
        </w:r>
        <w:r w:rsidR="00AA3C4D">
          <w:rPr>
            <w:webHidden/>
          </w:rPr>
          <w:fldChar w:fldCharType="separate"/>
        </w:r>
        <w:r w:rsidR="00B27C70">
          <w:rPr>
            <w:webHidden/>
          </w:rPr>
          <w:t>13</w:t>
        </w:r>
        <w:r w:rsidR="00AA3C4D">
          <w:rPr>
            <w:webHidden/>
          </w:rPr>
          <w:fldChar w:fldCharType="end"/>
        </w:r>
      </w:hyperlink>
    </w:p>
    <w:p w14:paraId="6C0AFBA5" w14:textId="77777777" w:rsidR="00AA3C4D" w:rsidRDefault="00257E36">
      <w:pPr>
        <w:pStyle w:val="TOC3"/>
        <w:rPr>
          <w:rFonts w:asciiTheme="minorHAnsi" w:eastAsiaTheme="minorEastAsia" w:hAnsiTheme="minorHAnsi" w:cstheme="minorBidi"/>
          <w:sz w:val="22"/>
          <w:szCs w:val="22"/>
          <w:lang w:eastAsia="en-AU"/>
        </w:rPr>
      </w:pPr>
      <w:hyperlink w:anchor="_Toc397097252" w:history="1">
        <w:r w:rsidR="00AA3C4D" w:rsidRPr="00E40654">
          <w:rPr>
            <w:rStyle w:val="Hyperlink"/>
          </w:rPr>
          <w:t>2.2.3</w:t>
        </w:r>
        <w:r w:rsidR="00AA3C4D">
          <w:rPr>
            <w:rFonts w:asciiTheme="minorHAnsi" w:eastAsiaTheme="minorEastAsia" w:hAnsiTheme="minorHAnsi" w:cstheme="minorBidi"/>
            <w:sz w:val="22"/>
            <w:szCs w:val="22"/>
            <w:lang w:eastAsia="en-AU"/>
          </w:rPr>
          <w:tab/>
        </w:r>
        <w:r w:rsidR="00AA3C4D" w:rsidRPr="00E40654">
          <w:rPr>
            <w:rStyle w:val="Hyperlink"/>
          </w:rPr>
          <w:t>Replacement due to network augmentation, extension, development</w:t>
        </w:r>
        <w:r w:rsidR="00AA3C4D">
          <w:rPr>
            <w:webHidden/>
          </w:rPr>
          <w:tab/>
        </w:r>
        <w:r w:rsidR="00AA3C4D">
          <w:rPr>
            <w:webHidden/>
          </w:rPr>
          <w:fldChar w:fldCharType="begin"/>
        </w:r>
        <w:r w:rsidR="00AA3C4D">
          <w:rPr>
            <w:webHidden/>
          </w:rPr>
          <w:instrText xml:space="preserve"> PAGEREF _Toc397097252 \h </w:instrText>
        </w:r>
        <w:r w:rsidR="00AA3C4D">
          <w:rPr>
            <w:webHidden/>
          </w:rPr>
        </w:r>
        <w:r w:rsidR="00AA3C4D">
          <w:rPr>
            <w:webHidden/>
          </w:rPr>
          <w:fldChar w:fldCharType="separate"/>
        </w:r>
        <w:r w:rsidR="00B27C70">
          <w:rPr>
            <w:webHidden/>
          </w:rPr>
          <w:t>13</w:t>
        </w:r>
        <w:r w:rsidR="00AA3C4D">
          <w:rPr>
            <w:webHidden/>
          </w:rPr>
          <w:fldChar w:fldCharType="end"/>
        </w:r>
      </w:hyperlink>
    </w:p>
    <w:p w14:paraId="7C64CE9E" w14:textId="77777777" w:rsidR="00AA3C4D" w:rsidRDefault="00257E36">
      <w:pPr>
        <w:pStyle w:val="TOC3"/>
        <w:rPr>
          <w:rFonts w:asciiTheme="minorHAnsi" w:eastAsiaTheme="minorEastAsia" w:hAnsiTheme="minorHAnsi" w:cstheme="minorBidi"/>
          <w:sz w:val="22"/>
          <w:szCs w:val="22"/>
          <w:lang w:eastAsia="en-AU"/>
        </w:rPr>
      </w:pPr>
      <w:hyperlink w:anchor="_Toc397097253" w:history="1">
        <w:r w:rsidR="00AA3C4D" w:rsidRPr="00E40654">
          <w:rPr>
            <w:rStyle w:val="Hyperlink"/>
          </w:rPr>
          <w:t>2.2.4</w:t>
        </w:r>
        <w:r w:rsidR="00AA3C4D">
          <w:rPr>
            <w:rFonts w:asciiTheme="minorHAnsi" w:eastAsiaTheme="minorEastAsia" w:hAnsiTheme="minorHAnsi" w:cstheme="minorBidi"/>
            <w:sz w:val="22"/>
            <w:szCs w:val="22"/>
            <w:lang w:eastAsia="en-AU"/>
          </w:rPr>
          <w:tab/>
        </w:r>
        <w:r w:rsidR="00AA3C4D" w:rsidRPr="00E40654">
          <w:rPr>
            <w:rStyle w:val="Hyperlink"/>
          </w:rPr>
          <w:t>Additional assets due to other factors</w:t>
        </w:r>
        <w:r w:rsidR="00AA3C4D">
          <w:rPr>
            <w:webHidden/>
          </w:rPr>
          <w:tab/>
        </w:r>
        <w:r w:rsidR="00AA3C4D">
          <w:rPr>
            <w:webHidden/>
          </w:rPr>
          <w:fldChar w:fldCharType="begin"/>
        </w:r>
        <w:r w:rsidR="00AA3C4D">
          <w:rPr>
            <w:webHidden/>
          </w:rPr>
          <w:instrText xml:space="preserve"> PAGEREF _Toc397097253 \h </w:instrText>
        </w:r>
        <w:r w:rsidR="00AA3C4D">
          <w:rPr>
            <w:webHidden/>
          </w:rPr>
        </w:r>
        <w:r w:rsidR="00AA3C4D">
          <w:rPr>
            <w:webHidden/>
          </w:rPr>
          <w:fldChar w:fldCharType="separate"/>
        </w:r>
        <w:r w:rsidR="00B27C70">
          <w:rPr>
            <w:webHidden/>
          </w:rPr>
          <w:t>15</w:t>
        </w:r>
        <w:r w:rsidR="00AA3C4D">
          <w:rPr>
            <w:webHidden/>
          </w:rPr>
          <w:fldChar w:fldCharType="end"/>
        </w:r>
      </w:hyperlink>
    </w:p>
    <w:p w14:paraId="42576FF8" w14:textId="77777777" w:rsidR="00AA3C4D" w:rsidRDefault="00257E36">
      <w:pPr>
        <w:pStyle w:val="TOC1"/>
        <w:rPr>
          <w:rFonts w:asciiTheme="minorHAnsi" w:eastAsiaTheme="minorEastAsia" w:hAnsiTheme="minorHAnsi" w:cstheme="minorBidi"/>
          <w:b w:val="0"/>
          <w:bCs w:val="0"/>
          <w:caps w:val="0"/>
          <w:noProof/>
          <w:szCs w:val="22"/>
          <w:lang w:eastAsia="en-AU"/>
        </w:rPr>
      </w:pPr>
      <w:hyperlink w:anchor="_Toc397097254" w:history="1">
        <w:r w:rsidR="00AA3C4D" w:rsidRPr="00E40654">
          <w:rPr>
            <w:rStyle w:val="Hyperlink"/>
            <w:noProof/>
          </w:rPr>
          <w:t>3</w:t>
        </w:r>
        <w:r w:rsidR="00AA3C4D">
          <w:rPr>
            <w:rFonts w:asciiTheme="minorHAnsi" w:eastAsiaTheme="minorEastAsia" w:hAnsiTheme="minorHAnsi" w:cstheme="minorBidi"/>
            <w:b w:val="0"/>
            <w:bCs w:val="0"/>
            <w:caps w:val="0"/>
            <w:noProof/>
            <w:szCs w:val="22"/>
            <w:lang w:eastAsia="en-AU"/>
          </w:rPr>
          <w:tab/>
        </w:r>
        <w:r w:rsidR="00AA3C4D" w:rsidRPr="00E40654">
          <w:rPr>
            <w:rStyle w:val="Hyperlink"/>
            <w:noProof/>
          </w:rPr>
          <w:t>Replacement life statistics</w:t>
        </w:r>
        <w:r w:rsidR="00AA3C4D">
          <w:rPr>
            <w:noProof/>
            <w:webHidden/>
          </w:rPr>
          <w:tab/>
        </w:r>
        <w:r w:rsidR="00AA3C4D">
          <w:rPr>
            <w:noProof/>
            <w:webHidden/>
          </w:rPr>
          <w:fldChar w:fldCharType="begin"/>
        </w:r>
        <w:r w:rsidR="00AA3C4D">
          <w:rPr>
            <w:noProof/>
            <w:webHidden/>
          </w:rPr>
          <w:instrText xml:space="preserve"> PAGEREF _Toc397097254 \h </w:instrText>
        </w:r>
        <w:r w:rsidR="00AA3C4D">
          <w:rPr>
            <w:noProof/>
            <w:webHidden/>
          </w:rPr>
        </w:r>
        <w:r w:rsidR="00AA3C4D">
          <w:rPr>
            <w:noProof/>
            <w:webHidden/>
          </w:rPr>
          <w:fldChar w:fldCharType="separate"/>
        </w:r>
        <w:r w:rsidR="00B27C70">
          <w:rPr>
            <w:noProof/>
            <w:webHidden/>
          </w:rPr>
          <w:t>16</w:t>
        </w:r>
        <w:r w:rsidR="00AA3C4D">
          <w:rPr>
            <w:noProof/>
            <w:webHidden/>
          </w:rPr>
          <w:fldChar w:fldCharType="end"/>
        </w:r>
      </w:hyperlink>
    </w:p>
    <w:p w14:paraId="2F6F5E94" w14:textId="77777777" w:rsidR="00AA3C4D" w:rsidRDefault="00257E36">
      <w:pPr>
        <w:pStyle w:val="TOC2"/>
        <w:rPr>
          <w:rFonts w:asciiTheme="minorHAnsi" w:eastAsiaTheme="minorEastAsia" w:hAnsiTheme="minorHAnsi" w:cstheme="minorBidi"/>
          <w:bCs w:val="0"/>
          <w:szCs w:val="22"/>
          <w:lang w:eastAsia="en-AU"/>
        </w:rPr>
      </w:pPr>
      <w:hyperlink w:anchor="_Toc397097255" w:history="1">
        <w:r w:rsidR="00AA3C4D" w:rsidRPr="00E40654">
          <w:rPr>
            <w:rStyle w:val="Hyperlink"/>
          </w:rPr>
          <w:t>3.1</w:t>
        </w:r>
        <w:r w:rsidR="00AA3C4D">
          <w:rPr>
            <w:rFonts w:asciiTheme="minorHAnsi" w:eastAsiaTheme="minorEastAsia" w:hAnsiTheme="minorHAnsi" w:cstheme="minorBidi"/>
            <w:bCs w:val="0"/>
            <w:szCs w:val="22"/>
            <w:lang w:eastAsia="en-AU"/>
          </w:rPr>
          <w:tab/>
        </w:r>
        <w:r w:rsidR="00AA3C4D" w:rsidRPr="00E40654">
          <w:rPr>
            <w:rStyle w:val="Hyperlink"/>
          </w:rPr>
          <w:t>Overview</w:t>
        </w:r>
        <w:r w:rsidR="00AA3C4D">
          <w:rPr>
            <w:webHidden/>
          </w:rPr>
          <w:tab/>
        </w:r>
        <w:r w:rsidR="00AA3C4D">
          <w:rPr>
            <w:webHidden/>
          </w:rPr>
          <w:fldChar w:fldCharType="begin"/>
        </w:r>
        <w:r w:rsidR="00AA3C4D">
          <w:rPr>
            <w:webHidden/>
          </w:rPr>
          <w:instrText xml:space="preserve"> PAGEREF _Toc397097255 \h </w:instrText>
        </w:r>
        <w:r w:rsidR="00AA3C4D">
          <w:rPr>
            <w:webHidden/>
          </w:rPr>
        </w:r>
        <w:r w:rsidR="00AA3C4D">
          <w:rPr>
            <w:webHidden/>
          </w:rPr>
          <w:fldChar w:fldCharType="separate"/>
        </w:r>
        <w:r w:rsidR="00B27C70">
          <w:rPr>
            <w:webHidden/>
          </w:rPr>
          <w:t>16</w:t>
        </w:r>
        <w:r w:rsidR="00AA3C4D">
          <w:rPr>
            <w:webHidden/>
          </w:rPr>
          <w:fldChar w:fldCharType="end"/>
        </w:r>
      </w:hyperlink>
    </w:p>
    <w:p w14:paraId="5E8C134E" w14:textId="77777777" w:rsidR="00AA3C4D" w:rsidRDefault="00257E36">
      <w:pPr>
        <w:pStyle w:val="TOC3"/>
        <w:rPr>
          <w:rFonts w:asciiTheme="minorHAnsi" w:eastAsiaTheme="minorEastAsia" w:hAnsiTheme="minorHAnsi" w:cstheme="minorBidi"/>
          <w:sz w:val="22"/>
          <w:szCs w:val="22"/>
          <w:lang w:eastAsia="en-AU"/>
        </w:rPr>
      </w:pPr>
      <w:hyperlink w:anchor="_Toc397097256" w:history="1">
        <w:r w:rsidR="00AA3C4D" w:rsidRPr="00E40654">
          <w:rPr>
            <w:rStyle w:val="Hyperlink"/>
          </w:rPr>
          <w:t>3.1.1</w:t>
        </w:r>
        <w:r w:rsidR="00AA3C4D">
          <w:rPr>
            <w:rFonts w:asciiTheme="minorHAnsi" w:eastAsiaTheme="minorEastAsia" w:hAnsiTheme="minorHAnsi" w:cstheme="minorBidi"/>
            <w:sz w:val="22"/>
            <w:szCs w:val="22"/>
            <w:lang w:eastAsia="en-AU"/>
          </w:rPr>
          <w:tab/>
        </w:r>
        <w:r w:rsidR="00AA3C4D" w:rsidRPr="00E40654">
          <w:rPr>
            <w:rStyle w:val="Hyperlink"/>
          </w:rPr>
          <w:t>Data sources</w:t>
        </w:r>
        <w:r w:rsidR="00AA3C4D">
          <w:rPr>
            <w:webHidden/>
          </w:rPr>
          <w:tab/>
        </w:r>
        <w:r w:rsidR="00AA3C4D">
          <w:rPr>
            <w:webHidden/>
          </w:rPr>
          <w:fldChar w:fldCharType="begin"/>
        </w:r>
        <w:r w:rsidR="00AA3C4D">
          <w:rPr>
            <w:webHidden/>
          </w:rPr>
          <w:instrText xml:space="preserve"> PAGEREF _Toc397097256 \h </w:instrText>
        </w:r>
        <w:r w:rsidR="00AA3C4D">
          <w:rPr>
            <w:webHidden/>
          </w:rPr>
        </w:r>
        <w:r w:rsidR="00AA3C4D">
          <w:rPr>
            <w:webHidden/>
          </w:rPr>
          <w:fldChar w:fldCharType="separate"/>
        </w:r>
        <w:r w:rsidR="00B27C70">
          <w:rPr>
            <w:webHidden/>
          </w:rPr>
          <w:t>16</w:t>
        </w:r>
        <w:r w:rsidR="00AA3C4D">
          <w:rPr>
            <w:webHidden/>
          </w:rPr>
          <w:fldChar w:fldCharType="end"/>
        </w:r>
      </w:hyperlink>
    </w:p>
    <w:p w14:paraId="3ECD7260" w14:textId="77777777" w:rsidR="00AA3C4D" w:rsidRDefault="00257E36">
      <w:pPr>
        <w:pStyle w:val="TOC3"/>
        <w:rPr>
          <w:rFonts w:asciiTheme="minorHAnsi" w:eastAsiaTheme="minorEastAsia" w:hAnsiTheme="minorHAnsi" w:cstheme="minorBidi"/>
          <w:sz w:val="22"/>
          <w:szCs w:val="22"/>
          <w:lang w:eastAsia="en-AU"/>
        </w:rPr>
      </w:pPr>
      <w:hyperlink w:anchor="_Toc397097257" w:history="1">
        <w:r w:rsidR="00AA3C4D" w:rsidRPr="00E40654">
          <w:rPr>
            <w:rStyle w:val="Hyperlink"/>
          </w:rPr>
          <w:t>3.1.2</w:t>
        </w:r>
        <w:r w:rsidR="00AA3C4D">
          <w:rPr>
            <w:rFonts w:asciiTheme="minorHAnsi" w:eastAsiaTheme="minorEastAsia" w:hAnsiTheme="minorHAnsi" w:cstheme="minorBidi"/>
            <w:sz w:val="22"/>
            <w:szCs w:val="22"/>
            <w:lang w:eastAsia="en-AU"/>
          </w:rPr>
          <w:tab/>
        </w:r>
        <w:r w:rsidR="00AA3C4D" w:rsidRPr="00E40654">
          <w:rPr>
            <w:rStyle w:val="Hyperlink"/>
          </w:rPr>
          <w:t>Methodology</w:t>
        </w:r>
        <w:r w:rsidR="00AA3C4D">
          <w:rPr>
            <w:webHidden/>
          </w:rPr>
          <w:tab/>
        </w:r>
        <w:r w:rsidR="00AA3C4D">
          <w:rPr>
            <w:webHidden/>
          </w:rPr>
          <w:fldChar w:fldCharType="begin"/>
        </w:r>
        <w:r w:rsidR="00AA3C4D">
          <w:rPr>
            <w:webHidden/>
          </w:rPr>
          <w:instrText xml:space="preserve"> PAGEREF _Toc397097257 \h </w:instrText>
        </w:r>
        <w:r w:rsidR="00AA3C4D">
          <w:rPr>
            <w:webHidden/>
          </w:rPr>
        </w:r>
        <w:r w:rsidR="00AA3C4D">
          <w:rPr>
            <w:webHidden/>
          </w:rPr>
          <w:fldChar w:fldCharType="separate"/>
        </w:r>
        <w:r w:rsidR="00B27C70">
          <w:rPr>
            <w:webHidden/>
          </w:rPr>
          <w:t>18</w:t>
        </w:r>
        <w:r w:rsidR="00AA3C4D">
          <w:rPr>
            <w:webHidden/>
          </w:rPr>
          <w:fldChar w:fldCharType="end"/>
        </w:r>
      </w:hyperlink>
    </w:p>
    <w:p w14:paraId="6AA99AF3" w14:textId="77777777" w:rsidR="00AA3C4D" w:rsidRDefault="00257E36">
      <w:pPr>
        <w:pStyle w:val="TOC3"/>
        <w:rPr>
          <w:rFonts w:asciiTheme="minorHAnsi" w:eastAsiaTheme="minorEastAsia" w:hAnsiTheme="minorHAnsi" w:cstheme="minorBidi"/>
          <w:sz w:val="22"/>
          <w:szCs w:val="22"/>
          <w:lang w:eastAsia="en-AU"/>
        </w:rPr>
      </w:pPr>
      <w:hyperlink w:anchor="_Toc397097258" w:history="1">
        <w:r w:rsidR="00AA3C4D" w:rsidRPr="00E40654">
          <w:rPr>
            <w:rStyle w:val="Hyperlink"/>
          </w:rPr>
          <w:t>3.1.3</w:t>
        </w:r>
        <w:r w:rsidR="00AA3C4D">
          <w:rPr>
            <w:rFonts w:asciiTheme="minorHAnsi" w:eastAsiaTheme="minorEastAsia" w:hAnsiTheme="minorHAnsi" w:cstheme="minorBidi"/>
            <w:sz w:val="22"/>
            <w:szCs w:val="22"/>
            <w:lang w:eastAsia="en-AU"/>
          </w:rPr>
          <w:tab/>
        </w:r>
        <w:r w:rsidR="00AA3C4D" w:rsidRPr="00E40654">
          <w:rPr>
            <w:rStyle w:val="Hyperlink"/>
          </w:rPr>
          <w:t>Assumptions</w:t>
        </w:r>
        <w:r w:rsidR="00AA3C4D">
          <w:rPr>
            <w:webHidden/>
          </w:rPr>
          <w:tab/>
        </w:r>
        <w:r w:rsidR="00AA3C4D">
          <w:rPr>
            <w:webHidden/>
          </w:rPr>
          <w:fldChar w:fldCharType="begin"/>
        </w:r>
        <w:r w:rsidR="00AA3C4D">
          <w:rPr>
            <w:webHidden/>
          </w:rPr>
          <w:instrText xml:space="preserve"> PAGEREF _Toc397097258 \h </w:instrText>
        </w:r>
        <w:r w:rsidR="00AA3C4D">
          <w:rPr>
            <w:webHidden/>
          </w:rPr>
        </w:r>
        <w:r w:rsidR="00AA3C4D">
          <w:rPr>
            <w:webHidden/>
          </w:rPr>
          <w:fldChar w:fldCharType="separate"/>
        </w:r>
        <w:r w:rsidR="00B27C70">
          <w:rPr>
            <w:webHidden/>
          </w:rPr>
          <w:t>18</w:t>
        </w:r>
        <w:r w:rsidR="00AA3C4D">
          <w:rPr>
            <w:webHidden/>
          </w:rPr>
          <w:fldChar w:fldCharType="end"/>
        </w:r>
      </w:hyperlink>
    </w:p>
    <w:p w14:paraId="07AA4076" w14:textId="77777777" w:rsidR="00AA3C4D" w:rsidRDefault="00257E36">
      <w:pPr>
        <w:pStyle w:val="TOC2"/>
        <w:rPr>
          <w:rFonts w:asciiTheme="minorHAnsi" w:eastAsiaTheme="minorEastAsia" w:hAnsiTheme="minorHAnsi" w:cstheme="minorBidi"/>
          <w:bCs w:val="0"/>
          <w:szCs w:val="22"/>
          <w:lang w:eastAsia="en-AU"/>
        </w:rPr>
      </w:pPr>
      <w:hyperlink w:anchor="_Toc397097259" w:history="1">
        <w:r w:rsidR="00AA3C4D" w:rsidRPr="00E40654">
          <w:rPr>
            <w:rStyle w:val="Hyperlink"/>
          </w:rPr>
          <w:t>3.2</w:t>
        </w:r>
        <w:r w:rsidR="00AA3C4D">
          <w:rPr>
            <w:rFonts w:asciiTheme="minorHAnsi" w:eastAsiaTheme="minorEastAsia" w:hAnsiTheme="minorHAnsi" w:cstheme="minorBidi"/>
            <w:bCs w:val="0"/>
            <w:szCs w:val="22"/>
            <w:lang w:eastAsia="en-AU"/>
          </w:rPr>
          <w:tab/>
        </w:r>
        <w:r w:rsidR="00AA3C4D" w:rsidRPr="00E40654">
          <w:rPr>
            <w:rStyle w:val="Hyperlink"/>
          </w:rPr>
          <w:t>Relationship to historic replacement lives</w:t>
        </w:r>
        <w:r w:rsidR="00AA3C4D">
          <w:rPr>
            <w:webHidden/>
          </w:rPr>
          <w:tab/>
        </w:r>
        <w:r w:rsidR="00AA3C4D">
          <w:rPr>
            <w:webHidden/>
          </w:rPr>
          <w:fldChar w:fldCharType="begin"/>
        </w:r>
        <w:r w:rsidR="00AA3C4D">
          <w:rPr>
            <w:webHidden/>
          </w:rPr>
          <w:instrText xml:space="preserve"> PAGEREF _Toc397097259 \h </w:instrText>
        </w:r>
        <w:r w:rsidR="00AA3C4D">
          <w:rPr>
            <w:webHidden/>
          </w:rPr>
        </w:r>
        <w:r w:rsidR="00AA3C4D">
          <w:rPr>
            <w:webHidden/>
          </w:rPr>
          <w:fldChar w:fldCharType="separate"/>
        </w:r>
        <w:r w:rsidR="00B27C70">
          <w:rPr>
            <w:webHidden/>
          </w:rPr>
          <w:t>19</w:t>
        </w:r>
        <w:r w:rsidR="00AA3C4D">
          <w:rPr>
            <w:webHidden/>
          </w:rPr>
          <w:fldChar w:fldCharType="end"/>
        </w:r>
      </w:hyperlink>
    </w:p>
    <w:p w14:paraId="29779CBA" w14:textId="77777777" w:rsidR="00AA3C4D" w:rsidRDefault="00257E36">
      <w:pPr>
        <w:pStyle w:val="TOC2"/>
        <w:rPr>
          <w:rFonts w:asciiTheme="minorHAnsi" w:eastAsiaTheme="minorEastAsia" w:hAnsiTheme="minorHAnsi" w:cstheme="minorBidi"/>
          <w:bCs w:val="0"/>
          <w:szCs w:val="22"/>
          <w:lang w:eastAsia="en-AU"/>
        </w:rPr>
      </w:pPr>
      <w:hyperlink w:anchor="_Toc397097260" w:history="1">
        <w:r w:rsidR="00AA3C4D" w:rsidRPr="00E40654">
          <w:rPr>
            <w:rStyle w:val="Hyperlink"/>
          </w:rPr>
          <w:t>3.3</w:t>
        </w:r>
        <w:r w:rsidR="00AA3C4D">
          <w:rPr>
            <w:rFonts w:asciiTheme="minorHAnsi" w:eastAsiaTheme="minorEastAsia" w:hAnsiTheme="minorHAnsi" w:cstheme="minorBidi"/>
            <w:bCs w:val="0"/>
            <w:szCs w:val="22"/>
            <w:lang w:eastAsia="en-AU"/>
          </w:rPr>
          <w:tab/>
        </w:r>
        <w:r w:rsidR="00AA3C4D" w:rsidRPr="00E40654">
          <w:rPr>
            <w:rStyle w:val="Hyperlink"/>
          </w:rPr>
          <w:t>Views on probability distribution used in Repex</w:t>
        </w:r>
        <w:r w:rsidR="00AA3C4D">
          <w:rPr>
            <w:webHidden/>
          </w:rPr>
          <w:tab/>
        </w:r>
        <w:r w:rsidR="00AA3C4D">
          <w:rPr>
            <w:webHidden/>
          </w:rPr>
          <w:fldChar w:fldCharType="begin"/>
        </w:r>
        <w:r w:rsidR="00AA3C4D">
          <w:rPr>
            <w:webHidden/>
          </w:rPr>
          <w:instrText xml:space="preserve"> PAGEREF _Toc397097260 \h </w:instrText>
        </w:r>
        <w:r w:rsidR="00AA3C4D">
          <w:rPr>
            <w:webHidden/>
          </w:rPr>
        </w:r>
        <w:r w:rsidR="00AA3C4D">
          <w:rPr>
            <w:webHidden/>
          </w:rPr>
          <w:fldChar w:fldCharType="separate"/>
        </w:r>
        <w:r w:rsidR="00B27C70">
          <w:rPr>
            <w:webHidden/>
          </w:rPr>
          <w:t>19</w:t>
        </w:r>
        <w:r w:rsidR="00AA3C4D">
          <w:rPr>
            <w:webHidden/>
          </w:rPr>
          <w:fldChar w:fldCharType="end"/>
        </w:r>
      </w:hyperlink>
    </w:p>
    <w:p w14:paraId="6CC44556" w14:textId="77777777" w:rsidR="00AA3C4D" w:rsidRDefault="00257E36">
      <w:pPr>
        <w:pStyle w:val="TOC3"/>
        <w:rPr>
          <w:rFonts w:asciiTheme="minorHAnsi" w:eastAsiaTheme="minorEastAsia" w:hAnsiTheme="minorHAnsi" w:cstheme="minorBidi"/>
          <w:sz w:val="22"/>
          <w:szCs w:val="22"/>
          <w:lang w:eastAsia="en-AU"/>
        </w:rPr>
      </w:pPr>
      <w:hyperlink w:anchor="_Toc397097261" w:history="1">
        <w:r w:rsidR="00AA3C4D" w:rsidRPr="00E40654">
          <w:rPr>
            <w:rStyle w:val="Hyperlink"/>
          </w:rPr>
          <w:t>3.3.1</w:t>
        </w:r>
        <w:r w:rsidR="00AA3C4D">
          <w:rPr>
            <w:rFonts w:asciiTheme="minorHAnsi" w:eastAsiaTheme="minorEastAsia" w:hAnsiTheme="minorHAnsi" w:cstheme="minorBidi"/>
            <w:sz w:val="22"/>
            <w:szCs w:val="22"/>
            <w:lang w:eastAsia="en-AU"/>
          </w:rPr>
          <w:tab/>
        </w:r>
        <w:r w:rsidR="00AA3C4D" w:rsidRPr="00E40654">
          <w:rPr>
            <w:rStyle w:val="Hyperlink"/>
          </w:rPr>
          <w:t>Appropriateness of a normal distribution</w:t>
        </w:r>
        <w:r w:rsidR="00AA3C4D">
          <w:rPr>
            <w:webHidden/>
          </w:rPr>
          <w:tab/>
        </w:r>
        <w:r w:rsidR="00AA3C4D">
          <w:rPr>
            <w:webHidden/>
          </w:rPr>
          <w:fldChar w:fldCharType="begin"/>
        </w:r>
        <w:r w:rsidR="00AA3C4D">
          <w:rPr>
            <w:webHidden/>
          </w:rPr>
          <w:instrText xml:space="preserve"> PAGEREF _Toc397097261 \h </w:instrText>
        </w:r>
        <w:r w:rsidR="00AA3C4D">
          <w:rPr>
            <w:webHidden/>
          </w:rPr>
        </w:r>
        <w:r w:rsidR="00AA3C4D">
          <w:rPr>
            <w:webHidden/>
          </w:rPr>
          <w:fldChar w:fldCharType="separate"/>
        </w:r>
        <w:r w:rsidR="00B27C70">
          <w:rPr>
            <w:webHidden/>
          </w:rPr>
          <w:t>19</w:t>
        </w:r>
        <w:r w:rsidR="00AA3C4D">
          <w:rPr>
            <w:webHidden/>
          </w:rPr>
          <w:fldChar w:fldCharType="end"/>
        </w:r>
      </w:hyperlink>
    </w:p>
    <w:p w14:paraId="40A4F62B" w14:textId="77777777" w:rsidR="00AA3C4D" w:rsidRDefault="00257E36">
      <w:pPr>
        <w:pStyle w:val="TOC3"/>
        <w:rPr>
          <w:rFonts w:asciiTheme="minorHAnsi" w:eastAsiaTheme="minorEastAsia" w:hAnsiTheme="minorHAnsi" w:cstheme="minorBidi"/>
          <w:sz w:val="22"/>
          <w:szCs w:val="22"/>
          <w:lang w:eastAsia="en-AU"/>
        </w:rPr>
      </w:pPr>
      <w:hyperlink w:anchor="_Toc397097262" w:history="1">
        <w:r w:rsidR="00AA3C4D" w:rsidRPr="00E40654">
          <w:rPr>
            <w:rStyle w:val="Hyperlink"/>
          </w:rPr>
          <w:t>3.3.2</w:t>
        </w:r>
        <w:r w:rsidR="00AA3C4D">
          <w:rPr>
            <w:rFonts w:asciiTheme="minorHAnsi" w:eastAsiaTheme="minorEastAsia" w:hAnsiTheme="minorHAnsi" w:cstheme="minorBidi"/>
            <w:sz w:val="22"/>
            <w:szCs w:val="22"/>
            <w:lang w:eastAsia="en-AU"/>
          </w:rPr>
          <w:tab/>
        </w:r>
        <w:r w:rsidR="00AA3C4D" w:rsidRPr="00E40654">
          <w:rPr>
            <w:rStyle w:val="Hyperlink"/>
          </w:rPr>
          <w:t>Typical age when “wear out” phase becomes evident</w:t>
        </w:r>
        <w:r w:rsidR="00AA3C4D">
          <w:rPr>
            <w:webHidden/>
          </w:rPr>
          <w:tab/>
        </w:r>
        <w:r w:rsidR="00AA3C4D">
          <w:rPr>
            <w:webHidden/>
          </w:rPr>
          <w:fldChar w:fldCharType="begin"/>
        </w:r>
        <w:r w:rsidR="00AA3C4D">
          <w:rPr>
            <w:webHidden/>
          </w:rPr>
          <w:instrText xml:space="preserve"> PAGEREF _Toc397097262 \h </w:instrText>
        </w:r>
        <w:r w:rsidR="00AA3C4D">
          <w:rPr>
            <w:webHidden/>
          </w:rPr>
        </w:r>
        <w:r w:rsidR="00AA3C4D">
          <w:rPr>
            <w:webHidden/>
          </w:rPr>
          <w:fldChar w:fldCharType="separate"/>
        </w:r>
        <w:r w:rsidR="00B27C70">
          <w:rPr>
            <w:webHidden/>
          </w:rPr>
          <w:t>19</w:t>
        </w:r>
        <w:r w:rsidR="00AA3C4D">
          <w:rPr>
            <w:webHidden/>
          </w:rPr>
          <w:fldChar w:fldCharType="end"/>
        </w:r>
      </w:hyperlink>
    </w:p>
    <w:p w14:paraId="1384A81D" w14:textId="77777777" w:rsidR="00AA3C4D" w:rsidRDefault="00257E36">
      <w:pPr>
        <w:pStyle w:val="TOC3"/>
        <w:rPr>
          <w:rFonts w:asciiTheme="minorHAnsi" w:eastAsiaTheme="minorEastAsia" w:hAnsiTheme="minorHAnsi" w:cstheme="minorBidi"/>
          <w:sz w:val="22"/>
          <w:szCs w:val="22"/>
          <w:lang w:eastAsia="en-AU"/>
        </w:rPr>
      </w:pPr>
      <w:hyperlink w:anchor="_Toc397097263" w:history="1">
        <w:r w:rsidR="00AA3C4D" w:rsidRPr="00E40654">
          <w:rPr>
            <w:rStyle w:val="Hyperlink"/>
          </w:rPr>
          <w:t>3.3.3</w:t>
        </w:r>
        <w:r w:rsidR="00AA3C4D">
          <w:rPr>
            <w:rFonts w:asciiTheme="minorHAnsi" w:eastAsiaTheme="minorEastAsia" w:hAnsiTheme="minorHAnsi" w:cstheme="minorBidi"/>
            <w:sz w:val="22"/>
            <w:szCs w:val="22"/>
            <w:lang w:eastAsia="en-AU"/>
          </w:rPr>
          <w:tab/>
        </w:r>
        <w:r w:rsidR="00AA3C4D" w:rsidRPr="00E40654">
          <w:rPr>
            <w:rStyle w:val="Hyperlink"/>
          </w:rPr>
          <w:t>Skewness of the distribution</w:t>
        </w:r>
        <w:r w:rsidR="00AA3C4D">
          <w:rPr>
            <w:webHidden/>
          </w:rPr>
          <w:tab/>
        </w:r>
        <w:r w:rsidR="00AA3C4D">
          <w:rPr>
            <w:webHidden/>
          </w:rPr>
          <w:fldChar w:fldCharType="begin"/>
        </w:r>
        <w:r w:rsidR="00AA3C4D">
          <w:rPr>
            <w:webHidden/>
          </w:rPr>
          <w:instrText xml:space="preserve"> PAGEREF _Toc397097263 \h </w:instrText>
        </w:r>
        <w:r w:rsidR="00AA3C4D">
          <w:rPr>
            <w:webHidden/>
          </w:rPr>
        </w:r>
        <w:r w:rsidR="00AA3C4D">
          <w:rPr>
            <w:webHidden/>
          </w:rPr>
          <w:fldChar w:fldCharType="separate"/>
        </w:r>
        <w:r w:rsidR="00B27C70">
          <w:rPr>
            <w:webHidden/>
          </w:rPr>
          <w:t>19</w:t>
        </w:r>
        <w:r w:rsidR="00AA3C4D">
          <w:rPr>
            <w:webHidden/>
          </w:rPr>
          <w:fldChar w:fldCharType="end"/>
        </w:r>
      </w:hyperlink>
    </w:p>
    <w:p w14:paraId="633227DD" w14:textId="77777777" w:rsidR="00AA3C4D" w:rsidRDefault="00257E36">
      <w:pPr>
        <w:pStyle w:val="TOC3"/>
        <w:rPr>
          <w:rFonts w:asciiTheme="minorHAnsi" w:eastAsiaTheme="minorEastAsia" w:hAnsiTheme="minorHAnsi" w:cstheme="minorBidi"/>
          <w:sz w:val="22"/>
          <w:szCs w:val="22"/>
          <w:lang w:eastAsia="en-AU"/>
        </w:rPr>
      </w:pPr>
      <w:hyperlink w:anchor="_Toc397097264" w:history="1">
        <w:r w:rsidR="00AA3C4D" w:rsidRPr="00E40654">
          <w:rPr>
            <w:rStyle w:val="Hyperlink"/>
          </w:rPr>
          <w:t>3.3.4</w:t>
        </w:r>
        <w:r w:rsidR="00AA3C4D">
          <w:rPr>
            <w:rFonts w:asciiTheme="minorHAnsi" w:eastAsiaTheme="minorEastAsia" w:hAnsiTheme="minorHAnsi" w:cstheme="minorBidi"/>
            <w:sz w:val="22"/>
            <w:szCs w:val="22"/>
            <w:lang w:eastAsia="en-AU"/>
          </w:rPr>
          <w:tab/>
        </w:r>
        <w:r w:rsidR="00AA3C4D" w:rsidRPr="00E40654">
          <w:rPr>
            <w:rStyle w:val="Hyperlink"/>
          </w:rPr>
          <w:t>Process applied to verify the parameters</w:t>
        </w:r>
        <w:r w:rsidR="00AA3C4D">
          <w:rPr>
            <w:webHidden/>
          </w:rPr>
          <w:tab/>
        </w:r>
        <w:r w:rsidR="00AA3C4D">
          <w:rPr>
            <w:webHidden/>
          </w:rPr>
          <w:fldChar w:fldCharType="begin"/>
        </w:r>
        <w:r w:rsidR="00AA3C4D">
          <w:rPr>
            <w:webHidden/>
          </w:rPr>
          <w:instrText xml:space="preserve"> PAGEREF _Toc397097264 \h </w:instrText>
        </w:r>
        <w:r w:rsidR="00AA3C4D">
          <w:rPr>
            <w:webHidden/>
          </w:rPr>
        </w:r>
        <w:r w:rsidR="00AA3C4D">
          <w:rPr>
            <w:webHidden/>
          </w:rPr>
          <w:fldChar w:fldCharType="separate"/>
        </w:r>
        <w:r w:rsidR="00B27C70">
          <w:rPr>
            <w:webHidden/>
          </w:rPr>
          <w:t>19</w:t>
        </w:r>
        <w:r w:rsidR="00AA3C4D">
          <w:rPr>
            <w:webHidden/>
          </w:rPr>
          <w:fldChar w:fldCharType="end"/>
        </w:r>
      </w:hyperlink>
    </w:p>
    <w:p w14:paraId="1630467E" w14:textId="77777777" w:rsidR="00AA3C4D" w:rsidRDefault="00257E36">
      <w:pPr>
        <w:pStyle w:val="TOC1"/>
        <w:rPr>
          <w:rFonts w:asciiTheme="minorHAnsi" w:eastAsiaTheme="minorEastAsia" w:hAnsiTheme="minorHAnsi" w:cstheme="minorBidi"/>
          <w:b w:val="0"/>
          <w:bCs w:val="0"/>
          <w:caps w:val="0"/>
          <w:noProof/>
          <w:szCs w:val="22"/>
          <w:lang w:eastAsia="en-AU"/>
        </w:rPr>
      </w:pPr>
      <w:hyperlink w:anchor="_Toc397097265" w:history="1">
        <w:r w:rsidR="00AA3C4D" w:rsidRPr="00E40654">
          <w:rPr>
            <w:rStyle w:val="Hyperlink"/>
            <w:noProof/>
          </w:rPr>
          <w:t>4</w:t>
        </w:r>
        <w:r w:rsidR="00AA3C4D">
          <w:rPr>
            <w:rFonts w:asciiTheme="minorHAnsi" w:eastAsiaTheme="minorEastAsia" w:hAnsiTheme="minorHAnsi" w:cstheme="minorBidi"/>
            <w:b w:val="0"/>
            <w:bCs w:val="0"/>
            <w:caps w:val="0"/>
            <w:noProof/>
            <w:szCs w:val="22"/>
            <w:lang w:eastAsia="en-AU"/>
          </w:rPr>
          <w:tab/>
        </w:r>
        <w:r w:rsidR="00AA3C4D" w:rsidRPr="00E40654">
          <w:rPr>
            <w:rStyle w:val="Hyperlink"/>
            <w:noProof/>
          </w:rPr>
          <w:t>Replacement unit costs</w:t>
        </w:r>
        <w:r w:rsidR="00AA3C4D">
          <w:rPr>
            <w:noProof/>
            <w:webHidden/>
          </w:rPr>
          <w:tab/>
        </w:r>
        <w:r w:rsidR="00AA3C4D">
          <w:rPr>
            <w:noProof/>
            <w:webHidden/>
          </w:rPr>
          <w:fldChar w:fldCharType="begin"/>
        </w:r>
        <w:r w:rsidR="00AA3C4D">
          <w:rPr>
            <w:noProof/>
            <w:webHidden/>
          </w:rPr>
          <w:instrText xml:space="preserve"> PAGEREF _Toc397097265 \h </w:instrText>
        </w:r>
        <w:r w:rsidR="00AA3C4D">
          <w:rPr>
            <w:noProof/>
            <w:webHidden/>
          </w:rPr>
        </w:r>
        <w:r w:rsidR="00AA3C4D">
          <w:rPr>
            <w:noProof/>
            <w:webHidden/>
          </w:rPr>
          <w:fldChar w:fldCharType="separate"/>
        </w:r>
        <w:r w:rsidR="00B27C70">
          <w:rPr>
            <w:noProof/>
            <w:webHidden/>
          </w:rPr>
          <w:t>20</w:t>
        </w:r>
        <w:r w:rsidR="00AA3C4D">
          <w:rPr>
            <w:noProof/>
            <w:webHidden/>
          </w:rPr>
          <w:fldChar w:fldCharType="end"/>
        </w:r>
      </w:hyperlink>
    </w:p>
    <w:p w14:paraId="550D1741" w14:textId="77777777" w:rsidR="00AA3C4D" w:rsidRDefault="00257E36">
      <w:pPr>
        <w:pStyle w:val="TOC2"/>
        <w:rPr>
          <w:rFonts w:asciiTheme="minorHAnsi" w:eastAsiaTheme="minorEastAsia" w:hAnsiTheme="minorHAnsi" w:cstheme="minorBidi"/>
          <w:bCs w:val="0"/>
          <w:szCs w:val="22"/>
          <w:lang w:eastAsia="en-AU"/>
        </w:rPr>
      </w:pPr>
      <w:hyperlink w:anchor="_Toc397097266" w:history="1">
        <w:r w:rsidR="00AA3C4D" w:rsidRPr="00E40654">
          <w:rPr>
            <w:rStyle w:val="Hyperlink"/>
          </w:rPr>
          <w:t>4.1</w:t>
        </w:r>
        <w:r w:rsidR="00AA3C4D">
          <w:rPr>
            <w:rFonts w:asciiTheme="minorHAnsi" w:eastAsiaTheme="minorEastAsia" w:hAnsiTheme="minorHAnsi" w:cstheme="minorBidi"/>
            <w:bCs w:val="0"/>
            <w:szCs w:val="22"/>
            <w:lang w:eastAsia="en-AU"/>
          </w:rPr>
          <w:tab/>
        </w:r>
        <w:r w:rsidR="00AA3C4D" w:rsidRPr="00E40654">
          <w:rPr>
            <w:rStyle w:val="Hyperlink"/>
          </w:rPr>
          <w:t>Overview</w:t>
        </w:r>
        <w:r w:rsidR="00AA3C4D">
          <w:rPr>
            <w:webHidden/>
          </w:rPr>
          <w:tab/>
        </w:r>
        <w:r w:rsidR="00AA3C4D">
          <w:rPr>
            <w:webHidden/>
          </w:rPr>
          <w:fldChar w:fldCharType="begin"/>
        </w:r>
        <w:r w:rsidR="00AA3C4D">
          <w:rPr>
            <w:webHidden/>
          </w:rPr>
          <w:instrText xml:space="preserve"> PAGEREF _Toc397097266 \h </w:instrText>
        </w:r>
        <w:r w:rsidR="00AA3C4D">
          <w:rPr>
            <w:webHidden/>
          </w:rPr>
        </w:r>
        <w:r w:rsidR="00AA3C4D">
          <w:rPr>
            <w:webHidden/>
          </w:rPr>
          <w:fldChar w:fldCharType="separate"/>
        </w:r>
        <w:r w:rsidR="00B27C70">
          <w:rPr>
            <w:webHidden/>
          </w:rPr>
          <w:t>20</w:t>
        </w:r>
        <w:r w:rsidR="00AA3C4D">
          <w:rPr>
            <w:webHidden/>
          </w:rPr>
          <w:fldChar w:fldCharType="end"/>
        </w:r>
      </w:hyperlink>
    </w:p>
    <w:p w14:paraId="7241FD64" w14:textId="77777777" w:rsidR="00AA3C4D" w:rsidRDefault="00257E36">
      <w:pPr>
        <w:pStyle w:val="TOC3"/>
        <w:rPr>
          <w:rFonts w:asciiTheme="minorHAnsi" w:eastAsiaTheme="minorEastAsia" w:hAnsiTheme="minorHAnsi" w:cstheme="minorBidi"/>
          <w:sz w:val="22"/>
          <w:szCs w:val="22"/>
          <w:lang w:eastAsia="en-AU"/>
        </w:rPr>
      </w:pPr>
      <w:hyperlink w:anchor="_Toc397097267" w:history="1">
        <w:r w:rsidR="00AA3C4D" w:rsidRPr="00E40654">
          <w:rPr>
            <w:rStyle w:val="Hyperlink"/>
          </w:rPr>
          <w:t>4.1.1</w:t>
        </w:r>
        <w:r w:rsidR="00AA3C4D">
          <w:rPr>
            <w:rFonts w:asciiTheme="minorHAnsi" w:eastAsiaTheme="minorEastAsia" w:hAnsiTheme="minorHAnsi" w:cstheme="minorBidi"/>
            <w:sz w:val="22"/>
            <w:szCs w:val="22"/>
            <w:lang w:eastAsia="en-AU"/>
          </w:rPr>
          <w:tab/>
        </w:r>
        <w:r w:rsidR="00AA3C4D" w:rsidRPr="00E40654">
          <w:rPr>
            <w:rStyle w:val="Hyperlink"/>
          </w:rPr>
          <w:t>Methodology, data sources and assumptions</w:t>
        </w:r>
        <w:r w:rsidR="00AA3C4D">
          <w:rPr>
            <w:webHidden/>
          </w:rPr>
          <w:tab/>
        </w:r>
        <w:r w:rsidR="00AA3C4D">
          <w:rPr>
            <w:webHidden/>
          </w:rPr>
          <w:fldChar w:fldCharType="begin"/>
        </w:r>
        <w:r w:rsidR="00AA3C4D">
          <w:rPr>
            <w:webHidden/>
          </w:rPr>
          <w:instrText xml:space="preserve"> PAGEREF _Toc397097267 \h </w:instrText>
        </w:r>
        <w:r w:rsidR="00AA3C4D">
          <w:rPr>
            <w:webHidden/>
          </w:rPr>
        </w:r>
        <w:r w:rsidR="00AA3C4D">
          <w:rPr>
            <w:webHidden/>
          </w:rPr>
          <w:fldChar w:fldCharType="separate"/>
        </w:r>
        <w:r w:rsidR="00B27C70">
          <w:rPr>
            <w:webHidden/>
          </w:rPr>
          <w:t>20</w:t>
        </w:r>
        <w:r w:rsidR="00AA3C4D">
          <w:rPr>
            <w:webHidden/>
          </w:rPr>
          <w:fldChar w:fldCharType="end"/>
        </w:r>
      </w:hyperlink>
    </w:p>
    <w:p w14:paraId="68A2CAEE" w14:textId="77777777" w:rsidR="00AA3C4D" w:rsidRDefault="00257E36">
      <w:pPr>
        <w:pStyle w:val="TOC3"/>
        <w:rPr>
          <w:rFonts w:asciiTheme="minorHAnsi" w:eastAsiaTheme="minorEastAsia" w:hAnsiTheme="minorHAnsi" w:cstheme="minorBidi"/>
          <w:sz w:val="22"/>
          <w:szCs w:val="22"/>
          <w:lang w:eastAsia="en-AU"/>
        </w:rPr>
      </w:pPr>
      <w:hyperlink w:anchor="_Toc397097268" w:history="1">
        <w:r w:rsidR="00AA3C4D" w:rsidRPr="00E40654">
          <w:rPr>
            <w:rStyle w:val="Hyperlink"/>
          </w:rPr>
          <w:t>4.1.2</w:t>
        </w:r>
        <w:r w:rsidR="00AA3C4D">
          <w:rPr>
            <w:rFonts w:asciiTheme="minorHAnsi" w:eastAsiaTheme="minorEastAsia" w:hAnsiTheme="minorHAnsi" w:cstheme="minorBidi"/>
            <w:sz w:val="22"/>
            <w:szCs w:val="22"/>
            <w:lang w:eastAsia="en-AU"/>
          </w:rPr>
          <w:tab/>
        </w:r>
        <w:r w:rsidR="00AA3C4D" w:rsidRPr="00E40654">
          <w:rPr>
            <w:rStyle w:val="Hyperlink"/>
          </w:rPr>
          <w:t>Double counting</w:t>
        </w:r>
        <w:r w:rsidR="00AA3C4D">
          <w:rPr>
            <w:webHidden/>
          </w:rPr>
          <w:tab/>
        </w:r>
        <w:r w:rsidR="00AA3C4D">
          <w:rPr>
            <w:webHidden/>
          </w:rPr>
          <w:fldChar w:fldCharType="begin"/>
        </w:r>
        <w:r w:rsidR="00AA3C4D">
          <w:rPr>
            <w:webHidden/>
          </w:rPr>
          <w:instrText xml:space="preserve"> PAGEREF _Toc397097268 \h </w:instrText>
        </w:r>
        <w:r w:rsidR="00AA3C4D">
          <w:rPr>
            <w:webHidden/>
          </w:rPr>
        </w:r>
        <w:r w:rsidR="00AA3C4D">
          <w:rPr>
            <w:webHidden/>
          </w:rPr>
          <w:fldChar w:fldCharType="separate"/>
        </w:r>
        <w:r w:rsidR="00B27C70">
          <w:rPr>
            <w:webHidden/>
          </w:rPr>
          <w:t>20</w:t>
        </w:r>
        <w:r w:rsidR="00AA3C4D">
          <w:rPr>
            <w:webHidden/>
          </w:rPr>
          <w:fldChar w:fldCharType="end"/>
        </w:r>
      </w:hyperlink>
    </w:p>
    <w:p w14:paraId="484FF1FD" w14:textId="77777777" w:rsidR="00AA3C4D" w:rsidRDefault="00257E36">
      <w:pPr>
        <w:pStyle w:val="TOC3"/>
        <w:rPr>
          <w:rFonts w:asciiTheme="minorHAnsi" w:eastAsiaTheme="minorEastAsia" w:hAnsiTheme="minorHAnsi" w:cstheme="minorBidi"/>
          <w:sz w:val="22"/>
          <w:szCs w:val="22"/>
          <w:lang w:eastAsia="en-AU"/>
        </w:rPr>
      </w:pPr>
      <w:hyperlink w:anchor="_Toc397097269" w:history="1">
        <w:r w:rsidR="00AA3C4D" w:rsidRPr="00E40654">
          <w:rPr>
            <w:rStyle w:val="Hyperlink"/>
          </w:rPr>
          <w:t>4.1.3</w:t>
        </w:r>
        <w:r w:rsidR="00AA3C4D">
          <w:rPr>
            <w:rFonts w:asciiTheme="minorHAnsi" w:eastAsiaTheme="minorEastAsia" w:hAnsiTheme="minorHAnsi" w:cstheme="minorBidi"/>
            <w:sz w:val="22"/>
            <w:szCs w:val="22"/>
            <w:lang w:eastAsia="en-AU"/>
          </w:rPr>
          <w:tab/>
        </w:r>
        <w:r w:rsidR="00AA3C4D" w:rsidRPr="00E40654">
          <w:rPr>
            <w:rStyle w:val="Hyperlink"/>
          </w:rPr>
          <w:t>Variability in replacement unit costs</w:t>
        </w:r>
        <w:r w:rsidR="00AA3C4D">
          <w:rPr>
            <w:webHidden/>
          </w:rPr>
          <w:tab/>
        </w:r>
        <w:r w:rsidR="00AA3C4D">
          <w:rPr>
            <w:webHidden/>
          </w:rPr>
          <w:fldChar w:fldCharType="begin"/>
        </w:r>
        <w:r w:rsidR="00AA3C4D">
          <w:rPr>
            <w:webHidden/>
          </w:rPr>
          <w:instrText xml:space="preserve"> PAGEREF _Toc397097269 \h </w:instrText>
        </w:r>
        <w:r w:rsidR="00AA3C4D">
          <w:rPr>
            <w:webHidden/>
          </w:rPr>
        </w:r>
        <w:r w:rsidR="00AA3C4D">
          <w:rPr>
            <w:webHidden/>
          </w:rPr>
          <w:fldChar w:fldCharType="separate"/>
        </w:r>
        <w:r w:rsidR="00B27C70">
          <w:rPr>
            <w:webHidden/>
          </w:rPr>
          <w:t>20</w:t>
        </w:r>
        <w:r w:rsidR="00AA3C4D">
          <w:rPr>
            <w:webHidden/>
          </w:rPr>
          <w:fldChar w:fldCharType="end"/>
        </w:r>
      </w:hyperlink>
    </w:p>
    <w:p w14:paraId="3E035578" w14:textId="77777777" w:rsidR="00AA3C4D" w:rsidRDefault="00257E36">
      <w:pPr>
        <w:pStyle w:val="TOC3"/>
        <w:rPr>
          <w:rFonts w:asciiTheme="minorHAnsi" w:eastAsiaTheme="minorEastAsia" w:hAnsiTheme="minorHAnsi" w:cstheme="minorBidi"/>
          <w:sz w:val="22"/>
          <w:szCs w:val="22"/>
          <w:lang w:eastAsia="en-AU"/>
        </w:rPr>
      </w:pPr>
      <w:hyperlink w:anchor="_Toc397097270" w:history="1">
        <w:r w:rsidR="00AA3C4D" w:rsidRPr="00E40654">
          <w:rPr>
            <w:rStyle w:val="Hyperlink"/>
          </w:rPr>
          <w:t>4.1.4</w:t>
        </w:r>
        <w:r w:rsidR="00AA3C4D">
          <w:rPr>
            <w:rFonts w:asciiTheme="minorHAnsi" w:eastAsiaTheme="minorEastAsia" w:hAnsiTheme="minorHAnsi" w:cstheme="minorBidi"/>
            <w:sz w:val="22"/>
            <w:szCs w:val="22"/>
            <w:lang w:eastAsia="en-AU"/>
          </w:rPr>
          <w:tab/>
        </w:r>
        <w:r w:rsidR="00AA3C4D" w:rsidRPr="00E40654">
          <w:rPr>
            <w:rStyle w:val="Hyperlink"/>
          </w:rPr>
          <w:t>Relationship to historic costs</w:t>
        </w:r>
        <w:r w:rsidR="00AA3C4D">
          <w:rPr>
            <w:webHidden/>
          </w:rPr>
          <w:tab/>
        </w:r>
        <w:r w:rsidR="00AA3C4D">
          <w:rPr>
            <w:webHidden/>
          </w:rPr>
          <w:fldChar w:fldCharType="begin"/>
        </w:r>
        <w:r w:rsidR="00AA3C4D">
          <w:rPr>
            <w:webHidden/>
          </w:rPr>
          <w:instrText xml:space="preserve"> PAGEREF _Toc397097270 \h </w:instrText>
        </w:r>
        <w:r w:rsidR="00AA3C4D">
          <w:rPr>
            <w:webHidden/>
          </w:rPr>
        </w:r>
        <w:r w:rsidR="00AA3C4D">
          <w:rPr>
            <w:webHidden/>
          </w:rPr>
          <w:fldChar w:fldCharType="separate"/>
        </w:r>
        <w:r w:rsidR="00B27C70">
          <w:rPr>
            <w:webHidden/>
          </w:rPr>
          <w:t>21</w:t>
        </w:r>
        <w:r w:rsidR="00AA3C4D">
          <w:rPr>
            <w:webHidden/>
          </w:rPr>
          <w:fldChar w:fldCharType="end"/>
        </w:r>
      </w:hyperlink>
    </w:p>
    <w:p w14:paraId="20F2BF47" w14:textId="77777777" w:rsidR="00AA3C4D" w:rsidRDefault="00257E36">
      <w:pPr>
        <w:pStyle w:val="TOC3"/>
        <w:rPr>
          <w:rFonts w:asciiTheme="minorHAnsi" w:eastAsiaTheme="minorEastAsia" w:hAnsiTheme="minorHAnsi" w:cstheme="minorBidi"/>
          <w:sz w:val="22"/>
          <w:szCs w:val="22"/>
          <w:lang w:eastAsia="en-AU"/>
        </w:rPr>
      </w:pPr>
      <w:hyperlink w:anchor="_Toc397097271" w:history="1">
        <w:r w:rsidR="00AA3C4D" w:rsidRPr="00E40654">
          <w:rPr>
            <w:rStyle w:val="Hyperlink"/>
          </w:rPr>
          <w:t>4.1.5</w:t>
        </w:r>
        <w:r w:rsidR="00AA3C4D">
          <w:rPr>
            <w:rFonts w:asciiTheme="minorHAnsi" w:eastAsiaTheme="minorEastAsia" w:hAnsiTheme="minorHAnsi" w:cstheme="minorBidi"/>
            <w:sz w:val="22"/>
            <w:szCs w:val="22"/>
            <w:lang w:eastAsia="en-AU"/>
          </w:rPr>
          <w:tab/>
        </w:r>
        <w:r w:rsidR="00AA3C4D" w:rsidRPr="00E40654">
          <w:rPr>
            <w:rStyle w:val="Hyperlink"/>
          </w:rPr>
          <w:t>Verification process</w:t>
        </w:r>
        <w:r w:rsidR="00AA3C4D">
          <w:rPr>
            <w:webHidden/>
          </w:rPr>
          <w:tab/>
        </w:r>
        <w:r w:rsidR="00AA3C4D">
          <w:rPr>
            <w:webHidden/>
          </w:rPr>
          <w:fldChar w:fldCharType="begin"/>
        </w:r>
        <w:r w:rsidR="00AA3C4D">
          <w:rPr>
            <w:webHidden/>
          </w:rPr>
          <w:instrText xml:space="preserve"> PAGEREF _Toc397097271 \h </w:instrText>
        </w:r>
        <w:r w:rsidR="00AA3C4D">
          <w:rPr>
            <w:webHidden/>
          </w:rPr>
        </w:r>
        <w:r w:rsidR="00AA3C4D">
          <w:rPr>
            <w:webHidden/>
          </w:rPr>
          <w:fldChar w:fldCharType="separate"/>
        </w:r>
        <w:r w:rsidR="00B27C70">
          <w:rPr>
            <w:webHidden/>
          </w:rPr>
          <w:t>21</w:t>
        </w:r>
        <w:r w:rsidR="00AA3C4D">
          <w:rPr>
            <w:webHidden/>
          </w:rPr>
          <w:fldChar w:fldCharType="end"/>
        </w:r>
      </w:hyperlink>
    </w:p>
    <w:p w14:paraId="1BA0C2BD" w14:textId="77777777" w:rsidR="00AA3C4D" w:rsidRDefault="00257E36">
      <w:pPr>
        <w:pStyle w:val="TOC1"/>
        <w:rPr>
          <w:rFonts w:asciiTheme="minorHAnsi" w:eastAsiaTheme="minorEastAsia" w:hAnsiTheme="minorHAnsi" w:cstheme="minorBidi"/>
          <w:b w:val="0"/>
          <w:bCs w:val="0"/>
          <w:caps w:val="0"/>
          <w:noProof/>
          <w:szCs w:val="22"/>
          <w:lang w:eastAsia="en-AU"/>
        </w:rPr>
      </w:pPr>
      <w:hyperlink w:anchor="_Toc397097272" w:history="1">
        <w:r w:rsidR="00AA3C4D" w:rsidRPr="00E40654">
          <w:rPr>
            <w:rStyle w:val="Hyperlink"/>
            <w:noProof/>
          </w:rPr>
          <w:t>5</w:t>
        </w:r>
        <w:r w:rsidR="00AA3C4D">
          <w:rPr>
            <w:rFonts w:asciiTheme="minorHAnsi" w:eastAsiaTheme="minorEastAsia" w:hAnsiTheme="minorHAnsi" w:cstheme="minorBidi"/>
            <w:b w:val="0"/>
            <w:bCs w:val="0"/>
            <w:caps w:val="0"/>
            <w:noProof/>
            <w:szCs w:val="22"/>
            <w:lang w:eastAsia="en-AU"/>
          </w:rPr>
          <w:tab/>
        </w:r>
        <w:r w:rsidR="00AA3C4D" w:rsidRPr="00E40654">
          <w:rPr>
            <w:rStyle w:val="Hyperlink"/>
            <w:noProof/>
          </w:rPr>
          <w:t>Factors affecting replacement expenditure</w:t>
        </w:r>
        <w:r w:rsidR="00AA3C4D">
          <w:rPr>
            <w:noProof/>
            <w:webHidden/>
          </w:rPr>
          <w:tab/>
        </w:r>
        <w:r w:rsidR="00AA3C4D">
          <w:rPr>
            <w:noProof/>
            <w:webHidden/>
          </w:rPr>
          <w:fldChar w:fldCharType="begin"/>
        </w:r>
        <w:r w:rsidR="00AA3C4D">
          <w:rPr>
            <w:noProof/>
            <w:webHidden/>
          </w:rPr>
          <w:instrText xml:space="preserve"> PAGEREF _Toc397097272 \h </w:instrText>
        </w:r>
        <w:r w:rsidR="00AA3C4D">
          <w:rPr>
            <w:noProof/>
            <w:webHidden/>
          </w:rPr>
        </w:r>
        <w:r w:rsidR="00AA3C4D">
          <w:rPr>
            <w:noProof/>
            <w:webHidden/>
          </w:rPr>
          <w:fldChar w:fldCharType="separate"/>
        </w:r>
        <w:r w:rsidR="00B27C70">
          <w:rPr>
            <w:noProof/>
            <w:webHidden/>
          </w:rPr>
          <w:t>23</w:t>
        </w:r>
        <w:r w:rsidR="00AA3C4D">
          <w:rPr>
            <w:noProof/>
            <w:webHidden/>
          </w:rPr>
          <w:fldChar w:fldCharType="end"/>
        </w:r>
      </w:hyperlink>
    </w:p>
    <w:p w14:paraId="015B8C21" w14:textId="77777777" w:rsidR="00AA3C4D" w:rsidRDefault="00257E36">
      <w:pPr>
        <w:pStyle w:val="TOC2"/>
        <w:rPr>
          <w:rFonts w:asciiTheme="minorHAnsi" w:eastAsiaTheme="minorEastAsia" w:hAnsiTheme="minorHAnsi" w:cstheme="minorBidi"/>
          <w:bCs w:val="0"/>
          <w:szCs w:val="22"/>
          <w:lang w:eastAsia="en-AU"/>
        </w:rPr>
      </w:pPr>
      <w:hyperlink w:anchor="_Toc397097273" w:history="1">
        <w:r w:rsidR="00AA3C4D" w:rsidRPr="00E40654">
          <w:rPr>
            <w:rStyle w:val="Hyperlink"/>
          </w:rPr>
          <w:t>5.1</w:t>
        </w:r>
        <w:r w:rsidR="00AA3C4D">
          <w:rPr>
            <w:rFonts w:asciiTheme="minorHAnsi" w:eastAsiaTheme="minorEastAsia" w:hAnsiTheme="minorHAnsi" w:cstheme="minorBidi"/>
            <w:bCs w:val="0"/>
            <w:szCs w:val="22"/>
            <w:lang w:eastAsia="en-AU"/>
          </w:rPr>
          <w:tab/>
        </w:r>
        <w:r w:rsidR="00AA3C4D" w:rsidRPr="00E40654">
          <w:rPr>
            <w:rStyle w:val="Hyperlink"/>
          </w:rPr>
          <w:t>Overview</w:t>
        </w:r>
        <w:r w:rsidR="00AA3C4D">
          <w:rPr>
            <w:webHidden/>
          </w:rPr>
          <w:tab/>
        </w:r>
        <w:r w:rsidR="00AA3C4D">
          <w:rPr>
            <w:webHidden/>
          </w:rPr>
          <w:fldChar w:fldCharType="begin"/>
        </w:r>
        <w:r w:rsidR="00AA3C4D">
          <w:rPr>
            <w:webHidden/>
          </w:rPr>
          <w:instrText xml:space="preserve"> PAGEREF _Toc397097273 \h </w:instrText>
        </w:r>
        <w:r w:rsidR="00AA3C4D">
          <w:rPr>
            <w:webHidden/>
          </w:rPr>
        </w:r>
        <w:r w:rsidR="00AA3C4D">
          <w:rPr>
            <w:webHidden/>
          </w:rPr>
          <w:fldChar w:fldCharType="separate"/>
        </w:r>
        <w:r w:rsidR="00B27C70">
          <w:rPr>
            <w:webHidden/>
          </w:rPr>
          <w:t>23</w:t>
        </w:r>
        <w:r w:rsidR="00AA3C4D">
          <w:rPr>
            <w:webHidden/>
          </w:rPr>
          <w:fldChar w:fldCharType="end"/>
        </w:r>
      </w:hyperlink>
    </w:p>
    <w:p w14:paraId="301B7BB2" w14:textId="77777777" w:rsidR="00AA3C4D" w:rsidRDefault="00257E36">
      <w:pPr>
        <w:pStyle w:val="TOC2"/>
        <w:rPr>
          <w:rFonts w:asciiTheme="minorHAnsi" w:eastAsiaTheme="minorEastAsia" w:hAnsiTheme="minorHAnsi" w:cstheme="minorBidi"/>
          <w:bCs w:val="0"/>
          <w:szCs w:val="22"/>
          <w:lang w:eastAsia="en-AU"/>
        </w:rPr>
      </w:pPr>
      <w:hyperlink w:anchor="_Toc397097274" w:history="1">
        <w:r w:rsidR="00AA3C4D" w:rsidRPr="00E40654">
          <w:rPr>
            <w:rStyle w:val="Hyperlink"/>
          </w:rPr>
          <w:t>5.2</w:t>
        </w:r>
        <w:r w:rsidR="00AA3C4D">
          <w:rPr>
            <w:rFonts w:asciiTheme="minorHAnsi" w:eastAsiaTheme="minorEastAsia" w:hAnsiTheme="minorHAnsi" w:cstheme="minorBidi"/>
            <w:bCs w:val="0"/>
            <w:szCs w:val="22"/>
            <w:lang w:eastAsia="en-AU"/>
          </w:rPr>
          <w:tab/>
        </w:r>
        <w:r w:rsidR="00AA3C4D" w:rsidRPr="00E40654">
          <w:rPr>
            <w:rStyle w:val="Hyperlink"/>
          </w:rPr>
          <w:t>Statutory requirements</w:t>
        </w:r>
        <w:r w:rsidR="00AA3C4D">
          <w:rPr>
            <w:webHidden/>
          </w:rPr>
          <w:tab/>
        </w:r>
        <w:r w:rsidR="00AA3C4D">
          <w:rPr>
            <w:webHidden/>
          </w:rPr>
          <w:fldChar w:fldCharType="begin"/>
        </w:r>
        <w:r w:rsidR="00AA3C4D">
          <w:rPr>
            <w:webHidden/>
          </w:rPr>
          <w:instrText xml:space="preserve"> PAGEREF _Toc397097274 \h </w:instrText>
        </w:r>
        <w:r w:rsidR="00AA3C4D">
          <w:rPr>
            <w:webHidden/>
          </w:rPr>
        </w:r>
        <w:r w:rsidR="00AA3C4D">
          <w:rPr>
            <w:webHidden/>
          </w:rPr>
          <w:fldChar w:fldCharType="separate"/>
        </w:r>
        <w:r w:rsidR="00B27C70">
          <w:rPr>
            <w:webHidden/>
          </w:rPr>
          <w:t>23</w:t>
        </w:r>
        <w:r w:rsidR="00AA3C4D">
          <w:rPr>
            <w:webHidden/>
          </w:rPr>
          <w:fldChar w:fldCharType="end"/>
        </w:r>
      </w:hyperlink>
    </w:p>
    <w:p w14:paraId="29652DDD" w14:textId="77777777" w:rsidR="00AA3C4D" w:rsidRDefault="00257E36">
      <w:pPr>
        <w:pStyle w:val="TOC2"/>
        <w:rPr>
          <w:rFonts w:asciiTheme="minorHAnsi" w:eastAsiaTheme="minorEastAsia" w:hAnsiTheme="minorHAnsi" w:cstheme="minorBidi"/>
          <w:bCs w:val="0"/>
          <w:szCs w:val="22"/>
          <w:lang w:eastAsia="en-AU"/>
        </w:rPr>
      </w:pPr>
      <w:hyperlink w:anchor="_Toc397097275" w:history="1">
        <w:r w:rsidR="00AA3C4D" w:rsidRPr="00E40654">
          <w:rPr>
            <w:rStyle w:val="Hyperlink"/>
          </w:rPr>
          <w:t>5.3</w:t>
        </w:r>
        <w:r w:rsidR="00AA3C4D">
          <w:rPr>
            <w:rFonts w:asciiTheme="minorHAnsi" w:eastAsiaTheme="minorEastAsia" w:hAnsiTheme="minorHAnsi" w:cstheme="minorBidi"/>
            <w:bCs w:val="0"/>
            <w:szCs w:val="22"/>
            <w:lang w:eastAsia="en-AU"/>
          </w:rPr>
          <w:tab/>
        </w:r>
        <w:r w:rsidR="00AA3C4D" w:rsidRPr="00E40654">
          <w:rPr>
            <w:rStyle w:val="Hyperlink"/>
          </w:rPr>
          <w:t>Internal planning and asset management</w:t>
        </w:r>
        <w:r w:rsidR="00AA3C4D">
          <w:rPr>
            <w:webHidden/>
          </w:rPr>
          <w:tab/>
        </w:r>
        <w:r w:rsidR="00AA3C4D">
          <w:rPr>
            <w:webHidden/>
          </w:rPr>
          <w:fldChar w:fldCharType="begin"/>
        </w:r>
        <w:r w:rsidR="00AA3C4D">
          <w:rPr>
            <w:webHidden/>
          </w:rPr>
          <w:instrText xml:space="preserve"> PAGEREF _Toc397097275 \h </w:instrText>
        </w:r>
        <w:r w:rsidR="00AA3C4D">
          <w:rPr>
            <w:webHidden/>
          </w:rPr>
        </w:r>
        <w:r w:rsidR="00AA3C4D">
          <w:rPr>
            <w:webHidden/>
          </w:rPr>
          <w:fldChar w:fldCharType="separate"/>
        </w:r>
        <w:r w:rsidR="00B27C70">
          <w:rPr>
            <w:webHidden/>
          </w:rPr>
          <w:t>23</w:t>
        </w:r>
        <w:r w:rsidR="00AA3C4D">
          <w:rPr>
            <w:webHidden/>
          </w:rPr>
          <w:fldChar w:fldCharType="end"/>
        </w:r>
      </w:hyperlink>
    </w:p>
    <w:p w14:paraId="299D403B" w14:textId="77777777" w:rsidR="00AA3C4D" w:rsidRDefault="00257E36">
      <w:pPr>
        <w:pStyle w:val="TOC2"/>
        <w:rPr>
          <w:rFonts w:asciiTheme="minorHAnsi" w:eastAsiaTheme="minorEastAsia" w:hAnsiTheme="minorHAnsi" w:cstheme="minorBidi"/>
          <w:bCs w:val="0"/>
          <w:szCs w:val="22"/>
          <w:lang w:eastAsia="en-AU"/>
        </w:rPr>
      </w:pPr>
      <w:hyperlink w:anchor="_Toc397097276" w:history="1">
        <w:r w:rsidR="00AA3C4D" w:rsidRPr="00E40654">
          <w:rPr>
            <w:rStyle w:val="Hyperlink"/>
          </w:rPr>
          <w:t>5.4</w:t>
        </w:r>
        <w:r w:rsidR="00AA3C4D">
          <w:rPr>
            <w:rFonts w:asciiTheme="minorHAnsi" w:eastAsiaTheme="minorEastAsia" w:hAnsiTheme="minorHAnsi" w:cstheme="minorBidi"/>
            <w:bCs w:val="0"/>
            <w:szCs w:val="22"/>
            <w:lang w:eastAsia="en-AU"/>
          </w:rPr>
          <w:tab/>
        </w:r>
        <w:r w:rsidR="00AA3C4D" w:rsidRPr="00E40654">
          <w:rPr>
            <w:rStyle w:val="Hyperlink"/>
          </w:rPr>
          <w:t>Asset factors</w:t>
        </w:r>
        <w:r w:rsidR="00AA3C4D">
          <w:rPr>
            <w:webHidden/>
          </w:rPr>
          <w:tab/>
        </w:r>
        <w:r w:rsidR="00AA3C4D">
          <w:rPr>
            <w:webHidden/>
          </w:rPr>
          <w:fldChar w:fldCharType="begin"/>
        </w:r>
        <w:r w:rsidR="00AA3C4D">
          <w:rPr>
            <w:webHidden/>
          </w:rPr>
          <w:instrText xml:space="preserve"> PAGEREF _Toc397097276 \h </w:instrText>
        </w:r>
        <w:r w:rsidR="00AA3C4D">
          <w:rPr>
            <w:webHidden/>
          </w:rPr>
        </w:r>
        <w:r w:rsidR="00AA3C4D">
          <w:rPr>
            <w:webHidden/>
          </w:rPr>
          <w:fldChar w:fldCharType="separate"/>
        </w:r>
        <w:r w:rsidR="00B27C70">
          <w:rPr>
            <w:webHidden/>
          </w:rPr>
          <w:t>23</w:t>
        </w:r>
        <w:r w:rsidR="00AA3C4D">
          <w:rPr>
            <w:webHidden/>
          </w:rPr>
          <w:fldChar w:fldCharType="end"/>
        </w:r>
      </w:hyperlink>
    </w:p>
    <w:p w14:paraId="10B5D777" w14:textId="77777777" w:rsidR="00AA3C4D" w:rsidRDefault="00257E36">
      <w:pPr>
        <w:pStyle w:val="TOC3"/>
        <w:rPr>
          <w:rFonts w:asciiTheme="minorHAnsi" w:eastAsiaTheme="minorEastAsia" w:hAnsiTheme="minorHAnsi" w:cstheme="minorBidi"/>
          <w:sz w:val="22"/>
          <w:szCs w:val="22"/>
          <w:lang w:eastAsia="en-AU"/>
        </w:rPr>
      </w:pPr>
      <w:hyperlink w:anchor="_Toc397097277" w:history="1">
        <w:r w:rsidR="00AA3C4D" w:rsidRPr="00E40654">
          <w:rPr>
            <w:rStyle w:val="Hyperlink"/>
          </w:rPr>
          <w:t>5.4.1</w:t>
        </w:r>
        <w:r w:rsidR="00AA3C4D">
          <w:rPr>
            <w:rFonts w:asciiTheme="minorHAnsi" w:eastAsiaTheme="minorEastAsia" w:hAnsiTheme="minorHAnsi" w:cstheme="minorBidi"/>
            <w:sz w:val="22"/>
            <w:szCs w:val="22"/>
            <w:lang w:eastAsia="en-AU"/>
          </w:rPr>
          <w:tab/>
        </w:r>
        <w:r w:rsidR="00AA3C4D" w:rsidRPr="00E40654">
          <w:rPr>
            <w:rStyle w:val="Hyperlink"/>
          </w:rPr>
          <w:t>33 kV power transformers</w:t>
        </w:r>
        <w:r w:rsidR="00AA3C4D">
          <w:rPr>
            <w:webHidden/>
          </w:rPr>
          <w:tab/>
        </w:r>
        <w:r w:rsidR="00AA3C4D">
          <w:rPr>
            <w:webHidden/>
          </w:rPr>
          <w:fldChar w:fldCharType="begin"/>
        </w:r>
        <w:r w:rsidR="00AA3C4D">
          <w:rPr>
            <w:webHidden/>
          </w:rPr>
          <w:instrText xml:space="preserve"> PAGEREF _Toc397097277 \h </w:instrText>
        </w:r>
        <w:r w:rsidR="00AA3C4D">
          <w:rPr>
            <w:webHidden/>
          </w:rPr>
        </w:r>
        <w:r w:rsidR="00AA3C4D">
          <w:rPr>
            <w:webHidden/>
          </w:rPr>
          <w:fldChar w:fldCharType="separate"/>
        </w:r>
        <w:r w:rsidR="00B27C70">
          <w:rPr>
            <w:webHidden/>
          </w:rPr>
          <w:t>24</w:t>
        </w:r>
        <w:r w:rsidR="00AA3C4D">
          <w:rPr>
            <w:webHidden/>
          </w:rPr>
          <w:fldChar w:fldCharType="end"/>
        </w:r>
      </w:hyperlink>
    </w:p>
    <w:p w14:paraId="2B1798A8" w14:textId="77777777" w:rsidR="00AA3C4D" w:rsidRDefault="00257E36">
      <w:pPr>
        <w:pStyle w:val="TOC3"/>
        <w:rPr>
          <w:rFonts w:asciiTheme="minorHAnsi" w:eastAsiaTheme="minorEastAsia" w:hAnsiTheme="minorHAnsi" w:cstheme="minorBidi"/>
          <w:sz w:val="22"/>
          <w:szCs w:val="22"/>
          <w:lang w:eastAsia="en-AU"/>
        </w:rPr>
      </w:pPr>
      <w:hyperlink w:anchor="_Toc397097278" w:history="1">
        <w:r w:rsidR="00AA3C4D" w:rsidRPr="00E40654">
          <w:rPr>
            <w:rStyle w:val="Hyperlink"/>
          </w:rPr>
          <w:t>5.4.2</w:t>
        </w:r>
        <w:r w:rsidR="00AA3C4D">
          <w:rPr>
            <w:rFonts w:asciiTheme="minorHAnsi" w:eastAsiaTheme="minorEastAsia" w:hAnsiTheme="minorHAnsi" w:cstheme="minorBidi"/>
            <w:sz w:val="22"/>
            <w:szCs w:val="22"/>
            <w:lang w:eastAsia="en-AU"/>
          </w:rPr>
          <w:tab/>
        </w:r>
        <w:r w:rsidR="00AA3C4D" w:rsidRPr="00E40654">
          <w:rPr>
            <w:rStyle w:val="Hyperlink"/>
          </w:rPr>
          <w:t>33 kV circuit breakers</w:t>
        </w:r>
        <w:r w:rsidR="00AA3C4D">
          <w:rPr>
            <w:webHidden/>
          </w:rPr>
          <w:tab/>
        </w:r>
        <w:r w:rsidR="00AA3C4D">
          <w:rPr>
            <w:webHidden/>
          </w:rPr>
          <w:fldChar w:fldCharType="begin"/>
        </w:r>
        <w:r w:rsidR="00AA3C4D">
          <w:rPr>
            <w:webHidden/>
          </w:rPr>
          <w:instrText xml:space="preserve"> PAGEREF _Toc397097278 \h </w:instrText>
        </w:r>
        <w:r w:rsidR="00AA3C4D">
          <w:rPr>
            <w:webHidden/>
          </w:rPr>
        </w:r>
        <w:r w:rsidR="00AA3C4D">
          <w:rPr>
            <w:webHidden/>
          </w:rPr>
          <w:fldChar w:fldCharType="separate"/>
        </w:r>
        <w:r w:rsidR="00B27C70">
          <w:rPr>
            <w:webHidden/>
          </w:rPr>
          <w:t>24</w:t>
        </w:r>
        <w:r w:rsidR="00AA3C4D">
          <w:rPr>
            <w:webHidden/>
          </w:rPr>
          <w:fldChar w:fldCharType="end"/>
        </w:r>
      </w:hyperlink>
    </w:p>
    <w:p w14:paraId="43482B80" w14:textId="77777777" w:rsidR="00AA3C4D" w:rsidRDefault="00257E36">
      <w:pPr>
        <w:pStyle w:val="TOC3"/>
        <w:rPr>
          <w:rFonts w:asciiTheme="minorHAnsi" w:eastAsiaTheme="minorEastAsia" w:hAnsiTheme="minorHAnsi" w:cstheme="minorBidi"/>
          <w:sz w:val="22"/>
          <w:szCs w:val="22"/>
          <w:lang w:eastAsia="en-AU"/>
        </w:rPr>
      </w:pPr>
      <w:hyperlink w:anchor="_Toc397097279" w:history="1">
        <w:r w:rsidR="00AA3C4D" w:rsidRPr="00E40654">
          <w:rPr>
            <w:rStyle w:val="Hyperlink"/>
          </w:rPr>
          <w:t>5.4.3</w:t>
        </w:r>
        <w:r w:rsidR="00AA3C4D">
          <w:rPr>
            <w:rFonts w:asciiTheme="minorHAnsi" w:eastAsiaTheme="minorEastAsia" w:hAnsiTheme="minorHAnsi" w:cstheme="minorBidi"/>
            <w:sz w:val="22"/>
            <w:szCs w:val="22"/>
            <w:lang w:eastAsia="en-AU"/>
          </w:rPr>
          <w:tab/>
        </w:r>
        <w:r w:rsidR="00AA3C4D" w:rsidRPr="00E40654">
          <w:rPr>
            <w:rStyle w:val="Hyperlink"/>
          </w:rPr>
          <w:t>11 kV circuit breakers</w:t>
        </w:r>
        <w:r w:rsidR="00AA3C4D">
          <w:rPr>
            <w:webHidden/>
          </w:rPr>
          <w:tab/>
        </w:r>
        <w:r w:rsidR="00AA3C4D">
          <w:rPr>
            <w:webHidden/>
          </w:rPr>
          <w:fldChar w:fldCharType="begin"/>
        </w:r>
        <w:r w:rsidR="00AA3C4D">
          <w:rPr>
            <w:webHidden/>
          </w:rPr>
          <w:instrText xml:space="preserve"> PAGEREF _Toc397097279 \h </w:instrText>
        </w:r>
        <w:r w:rsidR="00AA3C4D">
          <w:rPr>
            <w:webHidden/>
          </w:rPr>
        </w:r>
        <w:r w:rsidR="00AA3C4D">
          <w:rPr>
            <w:webHidden/>
          </w:rPr>
          <w:fldChar w:fldCharType="separate"/>
        </w:r>
        <w:r w:rsidR="00B27C70">
          <w:rPr>
            <w:webHidden/>
          </w:rPr>
          <w:t>24</w:t>
        </w:r>
        <w:r w:rsidR="00AA3C4D">
          <w:rPr>
            <w:webHidden/>
          </w:rPr>
          <w:fldChar w:fldCharType="end"/>
        </w:r>
      </w:hyperlink>
    </w:p>
    <w:p w14:paraId="42B9B41D" w14:textId="77777777" w:rsidR="00AA3C4D" w:rsidRDefault="00257E36">
      <w:pPr>
        <w:pStyle w:val="TOC3"/>
        <w:rPr>
          <w:rFonts w:asciiTheme="minorHAnsi" w:eastAsiaTheme="minorEastAsia" w:hAnsiTheme="minorHAnsi" w:cstheme="minorBidi"/>
          <w:sz w:val="22"/>
          <w:szCs w:val="22"/>
          <w:lang w:eastAsia="en-AU"/>
        </w:rPr>
      </w:pPr>
      <w:hyperlink w:anchor="_Toc397097280" w:history="1">
        <w:r w:rsidR="00AA3C4D" w:rsidRPr="00E40654">
          <w:rPr>
            <w:rStyle w:val="Hyperlink"/>
          </w:rPr>
          <w:t>5.4.4</w:t>
        </w:r>
        <w:r w:rsidR="00AA3C4D">
          <w:rPr>
            <w:rFonts w:asciiTheme="minorHAnsi" w:eastAsiaTheme="minorEastAsia" w:hAnsiTheme="minorHAnsi" w:cstheme="minorBidi"/>
            <w:sz w:val="22"/>
            <w:szCs w:val="22"/>
            <w:lang w:eastAsia="en-AU"/>
          </w:rPr>
          <w:tab/>
        </w:r>
        <w:r w:rsidR="00AA3C4D" w:rsidRPr="00E40654">
          <w:rPr>
            <w:rStyle w:val="Hyperlink"/>
          </w:rPr>
          <w:t>SCADA, network control and protection systems</w:t>
        </w:r>
        <w:r w:rsidR="00AA3C4D">
          <w:rPr>
            <w:webHidden/>
          </w:rPr>
          <w:tab/>
        </w:r>
        <w:r w:rsidR="00AA3C4D">
          <w:rPr>
            <w:webHidden/>
          </w:rPr>
          <w:fldChar w:fldCharType="begin"/>
        </w:r>
        <w:r w:rsidR="00AA3C4D">
          <w:rPr>
            <w:webHidden/>
          </w:rPr>
          <w:instrText xml:space="preserve"> PAGEREF _Toc397097280 \h </w:instrText>
        </w:r>
        <w:r w:rsidR="00AA3C4D">
          <w:rPr>
            <w:webHidden/>
          </w:rPr>
        </w:r>
        <w:r w:rsidR="00AA3C4D">
          <w:rPr>
            <w:webHidden/>
          </w:rPr>
          <w:fldChar w:fldCharType="separate"/>
        </w:r>
        <w:r w:rsidR="00B27C70">
          <w:rPr>
            <w:webHidden/>
          </w:rPr>
          <w:t>25</w:t>
        </w:r>
        <w:r w:rsidR="00AA3C4D">
          <w:rPr>
            <w:webHidden/>
          </w:rPr>
          <w:fldChar w:fldCharType="end"/>
        </w:r>
      </w:hyperlink>
    </w:p>
    <w:p w14:paraId="693FA043" w14:textId="77777777" w:rsidR="00AA3C4D" w:rsidRDefault="00257E36">
      <w:pPr>
        <w:pStyle w:val="TOC2"/>
        <w:rPr>
          <w:rFonts w:asciiTheme="minorHAnsi" w:eastAsiaTheme="minorEastAsia" w:hAnsiTheme="minorHAnsi" w:cstheme="minorBidi"/>
          <w:bCs w:val="0"/>
          <w:szCs w:val="22"/>
          <w:lang w:eastAsia="en-AU"/>
        </w:rPr>
      </w:pPr>
      <w:hyperlink w:anchor="_Toc397097281" w:history="1">
        <w:r w:rsidR="00AA3C4D" w:rsidRPr="00E40654">
          <w:rPr>
            <w:rStyle w:val="Hyperlink"/>
          </w:rPr>
          <w:t>5.5</w:t>
        </w:r>
        <w:r w:rsidR="00AA3C4D">
          <w:rPr>
            <w:rFonts w:asciiTheme="minorHAnsi" w:eastAsiaTheme="minorEastAsia" w:hAnsiTheme="minorHAnsi" w:cstheme="minorBidi"/>
            <w:bCs w:val="0"/>
            <w:szCs w:val="22"/>
            <w:lang w:eastAsia="en-AU"/>
          </w:rPr>
          <w:tab/>
        </w:r>
        <w:r w:rsidR="00AA3C4D" w:rsidRPr="00E40654">
          <w:rPr>
            <w:rStyle w:val="Hyperlink"/>
          </w:rPr>
          <w:t>External factors</w:t>
        </w:r>
        <w:r w:rsidR="00AA3C4D">
          <w:rPr>
            <w:webHidden/>
          </w:rPr>
          <w:tab/>
        </w:r>
        <w:r w:rsidR="00AA3C4D">
          <w:rPr>
            <w:webHidden/>
          </w:rPr>
          <w:fldChar w:fldCharType="begin"/>
        </w:r>
        <w:r w:rsidR="00AA3C4D">
          <w:rPr>
            <w:webHidden/>
          </w:rPr>
          <w:instrText xml:space="preserve"> PAGEREF _Toc397097281 \h </w:instrText>
        </w:r>
        <w:r w:rsidR="00AA3C4D">
          <w:rPr>
            <w:webHidden/>
          </w:rPr>
        </w:r>
        <w:r w:rsidR="00AA3C4D">
          <w:rPr>
            <w:webHidden/>
          </w:rPr>
          <w:fldChar w:fldCharType="separate"/>
        </w:r>
        <w:r w:rsidR="00B27C70">
          <w:rPr>
            <w:webHidden/>
          </w:rPr>
          <w:t>25</w:t>
        </w:r>
        <w:r w:rsidR="00AA3C4D">
          <w:rPr>
            <w:webHidden/>
          </w:rPr>
          <w:fldChar w:fldCharType="end"/>
        </w:r>
      </w:hyperlink>
    </w:p>
    <w:p w14:paraId="48F4217A" w14:textId="77777777" w:rsidR="00AA3C4D" w:rsidRDefault="00257E36">
      <w:pPr>
        <w:pStyle w:val="TOC2"/>
        <w:rPr>
          <w:rFonts w:asciiTheme="minorHAnsi" w:eastAsiaTheme="minorEastAsia" w:hAnsiTheme="minorHAnsi" w:cstheme="minorBidi"/>
          <w:bCs w:val="0"/>
          <w:szCs w:val="22"/>
          <w:lang w:eastAsia="en-AU"/>
        </w:rPr>
      </w:pPr>
      <w:hyperlink w:anchor="_Toc397097282" w:history="1">
        <w:r w:rsidR="00AA3C4D" w:rsidRPr="00E40654">
          <w:rPr>
            <w:rStyle w:val="Hyperlink"/>
          </w:rPr>
          <w:t>5.6</w:t>
        </w:r>
        <w:r w:rsidR="00AA3C4D">
          <w:rPr>
            <w:rFonts w:asciiTheme="minorHAnsi" w:eastAsiaTheme="minorEastAsia" w:hAnsiTheme="minorHAnsi" w:cstheme="minorBidi"/>
            <w:bCs w:val="0"/>
            <w:szCs w:val="22"/>
            <w:lang w:eastAsia="en-AU"/>
          </w:rPr>
          <w:tab/>
        </w:r>
        <w:r w:rsidR="00AA3C4D" w:rsidRPr="00E40654">
          <w:rPr>
            <w:rStyle w:val="Hyperlink"/>
          </w:rPr>
          <w:t>New technology</w:t>
        </w:r>
        <w:r w:rsidR="00AA3C4D">
          <w:rPr>
            <w:webHidden/>
          </w:rPr>
          <w:tab/>
        </w:r>
        <w:r w:rsidR="00AA3C4D">
          <w:rPr>
            <w:webHidden/>
          </w:rPr>
          <w:fldChar w:fldCharType="begin"/>
        </w:r>
        <w:r w:rsidR="00AA3C4D">
          <w:rPr>
            <w:webHidden/>
          </w:rPr>
          <w:instrText xml:space="preserve"> PAGEREF _Toc397097282 \h </w:instrText>
        </w:r>
        <w:r w:rsidR="00AA3C4D">
          <w:rPr>
            <w:webHidden/>
          </w:rPr>
        </w:r>
        <w:r w:rsidR="00AA3C4D">
          <w:rPr>
            <w:webHidden/>
          </w:rPr>
          <w:fldChar w:fldCharType="separate"/>
        </w:r>
        <w:r w:rsidR="00B27C70">
          <w:rPr>
            <w:webHidden/>
          </w:rPr>
          <w:t>25</w:t>
        </w:r>
        <w:r w:rsidR="00AA3C4D">
          <w:rPr>
            <w:webHidden/>
          </w:rPr>
          <w:fldChar w:fldCharType="end"/>
        </w:r>
      </w:hyperlink>
    </w:p>
    <w:p w14:paraId="58B517D1" w14:textId="77777777" w:rsidR="00AA3C4D" w:rsidRDefault="00257E36">
      <w:pPr>
        <w:pStyle w:val="TOC2"/>
        <w:rPr>
          <w:rFonts w:asciiTheme="minorHAnsi" w:eastAsiaTheme="minorEastAsia" w:hAnsiTheme="minorHAnsi" w:cstheme="minorBidi"/>
          <w:bCs w:val="0"/>
          <w:szCs w:val="22"/>
          <w:lang w:eastAsia="en-AU"/>
        </w:rPr>
      </w:pPr>
      <w:hyperlink w:anchor="_Toc397097283" w:history="1">
        <w:r w:rsidR="00AA3C4D" w:rsidRPr="00E40654">
          <w:rPr>
            <w:rStyle w:val="Hyperlink"/>
          </w:rPr>
          <w:t>5.7</w:t>
        </w:r>
        <w:r w:rsidR="00AA3C4D">
          <w:rPr>
            <w:rFonts w:asciiTheme="minorHAnsi" w:eastAsiaTheme="minorEastAsia" w:hAnsiTheme="minorHAnsi" w:cstheme="minorBidi"/>
            <w:bCs w:val="0"/>
            <w:szCs w:val="22"/>
            <w:lang w:eastAsia="en-AU"/>
          </w:rPr>
          <w:tab/>
        </w:r>
        <w:r w:rsidR="00AA3C4D" w:rsidRPr="00E40654">
          <w:rPr>
            <w:rStyle w:val="Hyperlink"/>
          </w:rPr>
          <w:t>Other significant matters</w:t>
        </w:r>
        <w:r w:rsidR="00AA3C4D">
          <w:rPr>
            <w:webHidden/>
          </w:rPr>
          <w:tab/>
        </w:r>
        <w:r w:rsidR="00AA3C4D">
          <w:rPr>
            <w:webHidden/>
          </w:rPr>
          <w:fldChar w:fldCharType="begin"/>
        </w:r>
        <w:r w:rsidR="00AA3C4D">
          <w:rPr>
            <w:webHidden/>
          </w:rPr>
          <w:instrText xml:space="preserve"> PAGEREF _Toc397097283 \h </w:instrText>
        </w:r>
        <w:r w:rsidR="00AA3C4D">
          <w:rPr>
            <w:webHidden/>
          </w:rPr>
        </w:r>
        <w:r w:rsidR="00AA3C4D">
          <w:rPr>
            <w:webHidden/>
          </w:rPr>
          <w:fldChar w:fldCharType="separate"/>
        </w:r>
        <w:r w:rsidR="00B27C70">
          <w:rPr>
            <w:webHidden/>
          </w:rPr>
          <w:t>25</w:t>
        </w:r>
        <w:r w:rsidR="00AA3C4D">
          <w:rPr>
            <w:webHidden/>
          </w:rPr>
          <w:fldChar w:fldCharType="end"/>
        </w:r>
      </w:hyperlink>
    </w:p>
    <w:p w14:paraId="365F863E" w14:textId="77777777" w:rsidR="00AA3C4D" w:rsidRDefault="00257E36">
      <w:pPr>
        <w:pStyle w:val="TOC1"/>
        <w:rPr>
          <w:rFonts w:asciiTheme="minorHAnsi" w:eastAsiaTheme="minorEastAsia" w:hAnsiTheme="minorHAnsi" w:cstheme="minorBidi"/>
          <w:b w:val="0"/>
          <w:bCs w:val="0"/>
          <w:caps w:val="0"/>
          <w:noProof/>
          <w:szCs w:val="22"/>
          <w:lang w:eastAsia="en-AU"/>
        </w:rPr>
      </w:pPr>
      <w:hyperlink w:anchor="_Toc397097284" w:history="1">
        <w:r w:rsidR="00AA3C4D" w:rsidRPr="00E40654">
          <w:rPr>
            <w:rStyle w:val="Hyperlink"/>
            <w:noProof/>
          </w:rPr>
          <w:t>6</w:t>
        </w:r>
        <w:r w:rsidR="00AA3C4D">
          <w:rPr>
            <w:rFonts w:asciiTheme="minorHAnsi" w:eastAsiaTheme="minorEastAsia" w:hAnsiTheme="minorHAnsi" w:cstheme="minorBidi"/>
            <w:b w:val="0"/>
            <w:bCs w:val="0"/>
            <w:caps w:val="0"/>
            <w:noProof/>
            <w:szCs w:val="22"/>
            <w:lang w:eastAsia="en-AU"/>
          </w:rPr>
          <w:tab/>
        </w:r>
        <w:r w:rsidR="00AA3C4D" w:rsidRPr="00E40654">
          <w:rPr>
            <w:rStyle w:val="Hyperlink"/>
            <w:noProof/>
          </w:rPr>
          <w:t>Additional Energex replacement expenditure items</w:t>
        </w:r>
        <w:r w:rsidR="00AA3C4D">
          <w:rPr>
            <w:noProof/>
            <w:webHidden/>
          </w:rPr>
          <w:tab/>
        </w:r>
        <w:r w:rsidR="00AA3C4D">
          <w:rPr>
            <w:noProof/>
            <w:webHidden/>
          </w:rPr>
          <w:fldChar w:fldCharType="begin"/>
        </w:r>
        <w:r w:rsidR="00AA3C4D">
          <w:rPr>
            <w:noProof/>
            <w:webHidden/>
          </w:rPr>
          <w:instrText xml:space="preserve"> PAGEREF _Toc397097284 \h </w:instrText>
        </w:r>
        <w:r w:rsidR="00AA3C4D">
          <w:rPr>
            <w:noProof/>
            <w:webHidden/>
          </w:rPr>
        </w:r>
        <w:r w:rsidR="00AA3C4D">
          <w:rPr>
            <w:noProof/>
            <w:webHidden/>
          </w:rPr>
          <w:fldChar w:fldCharType="separate"/>
        </w:r>
        <w:r w:rsidR="00B27C70">
          <w:rPr>
            <w:noProof/>
            <w:webHidden/>
          </w:rPr>
          <w:t>26</w:t>
        </w:r>
        <w:r w:rsidR="00AA3C4D">
          <w:rPr>
            <w:noProof/>
            <w:webHidden/>
          </w:rPr>
          <w:fldChar w:fldCharType="end"/>
        </w:r>
      </w:hyperlink>
    </w:p>
    <w:p w14:paraId="09ADBFC9" w14:textId="77777777" w:rsidR="00AA3C4D" w:rsidRDefault="00257E36">
      <w:pPr>
        <w:pStyle w:val="TOC1"/>
        <w:rPr>
          <w:rFonts w:asciiTheme="minorHAnsi" w:eastAsiaTheme="minorEastAsia" w:hAnsiTheme="minorHAnsi" w:cstheme="minorBidi"/>
          <w:b w:val="0"/>
          <w:bCs w:val="0"/>
          <w:caps w:val="0"/>
          <w:noProof/>
          <w:szCs w:val="22"/>
          <w:lang w:eastAsia="en-AU"/>
        </w:rPr>
      </w:pPr>
      <w:hyperlink w:anchor="_Toc397097285" w:history="1">
        <w:r w:rsidR="00AA3C4D" w:rsidRPr="00E40654">
          <w:rPr>
            <w:rStyle w:val="Hyperlink"/>
            <w:noProof/>
          </w:rPr>
          <w:t>7</w:t>
        </w:r>
        <w:r w:rsidR="00AA3C4D">
          <w:rPr>
            <w:rFonts w:asciiTheme="minorHAnsi" w:eastAsiaTheme="minorEastAsia" w:hAnsiTheme="minorHAnsi" w:cstheme="minorBidi"/>
            <w:b w:val="0"/>
            <w:bCs w:val="0"/>
            <w:caps w:val="0"/>
            <w:noProof/>
            <w:szCs w:val="22"/>
            <w:lang w:eastAsia="en-AU"/>
          </w:rPr>
          <w:tab/>
        </w:r>
        <w:r w:rsidR="00AA3C4D" w:rsidRPr="00E40654">
          <w:rPr>
            <w:rStyle w:val="Hyperlink"/>
            <w:noProof/>
          </w:rPr>
          <w:t>RIN Schedule 1 checklist</w:t>
        </w:r>
        <w:r w:rsidR="00AA3C4D">
          <w:rPr>
            <w:noProof/>
            <w:webHidden/>
          </w:rPr>
          <w:tab/>
        </w:r>
        <w:r w:rsidR="00AA3C4D">
          <w:rPr>
            <w:noProof/>
            <w:webHidden/>
          </w:rPr>
          <w:fldChar w:fldCharType="begin"/>
        </w:r>
        <w:r w:rsidR="00AA3C4D">
          <w:rPr>
            <w:noProof/>
            <w:webHidden/>
          </w:rPr>
          <w:instrText xml:space="preserve"> PAGEREF _Toc397097285 \h </w:instrText>
        </w:r>
        <w:r w:rsidR="00AA3C4D">
          <w:rPr>
            <w:noProof/>
            <w:webHidden/>
          </w:rPr>
        </w:r>
        <w:r w:rsidR="00AA3C4D">
          <w:rPr>
            <w:noProof/>
            <w:webHidden/>
          </w:rPr>
          <w:fldChar w:fldCharType="separate"/>
        </w:r>
        <w:r w:rsidR="00B27C70">
          <w:rPr>
            <w:noProof/>
            <w:webHidden/>
          </w:rPr>
          <w:t>30</w:t>
        </w:r>
        <w:r w:rsidR="00AA3C4D">
          <w:rPr>
            <w:noProof/>
            <w:webHidden/>
          </w:rPr>
          <w:fldChar w:fldCharType="end"/>
        </w:r>
      </w:hyperlink>
    </w:p>
    <w:p w14:paraId="62078C1D" w14:textId="77777777" w:rsidR="00DC3C4E" w:rsidRPr="00DC3C4E" w:rsidRDefault="00B35FD5" w:rsidP="00B34058">
      <w:pPr>
        <w:spacing w:before="360" w:after="240"/>
        <w:rPr>
          <w:b/>
          <w:color w:val="0081C3"/>
          <w:sz w:val="24"/>
          <w:szCs w:val="24"/>
          <w:lang w:eastAsia="en-AU"/>
        </w:rPr>
      </w:pPr>
      <w:r>
        <w:rPr>
          <w:lang w:eastAsia="en-AU"/>
        </w:rPr>
        <w:fldChar w:fldCharType="end"/>
      </w:r>
      <w:r w:rsidR="00DC3C4E" w:rsidRPr="00DC3C4E">
        <w:rPr>
          <w:b/>
          <w:color w:val="0081C3"/>
          <w:sz w:val="24"/>
          <w:szCs w:val="24"/>
          <w:lang w:eastAsia="en-AU"/>
        </w:rPr>
        <w:t>LIST OF TABLES</w:t>
      </w:r>
    </w:p>
    <w:p w14:paraId="3489479D" w14:textId="77777777" w:rsidR="00AA3C4D" w:rsidRDefault="00DC3C4E">
      <w:pPr>
        <w:pStyle w:val="TableofFigures"/>
        <w:rPr>
          <w:rFonts w:asciiTheme="minorHAnsi" w:eastAsiaTheme="minorEastAsia" w:hAnsiTheme="minorHAnsi" w:cstheme="minorBidi"/>
          <w:noProof/>
          <w:sz w:val="22"/>
          <w:lang w:eastAsia="en-AU"/>
        </w:rPr>
      </w:pPr>
      <w:r w:rsidRPr="00DC3C4E">
        <w:rPr>
          <w:lang w:eastAsia="en-AU"/>
        </w:rPr>
        <w:fldChar w:fldCharType="begin"/>
      </w:r>
      <w:r w:rsidRPr="00DC3C4E">
        <w:rPr>
          <w:lang w:eastAsia="en-AU"/>
        </w:rPr>
        <w:instrText xml:space="preserve"> TOC \c "Table" \w \h </w:instrText>
      </w:r>
      <w:r w:rsidR="00C92B05">
        <w:rPr>
          <w:lang w:eastAsia="en-AU"/>
        </w:rPr>
        <w:instrText xml:space="preserve">\* MERGEFORMAT </w:instrText>
      </w:r>
      <w:r w:rsidRPr="00DC3C4E">
        <w:rPr>
          <w:lang w:eastAsia="en-AU"/>
        </w:rPr>
        <w:fldChar w:fldCharType="separate"/>
      </w:r>
      <w:hyperlink w:anchor="_Toc397097286" w:history="1">
        <w:r w:rsidR="00AA3C4D" w:rsidRPr="00A33D2F">
          <w:rPr>
            <w:rStyle w:val="Hyperlink"/>
            <w:noProof/>
          </w:rPr>
          <w:t>Table 1</w:t>
        </w:r>
        <w:r w:rsidR="00AA3C4D" w:rsidRPr="00A33D2F">
          <w:rPr>
            <w:rStyle w:val="Hyperlink"/>
            <w:noProof/>
          </w:rPr>
          <w:noBreakHyphen/>
          <w:t>1</w:t>
        </w:r>
        <w:r w:rsidR="00AA3C4D" w:rsidRPr="00A33D2F">
          <w:rPr>
            <w:rStyle w:val="Hyperlink"/>
            <w:noProof/>
          </w:rPr>
          <w:tab/>
          <w:t>Energex terminology</w:t>
        </w:r>
        <w:r w:rsidR="00AA3C4D">
          <w:rPr>
            <w:noProof/>
          </w:rPr>
          <w:tab/>
        </w:r>
        <w:r w:rsidR="00AA3C4D">
          <w:rPr>
            <w:noProof/>
          </w:rPr>
          <w:fldChar w:fldCharType="begin"/>
        </w:r>
        <w:r w:rsidR="00AA3C4D">
          <w:rPr>
            <w:noProof/>
          </w:rPr>
          <w:instrText xml:space="preserve"> PAGEREF _Toc397097286 \h </w:instrText>
        </w:r>
        <w:r w:rsidR="00AA3C4D">
          <w:rPr>
            <w:noProof/>
          </w:rPr>
        </w:r>
        <w:r w:rsidR="00AA3C4D">
          <w:rPr>
            <w:noProof/>
          </w:rPr>
          <w:fldChar w:fldCharType="separate"/>
        </w:r>
        <w:r w:rsidR="00B27C70">
          <w:rPr>
            <w:noProof/>
          </w:rPr>
          <w:t>4</w:t>
        </w:r>
        <w:r w:rsidR="00AA3C4D">
          <w:rPr>
            <w:noProof/>
          </w:rPr>
          <w:fldChar w:fldCharType="end"/>
        </w:r>
      </w:hyperlink>
    </w:p>
    <w:p w14:paraId="118D183F" w14:textId="77777777" w:rsidR="00AA3C4D" w:rsidRDefault="00257E36">
      <w:pPr>
        <w:pStyle w:val="TableofFigures"/>
        <w:rPr>
          <w:rFonts w:asciiTheme="minorHAnsi" w:eastAsiaTheme="minorEastAsia" w:hAnsiTheme="minorHAnsi" w:cstheme="minorBidi"/>
          <w:noProof/>
          <w:sz w:val="22"/>
          <w:lang w:eastAsia="en-AU"/>
        </w:rPr>
      </w:pPr>
      <w:hyperlink w:anchor="_Toc397097287" w:history="1">
        <w:r w:rsidR="00AA3C4D" w:rsidRPr="00A33D2F">
          <w:rPr>
            <w:rStyle w:val="Hyperlink"/>
            <w:noProof/>
          </w:rPr>
          <w:t>Table 2</w:t>
        </w:r>
        <w:r w:rsidR="00AA3C4D" w:rsidRPr="00A33D2F">
          <w:rPr>
            <w:rStyle w:val="Hyperlink"/>
            <w:noProof/>
          </w:rPr>
          <w:noBreakHyphen/>
          <w:t>1 Mapping to AER Repex asset categories</w:t>
        </w:r>
        <w:r w:rsidR="00AA3C4D">
          <w:rPr>
            <w:noProof/>
          </w:rPr>
          <w:tab/>
        </w:r>
        <w:r w:rsidR="00AA3C4D">
          <w:rPr>
            <w:noProof/>
          </w:rPr>
          <w:fldChar w:fldCharType="begin"/>
        </w:r>
        <w:r w:rsidR="00AA3C4D">
          <w:rPr>
            <w:noProof/>
          </w:rPr>
          <w:instrText xml:space="preserve"> PAGEREF _Toc397097287 \h </w:instrText>
        </w:r>
        <w:r w:rsidR="00AA3C4D">
          <w:rPr>
            <w:noProof/>
          </w:rPr>
        </w:r>
        <w:r w:rsidR="00AA3C4D">
          <w:rPr>
            <w:noProof/>
          </w:rPr>
          <w:fldChar w:fldCharType="separate"/>
        </w:r>
        <w:r w:rsidR="00B27C70">
          <w:rPr>
            <w:noProof/>
          </w:rPr>
          <w:t>6</w:t>
        </w:r>
        <w:r w:rsidR="00AA3C4D">
          <w:rPr>
            <w:noProof/>
          </w:rPr>
          <w:fldChar w:fldCharType="end"/>
        </w:r>
      </w:hyperlink>
    </w:p>
    <w:p w14:paraId="6CE7E3EE" w14:textId="77777777" w:rsidR="00AA3C4D" w:rsidRDefault="00257E36">
      <w:pPr>
        <w:pStyle w:val="TableofFigures"/>
        <w:rPr>
          <w:rFonts w:asciiTheme="minorHAnsi" w:eastAsiaTheme="minorEastAsia" w:hAnsiTheme="minorHAnsi" w:cstheme="minorBidi"/>
          <w:noProof/>
          <w:sz w:val="22"/>
          <w:lang w:eastAsia="en-AU"/>
        </w:rPr>
      </w:pPr>
      <w:hyperlink w:anchor="_Toc397097288" w:history="1">
        <w:r w:rsidR="00AA3C4D" w:rsidRPr="00A33D2F">
          <w:rPr>
            <w:rStyle w:val="Hyperlink"/>
            <w:noProof/>
          </w:rPr>
          <w:t>Table 2</w:t>
        </w:r>
        <w:r w:rsidR="00AA3C4D" w:rsidRPr="00A33D2F">
          <w:rPr>
            <w:rStyle w:val="Hyperlink"/>
            <w:noProof/>
          </w:rPr>
          <w:noBreakHyphen/>
          <w:t>2</w:t>
        </w:r>
        <w:r w:rsidR="00AA3C4D" w:rsidRPr="00A33D2F">
          <w:rPr>
            <w:rStyle w:val="Hyperlink"/>
            <w:noProof/>
          </w:rPr>
          <w:tab/>
          <w:t>Main replacement driver</w:t>
        </w:r>
        <w:r w:rsidR="00AA3C4D">
          <w:rPr>
            <w:noProof/>
          </w:rPr>
          <w:tab/>
        </w:r>
        <w:r w:rsidR="00AA3C4D">
          <w:rPr>
            <w:noProof/>
          </w:rPr>
          <w:fldChar w:fldCharType="begin"/>
        </w:r>
        <w:r w:rsidR="00AA3C4D">
          <w:rPr>
            <w:noProof/>
          </w:rPr>
          <w:instrText xml:space="preserve"> PAGEREF _Toc397097288 \h </w:instrText>
        </w:r>
        <w:r w:rsidR="00AA3C4D">
          <w:rPr>
            <w:noProof/>
          </w:rPr>
        </w:r>
        <w:r w:rsidR="00AA3C4D">
          <w:rPr>
            <w:noProof/>
          </w:rPr>
          <w:fldChar w:fldCharType="separate"/>
        </w:r>
        <w:r w:rsidR="00B27C70">
          <w:rPr>
            <w:noProof/>
          </w:rPr>
          <w:t>11</w:t>
        </w:r>
        <w:r w:rsidR="00AA3C4D">
          <w:rPr>
            <w:noProof/>
          </w:rPr>
          <w:fldChar w:fldCharType="end"/>
        </w:r>
      </w:hyperlink>
    </w:p>
    <w:p w14:paraId="17200066" w14:textId="77777777" w:rsidR="00AA3C4D" w:rsidRDefault="00257E36">
      <w:pPr>
        <w:pStyle w:val="TableofFigures"/>
        <w:rPr>
          <w:rFonts w:asciiTheme="minorHAnsi" w:eastAsiaTheme="minorEastAsia" w:hAnsiTheme="minorHAnsi" w:cstheme="minorBidi"/>
          <w:noProof/>
          <w:sz w:val="22"/>
          <w:lang w:eastAsia="en-AU"/>
        </w:rPr>
      </w:pPr>
      <w:hyperlink w:anchor="_Toc397097289" w:history="1">
        <w:r w:rsidR="00AA3C4D" w:rsidRPr="00A33D2F">
          <w:rPr>
            <w:rStyle w:val="Hyperlink"/>
            <w:noProof/>
          </w:rPr>
          <w:t>Table 2</w:t>
        </w:r>
        <w:r w:rsidR="00AA3C4D" w:rsidRPr="00A33D2F">
          <w:rPr>
            <w:rStyle w:val="Hyperlink"/>
            <w:noProof/>
          </w:rPr>
          <w:noBreakHyphen/>
          <w:t>3</w:t>
        </w:r>
        <w:r w:rsidR="00AA3C4D" w:rsidRPr="00A33D2F">
          <w:rPr>
            <w:rStyle w:val="Hyperlink"/>
            <w:noProof/>
          </w:rPr>
          <w:tab/>
          <w:t>Replacements due to asset ageing</w:t>
        </w:r>
        <w:r w:rsidR="00AA3C4D">
          <w:rPr>
            <w:noProof/>
          </w:rPr>
          <w:tab/>
        </w:r>
        <w:r w:rsidR="00AA3C4D">
          <w:rPr>
            <w:noProof/>
          </w:rPr>
          <w:fldChar w:fldCharType="begin"/>
        </w:r>
        <w:r w:rsidR="00AA3C4D">
          <w:rPr>
            <w:noProof/>
          </w:rPr>
          <w:instrText xml:space="preserve"> PAGEREF _Toc397097289 \h </w:instrText>
        </w:r>
        <w:r w:rsidR="00AA3C4D">
          <w:rPr>
            <w:noProof/>
          </w:rPr>
        </w:r>
        <w:r w:rsidR="00AA3C4D">
          <w:rPr>
            <w:noProof/>
          </w:rPr>
          <w:fldChar w:fldCharType="separate"/>
        </w:r>
        <w:r w:rsidR="00B27C70">
          <w:rPr>
            <w:noProof/>
          </w:rPr>
          <w:t>13</w:t>
        </w:r>
        <w:r w:rsidR="00AA3C4D">
          <w:rPr>
            <w:noProof/>
          </w:rPr>
          <w:fldChar w:fldCharType="end"/>
        </w:r>
      </w:hyperlink>
    </w:p>
    <w:p w14:paraId="41BC01ED" w14:textId="77777777" w:rsidR="00AA3C4D" w:rsidRDefault="00257E36">
      <w:pPr>
        <w:pStyle w:val="TableofFigures"/>
        <w:rPr>
          <w:rFonts w:asciiTheme="minorHAnsi" w:eastAsiaTheme="minorEastAsia" w:hAnsiTheme="minorHAnsi" w:cstheme="minorBidi"/>
          <w:noProof/>
          <w:sz w:val="22"/>
          <w:lang w:eastAsia="en-AU"/>
        </w:rPr>
      </w:pPr>
      <w:hyperlink w:anchor="_Toc397097290" w:history="1">
        <w:r w:rsidR="00AA3C4D" w:rsidRPr="00A33D2F">
          <w:rPr>
            <w:rStyle w:val="Hyperlink"/>
            <w:noProof/>
          </w:rPr>
          <w:t>Table 2</w:t>
        </w:r>
        <w:r w:rsidR="00AA3C4D" w:rsidRPr="00A33D2F">
          <w:rPr>
            <w:rStyle w:val="Hyperlink"/>
            <w:noProof/>
          </w:rPr>
          <w:noBreakHyphen/>
          <w:t>4</w:t>
        </w:r>
        <w:r w:rsidR="00AA3C4D" w:rsidRPr="00A33D2F">
          <w:rPr>
            <w:rStyle w:val="Hyperlink"/>
            <w:noProof/>
          </w:rPr>
          <w:tab/>
          <w:t>Assets replaced through augmentation, extension, development of the network</w:t>
        </w:r>
        <w:r w:rsidR="00AA3C4D">
          <w:rPr>
            <w:noProof/>
          </w:rPr>
          <w:tab/>
        </w:r>
        <w:r w:rsidR="00AA3C4D">
          <w:rPr>
            <w:noProof/>
          </w:rPr>
          <w:fldChar w:fldCharType="begin"/>
        </w:r>
        <w:r w:rsidR="00AA3C4D">
          <w:rPr>
            <w:noProof/>
          </w:rPr>
          <w:instrText xml:space="preserve"> PAGEREF _Toc397097290 \h </w:instrText>
        </w:r>
        <w:r w:rsidR="00AA3C4D">
          <w:rPr>
            <w:noProof/>
          </w:rPr>
        </w:r>
        <w:r w:rsidR="00AA3C4D">
          <w:rPr>
            <w:noProof/>
          </w:rPr>
          <w:fldChar w:fldCharType="separate"/>
        </w:r>
        <w:r w:rsidR="00B27C70">
          <w:rPr>
            <w:noProof/>
          </w:rPr>
          <w:t>14</w:t>
        </w:r>
        <w:r w:rsidR="00AA3C4D">
          <w:rPr>
            <w:noProof/>
          </w:rPr>
          <w:fldChar w:fldCharType="end"/>
        </w:r>
      </w:hyperlink>
    </w:p>
    <w:p w14:paraId="64A2B5C4" w14:textId="77777777" w:rsidR="00AA3C4D" w:rsidRDefault="00257E36">
      <w:pPr>
        <w:pStyle w:val="TableofFigures"/>
        <w:rPr>
          <w:rFonts w:asciiTheme="minorHAnsi" w:eastAsiaTheme="minorEastAsia" w:hAnsiTheme="minorHAnsi" w:cstheme="minorBidi"/>
          <w:noProof/>
          <w:sz w:val="22"/>
          <w:lang w:eastAsia="en-AU"/>
        </w:rPr>
      </w:pPr>
      <w:hyperlink w:anchor="_Toc397097291" w:history="1">
        <w:r w:rsidR="00AA3C4D" w:rsidRPr="00A33D2F">
          <w:rPr>
            <w:rStyle w:val="Hyperlink"/>
            <w:noProof/>
          </w:rPr>
          <w:t>Table 3</w:t>
        </w:r>
        <w:r w:rsidR="00AA3C4D" w:rsidRPr="00A33D2F">
          <w:rPr>
            <w:rStyle w:val="Hyperlink"/>
            <w:noProof/>
          </w:rPr>
          <w:noBreakHyphen/>
          <w:t>1</w:t>
        </w:r>
        <w:r w:rsidR="00AA3C4D" w:rsidRPr="00A33D2F">
          <w:rPr>
            <w:rStyle w:val="Hyperlink"/>
            <w:noProof/>
          </w:rPr>
          <w:tab/>
          <w:t>Replacement life statistics information sources</w:t>
        </w:r>
        <w:r w:rsidR="00AA3C4D">
          <w:rPr>
            <w:noProof/>
          </w:rPr>
          <w:tab/>
        </w:r>
        <w:r w:rsidR="00AA3C4D">
          <w:rPr>
            <w:noProof/>
          </w:rPr>
          <w:fldChar w:fldCharType="begin"/>
        </w:r>
        <w:r w:rsidR="00AA3C4D">
          <w:rPr>
            <w:noProof/>
          </w:rPr>
          <w:instrText xml:space="preserve"> PAGEREF _Toc397097291 \h </w:instrText>
        </w:r>
        <w:r w:rsidR="00AA3C4D">
          <w:rPr>
            <w:noProof/>
          </w:rPr>
        </w:r>
        <w:r w:rsidR="00AA3C4D">
          <w:rPr>
            <w:noProof/>
          </w:rPr>
          <w:fldChar w:fldCharType="separate"/>
        </w:r>
        <w:r w:rsidR="00B27C70">
          <w:rPr>
            <w:noProof/>
          </w:rPr>
          <w:t>16</w:t>
        </w:r>
        <w:r w:rsidR="00AA3C4D">
          <w:rPr>
            <w:noProof/>
          </w:rPr>
          <w:fldChar w:fldCharType="end"/>
        </w:r>
      </w:hyperlink>
    </w:p>
    <w:p w14:paraId="512403C8" w14:textId="77777777" w:rsidR="00AA3C4D" w:rsidRDefault="00257E36">
      <w:pPr>
        <w:pStyle w:val="TableofFigures"/>
        <w:rPr>
          <w:rFonts w:asciiTheme="minorHAnsi" w:eastAsiaTheme="minorEastAsia" w:hAnsiTheme="minorHAnsi" w:cstheme="minorBidi"/>
          <w:noProof/>
          <w:sz w:val="22"/>
          <w:lang w:eastAsia="en-AU"/>
        </w:rPr>
      </w:pPr>
      <w:hyperlink w:anchor="_Toc397097292" w:history="1">
        <w:r w:rsidR="00AA3C4D" w:rsidRPr="00A33D2F">
          <w:rPr>
            <w:rStyle w:val="Hyperlink"/>
            <w:noProof/>
          </w:rPr>
          <w:t>Table 6</w:t>
        </w:r>
        <w:r w:rsidR="00AA3C4D" w:rsidRPr="00A33D2F">
          <w:rPr>
            <w:rStyle w:val="Hyperlink"/>
            <w:noProof/>
          </w:rPr>
          <w:noBreakHyphen/>
          <w:t>1 – Unmodelled programs not included in Repex model</w:t>
        </w:r>
        <w:r w:rsidR="00AA3C4D">
          <w:rPr>
            <w:noProof/>
          </w:rPr>
          <w:tab/>
        </w:r>
        <w:r w:rsidR="00AA3C4D">
          <w:rPr>
            <w:noProof/>
          </w:rPr>
          <w:fldChar w:fldCharType="begin"/>
        </w:r>
        <w:r w:rsidR="00AA3C4D">
          <w:rPr>
            <w:noProof/>
          </w:rPr>
          <w:instrText xml:space="preserve"> PAGEREF _Toc397097292 \h </w:instrText>
        </w:r>
        <w:r w:rsidR="00AA3C4D">
          <w:rPr>
            <w:noProof/>
          </w:rPr>
        </w:r>
        <w:r w:rsidR="00AA3C4D">
          <w:rPr>
            <w:noProof/>
          </w:rPr>
          <w:fldChar w:fldCharType="separate"/>
        </w:r>
        <w:r w:rsidR="00B27C70">
          <w:rPr>
            <w:noProof/>
          </w:rPr>
          <w:t>26</w:t>
        </w:r>
        <w:r w:rsidR="00AA3C4D">
          <w:rPr>
            <w:noProof/>
          </w:rPr>
          <w:fldChar w:fldCharType="end"/>
        </w:r>
      </w:hyperlink>
    </w:p>
    <w:p w14:paraId="6DB1F8DA" w14:textId="77777777" w:rsidR="00AA3C4D" w:rsidRDefault="00257E36">
      <w:pPr>
        <w:pStyle w:val="TableofFigures"/>
        <w:rPr>
          <w:rFonts w:asciiTheme="minorHAnsi" w:eastAsiaTheme="minorEastAsia" w:hAnsiTheme="minorHAnsi" w:cstheme="minorBidi"/>
          <w:noProof/>
          <w:sz w:val="22"/>
          <w:lang w:eastAsia="en-AU"/>
        </w:rPr>
      </w:pPr>
      <w:hyperlink w:anchor="_Toc397097293" w:history="1">
        <w:r w:rsidR="00AA3C4D" w:rsidRPr="00A33D2F">
          <w:rPr>
            <w:rStyle w:val="Hyperlink"/>
            <w:noProof/>
          </w:rPr>
          <w:t>Table 7</w:t>
        </w:r>
        <w:r w:rsidR="00AA3C4D" w:rsidRPr="00A33D2F">
          <w:rPr>
            <w:rStyle w:val="Hyperlink"/>
            <w:noProof/>
          </w:rPr>
          <w:noBreakHyphen/>
          <w:t>1 – Compliance checklist</w:t>
        </w:r>
        <w:r w:rsidR="00AA3C4D">
          <w:rPr>
            <w:noProof/>
          </w:rPr>
          <w:tab/>
        </w:r>
        <w:r w:rsidR="00AA3C4D">
          <w:rPr>
            <w:noProof/>
          </w:rPr>
          <w:fldChar w:fldCharType="begin"/>
        </w:r>
        <w:r w:rsidR="00AA3C4D">
          <w:rPr>
            <w:noProof/>
          </w:rPr>
          <w:instrText xml:space="preserve"> PAGEREF _Toc397097293 \h </w:instrText>
        </w:r>
        <w:r w:rsidR="00AA3C4D">
          <w:rPr>
            <w:noProof/>
          </w:rPr>
        </w:r>
        <w:r w:rsidR="00AA3C4D">
          <w:rPr>
            <w:noProof/>
          </w:rPr>
          <w:fldChar w:fldCharType="separate"/>
        </w:r>
        <w:r w:rsidR="00B27C70">
          <w:rPr>
            <w:noProof/>
          </w:rPr>
          <w:t>30</w:t>
        </w:r>
        <w:r w:rsidR="00AA3C4D">
          <w:rPr>
            <w:noProof/>
          </w:rPr>
          <w:fldChar w:fldCharType="end"/>
        </w:r>
      </w:hyperlink>
    </w:p>
    <w:p w14:paraId="62078C26" w14:textId="77777777" w:rsidR="00982EF9" w:rsidRDefault="00DC3C4E" w:rsidP="003B0D0C">
      <w:pPr>
        <w:rPr>
          <w:lang w:eastAsia="en-AU"/>
        </w:rPr>
      </w:pPr>
      <w:r w:rsidRPr="00DC3C4E">
        <w:rPr>
          <w:lang w:eastAsia="en-AU"/>
        </w:rPr>
        <w:fldChar w:fldCharType="end"/>
      </w:r>
    </w:p>
    <w:p w14:paraId="62078C28" w14:textId="77777777" w:rsidR="00D9178F" w:rsidRDefault="00D9178F" w:rsidP="00D9178F">
      <w:pPr>
        <w:spacing w:before="0" w:after="0"/>
        <w:rPr>
          <w:rFonts w:eastAsia="Times New Roman" w:cs="Times New Roman"/>
          <w:sz w:val="16"/>
          <w:szCs w:val="16"/>
          <w:lang w:eastAsia="en-AU"/>
        </w:rPr>
        <w:sectPr w:rsidR="00D9178F" w:rsidSect="00F16305">
          <w:footerReference w:type="default" r:id="rId19"/>
          <w:pgSz w:w="11906" w:h="16838"/>
          <w:pgMar w:top="1418" w:right="1418" w:bottom="1701" w:left="1418" w:header="709" w:footer="709" w:gutter="0"/>
          <w:pgNumType w:fmt="lowerRoman" w:start="1"/>
          <w:cols w:space="708"/>
          <w:docGrid w:linePitch="360"/>
        </w:sectPr>
      </w:pPr>
    </w:p>
    <w:p w14:paraId="62078C29" w14:textId="77777777" w:rsidR="00FE4901" w:rsidRDefault="00FE4901" w:rsidP="00FE4901">
      <w:pPr>
        <w:pStyle w:val="Heading1"/>
      </w:pPr>
      <w:bookmarkStart w:id="1" w:name="_Toc394570297"/>
      <w:bookmarkStart w:id="2" w:name="_Toc394571467"/>
      <w:bookmarkStart w:id="3" w:name="_Toc397097235"/>
      <w:r>
        <w:t>Introduct</w:t>
      </w:r>
      <w:r w:rsidR="003118E8">
        <w:t>i</w:t>
      </w:r>
      <w:r>
        <w:t>on</w:t>
      </w:r>
      <w:bookmarkEnd w:id="1"/>
      <w:bookmarkEnd w:id="2"/>
      <w:bookmarkEnd w:id="3"/>
    </w:p>
    <w:p w14:paraId="62078C2C" w14:textId="77777777" w:rsidR="00FE4901" w:rsidRDefault="00457AC2" w:rsidP="00FE4901">
      <w:pPr>
        <w:pStyle w:val="Heading2"/>
      </w:pPr>
      <w:bookmarkStart w:id="4" w:name="_Toc394570298"/>
      <w:bookmarkStart w:id="5" w:name="_Toc394571468"/>
      <w:bookmarkStart w:id="6" w:name="_Toc397097236"/>
      <w:r>
        <w:t>Background</w:t>
      </w:r>
      <w:bookmarkEnd w:id="4"/>
      <w:bookmarkEnd w:id="5"/>
      <w:bookmarkEnd w:id="6"/>
    </w:p>
    <w:p w14:paraId="62078C2D" w14:textId="2AE41AB7" w:rsidR="00AB1705" w:rsidRDefault="003F0A93" w:rsidP="0080705E">
      <w:r>
        <w:t xml:space="preserve">The </w:t>
      </w:r>
      <w:r w:rsidR="00E947AF">
        <w:t>AER indicated in its Expenditure Forecast assessment guidelines for electricity distribution and transmission</w:t>
      </w:r>
      <w:r w:rsidR="00E7691C">
        <w:t xml:space="preserve"> that it intends to use its Repex model to </w:t>
      </w:r>
      <w:r w:rsidR="00E63561">
        <w:t xml:space="preserve">help determine the efficient costs of </w:t>
      </w:r>
      <w:r w:rsidR="00E7691C">
        <w:t xml:space="preserve">asset replacement </w:t>
      </w:r>
      <w:r w:rsidR="00E63561">
        <w:t xml:space="preserve">(capital) </w:t>
      </w:r>
      <w:r w:rsidR="00E7691C">
        <w:t>expenditure</w:t>
      </w:r>
      <w:r w:rsidR="00E63561">
        <w:t xml:space="preserve"> over the forthcoming regulatory control period</w:t>
      </w:r>
      <w:r>
        <w:t>.</w:t>
      </w:r>
      <w:r w:rsidR="00E7691C">
        <w:t xml:space="preserve"> It is expected that the model will be used to provide a high level assessment in order to identify areas of expenditure that may require more detailed examination. </w:t>
      </w:r>
    </w:p>
    <w:p w14:paraId="41EE67BD" w14:textId="102E7510" w:rsidR="002264A3" w:rsidRDefault="005C54B1" w:rsidP="0080705E">
      <w:r>
        <w:t>Planning of replacement expenditure requirements is a core business function performed by Energex and is critical in network planning and asset management. It</w:t>
      </w:r>
      <w:r w:rsidR="003F0A93">
        <w:t xml:space="preserve"> </w:t>
      </w:r>
      <w:r w:rsidR="00082E63">
        <w:t xml:space="preserve">has </w:t>
      </w:r>
      <w:r>
        <w:t xml:space="preserve">developed a rigorous process to develop replacement expenditure requirements on a bottom up project basis, to meet specific network requirements. It is important to note that Energex has </w:t>
      </w:r>
      <w:r w:rsidR="00E7691C">
        <w:t>not used the Repex model to forecast asset replacement</w:t>
      </w:r>
      <w:r>
        <w:t xml:space="preserve"> for the forthcoming period, rather it is populated to comply with the AER’s requirements.</w:t>
      </w:r>
    </w:p>
    <w:p w14:paraId="62078C2F" w14:textId="0804DFE8" w:rsidR="000E49D0" w:rsidRDefault="0080705E" w:rsidP="00AB1705">
      <w:pPr>
        <w:pStyle w:val="Heading2"/>
      </w:pPr>
      <w:bookmarkStart w:id="7" w:name="_Toc394570299"/>
      <w:bookmarkStart w:id="8" w:name="_Toc394571469"/>
      <w:bookmarkStart w:id="9" w:name="_Toc397097237"/>
      <w:r>
        <w:t>Purpose</w:t>
      </w:r>
      <w:bookmarkEnd w:id="7"/>
      <w:bookmarkEnd w:id="8"/>
      <w:bookmarkEnd w:id="9"/>
    </w:p>
    <w:p w14:paraId="62078C30" w14:textId="2E6571F6" w:rsidR="003E6CD7" w:rsidRDefault="009B4D4E" w:rsidP="0080705E">
      <w:r>
        <w:t>The purpose of this document is to provide the</w:t>
      </w:r>
      <w:r w:rsidR="00A85219" w:rsidRPr="0056359C">
        <w:t xml:space="preserve"> information requested by</w:t>
      </w:r>
      <w:r w:rsidR="00B3447E">
        <w:t xml:space="preserve"> the AER</w:t>
      </w:r>
      <w:r w:rsidR="00A85219" w:rsidRPr="0056359C">
        <w:t xml:space="preserve"> </w:t>
      </w:r>
      <w:r w:rsidR="00B3447E" w:rsidRPr="0056359C">
        <w:t>in</w:t>
      </w:r>
      <w:r w:rsidR="00B3447E">
        <w:t xml:space="preserve"> </w:t>
      </w:r>
      <w:r w:rsidR="009A724C">
        <w:t xml:space="preserve">Reset </w:t>
      </w:r>
      <w:r w:rsidR="00E63561">
        <w:t xml:space="preserve">Regulatory Information Notice (RIN) </w:t>
      </w:r>
      <w:r w:rsidR="00B3447E" w:rsidRPr="0056359C">
        <w:t>Schedule 1 Section 6</w:t>
      </w:r>
      <w:r w:rsidR="009A724C">
        <w:t>,</w:t>
      </w:r>
      <w:r w:rsidR="00B3447E">
        <w:t xml:space="preserve"> Replacement Capital Expenditure Modelling.</w:t>
      </w:r>
      <w:r w:rsidR="00A85219" w:rsidRPr="0056359C">
        <w:t xml:space="preserve"> It describes</w:t>
      </w:r>
      <w:r w:rsidR="009A724C">
        <w:t>, amongst other matters</w:t>
      </w:r>
      <w:r w:rsidR="00A85219" w:rsidRPr="0056359C">
        <w:t xml:space="preserve"> the methodologies, assumption</w:t>
      </w:r>
      <w:r w:rsidR="00A34FC9" w:rsidRPr="0056359C">
        <w:t>s</w:t>
      </w:r>
      <w:r w:rsidR="006E1FDC">
        <w:t xml:space="preserve"> and sources of information required</w:t>
      </w:r>
      <w:r w:rsidR="00A85219" w:rsidRPr="0056359C">
        <w:t xml:space="preserve"> to </w:t>
      </w:r>
      <w:r w:rsidR="004B0F31">
        <w:t>populate the AER’s Repex model</w:t>
      </w:r>
      <w:r w:rsidR="00A85219" w:rsidRPr="0056359C">
        <w:t>.</w:t>
      </w:r>
    </w:p>
    <w:p w14:paraId="3E0E78F6" w14:textId="16D0174E" w:rsidR="0080705E" w:rsidRPr="0080705E" w:rsidRDefault="0080705E" w:rsidP="0080705E">
      <w:pPr>
        <w:pStyle w:val="Heading2"/>
      </w:pPr>
      <w:bookmarkStart w:id="10" w:name="_Toc394570300"/>
      <w:bookmarkStart w:id="11" w:name="_Toc394571470"/>
      <w:bookmarkStart w:id="12" w:name="_Toc397097238"/>
      <w:r w:rsidRPr="0080705E">
        <w:t>Structure</w:t>
      </w:r>
      <w:bookmarkEnd w:id="10"/>
      <w:bookmarkEnd w:id="11"/>
      <w:bookmarkEnd w:id="12"/>
    </w:p>
    <w:p w14:paraId="62078C33" w14:textId="77777777" w:rsidR="00A85219" w:rsidRPr="0056359C" w:rsidRDefault="00A85219" w:rsidP="00F04C87">
      <w:pPr>
        <w:pStyle w:val="AERbodytext"/>
        <w:spacing w:after="120"/>
        <w:rPr>
          <w:rFonts w:cs="Arial"/>
          <w:szCs w:val="22"/>
        </w:rPr>
      </w:pPr>
      <w:r w:rsidRPr="0056359C">
        <w:rPr>
          <w:rFonts w:cs="Arial"/>
          <w:szCs w:val="22"/>
        </w:rPr>
        <w:t xml:space="preserve">The document is set out in the following </w:t>
      </w:r>
      <w:r w:rsidR="004419B1" w:rsidRPr="0056359C">
        <w:rPr>
          <w:rFonts w:cs="Arial"/>
          <w:szCs w:val="22"/>
        </w:rPr>
        <w:t xml:space="preserve">main </w:t>
      </w:r>
      <w:r w:rsidRPr="0056359C">
        <w:rPr>
          <w:rFonts w:cs="Arial"/>
          <w:szCs w:val="22"/>
        </w:rPr>
        <w:t>sections:</w:t>
      </w:r>
    </w:p>
    <w:p w14:paraId="62078C34" w14:textId="77777777" w:rsidR="00457AC2" w:rsidRPr="009B4D4E" w:rsidRDefault="004419B1" w:rsidP="001D0CB9">
      <w:pPr>
        <w:pStyle w:val="Bullet1"/>
      </w:pPr>
      <w:r w:rsidRPr="009B4D4E">
        <w:t>Asset categories</w:t>
      </w:r>
    </w:p>
    <w:p w14:paraId="62078C35" w14:textId="77777777" w:rsidR="00457AC2" w:rsidRPr="009B4D4E" w:rsidRDefault="0047162F" w:rsidP="008D7E91">
      <w:pPr>
        <w:pStyle w:val="Bullet1"/>
      </w:pPr>
      <w:r w:rsidRPr="009B4D4E">
        <w:t>Replacement life statistics</w:t>
      </w:r>
    </w:p>
    <w:p w14:paraId="62078C36" w14:textId="77777777" w:rsidR="0047162F" w:rsidRPr="009B4D4E" w:rsidRDefault="0047162F" w:rsidP="008D7E91">
      <w:pPr>
        <w:pStyle w:val="Bullet1"/>
      </w:pPr>
      <w:r w:rsidRPr="009B4D4E">
        <w:t>Replacement unit costs</w:t>
      </w:r>
    </w:p>
    <w:p w14:paraId="62078C37" w14:textId="77777777" w:rsidR="0047162F" w:rsidRPr="009B4D4E" w:rsidRDefault="0047162F" w:rsidP="008D7E91">
      <w:pPr>
        <w:pStyle w:val="Bullet1"/>
      </w:pPr>
      <w:r w:rsidRPr="009B4D4E">
        <w:t xml:space="preserve">Factors affecting replacement </w:t>
      </w:r>
      <w:r w:rsidR="002D1594" w:rsidRPr="009B4D4E">
        <w:t>expenditure</w:t>
      </w:r>
    </w:p>
    <w:p w14:paraId="62078C38" w14:textId="04D1B227" w:rsidR="00457AC2" w:rsidRPr="009B4D4E" w:rsidRDefault="009A724C" w:rsidP="008D7E91">
      <w:pPr>
        <w:pStyle w:val="Bullet1"/>
      </w:pPr>
      <w:r>
        <w:t xml:space="preserve">Compliance </w:t>
      </w:r>
      <w:r w:rsidR="00380898" w:rsidRPr="009B4D4E">
        <w:t>checklist</w:t>
      </w:r>
    </w:p>
    <w:p w14:paraId="62078C3B" w14:textId="7BAC3617" w:rsidR="00B56478" w:rsidRDefault="003F0A93" w:rsidP="00B56478">
      <w:pPr>
        <w:pStyle w:val="Heading2"/>
      </w:pPr>
      <w:bookmarkStart w:id="13" w:name="_Toc394570301"/>
      <w:bookmarkStart w:id="14" w:name="_Toc394571471"/>
      <w:bookmarkStart w:id="15" w:name="_Toc397097239"/>
      <w:r>
        <w:t xml:space="preserve">Document </w:t>
      </w:r>
      <w:r w:rsidR="00BA1FAB">
        <w:t>t</w:t>
      </w:r>
      <w:r>
        <w:t>erminology</w:t>
      </w:r>
      <w:bookmarkEnd w:id="13"/>
      <w:bookmarkEnd w:id="14"/>
      <w:bookmarkEnd w:id="15"/>
    </w:p>
    <w:p w14:paraId="62078C3C" w14:textId="0876EBE0" w:rsidR="00457AC2" w:rsidRPr="0056359C" w:rsidRDefault="00433E13" w:rsidP="0056359C">
      <w:pPr>
        <w:pStyle w:val="AERbodytext"/>
        <w:rPr>
          <w:rFonts w:cs="Arial"/>
          <w:szCs w:val="22"/>
        </w:rPr>
      </w:pPr>
      <w:r>
        <w:rPr>
          <w:rFonts w:cs="Arial"/>
          <w:szCs w:val="22"/>
        </w:rPr>
        <w:fldChar w:fldCharType="begin"/>
      </w:r>
      <w:r>
        <w:rPr>
          <w:rFonts w:cs="Arial"/>
          <w:szCs w:val="22"/>
        </w:rPr>
        <w:instrText xml:space="preserve"> REF _Ref391833015 \h </w:instrText>
      </w:r>
      <w:r>
        <w:rPr>
          <w:rFonts w:cs="Arial"/>
          <w:szCs w:val="22"/>
        </w:rPr>
      </w:r>
      <w:r>
        <w:rPr>
          <w:rFonts w:cs="Arial"/>
          <w:szCs w:val="22"/>
        </w:rPr>
        <w:fldChar w:fldCharType="separate"/>
      </w:r>
      <w:r w:rsidR="00B27C70">
        <w:t>Table </w:t>
      </w:r>
      <w:r w:rsidR="00B27C70">
        <w:rPr>
          <w:noProof/>
        </w:rPr>
        <w:t>1</w:t>
      </w:r>
      <w:r w:rsidR="00B27C70">
        <w:noBreakHyphen/>
      </w:r>
      <w:r w:rsidR="00B27C70">
        <w:rPr>
          <w:noProof/>
        </w:rPr>
        <w:t>1</w:t>
      </w:r>
      <w:r>
        <w:rPr>
          <w:rFonts w:cs="Arial"/>
          <w:szCs w:val="22"/>
        </w:rPr>
        <w:fldChar w:fldCharType="end"/>
      </w:r>
      <w:r>
        <w:rPr>
          <w:rFonts w:cs="Arial"/>
          <w:szCs w:val="22"/>
        </w:rPr>
        <w:t xml:space="preserve"> </w:t>
      </w:r>
      <w:r w:rsidR="00457AC2" w:rsidRPr="0056359C">
        <w:rPr>
          <w:rFonts w:cs="Arial"/>
          <w:szCs w:val="22"/>
        </w:rPr>
        <w:t>sets out the definitions used by Energex to clarify any terminology that may dif</w:t>
      </w:r>
      <w:r w:rsidR="00985F72" w:rsidRPr="0056359C">
        <w:rPr>
          <w:rFonts w:cs="Arial"/>
          <w:szCs w:val="22"/>
        </w:rPr>
        <w:t xml:space="preserve">fer between </w:t>
      </w:r>
      <w:r w:rsidR="002B7E98">
        <w:rPr>
          <w:rFonts w:cs="Arial"/>
          <w:szCs w:val="22"/>
        </w:rPr>
        <w:t xml:space="preserve">that applied by </w:t>
      </w:r>
      <w:r w:rsidR="00985F72" w:rsidRPr="0056359C">
        <w:rPr>
          <w:rFonts w:cs="Arial"/>
          <w:szCs w:val="22"/>
        </w:rPr>
        <w:t>Energex and the AER.</w:t>
      </w:r>
    </w:p>
    <w:p w14:paraId="62078C3D" w14:textId="513C110A" w:rsidR="005011AF" w:rsidRPr="00B56478" w:rsidRDefault="001152BA" w:rsidP="001152BA">
      <w:pPr>
        <w:pStyle w:val="Caption"/>
      </w:pPr>
      <w:bookmarkStart w:id="16" w:name="_Ref391833015"/>
      <w:bookmarkStart w:id="17" w:name="_Toc390670015"/>
      <w:bookmarkStart w:id="18" w:name="_Toc390670028"/>
      <w:bookmarkStart w:id="19" w:name="_Toc397097286"/>
      <w:r>
        <w:t>Table</w:t>
      </w:r>
      <w:r w:rsidR="008D7E91">
        <w:t> </w:t>
      </w:r>
      <w:fldSimple w:instr=" STYLEREF 1 \s ">
        <w:r w:rsidR="00B27C70">
          <w:rPr>
            <w:noProof/>
          </w:rPr>
          <w:t>1</w:t>
        </w:r>
      </w:fldSimple>
      <w:r w:rsidR="00771CAE">
        <w:noBreakHyphen/>
      </w:r>
      <w:fldSimple w:instr=" SEQ Table \* ARABIC \s 1 ">
        <w:r w:rsidR="00B27C70">
          <w:rPr>
            <w:noProof/>
          </w:rPr>
          <w:t>1</w:t>
        </w:r>
      </w:fldSimple>
      <w:bookmarkEnd w:id="16"/>
      <w:r w:rsidR="0056359C">
        <w:tab/>
      </w:r>
      <w:bookmarkEnd w:id="17"/>
      <w:bookmarkEnd w:id="18"/>
      <w:r w:rsidR="0098121B">
        <w:t>Energex t</w:t>
      </w:r>
      <w:r w:rsidR="003F0A93">
        <w:t>erminology</w:t>
      </w:r>
      <w:bookmarkEnd w:id="19"/>
    </w:p>
    <w:tbl>
      <w:tblPr>
        <w:tblStyle w:val="TableGrid"/>
        <w:tblW w:w="9072" w:type="dxa"/>
        <w:tblInd w:w="108" w:type="dxa"/>
        <w:tblLook w:val="04A0" w:firstRow="1" w:lastRow="0" w:firstColumn="1" w:lastColumn="0" w:noHBand="0" w:noVBand="1"/>
      </w:tblPr>
      <w:tblGrid>
        <w:gridCol w:w="1985"/>
        <w:gridCol w:w="7087"/>
      </w:tblGrid>
      <w:tr w:rsidR="000E49D0" w:rsidRPr="008D7E91" w14:paraId="62078C40" w14:textId="77777777" w:rsidTr="0076025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985" w:type="dxa"/>
          </w:tcPr>
          <w:p w14:paraId="62078C3E" w14:textId="77777777" w:rsidR="000E49D0" w:rsidRPr="008D7E91" w:rsidRDefault="0076025D" w:rsidP="0076025D">
            <w:pPr>
              <w:pStyle w:val="TableText"/>
              <w:keepNext/>
              <w:rPr>
                <w:szCs w:val="20"/>
              </w:rPr>
            </w:pPr>
            <w:r w:rsidRPr="008D7E91">
              <w:rPr>
                <w:szCs w:val="20"/>
              </w:rPr>
              <w:t>Term</w:t>
            </w:r>
          </w:p>
        </w:tc>
        <w:tc>
          <w:tcPr>
            <w:tcW w:w="7087" w:type="dxa"/>
          </w:tcPr>
          <w:p w14:paraId="62078C3F" w14:textId="77777777" w:rsidR="000E49D0" w:rsidRPr="008D7E91" w:rsidRDefault="000E49D0" w:rsidP="0076025D">
            <w:pPr>
              <w:pStyle w:val="TableText"/>
              <w:keepNext/>
              <w:cnfStyle w:val="100000000000" w:firstRow="1" w:lastRow="0" w:firstColumn="0" w:lastColumn="0" w:oddVBand="0" w:evenVBand="0" w:oddHBand="0" w:evenHBand="0" w:firstRowFirstColumn="0" w:firstRowLastColumn="0" w:lastRowFirstColumn="0" w:lastRowLastColumn="0"/>
              <w:rPr>
                <w:szCs w:val="20"/>
              </w:rPr>
            </w:pPr>
            <w:r w:rsidRPr="008D7E91">
              <w:rPr>
                <w:szCs w:val="20"/>
              </w:rPr>
              <w:t>Description</w:t>
            </w:r>
          </w:p>
        </w:tc>
      </w:tr>
      <w:tr w:rsidR="000E49D0" w:rsidRPr="008D7E91" w14:paraId="62078C43" w14:textId="77777777" w:rsidTr="0076025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2078C41" w14:textId="77777777" w:rsidR="000E49D0" w:rsidRPr="008D7E91" w:rsidRDefault="0076025D" w:rsidP="00444CDA">
            <w:pPr>
              <w:pStyle w:val="TableText"/>
              <w:rPr>
                <w:szCs w:val="20"/>
              </w:rPr>
            </w:pPr>
            <w:r w:rsidRPr="008D7E91">
              <w:rPr>
                <w:szCs w:val="20"/>
              </w:rPr>
              <w:t>nailed</w:t>
            </w:r>
            <w:r w:rsidR="005E16B1" w:rsidRPr="008D7E91">
              <w:rPr>
                <w:szCs w:val="20"/>
              </w:rPr>
              <w:t>/nailing</w:t>
            </w:r>
          </w:p>
        </w:tc>
        <w:tc>
          <w:tcPr>
            <w:tcW w:w="7087" w:type="dxa"/>
            <w:vAlign w:val="center"/>
          </w:tcPr>
          <w:p w14:paraId="62078C42" w14:textId="77777777" w:rsidR="000E49D0" w:rsidRPr="008D7E91" w:rsidRDefault="0076025D" w:rsidP="00444CDA">
            <w:pPr>
              <w:pStyle w:val="TableText"/>
              <w:cnfStyle w:val="000000100000" w:firstRow="0" w:lastRow="0" w:firstColumn="0" w:lastColumn="0" w:oddVBand="0" w:evenVBand="0" w:oddHBand="1" w:evenHBand="0" w:firstRowFirstColumn="0" w:firstRowLastColumn="0" w:lastRowFirstColumn="0" w:lastRowLastColumn="0"/>
              <w:rPr>
                <w:szCs w:val="20"/>
              </w:rPr>
            </w:pPr>
            <w:r w:rsidRPr="008D7E91">
              <w:rPr>
                <w:szCs w:val="20"/>
              </w:rPr>
              <w:t>a metal support attached to a wood pole to give it extra support and defer replacement</w:t>
            </w:r>
            <w:r w:rsidR="00D21551" w:rsidRPr="008D7E91">
              <w:rPr>
                <w:szCs w:val="20"/>
              </w:rPr>
              <w:t xml:space="preserve"> – also called staked/staking</w:t>
            </w:r>
          </w:p>
        </w:tc>
      </w:tr>
      <w:tr w:rsidR="006E1FDC" w:rsidRPr="008D7E91" w14:paraId="100C0535" w14:textId="77777777" w:rsidTr="0076025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4C93289" w14:textId="38307834" w:rsidR="006E1FDC" w:rsidRPr="008D7E91" w:rsidRDefault="006E1FDC" w:rsidP="00444CDA">
            <w:pPr>
              <w:pStyle w:val="TableText"/>
              <w:rPr>
                <w:szCs w:val="20"/>
              </w:rPr>
            </w:pPr>
            <w:r>
              <w:rPr>
                <w:szCs w:val="20"/>
              </w:rPr>
              <w:t>NFM</w:t>
            </w:r>
          </w:p>
        </w:tc>
        <w:tc>
          <w:tcPr>
            <w:tcW w:w="7087" w:type="dxa"/>
            <w:vAlign w:val="center"/>
          </w:tcPr>
          <w:p w14:paraId="05A46D91" w14:textId="76AF4FE4" w:rsidR="006E1FDC" w:rsidRPr="008D7E91" w:rsidRDefault="006E1FDC" w:rsidP="00444CDA">
            <w:pPr>
              <w:pStyle w:val="TableText"/>
              <w:cnfStyle w:val="000000010000" w:firstRow="0" w:lastRow="0" w:firstColumn="0" w:lastColumn="0" w:oddVBand="0" w:evenVBand="0" w:oddHBand="0" w:evenHBand="1" w:firstRowFirstColumn="0" w:firstRowLastColumn="0" w:lastRowFirstColumn="0" w:lastRowLastColumn="0"/>
              <w:rPr>
                <w:szCs w:val="20"/>
              </w:rPr>
            </w:pPr>
            <w:r w:rsidRPr="006E1FDC">
              <w:rPr>
                <w:szCs w:val="20"/>
              </w:rPr>
              <w:t>Network Facility Management</w:t>
            </w:r>
            <w:r w:rsidR="009A2D81">
              <w:rPr>
                <w:szCs w:val="20"/>
              </w:rPr>
              <w:t xml:space="preserve"> - </w:t>
            </w:r>
            <w:r w:rsidR="009A2D81" w:rsidRPr="009A2D81">
              <w:rPr>
                <w:szCs w:val="20"/>
              </w:rPr>
              <w:t>the main database used by Energex to record and manage asset data and information regarding network outages</w:t>
            </w:r>
          </w:p>
        </w:tc>
      </w:tr>
      <w:tr w:rsidR="006E1FDC" w:rsidRPr="008D7E91" w14:paraId="4DF9C6E9" w14:textId="77777777" w:rsidTr="0076025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510F6F3" w14:textId="0250A680" w:rsidR="006E1FDC" w:rsidRDefault="006E1FDC" w:rsidP="00444CDA">
            <w:pPr>
              <w:pStyle w:val="TableText"/>
              <w:rPr>
                <w:szCs w:val="20"/>
              </w:rPr>
            </w:pPr>
            <w:r>
              <w:rPr>
                <w:szCs w:val="20"/>
              </w:rPr>
              <w:t>CBRM</w:t>
            </w:r>
          </w:p>
        </w:tc>
        <w:tc>
          <w:tcPr>
            <w:tcW w:w="7087" w:type="dxa"/>
            <w:vAlign w:val="center"/>
          </w:tcPr>
          <w:p w14:paraId="76DE6C9D" w14:textId="0866899F" w:rsidR="006E1FDC" w:rsidRPr="008D7E91" w:rsidRDefault="006E1FDC">
            <w:pPr>
              <w:pStyle w:val="TableText"/>
              <w:cnfStyle w:val="000000100000" w:firstRow="0" w:lastRow="0" w:firstColumn="0" w:lastColumn="0" w:oddVBand="0" w:evenVBand="0" w:oddHBand="1" w:evenHBand="0" w:firstRowFirstColumn="0" w:firstRowLastColumn="0" w:lastRowFirstColumn="0" w:lastRowLastColumn="0"/>
              <w:rPr>
                <w:szCs w:val="20"/>
              </w:rPr>
            </w:pPr>
            <w:r w:rsidRPr="006E1FDC">
              <w:rPr>
                <w:szCs w:val="20"/>
              </w:rPr>
              <w:t>Condition Based Risk Management</w:t>
            </w:r>
            <w:r w:rsidR="009A2D81">
              <w:rPr>
                <w:szCs w:val="20"/>
              </w:rPr>
              <w:t xml:space="preserve"> - </w:t>
            </w:r>
            <w:r w:rsidR="002B7E98">
              <w:rPr>
                <w:szCs w:val="20"/>
              </w:rPr>
              <w:t>e</w:t>
            </w:r>
            <w:r w:rsidR="002B7E98" w:rsidRPr="009A2D81">
              <w:rPr>
                <w:szCs w:val="20"/>
              </w:rPr>
              <w:t xml:space="preserve">ngineering </w:t>
            </w:r>
            <w:r w:rsidR="009A2D81" w:rsidRPr="009A2D81">
              <w:rPr>
                <w:szCs w:val="20"/>
              </w:rPr>
              <w:t>models used to forecast asset condition</w:t>
            </w:r>
          </w:p>
        </w:tc>
      </w:tr>
    </w:tbl>
    <w:p w14:paraId="62FE3A85" w14:textId="60BA5C32" w:rsidR="001D0CB9" w:rsidRDefault="00B37DC0" w:rsidP="001D0CB9">
      <w:pPr>
        <w:pStyle w:val="Heading2"/>
      </w:pPr>
      <w:bookmarkStart w:id="20" w:name="_Toc397097240"/>
      <w:r>
        <w:t xml:space="preserve">Repex </w:t>
      </w:r>
      <w:r w:rsidR="002B7E98">
        <w:t>m</w:t>
      </w:r>
      <w:r>
        <w:t xml:space="preserve">odel </w:t>
      </w:r>
      <w:r w:rsidR="00BA1FAB">
        <w:t>o</w:t>
      </w:r>
      <w:r>
        <w:t>b</w:t>
      </w:r>
      <w:r w:rsidR="0030299E">
        <w:t>s</w:t>
      </w:r>
      <w:r>
        <w:t>ervations</w:t>
      </w:r>
      <w:bookmarkEnd w:id="20"/>
    </w:p>
    <w:p w14:paraId="3AB81348" w14:textId="1BEAEB2E" w:rsidR="00D75C20" w:rsidRPr="001D0CB9" w:rsidRDefault="009A724C" w:rsidP="00D75C20">
      <w:r>
        <w:t>The use of the Repex model by the AER</w:t>
      </w:r>
      <w:r w:rsidRPr="00D75C20">
        <w:t xml:space="preserve"> </w:t>
      </w:r>
      <w:r>
        <w:t>to assess future replacement expenditure</w:t>
      </w:r>
      <w:r w:rsidR="00122A71">
        <w:t xml:space="preserve"> raises several issues. </w:t>
      </w:r>
      <w:r>
        <w:t xml:space="preserve"> </w:t>
      </w:r>
      <w:r w:rsidR="001D0CB9">
        <w:t>Energex</w:t>
      </w:r>
      <w:r w:rsidR="002B7E98">
        <w:t>’s</w:t>
      </w:r>
      <w:r w:rsidR="001D0CB9">
        <w:t xml:space="preserve"> </w:t>
      </w:r>
      <w:r w:rsidR="0030299E">
        <w:t>o</w:t>
      </w:r>
      <w:r w:rsidR="001D0CB9">
        <w:t>bservations and concerns regarding</w:t>
      </w:r>
      <w:r w:rsidR="00122A71">
        <w:t xml:space="preserve"> the use of the model are discussed below</w:t>
      </w:r>
      <w:r w:rsidR="00D75C20">
        <w:t>.</w:t>
      </w:r>
    </w:p>
    <w:p w14:paraId="511B9C89" w14:textId="486F076A" w:rsidR="00122A71" w:rsidRDefault="00122A71" w:rsidP="00AA3C4D">
      <w:pPr>
        <w:pStyle w:val="Heading3"/>
      </w:pPr>
      <w:bookmarkStart w:id="21" w:name="_Toc397097241"/>
      <w:r>
        <w:t xml:space="preserve">Recalibration using </w:t>
      </w:r>
      <w:r w:rsidRPr="00D75C20">
        <w:t>historical replacement volumes and costs</w:t>
      </w:r>
      <w:bookmarkEnd w:id="21"/>
    </w:p>
    <w:p w14:paraId="3E4E9BA0" w14:textId="77777777" w:rsidR="00E363C1" w:rsidRDefault="00D75C20" w:rsidP="00D75C20">
      <w:pPr>
        <w:keepLines w:val="0"/>
        <w:spacing w:before="280"/>
      </w:pPr>
      <w:r w:rsidRPr="00D75C20">
        <w:t>The Repex model uses asset age profile, average replacement age and cost to predict future asset replacement expenditure. The output from the model is then calibrated using five years of historical replacement volumes and costs.</w:t>
      </w:r>
      <w:r>
        <w:t xml:space="preserve"> </w:t>
      </w:r>
    </w:p>
    <w:p w14:paraId="3F9A0410" w14:textId="62FC5C88" w:rsidR="00D75C20" w:rsidRPr="00D75C20" w:rsidRDefault="00E363C1" w:rsidP="00D75C20">
      <w:pPr>
        <w:keepLines w:val="0"/>
        <w:spacing w:before="280"/>
      </w:pPr>
      <w:r>
        <w:t>Energex considers that replacement under augmentation projects</w:t>
      </w:r>
      <w:r w:rsidR="004940E6">
        <w:t xml:space="preserve">, </w:t>
      </w:r>
      <w:r w:rsidR="005A1012">
        <w:t>that is not included in the Repex model,</w:t>
      </w:r>
      <w:r w:rsidRPr="00D75C20">
        <w:t xml:space="preserve"> should </w:t>
      </w:r>
      <w:r w:rsidR="004940E6">
        <w:t xml:space="preserve">also </w:t>
      </w:r>
      <w:r w:rsidRPr="00D75C20">
        <w:t>be taken into consideration when calibrating the Repex model.</w:t>
      </w:r>
      <w:r>
        <w:t xml:space="preserve"> This is because </w:t>
      </w:r>
      <w:r w:rsidR="00D75C20" w:rsidRPr="00D75C20">
        <w:t>Energex’s asset replacement program has slow</w:t>
      </w:r>
      <w:r>
        <w:t>ly</w:t>
      </w:r>
      <w:r w:rsidR="00D75C20" w:rsidRPr="00D75C20">
        <w:t xml:space="preserve"> increase</w:t>
      </w:r>
      <w:r>
        <w:t>d</w:t>
      </w:r>
      <w:r w:rsidR="00D75C20" w:rsidRPr="00D75C20">
        <w:t xml:space="preserve"> over the past five years to current levels of expenditure. The lower levels of replacement expenditure during the first few years were </w:t>
      </w:r>
      <w:r>
        <w:t xml:space="preserve">due to </w:t>
      </w:r>
      <w:r w:rsidR="00D75C20" w:rsidRPr="00D75C20">
        <w:t>end of life assets being replaced as part of the</w:t>
      </w:r>
      <w:r w:rsidR="00397F3D">
        <w:t xml:space="preserve"> then</w:t>
      </w:r>
      <w:r w:rsidR="00D75C20" w:rsidRPr="00D75C20">
        <w:t xml:space="preserve"> larger augmentation program. </w:t>
      </w:r>
    </w:p>
    <w:p w14:paraId="01D0088E" w14:textId="3F819F8F" w:rsidR="00122A71" w:rsidRDefault="00122A71" w:rsidP="00AA3C4D">
      <w:pPr>
        <w:pStyle w:val="Heading3"/>
      </w:pPr>
      <w:bookmarkStart w:id="22" w:name="_Toc397097242"/>
      <w:r>
        <w:t>Reliance on age data</w:t>
      </w:r>
      <w:bookmarkEnd w:id="22"/>
    </w:p>
    <w:p w14:paraId="129AAD36" w14:textId="4C49DC59" w:rsidR="00D75C20" w:rsidRDefault="00D75C20" w:rsidP="00D75C20">
      <w:pPr>
        <w:keepLines w:val="0"/>
        <w:spacing w:before="280"/>
      </w:pPr>
      <w:r w:rsidRPr="00D75C20">
        <w:t>Optimal timing for asset replacement is not solely reliant o</w:t>
      </w:r>
      <w:r w:rsidR="00397F3D">
        <w:t>n</w:t>
      </w:r>
      <w:r w:rsidRPr="00D75C20">
        <w:t xml:space="preserve"> age</w:t>
      </w:r>
      <w:r w:rsidR="00E363C1">
        <w:t>. O</w:t>
      </w:r>
      <w:r w:rsidRPr="00D75C20">
        <w:t xml:space="preserve">ther factors such as safety, environment, changes in defect rates, and obsolesce issues </w:t>
      </w:r>
      <w:r w:rsidR="00B37DC0">
        <w:t>must</w:t>
      </w:r>
      <w:r w:rsidR="00B37DC0" w:rsidRPr="00D75C20">
        <w:t xml:space="preserve"> </w:t>
      </w:r>
      <w:r w:rsidRPr="00D75C20">
        <w:t>also be considered. Energex has a number of proactive asset replacement programs driven by emerging issues unrelated to the age of the assets</w:t>
      </w:r>
      <w:r w:rsidR="00B37DC0">
        <w:t xml:space="preserve"> that</w:t>
      </w:r>
      <w:r w:rsidR="00397F3D">
        <w:t xml:space="preserve"> will not be fully captured in the Repex model.</w:t>
      </w:r>
      <w:r w:rsidRPr="00D75C20">
        <w:t xml:space="preserve"> </w:t>
      </w:r>
    </w:p>
    <w:p w14:paraId="52F3AA76" w14:textId="5C3B11AE" w:rsidR="00D75C20" w:rsidRPr="00D75C20" w:rsidRDefault="00397F3D" w:rsidP="00D75C20">
      <w:pPr>
        <w:keepLines w:val="0"/>
        <w:spacing w:before="280"/>
      </w:pPr>
      <w:r>
        <w:t xml:space="preserve">In particular, </w:t>
      </w:r>
      <w:r w:rsidR="00D75C20" w:rsidRPr="00D75C20">
        <w:t>Energex’s SCADA, network communications and protection relay replacement programs are driven by the obsolescence of system components and ability of these systems to continue to support a modern power network. The replacement of these assets forms part of a strategic plan that is unrelated to historical replacement rates and therefore difficult to model using Repex.</w:t>
      </w:r>
    </w:p>
    <w:p w14:paraId="62078C48" w14:textId="77777777" w:rsidR="00606251" w:rsidRDefault="00381ECA" w:rsidP="00766705">
      <w:pPr>
        <w:pStyle w:val="Heading1"/>
      </w:pPr>
      <w:bookmarkStart w:id="23" w:name="_Ref391805279"/>
      <w:bookmarkStart w:id="24" w:name="_Toc394570302"/>
      <w:bookmarkStart w:id="25" w:name="_Toc394571472"/>
      <w:bookmarkStart w:id="26" w:name="_Toc397097243"/>
      <w:r>
        <w:t>Asset</w:t>
      </w:r>
      <w:r w:rsidR="00551630">
        <w:t xml:space="preserve"> </w:t>
      </w:r>
      <w:r>
        <w:t>categories</w:t>
      </w:r>
      <w:bookmarkEnd w:id="23"/>
      <w:bookmarkEnd w:id="24"/>
      <w:bookmarkEnd w:id="25"/>
      <w:bookmarkEnd w:id="26"/>
    </w:p>
    <w:p w14:paraId="62078C4B" w14:textId="77777777" w:rsidR="00F51F58" w:rsidRDefault="00F51F58" w:rsidP="00F51F58">
      <w:pPr>
        <w:pStyle w:val="Heading2"/>
      </w:pPr>
      <w:bookmarkStart w:id="27" w:name="_Toc394570303"/>
      <w:bookmarkStart w:id="28" w:name="_Toc394571473"/>
      <w:bookmarkStart w:id="29" w:name="_Ref396400284"/>
      <w:bookmarkStart w:id="30" w:name="_Toc397097244"/>
      <w:r>
        <w:t>Asset category description</w:t>
      </w:r>
      <w:bookmarkEnd w:id="27"/>
      <w:bookmarkEnd w:id="28"/>
      <w:bookmarkEnd w:id="29"/>
      <w:bookmarkEnd w:id="30"/>
    </w:p>
    <w:p w14:paraId="16C25806" w14:textId="3FD15F6C" w:rsidR="00D77947" w:rsidRDefault="00374507" w:rsidP="004444E8">
      <w:pPr>
        <w:pStyle w:val="AERbodytext"/>
        <w:rPr>
          <w:rFonts w:cs="Arial"/>
          <w:szCs w:val="22"/>
        </w:rPr>
      </w:pPr>
      <w:r w:rsidRPr="0056359C">
        <w:rPr>
          <w:rFonts w:cs="Arial"/>
          <w:szCs w:val="22"/>
        </w:rPr>
        <w:t xml:space="preserve">Energex has followed </w:t>
      </w:r>
      <w:r w:rsidR="002B7E98">
        <w:rPr>
          <w:rFonts w:cs="Arial"/>
          <w:szCs w:val="22"/>
        </w:rPr>
        <w:t xml:space="preserve">guidance provided in </w:t>
      </w:r>
      <w:r w:rsidRPr="0056359C">
        <w:rPr>
          <w:rFonts w:cs="Arial"/>
          <w:szCs w:val="22"/>
        </w:rPr>
        <w:t>the AER</w:t>
      </w:r>
      <w:r w:rsidR="002B7E98">
        <w:rPr>
          <w:rFonts w:cs="Arial"/>
          <w:szCs w:val="22"/>
        </w:rPr>
        <w:t>’s Electricity network service providers -</w:t>
      </w:r>
      <w:r w:rsidR="002B7E98">
        <w:t>Replacement expenditure model handbook</w:t>
      </w:r>
      <w:r w:rsidRPr="0056359C">
        <w:rPr>
          <w:rFonts w:cs="Arial"/>
          <w:szCs w:val="22"/>
        </w:rPr>
        <w:t xml:space="preserve"> (November 2013)</w:t>
      </w:r>
      <w:r w:rsidR="00130A40">
        <w:rPr>
          <w:rStyle w:val="FootnoteReference"/>
          <w:rFonts w:cs="Arial"/>
          <w:szCs w:val="22"/>
        </w:rPr>
        <w:footnoteReference w:id="2"/>
      </w:r>
      <w:r w:rsidRPr="0056359C">
        <w:rPr>
          <w:rFonts w:cs="Arial"/>
          <w:szCs w:val="22"/>
        </w:rPr>
        <w:t xml:space="preserve"> regarding asset groups and asset categories.  </w:t>
      </w:r>
    </w:p>
    <w:p w14:paraId="7140AEF3" w14:textId="375B18E8" w:rsidR="00771CAE" w:rsidRDefault="00771CAE" w:rsidP="00AA3C4D">
      <w:r>
        <w:t xml:space="preserve">Energex’s assets have been mapped to the AER’s Repex asset categories as set out in </w:t>
      </w:r>
      <w:r>
        <w:fldChar w:fldCharType="begin"/>
      </w:r>
      <w:r>
        <w:instrText xml:space="preserve"> REF _Ref397082881 \h </w:instrText>
      </w:r>
      <w:r>
        <w:fldChar w:fldCharType="separate"/>
      </w:r>
      <w:r w:rsidR="00B27C70">
        <w:t xml:space="preserve">Table </w:t>
      </w:r>
      <w:r w:rsidR="00B27C70">
        <w:rPr>
          <w:noProof/>
        </w:rPr>
        <w:t>2</w:t>
      </w:r>
      <w:r w:rsidR="00B27C70">
        <w:noBreakHyphen/>
      </w:r>
      <w:r w:rsidR="00B27C70">
        <w:rPr>
          <w:noProof/>
        </w:rPr>
        <w:t>1</w:t>
      </w:r>
      <w:r>
        <w:fldChar w:fldCharType="end"/>
      </w:r>
      <w:r>
        <w:t xml:space="preserve">. Where the assets are adequately described by the Repex asset categories they are noted </w:t>
      </w:r>
      <w:r w:rsidRPr="00AA3C4D">
        <w:rPr>
          <w:i/>
        </w:rPr>
        <w:t>as described</w:t>
      </w:r>
      <w:r>
        <w:t>.</w:t>
      </w:r>
    </w:p>
    <w:p w14:paraId="1EBDC6D3" w14:textId="204968B0" w:rsidR="00771CAE" w:rsidRDefault="00771CAE" w:rsidP="00AA3C4D">
      <w:pPr>
        <w:pStyle w:val="Caption"/>
      </w:pPr>
      <w:bookmarkStart w:id="31" w:name="_Ref397082881"/>
      <w:bookmarkStart w:id="32" w:name="_Toc397097287"/>
      <w:r>
        <w:t xml:space="preserve">Table </w:t>
      </w:r>
      <w:fldSimple w:instr=" STYLEREF 1 \s ">
        <w:r w:rsidR="00B27C70">
          <w:rPr>
            <w:noProof/>
          </w:rPr>
          <w:t>2</w:t>
        </w:r>
      </w:fldSimple>
      <w:r>
        <w:noBreakHyphen/>
      </w:r>
      <w:fldSimple w:instr=" SEQ Table \* ARABIC \s 1 ">
        <w:r w:rsidR="00B27C70">
          <w:rPr>
            <w:noProof/>
          </w:rPr>
          <w:t>1</w:t>
        </w:r>
      </w:fldSimple>
      <w:bookmarkEnd w:id="31"/>
      <w:r>
        <w:t xml:space="preserve"> Mapping to AER Repex asset categories</w:t>
      </w:r>
      <w:bookmarkEnd w:id="32"/>
    </w:p>
    <w:tbl>
      <w:tblPr>
        <w:tblStyle w:val="TableGrid"/>
        <w:tblW w:w="8488" w:type="dxa"/>
        <w:jc w:val="center"/>
        <w:tblInd w:w="-282" w:type="dxa"/>
        <w:tblLook w:val="04A0" w:firstRow="1" w:lastRow="0" w:firstColumn="1" w:lastColumn="0" w:noHBand="0" w:noVBand="1"/>
      </w:tblPr>
      <w:tblGrid>
        <w:gridCol w:w="2128"/>
        <w:gridCol w:w="3527"/>
        <w:gridCol w:w="2833"/>
      </w:tblGrid>
      <w:tr w:rsidR="000E5E17" w:rsidRPr="00354B76" w14:paraId="3A6441A8" w14:textId="6C92F42B" w:rsidTr="0000341F">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2128" w:type="dxa"/>
          </w:tcPr>
          <w:p w14:paraId="0F399A71" w14:textId="6ADC28D2" w:rsidR="000E5E17" w:rsidRPr="00354B76" w:rsidRDefault="000E5E17" w:rsidP="00354B76">
            <w:r w:rsidRPr="00354B76">
              <w:t>AER asset group</w:t>
            </w:r>
          </w:p>
        </w:tc>
        <w:tc>
          <w:tcPr>
            <w:tcW w:w="3527" w:type="dxa"/>
          </w:tcPr>
          <w:p w14:paraId="2FE68AB6" w14:textId="4E034515" w:rsidR="000E5E17" w:rsidRPr="00354B76" w:rsidRDefault="000E5E17" w:rsidP="00354B76">
            <w:pPr>
              <w:cnfStyle w:val="100000000000" w:firstRow="1" w:lastRow="0" w:firstColumn="0" w:lastColumn="0" w:oddVBand="0" w:evenVBand="0" w:oddHBand="0" w:evenHBand="0" w:firstRowFirstColumn="0" w:firstRowLastColumn="0" w:lastRowFirstColumn="0" w:lastRowLastColumn="0"/>
            </w:pPr>
            <w:r w:rsidRPr="00354B76">
              <w:t>AER asset category</w:t>
            </w:r>
          </w:p>
        </w:tc>
        <w:tc>
          <w:tcPr>
            <w:tcW w:w="2833" w:type="dxa"/>
          </w:tcPr>
          <w:p w14:paraId="5CAE184B" w14:textId="4025BD42" w:rsidR="000E5E17" w:rsidRPr="00354B76" w:rsidRDefault="000E5E17" w:rsidP="00354B76">
            <w:pPr>
              <w:cnfStyle w:val="100000000000" w:firstRow="1" w:lastRow="0" w:firstColumn="0" w:lastColumn="0" w:oddVBand="0" w:evenVBand="0" w:oddHBand="0" w:evenHBand="0" w:firstRowFirstColumn="0" w:firstRowLastColumn="0" w:lastRowFirstColumn="0" w:lastRowLastColumn="0"/>
            </w:pPr>
            <w:r w:rsidRPr="00354B76">
              <w:t>Energex asset category</w:t>
            </w:r>
          </w:p>
        </w:tc>
      </w:tr>
      <w:tr w:rsidR="00354B76" w:rsidRPr="00354B76" w14:paraId="1967AC94" w14:textId="1DE6ED0F"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val="restart"/>
          </w:tcPr>
          <w:p w14:paraId="0E38CBBB" w14:textId="77777777" w:rsidR="00354B76" w:rsidRPr="00354B76" w:rsidRDefault="00354B76" w:rsidP="00354B76">
            <w:pPr>
              <w:pStyle w:val="TableText"/>
              <w:spacing w:before="0" w:after="0"/>
              <w:rPr>
                <w:sz w:val="16"/>
                <w:szCs w:val="16"/>
              </w:rPr>
            </w:pPr>
            <w:r w:rsidRPr="00354B76">
              <w:rPr>
                <w:sz w:val="16"/>
                <w:szCs w:val="16"/>
              </w:rPr>
              <w:t xml:space="preserve">"POLES BY: </w:t>
            </w:r>
          </w:p>
          <w:p w14:paraId="3337A632" w14:textId="33EC8D8A" w:rsidR="00354B76" w:rsidRPr="00354B76" w:rsidRDefault="00354B76" w:rsidP="00354B76">
            <w:pPr>
              <w:pStyle w:val="TableText"/>
              <w:spacing w:before="0" w:after="0"/>
              <w:rPr>
                <w:sz w:val="16"/>
                <w:szCs w:val="16"/>
              </w:rPr>
            </w:pPr>
            <w:r w:rsidRPr="00354B76">
              <w:rPr>
                <w:sz w:val="16"/>
                <w:szCs w:val="16"/>
              </w:rPr>
              <w:t>HIGHEST OPERATING VOLTAGE ; MATERIAL TYPE;  STAKING (IF WOOD)"</w:t>
            </w:r>
          </w:p>
        </w:tc>
        <w:tc>
          <w:tcPr>
            <w:tcW w:w="3527" w:type="dxa"/>
          </w:tcPr>
          <w:p w14:paraId="78EF8FAC" w14:textId="228868C5" w:rsidR="00354B76" w:rsidRPr="00354B76" w:rsidRDefault="00354B76"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p>
        </w:tc>
        <w:tc>
          <w:tcPr>
            <w:tcW w:w="2833" w:type="dxa"/>
          </w:tcPr>
          <w:p w14:paraId="3F211CEF" w14:textId="77777777" w:rsidR="00354B76" w:rsidRPr="00354B76" w:rsidRDefault="00354B76"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p>
        </w:tc>
      </w:tr>
      <w:tr w:rsidR="00354B76" w:rsidRPr="00354B76" w14:paraId="692A888D" w14:textId="745FD769"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39545D3E" w14:textId="6C478150" w:rsidR="00354B76" w:rsidRPr="00354B76" w:rsidRDefault="00354B76" w:rsidP="00354B76">
            <w:pPr>
              <w:pStyle w:val="TableText"/>
              <w:spacing w:before="0" w:after="0"/>
              <w:rPr>
                <w:sz w:val="16"/>
                <w:szCs w:val="16"/>
              </w:rPr>
            </w:pPr>
          </w:p>
        </w:tc>
        <w:tc>
          <w:tcPr>
            <w:tcW w:w="3527" w:type="dxa"/>
          </w:tcPr>
          <w:p w14:paraId="7489E531" w14:textId="5D6CEB57" w:rsidR="00354B76" w:rsidRPr="00354B76" w:rsidRDefault="00354B76"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 = 1 kV; WOOD</w:t>
            </w:r>
          </w:p>
        </w:tc>
        <w:tc>
          <w:tcPr>
            <w:tcW w:w="2833" w:type="dxa"/>
          </w:tcPr>
          <w:p w14:paraId="1BD7C824" w14:textId="34F4E055" w:rsidR="00354B76"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 xml:space="preserve">* As described </w:t>
            </w:r>
          </w:p>
        </w:tc>
      </w:tr>
      <w:tr w:rsidR="0000341F" w:rsidRPr="00354B76" w14:paraId="1631F7ED"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24BCA010" w14:textId="77777777" w:rsidR="0000341F" w:rsidRPr="00354B76" w:rsidRDefault="0000341F" w:rsidP="00354B76">
            <w:pPr>
              <w:pStyle w:val="TableText"/>
              <w:spacing w:before="0" w:after="0"/>
              <w:rPr>
                <w:sz w:val="16"/>
                <w:szCs w:val="16"/>
              </w:rPr>
            </w:pPr>
          </w:p>
        </w:tc>
        <w:tc>
          <w:tcPr>
            <w:tcW w:w="3527" w:type="dxa"/>
          </w:tcPr>
          <w:p w14:paraId="735554C9" w14:textId="368D4A77"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&gt; 1 kV &amp; &lt; = 11 kV; WOOD</w:t>
            </w:r>
          </w:p>
        </w:tc>
        <w:tc>
          <w:tcPr>
            <w:tcW w:w="2833" w:type="dxa"/>
          </w:tcPr>
          <w:p w14:paraId="2BA28E18" w14:textId="3DA06BFC"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1951C8">
              <w:rPr>
                <w:sz w:val="16"/>
                <w:szCs w:val="16"/>
              </w:rPr>
              <w:t xml:space="preserve">* As described </w:t>
            </w:r>
          </w:p>
        </w:tc>
      </w:tr>
      <w:tr w:rsidR="0000341F" w:rsidRPr="00354B76" w14:paraId="1A4FD2A4"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3AA4B74F" w14:textId="77777777" w:rsidR="0000341F" w:rsidRPr="00354B76" w:rsidRDefault="0000341F" w:rsidP="00354B76">
            <w:pPr>
              <w:pStyle w:val="TableText"/>
              <w:spacing w:before="0" w:after="0"/>
              <w:rPr>
                <w:sz w:val="16"/>
                <w:szCs w:val="16"/>
              </w:rPr>
            </w:pPr>
          </w:p>
        </w:tc>
        <w:tc>
          <w:tcPr>
            <w:tcW w:w="3527" w:type="dxa"/>
          </w:tcPr>
          <w:p w14:paraId="5C191C2D" w14:textId="656E8A40"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 11 kV &amp; &lt; = 22 kV; WOOD</w:t>
            </w:r>
          </w:p>
        </w:tc>
        <w:tc>
          <w:tcPr>
            <w:tcW w:w="2833" w:type="dxa"/>
          </w:tcPr>
          <w:p w14:paraId="4A5AD951" w14:textId="24640ECC"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1951C8">
              <w:rPr>
                <w:sz w:val="16"/>
                <w:szCs w:val="16"/>
              </w:rPr>
              <w:t xml:space="preserve">* As described </w:t>
            </w:r>
          </w:p>
        </w:tc>
      </w:tr>
      <w:tr w:rsidR="0000341F" w:rsidRPr="00354B76" w14:paraId="186B4839"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0E5C8B33" w14:textId="77777777" w:rsidR="0000341F" w:rsidRPr="00354B76" w:rsidRDefault="0000341F" w:rsidP="00354B76">
            <w:pPr>
              <w:pStyle w:val="TableText"/>
              <w:spacing w:before="0" w:after="0"/>
              <w:rPr>
                <w:sz w:val="16"/>
                <w:szCs w:val="16"/>
              </w:rPr>
            </w:pPr>
          </w:p>
        </w:tc>
        <w:tc>
          <w:tcPr>
            <w:tcW w:w="3527" w:type="dxa"/>
          </w:tcPr>
          <w:p w14:paraId="0F54D283" w14:textId="5CBA9CFA"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&gt; 22 kV &amp; &lt; = 66 kV; WOOD</w:t>
            </w:r>
          </w:p>
        </w:tc>
        <w:tc>
          <w:tcPr>
            <w:tcW w:w="2833" w:type="dxa"/>
          </w:tcPr>
          <w:p w14:paraId="441C9ACB" w14:textId="4C2336F4"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1951C8">
              <w:rPr>
                <w:sz w:val="16"/>
                <w:szCs w:val="16"/>
              </w:rPr>
              <w:t xml:space="preserve">* As described </w:t>
            </w:r>
          </w:p>
        </w:tc>
      </w:tr>
      <w:tr w:rsidR="0000341F" w:rsidRPr="00354B76" w14:paraId="59F412A1"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0E417CC3" w14:textId="77777777" w:rsidR="0000341F" w:rsidRPr="00354B76" w:rsidRDefault="0000341F" w:rsidP="00354B76">
            <w:pPr>
              <w:pStyle w:val="TableText"/>
              <w:spacing w:before="0" w:after="0"/>
              <w:rPr>
                <w:sz w:val="16"/>
                <w:szCs w:val="16"/>
              </w:rPr>
            </w:pPr>
          </w:p>
        </w:tc>
        <w:tc>
          <w:tcPr>
            <w:tcW w:w="3527" w:type="dxa"/>
          </w:tcPr>
          <w:p w14:paraId="015BFA45" w14:textId="7E2519F4"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&gt; 66 kV &amp; &lt; = 132 kV; WOOD</w:t>
            </w:r>
          </w:p>
        </w:tc>
        <w:tc>
          <w:tcPr>
            <w:tcW w:w="2833" w:type="dxa"/>
          </w:tcPr>
          <w:p w14:paraId="409CC9BC" w14:textId="61CDEE4D"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1951C8">
              <w:rPr>
                <w:sz w:val="16"/>
                <w:szCs w:val="16"/>
              </w:rPr>
              <w:t xml:space="preserve">* As described </w:t>
            </w:r>
          </w:p>
        </w:tc>
      </w:tr>
      <w:tr w:rsidR="0000341F" w:rsidRPr="00354B76" w14:paraId="1D106DD5"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4CD16043" w14:textId="77777777" w:rsidR="0000341F" w:rsidRPr="00354B76" w:rsidRDefault="0000341F" w:rsidP="00354B76">
            <w:pPr>
              <w:pStyle w:val="TableText"/>
              <w:spacing w:before="0" w:after="0"/>
              <w:rPr>
                <w:sz w:val="16"/>
                <w:szCs w:val="16"/>
              </w:rPr>
            </w:pPr>
          </w:p>
        </w:tc>
        <w:tc>
          <w:tcPr>
            <w:tcW w:w="3527" w:type="dxa"/>
          </w:tcPr>
          <w:p w14:paraId="1766D989" w14:textId="70619E7F"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 = 1 kV; CONCRETE</w:t>
            </w:r>
          </w:p>
        </w:tc>
        <w:tc>
          <w:tcPr>
            <w:tcW w:w="2833" w:type="dxa"/>
          </w:tcPr>
          <w:p w14:paraId="5FB42586" w14:textId="7C7814AC"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1951C8">
              <w:rPr>
                <w:sz w:val="16"/>
                <w:szCs w:val="16"/>
              </w:rPr>
              <w:t xml:space="preserve">* As described </w:t>
            </w:r>
          </w:p>
        </w:tc>
      </w:tr>
      <w:tr w:rsidR="0000341F" w:rsidRPr="00354B76" w14:paraId="76A5684D"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05F3FECC" w14:textId="77777777" w:rsidR="0000341F" w:rsidRPr="00354B76" w:rsidRDefault="0000341F" w:rsidP="00354B76">
            <w:pPr>
              <w:pStyle w:val="TableText"/>
              <w:spacing w:before="0" w:after="0"/>
              <w:rPr>
                <w:sz w:val="16"/>
                <w:szCs w:val="16"/>
              </w:rPr>
            </w:pPr>
          </w:p>
        </w:tc>
        <w:tc>
          <w:tcPr>
            <w:tcW w:w="3527" w:type="dxa"/>
          </w:tcPr>
          <w:p w14:paraId="7C828B22" w14:textId="6C0A6DE3"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&gt; 1 kV &amp; &lt; = 11 kV; CONCRETE</w:t>
            </w:r>
          </w:p>
        </w:tc>
        <w:tc>
          <w:tcPr>
            <w:tcW w:w="2833" w:type="dxa"/>
          </w:tcPr>
          <w:p w14:paraId="37208BF1" w14:textId="05D81D42"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1951C8">
              <w:rPr>
                <w:sz w:val="16"/>
                <w:szCs w:val="16"/>
              </w:rPr>
              <w:t xml:space="preserve">* As described </w:t>
            </w:r>
          </w:p>
        </w:tc>
      </w:tr>
      <w:tr w:rsidR="0000341F" w:rsidRPr="00354B76" w14:paraId="70C082E2"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6A312A9F" w14:textId="77777777" w:rsidR="0000341F" w:rsidRPr="00354B76" w:rsidRDefault="0000341F" w:rsidP="00354B76">
            <w:pPr>
              <w:pStyle w:val="TableText"/>
              <w:spacing w:before="0" w:after="0"/>
              <w:rPr>
                <w:sz w:val="16"/>
                <w:szCs w:val="16"/>
              </w:rPr>
            </w:pPr>
          </w:p>
        </w:tc>
        <w:tc>
          <w:tcPr>
            <w:tcW w:w="3527" w:type="dxa"/>
          </w:tcPr>
          <w:p w14:paraId="7B3CFEA8" w14:textId="67269220"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&gt; 22 kV &amp; &lt; = 66 kV; CONCRETE</w:t>
            </w:r>
          </w:p>
        </w:tc>
        <w:tc>
          <w:tcPr>
            <w:tcW w:w="2833" w:type="dxa"/>
          </w:tcPr>
          <w:p w14:paraId="6E027E9F" w14:textId="14842BED"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1951C8">
              <w:rPr>
                <w:sz w:val="16"/>
                <w:szCs w:val="16"/>
              </w:rPr>
              <w:t xml:space="preserve">* As described </w:t>
            </w:r>
          </w:p>
        </w:tc>
      </w:tr>
      <w:tr w:rsidR="0000341F" w:rsidRPr="00354B76" w14:paraId="1E634462"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2408CC2F" w14:textId="77777777" w:rsidR="0000341F" w:rsidRPr="00354B76" w:rsidRDefault="0000341F" w:rsidP="00354B76">
            <w:pPr>
              <w:pStyle w:val="TableText"/>
              <w:spacing w:before="0" w:after="0"/>
              <w:rPr>
                <w:sz w:val="16"/>
                <w:szCs w:val="16"/>
              </w:rPr>
            </w:pPr>
          </w:p>
        </w:tc>
        <w:tc>
          <w:tcPr>
            <w:tcW w:w="3527" w:type="dxa"/>
          </w:tcPr>
          <w:p w14:paraId="008DE02C" w14:textId="4DC0CEC9"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&gt; 66 kV &amp; &lt; = 132 kV; CONCRETE</w:t>
            </w:r>
          </w:p>
        </w:tc>
        <w:tc>
          <w:tcPr>
            <w:tcW w:w="2833" w:type="dxa"/>
          </w:tcPr>
          <w:p w14:paraId="5DDDBB32" w14:textId="6AD69A3B"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1951C8">
              <w:rPr>
                <w:sz w:val="16"/>
                <w:szCs w:val="16"/>
              </w:rPr>
              <w:t xml:space="preserve">* As described </w:t>
            </w:r>
          </w:p>
        </w:tc>
      </w:tr>
      <w:tr w:rsidR="0000341F" w:rsidRPr="00354B76" w14:paraId="77349EC5"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594CFD93" w14:textId="77777777" w:rsidR="0000341F" w:rsidRPr="00354B76" w:rsidRDefault="0000341F" w:rsidP="00354B76">
            <w:pPr>
              <w:pStyle w:val="TableText"/>
              <w:spacing w:before="0" w:after="0"/>
              <w:rPr>
                <w:sz w:val="16"/>
                <w:szCs w:val="16"/>
              </w:rPr>
            </w:pPr>
          </w:p>
        </w:tc>
        <w:tc>
          <w:tcPr>
            <w:tcW w:w="3527" w:type="dxa"/>
          </w:tcPr>
          <w:p w14:paraId="79A8D04F" w14:textId="78C9C3D7"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 = 1 kV; STEEL</w:t>
            </w:r>
          </w:p>
        </w:tc>
        <w:tc>
          <w:tcPr>
            <w:tcW w:w="2833" w:type="dxa"/>
          </w:tcPr>
          <w:p w14:paraId="5C4C53B8" w14:textId="686021B0"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1951C8">
              <w:rPr>
                <w:sz w:val="16"/>
                <w:szCs w:val="16"/>
              </w:rPr>
              <w:t xml:space="preserve">* As described </w:t>
            </w:r>
          </w:p>
        </w:tc>
      </w:tr>
      <w:tr w:rsidR="0000341F" w:rsidRPr="00354B76" w14:paraId="01B26D45"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382BCF33" w14:textId="77777777" w:rsidR="0000341F" w:rsidRPr="00354B76" w:rsidRDefault="0000341F" w:rsidP="00354B76">
            <w:pPr>
              <w:pStyle w:val="TableText"/>
              <w:spacing w:before="0" w:after="0"/>
              <w:rPr>
                <w:sz w:val="16"/>
                <w:szCs w:val="16"/>
              </w:rPr>
            </w:pPr>
          </w:p>
        </w:tc>
        <w:tc>
          <w:tcPr>
            <w:tcW w:w="3527" w:type="dxa"/>
          </w:tcPr>
          <w:p w14:paraId="03B896E2" w14:textId="6F6B129A"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&gt; 1 kV &amp; &lt; = 11 kV; STEEL</w:t>
            </w:r>
          </w:p>
        </w:tc>
        <w:tc>
          <w:tcPr>
            <w:tcW w:w="2833" w:type="dxa"/>
          </w:tcPr>
          <w:p w14:paraId="5B811293" w14:textId="56A5D73B"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1951C8">
              <w:rPr>
                <w:sz w:val="16"/>
                <w:szCs w:val="16"/>
              </w:rPr>
              <w:t xml:space="preserve">* As described </w:t>
            </w:r>
          </w:p>
        </w:tc>
      </w:tr>
      <w:tr w:rsidR="0000341F" w:rsidRPr="00354B76" w14:paraId="7145147E"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6287F322" w14:textId="77777777" w:rsidR="0000341F" w:rsidRPr="00354B76" w:rsidRDefault="0000341F" w:rsidP="00354B76">
            <w:pPr>
              <w:pStyle w:val="TableText"/>
              <w:spacing w:before="0" w:after="0"/>
              <w:rPr>
                <w:sz w:val="16"/>
                <w:szCs w:val="16"/>
              </w:rPr>
            </w:pPr>
          </w:p>
        </w:tc>
        <w:tc>
          <w:tcPr>
            <w:tcW w:w="3527" w:type="dxa"/>
          </w:tcPr>
          <w:p w14:paraId="148748DB" w14:textId="79B595C1"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&gt; 22 kV &amp; &lt; = 66 kV; STEEL</w:t>
            </w:r>
          </w:p>
        </w:tc>
        <w:tc>
          <w:tcPr>
            <w:tcW w:w="2833" w:type="dxa"/>
          </w:tcPr>
          <w:p w14:paraId="2502A372" w14:textId="0B99C652"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1951C8">
              <w:rPr>
                <w:sz w:val="16"/>
                <w:szCs w:val="16"/>
              </w:rPr>
              <w:t xml:space="preserve">* As described </w:t>
            </w:r>
          </w:p>
        </w:tc>
      </w:tr>
      <w:tr w:rsidR="0000341F" w:rsidRPr="00354B76" w14:paraId="3EE2A88B"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776A8735" w14:textId="77777777" w:rsidR="0000341F" w:rsidRPr="00354B76" w:rsidRDefault="0000341F" w:rsidP="00354B76">
            <w:pPr>
              <w:pStyle w:val="TableText"/>
              <w:spacing w:before="0" w:after="0"/>
              <w:rPr>
                <w:sz w:val="16"/>
                <w:szCs w:val="16"/>
              </w:rPr>
            </w:pPr>
          </w:p>
        </w:tc>
        <w:tc>
          <w:tcPr>
            <w:tcW w:w="3527" w:type="dxa"/>
          </w:tcPr>
          <w:p w14:paraId="4CD1F4F7" w14:textId="463EF809"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&gt; 66 kV &amp; &lt; = 132 kV; STEEL</w:t>
            </w:r>
          </w:p>
        </w:tc>
        <w:tc>
          <w:tcPr>
            <w:tcW w:w="2833" w:type="dxa"/>
          </w:tcPr>
          <w:p w14:paraId="2DAF732F" w14:textId="05B78079"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1951C8">
              <w:rPr>
                <w:sz w:val="16"/>
                <w:szCs w:val="16"/>
              </w:rPr>
              <w:t xml:space="preserve">* As described </w:t>
            </w:r>
          </w:p>
        </w:tc>
      </w:tr>
      <w:tr w:rsidR="0000341F" w:rsidRPr="00354B76" w14:paraId="4DF2C397"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4A35845F" w14:textId="77777777" w:rsidR="0000341F" w:rsidRPr="00354B76" w:rsidRDefault="0000341F" w:rsidP="00354B76">
            <w:pPr>
              <w:pStyle w:val="TableText"/>
              <w:spacing w:before="0" w:after="0"/>
              <w:rPr>
                <w:sz w:val="16"/>
                <w:szCs w:val="16"/>
              </w:rPr>
            </w:pPr>
          </w:p>
        </w:tc>
        <w:tc>
          <w:tcPr>
            <w:tcW w:w="3527" w:type="dxa"/>
            <w:vMerge w:val="restart"/>
          </w:tcPr>
          <w:p w14:paraId="0224112C" w14:textId="5B1E9A0B"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Staked Poles</w:t>
            </w:r>
          </w:p>
        </w:tc>
        <w:tc>
          <w:tcPr>
            <w:tcW w:w="2833" w:type="dxa"/>
          </w:tcPr>
          <w:p w14:paraId="3CB38499" w14:textId="21D304BE"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Nailed</w:t>
            </w:r>
            <w:r w:rsidRPr="00354B76">
              <w:rPr>
                <w:sz w:val="16"/>
                <w:szCs w:val="16"/>
              </w:rPr>
              <w:t xml:space="preserve"> ˂ = 1 KV; WOOD</w:t>
            </w:r>
          </w:p>
        </w:tc>
      </w:tr>
      <w:tr w:rsidR="0000341F" w:rsidRPr="00354B76" w14:paraId="0DA67BB1"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00EEFF4F" w14:textId="77777777" w:rsidR="0000341F" w:rsidRPr="00354B76" w:rsidRDefault="0000341F" w:rsidP="00354B76">
            <w:pPr>
              <w:pStyle w:val="TableText"/>
              <w:spacing w:before="0" w:after="0"/>
              <w:rPr>
                <w:sz w:val="16"/>
                <w:szCs w:val="16"/>
              </w:rPr>
            </w:pPr>
          </w:p>
        </w:tc>
        <w:tc>
          <w:tcPr>
            <w:tcW w:w="3527" w:type="dxa"/>
            <w:vMerge/>
          </w:tcPr>
          <w:p w14:paraId="6BC532A4" w14:textId="672FA9C1"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p>
        </w:tc>
        <w:tc>
          <w:tcPr>
            <w:tcW w:w="2833" w:type="dxa"/>
          </w:tcPr>
          <w:p w14:paraId="0734BF95" w14:textId="54F8DEF7"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Nailed</w:t>
            </w:r>
            <w:r w:rsidRPr="00354B76">
              <w:rPr>
                <w:sz w:val="16"/>
                <w:szCs w:val="16"/>
              </w:rPr>
              <w:t xml:space="preserve"> &gt; 1 KV &amp; &lt; = 11 KV; WOOD</w:t>
            </w:r>
          </w:p>
        </w:tc>
      </w:tr>
      <w:tr w:rsidR="0000341F" w:rsidRPr="00354B76" w14:paraId="75D08494"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207CE9AB" w14:textId="77777777" w:rsidR="0000341F" w:rsidRPr="00354B76" w:rsidRDefault="0000341F" w:rsidP="00354B76">
            <w:pPr>
              <w:pStyle w:val="TableText"/>
              <w:spacing w:before="0" w:after="0"/>
              <w:rPr>
                <w:sz w:val="16"/>
                <w:szCs w:val="16"/>
              </w:rPr>
            </w:pPr>
          </w:p>
        </w:tc>
        <w:tc>
          <w:tcPr>
            <w:tcW w:w="3527" w:type="dxa"/>
            <w:vMerge/>
          </w:tcPr>
          <w:p w14:paraId="731D1BE3" w14:textId="2A9030B9"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p>
        </w:tc>
        <w:tc>
          <w:tcPr>
            <w:tcW w:w="2833" w:type="dxa"/>
          </w:tcPr>
          <w:p w14:paraId="3EC3BA57" w14:textId="7B6931BF" w:rsidR="0000341F" w:rsidRPr="00354B76" w:rsidRDefault="0000341F" w:rsidP="0000341F">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Nailed</w:t>
            </w:r>
            <w:r w:rsidRPr="00354B76">
              <w:rPr>
                <w:sz w:val="16"/>
                <w:szCs w:val="16"/>
              </w:rPr>
              <w:t xml:space="preserve">  &gt; 22 KV &amp; &lt; = 66 KV; WOOD</w:t>
            </w:r>
          </w:p>
        </w:tc>
      </w:tr>
      <w:tr w:rsidR="0000341F" w:rsidRPr="00354B76" w14:paraId="5931928A"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val="restart"/>
          </w:tcPr>
          <w:p w14:paraId="04400E0A" w14:textId="77777777" w:rsidR="0000341F" w:rsidRPr="00354B76" w:rsidRDefault="0000341F" w:rsidP="00354B76">
            <w:pPr>
              <w:pStyle w:val="TableText"/>
              <w:spacing w:before="0" w:after="0"/>
              <w:rPr>
                <w:sz w:val="16"/>
                <w:szCs w:val="16"/>
              </w:rPr>
            </w:pPr>
            <w:r w:rsidRPr="00354B76">
              <w:rPr>
                <w:sz w:val="16"/>
                <w:szCs w:val="16"/>
              </w:rPr>
              <w:t xml:space="preserve">"POLE TOP STRUCTURES BY: </w:t>
            </w:r>
          </w:p>
          <w:p w14:paraId="47A1853E" w14:textId="286739AD" w:rsidR="0000341F" w:rsidRPr="00354B76" w:rsidRDefault="0000341F" w:rsidP="00354B76">
            <w:pPr>
              <w:pStyle w:val="TableText"/>
              <w:spacing w:before="0" w:after="0"/>
              <w:rPr>
                <w:sz w:val="16"/>
                <w:szCs w:val="16"/>
              </w:rPr>
            </w:pPr>
            <w:r w:rsidRPr="00354B76">
              <w:rPr>
                <w:sz w:val="16"/>
                <w:szCs w:val="16"/>
              </w:rPr>
              <w:t>HIGHEST OPERATING VOLTAGE"</w:t>
            </w:r>
          </w:p>
        </w:tc>
        <w:tc>
          <w:tcPr>
            <w:tcW w:w="3527" w:type="dxa"/>
          </w:tcPr>
          <w:p w14:paraId="1A8182A1" w14:textId="77777777"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p>
        </w:tc>
        <w:tc>
          <w:tcPr>
            <w:tcW w:w="2833" w:type="dxa"/>
          </w:tcPr>
          <w:p w14:paraId="757D0B90" w14:textId="77777777"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p>
        </w:tc>
      </w:tr>
      <w:tr w:rsidR="0000341F" w:rsidRPr="00354B76" w14:paraId="1061C403"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085B64FF" w14:textId="251DD34E" w:rsidR="0000341F" w:rsidRPr="00354B76" w:rsidRDefault="0000341F" w:rsidP="00354B76">
            <w:pPr>
              <w:pStyle w:val="TableText"/>
              <w:spacing w:before="0" w:after="0"/>
              <w:rPr>
                <w:sz w:val="16"/>
                <w:szCs w:val="16"/>
              </w:rPr>
            </w:pPr>
          </w:p>
        </w:tc>
        <w:tc>
          <w:tcPr>
            <w:tcW w:w="3527" w:type="dxa"/>
          </w:tcPr>
          <w:p w14:paraId="353E2CBB" w14:textId="77435332"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 = 1 kV</w:t>
            </w:r>
          </w:p>
        </w:tc>
        <w:tc>
          <w:tcPr>
            <w:tcW w:w="2833" w:type="dxa"/>
          </w:tcPr>
          <w:p w14:paraId="2D46CE36" w14:textId="5EDF79DA"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4A2167">
              <w:rPr>
                <w:sz w:val="16"/>
                <w:szCs w:val="16"/>
              </w:rPr>
              <w:t xml:space="preserve">* As described </w:t>
            </w:r>
          </w:p>
        </w:tc>
      </w:tr>
      <w:tr w:rsidR="0000341F" w:rsidRPr="00354B76" w14:paraId="49B23167"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3D210FE9" w14:textId="77777777" w:rsidR="0000341F" w:rsidRPr="00354B76" w:rsidRDefault="0000341F" w:rsidP="00354B76">
            <w:pPr>
              <w:pStyle w:val="TableText"/>
              <w:spacing w:before="0" w:after="0"/>
              <w:rPr>
                <w:sz w:val="16"/>
                <w:szCs w:val="16"/>
              </w:rPr>
            </w:pPr>
          </w:p>
        </w:tc>
        <w:tc>
          <w:tcPr>
            <w:tcW w:w="3527" w:type="dxa"/>
          </w:tcPr>
          <w:p w14:paraId="386C3084" w14:textId="6CDBA657"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&gt; 1 KV &amp; &lt; = 11 KV</w:t>
            </w:r>
          </w:p>
        </w:tc>
        <w:tc>
          <w:tcPr>
            <w:tcW w:w="2833" w:type="dxa"/>
          </w:tcPr>
          <w:p w14:paraId="298E0DBF" w14:textId="7C8823CB"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4A2167">
              <w:rPr>
                <w:sz w:val="16"/>
                <w:szCs w:val="16"/>
              </w:rPr>
              <w:t xml:space="preserve">* As described </w:t>
            </w:r>
          </w:p>
        </w:tc>
      </w:tr>
      <w:tr w:rsidR="0000341F" w:rsidRPr="00354B76" w14:paraId="4423A9ED"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3D5831E5" w14:textId="77777777" w:rsidR="0000341F" w:rsidRPr="00354B76" w:rsidRDefault="0000341F" w:rsidP="00354B76">
            <w:pPr>
              <w:pStyle w:val="TableText"/>
              <w:spacing w:before="0" w:after="0"/>
              <w:rPr>
                <w:sz w:val="16"/>
                <w:szCs w:val="16"/>
              </w:rPr>
            </w:pPr>
          </w:p>
        </w:tc>
        <w:tc>
          <w:tcPr>
            <w:tcW w:w="3527" w:type="dxa"/>
          </w:tcPr>
          <w:p w14:paraId="7B7EE033" w14:textId="41893724"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&gt; 11 kV &amp; &lt; = 22 kV</w:t>
            </w:r>
          </w:p>
        </w:tc>
        <w:tc>
          <w:tcPr>
            <w:tcW w:w="2833" w:type="dxa"/>
          </w:tcPr>
          <w:p w14:paraId="4D6C05B4" w14:textId="4FBF0B07"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4A2167">
              <w:rPr>
                <w:sz w:val="16"/>
                <w:szCs w:val="16"/>
              </w:rPr>
              <w:t xml:space="preserve">* As described </w:t>
            </w:r>
          </w:p>
        </w:tc>
      </w:tr>
      <w:tr w:rsidR="0000341F" w:rsidRPr="00354B76" w14:paraId="58F37052"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059D3F58" w14:textId="77777777" w:rsidR="0000341F" w:rsidRPr="00354B76" w:rsidRDefault="0000341F" w:rsidP="00354B76">
            <w:pPr>
              <w:pStyle w:val="TableText"/>
              <w:spacing w:before="0" w:after="0"/>
              <w:rPr>
                <w:sz w:val="16"/>
                <w:szCs w:val="16"/>
              </w:rPr>
            </w:pPr>
          </w:p>
        </w:tc>
        <w:tc>
          <w:tcPr>
            <w:tcW w:w="3527" w:type="dxa"/>
          </w:tcPr>
          <w:p w14:paraId="7C93CEC2" w14:textId="48152A55"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&gt; 22 KV &amp; &lt; = 66 KV</w:t>
            </w:r>
          </w:p>
        </w:tc>
        <w:tc>
          <w:tcPr>
            <w:tcW w:w="2833" w:type="dxa"/>
          </w:tcPr>
          <w:p w14:paraId="4D6FE6BB" w14:textId="5F47B14B"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4A2167">
              <w:rPr>
                <w:sz w:val="16"/>
                <w:szCs w:val="16"/>
              </w:rPr>
              <w:t xml:space="preserve">* As described </w:t>
            </w:r>
          </w:p>
        </w:tc>
      </w:tr>
      <w:tr w:rsidR="0000341F" w:rsidRPr="00354B76" w14:paraId="619BDE54"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062A7164" w14:textId="77777777" w:rsidR="0000341F" w:rsidRPr="00354B76" w:rsidRDefault="0000341F" w:rsidP="00354B76">
            <w:pPr>
              <w:pStyle w:val="TableText"/>
              <w:spacing w:before="0" w:after="0"/>
              <w:rPr>
                <w:sz w:val="16"/>
                <w:szCs w:val="16"/>
              </w:rPr>
            </w:pPr>
          </w:p>
        </w:tc>
        <w:tc>
          <w:tcPr>
            <w:tcW w:w="3527" w:type="dxa"/>
          </w:tcPr>
          <w:p w14:paraId="254CB0AB" w14:textId="6F05D8F1"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&gt; 66 KV &amp; &lt; = 132 KV</w:t>
            </w:r>
          </w:p>
        </w:tc>
        <w:tc>
          <w:tcPr>
            <w:tcW w:w="2833" w:type="dxa"/>
          </w:tcPr>
          <w:p w14:paraId="0A225176" w14:textId="55A10A17"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4A2167">
              <w:rPr>
                <w:sz w:val="16"/>
                <w:szCs w:val="16"/>
              </w:rPr>
              <w:t xml:space="preserve">* As described </w:t>
            </w:r>
          </w:p>
        </w:tc>
      </w:tr>
      <w:tr w:rsidR="0000341F" w:rsidRPr="00354B76" w14:paraId="1691F9D6"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val="restart"/>
          </w:tcPr>
          <w:p w14:paraId="448C6018" w14:textId="77777777" w:rsidR="0000341F" w:rsidRPr="00354B76" w:rsidRDefault="0000341F" w:rsidP="00354B76">
            <w:pPr>
              <w:pStyle w:val="TableText"/>
              <w:spacing w:before="0" w:after="0"/>
              <w:rPr>
                <w:sz w:val="16"/>
                <w:szCs w:val="16"/>
              </w:rPr>
            </w:pPr>
            <w:r w:rsidRPr="00354B76">
              <w:rPr>
                <w:sz w:val="16"/>
                <w:szCs w:val="16"/>
              </w:rPr>
              <w:t xml:space="preserve">"OVERHEAD CONDUCTORS BY: </w:t>
            </w:r>
          </w:p>
          <w:p w14:paraId="28B8C49B" w14:textId="584F5076" w:rsidR="0000341F" w:rsidRPr="00354B76" w:rsidRDefault="0000341F" w:rsidP="00354B76">
            <w:pPr>
              <w:pStyle w:val="TableText"/>
              <w:spacing w:before="0" w:after="0"/>
              <w:rPr>
                <w:sz w:val="16"/>
                <w:szCs w:val="16"/>
              </w:rPr>
            </w:pPr>
            <w:r w:rsidRPr="00354B76">
              <w:rPr>
                <w:sz w:val="16"/>
                <w:szCs w:val="16"/>
              </w:rPr>
              <w:t>HIGHEST OPERATING VOLTAGE; NUMBER OF PHASES (AT HV)"</w:t>
            </w:r>
          </w:p>
        </w:tc>
        <w:tc>
          <w:tcPr>
            <w:tcW w:w="3527" w:type="dxa"/>
          </w:tcPr>
          <w:p w14:paraId="535B27DA" w14:textId="77777777"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p>
        </w:tc>
        <w:tc>
          <w:tcPr>
            <w:tcW w:w="2833" w:type="dxa"/>
          </w:tcPr>
          <w:p w14:paraId="6B14C337" w14:textId="77777777"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p>
        </w:tc>
      </w:tr>
      <w:tr w:rsidR="0000341F" w:rsidRPr="00354B76" w14:paraId="6AC46165"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7F1C65F8" w14:textId="0057D4D3" w:rsidR="0000341F" w:rsidRPr="00354B76" w:rsidRDefault="0000341F" w:rsidP="00354B76">
            <w:pPr>
              <w:pStyle w:val="TableText"/>
              <w:spacing w:before="0" w:after="0"/>
              <w:rPr>
                <w:sz w:val="16"/>
                <w:szCs w:val="16"/>
              </w:rPr>
            </w:pPr>
          </w:p>
        </w:tc>
        <w:tc>
          <w:tcPr>
            <w:tcW w:w="3527" w:type="dxa"/>
          </w:tcPr>
          <w:p w14:paraId="7F80D73F" w14:textId="5C2A07AC"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 = 1 kV</w:t>
            </w:r>
          </w:p>
        </w:tc>
        <w:tc>
          <w:tcPr>
            <w:tcW w:w="2833" w:type="dxa"/>
          </w:tcPr>
          <w:p w14:paraId="0CCE8B58" w14:textId="56C6A7AA"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A5779C">
              <w:rPr>
                <w:sz w:val="16"/>
                <w:szCs w:val="16"/>
              </w:rPr>
              <w:t xml:space="preserve">* As described </w:t>
            </w:r>
          </w:p>
        </w:tc>
      </w:tr>
      <w:tr w:rsidR="0000341F" w:rsidRPr="00354B76" w14:paraId="053DF3AD"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670BC515" w14:textId="77777777" w:rsidR="0000341F" w:rsidRPr="00354B76" w:rsidRDefault="0000341F" w:rsidP="00354B76">
            <w:pPr>
              <w:pStyle w:val="TableText"/>
              <w:spacing w:before="0" w:after="0"/>
              <w:rPr>
                <w:sz w:val="16"/>
                <w:szCs w:val="16"/>
              </w:rPr>
            </w:pPr>
          </w:p>
        </w:tc>
        <w:tc>
          <w:tcPr>
            <w:tcW w:w="3527" w:type="dxa"/>
          </w:tcPr>
          <w:p w14:paraId="49949171" w14:textId="537534EA"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&gt; 1 kV &amp; &lt; = 11 kV</w:t>
            </w:r>
          </w:p>
        </w:tc>
        <w:tc>
          <w:tcPr>
            <w:tcW w:w="2833" w:type="dxa"/>
          </w:tcPr>
          <w:p w14:paraId="639C7B95" w14:textId="1E1B1AEC"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A5779C">
              <w:rPr>
                <w:sz w:val="16"/>
                <w:szCs w:val="16"/>
              </w:rPr>
              <w:t xml:space="preserve">* As described </w:t>
            </w:r>
          </w:p>
        </w:tc>
      </w:tr>
      <w:tr w:rsidR="0000341F" w:rsidRPr="00354B76" w14:paraId="461CF328"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60D98395" w14:textId="77777777" w:rsidR="0000341F" w:rsidRPr="00354B76" w:rsidRDefault="0000341F" w:rsidP="00354B76">
            <w:pPr>
              <w:pStyle w:val="TableText"/>
              <w:spacing w:before="0" w:after="0"/>
              <w:rPr>
                <w:sz w:val="16"/>
                <w:szCs w:val="16"/>
              </w:rPr>
            </w:pPr>
          </w:p>
        </w:tc>
        <w:tc>
          <w:tcPr>
            <w:tcW w:w="3527" w:type="dxa"/>
          </w:tcPr>
          <w:p w14:paraId="1399C545" w14:textId="527BD045"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 11 kV &amp; &lt; = 22 kV  ; SWER</w:t>
            </w:r>
          </w:p>
        </w:tc>
        <w:tc>
          <w:tcPr>
            <w:tcW w:w="2833" w:type="dxa"/>
          </w:tcPr>
          <w:p w14:paraId="0D31AF40" w14:textId="10E4945F"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A5779C">
              <w:rPr>
                <w:sz w:val="16"/>
                <w:szCs w:val="16"/>
              </w:rPr>
              <w:t xml:space="preserve">* As described </w:t>
            </w:r>
          </w:p>
        </w:tc>
      </w:tr>
      <w:tr w:rsidR="0000341F" w:rsidRPr="00354B76" w14:paraId="1AC05ABB"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623D3CAF" w14:textId="77777777" w:rsidR="0000341F" w:rsidRPr="00354B76" w:rsidRDefault="0000341F" w:rsidP="00354B76">
            <w:pPr>
              <w:pStyle w:val="TableText"/>
              <w:spacing w:before="0" w:after="0"/>
              <w:rPr>
                <w:sz w:val="16"/>
                <w:szCs w:val="16"/>
              </w:rPr>
            </w:pPr>
          </w:p>
        </w:tc>
        <w:tc>
          <w:tcPr>
            <w:tcW w:w="3527" w:type="dxa"/>
          </w:tcPr>
          <w:p w14:paraId="624E034D" w14:textId="72F1CA0B"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&gt; 22 kV &amp; &lt; = 66 kV</w:t>
            </w:r>
          </w:p>
        </w:tc>
        <w:tc>
          <w:tcPr>
            <w:tcW w:w="2833" w:type="dxa"/>
          </w:tcPr>
          <w:p w14:paraId="65E1993B" w14:textId="2C1CC2AD"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A5779C">
              <w:rPr>
                <w:sz w:val="16"/>
                <w:szCs w:val="16"/>
              </w:rPr>
              <w:t xml:space="preserve">* As described </w:t>
            </w:r>
          </w:p>
        </w:tc>
      </w:tr>
      <w:tr w:rsidR="0000341F" w:rsidRPr="00354B76" w14:paraId="04269688"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15686147" w14:textId="77777777" w:rsidR="0000341F" w:rsidRPr="00354B76" w:rsidRDefault="0000341F" w:rsidP="00354B76">
            <w:pPr>
              <w:pStyle w:val="TableText"/>
              <w:spacing w:before="0" w:after="0"/>
              <w:rPr>
                <w:sz w:val="16"/>
                <w:szCs w:val="16"/>
              </w:rPr>
            </w:pPr>
          </w:p>
        </w:tc>
        <w:tc>
          <w:tcPr>
            <w:tcW w:w="3527" w:type="dxa"/>
          </w:tcPr>
          <w:p w14:paraId="6068A87F" w14:textId="40E1062D"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&gt; 66 kV &amp; &lt; = 132 kV</w:t>
            </w:r>
          </w:p>
        </w:tc>
        <w:tc>
          <w:tcPr>
            <w:tcW w:w="2833" w:type="dxa"/>
          </w:tcPr>
          <w:p w14:paraId="2A1509D2" w14:textId="6665293B"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A5779C">
              <w:rPr>
                <w:sz w:val="16"/>
                <w:szCs w:val="16"/>
              </w:rPr>
              <w:t xml:space="preserve">* As described </w:t>
            </w:r>
          </w:p>
        </w:tc>
      </w:tr>
      <w:tr w:rsidR="0000341F" w:rsidRPr="00354B76" w14:paraId="4D73F653"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val="restart"/>
          </w:tcPr>
          <w:p w14:paraId="3599565F" w14:textId="77777777" w:rsidR="0000341F" w:rsidRPr="00354B76" w:rsidRDefault="0000341F" w:rsidP="00354B76">
            <w:pPr>
              <w:pStyle w:val="TableText"/>
              <w:spacing w:before="0" w:after="0"/>
              <w:rPr>
                <w:sz w:val="16"/>
                <w:szCs w:val="16"/>
              </w:rPr>
            </w:pPr>
            <w:r w:rsidRPr="00354B76">
              <w:rPr>
                <w:sz w:val="16"/>
                <w:szCs w:val="16"/>
              </w:rPr>
              <w:t xml:space="preserve">"UNDERGROUND CABLES BY: </w:t>
            </w:r>
          </w:p>
          <w:p w14:paraId="13277E25" w14:textId="5693438C" w:rsidR="0000341F" w:rsidRPr="00354B76" w:rsidRDefault="0000341F" w:rsidP="00354B76">
            <w:pPr>
              <w:pStyle w:val="TableText"/>
              <w:spacing w:before="0" w:after="0"/>
              <w:rPr>
                <w:sz w:val="16"/>
                <w:szCs w:val="16"/>
              </w:rPr>
            </w:pPr>
            <w:r w:rsidRPr="00354B76">
              <w:rPr>
                <w:sz w:val="16"/>
                <w:szCs w:val="16"/>
              </w:rPr>
              <w:t>HIGHEST OPERATING VOLTAGE"</w:t>
            </w:r>
          </w:p>
        </w:tc>
        <w:tc>
          <w:tcPr>
            <w:tcW w:w="3527" w:type="dxa"/>
          </w:tcPr>
          <w:p w14:paraId="6D1F0BCF" w14:textId="77777777"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p>
        </w:tc>
        <w:tc>
          <w:tcPr>
            <w:tcW w:w="2833" w:type="dxa"/>
          </w:tcPr>
          <w:p w14:paraId="5B14F125" w14:textId="77777777"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p>
        </w:tc>
      </w:tr>
      <w:tr w:rsidR="0000341F" w:rsidRPr="00354B76" w14:paraId="32CE210E"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211B582E" w14:textId="1030A792" w:rsidR="0000341F" w:rsidRPr="00354B76" w:rsidRDefault="0000341F" w:rsidP="00354B76">
            <w:pPr>
              <w:pStyle w:val="TableText"/>
              <w:spacing w:before="0" w:after="0"/>
              <w:rPr>
                <w:sz w:val="16"/>
                <w:szCs w:val="16"/>
              </w:rPr>
            </w:pPr>
          </w:p>
        </w:tc>
        <w:tc>
          <w:tcPr>
            <w:tcW w:w="3527" w:type="dxa"/>
          </w:tcPr>
          <w:p w14:paraId="3112A04C" w14:textId="35F6C71F"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 = 1 kV</w:t>
            </w:r>
          </w:p>
        </w:tc>
        <w:tc>
          <w:tcPr>
            <w:tcW w:w="2833" w:type="dxa"/>
          </w:tcPr>
          <w:p w14:paraId="329C574E" w14:textId="6F3D798E"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71495D">
              <w:rPr>
                <w:sz w:val="16"/>
                <w:szCs w:val="16"/>
              </w:rPr>
              <w:t xml:space="preserve">* As described </w:t>
            </w:r>
          </w:p>
        </w:tc>
      </w:tr>
      <w:tr w:rsidR="0000341F" w:rsidRPr="00354B76" w14:paraId="4162E0E6"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6C63ECD7" w14:textId="77777777" w:rsidR="0000341F" w:rsidRPr="00354B76" w:rsidRDefault="0000341F" w:rsidP="00354B76">
            <w:pPr>
              <w:pStyle w:val="TableText"/>
              <w:spacing w:before="0" w:after="0"/>
              <w:rPr>
                <w:sz w:val="16"/>
                <w:szCs w:val="16"/>
              </w:rPr>
            </w:pPr>
          </w:p>
        </w:tc>
        <w:tc>
          <w:tcPr>
            <w:tcW w:w="3527" w:type="dxa"/>
          </w:tcPr>
          <w:p w14:paraId="5081F4E8" w14:textId="5741CE5F"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&gt; 1 kV &amp; &lt; = 11 kV</w:t>
            </w:r>
          </w:p>
        </w:tc>
        <w:tc>
          <w:tcPr>
            <w:tcW w:w="2833" w:type="dxa"/>
          </w:tcPr>
          <w:p w14:paraId="249D4B6A" w14:textId="246D21D1"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71495D">
              <w:rPr>
                <w:sz w:val="16"/>
                <w:szCs w:val="16"/>
              </w:rPr>
              <w:t xml:space="preserve">* As described </w:t>
            </w:r>
          </w:p>
        </w:tc>
      </w:tr>
      <w:tr w:rsidR="0000341F" w:rsidRPr="00354B76" w14:paraId="5FD73887"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7DA33FFC" w14:textId="77777777" w:rsidR="0000341F" w:rsidRPr="00354B76" w:rsidRDefault="0000341F" w:rsidP="00354B76">
            <w:pPr>
              <w:pStyle w:val="TableText"/>
              <w:spacing w:before="0" w:after="0"/>
              <w:rPr>
                <w:sz w:val="16"/>
                <w:szCs w:val="16"/>
              </w:rPr>
            </w:pPr>
          </w:p>
        </w:tc>
        <w:tc>
          <w:tcPr>
            <w:tcW w:w="3527" w:type="dxa"/>
          </w:tcPr>
          <w:p w14:paraId="7ADAA8EB" w14:textId="1296F1C0"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&gt; 22 kV &amp; &lt; = 33 kV</w:t>
            </w:r>
          </w:p>
        </w:tc>
        <w:tc>
          <w:tcPr>
            <w:tcW w:w="2833" w:type="dxa"/>
          </w:tcPr>
          <w:p w14:paraId="318F41AC" w14:textId="09B711B1"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71495D">
              <w:rPr>
                <w:sz w:val="16"/>
                <w:szCs w:val="16"/>
              </w:rPr>
              <w:t xml:space="preserve">* As described </w:t>
            </w:r>
          </w:p>
        </w:tc>
      </w:tr>
      <w:tr w:rsidR="0000341F" w:rsidRPr="00354B76" w14:paraId="27BEFC1A"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4CA7211F" w14:textId="77777777" w:rsidR="0000341F" w:rsidRPr="00354B76" w:rsidRDefault="0000341F" w:rsidP="00354B76">
            <w:pPr>
              <w:pStyle w:val="TableText"/>
              <w:spacing w:before="0" w:after="0"/>
              <w:rPr>
                <w:sz w:val="16"/>
                <w:szCs w:val="16"/>
              </w:rPr>
            </w:pPr>
          </w:p>
        </w:tc>
        <w:tc>
          <w:tcPr>
            <w:tcW w:w="3527" w:type="dxa"/>
          </w:tcPr>
          <w:p w14:paraId="42AE78CE" w14:textId="43C5010E"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&gt; 66 kV &amp; &lt; = 132 kV</w:t>
            </w:r>
          </w:p>
        </w:tc>
        <w:tc>
          <w:tcPr>
            <w:tcW w:w="2833" w:type="dxa"/>
          </w:tcPr>
          <w:p w14:paraId="3A5D48CF" w14:textId="4F2E60B5"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71495D">
              <w:rPr>
                <w:sz w:val="16"/>
                <w:szCs w:val="16"/>
              </w:rPr>
              <w:t xml:space="preserve">* As described </w:t>
            </w:r>
          </w:p>
        </w:tc>
      </w:tr>
      <w:tr w:rsidR="0000341F" w:rsidRPr="00354B76" w14:paraId="3E164F12"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val="restart"/>
          </w:tcPr>
          <w:p w14:paraId="6E4338DC" w14:textId="77777777" w:rsidR="0000341F" w:rsidRPr="00354B76" w:rsidRDefault="0000341F" w:rsidP="00354B76">
            <w:pPr>
              <w:pStyle w:val="TableText"/>
              <w:spacing w:before="0" w:after="0"/>
              <w:rPr>
                <w:sz w:val="16"/>
                <w:szCs w:val="16"/>
              </w:rPr>
            </w:pPr>
            <w:r w:rsidRPr="00354B76">
              <w:rPr>
                <w:sz w:val="16"/>
                <w:szCs w:val="16"/>
              </w:rPr>
              <w:t xml:space="preserve">"SERVICE LINES BY: </w:t>
            </w:r>
          </w:p>
          <w:p w14:paraId="1728AF4C" w14:textId="23E94CD4" w:rsidR="0000341F" w:rsidRPr="00354B76" w:rsidRDefault="0000341F" w:rsidP="00354B76">
            <w:pPr>
              <w:pStyle w:val="TableText"/>
              <w:spacing w:before="0" w:after="0"/>
              <w:rPr>
                <w:sz w:val="16"/>
                <w:szCs w:val="16"/>
              </w:rPr>
            </w:pPr>
            <w:r w:rsidRPr="00354B76">
              <w:rPr>
                <w:sz w:val="16"/>
                <w:szCs w:val="16"/>
              </w:rPr>
              <w:t>CONNECTION VOLTAGE; CUSTOMER TYPE; CONNECTION COMPLEXITY "</w:t>
            </w:r>
          </w:p>
        </w:tc>
        <w:tc>
          <w:tcPr>
            <w:tcW w:w="3527" w:type="dxa"/>
          </w:tcPr>
          <w:p w14:paraId="0ED9C79C" w14:textId="77777777"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p>
        </w:tc>
        <w:tc>
          <w:tcPr>
            <w:tcW w:w="2833" w:type="dxa"/>
          </w:tcPr>
          <w:p w14:paraId="53CB6CB5" w14:textId="77777777"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p>
        </w:tc>
      </w:tr>
      <w:tr w:rsidR="0000341F" w:rsidRPr="00354B76" w14:paraId="11A3D56A"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18FCE3F3" w14:textId="76FD4B6B" w:rsidR="0000341F" w:rsidRPr="00354B76" w:rsidRDefault="0000341F" w:rsidP="00354B76">
            <w:pPr>
              <w:pStyle w:val="TableText"/>
              <w:spacing w:before="0" w:after="0"/>
              <w:rPr>
                <w:sz w:val="16"/>
                <w:szCs w:val="16"/>
              </w:rPr>
            </w:pPr>
          </w:p>
        </w:tc>
        <w:tc>
          <w:tcPr>
            <w:tcW w:w="3527" w:type="dxa"/>
          </w:tcPr>
          <w:p w14:paraId="38C194C1" w14:textId="0C200CBF"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 xml:space="preserve">˂ = 11 kV ; RESIDENTIAL ; SIMPLE TYPE </w:t>
            </w:r>
          </w:p>
        </w:tc>
        <w:tc>
          <w:tcPr>
            <w:tcW w:w="2833" w:type="dxa"/>
          </w:tcPr>
          <w:p w14:paraId="757481C8" w14:textId="7F25E7C3"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403C0B">
              <w:rPr>
                <w:sz w:val="16"/>
                <w:szCs w:val="16"/>
              </w:rPr>
              <w:t xml:space="preserve">* As described </w:t>
            </w:r>
          </w:p>
        </w:tc>
      </w:tr>
      <w:tr w:rsidR="0000341F" w:rsidRPr="00354B76" w14:paraId="571832E5"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62B015C8" w14:textId="77777777" w:rsidR="0000341F" w:rsidRPr="00354B76" w:rsidRDefault="0000341F" w:rsidP="00354B76">
            <w:pPr>
              <w:pStyle w:val="TableText"/>
              <w:spacing w:before="0" w:after="0"/>
              <w:rPr>
                <w:sz w:val="16"/>
                <w:szCs w:val="16"/>
              </w:rPr>
            </w:pPr>
          </w:p>
        </w:tc>
        <w:tc>
          <w:tcPr>
            <w:tcW w:w="3527" w:type="dxa"/>
          </w:tcPr>
          <w:p w14:paraId="1840851B" w14:textId="4495AD97"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 xml:space="preserve">˂ = 11 kV ; COMMERCIAL &amp; INDUSTRIAL ; SIMPLE TYPE </w:t>
            </w:r>
          </w:p>
        </w:tc>
        <w:tc>
          <w:tcPr>
            <w:tcW w:w="2833" w:type="dxa"/>
          </w:tcPr>
          <w:p w14:paraId="7E3F226A" w14:textId="6C390FCF"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403C0B">
              <w:rPr>
                <w:sz w:val="16"/>
                <w:szCs w:val="16"/>
              </w:rPr>
              <w:t xml:space="preserve">* As described </w:t>
            </w:r>
          </w:p>
        </w:tc>
      </w:tr>
      <w:tr w:rsidR="0000341F" w:rsidRPr="00354B76" w14:paraId="2AA2789F"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val="restart"/>
          </w:tcPr>
          <w:p w14:paraId="60193EFC" w14:textId="77777777" w:rsidR="0000341F" w:rsidRPr="00354B76" w:rsidRDefault="0000341F" w:rsidP="00354B76">
            <w:pPr>
              <w:pStyle w:val="TableText"/>
              <w:spacing w:before="0" w:after="0"/>
              <w:rPr>
                <w:sz w:val="16"/>
                <w:szCs w:val="16"/>
              </w:rPr>
            </w:pPr>
            <w:r w:rsidRPr="00354B76">
              <w:rPr>
                <w:sz w:val="16"/>
                <w:szCs w:val="16"/>
              </w:rPr>
              <w:t xml:space="preserve">"TRANSFORMERS BY: </w:t>
            </w:r>
          </w:p>
          <w:p w14:paraId="3C5FAF4F" w14:textId="43922B2E" w:rsidR="0000341F" w:rsidRPr="00354B76" w:rsidRDefault="0000341F" w:rsidP="00354B76">
            <w:pPr>
              <w:pStyle w:val="TableText"/>
              <w:spacing w:before="0" w:after="0"/>
              <w:rPr>
                <w:sz w:val="16"/>
                <w:szCs w:val="16"/>
              </w:rPr>
            </w:pPr>
            <w:r w:rsidRPr="00354B76">
              <w:rPr>
                <w:sz w:val="16"/>
                <w:szCs w:val="16"/>
              </w:rPr>
              <w:t>MOUNTING TYPE; HIGHEST OPERATING VOLTAGE ; AMPERE RATING; NUMBER OF PHASES (AT LV)"</w:t>
            </w:r>
          </w:p>
        </w:tc>
        <w:tc>
          <w:tcPr>
            <w:tcW w:w="3527" w:type="dxa"/>
          </w:tcPr>
          <w:p w14:paraId="3DD52EB5" w14:textId="77777777"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p>
        </w:tc>
        <w:tc>
          <w:tcPr>
            <w:tcW w:w="2833" w:type="dxa"/>
          </w:tcPr>
          <w:p w14:paraId="366DBAC2" w14:textId="77777777"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p>
        </w:tc>
      </w:tr>
      <w:tr w:rsidR="0000341F" w:rsidRPr="00354B76" w14:paraId="0039A6F0"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6928F2A2" w14:textId="6E98343F" w:rsidR="0000341F" w:rsidRPr="00354B76" w:rsidRDefault="0000341F" w:rsidP="00354B76">
            <w:pPr>
              <w:pStyle w:val="TableText"/>
              <w:spacing w:before="0" w:after="0"/>
              <w:rPr>
                <w:sz w:val="16"/>
                <w:szCs w:val="16"/>
              </w:rPr>
            </w:pPr>
          </w:p>
        </w:tc>
        <w:tc>
          <w:tcPr>
            <w:tcW w:w="3527" w:type="dxa"/>
          </w:tcPr>
          <w:p w14:paraId="62F11C72" w14:textId="61CBFA78"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POLE MOUNTED ; &lt; = 22kV ;  &lt; = 60 kVA ; SINGLE PHASE</w:t>
            </w:r>
          </w:p>
        </w:tc>
        <w:tc>
          <w:tcPr>
            <w:tcW w:w="2833" w:type="dxa"/>
          </w:tcPr>
          <w:p w14:paraId="56DD3B52" w14:textId="00BD50CF"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507B49">
              <w:rPr>
                <w:sz w:val="16"/>
                <w:szCs w:val="16"/>
              </w:rPr>
              <w:t xml:space="preserve">* As described </w:t>
            </w:r>
          </w:p>
        </w:tc>
      </w:tr>
      <w:tr w:rsidR="0000341F" w:rsidRPr="00354B76" w14:paraId="6F34BBAA"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4FC761C9" w14:textId="77777777" w:rsidR="0000341F" w:rsidRPr="00354B76" w:rsidRDefault="0000341F" w:rsidP="00354B76">
            <w:pPr>
              <w:pStyle w:val="TableText"/>
              <w:spacing w:before="0" w:after="0"/>
              <w:rPr>
                <w:sz w:val="16"/>
                <w:szCs w:val="16"/>
              </w:rPr>
            </w:pPr>
          </w:p>
        </w:tc>
        <w:tc>
          <w:tcPr>
            <w:tcW w:w="3527" w:type="dxa"/>
          </w:tcPr>
          <w:p w14:paraId="2EFF2A2C" w14:textId="6954AED9"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POLE MOUNTED ; &lt; = 22kV ;  &gt; 60 kVA AND &lt; = 600 kVA ; SINGLE PHASE</w:t>
            </w:r>
          </w:p>
        </w:tc>
        <w:tc>
          <w:tcPr>
            <w:tcW w:w="2833" w:type="dxa"/>
          </w:tcPr>
          <w:p w14:paraId="0E019EC6" w14:textId="79D1BFAE"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507B49">
              <w:rPr>
                <w:sz w:val="16"/>
                <w:szCs w:val="16"/>
              </w:rPr>
              <w:t xml:space="preserve">* As described </w:t>
            </w:r>
          </w:p>
        </w:tc>
      </w:tr>
      <w:tr w:rsidR="0000341F" w:rsidRPr="00354B76" w14:paraId="17E14D50"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406BE39F" w14:textId="77777777" w:rsidR="0000341F" w:rsidRPr="00354B76" w:rsidRDefault="0000341F" w:rsidP="00354B76">
            <w:pPr>
              <w:pStyle w:val="TableText"/>
              <w:spacing w:before="0" w:after="0"/>
              <w:rPr>
                <w:sz w:val="16"/>
                <w:szCs w:val="16"/>
              </w:rPr>
            </w:pPr>
          </w:p>
        </w:tc>
        <w:tc>
          <w:tcPr>
            <w:tcW w:w="3527" w:type="dxa"/>
          </w:tcPr>
          <w:p w14:paraId="06081060" w14:textId="70C4B231"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POLE MOUNTED ; &lt; = 22kV ;  &lt; = 60 kVA  ; MULTIPLE PHASE</w:t>
            </w:r>
          </w:p>
        </w:tc>
        <w:tc>
          <w:tcPr>
            <w:tcW w:w="2833" w:type="dxa"/>
          </w:tcPr>
          <w:p w14:paraId="7E68DC88" w14:textId="7EB37609"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507B49">
              <w:rPr>
                <w:sz w:val="16"/>
                <w:szCs w:val="16"/>
              </w:rPr>
              <w:t xml:space="preserve">* As described </w:t>
            </w:r>
          </w:p>
        </w:tc>
      </w:tr>
      <w:tr w:rsidR="0000341F" w:rsidRPr="00354B76" w14:paraId="544C7DA6"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57EF809F" w14:textId="77777777" w:rsidR="0000341F" w:rsidRPr="00354B76" w:rsidRDefault="0000341F" w:rsidP="00354B76">
            <w:pPr>
              <w:pStyle w:val="TableText"/>
              <w:spacing w:before="0" w:after="0"/>
              <w:rPr>
                <w:sz w:val="16"/>
                <w:szCs w:val="16"/>
              </w:rPr>
            </w:pPr>
          </w:p>
        </w:tc>
        <w:tc>
          <w:tcPr>
            <w:tcW w:w="3527" w:type="dxa"/>
          </w:tcPr>
          <w:p w14:paraId="1A263120" w14:textId="44F4E934"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POLE MOUNTED ; &lt; = 22kV ;  &gt; 60 kVA AND &lt; = 600 kVA  ; MULTIPLE PHASE</w:t>
            </w:r>
          </w:p>
        </w:tc>
        <w:tc>
          <w:tcPr>
            <w:tcW w:w="2833" w:type="dxa"/>
          </w:tcPr>
          <w:p w14:paraId="4637588A" w14:textId="45C43E5D"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507B49">
              <w:rPr>
                <w:sz w:val="16"/>
                <w:szCs w:val="16"/>
              </w:rPr>
              <w:t xml:space="preserve">* As described </w:t>
            </w:r>
          </w:p>
        </w:tc>
      </w:tr>
      <w:tr w:rsidR="0000341F" w:rsidRPr="00354B76" w14:paraId="728FCA06"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74196CDA" w14:textId="77777777" w:rsidR="0000341F" w:rsidRPr="00354B76" w:rsidRDefault="0000341F" w:rsidP="00354B76">
            <w:pPr>
              <w:pStyle w:val="TableText"/>
              <w:spacing w:before="0" w:after="0"/>
              <w:rPr>
                <w:sz w:val="16"/>
                <w:szCs w:val="16"/>
              </w:rPr>
            </w:pPr>
          </w:p>
        </w:tc>
        <w:tc>
          <w:tcPr>
            <w:tcW w:w="3527" w:type="dxa"/>
          </w:tcPr>
          <w:p w14:paraId="0E71D2CC" w14:textId="02A33CD9"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POLE MOUNTED ; &lt; = 22kV ;  &gt; 600 kVA  ; MULTIPLE PHASE</w:t>
            </w:r>
          </w:p>
        </w:tc>
        <w:tc>
          <w:tcPr>
            <w:tcW w:w="2833" w:type="dxa"/>
          </w:tcPr>
          <w:p w14:paraId="3FB0894B" w14:textId="149962CF"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507B49">
              <w:rPr>
                <w:sz w:val="16"/>
                <w:szCs w:val="16"/>
              </w:rPr>
              <w:t xml:space="preserve">* As described </w:t>
            </w:r>
          </w:p>
        </w:tc>
      </w:tr>
      <w:tr w:rsidR="0000341F" w:rsidRPr="00354B76" w14:paraId="448FD862"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56724120" w14:textId="77777777" w:rsidR="0000341F" w:rsidRPr="00354B76" w:rsidRDefault="0000341F" w:rsidP="00354B76">
            <w:pPr>
              <w:pStyle w:val="TableText"/>
              <w:spacing w:before="0" w:after="0"/>
              <w:rPr>
                <w:sz w:val="16"/>
                <w:szCs w:val="16"/>
              </w:rPr>
            </w:pPr>
          </w:p>
        </w:tc>
        <w:tc>
          <w:tcPr>
            <w:tcW w:w="3527" w:type="dxa"/>
          </w:tcPr>
          <w:p w14:paraId="78395D23" w14:textId="4B61F2D9"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 xml:space="preserve">POLE MOUNTED ; &gt; 22 kV ;  &lt; = 60 kVA </w:t>
            </w:r>
          </w:p>
        </w:tc>
        <w:tc>
          <w:tcPr>
            <w:tcW w:w="2833" w:type="dxa"/>
          </w:tcPr>
          <w:p w14:paraId="4BB6F2DD" w14:textId="5B705DB0"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507B49">
              <w:rPr>
                <w:sz w:val="16"/>
                <w:szCs w:val="16"/>
              </w:rPr>
              <w:t xml:space="preserve">* As described </w:t>
            </w:r>
          </w:p>
        </w:tc>
      </w:tr>
      <w:tr w:rsidR="0000341F" w:rsidRPr="00354B76" w14:paraId="6548E527"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3A79DB97" w14:textId="77777777" w:rsidR="0000341F" w:rsidRPr="00354B76" w:rsidRDefault="0000341F" w:rsidP="00354B76">
            <w:pPr>
              <w:pStyle w:val="TableText"/>
              <w:spacing w:before="0" w:after="0"/>
              <w:rPr>
                <w:sz w:val="16"/>
                <w:szCs w:val="16"/>
              </w:rPr>
            </w:pPr>
          </w:p>
        </w:tc>
        <w:tc>
          <w:tcPr>
            <w:tcW w:w="3527" w:type="dxa"/>
          </w:tcPr>
          <w:p w14:paraId="6FE9F576" w14:textId="07AE5A83"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 xml:space="preserve">POLE MOUNTED ; &gt; 22 kV ;  &gt; 60 kVA AND &lt; = 600 kVA </w:t>
            </w:r>
          </w:p>
        </w:tc>
        <w:tc>
          <w:tcPr>
            <w:tcW w:w="2833" w:type="dxa"/>
          </w:tcPr>
          <w:p w14:paraId="7D7AA640" w14:textId="00C71583"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507B49">
              <w:rPr>
                <w:sz w:val="16"/>
                <w:szCs w:val="16"/>
              </w:rPr>
              <w:t xml:space="preserve">* As described </w:t>
            </w:r>
          </w:p>
        </w:tc>
      </w:tr>
      <w:tr w:rsidR="0000341F" w:rsidRPr="00354B76" w14:paraId="48A9917A"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085C4592" w14:textId="77777777" w:rsidR="0000341F" w:rsidRPr="00354B76" w:rsidRDefault="0000341F" w:rsidP="00354B76">
            <w:pPr>
              <w:pStyle w:val="TableText"/>
              <w:spacing w:before="0" w:after="0"/>
              <w:rPr>
                <w:sz w:val="16"/>
                <w:szCs w:val="16"/>
              </w:rPr>
            </w:pPr>
          </w:p>
        </w:tc>
        <w:tc>
          <w:tcPr>
            <w:tcW w:w="3527" w:type="dxa"/>
          </w:tcPr>
          <w:p w14:paraId="56E59A93" w14:textId="46D2F861"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POLE MOUNTED ; &gt; 22 kV ;  &gt; 600 kVA</w:t>
            </w:r>
          </w:p>
        </w:tc>
        <w:tc>
          <w:tcPr>
            <w:tcW w:w="2833" w:type="dxa"/>
          </w:tcPr>
          <w:p w14:paraId="4167DD82" w14:textId="7090FDA1"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507B49">
              <w:rPr>
                <w:sz w:val="16"/>
                <w:szCs w:val="16"/>
              </w:rPr>
              <w:t xml:space="preserve">* As described </w:t>
            </w:r>
          </w:p>
        </w:tc>
      </w:tr>
      <w:tr w:rsidR="0000341F" w:rsidRPr="00354B76" w14:paraId="4E619CA2"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414D8448" w14:textId="77777777" w:rsidR="0000341F" w:rsidRPr="00354B76" w:rsidRDefault="0000341F" w:rsidP="00354B76">
            <w:pPr>
              <w:pStyle w:val="TableText"/>
              <w:spacing w:before="0" w:after="0"/>
              <w:rPr>
                <w:sz w:val="16"/>
                <w:szCs w:val="16"/>
              </w:rPr>
            </w:pPr>
          </w:p>
        </w:tc>
        <w:tc>
          <w:tcPr>
            <w:tcW w:w="3527" w:type="dxa"/>
          </w:tcPr>
          <w:p w14:paraId="55D892D3" w14:textId="268F8233"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KIOSK MOUNTED ; &lt; = 22kV ;  &lt; = 60 kVA  ; MULTIPLE PHASE</w:t>
            </w:r>
          </w:p>
        </w:tc>
        <w:tc>
          <w:tcPr>
            <w:tcW w:w="2833" w:type="dxa"/>
          </w:tcPr>
          <w:p w14:paraId="70858C3B" w14:textId="055F0ECA"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507B49">
              <w:rPr>
                <w:sz w:val="16"/>
                <w:szCs w:val="16"/>
              </w:rPr>
              <w:t xml:space="preserve">* As described </w:t>
            </w:r>
          </w:p>
        </w:tc>
      </w:tr>
      <w:tr w:rsidR="0000341F" w:rsidRPr="00354B76" w14:paraId="09A126EB"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642782EA" w14:textId="77777777" w:rsidR="0000341F" w:rsidRPr="00354B76" w:rsidRDefault="0000341F" w:rsidP="00354B76">
            <w:pPr>
              <w:pStyle w:val="TableText"/>
              <w:spacing w:before="0" w:after="0"/>
              <w:rPr>
                <w:sz w:val="16"/>
                <w:szCs w:val="16"/>
              </w:rPr>
            </w:pPr>
          </w:p>
        </w:tc>
        <w:tc>
          <w:tcPr>
            <w:tcW w:w="3527" w:type="dxa"/>
          </w:tcPr>
          <w:p w14:paraId="5AD62DFD" w14:textId="6A8293A6"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KIOSK MOUNTED ; &lt; = 22kV ;  &gt; 60 kVA AND &lt; = 600 kVA  ; MULTIPLE PHASE</w:t>
            </w:r>
          </w:p>
        </w:tc>
        <w:tc>
          <w:tcPr>
            <w:tcW w:w="2833" w:type="dxa"/>
          </w:tcPr>
          <w:p w14:paraId="65AF1AB9" w14:textId="2AC71FA5"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507B49">
              <w:rPr>
                <w:sz w:val="16"/>
                <w:szCs w:val="16"/>
              </w:rPr>
              <w:t xml:space="preserve">* As described </w:t>
            </w:r>
          </w:p>
        </w:tc>
      </w:tr>
      <w:tr w:rsidR="0000341F" w:rsidRPr="00354B76" w14:paraId="40B2E2B6"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79D29156" w14:textId="77777777" w:rsidR="0000341F" w:rsidRPr="00354B76" w:rsidRDefault="0000341F" w:rsidP="00354B76">
            <w:pPr>
              <w:pStyle w:val="TableText"/>
              <w:spacing w:before="0" w:after="0"/>
              <w:rPr>
                <w:sz w:val="16"/>
                <w:szCs w:val="16"/>
              </w:rPr>
            </w:pPr>
          </w:p>
        </w:tc>
        <w:tc>
          <w:tcPr>
            <w:tcW w:w="3527" w:type="dxa"/>
          </w:tcPr>
          <w:p w14:paraId="1E1E9039" w14:textId="2E673F31"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KIOSK MOUNTED ; &lt; = 22kV ;  &gt; 600 kVA  ; MULTIPLE PHASE</w:t>
            </w:r>
          </w:p>
        </w:tc>
        <w:tc>
          <w:tcPr>
            <w:tcW w:w="2833" w:type="dxa"/>
          </w:tcPr>
          <w:p w14:paraId="158F977A" w14:textId="3415C2A0"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507B49">
              <w:rPr>
                <w:sz w:val="16"/>
                <w:szCs w:val="16"/>
              </w:rPr>
              <w:t xml:space="preserve">* As described </w:t>
            </w:r>
          </w:p>
        </w:tc>
      </w:tr>
      <w:tr w:rsidR="0000341F" w:rsidRPr="00354B76" w14:paraId="259AB25E"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4B3578C7" w14:textId="77777777" w:rsidR="0000341F" w:rsidRPr="00354B76" w:rsidRDefault="0000341F" w:rsidP="00354B76">
            <w:pPr>
              <w:pStyle w:val="TableText"/>
              <w:spacing w:before="0" w:after="0"/>
              <w:rPr>
                <w:sz w:val="16"/>
                <w:szCs w:val="16"/>
              </w:rPr>
            </w:pPr>
          </w:p>
        </w:tc>
        <w:tc>
          <w:tcPr>
            <w:tcW w:w="3527" w:type="dxa"/>
          </w:tcPr>
          <w:p w14:paraId="5D6744F4" w14:textId="49F00641"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 xml:space="preserve">KIOSK MOUNTED ; &gt; 22 kV ;  &lt; = 60 kVA </w:t>
            </w:r>
          </w:p>
        </w:tc>
        <w:tc>
          <w:tcPr>
            <w:tcW w:w="2833" w:type="dxa"/>
          </w:tcPr>
          <w:p w14:paraId="5DCD3C99" w14:textId="41D84B1E"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507B49">
              <w:rPr>
                <w:sz w:val="16"/>
                <w:szCs w:val="16"/>
              </w:rPr>
              <w:t xml:space="preserve">* As described </w:t>
            </w:r>
          </w:p>
        </w:tc>
      </w:tr>
      <w:tr w:rsidR="0000341F" w:rsidRPr="00354B76" w14:paraId="1808A6E9"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3B10A277" w14:textId="77777777" w:rsidR="0000341F" w:rsidRPr="00354B76" w:rsidRDefault="0000341F" w:rsidP="00354B76">
            <w:pPr>
              <w:pStyle w:val="TableText"/>
              <w:spacing w:before="0" w:after="0"/>
              <w:rPr>
                <w:sz w:val="16"/>
                <w:szCs w:val="16"/>
              </w:rPr>
            </w:pPr>
          </w:p>
        </w:tc>
        <w:tc>
          <w:tcPr>
            <w:tcW w:w="3527" w:type="dxa"/>
          </w:tcPr>
          <w:p w14:paraId="0835803B" w14:textId="182CC215"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 xml:space="preserve">KIOSK MOUNTED ; &gt; 22 kV ;  &gt; 60 kVA AND &lt; = 600 kVA </w:t>
            </w:r>
          </w:p>
        </w:tc>
        <w:tc>
          <w:tcPr>
            <w:tcW w:w="2833" w:type="dxa"/>
          </w:tcPr>
          <w:p w14:paraId="0785187A" w14:textId="21C69352"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507B49">
              <w:rPr>
                <w:sz w:val="16"/>
                <w:szCs w:val="16"/>
              </w:rPr>
              <w:t xml:space="preserve">* As described </w:t>
            </w:r>
          </w:p>
        </w:tc>
      </w:tr>
      <w:tr w:rsidR="0000341F" w:rsidRPr="00354B76" w14:paraId="597AFBA3"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4074CE13" w14:textId="77777777" w:rsidR="0000341F" w:rsidRPr="00354B76" w:rsidRDefault="0000341F" w:rsidP="00354B76">
            <w:pPr>
              <w:pStyle w:val="TableText"/>
              <w:spacing w:before="0" w:after="0"/>
              <w:rPr>
                <w:sz w:val="16"/>
                <w:szCs w:val="16"/>
              </w:rPr>
            </w:pPr>
          </w:p>
        </w:tc>
        <w:tc>
          <w:tcPr>
            <w:tcW w:w="3527" w:type="dxa"/>
          </w:tcPr>
          <w:p w14:paraId="5C12981A" w14:textId="081E6AA3"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KIOSK MOUNTED ; &gt; 22 kV ;  &gt; 600 kVA</w:t>
            </w:r>
          </w:p>
        </w:tc>
        <w:tc>
          <w:tcPr>
            <w:tcW w:w="2833" w:type="dxa"/>
          </w:tcPr>
          <w:p w14:paraId="5061F82F" w14:textId="5A0E66F6"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507B49">
              <w:rPr>
                <w:sz w:val="16"/>
                <w:szCs w:val="16"/>
              </w:rPr>
              <w:t xml:space="preserve">* As described </w:t>
            </w:r>
          </w:p>
        </w:tc>
      </w:tr>
      <w:tr w:rsidR="0000341F" w:rsidRPr="00354B76" w14:paraId="0F1CF819"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397745EC" w14:textId="77777777" w:rsidR="0000341F" w:rsidRPr="00354B76" w:rsidRDefault="0000341F" w:rsidP="00354B76">
            <w:pPr>
              <w:pStyle w:val="TableText"/>
              <w:spacing w:before="0" w:after="0"/>
              <w:rPr>
                <w:sz w:val="16"/>
                <w:szCs w:val="16"/>
              </w:rPr>
            </w:pPr>
          </w:p>
        </w:tc>
        <w:tc>
          <w:tcPr>
            <w:tcW w:w="3527" w:type="dxa"/>
          </w:tcPr>
          <w:p w14:paraId="2FC23219" w14:textId="11ED9BE0"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GROUND OUTDOOR / INDOOR CHAMBER MOUNTED ; ˂  22 kV ;  &lt; = 60 kVA ; MULTIPLE PHASE</w:t>
            </w:r>
          </w:p>
        </w:tc>
        <w:tc>
          <w:tcPr>
            <w:tcW w:w="2833" w:type="dxa"/>
          </w:tcPr>
          <w:p w14:paraId="4808A7DF" w14:textId="7590D1B7"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507B49">
              <w:rPr>
                <w:sz w:val="16"/>
                <w:szCs w:val="16"/>
              </w:rPr>
              <w:t xml:space="preserve">* As described </w:t>
            </w:r>
          </w:p>
        </w:tc>
      </w:tr>
      <w:tr w:rsidR="0000341F" w:rsidRPr="00354B76" w14:paraId="40DB1C2C"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5B114286" w14:textId="77777777" w:rsidR="0000341F" w:rsidRPr="00354B76" w:rsidRDefault="0000341F" w:rsidP="00354B76">
            <w:pPr>
              <w:pStyle w:val="TableText"/>
              <w:spacing w:before="0" w:after="0"/>
              <w:rPr>
                <w:sz w:val="16"/>
                <w:szCs w:val="16"/>
              </w:rPr>
            </w:pPr>
          </w:p>
        </w:tc>
        <w:tc>
          <w:tcPr>
            <w:tcW w:w="3527" w:type="dxa"/>
          </w:tcPr>
          <w:p w14:paraId="40320405" w14:textId="63819DBD"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GROUND OUTDOOR / INDOOR CHAMBER MOUNTED ; ˂  22 kV ;  &gt; 60 kVA  AND &lt; = 600 kVA ; MULTIPLE PHASE</w:t>
            </w:r>
          </w:p>
        </w:tc>
        <w:tc>
          <w:tcPr>
            <w:tcW w:w="2833" w:type="dxa"/>
          </w:tcPr>
          <w:p w14:paraId="59D0F886" w14:textId="4FCA5E54"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507B49">
              <w:rPr>
                <w:sz w:val="16"/>
                <w:szCs w:val="16"/>
              </w:rPr>
              <w:t xml:space="preserve">* As described </w:t>
            </w:r>
          </w:p>
        </w:tc>
      </w:tr>
      <w:tr w:rsidR="0000341F" w:rsidRPr="00354B76" w14:paraId="2AE101EC"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5D3F6FB4" w14:textId="77777777" w:rsidR="0000341F" w:rsidRPr="00354B76" w:rsidRDefault="0000341F" w:rsidP="00354B76">
            <w:pPr>
              <w:pStyle w:val="TableText"/>
              <w:spacing w:before="0" w:after="0"/>
              <w:rPr>
                <w:sz w:val="16"/>
                <w:szCs w:val="16"/>
              </w:rPr>
            </w:pPr>
          </w:p>
        </w:tc>
        <w:tc>
          <w:tcPr>
            <w:tcW w:w="3527" w:type="dxa"/>
          </w:tcPr>
          <w:p w14:paraId="65AD2D45" w14:textId="7E8D52CB"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GROUND OUTDOOR / INDOOR CHAMBER MOUNTED ; ˂  22 kV ;  &gt;  600 kVA ; MULTIPLE PHASE</w:t>
            </w:r>
          </w:p>
        </w:tc>
        <w:tc>
          <w:tcPr>
            <w:tcW w:w="2833" w:type="dxa"/>
          </w:tcPr>
          <w:p w14:paraId="3FAEAAF3" w14:textId="2191984E"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507B49">
              <w:rPr>
                <w:sz w:val="16"/>
                <w:szCs w:val="16"/>
              </w:rPr>
              <w:t xml:space="preserve">* As described </w:t>
            </w:r>
          </w:p>
        </w:tc>
      </w:tr>
      <w:tr w:rsidR="0000341F" w:rsidRPr="00354B76" w14:paraId="3282F0EF"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2F698924" w14:textId="77777777" w:rsidR="0000341F" w:rsidRPr="00354B76" w:rsidRDefault="0000341F" w:rsidP="00354B76">
            <w:pPr>
              <w:pStyle w:val="TableText"/>
              <w:spacing w:before="0" w:after="0"/>
              <w:rPr>
                <w:sz w:val="16"/>
                <w:szCs w:val="16"/>
              </w:rPr>
            </w:pPr>
          </w:p>
        </w:tc>
        <w:tc>
          <w:tcPr>
            <w:tcW w:w="3527" w:type="dxa"/>
          </w:tcPr>
          <w:p w14:paraId="7EBEE771" w14:textId="0EAE2E9C"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GROUND OUTDOOR / INDOOR CHAMBER MOUNTED ; &gt; = 22 kV &amp; &lt; = 33 kV ;  &lt; = 15 MVA</w:t>
            </w:r>
          </w:p>
        </w:tc>
        <w:tc>
          <w:tcPr>
            <w:tcW w:w="2833" w:type="dxa"/>
          </w:tcPr>
          <w:p w14:paraId="7CC1D12F" w14:textId="698CAF5E"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507B49">
              <w:rPr>
                <w:sz w:val="16"/>
                <w:szCs w:val="16"/>
              </w:rPr>
              <w:t xml:space="preserve">* As described </w:t>
            </w:r>
          </w:p>
        </w:tc>
      </w:tr>
      <w:tr w:rsidR="0000341F" w:rsidRPr="00354B76" w14:paraId="14FE2D35"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5AEEA195" w14:textId="77777777" w:rsidR="0000341F" w:rsidRPr="00354B76" w:rsidRDefault="0000341F" w:rsidP="00354B76">
            <w:pPr>
              <w:pStyle w:val="TableText"/>
              <w:spacing w:before="0" w:after="0"/>
              <w:rPr>
                <w:sz w:val="16"/>
                <w:szCs w:val="16"/>
              </w:rPr>
            </w:pPr>
          </w:p>
        </w:tc>
        <w:tc>
          <w:tcPr>
            <w:tcW w:w="3527" w:type="dxa"/>
          </w:tcPr>
          <w:p w14:paraId="0FB9B217" w14:textId="4B3EC9B3"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GROUND OUTDOOR / INDOOR CHAMBER MOUNTED ; &gt; = 22 kV &amp; &lt; = 33 kV ;  &gt; 15 MVA AND &lt; = 40 MVA</w:t>
            </w:r>
          </w:p>
        </w:tc>
        <w:tc>
          <w:tcPr>
            <w:tcW w:w="2833" w:type="dxa"/>
          </w:tcPr>
          <w:p w14:paraId="61F1D17A" w14:textId="55308A7B"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507B49">
              <w:rPr>
                <w:sz w:val="16"/>
                <w:szCs w:val="16"/>
              </w:rPr>
              <w:t xml:space="preserve">* As described </w:t>
            </w:r>
          </w:p>
        </w:tc>
      </w:tr>
      <w:tr w:rsidR="0000341F" w:rsidRPr="00354B76" w14:paraId="6FCD3EB9"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6FA1343E" w14:textId="77777777" w:rsidR="0000341F" w:rsidRPr="00354B76" w:rsidRDefault="0000341F" w:rsidP="00354B76">
            <w:pPr>
              <w:pStyle w:val="TableText"/>
              <w:spacing w:before="0" w:after="0"/>
              <w:rPr>
                <w:sz w:val="16"/>
                <w:szCs w:val="16"/>
              </w:rPr>
            </w:pPr>
          </w:p>
        </w:tc>
        <w:tc>
          <w:tcPr>
            <w:tcW w:w="3527" w:type="dxa"/>
          </w:tcPr>
          <w:p w14:paraId="165E0F55" w14:textId="42CCA641"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GROUND OUTDOOR / INDOOR CHAMBER MOUNTED ; &gt; = 22 kV &amp; &lt; = 33 kV ;  &gt; 40 MVA</w:t>
            </w:r>
          </w:p>
        </w:tc>
        <w:tc>
          <w:tcPr>
            <w:tcW w:w="2833" w:type="dxa"/>
          </w:tcPr>
          <w:p w14:paraId="317EFD6E" w14:textId="423D68A6"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507B49">
              <w:rPr>
                <w:sz w:val="16"/>
                <w:szCs w:val="16"/>
              </w:rPr>
              <w:t xml:space="preserve">* As described </w:t>
            </w:r>
          </w:p>
        </w:tc>
      </w:tr>
      <w:tr w:rsidR="0000341F" w:rsidRPr="00354B76" w14:paraId="139896CF"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3C277B5E" w14:textId="77777777" w:rsidR="0000341F" w:rsidRPr="00354B76" w:rsidRDefault="0000341F" w:rsidP="00354B76">
            <w:pPr>
              <w:pStyle w:val="TableText"/>
              <w:spacing w:before="0" w:after="0"/>
              <w:rPr>
                <w:sz w:val="16"/>
                <w:szCs w:val="16"/>
              </w:rPr>
            </w:pPr>
          </w:p>
        </w:tc>
        <w:tc>
          <w:tcPr>
            <w:tcW w:w="3527" w:type="dxa"/>
          </w:tcPr>
          <w:p w14:paraId="51B48A3B" w14:textId="4012D75E"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GROUND OUTDOOR / INDOOR CHAMBER MOUNTED ; &gt; 33 kV &amp; &lt; = 66 kV ;  &gt; 15 MVA AND &lt; = 40 MVA</w:t>
            </w:r>
          </w:p>
        </w:tc>
        <w:tc>
          <w:tcPr>
            <w:tcW w:w="2833" w:type="dxa"/>
          </w:tcPr>
          <w:p w14:paraId="1627E568" w14:textId="48E48B96"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507B49">
              <w:rPr>
                <w:sz w:val="16"/>
                <w:szCs w:val="16"/>
              </w:rPr>
              <w:t xml:space="preserve">* As described </w:t>
            </w:r>
          </w:p>
        </w:tc>
      </w:tr>
      <w:tr w:rsidR="0000341F" w:rsidRPr="00354B76" w14:paraId="57600F24"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3B340BD0" w14:textId="77777777" w:rsidR="0000341F" w:rsidRPr="00354B76" w:rsidRDefault="0000341F" w:rsidP="00354B76">
            <w:pPr>
              <w:pStyle w:val="TableText"/>
              <w:spacing w:before="0" w:after="0"/>
              <w:rPr>
                <w:sz w:val="16"/>
                <w:szCs w:val="16"/>
              </w:rPr>
            </w:pPr>
          </w:p>
        </w:tc>
        <w:tc>
          <w:tcPr>
            <w:tcW w:w="3527" w:type="dxa"/>
          </w:tcPr>
          <w:p w14:paraId="56B5EF92" w14:textId="2DDCFD21"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GROUND OUTDOOR / INDOOR CHAMBER MOUNTED ; &gt; 66 kV &amp; &lt; = 132 kV ;  &lt; = 100 MVA</w:t>
            </w:r>
          </w:p>
        </w:tc>
        <w:tc>
          <w:tcPr>
            <w:tcW w:w="2833" w:type="dxa"/>
          </w:tcPr>
          <w:p w14:paraId="1CB4990B" w14:textId="02CBC6D2"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507B49">
              <w:rPr>
                <w:sz w:val="16"/>
                <w:szCs w:val="16"/>
              </w:rPr>
              <w:t xml:space="preserve">* As described </w:t>
            </w:r>
          </w:p>
        </w:tc>
      </w:tr>
      <w:tr w:rsidR="0000341F" w:rsidRPr="00354B76" w14:paraId="5951454D"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46C965B5" w14:textId="77777777" w:rsidR="0000341F" w:rsidRPr="00354B76" w:rsidRDefault="0000341F" w:rsidP="00354B76">
            <w:pPr>
              <w:pStyle w:val="TableText"/>
              <w:spacing w:before="0" w:after="0"/>
              <w:rPr>
                <w:sz w:val="16"/>
                <w:szCs w:val="16"/>
              </w:rPr>
            </w:pPr>
          </w:p>
        </w:tc>
        <w:tc>
          <w:tcPr>
            <w:tcW w:w="3527" w:type="dxa"/>
          </w:tcPr>
          <w:p w14:paraId="374FB78E" w14:textId="11E79583"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GROUND OUTDOOR / INDOOR CHAMBER MOUNTED ; &gt; 66 kV &amp; &lt; = 132 kV ;  &gt; 100 MVA</w:t>
            </w:r>
          </w:p>
        </w:tc>
        <w:tc>
          <w:tcPr>
            <w:tcW w:w="2833" w:type="dxa"/>
          </w:tcPr>
          <w:p w14:paraId="0841A485" w14:textId="5E972B26"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507B49">
              <w:rPr>
                <w:sz w:val="16"/>
                <w:szCs w:val="16"/>
              </w:rPr>
              <w:t xml:space="preserve">* As described </w:t>
            </w:r>
          </w:p>
        </w:tc>
      </w:tr>
      <w:tr w:rsidR="0000341F" w:rsidRPr="00354B76" w14:paraId="5C1FB8EB"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val="restart"/>
          </w:tcPr>
          <w:p w14:paraId="09896701" w14:textId="77777777" w:rsidR="0000341F" w:rsidRPr="00354B76" w:rsidRDefault="0000341F" w:rsidP="00354B76">
            <w:pPr>
              <w:pStyle w:val="TableText"/>
              <w:spacing w:before="0" w:after="0"/>
              <w:rPr>
                <w:sz w:val="16"/>
                <w:szCs w:val="16"/>
              </w:rPr>
            </w:pPr>
            <w:r w:rsidRPr="00354B76">
              <w:rPr>
                <w:sz w:val="16"/>
                <w:szCs w:val="16"/>
              </w:rPr>
              <w:t xml:space="preserve">"SWITCHGEAR BY: </w:t>
            </w:r>
          </w:p>
          <w:p w14:paraId="5FC25DC1" w14:textId="77414B21" w:rsidR="0000341F" w:rsidRPr="00354B76" w:rsidRDefault="0000341F" w:rsidP="00354B76">
            <w:pPr>
              <w:pStyle w:val="TableText"/>
              <w:spacing w:before="0" w:after="0"/>
              <w:rPr>
                <w:sz w:val="16"/>
                <w:szCs w:val="16"/>
              </w:rPr>
            </w:pPr>
            <w:r w:rsidRPr="00354B76">
              <w:rPr>
                <w:sz w:val="16"/>
                <w:szCs w:val="16"/>
              </w:rPr>
              <w:t>HIGHEST OPERATING VOLTAGE ; SWITCH FUNCTION"</w:t>
            </w:r>
          </w:p>
        </w:tc>
        <w:tc>
          <w:tcPr>
            <w:tcW w:w="3527" w:type="dxa"/>
          </w:tcPr>
          <w:p w14:paraId="3E939000" w14:textId="77777777"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p>
        </w:tc>
        <w:tc>
          <w:tcPr>
            <w:tcW w:w="2833" w:type="dxa"/>
          </w:tcPr>
          <w:p w14:paraId="3E083681" w14:textId="77777777" w:rsidR="0000341F" w:rsidRPr="00507B49"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p>
        </w:tc>
      </w:tr>
      <w:tr w:rsidR="0000341F" w:rsidRPr="00354B76" w14:paraId="6B6C5B26"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4DA29448" w14:textId="7E8D3078" w:rsidR="0000341F" w:rsidRPr="00354B76" w:rsidRDefault="0000341F" w:rsidP="00354B76">
            <w:pPr>
              <w:pStyle w:val="TableText"/>
              <w:spacing w:before="0" w:after="0"/>
              <w:rPr>
                <w:sz w:val="16"/>
                <w:szCs w:val="16"/>
              </w:rPr>
            </w:pPr>
          </w:p>
        </w:tc>
        <w:tc>
          <w:tcPr>
            <w:tcW w:w="3527" w:type="dxa"/>
          </w:tcPr>
          <w:p w14:paraId="711F6AB1" w14:textId="0A5A96AE"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 = 11 kV  ; SWITCH</w:t>
            </w:r>
          </w:p>
        </w:tc>
        <w:tc>
          <w:tcPr>
            <w:tcW w:w="2833" w:type="dxa"/>
            <w:vMerge w:val="restart"/>
          </w:tcPr>
          <w:p w14:paraId="5D4CEEA7" w14:textId="0A8F3DC1"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CF1D67">
              <w:rPr>
                <w:sz w:val="16"/>
                <w:szCs w:val="16"/>
              </w:rPr>
              <w:t>The operational switch asset group has been defined as all other switches found within the Energex network, which includes the asset types: airbrake, disk link, link pillar, isolator, switch fuse, dropout, earth switch, fuse switch, sectionaliser, load transfer switch, ring main unit, link pillar and disconnect box.</w:t>
            </w:r>
          </w:p>
        </w:tc>
      </w:tr>
      <w:tr w:rsidR="0000341F" w:rsidRPr="00354B76" w14:paraId="00AE57BF"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42426FD2" w14:textId="29D787BE" w:rsidR="0000341F" w:rsidRPr="00354B76" w:rsidRDefault="0000341F" w:rsidP="00354B76">
            <w:pPr>
              <w:pStyle w:val="TableText"/>
              <w:spacing w:before="0" w:after="0"/>
              <w:rPr>
                <w:sz w:val="16"/>
                <w:szCs w:val="16"/>
              </w:rPr>
            </w:pPr>
          </w:p>
        </w:tc>
        <w:tc>
          <w:tcPr>
            <w:tcW w:w="3527" w:type="dxa"/>
          </w:tcPr>
          <w:p w14:paraId="09C8ACB3" w14:textId="66E652F0"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&gt; 11 kV &amp; &lt; = 22 kV  ; SWITCH</w:t>
            </w:r>
          </w:p>
        </w:tc>
        <w:tc>
          <w:tcPr>
            <w:tcW w:w="2833" w:type="dxa"/>
            <w:vMerge/>
          </w:tcPr>
          <w:p w14:paraId="72960798" w14:textId="6D2048A1"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p>
        </w:tc>
      </w:tr>
      <w:tr w:rsidR="0000341F" w:rsidRPr="00354B76" w14:paraId="130EDF68"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42C036E0" w14:textId="77777777" w:rsidR="0000341F" w:rsidRPr="00354B76" w:rsidRDefault="0000341F" w:rsidP="00354B76">
            <w:pPr>
              <w:pStyle w:val="TableText"/>
              <w:spacing w:before="0" w:after="0"/>
              <w:rPr>
                <w:sz w:val="16"/>
                <w:szCs w:val="16"/>
              </w:rPr>
            </w:pPr>
          </w:p>
        </w:tc>
        <w:tc>
          <w:tcPr>
            <w:tcW w:w="3527" w:type="dxa"/>
          </w:tcPr>
          <w:p w14:paraId="630609A9" w14:textId="16258279"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&gt; 22 kV &amp; &lt; = 33 kV ; SWITCH</w:t>
            </w:r>
          </w:p>
        </w:tc>
        <w:tc>
          <w:tcPr>
            <w:tcW w:w="2833" w:type="dxa"/>
            <w:vMerge/>
          </w:tcPr>
          <w:p w14:paraId="79AD93E0" w14:textId="169ABF7E" w:rsidR="0000341F" w:rsidRPr="00354B76" w:rsidRDefault="0000341F" w:rsidP="00CF1D67">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p>
        </w:tc>
      </w:tr>
      <w:tr w:rsidR="0000341F" w:rsidRPr="00354B76" w14:paraId="0105DEBD"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1A4BA953" w14:textId="77777777" w:rsidR="0000341F" w:rsidRPr="00354B76" w:rsidRDefault="0000341F" w:rsidP="00354B76">
            <w:pPr>
              <w:pStyle w:val="TableText"/>
              <w:spacing w:before="0" w:after="0"/>
              <w:rPr>
                <w:sz w:val="16"/>
                <w:szCs w:val="16"/>
              </w:rPr>
            </w:pPr>
          </w:p>
        </w:tc>
        <w:tc>
          <w:tcPr>
            <w:tcW w:w="3527" w:type="dxa"/>
          </w:tcPr>
          <w:p w14:paraId="63ABA519" w14:textId="66B4C58B"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&gt; 33 kV &amp; &lt; = 66 kV ; SWITCH</w:t>
            </w:r>
          </w:p>
        </w:tc>
        <w:tc>
          <w:tcPr>
            <w:tcW w:w="2833" w:type="dxa"/>
            <w:vMerge/>
          </w:tcPr>
          <w:p w14:paraId="4AE9A904" w14:textId="77777777"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p>
        </w:tc>
      </w:tr>
      <w:tr w:rsidR="0000341F" w:rsidRPr="00354B76" w14:paraId="031D2BBE" w14:textId="77777777" w:rsidTr="0000341F">
        <w:trPr>
          <w:cnfStyle w:val="000000100000" w:firstRow="0" w:lastRow="0" w:firstColumn="0" w:lastColumn="0" w:oddVBand="0" w:evenVBand="0" w:oddHBand="1" w:evenHBand="0" w:firstRowFirstColumn="0" w:firstRowLastColumn="0" w:lastRowFirstColumn="0" w:lastRowLastColumn="0"/>
          <w:cantSplit/>
          <w:trHeight w:val="592"/>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6C46F946" w14:textId="77777777" w:rsidR="0000341F" w:rsidRPr="00354B76" w:rsidRDefault="0000341F" w:rsidP="00354B76">
            <w:pPr>
              <w:pStyle w:val="TableText"/>
              <w:spacing w:before="0" w:after="0"/>
              <w:rPr>
                <w:sz w:val="16"/>
                <w:szCs w:val="16"/>
              </w:rPr>
            </w:pPr>
          </w:p>
        </w:tc>
        <w:tc>
          <w:tcPr>
            <w:tcW w:w="3527" w:type="dxa"/>
          </w:tcPr>
          <w:p w14:paraId="79D5D362" w14:textId="0B9936E8"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&gt; 66 kV &amp; &lt; = 132 kV ; SWITCH</w:t>
            </w:r>
          </w:p>
        </w:tc>
        <w:tc>
          <w:tcPr>
            <w:tcW w:w="2833" w:type="dxa"/>
            <w:vMerge/>
          </w:tcPr>
          <w:p w14:paraId="1B1B5874" w14:textId="77777777"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p>
        </w:tc>
      </w:tr>
      <w:tr w:rsidR="0000341F" w:rsidRPr="00354B76" w14:paraId="5C0ADC91"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6456D153" w14:textId="77777777" w:rsidR="0000341F" w:rsidRPr="00354B76" w:rsidRDefault="0000341F" w:rsidP="00354B76">
            <w:pPr>
              <w:pStyle w:val="TableText"/>
              <w:spacing w:before="0" w:after="0"/>
              <w:rPr>
                <w:sz w:val="16"/>
                <w:szCs w:val="16"/>
              </w:rPr>
            </w:pPr>
          </w:p>
        </w:tc>
        <w:tc>
          <w:tcPr>
            <w:tcW w:w="3527" w:type="dxa"/>
          </w:tcPr>
          <w:p w14:paraId="71A95689" w14:textId="7D98DF69"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 = 11 kV ;  CIRCUIT BREAKER</w:t>
            </w:r>
          </w:p>
        </w:tc>
        <w:tc>
          <w:tcPr>
            <w:tcW w:w="2833" w:type="dxa"/>
            <w:vMerge w:val="restart"/>
          </w:tcPr>
          <w:p w14:paraId="0869C081" w14:textId="49B1000B"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CF1D67">
              <w:rPr>
                <w:sz w:val="16"/>
                <w:szCs w:val="16"/>
              </w:rPr>
              <w:t>The circuit breaker asset category has been defined as all circuit breakers and reclosers within the Energex network, excluding circuit breakers that form part of a ring main unit.</w:t>
            </w:r>
          </w:p>
        </w:tc>
      </w:tr>
      <w:tr w:rsidR="0000341F" w:rsidRPr="00354B76" w14:paraId="4FE28DB9"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0F2DD576" w14:textId="77777777" w:rsidR="0000341F" w:rsidRPr="00354B76" w:rsidRDefault="0000341F" w:rsidP="00354B76">
            <w:pPr>
              <w:pStyle w:val="TableText"/>
              <w:spacing w:before="0" w:after="0"/>
              <w:rPr>
                <w:sz w:val="16"/>
                <w:szCs w:val="16"/>
              </w:rPr>
            </w:pPr>
          </w:p>
        </w:tc>
        <w:tc>
          <w:tcPr>
            <w:tcW w:w="3527" w:type="dxa"/>
          </w:tcPr>
          <w:p w14:paraId="6C62D1F4" w14:textId="6CBFBA2D"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&gt; 11 kV &amp; &lt; = 22 kV  ; CIRCUIT BREAKER</w:t>
            </w:r>
          </w:p>
        </w:tc>
        <w:tc>
          <w:tcPr>
            <w:tcW w:w="2833" w:type="dxa"/>
            <w:vMerge/>
          </w:tcPr>
          <w:p w14:paraId="261D5F6D" w14:textId="77777777"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p>
        </w:tc>
      </w:tr>
      <w:tr w:rsidR="0000341F" w:rsidRPr="00354B76" w14:paraId="704CA363"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404310E3" w14:textId="77777777" w:rsidR="0000341F" w:rsidRPr="00354B76" w:rsidRDefault="0000341F" w:rsidP="00354B76">
            <w:pPr>
              <w:pStyle w:val="TableText"/>
              <w:spacing w:before="0" w:after="0"/>
              <w:rPr>
                <w:sz w:val="16"/>
                <w:szCs w:val="16"/>
              </w:rPr>
            </w:pPr>
          </w:p>
        </w:tc>
        <w:tc>
          <w:tcPr>
            <w:tcW w:w="3527" w:type="dxa"/>
          </w:tcPr>
          <w:p w14:paraId="67EBA277" w14:textId="125633EE"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&gt; 22 kV &amp; &lt; = 33 kV ; CIRCUIT BREAKER</w:t>
            </w:r>
          </w:p>
        </w:tc>
        <w:tc>
          <w:tcPr>
            <w:tcW w:w="2833" w:type="dxa"/>
            <w:vMerge/>
          </w:tcPr>
          <w:p w14:paraId="55C48C71" w14:textId="77777777"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p>
        </w:tc>
      </w:tr>
      <w:tr w:rsidR="0000341F" w:rsidRPr="00354B76" w14:paraId="104207F9"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7B4F5A3B" w14:textId="77777777" w:rsidR="0000341F" w:rsidRPr="00354B76" w:rsidRDefault="0000341F" w:rsidP="00354B76">
            <w:pPr>
              <w:pStyle w:val="TableText"/>
              <w:spacing w:before="0" w:after="0"/>
              <w:rPr>
                <w:sz w:val="16"/>
                <w:szCs w:val="16"/>
              </w:rPr>
            </w:pPr>
          </w:p>
        </w:tc>
        <w:tc>
          <w:tcPr>
            <w:tcW w:w="3527" w:type="dxa"/>
          </w:tcPr>
          <w:p w14:paraId="2E457C73" w14:textId="45F431D2"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&gt; 33 kV &amp; &lt; = 66 kV ; CIRCUIT BREAKER</w:t>
            </w:r>
          </w:p>
        </w:tc>
        <w:tc>
          <w:tcPr>
            <w:tcW w:w="2833" w:type="dxa"/>
            <w:vMerge/>
          </w:tcPr>
          <w:p w14:paraId="3AC41AB9" w14:textId="77777777"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p>
        </w:tc>
      </w:tr>
      <w:tr w:rsidR="0000341F" w:rsidRPr="00354B76" w14:paraId="54D31D26" w14:textId="77777777" w:rsidTr="0000341F">
        <w:trPr>
          <w:cnfStyle w:val="000000010000" w:firstRow="0" w:lastRow="0" w:firstColumn="0" w:lastColumn="0" w:oddVBand="0" w:evenVBand="0" w:oddHBand="0" w:evenHBand="1" w:firstRowFirstColumn="0" w:firstRowLastColumn="0" w:lastRowFirstColumn="0" w:lastRowLastColumn="0"/>
          <w:cantSplit/>
          <w:trHeight w:val="417"/>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5FB495B3" w14:textId="77777777" w:rsidR="0000341F" w:rsidRPr="00354B76" w:rsidRDefault="0000341F" w:rsidP="00354B76">
            <w:pPr>
              <w:pStyle w:val="TableText"/>
              <w:spacing w:before="0" w:after="0"/>
              <w:rPr>
                <w:sz w:val="16"/>
                <w:szCs w:val="16"/>
              </w:rPr>
            </w:pPr>
          </w:p>
        </w:tc>
        <w:tc>
          <w:tcPr>
            <w:tcW w:w="3527" w:type="dxa"/>
          </w:tcPr>
          <w:p w14:paraId="2DDFD151" w14:textId="0669DBB7"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&gt; 66 kV &amp; &lt; = 132 kV  ; CIRCUIT BREAKER</w:t>
            </w:r>
          </w:p>
        </w:tc>
        <w:tc>
          <w:tcPr>
            <w:tcW w:w="2833" w:type="dxa"/>
            <w:vMerge/>
          </w:tcPr>
          <w:p w14:paraId="7E6DC95E" w14:textId="77777777"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p>
        </w:tc>
      </w:tr>
      <w:tr w:rsidR="0000341F" w:rsidRPr="00354B76" w14:paraId="2ECFB4D8"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val="restart"/>
          </w:tcPr>
          <w:p w14:paraId="75BCE13D" w14:textId="77777777" w:rsidR="0000341F" w:rsidRPr="00354B76" w:rsidRDefault="0000341F" w:rsidP="00354B76">
            <w:pPr>
              <w:pStyle w:val="TableText"/>
              <w:spacing w:before="0" w:after="0"/>
              <w:rPr>
                <w:sz w:val="16"/>
                <w:szCs w:val="16"/>
              </w:rPr>
            </w:pPr>
            <w:r w:rsidRPr="00354B76">
              <w:rPr>
                <w:sz w:val="16"/>
                <w:szCs w:val="16"/>
              </w:rPr>
              <w:t xml:space="preserve">"PUBLIC LIGHTING BY: </w:t>
            </w:r>
          </w:p>
          <w:p w14:paraId="1C399FB0" w14:textId="6A19D419" w:rsidR="0000341F" w:rsidRPr="00354B76" w:rsidRDefault="0000341F" w:rsidP="00354B76">
            <w:pPr>
              <w:pStyle w:val="TableText"/>
              <w:spacing w:before="0" w:after="0"/>
              <w:rPr>
                <w:sz w:val="16"/>
                <w:szCs w:val="16"/>
              </w:rPr>
            </w:pPr>
            <w:r w:rsidRPr="00354B76">
              <w:rPr>
                <w:sz w:val="16"/>
                <w:szCs w:val="16"/>
              </w:rPr>
              <w:t>ASSET TYPE ; LIGHTING OBLIGATION"</w:t>
            </w:r>
          </w:p>
        </w:tc>
        <w:tc>
          <w:tcPr>
            <w:tcW w:w="3527" w:type="dxa"/>
          </w:tcPr>
          <w:p w14:paraId="69AFE7B8" w14:textId="77777777"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p>
        </w:tc>
        <w:tc>
          <w:tcPr>
            <w:tcW w:w="2833" w:type="dxa"/>
          </w:tcPr>
          <w:p w14:paraId="1C59744F" w14:textId="77777777"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p>
        </w:tc>
      </w:tr>
      <w:tr w:rsidR="0000341F" w:rsidRPr="00354B76" w14:paraId="054AEE35"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4BCFBE49" w14:textId="503E0118" w:rsidR="0000341F" w:rsidRPr="00354B76" w:rsidRDefault="0000341F" w:rsidP="00354B76">
            <w:pPr>
              <w:pStyle w:val="TableText"/>
              <w:spacing w:before="0" w:after="0"/>
              <w:rPr>
                <w:sz w:val="16"/>
                <w:szCs w:val="16"/>
              </w:rPr>
            </w:pPr>
          </w:p>
        </w:tc>
        <w:tc>
          <w:tcPr>
            <w:tcW w:w="3527" w:type="dxa"/>
          </w:tcPr>
          <w:p w14:paraId="7BC3CF9B" w14:textId="7B68D693"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LUMINAIRES ;  MAJOR ROAD</w:t>
            </w:r>
          </w:p>
        </w:tc>
        <w:tc>
          <w:tcPr>
            <w:tcW w:w="2833" w:type="dxa"/>
          </w:tcPr>
          <w:p w14:paraId="22006C64" w14:textId="63631BF8"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765605">
              <w:rPr>
                <w:sz w:val="16"/>
                <w:szCs w:val="16"/>
              </w:rPr>
              <w:t xml:space="preserve">* As described </w:t>
            </w:r>
          </w:p>
        </w:tc>
      </w:tr>
      <w:tr w:rsidR="0000341F" w:rsidRPr="00354B76" w14:paraId="6CF80474"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36873DD0" w14:textId="77777777" w:rsidR="0000341F" w:rsidRPr="00354B76" w:rsidRDefault="0000341F" w:rsidP="00354B76">
            <w:pPr>
              <w:pStyle w:val="TableText"/>
              <w:spacing w:before="0" w:after="0"/>
              <w:rPr>
                <w:sz w:val="16"/>
                <w:szCs w:val="16"/>
              </w:rPr>
            </w:pPr>
          </w:p>
        </w:tc>
        <w:tc>
          <w:tcPr>
            <w:tcW w:w="3527" w:type="dxa"/>
          </w:tcPr>
          <w:p w14:paraId="7D5B2242" w14:textId="7FFCCB12"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LUMINAIRES ;  MINOR ROAD</w:t>
            </w:r>
          </w:p>
        </w:tc>
        <w:tc>
          <w:tcPr>
            <w:tcW w:w="2833" w:type="dxa"/>
          </w:tcPr>
          <w:p w14:paraId="2C3E4C0B" w14:textId="6C34DB8C"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765605">
              <w:rPr>
                <w:sz w:val="16"/>
                <w:szCs w:val="16"/>
              </w:rPr>
              <w:t xml:space="preserve">* As described </w:t>
            </w:r>
          </w:p>
        </w:tc>
      </w:tr>
      <w:tr w:rsidR="0000341F" w:rsidRPr="00354B76" w14:paraId="074A97B3"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46896293" w14:textId="77777777" w:rsidR="0000341F" w:rsidRPr="00354B76" w:rsidRDefault="0000341F" w:rsidP="00354B76">
            <w:pPr>
              <w:pStyle w:val="TableText"/>
              <w:spacing w:before="0" w:after="0"/>
              <w:rPr>
                <w:sz w:val="16"/>
                <w:szCs w:val="16"/>
              </w:rPr>
            </w:pPr>
          </w:p>
        </w:tc>
        <w:tc>
          <w:tcPr>
            <w:tcW w:w="3527" w:type="dxa"/>
          </w:tcPr>
          <w:p w14:paraId="1F978150" w14:textId="2007738B"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BRACKETS ; MAJOR ROAD</w:t>
            </w:r>
          </w:p>
        </w:tc>
        <w:tc>
          <w:tcPr>
            <w:tcW w:w="2833" w:type="dxa"/>
          </w:tcPr>
          <w:p w14:paraId="1248A0B9" w14:textId="42D77DA0"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765605">
              <w:rPr>
                <w:sz w:val="16"/>
                <w:szCs w:val="16"/>
              </w:rPr>
              <w:t xml:space="preserve">* As described </w:t>
            </w:r>
          </w:p>
        </w:tc>
      </w:tr>
      <w:tr w:rsidR="0000341F" w:rsidRPr="00354B76" w14:paraId="7499670E"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5E7DD0B3" w14:textId="77777777" w:rsidR="0000341F" w:rsidRPr="00354B76" w:rsidRDefault="0000341F" w:rsidP="00354B76">
            <w:pPr>
              <w:pStyle w:val="TableText"/>
              <w:spacing w:before="0" w:after="0"/>
              <w:rPr>
                <w:sz w:val="16"/>
                <w:szCs w:val="16"/>
              </w:rPr>
            </w:pPr>
          </w:p>
        </w:tc>
        <w:tc>
          <w:tcPr>
            <w:tcW w:w="3527" w:type="dxa"/>
          </w:tcPr>
          <w:p w14:paraId="1BBC4111" w14:textId="58E854AA"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BRACKETS ; MINOR ROAD</w:t>
            </w:r>
          </w:p>
        </w:tc>
        <w:tc>
          <w:tcPr>
            <w:tcW w:w="2833" w:type="dxa"/>
          </w:tcPr>
          <w:p w14:paraId="2018DB15" w14:textId="5FFB2F07"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765605">
              <w:rPr>
                <w:sz w:val="16"/>
                <w:szCs w:val="16"/>
              </w:rPr>
              <w:t xml:space="preserve">* As described </w:t>
            </w:r>
          </w:p>
        </w:tc>
      </w:tr>
      <w:tr w:rsidR="0000341F" w:rsidRPr="00354B76" w14:paraId="330DF1B8"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77E25DBC" w14:textId="77777777" w:rsidR="0000341F" w:rsidRPr="00354B76" w:rsidRDefault="0000341F" w:rsidP="00354B76">
            <w:pPr>
              <w:pStyle w:val="TableText"/>
              <w:spacing w:before="0" w:after="0"/>
              <w:rPr>
                <w:sz w:val="16"/>
                <w:szCs w:val="16"/>
              </w:rPr>
            </w:pPr>
          </w:p>
        </w:tc>
        <w:tc>
          <w:tcPr>
            <w:tcW w:w="3527" w:type="dxa"/>
          </w:tcPr>
          <w:p w14:paraId="4232FB58" w14:textId="6404EE4C"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LAMPS ; MAJOR ROAD</w:t>
            </w:r>
          </w:p>
        </w:tc>
        <w:tc>
          <w:tcPr>
            <w:tcW w:w="2833" w:type="dxa"/>
          </w:tcPr>
          <w:p w14:paraId="38E13729" w14:textId="4247F975"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765605">
              <w:rPr>
                <w:sz w:val="16"/>
                <w:szCs w:val="16"/>
              </w:rPr>
              <w:t xml:space="preserve">* As described </w:t>
            </w:r>
          </w:p>
        </w:tc>
      </w:tr>
      <w:tr w:rsidR="0000341F" w:rsidRPr="00354B76" w14:paraId="64163F1E"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755715E8" w14:textId="77777777" w:rsidR="0000341F" w:rsidRPr="00354B76" w:rsidRDefault="0000341F" w:rsidP="00354B76">
            <w:pPr>
              <w:pStyle w:val="TableText"/>
              <w:spacing w:before="0" w:after="0"/>
              <w:rPr>
                <w:sz w:val="16"/>
                <w:szCs w:val="16"/>
              </w:rPr>
            </w:pPr>
          </w:p>
        </w:tc>
        <w:tc>
          <w:tcPr>
            <w:tcW w:w="3527" w:type="dxa"/>
          </w:tcPr>
          <w:p w14:paraId="28F05BF8" w14:textId="2C36D312"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LAMPS ; MINOR ROAD</w:t>
            </w:r>
          </w:p>
        </w:tc>
        <w:tc>
          <w:tcPr>
            <w:tcW w:w="2833" w:type="dxa"/>
          </w:tcPr>
          <w:p w14:paraId="28050825" w14:textId="5E39D624"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765605">
              <w:rPr>
                <w:sz w:val="16"/>
                <w:szCs w:val="16"/>
              </w:rPr>
              <w:t xml:space="preserve">* As described </w:t>
            </w:r>
          </w:p>
        </w:tc>
      </w:tr>
      <w:tr w:rsidR="0000341F" w:rsidRPr="00354B76" w14:paraId="474F9788"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5B2034D8" w14:textId="77777777" w:rsidR="0000341F" w:rsidRPr="00354B76" w:rsidRDefault="0000341F" w:rsidP="00354B76">
            <w:pPr>
              <w:pStyle w:val="TableText"/>
              <w:spacing w:before="0" w:after="0"/>
              <w:rPr>
                <w:sz w:val="16"/>
                <w:szCs w:val="16"/>
              </w:rPr>
            </w:pPr>
          </w:p>
        </w:tc>
        <w:tc>
          <w:tcPr>
            <w:tcW w:w="3527" w:type="dxa"/>
          </w:tcPr>
          <w:p w14:paraId="7D9828E4" w14:textId="4E4C1DE0"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POLES / COLUMNS ; MAJOR ROAD</w:t>
            </w:r>
          </w:p>
        </w:tc>
        <w:tc>
          <w:tcPr>
            <w:tcW w:w="2833" w:type="dxa"/>
          </w:tcPr>
          <w:p w14:paraId="5165BEA5" w14:textId="6BD91EB5" w:rsidR="0000341F" w:rsidRPr="00354B76" w:rsidRDefault="0000341F"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765605">
              <w:rPr>
                <w:sz w:val="16"/>
                <w:szCs w:val="16"/>
              </w:rPr>
              <w:t xml:space="preserve">* As described </w:t>
            </w:r>
          </w:p>
        </w:tc>
      </w:tr>
      <w:tr w:rsidR="0000341F" w:rsidRPr="00354B76" w14:paraId="397A8B8F"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02619B9F" w14:textId="77777777" w:rsidR="0000341F" w:rsidRPr="00354B76" w:rsidRDefault="0000341F" w:rsidP="00354B76">
            <w:pPr>
              <w:pStyle w:val="TableText"/>
              <w:spacing w:before="0" w:after="0"/>
              <w:rPr>
                <w:sz w:val="16"/>
                <w:szCs w:val="16"/>
              </w:rPr>
            </w:pPr>
          </w:p>
        </w:tc>
        <w:tc>
          <w:tcPr>
            <w:tcW w:w="3527" w:type="dxa"/>
          </w:tcPr>
          <w:p w14:paraId="759BC3E1" w14:textId="5922E707"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POLES / COLUMNS ; MINOR ROAD</w:t>
            </w:r>
          </w:p>
        </w:tc>
        <w:tc>
          <w:tcPr>
            <w:tcW w:w="2833" w:type="dxa"/>
          </w:tcPr>
          <w:p w14:paraId="73B67384" w14:textId="037BFAB9" w:rsidR="0000341F" w:rsidRPr="00354B76" w:rsidRDefault="0000341F"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765605">
              <w:rPr>
                <w:sz w:val="16"/>
                <w:szCs w:val="16"/>
              </w:rPr>
              <w:t xml:space="preserve">* As described </w:t>
            </w:r>
          </w:p>
        </w:tc>
      </w:tr>
      <w:tr w:rsidR="004C3DC7" w:rsidRPr="00354B76" w14:paraId="5D84B077"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val="restart"/>
          </w:tcPr>
          <w:p w14:paraId="46C0E9AA" w14:textId="77777777" w:rsidR="004C3DC7" w:rsidRPr="00354B76" w:rsidRDefault="004C3DC7" w:rsidP="00354B76">
            <w:pPr>
              <w:pStyle w:val="TableText"/>
              <w:spacing w:before="0" w:after="0"/>
              <w:rPr>
                <w:sz w:val="16"/>
                <w:szCs w:val="16"/>
              </w:rPr>
            </w:pPr>
            <w:r w:rsidRPr="00354B76">
              <w:rPr>
                <w:sz w:val="16"/>
                <w:szCs w:val="16"/>
              </w:rPr>
              <w:t xml:space="preserve">"SCADA, NETWORK CONTROL AND PROTECTION SYSTEMS BY: </w:t>
            </w:r>
          </w:p>
          <w:p w14:paraId="0BD5D448" w14:textId="77777777" w:rsidR="004C3DC7" w:rsidRPr="00354B76" w:rsidRDefault="004C3DC7" w:rsidP="00354B76">
            <w:pPr>
              <w:pStyle w:val="TableText"/>
              <w:spacing w:before="0" w:after="0"/>
              <w:rPr>
                <w:sz w:val="16"/>
                <w:szCs w:val="16"/>
              </w:rPr>
            </w:pPr>
            <w:r w:rsidRPr="00354B76">
              <w:rPr>
                <w:sz w:val="16"/>
                <w:szCs w:val="16"/>
              </w:rPr>
              <w:t>FUNCTION"</w:t>
            </w:r>
          </w:p>
          <w:p w14:paraId="39E3E393" w14:textId="0141C720" w:rsidR="004C3DC7" w:rsidRPr="00354B76" w:rsidRDefault="004C3DC7" w:rsidP="00354B76">
            <w:pPr>
              <w:pStyle w:val="TableText"/>
              <w:spacing w:before="0" w:after="0"/>
              <w:rPr>
                <w:sz w:val="16"/>
                <w:szCs w:val="16"/>
              </w:rPr>
            </w:pPr>
          </w:p>
        </w:tc>
        <w:tc>
          <w:tcPr>
            <w:tcW w:w="3527" w:type="dxa"/>
          </w:tcPr>
          <w:p w14:paraId="769E6294" w14:textId="77777777" w:rsidR="004C3DC7" w:rsidRPr="00354B76" w:rsidRDefault="004C3DC7"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p>
        </w:tc>
        <w:tc>
          <w:tcPr>
            <w:tcW w:w="2833" w:type="dxa"/>
          </w:tcPr>
          <w:p w14:paraId="3538C259" w14:textId="77777777" w:rsidR="004C3DC7" w:rsidRPr="00354B76" w:rsidRDefault="004C3DC7"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p>
        </w:tc>
      </w:tr>
      <w:tr w:rsidR="004C3DC7" w:rsidRPr="00354B76" w14:paraId="5759F698"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1C4D54FC" w14:textId="5DC7A3CC" w:rsidR="004C3DC7" w:rsidRPr="00354B76" w:rsidRDefault="004C3DC7" w:rsidP="00354B76">
            <w:pPr>
              <w:pStyle w:val="TableText"/>
              <w:spacing w:before="0" w:after="0"/>
              <w:rPr>
                <w:sz w:val="16"/>
                <w:szCs w:val="16"/>
              </w:rPr>
            </w:pPr>
          </w:p>
        </w:tc>
        <w:tc>
          <w:tcPr>
            <w:tcW w:w="3527" w:type="dxa"/>
          </w:tcPr>
          <w:p w14:paraId="5DC20E34" w14:textId="7B84D4FC" w:rsidR="004C3DC7" w:rsidRPr="00354B76" w:rsidRDefault="004C3DC7"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FIELD DEVICES</w:t>
            </w:r>
          </w:p>
        </w:tc>
        <w:tc>
          <w:tcPr>
            <w:tcW w:w="2833" w:type="dxa"/>
          </w:tcPr>
          <w:p w14:paraId="4586EDAF" w14:textId="77777777" w:rsidR="004C3DC7" w:rsidRDefault="004C3DC7" w:rsidP="00345E05">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This includes: </w:t>
            </w:r>
          </w:p>
          <w:p w14:paraId="4AAAFFF5" w14:textId="77777777" w:rsidR="004C3DC7" w:rsidRDefault="004C3DC7" w:rsidP="00345E05">
            <w:pPr>
              <w:pStyle w:val="TableText"/>
              <w:numPr>
                <w:ilvl w:val="0"/>
                <w:numId w:val="39"/>
              </w:numPr>
              <w:spacing w:before="0" w:after="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protection relays, </w:t>
            </w:r>
          </w:p>
          <w:p w14:paraId="77999437" w14:textId="77777777" w:rsidR="004C3DC7" w:rsidRDefault="004C3DC7" w:rsidP="00345E05">
            <w:pPr>
              <w:pStyle w:val="TableText"/>
              <w:numPr>
                <w:ilvl w:val="0"/>
                <w:numId w:val="39"/>
              </w:numPr>
              <w:spacing w:before="0" w:after="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remote terminal units (RTUs)and</w:t>
            </w:r>
          </w:p>
          <w:p w14:paraId="78A7C5BE" w14:textId="59D808A0" w:rsidR="004C3DC7" w:rsidRPr="00354B76" w:rsidRDefault="004C3DC7" w:rsidP="00345E05">
            <w:pPr>
              <w:pStyle w:val="TableText"/>
              <w:numPr>
                <w:ilvl w:val="0"/>
                <w:numId w:val="39"/>
              </w:numPr>
              <w:spacing w:before="0" w:after="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intelligent electrical devices (IEDs).</w:t>
            </w:r>
          </w:p>
        </w:tc>
      </w:tr>
      <w:tr w:rsidR="004C3DC7" w:rsidRPr="00354B76" w14:paraId="49DE5736"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02786C42" w14:textId="46F13229" w:rsidR="004C3DC7" w:rsidRPr="00354B76" w:rsidRDefault="004C3DC7" w:rsidP="00354B76">
            <w:pPr>
              <w:pStyle w:val="TableText"/>
              <w:spacing w:before="0" w:after="0"/>
              <w:rPr>
                <w:sz w:val="16"/>
                <w:szCs w:val="16"/>
              </w:rPr>
            </w:pPr>
          </w:p>
        </w:tc>
        <w:tc>
          <w:tcPr>
            <w:tcW w:w="3527" w:type="dxa"/>
          </w:tcPr>
          <w:p w14:paraId="60DDE309" w14:textId="31EBBFA8" w:rsidR="004C3DC7" w:rsidRPr="00354B76" w:rsidRDefault="004C3DC7"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LOCAL NETWORK WIRING ASSETS</w:t>
            </w:r>
          </w:p>
        </w:tc>
        <w:tc>
          <w:tcPr>
            <w:tcW w:w="2833" w:type="dxa"/>
          </w:tcPr>
          <w:p w14:paraId="3B5BBFEA" w14:textId="464E2D26" w:rsidR="004C3DC7" w:rsidRPr="00354B76" w:rsidRDefault="004C3DC7"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 As described</w:t>
            </w:r>
          </w:p>
        </w:tc>
      </w:tr>
      <w:tr w:rsidR="004C3DC7" w:rsidRPr="00354B76" w14:paraId="2E34A200"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36BA8FF4" w14:textId="5DC20042" w:rsidR="004C3DC7" w:rsidRPr="00354B76" w:rsidRDefault="004C3DC7" w:rsidP="00354B76">
            <w:pPr>
              <w:pStyle w:val="TableText"/>
              <w:spacing w:before="0" w:after="0"/>
              <w:rPr>
                <w:sz w:val="16"/>
                <w:szCs w:val="16"/>
              </w:rPr>
            </w:pPr>
          </w:p>
        </w:tc>
        <w:tc>
          <w:tcPr>
            <w:tcW w:w="3527" w:type="dxa"/>
          </w:tcPr>
          <w:p w14:paraId="2E3166B2" w14:textId="3C247077" w:rsidR="004C3DC7" w:rsidRPr="00354B76" w:rsidRDefault="004C3DC7"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54B76">
              <w:rPr>
                <w:sz w:val="16"/>
                <w:szCs w:val="16"/>
              </w:rPr>
              <w:t>COMMUNICATIONS NETWORK ASSETS</w:t>
            </w:r>
          </w:p>
        </w:tc>
        <w:tc>
          <w:tcPr>
            <w:tcW w:w="2833" w:type="dxa"/>
          </w:tcPr>
          <w:p w14:paraId="6FE0AFB5" w14:textId="77777777" w:rsidR="004C3DC7" w:rsidRDefault="004C3DC7" w:rsidP="00345E05">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This includes: </w:t>
            </w:r>
          </w:p>
          <w:p w14:paraId="243B7672" w14:textId="19C1A8EB" w:rsidR="004C3DC7" w:rsidRPr="00345E05" w:rsidRDefault="004C3DC7" w:rsidP="00345E05">
            <w:pPr>
              <w:pStyle w:val="TableText"/>
              <w:numPr>
                <w:ilvl w:val="0"/>
                <w:numId w:val="40"/>
              </w:numPr>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45E05">
              <w:rPr>
                <w:sz w:val="16"/>
                <w:szCs w:val="16"/>
              </w:rPr>
              <w:t>Microwave links (links installed)</w:t>
            </w:r>
            <w:r>
              <w:rPr>
                <w:sz w:val="16"/>
                <w:szCs w:val="16"/>
              </w:rPr>
              <w:t xml:space="preserve">, </w:t>
            </w:r>
            <w:r w:rsidRPr="00345E05">
              <w:rPr>
                <w:sz w:val="16"/>
                <w:szCs w:val="16"/>
              </w:rPr>
              <w:t>DSS Head ends</w:t>
            </w:r>
            <w:r>
              <w:rPr>
                <w:sz w:val="16"/>
                <w:szCs w:val="16"/>
              </w:rPr>
              <w:t>,</w:t>
            </w:r>
          </w:p>
          <w:p w14:paraId="383D9973" w14:textId="6EBB3840" w:rsidR="004C3DC7" w:rsidRPr="00354B76" w:rsidRDefault="004C3DC7" w:rsidP="00345E05">
            <w:pPr>
              <w:pStyle w:val="TableText"/>
              <w:numPr>
                <w:ilvl w:val="0"/>
                <w:numId w:val="40"/>
              </w:numPr>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345E05">
              <w:rPr>
                <w:sz w:val="16"/>
                <w:szCs w:val="16"/>
              </w:rPr>
              <w:t>DSS Radios (including repeaters)</w:t>
            </w:r>
            <w:r>
              <w:rPr>
                <w:sz w:val="16"/>
                <w:szCs w:val="16"/>
              </w:rPr>
              <w:t xml:space="preserve"> and </w:t>
            </w:r>
            <w:r w:rsidRPr="00345E05">
              <w:rPr>
                <w:sz w:val="16"/>
                <w:szCs w:val="16"/>
              </w:rPr>
              <w:t>Multiplex (including MPLS nodes)</w:t>
            </w:r>
          </w:p>
        </w:tc>
      </w:tr>
      <w:tr w:rsidR="004C3DC7" w:rsidRPr="00354B76" w14:paraId="564740B0"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34BAB765" w14:textId="0521336A" w:rsidR="004C3DC7" w:rsidRPr="00354B76" w:rsidRDefault="004C3DC7" w:rsidP="00354B76">
            <w:pPr>
              <w:pStyle w:val="TableText"/>
              <w:spacing w:before="0" w:after="0"/>
              <w:rPr>
                <w:sz w:val="16"/>
                <w:szCs w:val="16"/>
              </w:rPr>
            </w:pPr>
          </w:p>
        </w:tc>
        <w:tc>
          <w:tcPr>
            <w:tcW w:w="3527" w:type="dxa"/>
          </w:tcPr>
          <w:p w14:paraId="7A1A78E0" w14:textId="5CFB564D" w:rsidR="004C3DC7" w:rsidRPr="00354B76" w:rsidRDefault="004C3DC7"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354B76">
              <w:rPr>
                <w:sz w:val="16"/>
                <w:szCs w:val="16"/>
              </w:rPr>
              <w:t>MASTER STATION ASSETS</w:t>
            </w:r>
          </w:p>
        </w:tc>
        <w:tc>
          <w:tcPr>
            <w:tcW w:w="2833" w:type="dxa"/>
          </w:tcPr>
          <w:p w14:paraId="649C2BC0" w14:textId="4026EF82" w:rsidR="004C3DC7" w:rsidRPr="00354B76" w:rsidRDefault="004C3DC7"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 As described</w:t>
            </w:r>
          </w:p>
        </w:tc>
      </w:tr>
      <w:tr w:rsidR="004C3DC7" w:rsidRPr="00354B76" w14:paraId="29BB7FE2" w14:textId="77777777" w:rsidTr="0000341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408ABC39" w14:textId="02FFC5DE" w:rsidR="004C3DC7" w:rsidRPr="00354B76" w:rsidRDefault="004C3DC7" w:rsidP="00354B76">
            <w:pPr>
              <w:pStyle w:val="TableText"/>
              <w:spacing w:before="0" w:after="0"/>
              <w:rPr>
                <w:sz w:val="16"/>
                <w:szCs w:val="16"/>
              </w:rPr>
            </w:pPr>
          </w:p>
        </w:tc>
        <w:tc>
          <w:tcPr>
            <w:tcW w:w="3527" w:type="dxa"/>
          </w:tcPr>
          <w:p w14:paraId="25639C9E" w14:textId="2468D973" w:rsidR="004C3DC7" w:rsidRPr="00354B76" w:rsidRDefault="004C3DC7"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COMMUNICATIONS LINEAR ASSETS </w:t>
            </w:r>
          </w:p>
        </w:tc>
        <w:tc>
          <w:tcPr>
            <w:tcW w:w="2833" w:type="dxa"/>
          </w:tcPr>
          <w:p w14:paraId="797C1EEE" w14:textId="18226651" w:rsidR="004C3DC7" w:rsidRPr="00354B76" w:rsidRDefault="004C3DC7" w:rsidP="00354B76">
            <w:pPr>
              <w:pStyle w:val="TableText"/>
              <w:spacing w:before="0" w:after="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Includes Copper and fibre optic pilot cables</w:t>
            </w:r>
          </w:p>
        </w:tc>
      </w:tr>
      <w:tr w:rsidR="004C3DC7" w:rsidRPr="00354B76" w14:paraId="29DE36AB" w14:textId="77777777" w:rsidTr="0000341F">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8" w:type="dxa"/>
            <w:vMerge/>
          </w:tcPr>
          <w:p w14:paraId="3AB28E04" w14:textId="0D211CA4" w:rsidR="004C3DC7" w:rsidRPr="00354B76" w:rsidRDefault="004C3DC7" w:rsidP="00354B76">
            <w:pPr>
              <w:pStyle w:val="TableText"/>
              <w:spacing w:before="0" w:after="0"/>
              <w:rPr>
                <w:sz w:val="16"/>
                <w:szCs w:val="16"/>
              </w:rPr>
            </w:pPr>
          </w:p>
        </w:tc>
        <w:tc>
          <w:tcPr>
            <w:tcW w:w="3527" w:type="dxa"/>
          </w:tcPr>
          <w:p w14:paraId="6EFF0B76" w14:textId="5380B92B" w:rsidR="004C3DC7" w:rsidRDefault="004C3DC7"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AFLC</w:t>
            </w:r>
          </w:p>
        </w:tc>
        <w:tc>
          <w:tcPr>
            <w:tcW w:w="2833" w:type="dxa"/>
          </w:tcPr>
          <w:p w14:paraId="4967B02B" w14:textId="6C20EBE0" w:rsidR="004C3DC7" w:rsidRDefault="004C3DC7" w:rsidP="00354B76">
            <w:pPr>
              <w:pStyle w:val="TableText"/>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765605">
              <w:rPr>
                <w:sz w:val="16"/>
                <w:szCs w:val="16"/>
              </w:rPr>
              <w:t>* As described</w:t>
            </w:r>
          </w:p>
        </w:tc>
      </w:tr>
    </w:tbl>
    <w:p w14:paraId="62078C58" w14:textId="77777777" w:rsidR="002C7F64" w:rsidRDefault="0027048A" w:rsidP="00DD7179">
      <w:pPr>
        <w:pStyle w:val="Heading3"/>
      </w:pPr>
      <w:bookmarkStart w:id="33" w:name="_Toc394570304"/>
      <w:bookmarkStart w:id="34" w:name="_Toc394571474"/>
      <w:bookmarkStart w:id="35" w:name="_Ref396400289"/>
      <w:bookmarkStart w:id="36" w:name="_Toc397097245"/>
      <w:r>
        <w:t>Boundary issues</w:t>
      </w:r>
      <w:bookmarkEnd w:id="33"/>
      <w:bookmarkEnd w:id="34"/>
      <w:bookmarkEnd w:id="35"/>
      <w:bookmarkEnd w:id="36"/>
    </w:p>
    <w:p w14:paraId="62078C59" w14:textId="77777777" w:rsidR="008A2DBF" w:rsidRDefault="00AA2878" w:rsidP="0056359C">
      <w:pPr>
        <w:pStyle w:val="AERbodytext"/>
        <w:rPr>
          <w:rFonts w:cs="Arial"/>
          <w:szCs w:val="22"/>
        </w:rPr>
      </w:pPr>
      <w:r w:rsidRPr="0056359C">
        <w:rPr>
          <w:rFonts w:cs="Arial"/>
          <w:szCs w:val="22"/>
        </w:rPr>
        <w:t>There are no identified boundary issues between asset categories.</w:t>
      </w:r>
    </w:p>
    <w:p w14:paraId="795DFA23" w14:textId="20289FCC" w:rsidR="005243F1" w:rsidRDefault="004A51D8" w:rsidP="00776284">
      <w:pPr>
        <w:pStyle w:val="Heading3"/>
      </w:pPr>
      <w:bookmarkStart w:id="37" w:name="_Ref389830350"/>
      <w:bookmarkStart w:id="38" w:name="_Ref389830366"/>
      <w:bookmarkStart w:id="39" w:name="_Toc394570308"/>
      <w:bookmarkStart w:id="40" w:name="_Toc394571478"/>
      <w:bookmarkStart w:id="41" w:name="_Toc397097246"/>
      <w:bookmarkStart w:id="42" w:name="_Toc394570305"/>
      <w:bookmarkStart w:id="43" w:name="_Toc394571475"/>
      <w:r>
        <w:t>A</w:t>
      </w:r>
      <w:r w:rsidR="00FD33EE">
        <w:t>ge profile</w:t>
      </w:r>
      <w:bookmarkEnd w:id="37"/>
      <w:bookmarkEnd w:id="38"/>
      <w:bookmarkEnd w:id="39"/>
      <w:bookmarkEnd w:id="40"/>
      <w:r>
        <w:t xml:space="preserve"> determination</w:t>
      </w:r>
      <w:bookmarkEnd w:id="41"/>
    </w:p>
    <w:p w14:paraId="255218A3" w14:textId="21EFBC5A" w:rsidR="005243F1" w:rsidRPr="008112F5" w:rsidRDefault="005243F1" w:rsidP="00776284">
      <w:pPr>
        <w:pStyle w:val="AERbodytext"/>
        <w:rPr>
          <w:rFonts w:cs="Arial"/>
          <w:szCs w:val="22"/>
        </w:rPr>
      </w:pPr>
      <w:r w:rsidRPr="008112F5">
        <w:rPr>
          <w:rFonts w:cs="Arial"/>
          <w:szCs w:val="22"/>
        </w:rPr>
        <w:t xml:space="preserve">Energex applied </w:t>
      </w:r>
      <w:r w:rsidR="004A51D8">
        <w:rPr>
          <w:rFonts w:cs="Arial"/>
          <w:szCs w:val="22"/>
        </w:rPr>
        <w:t>a range of</w:t>
      </w:r>
      <w:r w:rsidRPr="008112F5">
        <w:rPr>
          <w:rFonts w:cs="Arial"/>
          <w:szCs w:val="22"/>
        </w:rPr>
        <w:t xml:space="preserve"> assumptions </w:t>
      </w:r>
      <w:r w:rsidR="004A51D8">
        <w:rPr>
          <w:rFonts w:cs="Arial"/>
          <w:szCs w:val="22"/>
        </w:rPr>
        <w:t>to determine</w:t>
      </w:r>
      <w:r w:rsidR="00776284">
        <w:rPr>
          <w:rFonts w:cs="Arial"/>
          <w:szCs w:val="22"/>
        </w:rPr>
        <w:t xml:space="preserve"> age profile</w:t>
      </w:r>
      <w:r w:rsidR="004A51D8" w:rsidRPr="004A51D8">
        <w:rPr>
          <w:rFonts w:cs="Arial"/>
          <w:szCs w:val="22"/>
        </w:rPr>
        <w:t xml:space="preserve"> </w:t>
      </w:r>
      <w:r w:rsidR="004A51D8">
        <w:rPr>
          <w:rFonts w:cs="Arial"/>
          <w:szCs w:val="22"/>
        </w:rPr>
        <w:t>quantities</w:t>
      </w:r>
      <w:r w:rsidR="0046375B">
        <w:rPr>
          <w:rFonts w:cs="Arial"/>
          <w:szCs w:val="22"/>
        </w:rPr>
        <w:t xml:space="preserve"> and these are summarised in the following sections</w:t>
      </w:r>
      <w:r w:rsidR="004A51D8">
        <w:rPr>
          <w:rFonts w:cs="Arial"/>
          <w:szCs w:val="22"/>
        </w:rPr>
        <w:t>. Assumptions can generally be applied across all asset categories of a given asset group</w:t>
      </w:r>
      <w:r w:rsidR="0046375B">
        <w:rPr>
          <w:rFonts w:cs="Arial"/>
          <w:szCs w:val="22"/>
        </w:rPr>
        <w:t xml:space="preserve"> so assumptions are listed by asset group. Where assumptions are specific to an asset category this is noted.</w:t>
      </w:r>
    </w:p>
    <w:p w14:paraId="5987EBB9" w14:textId="3571E2DC" w:rsidR="005243F1" w:rsidRPr="008112F5" w:rsidRDefault="005243F1" w:rsidP="00776284">
      <w:pPr>
        <w:pStyle w:val="Heading4"/>
      </w:pPr>
      <w:r>
        <w:t>Poles</w:t>
      </w:r>
    </w:p>
    <w:p w14:paraId="576F20DE" w14:textId="2A24E14F" w:rsidR="0046375B" w:rsidRDefault="0046375B" w:rsidP="00AA3C4D">
      <w:pPr>
        <w:pStyle w:val="Bullet1"/>
        <w:numPr>
          <w:ilvl w:val="0"/>
          <w:numId w:val="0"/>
        </w:numPr>
      </w:pPr>
      <w:r>
        <w:t>The following assumptions were applied to determine pole age profile quantities:</w:t>
      </w:r>
    </w:p>
    <w:p w14:paraId="4E6AEF20" w14:textId="77777777" w:rsidR="005243F1" w:rsidRPr="008112F5" w:rsidRDefault="005243F1" w:rsidP="00776284">
      <w:pPr>
        <w:pStyle w:val="Bullet1"/>
      </w:pPr>
      <w:r w:rsidRPr="008112F5">
        <w:t>The pole data does not include assets that are in store or held for spares.</w:t>
      </w:r>
    </w:p>
    <w:p w14:paraId="77646D12" w14:textId="07DA7DBF" w:rsidR="005243F1" w:rsidRPr="003B6B31" w:rsidRDefault="005243F1" w:rsidP="00776284">
      <w:pPr>
        <w:pStyle w:val="Bullet1"/>
      </w:pPr>
      <w:r w:rsidRPr="008112F5">
        <w:t>The pole data has been categorised by the highest voltage at the site. For example</w:t>
      </w:r>
      <w:r>
        <w:t xml:space="preserve"> </w:t>
      </w:r>
      <w:r w:rsidRPr="003B6B31">
        <w:t xml:space="preserve">if a </w:t>
      </w:r>
      <w:r w:rsidR="004444E8">
        <w:t>pole</w:t>
      </w:r>
      <w:r w:rsidRPr="003B6B31">
        <w:t xml:space="preserve"> carries 33</w:t>
      </w:r>
      <w:r>
        <w:t> </w:t>
      </w:r>
      <w:r w:rsidRPr="003B6B31">
        <w:t>kV and 11</w:t>
      </w:r>
      <w:r>
        <w:t> </w:t>
      </w:r>
      <w:r w:rsidRPr="003B6B31">
        <w:t>kV conductors, then all poles at the site have been allocated as 33</w:t>
      </w:r>
      <w:r>
        <w:t> </w:t>
      </w:r>
      <w:r w:rsidRPr="003B6B31">
        <w:t>kV poles.</w:t>
      </w:r>
    </w:p>
    <w:p w14:paraId="62B9528F" w14:textId="320BBBBA" w:rsidR="005243F1" w:rsidRPr="00A4053B" w:rsidRDefault="005243F1" w:rsidP="004612F8">
      <w:pPr>
        <w:pStyle w:val="Bullet1"/>
      </w:pPr>
      <w:r w:rsidRPr="008112F5">
        <w:t>All poles have a year of commissioning based on the first</w:t>
      </w:r>
      <w:r>
        <w:t xml:space="preserve"> </w:t>
      </w:r>
      <w:r w:rsidRPr="008112F5">
        <w:t xml:space="preserve">year the current </w:t>
      </w:r>
      <w:r w:rsidRPr="00A4053B">
        <w:t>specificati</w:t>
      </w:r>
      <w:r w:rsidR="006E1FDC" w:rsidRPr="00A4053B">
        <w:t>on was allocated to the slot in NFM</w:t>
      </w:r>
      <w:r w:rsidRPr="00A4053B">
        <w:t>.</w:t>
      </w:r>
    </w:p>
    <w:p w14:paraId="7AA11DEC" w14:textId="33933347" w:rsidR="005243F1" w:rsidRPr="00A4053B" w:rsidRDefault="00A4053B" w:rsidP="00776284">
      <w:pPr>
        <w:pStyle w:val="Bullet1"/>
      </w:pPr>
      <w:r w:rsidRPr="00A4053B">
        <w:t xml:space="preserve">The age of nailed poles is defined as when the pole was nailed, rather than when the pole was first installed. </w:t>
      </w:r>
    </w:p>
    <w:p w14:paraId="1205EF1B" w14:textId="68CCE86C" w:rsidR="005243F1" w:rsidRPr="008112F5" w:rsidRDefault="005243F1" w:rsidP="00776284">
      <w:pPr>
        <w:pStyle w:val="Bullet1"/>
      </w:pPr>
      <w:r w:rsidRPr="00A4053B">
        <w:t>Poles that have a material type of</w:t>
      </w:r>
      <w:r w:rsidR="00EE56D6" w:rsidRPr="00A4053B">
        <w:t xml:space="preserve"> </w:t>
      </w:r>
      <w:r w:rsidRPr="00A4053B">
        <w:t>plastic</w:t>
      </w:r>
      <w:r w:rsidR="00EE56D6" w:rsidRPr="00A4053B">
        <w:t xml:space="preserve"> (fibreglass)</w:t>
      </w:r>
      <w:r w:rsidRPr="00A4053B">
        <w:t xml:space="preserve"> have</w:t>
      </w:r>
      <w:r w:rsidRPr="008112F5">
        <w:t xml:space="preserve"> been excluded.</w:t>
      </w:r>
    </w:p>
    <w:p w14:paraId="08B2A8C4" w14:textId="77777777" w:rsidR="005243F1" w:rsidRPr="008112F5" w:rsidRDefault="005243F1" w:rsidP="00776284">
      <w:pPr>
        <w:pStyle w:val="Bullet1"/>
      </w:pPr>
      <w:r w:rsidRPr="008112F5">
        <w:t>Aluminium poles have been combined with steel poles.</w:t>
      </w:r>
    </w:p>
    <w:p w14:paraId="49012565" w14:textId="77777777" w:rsidR="005243F1" w:rsidRPr="008112F5" w:rsidRDefault="005243F1" w:rsidP="00776284">
      <w:pPr>
        <w:pStyle w:val="Bullet1"/>
      </w:pPr>
      <w:r w:rsidRPr="008112F5">
        <w:t>Poles with a dedicated streetlight pole specification and contain a rate 1 or rate 2</w:t>
      </w:r>
      <w:r>
        <w:t xml:space="preserve"> </w:t>
      </w:r>
      <w:r w:rsidRPr="008112F5">
        <w:t xml:space="preserve">streetlight </w:t>
      </w:r>
      <w:r>
        <w:t>have</w:t>
      </w:r>
      <w:r w:rsidRPr="008112F5">
        <w:t xml:space="preserve"> not been included in the asset group poles</w:t>
      </w:r>
      <w:r>
        <w:t>,</w:t>
      </w:r>
      <w:r w:rsidRPr="008112F5">
        <w:t xml:space="preserve"> but </w:t>
      </w:r>
      <w:r>
        <w:t>have</w:t>
      </w:r>
      <w:r w:rsidRPr="008112F5">
        <w:t xml:space="preserve"> been included in</w:t>
      </w:r>
      <w:r>
        <w:t xml:space="preserve"> </w:t>
      </w:r>
      <w:r w:rsidRPr="008112F5">
        <w:t>the public lighting asset group.</w:t>
      </w:r>
    </w:p>
    <w:p w14:paraId="4C046464" w14:textId="77777777" w:rsidR="005243F1" w:rsidRPr="008112F5" w:rsidRDefault="005243F1" w:rsidP="00776284">
      <w:pPr>
        <w:pStyle w:val="Bullet1"/>
      </w:pPr>
      <w:r w:rsidRPr="008112F5">
        <w:t>All pole</w:t>
      </w:r>
      <w:r>
        <w:t>s with no voltage such as cross-</w:t>
      </w:r>
      <w:r w:rsidRPr="008112F5">
        <w:t>street</w:t>
      </w:r>
      <w:r>
        <w:t xml:space="preserve"> (poles that support a service line across a street)</w:t>
      </w:r>
      <w:r w:rsidRPr="008112F5">
        <w:t xml:space="preserve"> and bollard</w:t>
      </w:r>
      <w:r>
        <w:t xml:space="preserve"> (poles that support another pole)</w:t>
      </w:r>
      <w:r w:rsidRPr="008112F5">
        <w:t xml:space="preserve"> poles have been allocated</w:t>
      </w:r>
      <w:r>
        <w:t xml:space="preserve"> </w:t>
      </w:r>
      <w:r w:rsidRPr="008112F5">
        <w:t xml:space="preserve">to the </w:t>
      </w:r>
      <w:r>
        <w:t>≤</w:t>
      </w:r>
      <w:r w:rsidRPr="008112F5">
        <w:t>1</w:t>
      </w:r>
      <w:r>
        <w:t> </w:t>
      </w:r>
      <w:r w:rsidRPr="008112F5">
        <w:t>kV category</w:t>
      </w:r>
      <w:r>
        <w:t>.</w:t>
      </w:r>
    </w:p>
    <w:p w14:paraId="5F8C1BDB" w14:textId="2C73A614" w:rsidR="005243F1" w:rsidRDefault="005243F1" w:rsidP="00776284">
      <w:pPr>
        <w:pStyle w:val="Bullet1"/>
      </w:pPr>
      <w:r w:rsidRPr="008112F5">
        <w:t>Poles have been allocated based on financial year, i.e. an asset captured in NFM</w:t>
      </w:r>
      <w:r>
        <w:t xml:space="preserve"> </w:t>
      </w:r>
      <w:r w:rsidRPr="008112F5">
        <w:t>on 5 July 2012 will have a commissioning period of 2012/13.</w:t>
      </w:r>
    </w:p>
    <w:p w14:paraId="434D3F16" w14:textId="21E53E9F" w:rsidR="00180815" w:rsidRPr="008112F5" w:rsidRDefault="00180815" w:rsidP="00180815">
      <w:pPr>
        <w:pStyle w:val="Heading4"/>
      </w:pPr>
      <w:r>
        <w:t>Pole top structures</w:t>
      </w:r>
    </w:p>
    <w:p w14:paraId="21A8BA84" w14:textId="071C831B" w:rsidR="00FE3207" w:rsidRDefault="00FE3207" w:rsidP="00FE3207">
      <w:pPr>
        <w:pStyle w:val="Bullet1"/>
        <w:numPr>
          <w:ilvl w:val="0"/>
          <w:numId w:val="0"/>
        </w:numPr>
      </w:pPr>
      <w:r>
        <w:t>The following assumptions were applied to determine pole top structure age profile quantities:</w:t>
      </w:r>
    </w:p>
    <w:p w14:paraId="729C4BEE" w14:textId="497BF8E4" w:rsidR="00180815" w:rsidRDefault="00FE3207" w:rsidP="00AA3C4D">
      <w:pPr>
        <w:pStyle w:val="Bullet1"/>
      </w:pPr>
      <w:r>
        <w:t>Pole top structures are defined to be cross arms fitted to poles. The following multipliers were applied against the figures calculated for pole assets to determine the quantity of cross arms and their initial ages. Multipliers have been determined from Energex maintenance department based upon field sampling conducted and knowledge of construction types and their application</w:t>
      </w:r>
      <w:r w:rsidR="00180815">
        <w:t>.</w:t>
      </w:r>
    </w:p>
    <w:p w14:paraId="20544619" w14:textId="466F9B47" w:rsidR="00FE3207" w:rsidRDefault="00FE3207" w:rsidP="00FE3207">
      <w:pPr>
        <w:pStyle w:val="Bullet1"/>
      </w:pPr>
      <w:r>
        <w:t xml:space="preserve">All cross arms </w:t>
      </w:r>
      <w:r w:rsidR="009D1479">
        <w:t xml:space="preserve">on poles installed </w:t>
      </w:r>
      <w:r>
        <w:t xml:space="preserve">prior to 1978/79 </w:t>
      </w:r>
      <w:r w:rsidR="009D1479">
        <w:t xml:space="preserve">had </w:t>
      </w:r>
      <w:r>
        <w:t xml:space="preserve">been replaced with a consecutive 35 year life span. For example a 1977/78 start date is updated to 2012/13 to indicate that the asset has been replaced. </w:t>
      </w:r>
    </w:p>
    <w:p w14:paraId="1D157DFF" w14:textId="2D7693A6" w:rsidR="005243F1" w:rsidRPr="008112F5" w:rsidRDefault="005243F1" w:rsidP="00776284">
      <w:pPr>
        <w:pStyle w:val="Heading4"/>
      </w:pPr>
      <w:r w:rsidRPr="008112F5">
        <w:t>Overhead Cond</w:t>
      </w:r>
      <w:r>
        <w:t>uctors</w:t>
      </w:r>
    </w:p>
    <w:p w14:paraId="57DB1327" w14:textId="3C96CFB0" w:rsidR="0046375B" w:rsidRDefault="0046375B" w:rsidP="0046375B">
      <w:pPr>
        <w:pStyle w:val="Bullet1"/>
        <w:numPr>
          <w:ilvl w:val="0"/>
          <w:numId w:val="0"/>
        </w:numPr>
      </w:pPr>
      <w:r>
        <w:t>The following assumptions were applied to determine overhead conductors age profile quantities:</w:t>
      </w:r>
    </w:p>
    <w:p w14:paraId="5C8F6684" w14:textId="77777777" w:rsidR="005243F1" w:rsidRPr="008112F5" w:rsidRDefault="005243F1" w:rsidP="00776284">
      <w:pPr>
        <w:pStyle w:val="Bullet1"/>
      </w:pPr>
      <w:r w:rsidRPr="008112F5">
        <w:t>The conductor data does not include conductors that are in store or held for spares.</w:t>
      </w:r>
    </w:p>
    <w:p w14:paraId="045CCFB7" w14:textId="77777777" w:rsidR="005243F1" w:rsidRPr="008112F5" w:rsidRDefault="005243F1" w:rsidP="00776284">
      <w:pPr>
        <w:pStyle w:val="Bullet1"/>
      </w:pPr>
      <w:r w:rsidRPr="008112F5">
        <w:t>Total quantities are reported in kilometres.</w:t>
      </w:r>
    </w:p>
    <w:p w14:paraId="77995952" w14:textId="77777777" w:rsidR="005243F1" w:rsidRPr="008112F5" w:rsidRDefault="005243F1" w:rsidP="00776284">
      <w:pPr>
        <w:pStyle w:val="Bullet1"/>
        <w:spacing w:after="120"/>
        <w:ind w:left="850" w:hanging="425"/>
      </w:pPr>
      <w:r w:rsidRPr="008112F5">
        <w:t>The length of each conductor category is the total conductor route length and not</w:t>
      </w:r>
      <w:r>
        <w:t xml:space="preserve"> </w:t>
      </w:r>
      <w:r w:rsidRPr="008112F5">
        <w:t>each individual phase conductor length, noting:</w:t>
      </w:r>
    </w:p>
    <w:p w14:paraId="5104A7AF" w14:textId="3F4A23CF" w:rsidR="005243F1" w:rsidRPr="008112F5" w:rsidRDefault="005243F1" w:rsidP="00776284">
      <w:pPr>
        <w:pStyle w:val="Bullet2"/>
      </w:pPr>
      <w:r w:rsidRPr="008112F5">
        <w:t>11</w:t>
      </w:r>
      <w:r>
        <w:t> </w:t>
      </w:r>
      <w:r w:rsidRPr="008112F5">
        <w:t xml:space="preserve">kV routes predominately consist of </w:t>
      </w:r>
      <w:r>
        <w:t>three conductors, but</w:t>
      </w:r>
      <w:r w:rsidRPr="008112F5">
        <w:t xml:space="preserve"> also include</w:t>
      </w:r>
      <w:r>
        <w:t xml:space="preserve"> some single phase (two</w:t>
      </w:r>
      <w:r w:rsidRPr="008112F5">
        <w:t xml:space="preserve"> conductors) in </w:t>
      </w:r>
      <w:r>
        <w:t>the</w:t>
      </w:r>
      <w:r w:rsidRPr="008112F5">
        <w:t xml:space="preserve"> total length.</w:t>
      </w:r>
    </w:p>
    <w:p w14:paraId="3AA1B905" w14:textId="6CC368C7" w:rsidR="005243F1" w:rsidRDefault="00BA4D47" w:rsidP="00776284">
      <w:pPr>
        <w:pStyle w:val="Bullet2"/>
      </w:pPr>
      <w:r>
        <w:t>Low Voltage (</w:t>
      </w:r>
      <w:r w:rsidR="005243F1" w:rsidRPr="008112F5">
        <w:t>LV</w:t>
      </w:r>
      <w:r>
        <w:t>)</w:t>
      </w:r>
      <w:r w:rsidR="005243F1" w:rsidRPr="008112F5">
        <w:t xml:space="preserve"> routes predominately consist of </w:t>
      </w:r>
      <w:r w:rsidR="005243F1">
        <w:t>four</w:t>
      </w:r>
      <w:r w:rsidR="005243F1" w:rsidRPr="008112F5">
        <w:t xml:space="preserve"> conductors: </w:t>
      </w:r>
      <w:r w:rsidR="005243F1">
        <w:t>three</w:t>
      </w:r>
      <w:r w:rsidR="005243F1" w:rsidRPr="008112F5">
        <w:t xml:space="preserve"> phases plus neutral</w:t>
      </w:r>
      <w:r w:rsidR="005243F1">
        <w:t xml:space="preserve">, </w:t>
      </w:r>
      <w:r w:rsidR="005243F1" w:rsidRPr="008112F5">
        <w:t>however</w:t>
      </w:r>
      <w:r w:rsidR="005243F1">
        <w:t xml:space="preserve"> the</w:t>
      </w:r>
      <w:r w:rsidR="005243F1" w:rsidRPr="008112F5">
        <w:t xml:space="preserve"> lengths provided include all variations.</w:t>
      </w:r>
    </w:p>
    <w:p w14:paraId="6943C37D" w14:textId="77777777" w:rsidR="005243F1" w:rsidRPr="008112F5" w:rsidRDefault="005243F1" w:rsidP="00776284">
      <w:pPr>
        <w:pStyle w:val="Heading4"/>
      </w:pPr>
      <w:r>
        <w:t>Underground cables</w:t>
      </w:r>
    </w:p>
    <w:p w14:paraId="00AA631D" w14:textId="010B0AD1" w:rsidR="0046375B" w:rsidRDefault="0046375B" w:rsidP="0046375B">
      <w:pPr>
        <w:pStyle w:val="Bullet1"/>
        <w:numPr>
          <w:ilvl w:val="0"/>
          <w:numId w:val="0"/>
        </w:numPr>
      </w:pPr>
      <w:r>
        <w:t>The following assumptions were applied to determine underground cable age profile quantities:</w:t>
      </w:r>
    </w:p>
    <w:p w14:paraId="67AF87F8" w14:textId="3F682D87" w:rsidR="005243F1" w:rsidRPr="008112F5" w:rsidRDefault="005243F1" w:rsidP="0046375B">
      <w:pPr>
        <w:pStyle w:val="Bullet1"/>
      </w:pPr>
      <w:r w:rsidRPr="008112F5">
        <w:t>The underground cable data does not include cables that are in store or held for</w:t>
      </w:r>
      <w:r>
        <w:t xml:space="preserve"> </w:t>
      </w:r>
      <w:r w:rsidRPr="008112F5">
        <w:t>spares.</w:t>
      </w:r>
    </w:p>
    <w:p w14:paraId="54003512" w14:textId="77777777" w:rsidR="005243F1" w:rsidRPr="008112F5" w:rsidRDefault="005243F1" w:rsidP="00776284">
      <w:pPr>
        <w:pStyle w:val="Bullet1"/>
      </w:pPr>
      <w:r w:rsidRPr="008112F5">
        <w:t>Total quantities are reported in kilometres.</w:t>
      </w:r>
    </w:p>
    <w:p w14:paraId="2700D6AC" w14:textId="77777777" w:rsidR="005243F1" w:rsidRPr="008112F5" w:rsidRDefault="005243F1" w:rsidP="00776284">
      <w:pPr>
        <w:pStyle w:val="Bullet1"/>
      </w:pPr>
      <w:r w:rsidRPr="008112F5">
        <w:t>The length of each conductor category is the total cable route length and not each</w:t>
      </w:r>
      <w:r>
        <w:t xml:space="preserve"> </w:t>
      </w:r>
      <w:r w:rsidRPr="008112F5">
        <w:t>individual core length.</w:t>
      </w:r>
    </w:p>
    <w:p w14:paraId="1F834BF3" w14:textId="77777777" w:rsidR="00A0776E" w:rsidRDefault="00A0776E" w:rsidP="00A0776E">
      <w:pPr>
        <w:pStyle w:val="Heading4"/>
      </w:pPr>
      <w:r>
        <w:t>Service lines</w:t>
      </w:r>
    </w:p>
    <w:p w14:paraId="0B057050" w14:textId="77777777" w:rsidR="00A0776E" w:rsidRDefault="00A0776E" w:rsidP="00A0776E">
      <w:pPr>
        <w:pStyle w:val="Bullet1"/>
        <w:numPr>
          <w:ilvl w:val="0"/>
          <w:numId w:val="0"/>
        </w:numPr>
      </w:pPr>
      <w:r>
        <w:t>The following assumptions were applied to determine service line age profile quantities:</w:t>
      </w:r>
    </w:p>
    <w:p w14:paraId="6AB26807" w14:textId="2243BEE4" w:rsidR="00A0776E" w:rsidRPr="008112F5" w:rsidRDefault="00A0776E" w:rsidP="00A0776E">
      <w:pPr>
        <w:pStyle w:val="Bullet1"/>
      </w:pPr>
      <w:r w:rsidRPr="008112F5">
        <w:t>Maximum ag</w:t>
      </w:r>
      <w:r>
        <w:t xml:space="preserve">e of a service line </w:t>
      </w:r>
      <w:r w:rsidR="002B7E98">
        <w:t>of</w:t>
      </w:r>
      <w:r>
        <w:t xml:space="preserve"> 60 years has been used when estimating the age of the population.</w:t>
      </w:r>
    </w:p>
    <w:p w14:paraId="594DD2DF" w14:textId="77777777" w:rsidR="00A0776E" w:rsidRDefault="00A0776E" w:rsidP="00A0776E">
      <w:pPr>
        <w:pStyle w:val="Bullet1"/>
      </w:pPr>
      <w:r w:rsidRPr="00597757">
        <w:t>All LV service lines are a single span making them simple connections.</w:t>
      </w:r>
    </w:p>
    <w:p w14:paraId="199F984B" w14:textId="77777777" w:rsidR="00A0776E" w:rsidRPr="009A2D81" w:rsidRDefault="00A0776E" w:rsidP="00A0776E">
      <w:pPr>
        <w:pStyle w:val="Bullet1"/>
      </w:pPr>
      <w:r w:rsidRPr="009A2D81">
        <w:t>All new overhead service line assets are type XLPE.</w:t>
      </w:r>
    </w:p>
    <w:p w14:paraId="1AA24293" w14:textId="55806E7B" w:rsidR="00A0776E" w:rsidRPr="009A2D81" w:rsidRDefault="00A0776E" w:rsidP="00A0776E">
      <w:pPr>
        <w:pStyle w:val="Bullet1"/>
      </w:pPr>
      <w:r w:rsidRPr="009A2D81">
        <w:t xml:space="preserve">A customer may have their own private network </w:t>
      </w:r>
      <w:r w:rsidR="002B7E98">
        <w:t>beyond a connection point. T</w:t>
      </w:r>
      <w:r w:rsidRPr="009A2D81">
        <w:t>hese assets are not modelled or captured in the database.</w:t>
      </w:r>
    </w:p>
    <w:p w14:paraId="5DE0C643" w14:textId="3B1B49C3" w:rsidR="00A0776E" w:rsidRPr="009A2D81" w:rsidRDefault="00A0776E" w:rsidP="00A0776E">
      <w:pPr>
        <w:pStyle w:val="Bullet1"/>
      </w:pPr>
      <w:r w:rsidRPr="009A2D81">
        <w:t xml:space="preserve">Based on the definitions in the </w:t>
      </w:r>
      <w:r w:rsidR="002B7E98">
        <w:t xml:space="preserve">Reset </w:t>
      </w:r>
      <w:r w:rsidRPr="009A2D81">
        <w:t>RIN, Energex has only LV service line assets. Where customers require connection at higher voltages and the assets are owned by Energex, they are included in other dedicated asset categories (such as 11 kV overhead conductor) and are not classified as service lines.</w:t>
      </w:r>
    </w:p>
    <w:p w14:paraId="663843DF" w14:textId="77777777" w:rsidR="005243F1" w:rsidRPr="008112F5" w:rsidRDefault="005243F1" w:rsidP="00776284">
      <w:pPr>
        <w:pStyle w:val="Heading4"/>
      </w:pPr>
      <w:r>
        <w:t>Transformers</w:t>
      </w:r>
    </w:p>
    <w:p w14:paraId="1FAAB7BD" w14:textId="619A576B" w:rsidR="0046375B" w:rsidRDefault="0046375B" w:rsidP="0046375B">
      <w:pPr>
        <w:pStyle w:val="Bullet1"/>
        <w:numPr>
          <w:ilvl w:val="0"/>
          <w:numId w:val="0"/>
        </w:numPr>
      </w:pPr>
      <w:r>
        <w:t>The following assumption was applied to determine transformer age profile quantities:</w:t>
      </w:r>
    </w:p>
    <w:p w14:paraId="1790B57B" w14:textId="73578FE5" w:rsidR="005243F1" w:rsidRPr="008112F5" w:rsidRDefault="0046375B" w:rsidP="0046375B">
      <w:pPr>
        <w:pStyle w:val="Bullet1"/>
      </w:pPr>
      <w:r w:rsidRPr="008112F5">
        <w:t xml:space="preserve"> </w:t>
      </w:r>
      <w:r w:rsidR="005243F1" w:rsidRPr="008112F5">
        <w:t>The transformer data does not include transformers that are in store or held for</w:t>
      </w:r>
      <w:r w:rsidR="005243F1">
        <w:t xml:space="preserve"> </w:t>
      </w:r>
      <w:r w:rsidR="005243F1" w:rsidRPr="008112F5">
        <w:t>spares.</w:t>
      </w:r>
    </w:p>
    <w:p w14:paraId="258EDFA4" w14:textId="77777777" w:rsidR="005243F1" w:rsidRPr="008112F5" w:rsidRDefault="005243F1" w:rsidP="00776284">
      <w:pPr>
        <w:pStyle w:val="Heading4"/>
      </w:pPr>
      <w:r>
        <w:t>Switchgear</w:t>
      </w:r>
    </w:p>
    <w:p w14:paraId="79189B3B" w14:textId="2AD8EBE0" w:rsidR="0046375B" w:rsidRDefault="0046375B" w:rsidP="0046375B">
      <w:pPr>
        <w:pStyle w:val="Bullet1"/>
        <w:numPr>
          <w:ilvl w:val="0"/>
          <w:numId w:val="0"/>
        </w:numPr>
      </w:pPr>
      <w:r>
        <w:t>The following assumptions were applied to determine switchgear age profile quantities:</w:t>
      </w:r>
    </w:p>
    <w:p w14:paraId="752653A4" w14:textId="40080DD6" w:rsidR="005243F1" w:rsidRPr="008112F5" w:rsidRDefault="0046375B" w:rsidP="0046375B">
      <w:pPr>
        <w:pStyle w:val="Bullet1"/>
      </w:pPr>
      <w:r w:rsidRPr="008112F5">
        <w:t xml:space="preserve"> </w:t>
      </w:r>
      <w:r w:rsidR="005243F1" w:rsidRPr="008112F5">
        <w:t>The switchgear data does not include assets that are in store or held for spares.</w:t>
      </w:r>
    </w:p>
    <w:p w14:paraId="5A63BC34" w14:textId="77777777" w:rsidR="005243F1" w:rsidRPr="008112F5" w:rsidRDefault="005243F1" w:rsidP="00776284">
      <w:pPr>
        <w:pStyle w:val="Bullet1"/>
      </w:pPr>
      <w:r>
        <w:t>The c</w:t>
      </w:r>
      <w:r w:rsidRPr="008112F5">
        <w:t xml:space="preserve">ircuit </w:t>
      </w:r>
      <w:r>
        <w:t>b</w:t>
      </w:r>
      <w:r w:rsidRPr="008112F5">
        <w:t xml:space="preserve">reaker asset </w:t>
      </w:r>
      <w:r>
        <w:t>category</w:t>
      </w:r>
      <w:r w:rsidRPr="008112F5">
        <w:t xml:space="preserve"> has been defined as all circuit breakers and reclosers</w:t>
      </w:r>
      <w:r>
        <w:t xml:space="preserve"> </w:t>
      </w:r>
      <w:r w:rsidRPr="008112F5">
        <w:t>within the Energex network</w:t>
      </w:r>
      <w:r>
        <w:t>,</w:t>
      </w:r>
      <w:r w:rsidRPr="008112F5">
        <w:t xml:space="preserve"> excluding circuit breakers that form part of a ring main</w:t>
      </w:r>
      <w:r>
        <w:t xml:space="preserve"> </w:t>
      </w:r>
      <w:r w:rsidRPr="008112F5">
        <w:t>unit.</w:t>
      </w:r>
    </w:p>
    <w:p w14:paraId="3F37F9DF" w14:textId="77777777" w:rsidR="005243F1" w:rsidRPr="00D8611A" w:rsidRDefault="005243F1" w:rsidP="00776284">
      <w:pPr>
        <w:pStyle w:val="Bullet1"/>
      </w:pPr>
      <w:r>
        <w:t>The o</w:t>
      </w:r>
      <w:r w:rsidRPr="008112F5">
        <w:t xml:space="preserve">perational </w:t>
      </w:r>
      <w:r>
        <w:t>s</w:t>
      </w:r>
      <w:r w:rsidRPr="008112F5">
        <w:t>witch asset group has been defined as all other switches found within</w:t>
      </w:r>
      <w:r>
        <w:t xml:space="preserve"> the </w:t>
      </w:r>
      <w:r w:rsidRPr="00D8611A">
        <w:t xml:space="preserve">Energex network, </w:t>
      </w:r>
      <w:r>
        <w:t>which</w:t>
      </w:r>
      <w:r w:rsidRPr="00D8611A">
        <w:t xml:space="preserve"> includes the asset types</w:t>
      </w:r>
      <w:r>
        <w:t>:</w:t>
      </w:r>
      <w:r w:rsidRPr="00D8611A">
        <w:t xml:space="preserve"> airbrake, disk link, link pillar,</w:t>
      </w:r>
      <w:r>
        <w:t xml:space="preserve"> </w:t>
      </w:r>
      <w:r w:rsidRPr="00D8611A">
        <w:t>isolator, switch fuse, dropout, earth switch, fuse switch, sectionaliser, load</w:t>
      </w:r>
      <w:r>
        <w:t xml:space="preserve"> </w:t>
      </w:r>
      <w:r w:rsidRPr="00D8611A">
        <w:t>transfer switch, ring main unit, link pillar and disconnect box.</w:t>
      </w:r>
    </w:p>
    <w:p w14:paraId="6179B7D3" w14:textId="77777777" w:rsidR="005243F1" w:rsidRPr="008112F5" w:rsidRDefault="005243F1" w:rsidP="00776284">
      <w:pPr>
        <w:pStyle w:val="Heading4"/>
      </w:pPr>
      <w:r>
        <w:t>Public lighting</w:t>
      </w:r>
    </w:p>
    <w:p w14:paraId="7DC3103A" w14:textId="37B52B13" w:rsidR="0046375B" w:rsidRDefault="0046375B" w:rsidP="0046375B">
      <w:pPr>
        <w:pStyle w:val="Bullet1"/>
        <w:numPr>
          <w:ilvl w:val="0"/>
          <w:numId w:val="0"/>
        </w:numPr>
      </w:pPr>
      <w:r>
        <w:t>The following assumption was applied to determine public lighting age profile quantities:</w:t>
      </w:r>
    </w:p>
    <w:p w14:paraId="158E155D" w14:textId="77777777" w:rsidR="005243F1" w:rsidRDefault="005243F1" w:rsidP="00776284">
      <w:pPr>
        <w:pStyle w:val="Bullet1"/>
      </w:pPr>
      <w:r w:rsidRPr="008112F5">
        <w:t>The public lighting data does not include assets that are in store or held for spares.</w:t>
      </w:r>
    </w:p>
    <w:p w14:paraId="616659FC" w14:textId="33F83E05" w:rsidR="005243F1" w:rsidRDefault="005243F1" w:rsidP="00A0776E">
      <w:pPr>
        <w:pStyle w:val="Heading4"/>
      </w:pPr>
      <w:r>
        <w:t>SCADA</w:t>
      </w:r>
      <w:r w:rsidR="00A0776E">
        <w:t>,</w:t>
      </w:r>
      <w:r>
        <w:t xml:space="preserve"> </w:t>
      </w:r>
      <w:r w:rsidR="00A0776E" w:rsidRPr="00A0776E">
        <w:t>network control and protection systems</w:t>
      </w:r>
    </w:p>
    <w:p w14:paraId="2E96F349" w14:textId="45F18DC0" w:rsidR="005243F1" w:rsidRDefault="00BA4D47" w:rsidP="00AA3C4D">
      <w:pPr>
        <w:pStyle w:val="Bullet1"/>
        <w:numPr>
          <w:ilvl w:val="0"/>
          <w:numId w:val="0"/>
        </w:numPr>
      </w:pPr>
      <w:r>
        <w:t>Energex’s</w:t>
      </w:r>
      <w:r w:rsidRPr="00271959">
        <w:t xml:space="preserve"> database only contains initial commissioning</w:t>
      </w:r>
      <w:r>
        <w:t xml:space="preserve"> </w:t>
      </w:r>
      <w:r w:rsidRPr="00271959">
        <w:t>information</w:t>
      </w:r>
      <w:r>
        <w:t xml:space="preserve"> for</w:t>
      </w:r>
      <w:r w:rsidR="005243F1">
        <w:t xml:space="preserve"> intelligent electrical devices (IEDs) and distribution system SCADA (DSS) r</w:t>
      </w:r>
      <w:r w:rsidR="005243F1" w:rsidRPr="00271959">
        <w:t>adios</w:t>
      </w:r>
      <w:r>
        <w:t>.</w:t>
      </w:r>
      <w:r w:rsidR="005243F1" w:rsidRPr="00271959">
        <w:t xml:space="preserve"> Subsequent data a</w:t>
      </w:r>
      <w:r w:rsidR="005243F1">
        <w:t>ssociated with maintenance swap-outs (i.e.</w:t>
      </w:r>
      <w:r w:rsidR="005243F1" w:rsidRPr="00271959">
        <w:t xml:space="preserve"> replacements) is</w:t>
      </w:r>
      <w:r w:rsidR="005243F1">
        <w:t xml:space="preserve"> </w:t>
      </w:r>
      <w:r w:rsidR="005243F1" w:rsidRPr="00271959">
        <w:t xml:space="preserve">not captured due </w:t>
      </w:r>
      <w:r w:rsidR="005243F1">
        <w:t xml:space="preserve">to </w:t>
      </w:r>
      <w:r w:rsidR="005243F1" w:rsidRPr="00271959">
        <w:t>low cost of the equipment. As a result, this tends to overstate the age of</w:t>
      </w:r>
      <w:r w:rsidR="005243F1">
        <w:t xml:space="preserve"> </w:t>
      </w:r>
      <w:r w:rsidR="005243F1" w:rsidRPr="00271959">
        <w:t xml:space="preserve">the IED and DSS </w:t>
      </w:r>
      <w:r w:rsidR="005243F1">
        <w:t>r</w:t>
      </w:r>
      <w:r w:rsidR="005243F1" w:rsidRPr="00271959">
        <w:t>adio fleet, however, this was not considered a significant issue on the</w:t>
      </w:r>
      <w:r w:rsidR="005243F1">
        <w:t xml:space="preserve"> </w:t>
      </w:r>
      <w:r w:rsidR="005243F1" w:rsidRPr="00271959">
        <w:t xml:space="preserve">basis that IEDs and DSS </w:t>
      </w:r>
      <w:r w:rsidR="005243F1">
        <w:t>r</w:t>
      </w:r>
      <w:r w:rsidR="005243F1" w:rsidRPr="00271959">
        <w:t>adios are typically low cost in nature.</w:t>
      </w:r>
    </w:p>
    <w:p w14:paraId="601568EB" w14:textId="0C6B2E12" w:rsidR="00D7541F" w:rsidRDefault="00D7541F" w:rsidP="00776284">
      <w:pPr>
        <w:pStyle w:val="Heading3"/>
      </w:pPr>
      <w:bookmarkStart w:id="44" w:name="_Ref396895668"/>
      <w:bookmarkStart w:id="45" w:name="_Toc397097247"/>
      <w:r>
        <w:t xml:space="preserve">Main drivers of </w:t>
      </w:r>
      <w:r w:rsidR="009A2D81">
        <w:t>replacement</w:t>
      </w:r>
      <w:bookmarkEnd w:id="44"/>
      <w:bookmarkEnd w:id="45"/>
    </w:p>
    <w:p w14:paraId="704A3B15" w14:textId="07BCA2AB" w:rsidR="00D7541F" w:rsidRDefault="00D7541F" w:rsidP="00D7541F">
      <w:pPr>
        <w:pStyle w:val="AERbodytext"/>
        <w:spacing w:before="240"/>
        <w:rPr>
          <w:rFonts w:cs="Arial"/>
          <w:szCs w:val="22"/>
        </w:rPr>
      </w:pPr>
      <w:r>
        <w:rPr>
          <w:rFonts w:cs="Arial"/>
          <w:szCs w:val="22"/>
        </w:rPr>
        <w:t xml:space="preserve">The main drivers </w:t>
      </w:r>
      <w:r w:rsidR="0006246B">
        <w:rPr>
          <w:rFonts w:cs="Arial"/>
          <w:szCs w:val="22"/>
        </w:rPr>
        <w:t>of</w:t>
      </w:r>
      <w:r>
        <w:rPr>
          <w:rFonts w:cs="Arial"/>
          <w:szCs w:val="22"/>
        </w:rPr>
        <w:t xml:space="preserve"> replacement for each of the asset </w:t>
      </w:r>
      <w:r w:rsidR="0006246B">
        <w:rPr>
          <w:rFonts w:cs="Arial"/>
          <w:szCs w:val="22"/>
        </w:rPr>
        <w:t xml:space="preserve">groups </w:t>
      </w:r>
      <w:r w:rsidR="00433E13">
        <w:rPr>
          <w:rFonts w:cs="Arial"/>
          <w:szCs w:val="22"/>
        </w:rPr>
        <w:t>are</w:t>
      </w:r>
      <w:r>
        <w:rPr>
          <w:rFonts w:cs="Arial"/>
          <w:szCs w:val="22"/>
        </w:rPr>
        <w:t xml:space="preserve"> shown </w:t>
      </w:r>
      <w:r w:rsidRPr="0056359C">
        <w:rPr>
          <w:rFonts w:cs="Arial"/>
          <w:szCs w:val="22"/>
        </w:rPr>
        <w:t>in</w:t>
      </w:r>
      <w:r w:rsidR="00BA4D47">
        <w:rPr>
          <w:rFonts w:cs="Arial"/>
          <w:szCs w:val="22"/>
        </w:rPr>
        <w:t xml:space="preserve"> </w:t>
      </w:r>
      <w:r w:rsidR="00907431">
        <w:rPr>
          <w:rFonts w:cs="Arial"/>
          <w:szCs w:val="22"/>
        </w:rPr>
        <w:fldChar w:fldCharType="begin"/>
      </w:r>
      <w:r w:rsidR="00907431">
        <w:rPr>
          <w:rFonts w:cs="Arial"/>
          <w:szCs w:val="22"/>
        </w:rPr>
        <w:instrText xml:space="preserve"> REF _Ref396990155 \h </w:instrText>
      </w:r>
      <w:r w:rsidR="00907431">
        <w:rPr>
          <w:rFonts w:cs="Arial"/>
          <w:szCs w:val="22"/>
        </w:rPr>
      </w:r>
      <w:r w:rsidR="00907431">
        <w:rPr>
          <w:rFonts w:cs="Arial"/>
          <w:szCs w:val="22"/>
        </w:rPr>
        <w:fldChar w:fldCharType="separate"/>
      </w:r>
      <w:r w:rsidR="00B27C70">
        <w:t>Table </w:t>
      </w:r>
      <w:r w:rsidR="00B27C70">
        <w:rPr>
          <w:noProof/>
        </w:rPr>
        <w:t>2</w:t>
      </w:r>
      <w:r w:rsidR="00B27C70">
        <w:noBreakHyphen/>
      </w:r>
      <w:r w:rsidR="00B27C70">
        <w:rPr>
          <w:noProof/>
        </w:rPr>
        <w:t>2</w:t>
      </w:r>
      <w:r w:rsidR="00907431">
        <w:rPr>
          <w:rFonts w:cs="Arial"/>
          <w:szCs w:val="22"/>
        </w:rPr>
        <w:fldChar w:fldCharType="end"/>
      </w:r>
      <w:r w:rsidR="0006246B">
        <w:rPr>
          <w:rFonts w:cs="Arial"/>
          <w:szCs w:val="22"/>
        </w:rPr>
        <w:t xml:space="preserve">. The drivers of replacement for asset categories </w:t>
      </w:r>
      <w:r w:rsidR="00BA4D47">
        <w:rPr>
          <w:rFonts w:cs="Arial"/>
          <w:szCs w:val="22"/>
        </w:rPr>
        <w:t>are</w:t>
      </w:r>
      <w:r w:rsidR="0006246B">
        <w:rPr>
          <w:rFonts w:cs="Arial"/>
          <w:szCs w:val="22"/>
        </w:rPr>
        <w:t xml:space="preserve"> consistent within each asset group.</w:t>
      </w:r>
    </w:p>
    <w:p w14:paraId="6AC977AF" w14:textId="0C91FC08" w:rsidR="00D7541F" w:rsidRDefault="00D7541F" w:rsidP="00D7541F">
      <w:pPr>
        <w:pStyle w:val="Caption"/>
      </w:pPr>
      <w:bookmarkStart w:id="46" w:name="_Ref396990155"/>
      <w:bookmarkStart w:id="47" w:name="_Toc397097288"/>
      <w:r>
        <w:t>Table </w:t>
      </w:r>
      <w:fldSimple w:instr=" STYLEREF 1 \s ">
        <w:r w:rsidR="00B27C70">
          <w:rPr>
            <w:noProof/>
          </w:rPr>
          <w:t>2</w:t>
        </w:r>
      </w:fldSimple>
      <w:r w:rsidR="00771CAE">
        <w:noBreakHyphen/>
      </w:r>
      <w:fldSimple w:instr=" SEQ Table \* ARABIC \s 1 ">
        <w:r w:rsidR="00B27C70">
          <w:rPr>
            <w:noProof/>
          </w:rPr>
          <w:t>2</w:t>
        </w:r>
      </w:fldSimple>
      <w:bookmarkEnd w:id="46"/>
      <w:r>
        <w:tab/>
        <w:t>Main replacement driver</w:t>
      </w:r>
      <w:bookmarkEnd w:id="47"/>
    </w:p>
    <w:tbl>
      <w:tblPr>
        <w:tblStyle w:val="TableGrid"/>
        <w:tblW w:w="5670" w:type="dxa"/>
        <w:jc w:val="center"/>
        <w:tblLook w:val="04A0" w:firstRow="1" w:lastRow="0" w:firstColumn="1" w:lastColumn="0" w:noHBand="0" w:noVBand="1"/>
      </w:tblPr>
      <w:tblGrid>
        <w:gridCol w:w="2835"/>
        <w:gridCol w:w="2835"/>
      </w:tblGrid>
      <w:tr w:rsidR="00D7541F" w:rsidRPr="009C38D3" w14:paraId="41CEF7C3" w14:textId="77777777" w:rsidTr="00553C1C">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2835" w:type="dxa"/>
          </w:tcPr>
          <w:p w14:paraId="4E0161BF" w14:textId="77777777" w:rsidR="00D7541F" w:rsidRPr="009C38D3" w:rsidRDefault="00D7541F" w:rsidP="00553C1C">
            <w:pPr>
              <w:pStyle w:val="TableText"/>
              <w:keepNext/>
              <w:rPr>
                <w:rFonts w:ascii="Arial" w:hAnsi="Arial"/>
                <w:szCs w:val="20"/>
              </w:rPr>
            </w:pPr>
            <w:r w:rsidRPr="009C38D3">
              <w:rPr>
                <w:rFonts w:ascii="Arial" w:hAnsi="Arial"/>
                <w:szCs w:val="20"/>
              </w:rPr>
              <w:t>Asset Group</w:t>
            </w:r>
          </w:p>
        </w:tc>
        <w:tc>
          <w:tcPr>
            <w:tcW w:w="2835" w:type="dxa"/>
          </w:tcPr>
          <w:p w14:paraId="260FA8E4" w14:textId="577E8856" w:rsidR="00D7541F" w:rsidRPr="009C38D3" w:rsidRDefault="00BA4D47" w:rsidP="00553C1C">
            <w:pPr>
              <w:pStyle w:val="TableText"/>
              <w:keepNext/>
              <w:cnfStyle w:val="100000000000" w:firstRow="1" w:lastRow="0" w:firstColumn="0" w:lastColumn="0" w:oddVBand="0" w:evenVBand="0" w:oddHBand="0" w:evenHBand="0" w:firstRowFirstColumn="0" w:firstRowLastColumn="0" w:lastRowFirstColumn="0" w:lastRowLastColumn="0"/>
              <w:rPr>
                <w:szCs w:val="20"/>
              </w:rPr>
            </w:pPr>
            <w:r>
              <w:rPr>
                <w:szCs w:val="20"/>
              </w:rPr>
              <w:t>Main replacement driver</w:t>
            </w:r>
          </w:p>
        </w:tc>
      </w:tr>
      <w:tr w:rsidR="00D7541F" w:rsidRPr="009C38D3" w14:paraId="3DE3AA5E" w14:textId="77777777" w:rsidTr="00553C1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3C03D1E0" w14:textId="77777777" w:rsidR="00D7541F" w:rsidRPr="009C38D3" w:rsidRDefault="00D7541F" w:rsidP="00553C1C">
            <w:pPr>
              <w:pStyle w:val="TableText"/>
              <w:rPr>
                <w:szCs w:val="20"/>
              </w:rPr>
            </w:pPr>
            <w:r w:rsidRPr="009C38D3">
              <w:rPr>
                <w:szCs w:val="20"/>
              </w:rPr>
              <w:t>Poles</w:t>
            </w:r>
          </w:p>
        </w:tc>
        <w:tc>
          <w:tcPr>
            <w:tcW w:w="2835" w:type="dxa"/>
            <w:vAlign w:val="center"/>
          </w:tcPr>
          <w:p w14:paraId="799756A3" w14:textId="2C412562" w:rsidR="00D7541F" w:rsidRPr="009C38D3" w:rsidRDefault="00D7541F" w:rsidP="00553C1C">
            <w:pPr>
              <w:pStyle w:val="TableText"/>
              <w:cnfStyle w:val="000000100000" w:firstRow="0" w:lastRow="0" w:firstColumn="0" w:lastColumn="0" w:oddVBand="0" w:evenVBand="0" w:oddHBand="1" w:evenHBand="0" w:firstRowFirstColumn="0" w:firstRowLastColumn="0" w:lastRowFirstColumn="0" w:lastRowLastColumn="0"/>
              <w:rPr>
                <w:szCs w:val="20"/>
              </w:rPr>
            </w:pPr>
            <w:r>
              <w:rPr>
                <w:szCs w:val="20"/>
              </w:rPr>
              <w:t xml:space="preserve">Asset </w:t>
            </w:r>
            <w:r w:rsidR="00294875">
              <w:rPr>
                <w:szCs w:val="20"/>
              </w:rPr>
              <w:t>c</w:t>
            </w:r>
            <w:r>
              <w:rPr>
                <w:szCs w:val="20"/>
              </w:rPr>
              <w:t>ondition</w:t>
            </w:r>
          </w:p>
        </w:tc>
      </w:tr>
      <w:tr w:rsidR="00D7541F" w:rsidRPr="009C38D3" w14:paraId="76D633BD" w14:textId="77777777" w:rsidTr="00553C1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20BBB6D" w14:textId="77777777" w:rsidR="00D7541F" w:rsidRPr="009C38D3" w:rsidRDefault="00D7541F" w:rsidP="00553C1C">
            <w:pPr>
              <w:pStyle w:val="TableText"/>
              <w:rPr>
                <w:szCs w:val="20"/>
              </w:rPr>
            </w:pPr>
            <w:r w:rsidRPr="009C38D3">
              <w:rPr>
                <w:szCs w:val="20"/>
              </w:rPr>
              <w:t>Pole top structures</w:t>
            </w:r>
          </w:p>
        </w:tc>
        <w:tc>
          <w:tcPr>
            <w:tcW w:w="2835" w:type="dxa"/>
            <w:vAlign w:val="center"/>
          </w:tcPr>
          <w:p w14:paraId="77223849" w14:textId="5A43E7C8" w:rsidR="00D7541F" w:rsidRPr="009C38D3" w:rsidRDefault="00D7541F" w:rsidP="00553C1C">
            <w:pPr>
              <w:pStyle w:val="TableText"/>
              <w:cnfStyle w:val="000000010000" w:firstRow="0" w:lastRow="0" w:firstColumn="0" w:lastColumn="0" w:oddVBand="0" w:evenVBand="0" w:oddHBand="0" w:evenHBand="1" w:firstRowFirstColumn="0" w:firstRowLastColumn="0" w:lastRowFirstColumn="0" w:lastRowLastColumn="0"/>
              <w:rPr>
                <w:szCs w:val="20"/>
              </w:rPr>
            </w:pPr>
            <w:r>
              <w:rPr>
                <w:szCs w:val="20"/>
              </w:rPr>
              <w:t xml:space="preserve">Asset </w:t>
            </w:r>
            <w:r w:rsidR="00294875">
              <w:rPr>
                <w:szCs w:val="20"/>
              </w:rPr>
              <w:t>c</w:t>
            </w:r>
            <w:r>
              <w:rPr>
                <w:szCs w:val="20"/>
              </w:rPr>
              <w:t>ondition</w:t>
            </w:r>
          </w:p>
        </w:tc>
      </w:tr>
      <w:tr w:rsidR="00D7541F" w:rsidRPr="009C38D3" w14:paraId="0079C034" w14:textId="77777777" w:rsidTr="00553C1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128BD72B" w14:textId="77777777" w:rsidR="00D7541F" w:rsidRPr="009C38D3" w:rsidRDefault="00D7541F" w:rsidP="00553C1C">
            <w:pPr>
              <w:pStyle w:val="TableText"/>
              <w:rPr>
                <w:szCs w:val="20"/>
              </w:rPr>
            </w:pPr>
            <w:r w:rsidRPr="009C38D3">
              <w:rPr>
                <w:szCs w:val="20"/>
              </w:rPr>
              <w:t>Overhead conductors</w:t>
            </w:r>
          </w:p>
        </w:tc>
        <w:tc>
          <w:tcPr>
            <w:tcW w:w="2835" w:type="dxa"/>
          </w:tcPr>
          <w:p w14:paraId="19CA49B1" w14:textId="0C01201E" w:rsidR="00D7541F" w:rsidRPr="009C38D3" w:rsidRDefault="00D7541F" w:rsidP="00553C1C">
            <w:pPr>
              <w:pStyle w:val="TableText"/>
              <w:cnfStyle w:val="000000100000" w:firstRow="0" w:lastRow="0" w:firstColumn="0" w:lastColumn="0" w:oddVBand="0" w:evenVBand="0" w:oddHBand="1" w:evenHBand="0" w:firstRowFirstColumn="0" w:firstRowLastColumn="0" w:lastRowFirstColumn="0" w:lastRowLastColumn="0"/>
              <w:rPr>
                <w:szCs w:val="20"/>
              </w:rPr>
            </w:pPr>
            <w:r w:rsidRPr="00C331D0">
              <w:rPr>
                <w:szCs w:val="20"/>
              </w:rPr>
              <w:t>Asset condition</w:t>
            </w:r>
          </w:p>
        </w:tc>
      </w:tr>
      <w:tr w:rsidR="00D7541F" w:rsidRPr="009C38D3" w14:paraId="46486CCE" w14:textId="77777777" w:rsidTr="00553C1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59CF4782" w14:textId="77777777" w:rsidR="00D7541F" w:rsidRPr="009C38D3" w:rsidRDefault="00D7541F" w:rsidP="00553C1C">
            <w:pPr>
              <w:pStyle w:val="TableText"/>
              <w:rPr>
                <w:szCs w:val="20"/>
              </w:rPr>
            </w:pPr>
            <w:r w:rsidRPr="009C38D3">
              <w:rPr>
                <w:szCs w:val="20"/>
              </w:rPr>
              <w:t>Underground cables</w:t>
            </w:r>
          </w:p>
        </w:tc>
        <w:tc>
          <w:tcPr>
            <w:tcW w:w="2835" w:type="dxa"/>
          </w:tcPr>
          <w:p w14:paraId="7FF71E0A" w14:textId="1F767C7B" w:rsidR="00D7541F" w:rsidRPr="009C38D3" w:rsidRDefault="00D7541F" w:rsidP="00553C1C">
            <w:pPr>
              <w:pStyle w:val="TableText"/>
              <w:cnfStyle w:val="000000010000" w:firstRow="0" w:lastRow="0" w:firstColumn="0" w:lastColumn="0" w:oddVBand="0" w:evenVBand="0" w:oddHBand="0" w:evenHBand="1" w:firstRowFirstColumn="0" w:firstRowLastColumn="0" w:lastRowFirstColumn="0" w:lastRowLastColumn="0"/>
              <w:rPr>
                <w:szCs w:val="20"/>
              </w:rPr>
            </w:pPr>
            <w:r w:rsidRPr="00C331D0">
              <w:rPr>
                <w:szCs w:val="20"/>
              </w:rPr>
              <w:t>Asset condition</w:t>
            </w:r>
          </w:p>
        </w:tc>
      </w:tr>
      <w:tr w:rsidR="00D7541F" w:rsidRPr="009C38D3" w14:paraId="6F418BA2" w14:textId="77777777" w:rsidTr="00553C1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382E863" w14:textId="77777777" w:rsidR="00D7541F" w:rsidRPr="009C38D3" w:rsidRDefault="00D7541F" w:rsidP="00553C1C">
            <w:pPr>
              <w:pStyle w:val="TableText"/>
              <w:rPr>
                <w:szCs w:val="20"/>
              </w:rPr>
            </w:pPr>
            <w:r>
              <w:rPr>
                <w:szCs w:val="20"/>
              </w:rPr>
              <w:t>Service lines</w:t>
            </w:r>
          </w:p>
        </w:tc>
        <w:tc>
          <w:tcPr>
            <w:tcW w:w="2835" w:type="dxa"/>
          </w:tcPr>
          <w:p w14:paraId="3019F7BB" w14:textId="478E5AB8" w:rsidR="00D7541F" w:rsidRPr="009C38D3" w:rsidRDefault="00D7541F" w:rsidP="00553C1C">
            <w:pPr>
              <w:pStyle w:val="TableText"/>
              <w:cnfStyle w:val="000000100000" w:firstRow="0" w:lastRow="0" w:firstColumn="0" w:lastColumn="0" w:oddVBand="0" w:evenVBand="0" w:oddHBand="1" w:evenHBand="0" w:firstRowFirstColumn="0" w:firstRowLastColumn="0" w:lastRowFirstColumn="0" w:lastRowLastColumn="0"/>
              <w:rPr>
                <w:szCs w:val="20"/>
              </w:rPr>
            </w:pPr>
            <w:r w:rsidRPr="00C331D0">
              <w:rPr>
                <w:szCs w:val="20"/>
              </w:rPr>
              <w:t>Asset condition</w:t>
            </w:r>
          </w:p>
        </w:tc>
      </w:tr>
      <w:tr w:rsidR="00D7541F" w:rsidRPr="00DF16EC" w14:paraId="025AA883" w14:textId="77777777" w:rsidTr="00553C1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4096C9BA" w14:textId="77777777" w:rsidR="00D7541F" w:rsidRPr="00DF16EC" w:rsidRDefault="00D7541F" w:rsidP="00553C1C">
            <w:pPr>
              <w:pStyle w:val="TableText"/>
              <w:rPr>
                <w:szCs w:val="20"/>
              </w:rPr>
            </w:pPr>
            <w:r w:rsidRPr="00DF16EC">
              <w:rPr>
                <w:szCs w:val="20"/>
              </w:rPr>
              <w:t>Transformers</w:t>
            </w:r>
          </w:p>
        </w:tc>
        <w:tc>
          <w:tcPr>
            <w:tcW w:w="2835" w:type="dxa"/>
          </w:tcPr>
          <w:p w14:paraId="73C5B26B" w14:textId="67066661" w:rsidR="00D7541F" w:rsidRPr="00DF16EC" w:rsidRDefault="00D7541F" w:rsidP="00553C1C">
            <w:pPr>
              <w:pStyle w:val="TableText"/>
              <w:cnfStyle w:val="000000010000" w:firstRow="0" w:lastRow="0" w:firstColumn="0" w:lastColumn="0" w:oddVBand="0" w:evenVBand="0" w:oddHBand="0" w:evenHBand="1" w:firstRowFirstColumn="0" w:firstRowLastColumn="0" w:lastRowFirstColumn="0" w:lastRowLastColumn="0"/>
              <w:rPr>
                <w:szCs w:val="20"/>
              </w:rPr>
            </w:pPr>
            <w:r w:rsidRPr="00C331D0">
              <w:rPr>
                <w:szCs w:val="20"/>
              </w:rPr>
              <w:t>Asset condition</w:t>
            </w:r>
          </w:p>
        </w:tc>
      </w:tr>
      <w:tr w:rsidR="00D7541F" w:rsidRPr="009C38D3" w14:paraId="697A7D4F" w14:textId="77777777" w:rsidTr="00553C1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AFF63CF" w14:textId="77777777" w:rsidR="00D7541F" w:rsidRPr="009C38D3" w:rsidRDefault="00D7541F" w:rsidP="00553C1C">
            <w:pPr>
              <w:pStyle w:val="TableText"/>
              <w:rPr>
                <w:szCs w:val="20"/>
              </w:rPr>
            </w:pPr>
            <w:r w:rsidRPr="009C38D3">
              <w:rPr>
                <w:szCs w:val="20"/>
              </w:rPr>
              <w:t>Switchgear</w:t>
            </w:r>
          </w:p>
        </w:tc>
        <w:tc>
          <w:tcPr>
            <w:tcW w:w="2835" w:type="dxa"/>
            <w:vAlign w:val="center"/>
          </w:tcPr>
          <w:p w14:paraId="62A4DB35" w14:textId="24337EA8" w:rsidR="00D7541F" w:rsidRPr="009C38D3" w:rsidRDefault="00D7541F" w:rsidP="00553C1C">
            <w:pPr>
              <w:pStyle w:val="TableText"/>
              <w:cnfStyle w:val="000000100000" w:firstRow="0" w:lastRow="0" w:firstColumn="0" w:lastColumn="0" w:oddVBand="0" w:evenVBand="0" w:oddHBand="1" w:evenHBand="0" w:firstRowFirstColumn="0" w:firstRowLastColumn="0" w:lastRowFirstColumn="0" w:lastRowLastColumn="0"/>
              <w:rPr>
                <w:szCs w:val="20"/>
              </w:rPr>
            </w:pPr>
            <w:r>
              <w:rPr>
                <w:szCs w:val="20"/>
              </w:rPr>
              <w:t>Asset condition</w:t>
            </w:r>
          </w:p>
        </w:tc>
      </w:tr>
      <w:tr w:rsidR="00D7541F" w:rsidRPr="009C38D3" w14:paraId="6BD6FD5E" w14:textId="77777777" w:rsidTr="00553C1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1B261F9C" w14:textId="77777777" w:rsidR="00D7541F" w:rsidRPr="009C38D3" w:rsidRDefault="00D7541F" w:rsidP="00553C1C">
            <w:pPr>
              <w:pStyle w:val="TableText"/>
              <w:rPr>
                <w:szCs w:val="20"/>
              </w:rPr>
            </w:pPr>
            <w:r w:rsidRPr="009C38D3">
              <w:rPr>
                <w:szCs w:val="20"/>
              </w:rPr>
              <w:t>Public lighting</w:t>
            </w:r>
          </w:p>
        </w:tc>
        <w:tc>
          <w:tcPr>
            <w:tcW w:w="2835" w:type="dxa"/>
            <w:vAlign w:val="center"/>
          </w:tcPr>
          <w:p w14:paraId="20976A55" w14:textId="0D036042" w:rsidR="00D7541F" w:rsidRPr="009C38D3" w:rsidRDefault="00D7541F" w:rsidP="00D7541F">
            <w:pPr>
              <w:pStyle w:val="TableText"/>
              <w:cnfStyle w:val="000000010000" w:firstRow="0" w:lastRow="0" w:firstColumn="0" w:lastColumn="0" w:oddVBand="0" w:evenVBand="0" w:oddHBand="0" w:evenHBand="1" w:firstRowFirstColumn="0" w:firstRowLastColumn="0" w:lastRowFirstColumn="0" w:lastRowLastColumn="0"/>
              <w:rPr>
                <w:szCs w:val="20"/>
              </w:rPr>
            </w:pPr>
            <w:r>
              <w:rPr>
                <w:szCs w:val="20"/>
              </w:rPr>
              <w:t>Asset condition</w:t>
            </w:r>
          </w:p>
        </w:tc>
      </w:tr>
      <w:tr w:rsidR="00D7541F" w:rsidRPr="009C38D3" w14:paraId="1F4CCEF5" w14:textId="77777777" w:rsidTr="00553C1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1DD9D354" w14:textId="2E8D51F2" w:rsidR="00D7541F" w:rsidRDefault="002551AA" w:rsidP="002551AA">
            <w:pPr>
              <w:pStyle w:val="Bullet1"/>
              <w:numPr>
                <w:ilvl w:val="0"/>
                <w:numId w:val="0"/>
              </w:numPr>
            </w:pPr>
            <w:r>
              <w:t>SCADA, network control</w:t>
            </w:r>
          </w:p>
        </w:tc>
        <w:tc>
          <w:tcPr>
            <w:tcW w:w="2835" w:type="dxa"/>
            <w:vAlign w:val="center"/>
          </w:tcPr>
          <w:p w14:paraId="37B113AE" w14:textId="5D918ED7" w:rsidR="00D7541F" w:rsidRPr="008112F5" w:rsidRDefault="00D7541F" w:rsidP="00D7541F">
            <w:pPr>
              <w:pStyle w:val="TableText"/>
              <w:cnfStyle w:val="000000100000" w:firstRow="0" w:lastRow="0" w:firstColumn="0" w:lastColumn="0" w:oddVBand="0" w:evenVBand="0" w:oddHBand="1" w:evenHBand="0" w:firstRowFirstColumn="0" w:firstRowLastColumn="0" w:lastRowFirstColumn="0" w:lastRowLastColumn="0"/>
            </w:pPr>
            <w:r>
              <w:rPr>
                <w:szCs w:val="20"/>
              </w:rPr>
              <w:t>Obsolescence and asset condition</w:t>
            </w:r>
            <w:r w:rsidRPr="008112F5">
              <w:t xml:space="preserve"> </w:t>
            </w:r>
          </w:p>
        </w:tc>
      </w:tr>
    </w:tbl>
    <w:p w14:paraId="57152DA9" w14:textId="2A16E449" w:rsidR="0050091A" w:rsidRDefault="0050091A" w:rsidP="009C4DA6">
      <w:bookmarkStart w:id="48" w:name="_Ref396895675"/>
      <w:r w:rsidRPr="00AA3C4D">
        <w:t>Public lighting is included in table 2.2.1</w:t>
      </w:r>
      <w:r w:rsidR="00433E13">
        <w:t xml:space="preserve"> of the Reset RIN</w:t>
      </w:r>
      <w:r w:rsidRPr="00AA3C4D">
        <w:t xml:space="preserve">, it should be noted that Energex manages </w:t>
      </w:r>
      <w:r w:rsidR="00433E13">
        <w:t>this asset group</w:t>
      </w:r>
      <w:r w:rsidRPr="00AA3C4D">
        <w:t xml:space="preserve"> as an Alternate Control Service.</w:t>
      </w:r>
    </w:p>
    <w:p w14:paraId="32AED29C" w14:textId="0A1162B1" w:rsidR="009C4DA6" w:rsidRPr="00AA3C4D" w:rsidRDefault="00A35CD8" w:rsidP="009C4DA6">
      <w:r w:rsidRPr="00AA3C4D">
        <w:t>Asset condition considers asset metrics including age, environmental factors, inspection and test results and technical engineering risk assessments.</w:t>
      </w:r>
      <w:r w:rsidR="00AA3C4D">
        <w:t xml:space="preserve"> </w:t>
      </w:r>
      <w:r w:rsidR="009C4DA6" w:rsidRPr="00AA3C4D">
        <w:t>Energex uses the following strategies to meet its replacement objectives:</w:t>
      </w:r>
    </w:p>
    <w:p w14:paraId="77D26A95" w14:textId="77777777" w:rsidR="009C4DA6" w:rsidRPr="00AA3C4D" w:rsidRDefault="009C4DA6" w:rsidP="009C4DA6">
      <w:pPr>
        <w:pStyle w:val="Bullet1"/>
      </w:pPr>
      <w:r w:rsidRPr="00AA3C4D">
        <w:t>On condition replacement</w:t>
      </w:r>
    </w:p>
    <w:p w14:paraId="5E4FD402" w14:textId="77777777" w:rsidR="009C4DA6" w:rsidRPr="00AA3C4D" w:rsidRDefault="009C4DA6" w:rsidP="009C4DA6">
      <w:pPr>
        <w:pStyle w:val="Bullet1"/>
      </w:pPr>
      <w:r w:rsidRPr="00AA3C4D">
        <w:t>Bulk replacement</w:t>
      </w:r>
    </w:p>
    <w:p w14:paraId="10909CE6" w14:textId="77777777" w:rsidR="009C4DA6" w:rsidRPr="00AA3C4D" w:rsidRDefault="009C4DA6" w:rsidP="00AA3C4D">
      <w:pPr>
        <w:pStyle w:val="Bullet1"/>
      </w:pPr>
      <w:r w:rsidRPr="00AA3C4D">
        <w:t>Risk based replacement</w:t>
      </w:r>
    </w:p>
    <w:p w14:paraId="227494A9" w14:textId="77777777" w:rsidR="009C4DA6" w:rsidRPr="00AA3C4D" w:rsidRDefault="009C4DA6" w:rsidP="00AA3C4D">
      <w:pPr>
        <w:pStyle w:val="Bullet1"/>
      </w:pPr>
      <w:r w:rsidRPr="00AA3C4D">
        <w:t>Run to failure</w:t>
      </w:r>
      <w:r w:rsidRPr="00AA3C4D" w:rsidDel="00FE3207">
        <w:t xml:space="preserve"> </w:t>
      </w:r>
    </w:p>
    <w:p w14:paraId="07C80AA2" w14:textId="658A4734" w:rsidR="007353D3" w:rsidRDefault="007353D3" w:rsidP="00AA3C4D"/>
    <w:p w14:paraId="51182FC5" w14:textId="2589151F" w:rsidR="000A74D0" w:rsidRPr="00DD0532" w:rsidRDefault="004444E8" w:rsidP="00776284">
      <w:pPr>
        <w:pStyle w:val="Heading3"/>
      </w:pPr>
      <w:bookmarkStart w:id="49" w:name="_Toc397097248"/>
      <w:bookmarkStart w:id="50" w:name="_Ref397097653"/>
      <w:r w:rsidRPr="00DD0532">
        <w:t>Explanation</w:t>
      </w:r>
      <w:r w:rsidR="000A74D0" w:rsidRPr="00DD0532">
        <w:t xml:space="preserve"> replacement unit cost</w:t>
      </w:r>
      <w:bookmarkEnd w:id="48"/>
      <w:bookmarkEnd w:id="49"/>
      <w:bookmarkEnd w:id="50"/>
    </w:p>
    <w:p w14:paraId="06F63B0D" w14:textId="44325784" w:rsidR="00907431" w:rsidRDefault="004444E8" w:rsidP="0000531E">
      <w:pPr>
        <w:pStyle w:val="Bullet1"/>
        <w:numPr>
          <w:ilvl w:val="0"/>
          <w:numId w:val="0"/>
        </w:numPr>
      </w:pPr>
      <w:r w:rsidRPr="00DD0532">
        <w:t>Replacement unit costs have</w:t>
      </w:r>
      <w:r w:rsidR="000A74D0" w:rsidRPr="00DD0532">
        <w:t xml:space="preserve"> not been requested by the AER as part of the Reset RIN.</w:t>
      </w:r>
      <w:r w:rsidR="005A4FB6" w:rsidRPr="00DD0532">
        <w:t xml:space="preserve"> </w:t>
      </w:r>
      <w:r w:rsidR="0000531E" w:rsidRPr="00DD0532">
        <w:t>Energex assumes that</w:t>
      </w:r>
      <w:r w:rsidR="00907431" w:rsidRPr="00907431">
        <w:t xml:space="preserve"> </w:t>
      </w:r>
      <w:r w:rsidR="00907431">
        <w:t>t</w:t>
      </w:r>
      <w:r w:rsidR="00907431" w:rsidRPr="00DD0532">
        <w:t>he AER will</w:t>
      </w:r>
      <w:r w:rsidR="00907431">
        <w:t>:</w:t>
      </w:r>
      <w:r w:rsidR="0000531E" w:rsidRPr="00DD0532">
        <w:t xml:space="preserve"> </w:t>
      </w:r>
    </w:p>
    <w:p w14:paraId="52F17E9C" w14:textId="509D49D0" w:rsidR="00907431" w:rsidRDefault="00907431" w:rsidP="00AA3C4D">
      <w:pPr>
        <w:pStyle w:val="Bullet1"/>
      </w:pPr>
      <w:r>
        <w:t>C</w:t>
      </w:r>
      <w:r w:rsidR="0000531E" w:rsidRPr="00DD0532">
        <w:t>alculate replacement unit cost for each asset c</w:t>
      </w:r>
      <w:r w:rsidR="00FF0B71" w:rsidRPr="00DD0532">
        <w:t>ategory using data provided in T</w:t>
      </w:r>
      <w:r w:rsidR="0000531E" w:rsidRPr="00DD0532">
        <w:t xml:space="preserve">able 2.2.1 of the Reset RIN. </w:t>
      </w:r>
    </w:p>
    <w:p w14:paraId="682C34C8" w14:textId="653577D6" w:rsidR="0000531E" w:rsidRPr="00DD0532" w:rsidRDefault="00907431" w:rsidP="00AA3C4D">
      <w:pPr>
        <w:pStyle w:val="Bullet1"/>
      </w:pPr>
      <w:r>
        <w:t>Estimate</w:t>
      </w:r>
      <w:r w:rsidRPr="00DD0532">
        <w:t xml:space="preserve"> </w:t>
      </w:r>
      <w:r w:rsidR="0000531E" w:rsidRPr="00DD0532">
        <w:t xml:space="preserve">replacement unit cost for the Repex model </w:t>
      </w:r>
      <w:r>
        <w:t>using</w:t>
      </w:r>
      <w:r w:rsidR="0000531E" w:rsidRPr="00DD0532">
        <w:t xml:space="preserve"> total replacement expenditure divided</w:t>
      </w:r>
      <w:r>
        <w:t xml:space="preserve"> by</w:t>
      </w:r>
      <w:r w:rsidR="0000531E" w:rsidRPr="00DD0532">
        <w:t xml:space="preserve"> the total replacement volumes as per the Repex model calibration instructions</w:t>
      </w:r>
      <w:r w:rsidR="0000531E" w:rsidRPr="00433E13">
        <w:rPr>
          <w:vertAlign w:val="superscript"/>
        </w:rPr>
        <w:footnoteReference w:id="3"/>
      </w:r>
      <w:r w:rsidR="0000531E" w:rsidRPr="00DD0532">
        <w:t>.</w:t>
      </w:r>
    </w:p>
    <w:p w14:paraId="095D6798" w14:textId="5E837738" w:rsidR="002C1D6D" w:rsidRPr="0056359C" w:rsidRDefault="002C1D6D" w:rsidP="000A74D0">
      <w:pPr>
        <w:pStyle w:val="Bullet1"/>
        <w:numPr>
          <w:ilvl w:val="0"/>
          <w:numId w:val="0"/>
        </w:numPr>
      </w:pPr>
      <w:r w:rsidRPr="00DD0532">
        <w:t>Costs included in historic replacement expenditure provide for a complete replacement of an asset with its modern equivalent except for poles</w:t>
      </w:r>
      <w:r w:rsidR="008F4706">
        <w:t xml:space="preserve"> for which Energex undertakes p</w:t>
      </w:r>
      <w:r w:rsidRPr="00DD0532">
        <w:t xml:space="preserve">ole nailing </w:t>
      </w:r>
      <w:r w:rsidR="008F4706">
        <w:t xml:space="preserve">as a </w:t>
      </w:r>
      <w:r w:rsidRPr="00DD0532">
        <w:t xml:space="preserve">refurbishment </w:t>
      </w:r>
      <w:r w:rsidR="008F4706">
        <w:t xml:space="preserve">activity to extend asset life. This activity </w:t>
      </w:r>
      <w:r w:rsidR="00DD7179" w:rsidRPr="00DD0532">
        <w:t xml:space="preserve">is </w:t>
      </w:r>
      <w:r w:rsidR="004444E8" w:rsidRPr="00DD0532">
        <w:t>capitalised</w:t>
      </w:r>
      <w:r w:rsidR="00DD7179" w:rsidRPr="00DD0532">
        <w:t xml:space="preserve"> and is included as a separate asset category as per </w:t>
      </w:r>
      <w:r w:rsidR="008F4706">
        <w:t xml:space="preserve">directions under </w:t>
      </w:r>
      <w:r w:rsidR="00DD7179" w:rsidRPr="00DD0532">
        <w:t>clause 5.1.b) of Appendix E of the Reset RIN.</w:t>
      </w:r>
      <w:r w:rsidR="00DD7179">
        <w:t xml:space="preserve"> </w:t>
      </w:r>
    </w:p>
    <w:p w14:paraId="6F409539" w14:textId="51A122D9" w:rsidR="00DD7179" w:rsidRDefault="00776284" w:rsidP="00DD7179">
      <w:pPr>
        <w:pStyle w:val="Heading2"/>
      </w:pPr>
      <w:bookmarkStart w:id="51" w:name="_Ref391736934"/>
      <w:bookmarkStart w:id="52" w:name="_Ref391738451"/>
      <w:bookmarkStart w:id="53" w:name="_Toc394570316"/>
      <w:bookmarkStart w:id="54" w:name="_Toc394571486"/>
      <w:bookmarkStart w:id="55" w:name="_Toc397097249"/>
      <w:bookmarkEnd w:id="51"/>
      <w:bookmarkEnd w:id="52"/>
      <w:bookmarkEnd w:id="53"/>
      <w:bookmarkEnd w:id="54"/>
      <w:r>
        <w:t>Proportion of assets replaced</w:t>
      </w:r>
      <w:bookmarkEnd w:id="55"/>
    </w:p>
    <w:p w14:paraId="2DC2AEEF" w14:textId="20BDC0F9" w:rsidR="00776284" w:rsidRDefault="00776284" w:rsidP="00DD7179">
      <w:r>
        <w:t>This section provides an estimate of the proportion of assets replaced for each year of the current regulatory control period.</w:t>
      </w:r>
    </w:p>
    <w:p w14:paraId="3D7E921A" w14:textId="2C904BED" w:rsidR="00DD7179" w:rsidRPr="00EB3119" w:rsidRDefault="00B27C70" w:rsidP="00DD7179">
      <w:r w:rsidRPr="00B27C70">
        <w:t xml:space="preserve">When recording project data, where an augmentation driver exists for projects that include replacement of assets, these projects have been captured as augmentation projects. </w:t>
      </w:r>
      <w:r w:rsidR="00DD7179" w:rsidRPr="00CF2701">
        <w:t>This means that the level of asset replacement may be obscured due to augmentation projects</w:t>
      </w:r>
      <w:r w:rsidR="00DD7179">
        <w:t xml:space="preserve">. </w:t>
      </w:r>
    </w:p>
    <w:p w14:paraId="3BB7D5CC" w14:textId="57E5B3CF" w:rsidR="00DD7179" w:rsidRDefault="00DD7179" w:rsidP="00DD7179">
      <w:pPr>
        <w:pStyle w:val="Heading3"/>
      </w:pPr>
      <w:bookmarkStart w:id="56" w:name="_Toc394570317"/>
      <w:bookmarkStart w:id="57" w:name="_Toc394571487"/>
      <w:bookmarkStart w:id="58" w:name="_Ref396400352"/>
      <w:bookmarkStart w:id="59" w:name="_Ref396895698"/>
      <w:bookmarkStart w:id="60" w:name="_Toc397097250"/>
      <w:r w:rsidRPr="005F2E4A">
        <w:t>Replacements due to asset ag</w:t>
      </w:r>
      <w:r w:rsidR="00D22E03">
        <w:t>e</w:t>
      </w:r>
      <w:r w:rsidRPr="005F2E4A">
        <w:t>ing</w:t>
      </w:r>
      <w:bookmarkEnd w:id="56"/>
      <w:bookmarkEnd w:id="57"/>
      <w:bookmarkEnd w:id="58"/>
      <w:bookmarkEnd w:id="59"/>
      <w:bookmarkEnd w:id="60"/>
    </w:p>
    <w:p w14:paraId="1691D199" w14:textId="5014D8F4" w:rsidR="00DD7179" w:rsidRPr="00D22E03" w:rsidRDefault="00DD7179" w:rsidP="00DD7179">
      <w:r w:rsidRPr="00D22E03">
        <w:t xml:space="preserve">Asset replacement volumes due to asset ageing </w:t>
      </w:r>
      <w:r w:rsidR="004A31EE" w:rsidRPr="00D22E03">
        <w:t>only include assets replaced under replacement projects</w:t>
      </w:r>
      <w:r w:rsidR="004A31EE">
        <w:t>. These</w:t>
      </w:r>
      <w:r w:rsidR="004A31EE" w:rsidRPr="00D22E03">
        <w:t xml:space="preserve"> </w:t>
      </w:r>
      <w:r w:rsidRPr="00D22E03">
        <w:t xml:space="preserve">are </w:t>
      </w:r>
      <w:r w:rsidR="004A31EE">
        <w:t xml:space="preserve">consistent with </w:t>
      </w:r>
      <w:r w:rsidR="000309CB">
        <w:t>expenditure</w:t>
      </w:r>
      <w:r w:rsidR="004A31EE">
        <w:t xml:space="preserve"> reported against</w:t>
      </w:r>
      <w:r w:rsidRPr="00D22E03">
        <w:t xml:space="preserve"> Table 2.2.1 of </w:t>
      </w:r>
      <w:r w:rsidR="004A31EE">
        <w:t>Reset</w:t>
      </w:r>
      <w:r w:rsidR="00BA1AE1" w:rsidRPr="00D22E03">
        <w:t xml:space="preserve"> </w:t>
      </w:r>
      <w:r w:rsidRPr="00D22E03">
        <w:t>RIN</w:t>
      </w:r>
      <w:r w:rsidR="00C94305" w:rsidRPr="00D22E03">
        <w:t xml:space="preserve">. </w:t>
      </w:r>
      <w:r w:rsidRPr="00D22E03">
        <w:t>The estimate does not include the number of assets that were replaced under augmentation or customer initiated project codes.</w:t>
      </w:r>
    </w:p>
    <w:p w14:paraId="73228FEE" w14:textId="4C2E8E7D" w:rsidR="00DD7179" w:rsidRPr="00D22E03" w:rsidRDefault="00DD7179" w:rsidP="00DD7179">
      <w:r w:rsidRPr="00D22E03">
        <w:fldChar w:fldCharType="begin"/>
      </w:r>
      <w:r w:rsidRPr="00D22E03">
        <w:instrText xml:space="preserve"> REF _Ref391808072 \h  \* MERGEFORMAT </w:instrText>
      </w:r>
      <w:r w:rsidRPr="00D22E03">
        <w:fldChar w:fldCharType="separate"/>
      </w:r>
      <w:r w:rsidR="00B27C70" w:rsidRPr="00D22E03">
        <w:t>Table </w:t>
      </w:r>
      <w:r w:rsidR="00B27C70">
        <w:t>2</w:t>
      </w:r>
      <w:r w:rsidR="00B27C70">
        <w:noBreakHyphen/>
        <w:t>3</w:t>
      </w:r>
      <w:r w:rsidRPr="00D22E03">
        <w:fldChar w:fldCharType="end"/>
      </w:r>
      <w:r w:rsidR="00D22E03" w:rsidRPr="00D22E03">
        <w:t xml:space="preserve"> shows the assets replaced as a p</w:t>
      </w:r>
      <w:r w:rsidR="00435485">
        <w:t>ercentage</w:t>
      </w:r>
      <w:r w:rsidR="00D22E03" w:rsidRPr="00D22E03">
        <w:t xml:space="preserve"> of the total asset population</w:t>
      </w:r>
      <w:r w:rsidRPr="00D22E03">
        <w:t>.</w:t>
      </w:r>
      <w:r w:rsidR="00F87004">
        <w:t xml:space="preserve"> This is reported at the asset group level to average out the variability found when reporting at the asset category </w:t>
      </w:r>
      <w:r w:rsidR="00F87004" w:rsidRPr="00AA3C4D">
        <w:t>level.</w:t>
      </w:r>
      <w:r w:rsidR="00633D8F" w:rsidRPr="00AA3C4D">
        <w:t xml:space="preserve"> </w:t>
      </w:r>
    </w:p>
    <w:p w14:paraId="3418F9CA" w14:textId="77777777" w:rsidR="00EE16D8" w:rsidRDefault="00EE16D8">
      <w:pPr>
        <w:keepLines w:val="0"/>
        <w:spacing w:before="0" w:after="200" w:line="276" w:lineRule="auto"/>
        <w:rPr>
          <w:b/>
          <w:bCs/>
          <w:szCs w:val="18"/>
        </w:rPr>
      </w:pPr>
      <w:bookmarkStart w:id="61" w:name="_Ref391808072"/>
      <w:bookmarkStart w:id="62" w:name="_Toc390670018"/>
      <w:bookmarkStart w:id="63" w:name="_Toc390670031"/>
      <w:bookmarkStart w:id="64" w:name="_Toc397097289"/>
      <w:r>
        <w:br w:type="page"/>
      </w:r>
    </w:p>
    <w:p w14:paraId="0FF883E4" w14:textId="23D16B95" w:rsidR="00DD7179" w:rsidRPr="00D22E03" w:rsidRDefault="00DD7179" w:rsidP="004A31EE">
      <w:pPr>
        <w:pStyle w:val="Caption"/>
      </w:pPr>
      <w:r w:rsidRPr="00D22E03">
        <w:t>Table </w:t>
      </w:r>
      <w:fldSimple w:instr=" STYLEREF 1 \s ">
        <w:r w:rsidR="00B27C70">
          <w:rPr>
            <w:noProof/>
          </w:rPr>
          <w:t>2</w:t>
        </w:r>
      </w:fldSimple>
      <w:r w:rsidR="00771CAE">
        <w:noBreakHyphen/>
      </w:r>
      <w:fldSimple w:instr=" SEQ Table \* ARABIC \s 1 ">
        <w:r w:rsidR="00B27C70">
          <w:rPr>
            <w:noProof/>
          </w:rPr>
          <w:t>3</w:t>
        </w:r>
      </w:fldSimple>
      <w:bookmarkEnd w:id="61"/>
      <w:r w:rsidRPr="00D22E03">
        <w:tab/>
      </w:r>
      <w:r w:rsidR="00D22E03" w:rsidRPr="00D22E03">
        <w:t>Replacements due to asset ageing</w:t>
      </w:r>
      <w:bookmarkEnd w:id="62"/>
      <w:bookmarkEnd w:id="63"/>
      <w:bookmarkEnd w:id="64"/>
    </w:p>
    <w:tbl>
      <w:tblPr>
        <w:tblStyle w:val="TableGrid"/>
        <w:tblW w:w="9072" w:type="dxa"/>
        <w:jc w:val="center"/>
        <w:tblLook w:val="04A0" w:firstRow="1" w:lastRow="0" w:firstColumn="1" w:lastColumn="0" w:noHBand="0" w:noVBand="1"/>
      </w:tblPr>
      <w:tblGrid>
        <w:gridCol w:w="2765"/>
        <w:gridCol w:w="1351"/>
        <w:gridCol w:w="1239"/>
        <w:gridCol w:w="1239"/>
        <w:gridCol w:w="1239"/>
        <w:gridCol w:w="1239"/>
      </w:tblGrid>
      <w:tr w:rsidR="00DD7179" w:rsidRPr="000309CB" w14:paraId="4C0DC40F" w14:textId="77777777" w:rsidTr="00D22E03">
        <w:trPr>
          <w:cnfStyle w:val="100000000000" w:firstRow="1" w:lastRow="0" w:firstColumn="0" w:lastColumn="0" w:oddVBand="0" w:evenVBand="0" w:oddHBand="0" w:evenHBand="0" w:firstRowFirstColumn="0" w:firstRowLastColumn="0" w:lastRowFirstColumn="0" w:lastRowLastColumn="0"/>
          <w:cantSplit/>
          <w:trHeight w:val="705"/>
          <w:tblHeader/>
          <w:jc w:val="center"/>
        </w:trPr>
        <w:tc>
          <w:tcPr>
            <w:cnfStyle w:val="001000000000" w:firstRow="0" w:lastRow="0" w:firstColumn="1" w:lastColumn="0" w:oddVBand="0" w:evenVBand="0" w:oddHBand="0" w:evenHBand="0" w:firstRowFirstColumn="0" w:firstRowLastColumn="0" w:lastRowFirstColumn="0" w:lastRowLastColumn="0"/>
            <w:tcW w:w="2877" w:type="dxa"/>
            <w:vMerge w:val="restart"/>
          </w:tcPr>
          <w:p w14:paraId="4BE880FE" w14:textId="77777777" w:rsidR="00DD7179" w:rsidRPr="008A3A40" w:rsidRDefault="00DD7179" w:rsidP="00EE16D8">
            <w:pPr>
              <w:pStyle w:val="TableText"/>
              <w:keepNext/>
              <w:spacing w:before="120" w:after="0"/>
              <w:contextualSpacing/>
              <w:rPr>
                <w:szCs w:val="20"/>
              </w:rPr>
            </w:pPr>
            <w:r w:rsidRPr="008A3A40">
              <w:rPr>
                <w:szCs w:val="20"/>
              </w:rPr>
              <w:t>Asset group</w:t>
            </w:r>
          </w:p>
        </w:tc>
        <w:tc>
          <w:tcPr>
            <w:tcW w:w="6195" w:type="dxa"/>
            <w:gridSpan w:val="5"/>
          </w:tcPr>
          <w:p w14:paraId="31A96ED6" w14:textId="77D5340F" w:rsidR="00DD7179" w:rsidRPr="008A3A40" w:rsidRDefault="00F87004" w:rsidP="00EE16D8">
            <w:pPr>
              <w:pStyle w:val="TableText"/>
              <w:keepNext/>
              <w:spacing w:before="120" w:after="0"/>
              <w:contextualSpacing/>
              <w:cnfStyle w:val="100000000000" w:firstRow="1" w:lastRow="0" w:firstColumn="0" w:lastColumn="0" w:oddVBand="0" w:evenVBand="0" w:oddHBand="0" w:evenHBand="0" w:firstRowFirstColumn="0" w:firstRowLastColumn="0" w:lastRowFirstColumn="0" w:lastRowLastColumn="0"/>
              <w:rPr>
                <w:szCs w:val="20"/>
              </w:rPr>
            </w:pPr>
            <w:r w:rsidRPr="008A3A40">
              <w:rPr>
                <w:szCs w:val="20"/>
              </w:rPr>
              <w:t>Proportion</w:t>
            </w:r>
            <w:r w:rsidR="00D22E03" w:rsidRPr="008A3A40">
              <w:rPr>
                <w:szCs w:val="20"/>
              </w:rPr>
              <w:t xml:space="preserve"> of assets replaced</w:t>
            </w:r>
          </w:p>
        </w:tc>
      </w:tr>
      <w:tr w:rsidR="008A3A40" w:rsidRPr="000309CB" w14:paraId="02C9C214" w14:textId="77777777" w:rsidTr="008A3A40">
        <w:trPr>
          <w:cnfStyle w:val="100000000000" w:firstRow="1" w:lastRow="0" w:firstColumn="0" w:lastColumn="0" w:oddVBand="0" w:evenVBand="0" w:oddHBand="0" w:evenHBand="0" w:firstRowFirstColumn="0" w:firstRowLastColumn="0" w:lastRowFirstColumn="0" w:lastRowLastColumn="0"/>
          <w:cantSplit/>
          <w:trHeight w:val="587"/>
          <w:tblHeader/>
          <w:jc w:val="center"/>
        </w:trPr>
        <w:tc>
          <w:tcPr>
            <w:cnfStyle w:val="001000000000" w:firstRow="0" w:lastRow="0" w:firstColumn="1" w:lastColumn="0" w:oddVBand="0" w:evenVBand="0" w:oddHBand="0" w:evenHBand="0" w:firstRowFirstColumn="0" w:firstRowLastColumn="0" w:lastRowFirstColumn="0" w:lastRowLastColumn="0"/>
            <w:tcW w:w="2877" w:type="dxa"/>
            <w:vMerge/>
          </w:tcPr>
          <w:p w14:paraId="472755C1" w14:textId="77777777" w:rsidR="008A3A40" w:rsidRPr="008A3A40" w:rsidRDefault="008A3A40" w:rsidP="00EE16D8">
            <w:pPr>
              <w:pStyle w:val="TableText"/>
              <w:spacing w:before="120" w:after="0"/>
              <w:contextualSpacing/>
              <w:rPr>
                <w:szCs w:val="20"/>
              </w:rPr>
            </w:pPr>
          </w:p>
        </w:tc>
        <w:tc>
          <w:tcPr>
            <w:tcW w:w="1239" w:type="dxa"/>
          </w:tcPr>
          <w:p w14:paraId="4B11B2F1" w14:textId="03340EC4" w:rsidR="008A3A40" w:rsidRPr="008A3A40" w:rsidRDefault="008A3A40" w:rsidP="00EE16D8">
            <w:pPr>
              <w:pStyle w:val="TableText"/>
              <w:spacing w:before="120" w:after="0"/>
              <w:contextualSpacing/>
              <w:cnfStyle w:val="100000000000" w:firstRow="1" w:lastRow="0" w:firstColumn="0" w:lastColumn="0" w:oddVBand="0" w:evenVBand="0" w:oddHBand="0" w:evenHBand="0" w:firstRowFirstColumn="0" w:firstRowLastColumn="0" w:lastRowFirstColumn="0" w:lastRowLastColumn="0"/>
              <w:rPr>
                <w:rFonts w:ascii="Arial" w:hAnsi="Arial"/>
                <w:szCs w:val="20"/>
              </w:rPr>
            </w:pPr>
            <w:r w:rsidRPr="008A3A40">
              <w:rPr>
                <w:rFonts w:ascii="Arial" w:hAnsi="Arial"/>
                <w:bCs/>
                <w:color w:val="000000"/>
                <w:szCs w:val="20"/>
              </w:rPr>
              <w:t>2010</w:t>
            </w:r>
          </w:p>
        </w:tc>
        <w:tc>
          <w:tcPr>
            <w:tcW w:w="1239" w:type="dxa"/>
          </w:tcPr>
          <w:p w14:paraId="010A9BA0" w14:textId="1CFCE521" w:rsidR="008A3A40" w:rsidRPr="008A3A40" w:rsidRDefault="008A3A40" w:rsidP="00EE16D8">
            <w:pPr>
              <w:pStyle w:val="TableText"/>
              <w:spacing w:before="120" w:after="0"/>
              <w:contextualSpacing/>
              <w:cnfStyle w:val="100000000000" w:firstRow="1" w:lastRow="0" w:firstColumn="0" w:lastColumn="0" w:oddVBand="0" w:evenVBand="0" w:oddHBand="0" w:evenHBand="0" w:firstRowFirstColumn="0" w:firstRowLastColumn="0" w:lastRowFirstColumn="0" w:lastRowLastColumn="0"/>
              <w:rPr>
                <w:rFonts w:ascii="Arial" w:hAnsi="Arial"/>
                <w:szCs w:val="20"/>
              </w:rPr>
            </w:pPr>
            <w:r w:rsidRPr="008A3A40">
              <w:rPr>
                <w:rFonts w:ascii="Arial" w:hAnsi="Arial"/>
                <w:bCs/>
                <w:color w:val="000000"/>
                <w:szCs w:val="20"/>
              </w:rPr>
              <w:t>2011</w:t>
            </w:r>
          </w:p>
        </w:tc>
        <w:tc>
          <w:tcPr>
            <w:tcW w:w="1239" w:type="dxa"/>
          </w:tcPr>
          <w:p w14:paraId="0F00F4F6" w14:textId="62755B97" w:rsidR="008A3A40" w:rsidRPr="008A3A40" w:rsidRDefault="008A3A40" w:rsidP="00EE16D8">
            <w:pPr>
              <w:pStyle w:val="TableText"/>
              <w:spacing w:before="120" w:after="0"/>
              <w:contextualSpacing/>
              <w:cnfStyle w:val="100000000000" w:firstRow="1" w:lastRow="0" w:firstColumn="0" w:lastColumn="0" w:oddVBand="0" w:evenVBand="0" w:oddHBand="0" w:evenHBand="0" w:firstRowFirstColumn="0" w:firstRowLastColumn="0" w:lastRowFirstColumn="0" w:lastRowLastColumn="0"/>
              <w:rPr>
                <w:rFonts w:ascii="Arial" w:hAnsi="Arial"/>
                <w:szCs w:val="20"/>
              </w:rPr>
            </w:pPr>
            <w:r w:rsidRPr="008A3A40">
              <w:rPr>
                <w:rFonts w:ascii="Arial" w:hAnsi="Arial"/>
                <w:bCs/>
                <w:color w:val="000000"/>
                <w:szCs w:val="20"/>
              </w:rPr>
              <w:t>2012</w:t>
            </w:r>
          </w:p>
        </w:tc>
        <w:tc>
          <w:tcPr>
            <w:tcW w:w="1239" w:type="dxa"/>
          </w:tcPr>
          <w:p w14:paraId="32C23ED0" w14:textId="13EFF287" w:rsidR="008A3A40" w:rsidRPr="008A3A40" w:rsidRDefault="008A3A40" w:rsidP="00EE16D8">
            <w:pPr>
              <w:pStyle w:val="TableText"/>
              <w:spacing w:before="120" w:after="0"/>
              <w:contextualSpacing/>
              <w:cnfStyle w:val="100000000000" w:firstRow="1" w:lastRow="0" w:firstColumn="0" w:lastColumn="0" w:oddVBand="0" w:evenVBand="0" w:oddHBand="0" w:evenHBand="0" w:firstRowFirstColumn="0" w:firstRowLastColumn="0" w:lastRowFirstColumn="0" w:lastRowLastColumn="0"/>
              <w:rPr>
                <w:rFonts w:ascii="Arial" w:hAnsi="Arial"/>
                <w:szCs w:val="20"/>
                <w:highlight w:val="yellow"/>
              </w:rPr>
            </w:pPr>
            <w:r w:rsidRPr="008A3A40">
              <w:rPr>
                <w:rFonts w:ascii="Arial" w:hAnsi="Arial"/>
                <w:bCs/>
                <w:color w:val="000000"/>
                <w:szCs w:val="20"/>
              </w:rPr>
              <w:t>2013</w:t>
            </w:r>
          </w:p>
        </w:tc>
        <w:tc>
          <w:tcPr>
            <w:tcW w:w="1239" w:type="dxa"/>
          </w:tcPr>
          <w:p w14:paraId="60F06E71" w14:textId="349CB670" w:rsidR="008A3A40" w:rsidRPr="008A3A40" w:rsidRDefault="008A3A40" w:rsidP="00EE16D8">
            <w:pPr>
              <w:pStyle w:val="TableText"/>
              <w:spacing w:before="120" w:after="0"/>
              <w:contextualSpacing/>
              <w:cnfStyle w:val="100000000000" w:firstRow="1" w:lastRow="0" w:firstColumn="0" w:lastColumn="0" w:oddVBand="0" w:evenVBand="0" w:oddHBand="0" w:evenHBand="0" w:firstRowFirstColumn="0" w:firstRowLastColumn="0" w:lastRowFirstColumn="0" w:lastRowLastColumn="0"/>
              <w:rPr>
                <w:rFonts w:ascii="Arial" w:hAnsi="Arial"/>
                <w:szCs w:val="20"/>
                <w:highlight w:val="yellow"/>
              </w:rPr>
            </w:pPr>
            <w:r w:rsidRPr="008A3A40">
              <w:rPr>
                <w:rFonts w:ascii="Arial" w:hAnsi="Arial"/>
                <w:bCs/>
                <w:color w:val="000000"/>
                <w:szCs w:val="20"/>
              </w:rPr>
              <w:t>2014</w:t>
            </w:r>
          </w:p>
        </w:tc>
      </w:tr>
      <w:tr w:rsidR="008A3A40" w:rsidRPr="000309CB" w14:paraId="32EC0DB3" w14:textId="77777777" w:rsidTr="008A3A40">
        <w:trPr>
          <w:cnfStyle w:val="000000100000" w:firstRow="0" w:lastRow="0" w:firstColumn="0" w:lastColumn="0" w:oddVBand="0" w:evenVBand="0" w:oddHBand="1" w:evenHBand="0"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2877" w:type="dxa"/>
          </w:tcPr>
          <w:p w14:paraId="11272D0B" w14:textId="0D7024A4" w:rsidR="008A3A40" w:rsidRPr="008A3A40" w:rsidRDefault="008A3A40" w:rsidP="00EE16D8">
            <w:pPr>
              <w:pStyle w:val="TableText"/>
              <w:spacing w:before="120" w:after="0"/>
              <w:contextualSpacing/>
              <w:rPr>
                <w:szCs w:val="20"/>
              </w:rPr>
            </w:pPr>
            <w:r w:rsidRPr="008A3A40">
              <w:t>Poles (ea.)</w:t>
            </w:r>
          </w:p>
        </w:tc>
        <w:tc>
          <w:tcPr>
            <w:tcW w:w="1239" w:type="dxa"/>
            <w:vAlign w:val="center"/>
          </w:tcPr>
          <w:p w14:paraId="26F7C62F" w14:textId="249F20A2" w:rsidR="008A3A40" w:rsidRPr="008A3A40" w:rsidRDefault="008A3A40" w:rsidP="00EE16D8">
            <w:pPr>
              <w:pStyle w:val="TableText"/>
              <w:tabs>
                <w:tab w:val="decimal" w:pos="567"/>
              </w:tabs>
              <w:spacing w:before="120" w:after="0"/>
              <w:contextualSpacing/>
              <w:jc w:val="right"/>
              <w:cnfStyle w:val="000000100000" w:firstRow="0" w:lastRow="0" w:firstColumn="0" w:lastColumn="0" w:oddVBand="0" w:evenVBand="0" w:oddHBand="1" w:evenHBand="0" w:firstRowFirstColumn="0" w:firstRowLastColumn="0" w:lastRowFirstColumn="0" w:lastRowLastColumn="0"/>
              <w:rPr>
                <w:szCs w:val="20"/>
              </w:rPr>
            </w:pPr>
            <w:r w:rsidRPr="008A3A40">
              <w:rPr>
                <w:color w:val="000000"/>
                <w:szCs w:val="20"/>
              </w:rPr>
              <w:t>0.80%</w:t>
            </w:r>
          </w:p>
        </w:tc>
        <w:tc>
          <w:tcPr>
            <w:tcW w:w="1239" w:type="dxa"/>
            <w:vAlign w:val="center"/>
          </w:tcPr>
          <w:p w14:paraId="0A7AB29F" w14:textId="13423704" w:rsidR="008A3A40" w:rsidRPr="008A3A40" w:rsidRDefault="008A3A40" w:rsidP="00EE16D8">
            <w:pPr>
              <w:pStyle w:val="TableText"/>
              <w:tabs>
                <w:tab w:val="decimal" w:pos="567"/>
              </w:tabs>
              <w:spacing w:before="120" w:after="0"/>
              <w:contextualSpacing/>
              <w:jc w:val="right"/>
              <w:cnfStyle w:val="000000100000" w:firstRow="0" w:lastRow="0" w:firstColumn="0" w:lastColumn="0" w:oddVBand="0" w:evenVBand="0" w:oddHBand="1" w:evenHBand="0" w:firstRowFirstColumn="0" w:firstRowLastColumn="0" w:lastRowFirstColumn="0" w:lastRowLastColumn="0"/>
              <w:rPr>
                <w:szCs w:val="20"/>
              </w:rPr>
            </w:pPr>
            <w:r w:rsidRPr="008A3A40">
              <w:rPr>
                <w:color w:val="000000"/>
                <w:szCs w:val="20"/>
              </w:rPr>
              <w:t>0.53%</w:t>
            </w:r>
          </w:p>
        </w:tc>
        <w:tc>
          <w:tcPr>
            <w:tcW w:w="1239" w:type="dxa"/>
            <w:vAlign w:val="center"/>
          </w:tcPr>
          <w:p w14:paraId="2023446C" w14:textId="71921664" w:rsidR="008A3A40" w:rsidRPr="008A3A40" w:rsidRDefault="008A3A40" w:rsidP="00EE16D8">
            <w:pPr>
              <w:pStyle w:val="TableText"/>
              <w:tabs>
                <w:tab w:val="decimal" w:pos="567"/>
              </w:tabs>
              <w:spacing w:before="120" w:after="0"/>
              <w:contextualSpacing/>
              <w:jc w:val="right"/>
              <w:cnfStyle w:val="000000100000" w:firstRow="0" w:lastRow="0" w:firstColumn="0" w:lastColumn="0" w:oddVBand="0" w:evenVBand="0" w:oddHBand="1" w:evenHBand="0" w:firstRowFirstColumn="0" w:firstRowLastColumn="0" w:lastRowFirstColumn="0" w:lastRowLastColumn="0"/>
              <w:rPr>
                <w:szCs w:val="20"/>
              </w:rPr>
            </w:pPr>
            <w:r w:rsidRPr="008A3A40">
              <w:rPr>
                <w:color w:val="000000"/>
                <w:szCs w:val="20"/>
              </w:rPr>
              <w:t>1.29%</w:t>
            </w:r>
          </w:p>
        </w:tc>
        <w:tc>
          <w:tcPr>
            <w:tcW w:w="1239" w:type="dxa"/>
            <w:vAlign w:val="center"/>
          </w:tcPr>
          <w:p w14:paraId="0404A1BB" w14:textId="09B69B67" w:rsidR="008A3A40" w:rsidRPr="008A3A40" w:rsidRDefault="008A3A40" w:rsidP="00EE16D8">
            <w:pPr>
              <w:pStyle w:val="TableText"/>
              <w:tabs>
                <w:tab w:val="decimal" w:pos="567"/>
              </w:tabs>
              <w:spacing w:before="120" w:after="0"/>
              <w:contextualSpacing/>
              <w:jc w:val="right"/>
              <w:cnfStyle w:val="000000100000" w:firstRow="0" w:lastRow="0" w:firstColumn="0" w:lastColumn="0" w:oddVBand="0" w:evenVBand="0" w:oddHBand="1" w:evenHBand="0" w:firstRowFirstColumn="0" w:firstRowLastColumn="0" w:lastRowFirstColumn="0" w:lastRowLastColumn="0"/>
              <w:rPr>
                <w:szCs w:val="20"/>
                <w:highlight w:val="yellow"/>
              </w:rPr>
            </w:pPr>
            <w:r w:rsidRPr="008A3A40">
              <w:rPr>
                <w:color w:val="000000"/>
                <w:szCs w:val="20"/>
              </w:rPr>
              <w:t>1.28%</w:t>
            </w:r>
          </w:p>
        </w:tc>
        <w:tc>
          <w:tcPr>
            <w:tcW w:w="1239" w:type="dxa"/>
            <w:vAlign w:val="center"/>
          </w:tcPr>
          <w:p w14:paraId="40BD22C7" w14:textId="3539E746" w:rsidR="008A3A40" w:rsidRPr="008A3A40" w:rsidRDefault="008A3A40" w:rsidP="00EE16D8">
            <w:pPr>
              <w:pStyle w:val="TableText"/>
              <w:tabs>
                <w:tab w:val="decimal" w:pos="567"/>
              </w:tabs>
              <w:spacing w:before="120" w:after="0"/>
              <w:contextualSpacing/>
              <w:jc w:val="right"/>
              <w:cnfStyle w:val="000000100000" w:firstRow="0" w:lastRow="0" w:firstColumn="0" w:lastColumn="0" w:oddVBand="0" w:evenVBand="0" w:oddHBand="1" w:evenHBand="0" w:firstRowFirstColumn="0" w:firstRowLastColumn="0" w:lastRowFirstColumn="0" w:lastRowLastColumn="0"/>
              <w:rPr>
                <w:szCs w:val="20"/>
                <w:highlight w:val="yellow"/>
              </w:rPr>
            </w:pPr>
            <w:r w:rsidRPr="008A3A40">
              <w:rPr>
                <w:color w:val="000000"/>
                <w:szCs w:val="20"/>
              </w:rPr>
              <w:t>1.57%</w:t>
            </w:r>
          </w:p>
        </w:tc>
      </w:tr>
      <w:tr w:rsidR="008A3A40" w:rsidRPr="000309CB" w14:paraId="1619BDFD" w14:textId="77777777" w:rsidTr="008A3A40">
        <w:trPr>
          <w:cnfStyle w:val="000000010000" w:firstRow="0" w:lastRow="0" w:firstColumn="0" w:lastColumn="0" w:oddVBand="0" w:evenVBand="0" w:oddHBand="0" w:evenHBand="1"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2877" w:type="dxa"/>
          </w:tcPr>
          <w:p w14:paraId="761FF963" w14:textId="58FB60FD" w:rsidR="008A3A40" w:rsidRPr="008A3A40" w:rsidRDefault="008A3A40" w:rsidP="00EE16D8">
            <w:pPr>
              <w:pStyle w:val="TableText"/>
              <w:spacing w:before="120" w:after="0"/>
              <w:contextualSpacing/>
              <w:rPr>
                <w:szCs w:val="20"/>
              </w:rPr>
            </w:pPr>
            <w:r w:rsidRPr="008A3A40">
              <w:t>Pole top structures (ea.)</w:t>
            </w:r>
          </w:p>
        </w:tc>
        <w:tc>
          <w:tcPr>
            <w:tcW w:w="1239" w:type="dxa"/>
            <w:vAlign w:val="center"/>
          </w:tcPr>
          <w:p w14:paraId="43AF2F4B" w14:textId="4938A85F" w:rsidR="008A3A40" w:rsidRPr="008A3A40" w:rsidRDefault="008A3A40" w:rsidP="00EE16D8">
            <w:pPr>
              <w:pStyle w:val="TableText"/>
              <w:tabs>
                <w:tab w:val="decimal" w:pos="567"/>
              </w:tabs>
              <w:spacing w:before="120" w:after="0"/>
              <w:contextualSpacing/>
              <w:jc w:val="right"/>
              <w:cnfStyle w:val="000000010000" w:firstRow="0" w:lastRow="0" w:firstColumn="0" w:lastColumn="0" w:oddVBand="0" w:evenVBand="0" w:oddHBand="0" w:evenHBand="1" w:firstRowFirstColumn="0" w:firstRowLastColumn="0" w:lastRowFirstColumn="0" w:lastRowLastColumn="0"/>
              <w:rPr>
                <w:szCs w:val="20"/>
              </w:rPr>
            </w:pPr>
            <w:r w:rsidRPr="008A3A40">
              <w:rPr>
                <w:color w:val="000000"/>
                <w:szCs w:val="20"/>
              </w:rPr>
              <w:t>1.09%</w:t>
            </w:r>
          </w:p>
        </w:tc>
        <w:tc>
          <w:tcPr>
            <w:tcW w:w="1239" w:type="dxa"/>
            <w:vAlign w:val="center"/>
          </w:tcPr>
          <w:p w14:paraId="32B6327A" w14:textId="242643F2" w:rsidR="008A3A40" w:rsidRPr="008A3A40" w:rsidRDefault="008A3A40" w:rsidP="00EE16D8">
            <w:pPr>
              <w:pStyle w:val="TableText"/>
              <w:tabs>
                <w:tab w:val="decimal" w:pos="567"/>
              </w:tabs>
              <w:spacing w:before="120" w:after="0"/>
              <w:contextualSpacing/>
              <w:jc w:val="right"/>
              <w:cnfStyle w:val="000000010000" w:firstRow="0" w:lastRow="0" w:firstColumn="0" w:lastColumn="0" w:oddVBand="0" w:evenVBand="0" w:oddHBand="0" w:evenHBand="1" w:firstRowFirstColumn="0" w:firstRowLastColumn="0" w:lastRowFirstColumn="0" w:lastRowLastColumn="0"/>
              <w:rPr>
                <w:szCs w:val="20"/>
              </w:rPr>
            </w:pPr>
            <w:r w:rsidRPr="008A3A40">
              <w:rPr>
                <w:color w:val="000000"/>
                <w:szCs w:val="20"/>
              </w:rPr>
              <w:t>0.66%</w:t>
            </w:r>
          </w:p>
        </w:tc>
        <w:tc>
          <w:tcPr>
            <w:tcW w:w="1239" w:type="dxa"/>
            <w:vAlign w:val="center"/>
          </w:tcPr>
          <w:p w14:paraId="12BB512F" w14:textId="610DED1C" w:rsidR="008A3A40" w:rsidRPr="008A3A40" w:rsidRDefault="008A3A40" w:rsidP="00EE16D8">
            <w:pPr>
              <w:pStyle w:val="TableText"/>
              <w:tabs>
                <w:tab w:val="decimal" w:pos="567"/>
              </w:tabs>
              <w:spacing w:before="120" w:after="0"/>
              <w:contextualSpacing/>
              <w:jc w:val="right"/>
              <w:cnfStyle w:val="000000010000" w:firstRow="0" w:lastRow="0" w:firstColumn="0" w:lastColumn="0" w:oddVBand="0" w:evenVBand="0" w:oddHBand="0" w:evenHBand="1" w:firstRowFirstColumn="0" w:firstRowLastColumn="0" w:lastRowFirstColumn="0" w:lastRowLastColumn="0"/>
              <w:rPr>
                <w:szCs w:val="20"/>
              </w:rPr>
            </w:pPr>
            <w:r w:rsidRPr="008A3A40">
              <w:rPr>
                <w:color w:val="000000"/>
                <w:szCs w:val="20"/>
              </w:rPr>
              <w:t>2.11%</w:t>
            </w:r>
          </w:p>
        </w:tc>
        <w:tc>
          <w:tcPr>
            <w:tcW w:w="1239" w:type="dxa"/>
            <w:vAlign w:val="center"/>
          </w:tcPr>
          <w:p w14:paraId="372629E7" w14:textId="46CC3750" w:rsidR="008A3A40" w:rsidRPr="008A3A40" w:rsidRDefault="008A3A40" w:rsidP="00EE16D8">
            <w:pPr>
              <w:pStyle w:val="TableText"/>
              <w:tabs>
                <w:tab w:val="decimal" w:pos="567"/>
              </w:tabs>
              <w:spacing w:before="120" w:after="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sidRPr="008A3A40">
              <w:rPr>
                <w:color w:val="000000"/>
                <w:szCs w:val="20"/>
              </w:rPr>
              <w:t>2.10%</w:t>
            </w:r>
          </w:p>
        </w:tc>
        <w:tc>
          <w:tcPr>
            <w:tcW w:w="1239" w:type="dxa"/>
            <w:vAlign w:val="center"/>
          </w:tcPr>
          <w:p w14:paraId="4E2254BD" w14:textId="08838A3B" w:rsidR="008A3A40" w:rsidRPr="008A3A40" w:rsidRDefault="008A3A40" w:rsidP="00EE16D8">
            <w:pPr>
              <w:pStyle w:val="TableText"/>
              <w:tabs>
                <w:tab w:val="decimal" w:pos="567"/>
              </w:tabs>
              <w:spacing w:before="120" w:after="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sidRPr="008A3A40">
              <w:rPr>
                <w:color w:val="000000"/>
                <w:szCs w:val="20"/>
              </w:rPr>
              <w:t>3.06%</w:t>
            </w:r>
          </w:p>
        </w:tc>
      </w:tr>
      <w:tr w:rsidR="008A3A40" w:rsidRPr="000309CB" w14:paraId="252C7562" w14:textId="77777777" w:rsidTr="008A3A40">
        <w:trPr>
          <w:cnfStyle w:val="000000100000" w:firstRow="0" w:lastRow="0" w:firstColumn="0" w:lastColumn="0" w:oddVBand="0" w:evenVBand="0" w:oddHBand="1" w:evenHBand="0"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2877" w:type="dxa"/>
          </w:tcPr>
          <w:p w14:paraId="749A58E4" w14:textId="172BC59D" w:rsidR="008A3A40" w:rsidRPr="008A3A40" w:rsidRDefault="008A3A40" w:rsidP="00EE16D8">
            <w:pPr>
              <w:pStyle w:val="TableText"/>
              <w:spacing w:before="120" w:after="0"/>
              <w:contextualSpacing/>
              <w:rPr>
                <w:szCs w:val="20"/>
              </w:rPr>
            </w:pPr>
            <w:r w:rsidRPr="008A3A40">
              <w:t>Overhead conductor (in km)</w:t>
            </w:r>
          </w:p>
        </w:tc>
        <w:tc>
          <w:tcPr>
            <w:tcW w:w="1239" w:type="dxa"/>
            <w:vAlign w:val="center"/>
          </w:tcPr>
          <w:p w14:paraId="605115B1" w14:textId="652149E7" w:rsidR="008A3A40" w:rsidRPr="008A3A40" w:rsidRDefault="008A3A40" w:rsidP="00EE16D8">
            <w:pPr>
              <w:pStyle w:val="TableText"/>
              <w:tabs>
                <w:tab w:val="decimal" w:pos="567"/>
              </w:tabs>
              <w:spacing w:before="120" w:after="0"/>
              <w:contextualSpacing/>
              <w:jc w:val="right"/>
              <w:cnfStyle w:val="000000100000" w:firstRow="0" w:lastRow="0" w:firstColumn="0" w:lastColumn="0" w:oddVBand="0" w:evenVBand="0" w:oddHBand="1" w:evenHBand="0" w:firstRowFirstColumn="0" w:firstRowLastColumn="0" w:lastRowFirstColumn="0" w:lastRowLastColumn="0"/>
              <w:rPr>
                <w:szCs w:val="20"/>
              </w:rPr>
            </w:pPr>
            <w:r w:rsidRPr="008A3A40">
              <w:rPr>
                <w:color w:val="000000"/>
                <w:szCs w:val="20"/>
              </w:rPr>
              <w:t>0.60%</w:t>
            </w:r>
          </w:p>
        </w:tc>
        <w:tc>
          <w:tcPr>
            <w:tcW w:w="1239" w:type="dxa"/>
            <w:vAlign w:val="center"/>
          </w:tcPr>
          <w:p w14:paraId="21BA12AD" w14:textId="7B890892" w:rsidR="008A3A40" w:rsidRPr="008A3A40" w:rsidRDefault="008A3A40" w:rsidP="00EE16D8">
            <w:pPr>
              <w:pStyle w:val="TableText"/>
              <w:tabs>
                <w:tab w:val="decimal" w:pos="567"/>
              </w:tabs>
              <w:spacing w:before="120" w:after="0"/>
              <w:contextualSpacing/>
              <w:jc w:val="right"/>
              <w:cnfStyle w:val="000000100000" w:firstRow="0" w:lastRow="0" w:firstColumn="0" w:lastColumn="0" w:oddVBand="0" w:evenVBand="0" w:oddHBand="1" w:evenHBand="0" w:firstRowFirstColumn="0" w:firstRowLastColumn="0" w:lastRowFirstColumn="0" w:lastRowLastColumn="0"/>
              <w:rPr>
                <w:szCs w:val="20"/>
              </w:rPr>
            </w:pPr>
            <w:r w:rsidRPr="008A3A40">
              <w:rPr>
                <w:color w:val="000000"/>
                <w:szCs w:val="20"/>
              </w:rPr>
              <w:t>0.59%</w:t>
            </w:r>
          </w:p>
        </w:tc>
        <w:tc>
          <w:tcPr>
            <w:tcW w:w="1239" w:type="dxa"/>
            <w:vAlign w:val="center"/>
          </w:tcPr>
          <w:p w14:paraId="7A6B357C" w14:textId="46539983" w:rsidR="008A3A40" w:rsidRPr="008A3A40" w:rsidRDefault="008A3A40" w:rsidP="00EE16D8">
            <w:pPr>
              <w:pStyle w:val="TableText"/>
              <w:tabs>
                <w:tab w:val="decimal" w:pos="567"/>
              </w:tabs>
              <w:spacing w:before="120" w:after="0"/>
              <w:contextualSpacing/>
              <w:jc w:val="right"/>
              <w:cnfStyle w:val="000000100000" w:firstRow="0" w:lastRow="0" w:firstColumn="0" w:lastColumn="0" w:oddVBand="0" w:evenVBand="0" w:oddHBand="1" w:evenHBand="0" w:firstRowFirstColumn="0" w:firstRowLastColumn="0" w:lastRowFirstColumn="0" w:lastRowLastColumn="0"/>
              <w:rPr>
                <w:szCs w:val="20"/>
              </w:rPr>
            </w:pPr>
            <w:r w:rsidRPr="008A3A40">
              <w:rPr>
                <w:color w:val="000000"/>
                <w:szCs w:val="20"/>
              </w:rPr>
              <w:t>1.47%</w:t>
            </w:r>
          </w:p>
        </w:tc>
        <w:tc>
          <w:tcPr>
            <w:tcW w:w="1239" w:type="dxa"/>
            <w:vAlign w:val="center"/>
          </w:tcPr>
          <w:p w14:paraId="7DEFD08D" w14:textId="5D2ECFDE" w:rsidR="008A3A40" w:rsidRPr="008A3A40" w:rsidRDefault="008A3A40" w:rsidP="00EE16D8">
            <w:pPr>
              <w:pStyle w:val="TableText"/>
              <w:tabs>
                <w:tab w:val="decimal" w:pos="567"/>
              </w:tabs>
              <w:spacing w:before="120" w:after="0"/>
              <w:contextualSpacing/>
              <w:jc w:val="right"/>
              <w:cnfStyle w:val="000000100000" w:firstRow="0" w:lastRow="0" w:firstColumn="0" w:lastColumn="0" w:oddVBand="0" w:evenVBand="0" w:oddHBand="1" w:evenHBand="0" w:firstRowFirstColumn="0" w:firstRowLastColumn="0" w:lastRowFirstColumn="0" w:lastRowLastColumn="0"/>
              <w:rPr>
                <w:szCs w:val="20"/>
                <w:highlight w:val="yellow"/>
              </w:rPr>
            </w:pPr>
            <w:r w:rsidRPr="008A3A40">
              <w:rPr>
                <w:color w:val="000000"/>
                <w:szCs w:val="20"/>
              </w:rPr>
              <w:t>1.47%</w:t>
            </w:r>
          </w:p>
        </w:tc>
        <w:tc>
          <w:tcPr>
            <w:tcW w:w="1239" w:type="dxa"/>
            <w:vAlign w:val="center"/>
          </w:tcPr>
          <w:p w14:paraId="7420B0D3" w14:textId="7DAE5128" w:rsidR="008A3A40" w:rsidRPr="008A3A40" w:rsidRDefault="008A3A40" w:rsidP="00EE16D8">
            <w:pPr>
              <w:pStyle w:val="TableText"/>
              <w:tabs>
                <w:tab w:val="decimal" w:pos="567"/>
              </w:tabs>
              <w:spacing w:before="120" w:after="0"/>
              <w:contextualSpacing/>
              <w:jc w:val="right"/>
              <w:cnfStyle w:val="000000100000" w:firstRow="0" w:lastRow="0" w:firstColumn="0" w:lastColumn="0" w:oddVBand="0" w:evenVBand="0" w:oddHBand="1" w:evenHBand="0" w:firstRowFirstColumn="0" w:firstRowLastColumn="0" w:lastRowFirstColumn="0" w:lastRowLastColumn="0"/>
              <w:rPr>
                <w:szCs w:val="20"/>
                <w:highlight w:val="yellow"/>
              </w:rPr>
            </w:pPr>
            <w:r w:rsidRPr="008A3A40">
              <w:rPr>
                <w:color w:val="000000"/>
                <w:szCs w:val="20"/>
              </w:rPr>
              <w:t>2.88%</w:t>
            </w:r>
          </w:p>
        </w:tc>
      </w:tr>
      <w:tr w:rsidR="008A3A40" w:rsidRPr="000309CB" w14:paraId="7173708A" w14:textId="77777777" w:rsidTr="008A3A40">
        <w:trPr>
          <w:cnfStyle w:val="000000010000" w:firstRow="0" w:lastRow="0" w:firstColumn="0" w:lastColumn="0" w:oddVBand="0" w:evenVBand="0" w:oddHBand="0" w:evenHBand="1"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2877" w:type="dxa"/>
          </w:tcPr>
          <w:p w14:paraId="359FE547" w14:textId="420F506B" w:rsidR="008A3A40" w:rsidRPr="008A3A40" w:rsidRDefault="008A3A40" w:rsidP="00EE16D8">
            <w:pPr>
              <w:pStyle w:val="TableText"/>
              <w:spacing w:before="120" w:after="0"/>
              <w:contextualSpacing/>
              <w:rPr>
                <w:szCs w:val="20"/>
              </w:rPr>
            </w:pPr>
            <w:r w:rsidRPr="008A3A40">
              <w:t>Underground cables (in km)</w:t>
            </w:r>
          </w:p>
        </w:tc>
        <w:tc>
          <w:tcPr>
            <w:tcW w:w="1239" w:type="dxa"/>
            <w:vAlign w:val="center"/>
          </w:tcPr>
          <w:p w14:paraId="522BA2DE" w14:textId="0EFE1909" w:rsidR="008A3A40" w:rsidRPr="008A3A40" w:rsidRDefault="008A3A40" w:rsidP="00EE16D8">
            <w:pPr>
              <w:pStyle w:val="TableText"/>
              <w:tabs>
                <w:tab w:val="decimal" w:pos="567"/>
              </w:tabs>
              <w:spacing w:before="120" w:after="0"/>
              <w:contextualSpacing/>
              <w:jc w:val="right"/>
              <w:cnfStyle w:val="000000010000" w:firstRow="0" w:lastRow="0" w:firstColumn="0" w:lastColumn="0" w:oddVBand="0" w:evenVBand="0" w:oddHBand="0" w:evenHBand="1" w:firstRowFirstColumn="0" w:firstRowLastColumn="0" w:lastRowFirstColumn="0" w:lastRowLastColumn="0"/>
              <w:rPr>
                <w:szCs w:val="20"/>
              </w:rPr>
            </w:pPr>
            <w:r w:rsidRPr="008A3A40">
              <w:rPr>
                <w:color w:val="000000"/>
                <w:szCs w:val="20"/>
              </w:rPr>
              <w:t>0.10%</w:t>
            </w:r>
          </w:p>
        </w:tc>
        <w:tc>
          <w:tcPr>
            <w:tcW w:w="1239" w:type="dxa"/>
            <w:vAlign w:val="center"/>
          </w:tcPr>
          <w:p w14:paraId="6F1402D3" w14:textId="0BBA3A46" w:rsidR="008A3A40" w:rsidRPr="008A3A40" w:rsidRDefault="008A3A40" w:rsidP="00EE16D8">
            <w:pPr>
              <w:pStyle w:val="TableText"/>
              <w:tabs>
                <w:tab w:val="decimal" w:pos="567"/>
              </w:tabs>
              <w:spacing w:before="120" w:after="0"/>
              <w:contextualSpacing/>
              <w:jc w:val="right"/>
              <w:cnfStyle w:val="000000010000" w:firstRow="0" w:lastRow="0" w:firstColumn="0" w:lastColumn="0" w:oddVBand="0" w:evenVBand="0" w:oddHBand="0" w:evenHBand="1" w:firstRowFirstColumn="0" w:firstRowLastColumn="0" w:lastRowFirstColumn="0" w:lastRowLastColumn="0"/>
              <w:rPr>
                <w:szCs w:val="20"/>
              </w:rPr>
            </w:pPr>
            <w:r w:rsidRPr="008A3A40">
              <w:rPr>
                <w:color w:val="000000"/>
                <w:szCs w:val="20"/>
              </w:rPr>
              <w:t>0.21%</w:t>
            </w:r>
          </w:p>
        </w:tc>
        <w:tc>
          <w:tcPr>
            <w:tcW w:w="1239" w:type="dxa"/>
            <w:vAlign w:val="center"/>
          </w:tcPr>
          <w:p w14:paraId="6DBD533C" w14:textId="5EF30B5A" w:rsidR="008A3A40" w:rsidRPr="008A3A40" w:rsidRDefault="008A3A40" w:rsidP="00EE16D8">
            <w:pPr>
              <w:pStyle w:val="TableText"/>
              <w:tabs>
                <w:tab w:val="decimal" w:pos="567"/>
              </w:tabs>
              <w:spacing w:before="120" w:after="0"/>
              <w:contextualSpacing/>
              <w:jc w:val="right"/>
              <w:cnfStyle w:val="000000010000" w:firstRow="0" w:lastRow="0" w:firstColumn="0" w:lastColumn="0" w:oddVBand="0" w:evenVBand="0" w:oddHBand="0" w:evenHBand="1" w:firstRowFirstColumn="0" w:firstRowLastColumn="0" w:lastRowFirstColumn="0" w:lastRowLastColumn="0"/>
              <w:rPr>
                <w:szCs w:val="20"/>
              </w:rPr>
            </w:pPr>
            <w:r w:rsidRPr="008A3A40">
              <w:rPr>
                <w:color w:val="000000"/>
                <w:szCs w:val="20"/>
              </w:rPr>
              <w:t>0.46%</w:t>
            </w:r>
          </w:p>
        </w:tc>
        <w:tc>
          <w:tcPr>
            <w:tcW w:w="1239" w:type="dxa"/>
            <w:vAlign w:val="center"/>
          </w:tcPr>
          <w:p w14:paraId="132F04EF" w14:textId="10CA8A85" w:rsidR="008A3A40" w:rsidRPr="008A3A40" w:rsidRDefault="008A3A40" w:rsidP="00EE16D8">
            <w:pPr>
              <w:pStyle w:val="TableText"/>
              <w:tabs>
                <w:tab w:val="decimal" w:pos="567"/>
              </w:tabs>
              <w:spacing w:before="120" w:after="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sidRPr="008A3A40">
              <w:rPr>
                <w:color w:val="000000"/>
                <w:szCs w:val="20"/>
              </w:rPr>
              <w:t>0.34%</w:t>
            </w:r>
          </w:p>
        </w:tc>
        <w:tc>
          <w:tcPr>
            <w:tcW w:w="1239" w:type="dxa"/>
            <w:vAlign w:val="center"/>
          </w:tcPr>
          <w:p w14:paraId="0DDCFA1A" w14:textId="7D3B38BD" w:rsidR="008A3A40" w:rsidRPr="008A3A40" w:rsidRDefault="008A3A40" w:rsidP="00EE16D8">
            <w:pPr>
              <w:pStyle w:val="TableText"/>
              <w:tabs>
                <w:tab w:val="decimal" w:pos="567"/>
              </w:tabs>
              <w:spacing w:before="120" w:after="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sidRPr="008A3A40">
              <w:rPr>
                <w:color w:val="000000"/>
                <w:szCs w:val="20"/>
              </w:rPr>
              <w:t>0.73%</w:t>
            </w:r>
          </w:p>
        </w:tc>
      </w:tr>
      <w:tr w:rsidR="008A3A40" w:rsidRPr="000309CB" w14:paraId="5505A147" w14:textId="77777777" w:rsidTr="008A3A40">
        <w:trPr>
          <w:cnfStyle w:val="000000100000" w:firstRow="0" w:lastRow="0" w:firstColumn="0" w:lastColumn="0" w:oddVBand="0" w:evenVBand="0" w:oddHBand="1" w:evenHBand="0"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2877" w:type="dxa"/>
          </w:tcPr>
          <w:p w14:paraId="74B147B4" w14:textId="1DB7265B" w:rsidR="008A3A40" w:rsidRPr="008A3A40" w:rsidRDefault="008A3A40" w:rsidP="00EE16D8">
            <w:pPr>
              <w:pStyle w:val="TableText"/>
              <w:spacing w:before="120" w:after="0"/>
              <w:contextualSpacing/>
              <w:rPr>
                <w:szCs w:val="20"/>
              </w:rPr>
            </w:pPr>
            <w:r w:rsidRPr="008A3A40">
              <w:t>Service lines (ea.)</w:t>
            </w:r>
          </w:p>
        </w:tc>
        <w:tc>
          <w:tcPr>
            <w:tcW w:w="1239" w:type="dxa"/>
            <w:vAlign w:val="center"/>
          </w:tcPr>
          <w:p w14:paraId="5018C20B" w14:textId="266FE291" w:rsidR="008A3A40" w:rsidRPr="008A3A40" w:rsidRDefault="00584D73" w:rsidP="00EE16D8">
            <w:pPr>
              <w:pStyle w:val="TableText"/>
              <w:tabs>
                <w:tab w:val="decimal" w:pos="567"/>
              </w:tabs>
              <w:spacing w:before="120" w:after="0"/>
              <w:contextualSpacing/>
              <w:jc w:val="right"/>
              <w:cnfStyle w:val="000000100000" w:firstRow="0" w:lastRow="0" w:firstColumn="0" w:lastColumn="0" w:oddVBand="0" w:evenVBand="0" w:oddHBand="1" w:evenHBand="0" w:firstRowFirstColumn="0" w:firstRowLastColumn="0" w:lastRowFirstColumn="0" w:lastRowLastColumn="0"/>
              <w:rPr>
                <w:szCs w:val="20"/>
              </w:rPr>
            </w:pPr>
            <w:r>
              <w:rPr>
                <w:szCs w:val="20"/>
              </w:rPr>
              <w:t>-</w:t>
            </w:r>
          </w:p>
        </w:tc>
        <w:tc>
          <w:tcPr>
            <w:tcW w:w="1239" w:type="dxa"/>
            <w:vAlign w:val="center"/>
          </w:tcPr>
          <w:p w14:paraId="60D9115C" w14:textId="2D53927E" w:rsidR="008A3A40" w:rsidRPr="008A3A40" w:rsidRDefault="00584D73" w:rsidP="00EE16D8">
            <w:pPr>
              <w:pStyle w:val="TableText"/>
              <w:tabs>
                <w:tab w:val="decimal" w:pos="567"/>
              </w:tabs>
              <w:spacing w:before="120" w:after="0"/>
              <w:contextualSpacing/>
              <w:jc w:val="right"/>
              <w:cnfStyle w:val="000000100000" w:firstRow="0" w:lastRow="0" w:firstColumn="0" w:lastColumn="0" w:oddVBand="0" w:evenVBand="0" w:oddHBand="1" w:evenHBand="0" w:firstRowFirstColumn="0" w:firstRowLastColumn="0" w:lastRowFirstColumn="0" w:lastRowLastColumn="0"/>
              <w:rPr>
                <w:szCs w:val="20"/>
              </w:rPr>
            </w:pPr>
            <w:r>
              <w:rPr>
                <w:szCs w:val="20"/>
              </w:rPr>
              <w:t>-</w:t>
            </w:r>
          </w:p>
        </w:tc>
        <w:tc>
          <w:tcPr>
            <w:tcW w:w="1239" w:type="dxa"/>
            <w:vAlign w:val="center"/>
          </w:tcPr>
          <w:p w14:paraId="027BEFCF" w14:textId="7A27BFFD" w:rsidR="008A3A40" w:rsidRPr="008A3A40" w:rsidRDefault="00584D73" w:rsidP="00EE16D8">
            <w:pPr>
              <w:pStyle w:val="TableText"/>
              <w:tabs>
                <w:tab w:val="decimal" w:pos="567"/>
              </w:tabs>
              <w:spacing w:before="120" w:after="0"/>
              <w:contextualSpacing/>
              <w:jc w:val="right"/>
              <w:cnfStyle w:val="000000100000" w:firstRow="0" w:lastRow="0" w:firstColumn="0" w:lastColumn="0" w:oddVBand="0" w:evenVBand="0" w:oddHBand="1" w:evenHBand="0" w:firstRowFirstColumn="0" w:firstRowLastColumn="0" w:lastRowFirstColumn="0" w:lastRowLastColumn="0"/>
              <w:rPr>
                <w:szCs w:val="20"/>
              </w:rPr>
            </w:pPr>
            <w:r>
              <w:rPr>
                <w:szCs w:val="20"/>
              </w:rPr>
              <w:t>-</w:t>
            </w:r>
          </w:p>
        </w:tc>
        <w:tc>
          <w:tcPr>
            <w:tcW w:w="1239" w:type="dxa"/>
            <w:vAlign w:val="center"/>
          </w:tcPr>
          <w:p w14:paraId="67AB9590" w14:textId="61FD5368" w:rsidR="008A3A40" w:rsidRPr="00584D73" w:rsidRDefault="00584D73" w:rsidP="00EE16D8">
            <w:pPr>
              <w:pStyle w:val="TableText"/>
              <w:tabs>
                <w:tab w:val="decimal" w:pos="567"/>
              </w:tabs>
              <w:spacing w:before="120" w:after="0"/>
              <w:contextualSpacing/>
              <w:jc w:val="right"/>
              <w:cnfStyle w:val="000000100000" w:firstRow="0" w:lastRow="0" w:firstColumn="0" w:lastColumn="0" w:oddVBand="0" w:evenVBand="0" w:oddHBand="1" w:evenHBand="0" w:firstRowFirstColumn="0" w:firstRowLastColumn="0" w:lastRowFirstColumn="0" w:lastRowLastColumn="0"/>
              <w:rPr>
                <w:szCs w:val="20"/>
              </w:rPr>
            </w:pPr>
            <w:r w:rsidRPr="00584D73">
              <w:rPr>
                <w:szCs w:val="20"/>
              </w:rPr>
              <w:t>-</w:t>
            </w:r>
          </w:p>
        </w:tc>
        <w:tc>
          <w:tcPr>
            <w:tcW w:w="1239" w:type="dxa"/>
            <w:vAlign w:val="center"/>
          </w:tcPr>
          <w:p w14:paraId="3C95AC74" w14:textId="4E75986B" w:rsidR="008A3A40" w:rsidRPr="00584D73" w:rsidRDefault="00584D73" w:rsidP="00EE16D8">
            <w:pPr>
              <w:pStyle w:val="TableText"/>
              <w:tabs>
                <w:tab w:val="decimal" w:pos="567"/>
              </w:tabs>
              <w:spacing w:before="120" w:after="0"/>
              <w:contextualSpacing/>
              <w:jc w:val="right"/>
              <w:cnfStyle w:val="000000100000" w:firstRow="0" w:lastRow="0" w:firstColumn="0" w:lastColumn="0" w:oddVBand="0" w:evenVBand="0" w:oddHBand="1" w:evenHBand="0" w:firstRowFirstColumn="0" w:firstRowLastColumn="0" w:lastRowFirstColumn="0" w:lastRowLastColumn="0"/>
              <w:rPr>
                <w:szCs w:val="20"/>
              </w:rPr>
            </w:pPr>
            <w:r w:rsidRPr="00584D73">
              <w:rPr>
                <w:szCs w:val="20"/>
              </w:rPr>
              <w:t>-</w:t>
            </w:r>
          </w:p>
        </w:tc>
      </w:tr>
      <w:tr w:rsidR="008A3A40" w:rsidRPr="000309CB" w14:paraId="61B3C863" w14:textId="77777777" w:rsidTr="008A3A40">
        <w:trPr>
          <w:cnfStyle w:val="000000010000" w:firstRow="0" w:lastRow="0" w:firstColumn="0" w:lastColumn="0" w:oddVBand="0" w:evenVBand="0" w:oddHBand="0" w:evenHBand="1"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2877" w:type="dxa"/>
          </w:tcPr>
          <w:p w14:paraId="5408F10A" w14:textId="5F4FF3A1" w:rsidR="008A3A40" w:rsidRPr="008A3A40" w:rsidRDefault="008A3A40" w:rsidP="00EE16D8">
            <w:pPr>
              <w:pStyle w:val="TableText"/>
              <w:spacing w:before="120" w:after="0"/>
              <w:contextualSpacing/>
              <w:rPr>
                <w:szCs w:val="20"/>
              </w:rPr>
            </w:pPr>
            <w:r w:rsidRPr="008A3A40">
              <w:t>Transformers (ea.)</w:t>
            </w:r>
          </w:p>
        </w:tc>
        <w:tc>
          <w:tcPr>
            <w:tcW w:w="1239" w:type="dxa"/>
            <w:vAlign w:val="center"/>
          </w:tcPr>
          <w:p w14:paraId="7613FB13" w14:textId="3443B835" w:rsidR="008A3A40" w:rsidRPr="008A3A40" w:rsidRDefault="008A3A40" w:rsidP="00EE16D8">
            <w:pPr>
              <w:pStyle w:val="TableText"/>
              <w:tabs>
                <w:tab w:val="decimal" w:pos="567"/>
              </w:tabs>
              <w:spacing w:before="120" w:after="0"/>
              <w:contextualSpacing/>
              <w:jc w:val="right"/>
              <w:cnfStyle w:val="000000010000" w:firstRow="0" w:lastRow="0" w:firstColumn="0" w:lastColumn="0" w:oddVBand="0" w:evenVBand="0" w:oddHBand="0" w:evenHBand="1" w:firstRowFirstColumn="0" w:firstRowLastColumn="0" w:lastRowFirstColumn="0" w:lastRowLastColumn="0"/>
              <w:rPr>
                <w:szCs w:val="20"/>
              </w:rPr>
            </w:pPr>
            <w:r w:rsidRPr="008A3A40">
              <w:rPr>
                <w:color w:val="000000"/>
                <w:szCs w:val="20"/>
              </w:rPr>
              <w:t>0.69%</w:t>
            </w:r>
          </w:p>
        </w:tc>
        <w:tc>
          <w:tcPr>
            <w:tcW w:w="1239" w:type="dxa"/>
            <w:vAlign w:val="center"/>
          </w:tcPr>
          <w:p w14:paraId="7793FE10" w14:textId="5448897B" w:rsidR="008A3A40" w:rsidRPr="008A3A40" w:rsidRDefault="008A3A40" w:rsidP="00EE16D8">
            <w:pPr>
              <w:pStyle w:val="TableText"/>
              <w:tabs>
                <w:tab w:val="decimal" w:pos="567"/>
              </w:tabs>
              <w:spacing w:before="120" w:after="0"/>
              <w:contextualSpacing/>
              <w:jc w:val="right"/>
              <w:cnfStyle w:val="000000010000" w:firstRow="0" w:lastRow="0" w:firstColumn="0" w:lastColumn="0" w:oddVBand="0" w:evenVBand="0" w:oddHBand="0" w:evenHBand="1" w:firstRowFirstColumn="0" w:firstRowLastColumn="0" w:lastRowFirstColumn="0" w:lastRowLastColumn="0"/>
              <w:rPr>
                <w:szCs w:val="20"/>
              </w:rPr>
            </w:pPr>
            <w:r w:rsidRPr="008A3A40">
              <w:rPr>
                <w:color w:val="000000"/>
                <w:szCs w:val="20"/>
              </w:rPr>
              <w:t>0.30%</w:t>
            </w:r>
          </w:p>
        </w:tc>
        <w:tc>
          <w:tcPr>
            <w:tcW w:w="1239" w:type="dxa"/>
            <w:vAlign w:val="center"/>
          </w:tcPr>
          <w:p w14:paraId="038696E4" w14:textId="0CF00C37" w:rsidR="008A3A40" w:rsidRPr="008A3A40" w:rsidRDefault="008A3A40" w:rsidP="00EE16D8">
            <w:pPr>
              <w:pStyle w:val="TableText"/>
              <w:tabs>
                <w:tab w:val="decimal" w:pos="567"/>
              </w:tabs>
              <w:spacing w:before="120" w:after="0"/>
              <w:contextualSpacing/>
              <w:jc w:val="right"/>
              <w:cnfStyle w:val="000000010000" w:firstRow="0" w:lastRow="0" w:firstColumn="0" w:lastColumn="0" w:oddVBand="0" w:evenVBand="0" w:oddHBand="0" w:evenHBand="1" w:firstRowFirstColumn="0" w:firstRowLastColumn="0" w:lastRowFirstColumn="0" w:lastRowLastColumn="0"/>
              <w:rPr>
                <w:szCs w:val="20"/>
              </w:rPr>
            </w:pPr>
            <w:r w:rsidRPr="008A3A40">
              <w:rPr>
                <w:color w:val="000000"/>
                <w:szCs w:val="20"/>
              </w:rPr>
              <w:t>1.44%</w:t>
            </w:r>
          </w:p>
        </w:tc>
        <w:tc>
          <w:tcPr>
            <w:tcW w:w="1239" w:type="dxa"/>
            <w:vAlign w:val="center"/>
          </w:tcPr>
          <w:p w14:paraId="5D574BAB" w14:textId="63598D3A" w:rsidR="008A3A40" w:rsidRPr="008A3A40" w:rsidRDefault="008A3A40" w:rsidP="00EE16D8">
            <w:pPr>
              <w:pStyle w:val="TableText"/>
              <w:tabs>
                <w:tab w:val="decimal" w:pos="567"/>
              </w:tabs>
              <w:spacing w:before="120" w:after="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sidRPr="008A3A40">
              <w:rPr>
                <w:color w:val="000000"/>
                <w:szCs w:val="20"/>
              </w:rPr>
              <w:t>1.42%</w:t>
            </w:r>
          </w:p>
        </w:tc>
        <w:tc>
          <w:tcPr>
            <w:tcW w:w="1239" w:type="dxa"/>
            <w:vAlign w:val="center"/>
          </w:tcPr>
          <w:p w14:paraId="78FECAB7" w14:textId="762C9036" w:rsidR="008A3A40" w:rsidRPr="008A3A40" w:rsidRDefault="008A3A40" w:rsidP="00EE16D8">
            <w:pPr>
              <w:pStyle w:val="TableText"/>
              <w:tabs>
                <w:tab w:val="decimal" w:pos="567"/>
              </w:tabs>
              <w:spacing w:before="120" w:after="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sidRPr="008A3A40">
              <w:rPr>
                <w:color w:val="000000"/>
                <w:szCs w:val="20"/>
              </w:rPr>
              <w:t>1.80%</w:t>
            </w:r>
          </w:p>
        </w:tc>
      </w:tr>
      <w:tr w:rsidR="008A3A40" w:rsidRPr="000309CB" w14:paraId="12E82561" w14:textId="77777777" w:rsidTr="008A3A40">
        <w:trPr>
          <w:cnfStyle w:val="000000100000" w:firstRow="0" w:lastRow="0" w:firstColumn="0" w:lastColumn="0" w:oddVBand="0" w:evenVBand="0" w:oddHBand="1" w:evenHBand="0"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2877" w:type="dxa"/>
          </w:tcPr>
          <w:p w14:paraId="491B6C2F" w14:textId="7A4439B7" w:rsidR="008A3A40" w:rsidRPr="008A3A40" w:rsidRDefault="008A3A40" w:rsidP="00EE16D8">
            <w:pPr>
              <w:pStyle w:val="TableText"/>
              <w:spacing w:before="120" w:after="0"/>
              <w:contextualSpacing/>
              <w:rPr>
                <w:szCs w:val="20"/>
              </w:rPr>
            </w:pPr>
            <w:r w:rsidRPr="008A3A40">
              <w:t>Switchgear (ea.)</w:t>
            </w:r>
          </w:p>
        </w:tc>
        <w:tc>
          <w:tcPr>
            <w:tcW w:w="1239" w:type="dxa"/>
            <w:vAlign w:val="center"/>
          </w:tcPr>
          <w:p w14:paraId="3C122855" w14:textId="2F289C18" w:rsidR="008A3A40" w:rsidRPr="008A3A40" w:rsidRDefault="008A3A40" w:rsidP="00EE16D8">
            <w:pPr>
              <w:pStyle w:val="TableText"/>
              <w:tabs>
                <w:tab w:val="decimal" w:pos="567"/>
              </w:tabs>
              <w:spacing w:before="120" w:after="0"/>
              <w:contextualSpacing/>
              <w:jc w:val="right"/>
              <w:cnfStyle w:val="000000100000" w:firstRow="0" w:lastRow="0" w:firstColumn="0" w:lastColumn="0" w:oddVBand="0" w:evenVBand="0" w:oddHBand="1" w:evenHBand="0" w:firstRowFirstColumn="0" w:firstRowLastColumn="0" w:lastRowFirstColumn="0" w:lastRowLastColumn="0"/>
              <w:rPr>
                <w:szCs w:val="20"/>
              </w:rPr>
            </w:pPr>
            <w:r w:rsidRPr="008A3A40">
              <w:rPr>
                <w:color w:val="000000"/>
                <w:szCs w:val="20"/>
              </w:rPr>
              <w:t>0.42%</w:t>
            </w:r>
          </w:p>
        </w:tc>
        <w:tc>
          <w:tcPr>
            <w:tcW w:w="1239" w:type="dxa"/>
            <w:vAlign w:val="center"/>
          </w:tcPr>
          <w:p w14:paraId="1FA215E1" w14:textId="44DA1F5B" w:rsidR="008A3A40" w:rsidRPr="008A3A40" w:rsidRDefault="008A3A40" w:rsidP="00EE16D8">
            <w:pPr>
              <w:pStyle w:val="TableText"/>
              <w:tabs>
                <w:tab w:val="decimal" w:pos="567"/>
              </w:tabs>
              <w:spacing w:before="120" w:after="0"/>
              <w:contextualSpacing/>
              <w:jc w:val="right"/>
              <w:cnfStyle w:val="000000100000" w:firstRow="0" w:lastRow="0" w:firstColumn="0" w:lastColumn="0" w:oddVBand="0" w:evenVBand="0" w:oddHBand="1" w:evenHBand="0" w:firstRowFirstColumn="0" w:firstRowLastColumn="0" w:lastRowFirstColumn="0" w:lastRowLastColumn="0"/>
              <w:rPr>
                <w:szCs w:val="20"/>
              </w:rPr>
            </w:pPr>
            <w:r w:rsidRPr="008A3A40">
              <w:rPr>
                <w:color w:val="000000"/>
                <w:szCs w:val="20"/>
              </w:rPr>
              <w:t>0.17%</w:t>
            </w:r>
          </w:p>
        </w:tc>
        <w:tc>
          <w:tcPr>
            <w:tcW w:w="1239" w:type="dxa"/>
            <w:vAlign w:val="center"/>
          </w:tcPr>
          <w:p w14:paraId="282E19C7" w14:textId="1D75340C" w:rsidR="008A3A40" w:rsidRPr="008A3A40" w:rsidRDefault="008A3A40" w:rsidP="00EE16D8">
            <w:pPr>
              <w:pStyle w:val="TableText"/>
              <w:tabs>
                <w:tab w:val="decimal" w:pos="567"/>
              </w:tabs>
              <w:spacing w:before="120" w:after="0"/>
              <w:contextualSpacing/>
              <w:jc w:val="right"/>
              <w:cnfStyle w:val="000000100000" w:firstRow="0" w:lastRow="0" w:firstColumn="0" w:lastColumn="0" w:oddVBand="0" w:evenVBand="0" w:oddHBand="1" w:evenHBand="0" w:firstRowFirstColumn="0" w:firstRowLastColumn="0" w:lastRowFirstColumn="0" w:lastRowLastColumn="0"/>
              <w:rPr>
                <w:szCs w:val="20"/>
              </w:rPr>
            </w:pPr>
            <w:r w:rsidRPr="008A3A40">
              <w:rPr>
                <w:color w:val="000000"/>
                <w:szCs w:val="20"/>
              </w:rPr>
              <w:t>0.74%</w:t>
            </w:r>
          </w:p>
        </w:tc>
        <w:tc>
          <w:tcPr>
            <w:tcW w:w="1239" w:type="dxa"/>
            <w:vAlign w:val="center"/>
          </w:tcPr>
          <w:p w14:paraId="0B9FB43F" w14:textId="0A2520E2" w:rsidR="008A3A40" w:rsidRPr="008A3A40" w:rsidRDefault="008A3A40" w:rsidP="00EE16D8">
            <w:pPr>
              <w:pStyle w:val="TableText"/>
              <w:tabs>
                <w:tab w:val="decimal" w:pos="567"/>
              </w:tabs>
              <w:spacing w:before="120" w:after="0"/>
              <w:contextualSpacing/>
              <w:jc w:val="right"/>
              <w:cnfStyle w:val="000000100000" w:firstRow="0" w:lastRow="0" w:firstColumn="0" w:lastColumn="0" w:oddVBand="0" w:evenVBand="0" w:oddHBand="1" w:evenHBand="0" w:firstRowFirstColumn="0" w:firstRowLastColumn="0" w:lastRowFirstColumn="0" w:lastRowLastColumn="0"/>
              <w:rPr>
                <w:szCs w:val="20"/>
                <w:highlight w:val="yellow"/>
              </w:rPr>
            </w:pPr>
            <w:r w:rsidRPr="008A3A40">
              <w:rPr>
                <w:color w:val="000000"/>
                <w:szCs w:val="20"/>
              </w:rPr>
              <w:t>0.78%</w:t>
            </w:r>
          </w:p>
        </w:tc>
        <w:tc>
          <w:tcPr>
            <w:tcW w:w="1239" w:type="dxa"/>
            <w:vAlign w:val="center"/>
          </w:tcPr>
          <w:p w14:paraId="08D29D45" w14:textId="266AB4A5" w:rsidR="008A3A40" w:rsidRPr="008A3A40" w:rsidRDefault="008A3A40" w:rsidP="00EE16D8">
            <w:pPr>
              <w:pStyle w:val="TableText"/>
              <w:tabs>
                <w:tab w:val="decimal" w:pos="567"/>
              </w:tabs>
              <w:spacing w:before="120" w:after="0"/>
              <w:contextualSpacing/>
              <w:jc w:val="right"/>
              <w:cnfStyle w:val="000000100000" w:firstRow="0" w:lastRow="0" w:firstColumn="0" w:lastColumn="0" w:oddVBand="0" w:evenVBand="0" w:oddHBand="1" w:evenHBand="0" w:firstRowFirstColumn="0" w:firstRowLastColumn="0" w:lastRowFirstColumn="0" w:lastRowLastColumn="0"/>
              <w:rPr>
                <w:szCs w:val="20"/>
                <w:highlight w:val="yellow"/>
              </w:rPr>
            </w:pPr>
            <w:r w:rsidRPr="008A3A40">
              <w:rPr>
                <w:color w:val="000000"/>
                <w:szCs w:val="20"/>
              </w:rPr>
              <w:t>0.77%</w:t>
            </w:r>
          </w:p>
        </w:tc>
      </w:tr>
      <w:tr w:rsidR="008A3A40" w:rsidRPr="000309CB" w14:paraId="5CB547E0" w14:textId="77777777" w:rsidTr="008A3A40">
        <w:trPr>
          <w:cnfStyle w:val="000000010000" w:firstRow="0" w:lastRow="0" w:firstColumn="0" w:lastColumn="0" w:oddVBand="0" w:evenVBand="0" w:oddHBand="0" w:evenHBand="1"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2877" w:type="dxa"/>
          </w:tcPr>
          <w:p w14:paraId="6EEEAE63" w14:textId="248EE295" w:rsidR="008A3A40" w:rsidRPr="008A3A40" w:rsidRDefault="008A3A40" w:rsidP="00EE16D8">
            <w:pPr>
              <w:pStyle w:val="TableText"/>
              <w:spacing w:before="120" w:after="0"/>
              <w:contextualSpacing/>
              <w:rPr>
                <w:szCs w:val="20"/>
              </w:rPr>
            </w:pPr>
            <w:r w:rsidRPr="008A3A40">
              <w:t>Public lighting (ea.)</w:t>
            </w:r>
          </w:p>
        </w:tc>
        <w:tc>
          <w:tcPr>
            <w:tcW w:w="1239" w:type="dxa"/>
            <w:vAlign w:val="center"/>
          </w:tcPr>
          <w:p w14:paraId="55A4F5FD" w14:textId="6DFFF27D" w:rsidR="008A3A40" w:rsidRPr="008A3A40" w:rsidRDefault="008A3A40" w:rsidP="00EE16D8">
            <w:pPr>
              <w:pStyle w:val="TableText"/>
              <w:tabs>
                <w:tab w:val="decimal" w:pos="567"/>
              </w:tabs>
              <w:spacing w:before="120" w:after="0"/>
              <w:contextualSpacing/>
              <w:jc w:val="right"/>
              <w:cnfStyle w:val="000000010000" w:firstRow="0" w:lastRow="0" w:firstColumn="0" w:lastColumn="0" w:oddVBand="0" w:evenVBand="0" w:oddHBand="0" w:evenHBand="1" w:firstRowFirstColumn="0" w:firstRowLastColumn="0" w:lastRowFirstColumn="0" w:lastRowLastColumn="0"/>
              <w:rPr>
                <w:szCs w:val="20"/>
              </w:rPr>
            </w:pPr>
            <w:r>
              <w:rPr>
                <w:color w:val="000000"/>
                <w:szCs w:val="20"/>
              </w:rPr>
              <w:t>-</w:t>
            </w:r>
            <w:r w:rsidRPr="008A3A40">
              <w:rPr>
                <w:color w:val="000000"/>
                <w:szCs w:val="20"/>
              </w:rPr>
              <w:t> </w:t>
            </w:r>
          </w:p>
        </w:tc>
        <w:tc>
          <w:tcPr>
            <w:tcW w:w="1239" w:type="dxa"/>
            <w:vAlign w:val="center"/>
          </w:tcPr>
          <w:p w14:paraId="347DC5A6" w14:textId="0A09EC72" w:rsidR="008A3A40" w:rsidRPr="008A3A40" w:rsidRDefault="008A3A40" w:rsidP="00EE16D8">
            <w:pPr>
              <w:pStyle w:val="TableText"/>
              <w:tabs>
                <w:tab w:val="decimal" w:pos="567"/>
              </w:tabs>
              <w:spacing w:before="120" w:after="0"/>
              <w:contextualSpacing/>
              <w:jc w:val="right"/>
              <w:cnfStyle w:val="000000010000" w:firstRow="0" w:lastRow="0" w:firstColumn="0" w:lastColumn="0" w:oddVBand="0" w:evenVBand="0" w:oddHBand="0" w:evenHBand="1" w:firstRowFirstColumn="0" w:firstRowLastColumn="0" w:lastRowFirstColumn="0" w:lastRowLastColumn="0"/>
              <w:rPr>
                <w:szCs w:val="20"/>
              </w:rPr>
            </w:pPr>
            <w:r>
              <w:rPr>
                <w:color w:val="000000"/>
                <w:szCs w:val="20"/>
              </w:rPr>
              <w:t>-</w:t>
            </w:r>
          </w:p>
        </w:tc>
        <w:tc>
          <w:tcPr>
            <w:tcW w:w="1239" w:type="dxa"/>
            <w:vAlign w:val="center"/>
          </w:tcPr>
          <w:p w14:paraId="581449DE" w14:textId="297A9338" w:rsidR="008A3A40" w:rsidRPr="008A3A40" w:rsidRDefault="008A3A40" w:rsidP="00EE16D8">
            <w:pPr>
              <w:pStyle w:val="TableText"/>
              <w:tabs>
                <w:tab w:val="decimal" w:pos="567"/>
              </w:tabs>
              <w:spacing w:before="120" w:after="0"/>
              <w:contextualSpacing/>
              <w:jc w:val="right"/>
              <w:cnfStyle w:val="000000010000" w:firstRow="0" w:lastRow="0" w:firstColumn="0" w:lastColumn="0" w:oddVBand="0" w:evenVBand="0" w:oddHBand="0" w:evenHBand="1" w:firstRowFirstColumn="0" w:firstRowLastColumn="0" w:lastRowFirstColumn="0" w:lastRowLastColumn="0"/>
              <w:rPr>
                <w:szCs w:val="20"/>
              </w:rPr>
            </w:pPr>
            <w:r>
              <w:rPr>
                <w:color w:val="000000"/>
                <w:szCs w:val="20"/>
              </w:rPr>
              <w:t>-</w:t>
            </w:r>
          </w:p>
        </w:tc>
        <w:tc>
          <w:tcPr>
            <w:tcW w:w="1239" w:type="dxa"/>
            <w:vAlign w:val="center"/>
          </w:tcPr>
          <w:p w14:paraId="1D62BE50" w14:textId="516B5FCB" w:rsidR="008A3A40" w:rsidRPr="008A3A40" w:rsidRDefault="008A3A40" w:rsidP="00EE16D8">
            <w:pPr>
              <w:pStyle w:val="TableText"/>
              <w:tabs>
                <w:tab w:val="decimal" w:pos="567"/>
              </w:tabs>
              <w:spacing w:before="120" w:after="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Pr>
                <w:color w:val="000000"/>
                <w:szCs w:val="20"/>
              </w:rPr>
              <w:t>-</w:t>
            </w:r>
          </w:p>
        </w:tc>
        <w:tc>
          <w:tcPr>
            <w:tcW w:w="1239" w:type="dxa"/>
            <w:vAlign w:val="center"/>
          </w:tcPr>
          <w:p w14:paraId="702BD5C8" w14:textId="7CC2EF0B" w:rsidR="008A3A40" w:rsidRPr="008A3A40" w:rsidRDefault="008A3A40" w:rsidP="00EE16D8">
            <w:pPr>
              <w:pStyle w:val="TableText"/>
              <w:tabs>
                <w:tab w:val="decimal" w:pos="567"/>
              </w:tabs>
              <w:spacing w:before="120" w:after="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Pr>
                <w:color w:val="000000"/>
                <w:szCs w:val="20"/>
              </w:rPr>
              <w:t>-</w:t>
            </w:r>
          </w:p>
        </w:tc>
      </w:tr>
      <w:tr w:rsidR="008A3A40" w:rsidRPr="000309CB" w14:paraId="1F3C495F" w14:textId="77777777" w:rsidTr="008A3A40">
        <w:trPr>
          <w:cnfStyle w:val="000000100000" w:firstRow="0" w:lastRow="0" w:firstColumn="0" w:lastColumn="0" w:oddVBand="0" w:evenVBand="0" w:oddHBand="1" w:evenHBand="0"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2877" w:type="dxa"/>
          </w:tcPr>
          <w:p w14:paraId="2F20DBFF" w14:textId="1F864D2B" w:rsidR="008A3A40" w:rsidRPr="008A3A40" w:rsidRDefault="008A3A40" w:rsidP="00EE16D8">
            <w:pPr>
              <w:pStyle w:val="TableText"/>
              <w:spacing w:before="120" w:after="0"/>
              <w:contextualSpacing/>
              <w:rPr>
                <w:szCs w:val="20"/>
              </w:rPr>
            </w:pPr>
            <w:r w:rsidRPr="008A3A40">
              <w:t>SCADA, network control and protection systems (ea.)</w:t>
            </w:r>
          </w:p>
        </w:tc>
        <w:tc>
          <w:tcPr>
            <w:tcW w:w="1239" w:type="dxa"/>
            <w:vAlign w:val="center"/>
          </w:tcPr>
          <w:p w14:paraId="1AA47F1C" w14:textId="503E0EFC" w:rsidR="008A3A40" w:rsidRPr="008A3A40" w:rsidRDefault="008A3A40" w:rsidP="00EE16D8">
            <w:pPr>
              <w:pStyle w:val="TableText"/>
              <w:tabs>
                <w:tab w:val="decimal" w:pos="567"/>
              </w:tabs>
              <w:spacing w:before="120" w:after="0"/>
              <w:contextualSpacing/>
              <w:jc w:val="right"/>
              <w:cnfStyle w:val="000000100000" w:firstRow="0" w:lastRow="0" w:firstColumn="0" w:lastColumn="0" w:oddVBand="0" w:evenVBand="0" w:oddHBand="1" w:evenHBand="0" w:firstRowFirstColumn="0" w:firstRowLastColumn="0" w:lastRowFirstColumn="0" w:lastRowLastColumn="0"/>
              <w:rPr>
                <w:szCs w:val="20"/>
              </w:rPr>
            </w:pPr>
            <w:r w:rsidRPr="008A3A40">
              <w:rPr>
                <w:color w:val="000000"/>
                <w:szCs w:val="20"/>
              </w:rPr>
              <w:t>0.24%</w:t>
            </w:r>
          </w:p>
        </w:tc>
        <w:tc>
          <w:tcPr>
            <w:tcW w:w="1239" w:type="dxa"/>
            <w:vAlign w:val="center"/>
          </w:tcPr>
          <w:p w14:paraId="33AD14DD" w14:textId="4279F309" w:rsidR="008A3A40" w:rsidRPr="008A3A40" w:rsidRDefault="008A3A40" w:rsidP="00EE16D8">
            <w:pPr>
              <w:pStyle w:val="TableText"/>
              <w:tabs>
                <w:tab w:val="decimal" w:pos="567"/>
              </w:tabs>
              <w:spacing w:before="120" w:after="0"/>
              <w:contextualSpacing/>
              <w:jc w:val="right"/>
              <w:cnfStyle w:val="000000100000" w:firstRow="0" w:lastRow="0" w:firstColumn="0" w:lastColumn="0" w:oddVBand="0" w:evenVBand="0" w:oddHBand="1" w:evenHBand="0" w:firstRowFirstColumn="0" w:firstRowLastColumn="0" w:lastRowFirstColumn="0" w:lastRowLastColumn="0"/>
              <w:rPr>
                <w:szCs w:val="20"/>
              </w:rPr>
            </w:pPr>
            <w:r w:rsidRPr="008A3A40">
              <w:rPr>
                <w:color w:val="000000"/>
                <w:szCs w:val="20"/>
              </w:rPr>
              <w:t>0.04%</w:t>
            </w:r>
          </w:p>
        </w:tc>
        <w:tc>
          <w:tcPr>
            <w:tcW w:w="1239" w:type="dxa"/>
            <w:vAlign w:val="center"/>
          </w:tcPr>
          <w:p w14:paraId="120624E6" w14:textId="0FE16DA5" w:rsidR="008A3A40" w:rsidRPr="008A3A40" w:rsidRDefault="008A3A40" w:rsidP="00EE16D8">
            <w:pPr>
              <w:pStyle w:val="TableText"/>
              <w:tabs>
                <w:tab w:val="decimal" w:pos="567"/>
              </w:tabs>
              <w:spacing w:before="120" w:after="0"/>
              <w:contextualSpacing/>
              <w:jc w:val="right"/>
              <w:cnfStyle w:val="000000100000" w:firstRow="0" w:lastRow="0" w:firstColumn="0" w:lastColumn="0" w:oddVBand="0" w:evenVBand="0" w:oddHBand="1" w:evenHBand="0" w:firstRowFirstColumn="0" w:firstRowLastColumn="0" w:lastRowFirstColumn="0" w:lastRowLastColumn="0"/>
              <w:rPr>
                <w:szCs w:val="20"/>
              </w:rPr>
            </w:pPr>
            <w:r w:rsidRPr="008A3A40">
              <w:rPr>
                <w:color w:val="000000"/>
                <w:szCs w:val="20"/>
              </w:rPr>
              <w:t>0.24%</w:t>
            </w:r>
          </w:p>
        </w:tc>
        <w:tc>
          <w:tcPr>
            <w:tcW w:w="1239" w:type="dxa"/>
            <w:vAlign w:val="center"/>
          </w:tcPr>
          <w:p w14:paraId="10C25164" w14:textId="3CF0D8D7" w:rsidR="008A3A40" w:rsidRPr="008A3A40" w:rsidRDefault="008A3A40" w:rsidP="00EE16D8">
            <w:pPr>
              <w:pStyle w:val="TableText"/>
              <w:tabs>
                <w:tab w:val="decimal" w:pos="567"/>
              </w:tabs>
              <w:spacing w:before="120" w:after="0"/>
              <w:contextualSpacing/>
              <w:jc w:val="right"/>
              <w:cnfStyle w:val="000000100000" w:firstRow="0" w:lastRow="0" w:firstColumn="0" w:lastColumn="0" w:oddVBand="0" w:evenVBand="0" w:oddHBand="1" w:evenHBand="0" w:firstRowFirstColumn="0" w:firstRowLastColumn="0" w:lastRowFirstColumn="0" w:lastRowLastColumn="0"/>
              <w:rPr>
                <w:szCs w:val="20"/>
                <w:highlight w:val="yellow"/>
              </w:rPr>
            </w:pPr>
            <w:r w:rsidRPr="008A3A40">
              <w:rPr>
                <w:color w:val="000000"/>
                <w:szCs w:val="20"/>
              </w:rPr>
              <w:t>0.09%</w:t>
            </w:r>
          </w:p>
        </w:tc>
        <w:tc>
          <w:tcPr>
            <w:tcW w:w="1239" w:type="dxa"/>
            <w:vAlign w:val="center"/>
          </w:tcPr>
          <w:p w14:paraId="09B927E6" w14:textId="78EA7A23" w:rsidR="008A3A40" w:rsidRPr="008A3A40" w:rsidRDefault="008A3A40" w:rsidP="00EE16D8">
            <w:pPr>
              <w:pStyle w:val="TableText"/>
              <w:tabs>
                <w:tab w:val="decimal" w:pos="567"/>
              </w:tabs>
              <w:spacing w:before="120" w:after="0"/>
              <w:contextualSpacing/>
              <w:jc w:val="right"/>
              <w:cnfStyle w:val="000000100000" w:firstRow="0" w:lastRow="0" w:firstColumn="0" w:lastColumn="0" w:oddVBand="0" w:evenVBand="0" w:oddHBand="1" w:evenHBand="0" w:firstRowFirstColumn="0" w:firstRowLastColumn="0" w:lastRowFirstColumn="0" w:lastRowLastColumn="0"/>
              <w:rPr>
                <w:szCs w:val="20"/>
                <w:highlight w:val="yellow"/>
              </w:rPr>
            </w:pPr>
            <w:r w:rsidRPr="008A3A40">
              <w:rPr>
                <w:color w:val="000000"/>
                <w:szCs w:val="20"/>
              </w:rPr>
              <w:t>0.52%</w:t>
            </w:r>
          </w:p>
        </w:tc>
      </w:tr>
      <w:tr w:rsidR="008A3A40" w:rsidRPr="002F180C" w14:paraId="07D971DB" w14:textId="77777777" w:rsidTr="008A3A40">
        <w:trPr>
          <w:cnfStyle w:val="000000010000" w:firstRow="0" w:lastRow="0" w:firstColumn="0" w:lastColumn="0" w:oddVBand="0" w:evenVBand="0" w:oddHBand="0" w:evenHBand="1"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2877" w:type="dxa"/>
          </w:tcPr>
          <w:p w14:paraId="5C6085D1" w14:textId="60BCF59D" w:rsidR="008A3A40" w:rsidRPr="008A3A40" w:rsidRDefault="008A3A40" w:rsidP="00EE16D8">
            <w:pPr>
              <w:pStyle w:val="TableText"/>
              <w:spacing w:before="120" w:after="0"/>
              <w:contextualSpacing/>
              <w:rPr>
                <w:szCs w:val="20"/>
              </w:rPr>
            </w:pPr>
            <w:r w:rsidRPr="008A3A40">
              <w:t>SCADA, Pilot Cable (in km)</w:t>
            </w:r>
          </w:p>
        </w:tc>
        <w:tc>
          <w:tcPr>
            <w:tcW w:w="1239" w:type="dxa"/>
            <w:vAlign w:val="center"/>
          </w:tcPr>
          <w:p w14:paraId="7DFA83A8" w14:textId="39558BED" w:rsidR="008A3A40" w:rsidRPr="008A3A40" w:rsidRDefault="008A3A40" w:rsidP="00EE16D8">
            <w:pPr>
              <w:pStyle w:val="TableText"/>
              <w:tabs>
                <w:tab w:val="decimal" w:pos="567"/>
              </w:tabs>
              <w:spacing w:before="120" w:after="0"/>
              <w:contextualSpacing/>
              <w:jc w:val="right"/>
              <w:cnfStyle w:val="000000010000" w:firstRow="0" w:lastRow="0" w:firstColumn="0" w:lastColumn="0" w:oddVBand="0" w:evenVBand="0" w:oddHBand="0" w:evenHBand="1" w:firstRowFirstColumn="0" w:firstRowLastColumn="0" w:lastRowFirstColumn="0" w:lastRowLastColumn="0"/>
              <w:rPr>
                <w:szCs w:val="20"/>
              </w:rPr>
            </w:pPr>
            <w:r w:rsidRPr="008A3A40">
              <w:rPr>
                <w:color w:val="000000"/>
                <w:szCs w:val="20"/>
              </w:rPr>
              <w:t>0.003%</w:t>
            </w:r>
          </w:p>
        </w:tc>
        <w:tc>
          <w:tcPr>
            <w:tcW w:w="1239" w:type="dxa"/>
            <w:vAlign w:val="center"/>
          </w:tcPr>
          <w:p w14:paraId="0E99B0FB" w14:textId="0B9306C4" w:rsidR="008A3A40" w:rsidRPr="008A3A40" w:rsidRDefault="008A3A40" w:rsidP="00EE16D8">
            <w:pPr>
              <w:pStyle w:val="TableText"/>
              <w:tabs>
                <w:tab w:val="decimal" w:pos="567"/>
              </w:tabs>
              <w:spacing w:before="120" w:after="0"/>
              <w:contextualSpacing/>
              <w:jc w:val="right"/>
              <w:cnfStyle w:val="000000010000" w:firstRow="0" w:lastRow="0" w:firstColumn="0" w:lastColumn="0" w:oddVBand="0" w:evenVBand="0" w:oddHBand="0" w:evenHBand="1" w:firstRowFirstColumn="0" w:firstRowLastColumn="0" w:lastRowFirstColumn="0" w:lastRowLastColumn="0"/>
              <w:rPr>
                <w:szCs w:val="20"/>
              </w:rPr>
            </w:pPr>
            <w:r w:rsidRPr="008A3A40">
              <w:rPr>
                <w:color w:val="000000"/>
                <w:szCs w:val="20"/>
              </w:rPr>
              <w:t>10.16%</w:t>
            </w:r>
          </w:p>
        </w:tc>
        <w:tc>
          <w:tcPr>
            <w:tcW w:w="1239" w:type="dxa"/>
            <w:vAlign w:val="center"/>
          </w:tcPr>
          <w:p w14:paraId="392744B5" w14:textId="55943263" w:rsidR="008A3A40" w:rsidRPr="008A3A40" w:rsidRDefault="008A3A40" w:rsidP="00EE16D8">
            <w:pPr>
              <w:pStyle w:val="TableText"/>
              <w:tabs>
                <w:tab w:val="decimal" w:pos="567"/>
              </w:tabs>
              <w:spacing w:before="120" w:after="0"/>
              <w:contextualSpacing/>
              <w:jc w:val="right"/>
              <w:cnfStyle w:val="000000010000" w:firstRow="0" w:lastRow="0" w:firstColumn="0" w:lastColumn="0" w:oddVBand="0" w:evenVBand="0" w:oddHBand="0" w:evenHBand="1" w:firstRowFirstColumn="0" w:firstRowLastColumn="0" w:lastRowFirstColumn="0" w:lastRowLastColumn="0"/>
              <w:rPr>
                <w:szCs w:val="20"/>
              </w:rPr>
            </w:pPr>
            <w:r w:rsidRPr="008A3A40">
              <w:rPr>
                <w:color w:val="000000"/>
                <w:szCs w:val="20"/>
              </w:rPr>
              <w:t>1.24%</w:t>
            </w:r>
          </w:p>
        </w:tc>
        <w:tc>
          <w:tcPr>
            <w:tcW w:w="1239" w:type="dxa"/>
            <w:vAlign w:val="center"/>
          </w:tcPr>
          <w:p w14:paraId="32839E15" w14:textId="7C143BFE" w:rsidR="008A3A40" w:rsidRPr="008A3A40" w:rsidRDefault="008A3A40" w:rsidP="00EE16D8">
            <w:pPr>
              <w:pStyle w:val="TableText"/>
              <w:tabs>
                <w:tab w:val="decimal" w:pos="567"/>
              </w:tabs>
              <w:spacing w:before="120" w:after="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sidRPr="008A3A40">
              <w:rPr>
                <w:color w:val="000000"/>
                <w:szCs w:val="20"/>
              </w:rPr>
              <w:t>0.31%</w:t>
            </w:r>
          </w:p>
        </w:tc>
        <w:tc>
          <w:tcPr>
            <w:tcW w:w="1239" w:type="dxa"/>
            <w:vAlign w:val="center"/>
          </w:tcPr>
          <w:p w14:paraId="7E546CA8" w14:textId="6EA5FDB6" w:rsidR="008A3A40" w:rsidRPr="008A3A40" w:rsidRDefault="008A3A40" w:rsidP="00EE16D8">
            <w:pPr>
              <w:pStyle w:val="TableText"/>
              <w:tabs>
                <w:tab w:val="decimal" w:pos="567"/>
              </w:tabs>
              <w:spacing w:before="120" w:after="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sidRPr="008A3A40">
              <w:rPr>
                <w:color w:val="000000"/>
                <w:szCs w:val="20"/>
              </w:rPr>
              <w:t>1.43%</w:t>
            </w:r>
          </w:p>
        </w:tc>
      </w:tr>
    </w:tbl>
    <w:p w14:paraId="2AA0C223" w14:textId="64371867" w:rsidR="00776284" w:rsidRDefault="00776284" w:rsidP="00DD7179">
      <w:pPr>
        <w:pStyle w:val="Heading3"/>
      </w:pPr>
      <w:bookmarkStart w:id="65" w:name="_Ref396895702"/>
      <w:bookmarkStart w:id="66" w:name="_Toc397097251"/>
      <w:bookmarkStart w:id="67" w:name="_Toc394570319"/>
      <w:bookmarkStart w:id="68" w:name="_Toc394571489"/>
      <w:bookmarkStart w:id="69" w:name="_Ref396400359"/>
      <w:bookmarkStart w:id="70" w:name="_Ref396400366"/>
      <w:bookmarkStart w:id="71" w:name="_Ref396400373"/>
      <w:r>
        <w:t>Replacement due to other factors</w:t>
      </w:r>
      <w:bookmarkEnd w:id="65"/>
      <w:bookmarkEnd w:id="66"/>
    </w:p>
    <w:p w14:paraId="5AB81CD6" w14:textId="4A16CD94" w:rsidR="00776284" w:rsidRPr="00776284" w:rsidRDefault="00645A2F" w:rsidP="00776284">
      <w:r>
        <w:t>Energex</w:t>
      </w:r>
      <w:r w:rsidR="00776284">
        <w:t xml:space="preserve"> has not reported asset replacements due to other factors.</w:t>
      </w:r>
    </w:p>
    <w:p w14:paraId="78B320B7" w14:textId="493B0CB9" w:rsidR="00DD7179" w:rsidRDefault="00E33C81" w:rsidP="00DD7179">
      <w:pPr>
        <w:pStyle w:val="Heading3"/>
      </w:pPr>
      <w:bookmarkStart w:id="72" w:name="_Ref396895711"/>
      <w:bookmarkStart w:id="73" w:name="_Toc397097252"/>
      <w:r>
        <w:t xml:space="preserve">Replacement due to </w:t>
      </w:r>
      <w:r w:rsidR="00CE71BF">
        <w:t xml:space="preserve">network </w:t>
      </w:r>
      <w:r>
        <w:t>a</w:t>
      </w:r>
      <w:r w:rsidR="00DD7179">
        <w:t xml:space="preserve">ugmentation, </w:t>
      </w:r>
      <w:bookmarkEnd w:id="67"/>
      <w:bookmarkEnd w:id="68"/>
      <w:bookmarkEnd w:id="69"/>
      <w:bookmarkEnd w:id="70"/>
      <w:bookmarkEnd w:id="71"/>
      <w:r>
        <w:t>extension, development</w:t>
      </w:r>
      <w:bookmarkEnd w:id="72"/>
      <w:bookmarkEnd w:id="73"/>
    </w:p>
    <w:p w14:paraId="0AFB1621" w14:textId="77777777" w:rsidR="00DD7179" w:rsidRDefault="00DD7179" w:rsidP="00DD7179">
      <w:pPr>
        <w:pStyle w:val="AERbodytext"/>
      </w:pPr>
      <w:r>
        <w:t>Augmentation projects often include an element of asset replacement. This can be due to:</w:t>
      </w:r>
    </w:p>
    <w:p w14:paraId="5D8C9706" w14:textId="77777777" w:rsidR="00DD7179" w:rsidRDefault="00DD7179" w:rsidP="00DD7179">
      <w:pPr>
        <w:pStyle w:val="Bullet1"/>
      </w:pPr>
      <w:r>
        <w:t>A combination of augmentation and asset replacement drivers on a specific asset, such as aged zone substation transformers being upgraded and replaced due to capacity.</w:t>
      </w:r>
    </w:p>
    <w:p w14:paraId="758AB35E" w14:textId="7963F6FC" w:rsidR="00DD7179" w:rsidRDefault="00CE71BF" w:rsidP="00DD7179">
      <w:pPr>
        <w:pStyle w:val="Bullet1"/>
      </w:pPr>
      <w:r>
        <w:t xml:space="preserve">Associated </w:t>
      </w:r>
      <w:r w:rsidR="00DD7179">
        <w:t>assets also requiring replacement when the main asset is augmented</w:t>
      </w:r>
      <w:r>
        <w:t>, which occurs</w:t>
      </w:r>
      <w:r w:rsidR="00DD7179">
        <w:t xml:space="preserve"> for two key reasons:</w:t>
      </w:r>
    </w:p>
    <w:p w14:paraId="65101675" w14:textId="77777777" w:rsidR="00DD7179" w:rsidRDefault="00DD7179" w:rsidP="00DD7179">
      <w:pPr>
        <w:pStyle w:val="Bullet2"/>
      </w:pPr>
      <w:r>
        <w:t>to meet the technical specification required for the augmented asset, for example, increasing the capacity of a transformer will require the transformer circuit breaker to carry more current</w:t>
      </w:r>
    </w:p>
    <w:p w14:paraId="353A6357" w14:textId="0B072354" w:rsidR="00DD7179" w:rsidRDefault="00CE71BF" w:rsidP="00DD7179">
      <w:pPr>
        <w:pStyle w:val="Bullet2"/>
      </w:pPr>
      <w:r>
        <w:t xml:space="preserve">to bring forward replacement as part of a major project where </w:t>
      </w:r>
      <w:r w:rsidR="00DD7179">
        <w:t>the associated assets are in poor condition and financial modelling identified improved efficiency.</w:t>
      </w:r>
    </w:p>
    <w:p w14:paraId="1C01DC78" w14:textId="2BE2F1B5" w:rsidR="00DD7179" w:rsidRDefault="00CE71BF" w:rsidP="00DD7179">
      <w:pPr>
        <w:pStyle w:val="Bullet1"/>
      </w:pPr>
      <w:r>
        <w:t xml:space="preserve">Technical </w:t>
      </w:r>
      <w:r w:rsidR="00DD7179">
        <w:t>issues that force asset replacement prior to end of life, such as increased fault levels</w:t>
      </w:r>
    </w:p>
    <w:p w14:paraId="0E73B599" w14:textId="3C5F7C54" w:rsidR="00DD7179" w:rsidRPr="00D2661B" w:rsidRDefault="00CE71BF" w:rsidP="00DD7179">
      <w:pPr>
        <w:pStyle w:val="Bullet1"/>
      </w:pPr>
      <w:r>
        <w:t xml:space="preserve">Replacement </w:t>
      </w:r>
      <w:r w:rsidR="00DD7179">
        <w:t xml:space="preserve">to resolve safety concerns or changes to statutory requirements, such as protection system upgrades. </w:t>
      </w:r>
    </w:p>
    <w:p w14:paraId="11E2054E" w14:textId="3D39618B" w:rsidR="00DD7179" w:rsidRDefault="00DD7179" w:rsidP="00DD7179">
      <w:r>
        <w:fldChar w:fldCharType="begin"/>
      </w:r>
      <w:r>
        <w:instrText xml:space="preserve"> REF _Ref394667616 \h </w:instrText>
      </w:r>
      <w:r>
        <w:fldChar w:fldCharType="separate"/>
      </w:r>
      <w:r w:rsidR="00B27C70">
        <w:t>Table </w:t>
      </w:r>
      <w:r w:rsidR="00B27C70">
        <w:rPr>
          <w:noProof/>
        </w:rPr>
        <w:t>2</w:t>
      </w:r>
      <w:r w:rsidR="00B27C70">
        <w:noBreakHyphen/>
      </w:r>
      <w:r w:rsidR="00B27C70">
        <w:rPr>
          <w:noProof/>
        </w:rPr>
        <w:t>4</w:t>
      </w:r>
      <w:r>
        <w:fldChar w:fldCharType="end"/>
      </w:r>
      <w:r>
        <w:t xml:space="preserve"> </w:t>
      </w:r>
      <w:r w:rsidR="001E597C" w:rsidRPr="00D22E03">
        <w:t xml:space="preserve">shows </w:t>
      </w:r>
      <w:r w:rsidR="001E597C">
        <w:t>an estimate of</w:t>
      </w:r>
      <w:r w:rsidR="001E597C" w:rsidRPr="00D22E03">
        <w:t xml:space="preserve"> assets replaced </w:t>
      </w:r>
      <w:r w:rsidR="001E597C">
        <w:t>through augmentation projects, which would otherwise have been replaced due to condition,</w:t>
      </w:r>
      <w:r w:rsidR="00435485">
        <w:t xml:space="preserve"> as a percentage</w:t>
      </w:r>
      <w:r w:rsidR="001E597C" w:rsidRPr="00D22E03">
        <w:t xml:space="preserve"> of the total asset population</w:t>
      </w:r>
      <w:r w:rsidR="001E597C">
        <w:t xml:space="preserve">. </w:t>
      </w:r>
      <w:r w:rsidR="009B6FBC">
        <w:t>This is reported at the asset group level to average out the variability found when reporting at the asset category level.</w:t>
      </w:r>
    </w:p>
    <w:p w14:paraId="72B72C83" w14:textId="28CFAFB8" w:rsidR="001E597C" w:rsidRDefault="001E597C" w:rsidP="001E597C">
      <w:pPr>
        <w:pStyle w:val="Caption"/>
      </w:pPr>
      <w:bookmarkStart w:id="74" w:name="_Ref394667616"/>
      <w:bookmarkStart w:id="75" w:name="_Toc390670020"/>
      <w:bookmarkStart w:id="76" w:name="_Toc390670033"/>
      <w:bookmarkStart w:id="77" w:name="_Toc397097290"/>
      <w:r>
        <w:t>Table </w:t>
      </w:r>
      <w:fldSimple w:instr=" STYLEREF 1 \s ">
        <w:r w:rsidR="00B27C70">
          <w:rPr>
            <w:noProof/>
          </w:rPr>
          <w:t>2</w:t>
        </w:r>
      </w:fldSimple>
      <w:r w:rsidR="00771CAE">
        <w:noBreakHyphen/>
      </w:r>
      <w:fldSimple w:instr=" SEQ Table \* ARABIC \s 1 ">
        <w:r w:rsidR="00B27C70">
          <w:rPr>
            <w:noProof/>
          </w:rPr>
          <w:t>4</w:t>
        </w:r>
      </w:fldSimple>
      <w:bookmarkEnd w:id="74"/>
      <w:r>
        <w:tab/>
        <w:t xml:space="preserve">Assets </w:t>
      </w:r>
      <w:bookmarkEnd w:id="75"/>
      <w:bookmarkEnd w:id="76"/>
      <w:r>
        <w:t xml:space="preserve">replaced through </w:t>
      </w:r>
      <w:r w:rsidRPr="001E597C">
        <w:t>augmentation, extension, development of the network</w:t>
      </w:r>
      <w:bookmarkEnd w:id="77"/>
    </w:p>
    <w:tbl>
      <w:tblPr>
        <w:tblStyle w:val="TableGrid"/>
        <w:tblW w:w="9072" w:type="dxa"/>
        <w:tblInd w:w="108" w:type="dxa"/>
        <w:tblLook w:val="04A0" w:firstRow="1" w:lastRow="0" w:firstColumn="1" w:lastColumn="0" w:noHBand="0" w:noVBand="1"/>
      </w:tblPr>
      <w:tblGrid>
        <w:gridCol w:w="3134"/>
        <w:gridCol w:w="1186"/>
        <w:gridCol w:w="1188"/>
        <w:gridCol w:w="1188"/>
        <w:gridCol w:w="1188"/>
        <w:gridCol w:w="1188"/>
      </w:tblGrid>
      <w:tr w:rsidR="001E597C" w:rsidRPr="000309CB" w14:paraId="2EF99E58" w14:textId="77777777" w:rsidTr="00EE16D8">
        <w:trPr>
          <w:cnfStyle w:val="100000000000" w:firstRow="1" w:lastRow="0" w:firstColumn="0" w:lastColumn="0" w:oddVBand="0" w:evenVBand="0" w:oddHBand="0" w:evenHBand="0" w:firstRowFirstColumn="0" w:firstRowLastColumn="0" w:lastRowFirstColumn="0" w:lastRowLastColumn="0"/>
          <w:cantSplit/>
          <w:trHeight w:val="453"/>
          <w:tblHeader/>
        </w:trPr>
        <w:tc>
          <w:tcPr>
            <w:cnfStyle w:val="001000000000" w:firstRow="0" w:lastRow="0" w:firstColumn="1" w:lastColumn="0" w:oddVBand="0" w:evenVBand="0" w:oddHBand="0" w:evenHBand="0" w:firstRowFirstColumn="0" w:firstRowLastColumn="0" w:lastRowFirstColumn="0" w:lastRowLastColumn="0"/>
            <w:tcW w:w="3134" w:type="dxa"/>
            <w:vMerge w:val="restart"/>
          </w:tcPr>
          <w:p w14:paraId="78339014" w14:textId="77777777" w:rsidR="001E597C" w:rsidRPr="008A3A40" w:rsidRDefault="001E597C" w:rsidP="00EE16D8">
            <w:pPr>
              <w:pStyle w:val="TableText"/>
              <w:spacing w:before="0" w:after="120"/>
              <w:contextualSpacing/>
              <w:rPr>
                <w:szCs w:val="20"/>
              </w:rPr>
            </w:pPr>
            <w:r w:rsidRPr="008A3A40">
              <w:rPr>
                <w:szCs w:val="20"/>
              </w:rPr>
              <w:t>Asset group</w:t>
            </w:r>
          </w:p>
        </w:tc>
        <w:tc>
          <w:tcPr>
            <w:tcW w:w="5938" w:type="dxa"/>
            <w:gridSpan w:val="5"/>
          </w:tcPr>
          <w:p w14:paraId="6D2B3E15" w14:textId="64592556" w:rsidR="001E597C" w:rsidRPr="008A3A40" w:rsidRDefault="009B6FBC" w:rsidP="00EE16D8">
            <w:pPr>
              <w:pStyle w:val="TableText"/>
              <w:spacing w:before="0" w:after="120"/>
              <w:contextualSpacing/>
              <w:cnfStyle w:val="100000000000" w:firstRow="1" w:lastRow="0" w:firstColumn="0" w:lastColumn="0" w:oddVBand="0" w:evenVBand="0" w:oddHBand="0" w:evenHBand="0" w:firstRowFirstColumn="0" w:firstRowLastColumn="0" w:lastRowFirstColumn="0" w:lastRowLastColumn="0"/>
              <w:rPr>
                <w:szCs w:val="20"/>
              </w:rPr>
            </w:pPr>
            <w:r w:rsidRPr="008A3A40">
              <w:rPr>
                <w:szCs w:val="20"/>
              </w:rPr>
              <w:t>Proportion</w:t>
            </w:r>
            <w:r w:rsidR="001E597C" w:rsidRPr="008A3A40">
              <w:rPr>
                <w:szCs w:val="20"/>
              </w:rPr>
              <w:t xml:space="preserve"> of assets replaced</w:t>
            </w:r>
          </w:p>
        </w:tc>
      </w:tr>
      <w:tr w:rsidR="008A3A40" w:rsidRPr="000309CB" w14:paraId="7C012ADF" w14:textId="77777777" w:rsidTr="008A3A40">
        <w:trPr>
          <w:cnfStyle w:val="100000000000" w:firstRow="1" w:lastRow="0" w:firstColumn="0" w:lastColumn="0" w:oddVBand="0" w:evenVBand="0" w:oddHBand="0" w:evenHBand="0" w:firstRowFirstColumn="0" w:firstRowLastColumn="0" w:lastRowFirstColumn="0" w:lastRowLastColumn="0"/>
          <w:cantSplit/>
          <w:trHeight w:val="587"/>
          <w:tblHeader/>
        </w:trPr>
        <w:tc>
          <w:tcPr>
            <w:cnfStyle w:val="001000000000" w:firstRow="0" w:lastRow="0" w:firstColumn="1" w:lastColumn="0" w:oddVBand="0" w:evenVBand="0" w:oddHBand="0" w:evenHBand="0" w:firstRowFirstColumn="0" w:firstRowLastColumn="0" w:lastRowFirstColumn="0" w:lastRowLastColumn="0"/>
            <w:tcW w:w="3134" w:type="dxa"/>
            <w:vMerge/>
          </w:tcPr>
          <w:p w14:paraId="393C7368" w14:textId="77777777" w:rsidR="008A3A40" w:rsidRPr="008A3A40" w:rsidRDefault="008A3A40" w:rsidP="00EE16D8">
            <w:pPr>
              <w:pStyle w:val="TableText"/>
              <w:spacing w:before="0" w:after="120"/>
              <w:contextualSpacing/>
              <w:rPr>
                <w:szCs w:val="20"/>
              </w:rPr>
            </w:pPr>
          </w:p>
        </w:tc>
        <w:tc>
          <w:tcPr>
            <w:tcW w:w="1186" w:type="dxa"/>
          </w:tcPr>
          <w:p w14:paraId="5F2423A9" w14:textId="108CB87C" w:rsidR="008A3A40" w:rsidRPr="008A3A40" w:rsidRDefault="008A3A40" w:rsidP="00EE16D8">
            <w:pPr>
              <w:pStyle w:val="TableText"/>
              <w:spacing w:before="0" w:after="120"/>
              <w:contextualSpacing/>
              <w:cnfStyle w:val="100000000000" w:firstRow="1" w:lastRow="0" w:firstColumn="0" w:lastColumn="0" w:oddVBand="0" w:evenVBand="0" w:oddHBand="0" w:evenHBand="0" w:firstRowFirstColumn="0" w:firstRowLastColumn="0" w:lastRowFirstColumn="0" w:lastRowLastColumn="0"/>
              <w:rPr>
                <w:szCs w:val="20"/>
              </w:rPr>
            </w:pPr>
            <w:r w:rsidRPr="008A3A40">
              <w:rPr>
                <w:b w:val="0"/>
                <w:bCs/>
                <w:color w:val="000000"/>
                <w:szCs w:val="20"/>
              </w:rPr>
              <w:t>2010</w:t>
            </w:r>
          </w:p>
        </w:tc>
        <w:tc>
          <w:tcPr>
            <w:tcW w:w="1188" w:type="dxa"/>
          </w:tcPr>
          <w:p w14:paraId="08790428" w14:textId="455CFC86" w:rsidR="008A3A40" w:rsidRPr="008A3A40" w:rsidRDefault="008A3A40" w:rsidP="00EE16D8">
            <w:pPr>
              <w:pStyle w:val="TableText"/>
              <w:spacing w:before="0" w:after="120"/>
              <w:contextualSpacing/>
              <w:cnfStyle w:val="100000000000" w:firstRow="1" w:lastRow="0" w:firstColumn="0" w:lastColumn="0" w:oddVBand="0" w:evenVBand="0" w:oddHBand="0" w:evenHBand="0" w:firstRowFirstColumn="0" w:firstRowLastColumn="0" w:lastRowFirstColumn="0" w:lastRowLastColumn="0"/>
              <w:rPr>
                <w:szCs w:val="20"/>
              </w:rPr>
            </w:pPr>
            <w:r w:rsidRPr="008A3A40">
              <w:rPr>
                <w:b w:val="0"/>
                <w:bCs/>
                <w:color w:val="000000"/>
                <w:szCs w:val="20"/>
              </w:rPr>
              <w:t>2011</w:t>
            </w:r>
          </w:p>
        </w:tc>
        <w:tc>
          <w:tcPr>
            <w:tcW w:w="1188" w:type="dxa"/>
          </w:tcPr>
          <w:p w14:paraId="25A12C61" w14:textId="78766917" w:rsidR="008A3A40" w:rsidRPr="008A3A40" w:rsidRDefault="008A3A40" w:rsidP="00EE16D8">
            <w:pPr>
              <w:pStyle w:val="TableText"/>
              <w:spacing w:before="0" w:after="120"/>
              <w:contextualSpacing/>
              <w:cnfStyle w:val="100000000000" w:firstRow="1" w:lastRow="0" w:firstColumn="0" w:lastColumn="0" w:oddVBand="0" w:evenVBand="0" w:oddHBand="0" w:evenHBand="0" w:firstRowFirstColumn="0" w:firstRowLastColumn="0" w:lastRowFirstColumn="0" w:lastRowLastColumn="0"/>
              <w:rPr>
                <w:szCs w:val="20"/>
              </w:rPr>
            </w:pPr>
            <w:r w:rsidRPr="008A3A40">
              <w:rPr>
                <w:b w:val="0"/>
                <w:bCs/>
                <w:color w:val="000000"/>
                <w:szCs w:val="20"/>
              </w:rPr>
              <w:t>2012</w:t>
            </w:r>
          </w:p>
        </w:tc>
        <w:tc>
          <w:tcPr>
            <w:tcW w:w="1188" w:type="dxa"/>
          </w:tcPr>
          <w:p w14:paraId="33304168" w14:textId="35579F39" w:rsidR="008A3A40" w:rsidRPr="008A3A40" w:rsidRDefault="008A3A40" w:rsidP="00EE16D8">
            <w:pPr>
              <w:pStyle w:val="TableText"/>
              <w:spacing w:before="0" w:after="120"/>
              <w:contextualSpacing/>
              <w:cnfStyle w:val="100000000000" w:firstRow="1" w:lastRow="0" w:firstColumn="0" w:lastColumn="0" w:oddVBand="0" w:evenVBand="0" w:oddHBand="0" w:evenHBand="0" w:firstRowFirstColumn="0" w:firstRowLastColumn="0" w:lastRowFirstColumn="0" w:lastRowLastColumn="0"/>
              <w:rPr>
                <w:szCs w:val="20"/>
              </w:rPr>
            </w:pPr>
            <w:r w:rsidRPr="008A3A40">
              <w:rPr>
                <w:b w:val="0"/>
                <w:bCs/>
                <w:color w:val="000000"/>
                <w:szCs w:val="20"/>
              </w:rPr>
              <w:t>2013</w:t>
            </w:r>
          </w:p>
        </w:tc>
        <w:tc>
          <w:tcPr>
            <w:tcW w:w="1188" w:type="dxa"/>
          </w:tcPr>
          <w:p w14:paraId="5D4A0726" w14:textId="4E6D1FE1" w:rsidR="008A3A40" w:rsidRPr="008A3A40" w:rsidRDefault="008A3A40" w:rsidP="00EE16D8">
            <w:pPr>
              <w:pStyle w:val="TableText"/>
              <w:spacing w:before="0" w:after="120"/>
              <w:contextualSpacing/>
              <w:cnfStyle w:val="100000000000" w:firstRow="1" w:lastRow="0" w:firstColumn="0" w:lastColumn="0" w:oddVBand="0" w:evenVBand="0" w:oddHBand="0" w:evenHBand="0" w:firstRowFirstColumn="0" w:firstRowLastColumn="0" w:lastRowFirstColumn="0" w:lastRowLastColumn="0"/>
              <w:rPr>
                <w:szCs w:val="20"/>
              </w:rPr>
            </w:pPr>
            <w:r w:rsidRPr="008A3A40">
              <w:rPr>
                <w:b w:val="0"/>
                <w:bCs/>
                <w:color w:val="000000"/>
                <w:szCs w:val="20"/>
              </w:rPr>
              <w:t>2014</w:t>
            </w:r>
          </w:p>
        </w:tc>
      </w:tr>
      <w:tr w:rsidR="008A3A40" w:rsidRPr="000309CB" w14:paraId="3452BF12" w14:textId="77777777" w:rsidTr="008A3A40">
        <w:trPr>
          <w:cnfStyle w:val="000000100000" w:firstRow="0" w:lastRow="0" w:firstColumn="0" w:lastColumn="0" w:oddVBand="0" w:evenVBand="0" w:oddHBand="1"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3134" w:type="dxa"/>
          </w:tcPr>
          <w:p w14:paraId="53D6A6B2" w14:textId="0D019971" w:rsidR="008A3A40" w:rsidRPr="008A3A40" w:rsidRDefault="008A3A40" w:rsidP="00EE16D8">
            <w:pPr>
              <w:pStyle w:val="TableText"/>
              <w:spacing w:before="0" w:after="120"/>
              <w:contextualSpacing/>
              <w:rPr>
                <w:szCs w:val="20"/>
              </w:rPr>
            </w:pPr>
            <w:r w:rsidRPr="008A3A40">
              <w:t>Poles (ea.)</w:t>
            </w:r>
          </w:p>
        </w:tc>
        <w:tc>
          <w:tcPr>
            <w:tcW w:w="1186" w:type="dxa"/>
            <w:vAlign w:val="center"/>
          </w:tcPr>
          <w:p w14:paraId="6CC5D3E7" w14:textId="2C09A213" w:rsidR="008A3A40" w:rsidRPr="000309CB" w:rsidRDefault="008A3A40" w:rsidP="00EE16D8">
            <w:pPr>
              <w:pStyle w:val="TableText"/>
              <w:spacing w:before="0" w:after="120"/>
              <w:contextualSpacing/>
              <w:jc w:val="right"/>
              <w:cnfStyle w:val="000000100000" w:firstRow="0" w:lastRow="0" w:firstColumn="0" w:lastColumn="0" w:oddVBand="0" w:evenVBand="0" w:oddHBand="1" w:evenHBand="0" w:firstRowFirstColumn="0" w:firstRowLastColumn="0" w:lastRowFirstColumn="0" w:lastRowLastColumn="0"/>
              <w:rPr>
                <w:szCs w:val="20"/>
                <w:highlight w:val="yellow"/>
              </w:rPr>
            </w:pPr>
            <w:r>
              <w:rPr>
                <w:color w:val="000000"/>
                <w:szCs w:val="20"/>
              </w:rPr>
              <w:t>0.18%</w:t>
            </w:r>
          </w:p>
        </w:tc>
        <w:tc>
          <w:tcPr>
            <w:tcW w:w="1188" w:type="dxa"/>
            <w:vAlign w:val="center"/>
          </w:tcPr>
          <w:p w14:paraId="7C5F2B91" w14:textId="4E45D6CE" w:rsidR="008A3A40" w:rsidRPr="000309CB" w:rsidRDefault="008A3A40" w:rsidP="00EE16D8">
            <w:pPr>
              <w:pStyle w:val="TableText"/>
              <w:spacing w:before="0" w:after="120"/>
              <w:contextualSpacing/>
              <w:jc w:val="right"/>
              <w:cnfStyle w:val="000000100000" w:firstRow="0" w:lastRow="0" w:firstColumn="0" w:lastColumn="0" w:oddVBand="0" w:evenVBand="0" w:oddHBand="1" w:evenHBand="0" w:firstRowFirstColumn="0" w:firstRowLastColumn="0" w:lastRowFirstColumn="0" w:lastRowLastColumn="0"/>
              <w:rPr>
                <w:szCs w:val="20"/>
                <w:highlight w:val="yellow"/>
              </w:rPr>
            </w:pPr>
            <w:r>
              <w:rPr>
                <w:color w:val="000000"/>
                <w:szCs w:val="20"/>
              </w:rPr>
              <w:t>0.18%</w:t>
            </w:r>
          </w:p>
        </w:tc>
        <w:tc>
          <w:tcPr>
            <w:tcW w:w="1188" w:type="dxa"/>
            <w:vAlign w:val="center"/>
          </w:tcPr>
          <w:p w14:paraId="6A175408" w14:textId="24E0DFE2" w:rsidR="008A3A40" w:rsidRPr="000309CB" w:rsidRDefault="008A3A40" w:rsidP="00EE16D8">
            <w:pPr>
              <w:pStyle w:val="TableText"/>
              <w:spacing w:before="0" w:after="120"/>
              <w:contextualSpacing/>
              <w:jc w:val="right"/>
              <w:cnfStyle w:val="000000100000" w:firstRow="0" w:lastRow="0" w:firstColumn="0" w:lastColumn="0" w:oddVBand="0" w:evenVBand="0" w:oddHBand="1" w:evenHBand="0" w:firstRowFirstColumn="0" w:firstRowLastColumn="0" w:lastRowFirstColumn="0" w:lastRowLastColumn="0"/>
              <w:rPr>
                <w:szCs w:val="20"/>
                <w:highlight w:val="yellow"/>
              </w:rPr>
            </w:pPr>
            <w:r>
              <w:rPr>
                <w:color w:val="000000"/>
                <w:szCs w:val="20"/>
              </w:rPr>
              <w:t>0.18%</w:t>
            </w:r>
          </w:p>
        </w:tc>
        <w:tc>
          <w:tcPr>
            <w:tcW w:w="1188" w:type="dxa"/>
            <w:vAlign w:val="center"/>
          </w:tcPr>
          <w:p w14:paraId="1BFFA893" w14:textId="43438FB5" w:rsidR="008A3A40" w:rsidRPr="000309CB" w:rsidRDefault="008A3A40" w:rsidP="00EE16D8">
            <w:pPr>
              <w:pStyle w:val="TableText"/>
              <w:spacing w:before="0" w:after="120"/>
              <w:contextualSpacing/>
              <w:jc w:val="right"/>
              <w:cnfStyle w:val="000000100000" w:firstRow="0" w:lastRow="0" w:firstColumn="0" w:lastColumn="0" w:oddVBand="0" w:evenVBand="0" w:oddHBand="1" w:evenHBand="0" w:firstRowFirstColumn="0" w:firstRowLastColumn="0" w:lastRowFirstColumn="0" w:lastRowLastColumn="0"/>
              <w:rPr>
                <w:szCs w:val="20"/>
                <w:highlight w:val="yellow"/>
              </w:rPr>
            </w:pPr>
            <w:r>
              <w:rPr>
                <w:color w:val="000000"/>
                <w:szCs w:val="20"/>
              </w:rPr>
              <w:t>0.18%</w:t>
            </w:r>
          </w:p>
        </w:tc>
        <w:tc>
          <w:tcPr>
            <w:tcW w:w="1188" w:type="dxa"/>
            <w:vAlign w:val="center"/>
          </w:tcPr>
          <w:p w14:paraId="39F2D7EF" w14:textId="495A1399" w:rsidR="008A3A40" w:rsidRPr="000309CB" w:rsidRDefault="008A3A40" w:rsidP="00EE16D8">
            <w:pPr>
              <w:pStyle w:val="TableText"/>
              <w:spacing w:before="0" w:after="120"/>
              <w:contextualSpacing/>
              <w:jc w:val="right"/>
              <w:cnfStyle w:val="000000100000" w:firstRow="0" w:lastRow="0" w:firstColumn="0" w:lastColumn="0" w:oddVBand="0" w:evenVBand="0" w:oddHBand="1" w:evenHBand="0" w:firstRowFirstColumn="0" w:firstRowLastColumn="0" w:lastRowFirstColumn="0" w:lastRowLastColumn="0"/>
              <w:rPr>
                <w:szCs w:val="20"/>
                <w:highlight w:val="yellow"/>
              </w:rPr>
            </w:pPr>
            <w:r>
              <w:rPr>
                <w:color w:val="000000"/>
                <w:szCs w:val="20"/>
              </w:rPr>
              <w:t>0.33%</w:t>
            </w:r>
          </w:p>
        </w:tc>
      </w:tr>
      <w:tr w:rsidR="008A3A40" w:rsidRPr="000309CB" w14:paraId="36C733E9" w14:textId="77777777" w:rsidTr="008A3A40">
        <w:trPr>
          <w:cnfStyle w:val="000000010000" w:firstRow="0" w:lastRow="0" w:firstColumn="0" w:lastColumn="0" w:oddVBand="0" w:evenVBand="0" w:oddHBand="0" w:evenHBand="1"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3134" w:type="dxa"/>
          </w:tcPr>
          <w:p w14:paraId="1B0B8622" w14:textId="7B4C556B" w:rsidR="008A3A40" w:rsidRPr="008A3A40" w:rsidRDefault="008A3A40" w:rsidP="00EE16D8">
            <w:pPr>
              <w:pStyle w:val="TableText"/>
              <w:spacing w:before="0" w:after="120"/>
              <w:contextualSpacing/>
              <w:rPr>
                <w:szCs w:val="20"/>
              </w:rPr>
            </w:pPr>
            <w:r w:rsidRPr="008A3A40">
              <w:t>Pole top structures (ea.)</w:t>
            </w:r>
          </w:p>
        </w:tc>
        <w:tc>
          <w:tcPr>
            <w:tcW w:w="1186" w:type="dxa"/>
            <w:vAlign w:val="center"/>
          </w:tcPr>
          <w:p w14:paraId="24257EED" w14:textId="68612802" w:rsidR="008A3A40" w:rsidRPr="000309CB" w:rsidRDefault="004C29FD" w:rsidP="00EE16D8">
            <w:pPr>
              <w:pStyle w:val="TableText"/>
              <w:spacing w:before="0" w:after="12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Pr>
                <w:color w:val="000000"/>
                <w:szCs w:val="20"/>
              </w:rPr>
              <w:t>-</w:t>
            </w:r>
            <w:r w:rsidR="008A3A40">
              <w:rPr>
                <w:color w:val="000000"/>
                <w:szCs w:val="20"/>
              </w:rPr>
              <w:t> </w:t>
            </w:r>
          </w:p>
        </w:tc>
        <w:tc>
          <w:tcPr>
            <w:tcW w:w="1188" w:type="dxa"/>
            <w:vAlign w:val="center"/>
          </w:tcPr>
          <w:p w14:paraId="4D8302E5" w14:textId="1440C258" w:rsidR="008A3A40" w:rsidRPr="000309CB" w:rsidRDefault="004C29FD" w:rsidP="00EE16D8">
            <w:pPr>
              <w:pStyle w:val="TableText"/>
              <w:spacing w:before="0" w:after="12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Pr>
                <w:color w:val="000000"/>
                <w:szCs w:val="20"/>
              </w:rPr>
              <w:t>-</w:t>
            </w:r>
          </w:p>
        </w:tc>
        <w:tc>
          <w:tcPr>
            <w:tcW w:w="1188" w:type="dxa"/>
            <w:vAlign w:val="center"/>
          </w:tcPr>
          <w:p w14:paraId="3612D8E5" w14:textId="2BCDE494" w:rsidR="008A3A40" w:rsidRPr="000309CB" w:rsidRDefault="004C29FD" w:rsidP="00EE16D8">
            <w:pPr>
              <w:pStyle w:val="TableText"/>
              <w:spacing w:before="0" w:after="12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Pr>
                <w:color w:val="000000"/>
                <w:szCs w:val="20"/>
              </w:rPr>
              <w:t>-</w:t>
            </w:r>
          </w:p>
        </w:tc>
        <w:tc>
          <w:tcPr>
            <w:tcW w:w="1188" w:type="dxa"/>
            <w:vAlign w:val="center"/>
          </w:tcPr>
          <w:p w14:paraId="0C178A88" w14:textId="3ABA634E" w:rsidR="008A3A40" w:rsidRPr="000309CB" w:rsidRDefault="004C29FD" w:rsidP="00EE16D8">
            <w:pPr>
              <w:pStyle w:val="TableText"/>
              <w:spacing w:before="0" w:after="12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Pr>
                <w:color w:val="000000"/>
                <w:szCs w:val="20"/>
              </w:rPr>
              <w:t>-</w:t>
            </w:r>
          </w:p>
        </w:tc>
        <w:tc>
          <w:tcPr>
            <w:tcW w:w="1188" w:type="dxa"/>
            <w:vAlign w:val="center"/>
          </w:tcPr>
          <w:p w14:paraId="7E2A45DD" w14:textId="423BEFF8" w:rsidR="008A3A40" w:rsidRPr="000309CB" w:rsidRDefault="004C29FD" w:rsidP="00EE16D8">
            <w:pPr>
              <w:pStyle w:val="TableText"/>
              <w:spacing w:before="0" w:after="12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Pr>
                <w:color w:val="000000"/>
                <w:szCs w:val="20"/>
              </w:rPr>
              <w:t>-</w:t>
            </w:r>
          </w:p>
        </w:tc>
      </w:tr>
      <w:tr w:rsidR="008A3A40" w:rsidRPr="000309CB" w14:paraId="600B801F" w14:textId="77777777" w:rsidTr="008A3A40">
        <w:trPr>
          <w:cnfStyle w:val="000000100000" w:firstRow="0" w:lastRow="0" w:firstColumn="0" w:lastColumn="0" w:oddVBand="0" w:evenVBand="0" w:oddHBand="1"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3134" w:type="dxa"/>
          </w:tcPr>
          <w:p w14:paraId="131F3874" w14:textId="57E6D4FB" w:rsidR="008A3A40" w:rsidRPr="008A3A40" w:rsidRDefault="008A3A40" w:rsidP="00EE16D8">
            <w:pPr>
              <w:pStyle w:val="TableText"/>
              <w:spacing w:before="0" w:after="120"/>
              <w:contextualSpacing/>
              <w:rPr>
                <w:szCs w:val="20"/>
              </w:rPr>
            </w:pPr>
            <w:r w:rsidRPr="008A3A40">
              <w:t>Overhead conductor (in km)</w:t>
            </w:r>
          </w:p>
        </w:tc>
        <w:tc>
          <w:tcPr>
            <w:tcW w:w="1186" w:type="dxa"/>
            <w:vAlign w:val="center"/>
          </w:tcPr>
          <w:p w14:paraId="2FC58692" w14:textId="6D4C813F" w:rsidR="008A3A40" w:rsidRPr="002551AA" w:rsidRDefault="008A3A40" w:rsidP="00EE16D8">
            <w:pPr>
              <w:pStyle w:val="TableText"/>
              <w:spacing w:before="0" w:after="120"/>
              <w:contextualSpacing/>
              <w:jc w:val="right"/>
              <w:cnfStyle w:val="000000100000" w:firstRow="0" w:lastRow="0" w:firstColumn="0" w:lastColumn="0" w:oddVBand="0" w:evenVBand="0" w:oddHBand="1" w:evenHBand="0" w:firstRowFirstColumn="0" w:firstRowLastColumn="0" w:lastRowFirstColumn="0" w:lastRowLastColumn="0"/>
              <w:rPr>
                <w:szCs w:val="20"/>
              </w:rPr>
            </w:pPr>
            <w:r w:rsidRPr="002551AA">
              <w:rPr>
                <w:color w:val="000000"/>
                <w:szCs w:val="20"/>
              </w:rPr>
              <w:t>0.01%</w:t>
            </w:r>
          </w:p>
        </w:tc>
        <w:tc>
          <w:tcPr>
            <w:tcW w:w="1188" w:type="dxa"/>
            <w:vAlign w:val="center"/>
          </w:tcPr>
          <w:p w14:paraId="47C84D01" w14:textId="519F21DC" w:rsidR="008A3A40" w:rsidRPr="002551AA" w:rsidRDefault="008A3A40" w:rsidP="00EE16D8">
            <w:pPr>
              <w:pStyle w:val="TableText"/>
              <w:spacing w:before="0" w:after="120"/>
              <w:contextualSpacing/>
              <w:jc w:val="right"/>
              <w:cnfStyle w:val="000000100000" w:firstRow="0" w:lastRow="0" w:firstColumn="0" w:lastColumn="0" w:oddVBand="0" w:evenVBand="0" w:oddHBand="1" w:evenHBand="0" w:firstRowFirstColumn="0" w:firstRowLastColumn="0" w:lastRowFirstColumn="0" w:lastRowLastColumn="0"/>
              <w:rPr>
                <w:szCs w:val="20"/>
              </w:rPr>
            </w:pPr>
            <w:r w:rsidRPr="002551AA">
              <w:rPr>
                <w:color w:val="000000"/>
                <w:szCs w:val="20"/>
              </w:rPr>
              <w:t>0.08%</w:t>
            </w:r>
          </w:p>
        </w:tc>
        <w:tc>
          <w:tcPr>
            <w:tcW w:w="1188" w:type="dxa"/>
            <w:vAlign w:val="center"/>
          </w:tcPr>
          <w:p w14:paraId="6A3F0184" w14:textId="7BAC57C5" w:rsidR="008A3A40" w:rsidRPr="002551AA" w:rsidRDefault="008A3A40" w:rsidP="00EE16D8">
            <w:pPr>
              <w:pStyle w:val="TableText"/>
              <w:spacing w:before="0" w:after="120"/>
              <w:contextualSpacing/>
              <w:jc w:val="right"/>
              <w:cnfStyle w:val="000000100000" w:firstRow="0" w:lastRow="0" w:firstColumn="0" w:lastColumn="0" w:oddVBand="0" w:evenVBand="0" w:oddHBand="1" w:evenHBand="0" w:firstRowFirstColumn="0" w:firstRowLastColumn="0" w:lastRowFirstColumn="0" w:lastRowLastColumn="0"/>
              <w:rPr>
                <w:szCs w:val="20"/>
              </w:rPr>
            </w:pPr>
            <w:r w:rsidRPr="002551AA">
              <w:rPr>
                <w:color w:val="000000"/>
                <w:szCs w:val="20"/>
              </w:rPr>
              <w:t>0.23%</w:t>
            </w:r>
          </w:p>
        </w:tc>
        <w:tc>
          <w:tcPr>
            <w:tcW w:w="1188" w:type="dxa"/>
            <w:vAlign w:val="center"/>
          </w:tcPr>
          <w:p w14:paraId="0E2A2336" w14:textId="09C34D49" w:rsidR="008A3A40" w:rsidRPr="002551AA" w:rsidRDefault="008A3A40" w:rsidP="00EE16D8">
            <w:pPr>
              <w:pStyle w:val="TableText"/>
              <w:spacing w:before="0" w:after="120"/>
              <w:contextualSpacing/>
              <w:jc w:val="right"/>
              <w:cnfStyle w:val="000000100000" w:firstRow="0" w:lastRow="0" w:firstColumn="0" w:lastColumn="0" w:oddVBand="0" w:evenVBand="0" w:oddHBand="1" w:evenHBand="0" w:firstRowFirstColumn="0" w:firstRowLastColumn="0" w:lastRowFirstColumn="0" w:lastRowLastColumn="0"/>
              <w:rPr>
                <w:szCs w:val="20"/>
              </w:rPr>
            </w:pPr>
            <w:r w:rsidRPr="002551AA">
              <w:rPr>
                <w:color w:val="000000"/>
                <w:szCs w:val="20"/>
              </w:rPr>
              <w:t>0.03%</w:t>
            </w:r>
          </w:p>
        </w:tc>
        <w:tc>
          <w:tcPr>
            <w:tcW w:w="1188" w:type="dxa"/>
            <w:vAlign w:val="center"/>
          </w:tcPr>
          <w:p w14:paraId="01958492" w14:textId="408AE710" w:rsidR="008A3A40" w:rsidRPr="002551AA" w:rsidRDefault="008A3A40" w:rsidP="00EE16D8">
            <w:pPr>
              <w:pStyle w:val="TableText"/>
              <w:spacing w:before="0" w:after="120"/>
              <w:contextualSpacing/>
              <w:jc w:val="right"/>
              <w:cnfStyle w:val="000000100000" w:firstRow="0" w:lastRow="0" w:firstColumn="0" w:lastColumn="0" w:oddVBand="0" w:evenVBand="0" w:oddHBand="1" w:evenHBand="0" w:firstRowFirstColumn="0" w:firstRowLastColumn="0" w:lastRowFirstColumn="0" w:lastRowLastColumn="0"/>
              <w:rPr>
                <w:szCs w:val="20"/>
              </w:rPr>
            </w:pPr>
            <w:r w:rsidRPr="002551AA">
              <w:rPr>
                <w:color w:val="000000"/>
                <w:szCs w:val="20"/>
              </w:rPr>
              <w:t>0.03%</w:t>
            </w:r>
          </w:p>
        </w:tc>
      </w:tr>
      <w:tr w:rsidR="008A3A40" w:rsidRPr="000309CB" w14:paraId="0FD82BA1" w14:textId="77777777" w:rsidTr="008A3A40">
        <w:trPr>
          <w:cnfStyle w:val="000000010000" w:firstRow="0" w:lastRow="0" w:firstColumn="0" w:lastColumn="0" w:oddVBand="0" w:evenVBand="0" w:oddHBand="0" w:evenHBand="1"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3134" w:type="dxa"/>
          </w:tcPr>
          <w:p w14:paraId="343F101D" w14:textId="14A248CB" w:rsidR="008A3A40" w:rsidRPr="008A3A40" w:rsidRDefault="008A3A40" w:rsidP="00EE16D8">
            <w:pPr>
              <w:pStyle w:val="TableText"/>
              <w:spacing w:before="0" w:after="120"/>
              <w:contextualSpacing/>
              <w:rPr>
                <w:szCs w:val="20"/>
              </w:rPr>
            </w:pPr>
            <w:r w:rsidRPr="008A3A40">
              <w:t>Underground cables (in km)</w:t>
            </w:r>
          </w:p>
        </w:tc>
        <w:tc>
          <w:tcPr>
            <w:tcW w:w="1186" w:type="dxa"/>
            <w:vAlign w:val="center"/>
          </w:tcPr>
          <w:p w14:paraId="7259E839" w14:textId="1031EED5" w:rsidR="008A3A40" w:rsidRPr="002551AA" w:rsidRDefault="002551AA" w:rsidP="00EE16D8">
            <w:pPr>
              <w:pStyle w:val="TableText"/>
              <w:spacing w:before="0" w:after="120"/>
              <w:contextualSpacing/>
              <w:jc w:val="right"/>
              <w:cnfStyle w:val="000000010000" w:firstRow="0" w:lastRow="0" w:firstColumn="0" w:lastColumn="0" w:oddVBand="0" w:evenVBand="0" w:oddHBand="0" w:evenHBand="1" w:firstRowFirstColumn="0" w:firstRowLastColumn="0" w:lastRowFirstColumn="0" w:lastRowLastColumn="0"/>
              <w:rPr>
                <w:szCs w:val="20"/>
              </w:rPr>
            </w:pPr>
            <w:r w:rsidRPr="002551AA">
              <w:rPr>
                <w:szCs w:val="20"/>
              </w:rPr>
              <w:t>-</w:t>
            </w:r>
          </w:p>
        </w:tc>
        <w:tc>
          <w:tcPr>
            <w:tcW w:w="1188" w:type="dxa"/>
            <w:vAlign w:val="center"/>
          </w:tcPr>
          <w:p w14:paraId="7E2EBBAE" w14:textId="66A42304" w:rsidR="008A3A40" w:rsidRPr="002551AA" w:rsidRDefault="002551AA" w:rsidP="00EE16D8">
            <w:pPr>
              <w:pStyle w:val="TableText"/>
              <w:spacing w:before="0" w:after="120"/>
              <w:contextualSpacing/>
              <w:jc w:val="right"/>
              <w:cnfStyle w:val="000000010000" w:firstRow="0" w:lastRow="0" w:firstColumn="0" w:lastColumn="0" w:oddVBand="0" w:evenVBand="0" w:oddHBand="0" w:evenHBand="1" w:firstRowFirstColumn="0" w:firstRowLastColumn="0" w:lastRowFirstColumn="0" w:lastRowLastColumn="0"/>
              <w:rPr>
                <w:szCs w:val="20"/>
              </w:rPr>
            </w:pPr>
            <w:r w:rsidRPr="002551AA">
              <w:rPr>
                <w:szCs w:val="20"/>
              </w:rPr>
              <w:t>-</w:t>
            </w:r>
          </w:p>
        </w:tc>
        <w:tc>
          <w:tcPr>
            <w:tcW w:w="1188" w:type="dxa"/>
            <w:vAlign w:val="center"/>
          </w:tcPr>
          <w:p w14:paraId="61E2EE7B" w14:textId="41E02ECA" w:rsidR="008A3A40" w:rsidRPr="002551AA" w:rsidRDefault="002551AA" w:rsidP="00EE16D8">
            <w:pPr>
              <w:pStyle w:val="TableText"/>
              <w:spacing w:before="0" w:after="120"/>
              <w:contextualSpacing/>
              <w:jc w:val="right"/>
              <w:cnfStyle w:val="000000010000" w:firstRow="0" w:lastRow="0" w:firstColumn="0" w:lastColumn="0" w:oddVBand="0" w:evenVBand="0" w:oddHBand="0" w:evenHBand="1" w:firstRowFirstColumn="0" w:firstRowLastColumn="0" w:lastRowFirstColumn="0" w:lastRowLastColumn="0"/>
              <w:rPr>
                <w:szCs w:val="20"/>
              </w:rPr>
            </w:pPr>
            <w:r w:rsidRPr="002551AA">
              <w:rPr>
                <w:szCs w:val="20"/>
              </w:rPr>
              <w:t>-</w:t>
            </w:r>
          </w:p>
        </w:tc>
        <w:tc>
          <w:tcPr>
            <w:tcW w:w="1188" w:type="dxa"/>
            <w:vAlign w:val="center"/>
          </w:tcPr>
          <w:p w14:paraId="59E3D0A7" w14:textId="506FC928" w:rsidR="008A3A40" w:rsidRPr="002551AA" w:rsidRDefault="002551AA" w:rsidP="00EE16D8">
            <w:pPr>
              <w:pStyle w:val="TableText"/>
              <w:spacing w:before="0" w:after="120"/>
              <w:contextualSpacing/>
              <w:jc w:val="right"/>
              <w:cnfStyle w:val="000000010000" w:firstRow="0" w:lastRow="0" w:firstColumn="0" w:lastColumn="0" w:oddVBand="0" w:evenVBand="0" w:oddHBand="0" w:evenHBand="1" w:firstRowFirstColumn="0" w:firstRowLastColumn="0" w:lastRowFirstColumn="0" w:lastRowLastColumn="0"/>
              <w:rPr>
                <w:szCs w:val="20"/>
              </w:rPr>
            </w:pPr>
            <w:r w:rsidRPr="002551AA">
              <w:rPr>
                <w:szCs w:val="20"/>
              </w:rPr>
              <w:t>-</w:t>
            </w:r>
          </w:p>
        </w:tc>
        <w:tc>
          <w:tcPr>
            <w:tcW w:w="1188" w:type="dxa"/>
            <w:vAlign w:val="center"/>
          </w:tcPr>
          <w:p w14:paraId="13C88D0F" w14:textId="6B84F233" w:rsidR="008A3A40" w:rsidRPr="002551AA" w:rsidRDefault="002551AA" w:rsidP="00EE16D8">
            <w:pPr>
              <w:pStyle w:val="TableText"/>
              <w:spacing w:before="0" w:after="120"/>
              <w:contextualSpacing/>
              <w:jc w:val="right"/>
              <w:cnfStyle w:val="000000010000" w:firstRow="0" w:lastRow="0" w:firstColumn="0" w:lastColumn="0" w:oddVBand="0" w:evenVBand="0" w:oddHBand="0" w:evenHBand="1" w:firstRowFirstColumn="0" w:firstRowLastColumn="0" w:lastRowFirstColumn="0" w:lastRowLastColumn="0"/>
              <w:rPr>
                <w:szCs w:val="20"/>
              </w:rPr>
            </w:pPr>
            <w:r w:rsidRPr="002551AA">
              <w:rPr>
                <w:szCs w:val="20"/>
              </w:rPr>
              <w:t>-</w:t>
            </w:r>
          </w:p>
        </w:tc>
      </w:tr>
      <w:tr w:rsidR="008A3A40" w:rsidRPr="000309CB" w14:paraId="221C0E87" w14:textId="77777777" w:rsidTr="008A3A40">
        <w:trPr>
          <w:cnfStyle w:val="000000100000" w:firstRow="0" w:lastRow="0" w:firstColumn="0" w:lastColumn="0" w:oddVBand="0" w:evenVBand="0" w:oddHBand="1"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3134" w:type="dxa"/>
          </w:tcPr>
          <w:p w14:paraId="730E7549" w14:textId="1E5E9FAE" w:rsidR="008A3A40" w:rsidRPr="008A3A40" w:rsidRDefault="008A3A40" w:rsidP="00EE16D8">
            <w:pPr>
              <w:pStyle w:val="TableText"/>
              <w:spacing w:before="0" w:after="120"/>
              <w:contextualSpacing/>
              <w:rPr>
                <w:szCs w:val="20"/>
              </w:rPr>
            </w:pPr>
            <w:r w:rsidRPr="008A3A40">
              <w:t>Service lines (ea.)</w:t>
            </w:r>
          </w:p>
        </w:tc>
        <w:tc>
          <w:tcPr>
            <w:tcW w:w="1186" w:type="dxa"/>
            <w:vAlign w:val="center"/>
          </w:tcPr>
          <w:p w14:paraId="0CB65B66" w14:textId="1F4D3A96" w:rsidR="008A3A40" w:rsidRPr="000309CB" w:rsidRDefault="004C29FD" w:rsidP="00EE16D8">
            <w:pPr>
              <w:pStyle w:val="TableText"/>
              <w:spacing w:before="0" w:after="120"/>
              <w:contextualSpacing/>
              <w:jc w:val="right"/>
              <w:cnfStyle w:val="000000100000" w:firstRow="0" w:lastRow="0" w:firstColumn="0" w:lastColumn="0" w:oddVBand="0" w:evenVBand="0" w:oddHBand="1" w:evenHBand="0" w:firstRowFirstColumn="0" w:firstRowLastColumn="0" w:lastRowFirstColumn="0" w:lastRowLastColumn="0"/>
              <w:rPr>
                <w:szCs w:val="20"/>
                <w:highlight w:val="yellow"/>
              </w:rPr>
            </w:pPr>
            <w:r>
              <w:rPr>
                <w:color w:val="000000"/>
                <w:szCs w:val="20"/>
              </w:rPr>
              <w:t>-</w:t>
            </w:r>
            <w:r w:rsidR="008A3A40">
              <w:rPr>
                <w:color w:val="000000"/>
                <w:szCs w:val="20"/>
              </w:rPr>
              <w:t> </w:t>
            </w:r>
          </w:p>
        </w:tc>
        <w:tc>
          <w:tcPr>
            <w:tcW w:w="1188" w:type="dxa"/>
            <w:vAlign w:val="center"/>
          </w:tcPr>
          <w:p w14:paraId="4ADCFE7E" w14:textId="66656DB1" w:rsidR="008A3A40" w:rsidRPr="000309CB" w:rsidRDefault="004C29FD" w:rsidP="00EE16D8">
            <w:pPr>
              <w:pStyle w:val="TableText"/>
              <w:spacing w:before="0" w:after="120"/>
              <w:contextualSpacing/>
              <w:jc w:val="right"/>
              <w:cnfStyle w:val="000000100000" w:firstRow="0" w:lastRow="0" w:firstColumn="0" w:lastColumn="0" w:oddVBand="0" w:evenVBand="0" w:oddHBand="1" w:evenHBand="0" w:firstRowFirstColumn="0" w:firstRowLastColumn="0" w:lastRowFirstColumn="0" w:lastRowLastColumn="0"/>
              <w:rPr>
                <w:szCs w:val="20"/>
                <w:highlight w:val="yellow"/>
              </w:rPr>
            </w:pPr>
            <w:r>
              <w:rPr>
                <w:color w:val="000000"/>
                <w:szCs w:val="20"/>
              </w:rPr>
              <w:t>-</w:t>
            </w:r>
          </w:p>
        </w:tc>
        <w:tc>
          <w:tcPr>
            <w:tcW w:w="1188" w:type="dxa"/>
            <w:vAlign w:val="center"/>
          </w:tcPr>
          <w:p w14:paraId="1B1C0895" w14:textId="0906BFE8" w:rsidR="008A3A40" w:rsidRPr="000309CB" w:rsidRDefault="004C29FD" w:rsidP="00EE16D8">
            <w:pPr>
              <w:pStyle w:val="TableText"/>
              <w:spacing w:before="0" w:after="120"/>
              <w:contextualSpacing/>
              <w:jc w:val="right"/>
              <w:cnfStyle w:val="000000100000" w:firstRow="0" w:lastRow="0" w:firstColumn="0" w:lastColumn="0" w:oddVBand="0" w:evenVBand="0" w:oddHBand="1" w:evenHBand="0" w:firstRowFirstColumn="0" w:firstRowLastColumn="0" w:lastRowFirstColumn="0" w:lastRowLastColumn="0"/>
              <w:rPr>
                <w:szCs w:val="20"/>
                <w:highlight w:val="yellow"/>
              </w:rPr>
            </w:pPr>
            <w:r>
              <w:rPr>
                <w:color w:val="000000"/>
                <w:szCs w:val="20"/>
              </w:rPr>
              <w:t>-</w:t>
            </w:r>
          </w:p>
        </w:tc>
        <w:tc>
          <w:tcPr>
            <w:tcW w:w="1188" w:type="dxa"/>
            <w:vAlign w:val="center"/>
          </w:tcPr>
          <w:p w14:paraId="1D8209AF" w14:textId="2BDAE81F" w:rsidR="008A3A40" w:rsidRPr="000309CB" w:rsidRDefault="004C29FD" w:rsidP="00EE16D8">
            <w:pPr>
              <w:pStyle w:val="TableText"/>
              <w:spacing w:before="0" w:after="120"/>
              <w:contextualSpacing/>
              <w:jc w:val="right"/>
              <w:cnfStyle w:val="000000100000" w:firstRow="0" w:lastRow="0" w:firstColumn="0" w:lastColumn="0" w:oddVBand="0" w:evenVBand="0" w:oddHBand="1" w:evenHBand="0" w:firstRowFirstColumn="0" w:firstRowLastColumn="0" w:lastRowFirstColumn="0" w:lastRowLastColumn="0"/>
              <w:rPr>
                <w:szCs w:val="20"/>
                <w:highlight w:val="yellow"/>
              </w:rPr>
            </w:pPr>
            <w:r>
              <w:rPr>
                <w:color w:val="000000"/>
                <w:szCs w:val="20"/>
              </w:rPr>
              <w:t>-</w:t>
            </w:r>
          </w:p>
        </w:tc>
        <w:tc>
          <w:tcPr>
            <w:tcW w:w="1188" w:type="dxa"/>
            <w:vAlign w:val="center"/>
          </w:tcPr>
          <w:p w14:paraId="20BA31FA" w14:textId="3252FE11" w:rsidR="008A3A40" w:rsidRPr="000309CB" w:rsidRDefault="004C29FD" w:rsidP="00EE16D8">
            <w:pPr>
              <w:pStyle w:val="TableText"/>
              <w:spacing w:before="0" w:after="120"/>
              <w:contextualSpacing/>
              <w:jc w:val="right"/>
              <w:cnfStyle w:val="000000100000" w:firstRow="0" w:lastRow="0" w:firstColumn="0" w:lastColumn="0" w:oddVBand="0" w:evenVBand="0" w:oddHBand="1" w:evenHBand="0" w:firstRowFirstColumn="0" w:firstRowLastColumn="0" w:lastRowFirstColumn="0" w:lastRowLastColumn="0"/>
              <w:rPr>
                <w:szCs w:val="20"/>
                <w:highlight w:val="yellow"/>
              </w:rPr>
            </w:pPr>
            <w:r>
              <w:rPr>
                <w:color w:val="000000"/>
                <w:szCs w:val="20"/>
              </w:rPr>
              <w:t>-</w:t>
            </w:r>
          </w:p>
        </w:tc>
      </w:tr>
      <w:tr w:rsidR="008A3A40" w:rsidRPr="000309CB" w14:paraId="7E8750CC" w14:textId="77777777" w:rsidTr="008A3A40">
        <w:trPr>
          <w:cnfStyle w:val="000000010000" w:firstRow="0" w:lastRow="0" w:firstColumn="0" w:lastColumn="0" w:oddVBand="0" w:evenVBand="0" w:oddHBand="0" w:evenHBand="1"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3134" w:type="dxa"/>
          </w:tcPr>
          <w:p w14:paraId="29660831" w14:textId="0E5D55F7" w:rsidR="008A3A40" w:rsidRPr="008A3A40" w:rsidRDefault="008A3A40" w:rsidP="00EE16D8">
            <w:pPr>
              <w:pStyle w:val="TableText"/>
              <w:spacing w:before="0" w:after="120"/>
              <w:contextualSpacing/>
              <w:rPr>
                <w:szCs w:val="20"/>
              </w:rPr>
            </w:pPr>
            <w:r w:rsidRPr="008A3A40">
              <w:t>Transformers (ea.)</w:t>
            </w:r>
          </w:p>
        </w:tc>
        <w:tc>
          <w:tcPr>
            <w:tcW w:w="1186" w:type="dxa"/>
            <w:vAlign w:val="center"/>
          </w:tcPr>
          <w:p w14:paraId="4A550DA7" w14:textId="1B007B43" w:rsidR="008A3A40" w:rsidRPr="000309CB" w:rsidRDefault="008A3A40" w:rsidP="00EE16D8">
            <w:pPr>
              <w:pStyle w:val="TableText"/>
              <w:spacing w:before="0" w:after="12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Pr>
                <w:color w:val="000000"/>
                <w:szCs w:val="20"/>
              </w:rPr>
              <w:t>0.10%</w:t>
            </w:r>
          </w:p>
        </w:tc>
        <w:tc>
          <w:tcPr>
            <w:tcW w:w="1188" w:type="dxa"/>
            <w:vAlign w:val="center"/>
          </w:tcPr>
          <w:p w14:paraId="3BF98EF1" w14:textId="256482D5" w:rsidR="008A3A40" w:rsidRPr="000309CB" w:rsidRDefault="008A3A40" w:rsidP="00EE16D8">
            <w:pPr>
              <w:pStyle w:val="TableText"/>
              <w:spacing w:before="0" w:after="12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Pr>
                <w:color w:val="000000"/>
                <w:szCs w:val="20"/>
              </w:rPr>
              <w:t>0.10%</w:t>
            </w:r>
          </w:p>
        </w:tc>
        <w:tc>
          <w:tcPr>
            <w:tcW w:w="1188" w:type="dxa"/>
            <w:vAlign w:val="center"/>
          </w:tcPr>
          <w:p w14:paraId="6FED9421" w14:textId="2B9DAE7C" w:rsidR="008A3A40" w:rsidRPr="000309CB" w:rsidRDefault="008A3A40" w:rsidP="00EE16D8">
            <w:pPr>
              <w:pStyle w:val="TableText"/>
              <w:spacing w:before="0" w:after="12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Pr>
                <w:color w:val="000000"/>
                <w:szCs w:val="20"/>
              </w:rPr>
              <w:t>0.06%</w:t>
            </w:r>
          </w:p>
        </w:tc>
        <w:tc>
          <w:tcPr>
            <w:tcW w:w="1188" w:type="dxa"/>
            <w:vAlign w:val="center"/>
          </w:tcPr>
          <w:p w14:paraId="0858BB5D" w14:textId="1928F60A" w:rsidR="008A3A40" w:rsidRPr="000309CB" w:rsidRDefault="008A3A40" w:rsidP="00EE16D8">
            <w:pPr>
              <w:pStyle w:val="TableText"/>
              <w:spacing w:before="0" w:after="12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Pr>
                <w:color w:val="000000"/>
                <w:szCs w:val="20"/>
              </w:rPr>
              <w:t>0.06%</w:t>
            </w:r>
          </w:p>
        </w:tc>
        <w:tc>
          <w:tcPr>
            <w:tcW w:w="1188" w:type="dxa"/>
            <w:vAlign w:val="center"/>
          </w:tcPr>
          <w:p w14:paraId="4F189E8C" w14:textId="12D4F962" w:rsidR="008A3A40" w:rsidRPr="000309CB" w:rsidRDefault="008A3A40" w:rsidP="00EE16D8">
            <w:pPr>
              <w:pStyle w:val="TableText"/>
              <w:spacing w:before="0" w:after="12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Pr>
                <w:color w:val="000000"/>
                <w:szCs w:val="20"/>
              </w:rPr>
              <w:t>0.02%</w:t>
            </w:r>
          </w:p>
        </w:tc>
      </w:tr>
      <w:tr w:rsidR="008A3A40" w:rsidRPr="000309CB" w14:paraId="421BC250" w14:textId="77777777" w:rsidTr="008A3A40">
        <w:trPr>
          <w:cnfStyle w:val="000000100000" w:firstRow="0" w:lastRow="0" w:firstColumn="0" w:lastColumn="0" w:oddVBand="0" w:evenVBand="0" w:oddHBand="1"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3134" w:type="dxa"/>
          </w:tcPr>
          <w:p w14:paraId="2833B08D" w14:textId="79EEFD0C" w:rsidR="008A3A40" w:rsidRPr="008A3A40" w:rsidRDefault="008A3A40" w:rsidP="00EE16D8">
            <w:pPr>
              <w:pStyle w:val="TableText"/>
              <w:spacing w:before="0" w:after="120"/>
              <w:contextualSpacing/>
              <w:rPr>
                <w:szCs w:val="20"/>
              </w:rPr>
            </w:pPr>
            <w:r w:rsidRPr="008A3A40">
              <w:t>Switchgear (ea.)</w:t>
            </w:r>
          </w:p>
        </w:tc>
        <w:tc>
          <w:tcPr>
            <w:tcW w:w="1186" w:type="dxa"/>
            <w:vAlign w:val="center"/>
          </w:tcPr>
          <w:p w14:paraId="6208D03C" w14:textId="513443C4" w:rsidR="008A3A40" w:rsidRPr="000309CB" w:rsidRDefault="008A3A40" w:rsidP="00EE16D8">
            <w:pPr>
              <w:pStyle w:val="TableText"/>
              <w:spacing w:before="0" w:after="120"/>
              <w:contextualSpacing/>
              <w:jc w:val="right"/>
              <w:cnfStyle w:val="000000100000" w:firstRow="0" w:lastRow="0" w:firstColumn="0" w:lastColumn="0" w:oddVBand="0" w:evenVBand="0" w:oddHBand="1" w:evenHBand="0" w:firstRowFirstColumn="0" w:firstRowLastColumn="0" w:lastRowFirstColumn="0" w:lastRowLastColumn="0"/>
              <w:rPr>
                <w:szCs w:val="20"/>
                <w:highlight w:val="yellow"/>
              </w:rPr>
            </w:pPr>
            <w:r>
              <w:rPr>
                <w:color w:val="000000"/>
                <w:szCs w:val="20"/>
              </w:rPr>
              <w:t>0.01%</w:t>
            </w:r>
          </w:p>
        </w:tc>
        <w:tc>
          <w:tcPr>
            <w:tcW w:w="1188" w:type="dxa"/>
            <w:vAlign w:val="center"/>
          </w:tcPr>
          <w:p w14:paraId="072984C9" w14:textId="10949C1B" w:rsidR="008A3A40" w:rsidRPr="000309CB" w:rsidRDefault="008A3A40" w:rsidP="00EE16D8">
            <w:pPr>
              <w:pStyle w:val="TableText"/>
              <w:spacing w:before="0" w:after="120"/>
              <w:contextualSpacing/>
              <w:jc w:val="right"/>
              <w:cnfStyle w:val="000000100000" w:firstRow="0" w:lastRow="0" w:firstColumn="0" w:lastColumn="0" w:oddVBand="0" w:evenVBand="0" w:oddHBand="1" w:evenHBand="0" w:firstRowFirstColumn="0" w:firstRowLastColumn="0" w:lastRowFirstColumn="0" w:lastRowLastColumn="0"/>
              <w:rPr>
                <w:szCs w:val="20"/>
                <w:highlight w:val="yellow"/>
              </w:rPr>
            </w:pPr>
            <w:r>
              <w:rPr>
                <w:color w:val="000000"/>
                <w:szCs w:val="20"/>
              </w:rPr>
              <w:t>0.03%</w:t>
            </w:r>
          </w:p>
        </w:tc>
        <w:tc>
          <w:tcPr>
            <w:tcW w:w="1188" w:type="dxa"/>
            <w:vAlign w:val="center"/>
          </w:tcPr>
          <w:p w14:paraId="5ED7D794" w14:textId="0C2823C8" w:rsidR="008A3A40" w:rsidRPr="000309CB" w:rsidRDefault="008A3A40" w:rsidP="00EE16D8">
            <w:pPr>
              <w:pStyle w:val="TableText"/>
              <w:spacing w:before="0" w:after="120"/>
              <w:contextualSpacing/>
              <w:jc w:val="right"/>
              <w:cnfStyle w:val="000000100000" w:firstRow="0" w:lastRow="0" w:firstColumn="0" w:lastColumn="0" w:oddVBand="0" w:evenVBand="0" w:oddHBand="1" w:evenHBand="0" w:firstRowFirstColumn="0" w:firstRowLastColumn="0" w:lastRowFirstColumn="0" w:lastRowLastColumn="0"/>
              <w:rPr>
                <w:szCs w:val="20"/>
                <w:highlight w:val="yellow"/>
              </w:rPr>
            </w:pPr>
            <w:r>
              <w:rPr>
                <w:color w:val="000000"/>
                <w:szCs w:val="20"/>
              </w:rPr>
              <w:t>0.03%</w:t>
            </w:r>
          </w:p>
        </w:tc>
        <w:tc>
          <w:tcPr>
            <w:tcW w:w="1188" w:type="dxa"/>
            <w:vAlign w:val="center"/>
          </w:tcPr>
          <w:p w14:paraId="19762A53" w14:textId="1A3E17F9" w:rsidR="008A3A40" w:rsidRPr="000309CB" w:rsidRDefault="008A3A40" w:rsidP="00EE16D8">
            <w:pPr>
              <w:pStyle w:val="TableText"/>
              <w:spacing w:before="0" w:after="120"/>
              <w:contextualSpacing/>
              <w:jc w:val="right"/>
              <w:cnfStyle w:val="000000100000" w:firstRow="0" w:lastRow="0" w:firstColumn="0" w:lastColumn="0" w:oddVBand="0" w:evenVBand="0" w:oddHBand="1" w:evenHBand="0" w:firstRowFirstColumn="0" w:firstRowLastColumn="0" w:lastRowFirstColumn="0" w:lastRowLastColumn="0"/>
              <w:rPr>
                <w:szCs w:val="20"/>
                <w:highlight w:val="yellow"/>
              </w:rPr>
            </w:pPr>
            <w:r>
              <w:rPr>
                <w:color w:val="000000"/>
                <w:szCs w:val="20"/>
              </w:rPr>
              <w:t>0.02%</w:t>
            </w:r>
          </w:p>
        </w:tc>
        <w:tc>
          <w:tcPr>
            <w:tcW w:w="1188" w:type="dxa"/>
            <w:vAlign w:val="center"/>
          </w:tcPr>
          <w:p w14:paraId="654278A8" w14:textId="063AA976" w:rsidR="008A3A40" w:rsidRPr="000309CB" w:rsidRDefault="008A3A40" w:rsidP="00EE16D8">
            <w:pPr>
              <w:pStyle w:val="TableText"/>
              <w:spacing w:before="0" w:after="120"/>
              <w:contextualSpacing/>
              <w:jc w:val="right"/>
              <w:cnfStyle w:val="000000100000" w:firstRow="0" w:lastRow="0" w:firstColumn="0" w:lastColumn="0" w:oddVBand="0" w:evenVBand="0" w:oddHBand="1" w:evenHBand="0" w:firstRowFirstColumn="0" w:firstRowLastColumn="0" w:lastRowFirstColumn="0" w:lastRowLastColumn="0"/>
              <w:rPr>
                <w:szCs w:val="20"/>
                <w:highlight w:val="yellow"/>
              </w:rPr>
            </w:pPr>
            <w:r>
              <w:rPr>
                <w:color w:val="000000"/>
                <w:szCs w:val="20"/>
              </w:rPr>
              <w:t>0.01%</w:t>
            </w:r>
          </w:p>
        </w:tc>
      </w:tr>
      <w:tr w:rsidR="008A3A40" w:rsidRPr="000309CB" w14:paraId="22B18754" w14:textId="77777777" w:rsidTr="008A3A40">
        <w:trPr>
          <w:cnfStyle w:val="000000010000" w:firstRow="0" w:lastRow="0" w:firstColumn="0" w:lastColumn="0" w:oddVBand="0" w:evenVBand="0" w:oddHBand="0" w:evenHBand="1"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3134" w:type="dxa"/>
          </w:tcPr>
          <w:p w14:paraId="3DFA4583" w14:textId="1337FB7A" w:rsidR="008A3A40" w:rsidRPr="008A3A40" w:rsidRDefault="008A3A40" w:rsidP="00EE16D8">
            <w:pPr>
              <w:pStyle w:val="TableText"/>
              <w:spacing w:before="0" w:after="120"/>
              <w:contextualSpacing/>
              <w:rPr>
                <w:szCs w:val="20"/>
              </w:rPr>
            </w:pPr>
            <w:r w:rsidRPr="008A3A40">
              <w:t>Public lighting (ea.)</w:t>
            </w:r>
          </w:p>
        </w:tc>
        <w:tc>
          <w:tcPr>
            <w:tcW w:w="1186" w:type="dxa"/>
            <w:vAlign w:val="center"/>
          </w:tcPr>
          <w:p w14:paraId="4549933F" w14:textId="1D20CEDC" w:rsidR="008A3A40" w:rsidRPr="000309CB" w:rsidRDefault="004C29FD" w:rsidP="00EE16D8">
            <w:pPr>
              <w:pStyle w:val="TableText"/>
              <w:spacing w:before="0" w:after="12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Pr>
                <w:color w:val="000000"/>
                <w:szCs w:val="20"/>
              </w:rPr>
              <w:t>-</w:t>
            </w:r>
            <w:r w:rsidR="008A3A40">
              <w:rPr>
                <w:color w:val="000000"/>
                <w:szCs w:val="20"/>
              </w:rPr>
              <w:t> </w:t>
            </w:r>
          </w:p>
        </w:tc>
        <w:tc>
          <w:tcPr>
            <w:tcW w:w="1188" w:type="dxa"/>
            <w:vAlign w:val="center"/>
          </w:tcPr>
          <w:p w14:paraId="32A2BDDE" w14:textId="7ED18D0D" w:rsidR="008A3A40" w:rsidRPr="000309CB" w:rsidRDefault="004C29FD" w:rsidP="00EE16D8">
            <w:pPr>
              <w:pStyle w:val="TableText"/>
              <w:spacing w:before="0" w:after="12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Pr>
                <w:color w:val="000000"/>
                <w:szCs w:val="20"/>
              </w:rPr>
              <w:t>-</w:t>
            </w:r>
          </w:p>
        </w:tc>
        <w:tc>
          <w:tcPr>
            <w:tcW w:w="1188" w:type="dxa"/>
            <w:vAlign w:val="center"/>
          </w:tcPr>
          <w:p w14:paraId="285AA94B" w14:textId="6A1473A0" w:rsidR="008A3A40" w:rsidRPr="000309CB" w:rsidRDefault="004C29FD" w:rsidP="00EE16D8">
            <w:pPr>
              <w:pStyle w:val="TableText"/>
              <w:spacing w:before="0" w:after="12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Pr>
                <w:color w:val="000000"/>
                <w:szCs w:val="20"/>
              </w:rPr>
              <w:t>-</w:t>
            </w:r>
          </w:p>
        </w:tc>
        <w:tc>
          <w:tcPr>
            <w:tcW w:w="1188" w:type="dxa"/>
            <w:vAlign w:val="center"/>
          </w:tcPr>
          <w:p w14:paraId="391D6C33" w14:textId="16FA1128" w:rsidR="008A3A40" w:rsidRPr="000309CB" w:rsidRDefault="004C29FD" w:rsidP="00EE16D8">
            <w:pPr>
              <w:pStyle w:val="TableText"/>
              <w:spacing w:before="0" w:after="12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Pr>
                <w:color w:val="000000"/>
                <w:szCs w:val="20"/>
              </w:rPr>
              <w:t>-</w:t>
            </w:r>
          </w:p>
        </w:tc>
        <w:tc>
          <w:tcPr>
            <w:tcW w:w="1188" w:type="dxa"/>
            <w:vAlign w:val="center"/>
          </w:tcPr>
          <w:p w14:paraId="38CCC515" w14:textId="6F7520FA" w:rsidR="008A3A40" w:rsidRPr="000309CB" w:rsidRDefault="004C29FD" w:rsidP="00EE16D8">
            <w:pPr>
              <w:pStyle w:val="TableText"/>
              <w:spacing w:before="0" w:after="12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Pr>
                <w:color w:val="000000"/>
                <w:szCs w:val="20"/>
              </w:rPr>
              <w:t>-</w:t>
            </w:r>
          </w:p>
        </w:tc>
      </w:tr>
      <w:tr w:rsidR="008A3A40" w:rsidRPr="000309CB" w14:paraId="44406718" w14:textId="77777777" w:rsidTr="008A3A40">
        <w:trPr>
          <w:cnfStyle w:val="000000100000" w:firstRow="0" w:lastRow="0" w:firstColumn="0" w:lastColumn="0" w:oddVBand="0" w:evenVBand="0" w:oddHBand="1"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3134" w:type="dxa"/>
          </w:tcPr>
          <w:p w14:paraId="44FFAAD0" w14:textId="65B73B34" w:rsidR="008A3A40" w:rsidRPr="008A3A40" w:rsidRDefault="008A3A40" w:rsidP="00EE16D8">
            <w:pPr>
              <w:pStyle w:val="TableText"/>
              <w:spacing w:before="0" w:after="120"/>
              <w:contextualSpacing/>
              <w:rPr>
                <w:szCs w:val="20"/>
              </w:rPr>
            </w:pPr>
            <w:r w:rsidRPr="008A3A40">
              <w:t>SCADA, network control and protection systems (ea.)</w:t>
            </w:r>
          </w:p>
        </w:tc>
        <w:tc>
          <w:tcPr>
            <w:tcW w:w="1186" w:type="dxa"/>
            <w:vAlign w:val="center"/>
          </w:tcPr>
          <w:p w14:paraId="1F48D93D" w14:textId="76E276CC" w:rsidR="008A3A40" w:rsidRPr="000309CB" w:rsidRDefault="008A3A40" w:rsidP="00EE16D8">
            <w:pPr>
              <w:pStyle w:val="TableText"/>
              <w:spacing w:before="0" w:after="120"/>
              <w:contextualSpacing/>
              <w:jc w:val="right"/>
              <w:cnfStyle w:val="000000100000" w:firstRow="0" w:lastRow="0" w:firstColumn="0" w:lastColumn="0" w:oddVBand="0" w:evenVBand="0" w:oddHBand="1" w:evenHBand="0" w:firstRowFirstColumn="0" w:firstRowLastColumn="0" w:lastRowFirstColumn="0" w:lastRowLastColumn="0"/>
              <w:rPr>
                <w:szCs w:val="20"/>
                <w:highlight w:val="yellow"/>
              </w:rPr>
            </w:pPr>
            <w:r>
              <w:rPr>
                <w:color w:val="000000"/>
                <w:szCs w:val="20"/>
              </w:rPr>
              <w:t>0.50%</w:t>
            </w:r>
          </w:p>
        </w:tc>
        <w:tc>
          <w:tcPr>
            <w:tcW w:w="1188" w:type="dxa"/>
            <w:vAlign w:val="center"/>
          </w:tcPr>
          <w:p w14:paraId="48C2AD4F" w14:textId="03466D18" w:rsidR="008A3A40" w:rsidRPr="000309CB" w:rsidRDefault="008A3A40" w:rsidP="00EE16D8">
            <w:pPr>
              <w:pStyle w:val="TableText"/>
              <w:spacing w:before="0" w:after="120"/>
              <w:contextualSpacing/>
              <w:jc w:val="right"/>
              <w:cnfStyle w:val="000000100000" w:firstRow="0" w:lastRow="0" w:firstColumn="0" w:lastColumn="0" w:oddVBand="0" w:evenVBand="0" w:oddHBand="1" w:evenHBand="0" w:firstRowFirstColumn="0" w:firstRowLastColumn="0" w:lastRowFirstColumn="0" w:lastRowLastColumn="0"/>
              <w:rPr>
                <w:szCs w:val="20"/>
                <w:highlight w:val="yellow"/>
              </w:rPr>
            </w:pPr>
            <w:r>
              <w:rPr>
                <w:color w:val="000000"/>
                <w:szCs w:val="20"/>
              </w:rPr>
              <w:t>0.37%</w:t>
            </w:r>
          </w:p>
        </w:tc>
        <w:tc>
          <w:tcPr>
            <w:tcW w:w="1188" w:type="dxa"/>
            <w:vAlign w:val="center"/>
          </w:tcPr>
          <w:p w14:paraId="6F7F99B8" w14:textId="3E8B26A9" w:rsidR="008A3A40" w:rsidRPr="000309CB" w:rsidRDefault="008A3A40" w:rsidP="00EE16D8">
            <w:pPr>
              <w:pStyle w:val="TableText"/>
              <w:spacing w:before="0" w:after="120"/>
              <w:contextualSpacing/>
              <w:jc w:val="right"/>
              <w:cnfStyle w:val="000000100000" w:firstRow="0" w:lastRow="0" w:firstColumn="0" w:lastColumn="0" w:oddVBand="0" w:evenVBand="0" w:oddHBand="1" w:evenHBand="0" w:firstRowFirstColumn="0" w:firstRowLastColumn="0" w:lastRowFirstColumn="0" w:lastRowLastColumn="0"/>
              <w:rPr>
                <w:szCs w:val="20"/>
                <w:highlight w:val="yellow"/>
              </w:rPr>
            </w:pPr>
            <w:r>
              <w:rPr>
                <w:color w:val="000000"/>
                <w:szCs w:val="20"/>
              </w:rPr>
              <w:t>0.22%</w:t>
            </w:r>
          </w:p>
        </w:tc>
        <w:tc>
          <w:tcPr>
            <w:tcW w:w="1188" w:type="dxa"/>
            <w:vAlign w:val="center"/>
          </w:tcPr>
          <w:p w14:paraId="0D3928E0" w14:textId="4F9E24C0" w:rsidR="008A3A40" w:rsidRPr="000309CB" w:rsidRDefault="008A3A40" w:rsidP="00EE16D8">
            <w:pPr>
              <w:pStyle w:val="TableText"/>
              <w:spacing w:before="0" w:after="120"/>
              <w:contextualSpacing/>
              <w:jc w:val="right"/>
              <w:cnfStyle w:val="000000100000" w:firstRow="0" w:lastRow="0" w:firstColumn="0" w:lastColumn="0" w:oddVBand="0" w:evenVBand="0" w:oddHBand="1" w:evenHBand="0" w:firstRowFirstColumn="0" w:firstRowLastColumn="0" w:lastRowFirstColumn="0" w:lastRowLastColumn="0"/>
              <w:rPr>
                <w:szCs w:val="20"/>
                <w:highlight w:val="yellow"/>
              </w:rPr>
            </w:pPr>
            <w:r>
              <w:rPr>
                <w:color w:val="000000"/>
                <w:szCs w:val="20"/>
              </w:rPr>
              <w:t>0.35%</w:t>
            </w:r>
          </w:p>
        </w:tc>
        <w:tc>
          <w:tcPr>
            <w:tcW w:w="1188" w:type="dxa"/>
            <w:vAlign w:val="center"/>
          </w:tcPr>
          <w:p w14:paraId="64E1C49B" w14:textId="455E47C1" w:rsidR="008A3A40" w:rsidRPr="000309CB" w:rsidRDefault="008A3A40" w:rsidP="00EE16D8">
            <w:pPr>
              <w:pStyle w:val="TableText"/>
              <w:spacing w:before="0" w:after="120"/>
              <w:contextualSpacing/>
              <w:jc w:val="right"/>
              <w:cnfStyle w:val="000000100000" w:firstRow="0" w:lastRow="0" w:firstColumn="0" w:lastColumn="0" w:oddVBand="0" w:evenVBand="0" w:oddHBand="1" w:evenHBand="0" w:firstRowFirstColumn="0" w:firstRowLastColumn="0" w:lastRowFirstColumn="0" w:lastRowLastColumn="0"/>
              <w:rPr>
                <w:szCs w:val="20"/>
                <w:highlight w:val="yellow"/>
              </w:rPr>
            </w:pPr>
            <w:r>
              <w:rPr>
                <w:color w:val="000000"/>
                <w:szCs w:val="20"/>
              </w:rPr>
              <w:t>0.25%</w:t>
            </w:r>
          </w:p>
        </w:tc>
      </w:tr>
      <w:tr w:rsidR="008A3A40" w:rsidRPr="002F180C" w14:paraId="2BA52B83" w14:textId="77777777" w:rsidTr="008A3A40">
        <w:trPr>
          <w:cnfStyle w:val="000000010000" w:firstRow="0" w:lastRow="0" w:firstColumn="0" w:lastColumn="0" w:oddVBand="0" w:evenVBand="0" w:oddHBand="0" w:evenHBand="1"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3134" w:type="dxa"/>
          </w:tcPr>
          <w:p w14:paraId="2C9DA6A2" w14:textId="41672976" w:rsidR="008A3A40" w:rsidRPr="008A3A40" w:rsidRDefault="008A3A40" w:rsidP="00EE16D8">
            <w:pPr>
              <w:pStyle w:val="TableText"/>
              <w:spacing w:before="0" w:after="120"/>
              <w:contextualSpacing/>
              <w:rPr>
                <w:szCs w:val="20"/>
              </w:rPr>
            </w:pPr>
            <w:r w:rsidRPr="008A3A40">
              <w:t>SCADA, Pilot Cable (in km)</w:t>
            </w:r>
          </w:p>
        </w:tc>
        <w:tc>
          <w:tcPr>
            <w:tcW w:w="1186" w:type="dxa"/>
            <w:vAlign w:val="center"/>
          </w:tcPr>
          <w:p w14:paraId="370E5C8F" w14:textId="35ED4AB6" w:rsidR="008A3A40" w:rsidRPr="000309CB" w:rsidRDefault="008A3A40" w:rsidP="00EE16D8">
            <w:pPr>
              <w:pStyle w:val="TableText"/>
              <w:spacing w:before="0" w:after="12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Pr>
                <w:color w:val="000000"/>
                <w:szCs w:val="20"/>
              </w:rPr>
              <w:t>2.04%</w:t>
            </w:r>
          </w:p>
        </w:tc>
        <w:tc>
          <w:tcPr>
            <w:tcW w:w="1188" w:type="dxa"/>
            <w:vAlign w:val="center"/>
          </w:tcPr>
          <w:p w14:paraId="3D01AD45" w14:textId="278FA55D" w:rsidR="008A3A40" w:rsidRPr="000309CB" w:rsidRDefault="008A3A40" w:rsidP="00EE16D8">
            <w:pPr>
              <w:pStyle w:val="TableText"/>
              <w:spacing w:before="0" w:after="12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Pr>
                <w:color w:val="000000"/>
                <w:szCs w:val="20"/>
              </w:rPr>
              <w:t>0.06%</w:t>
            </w:r>
          </w:p>
        </w:tc>
        <w:tc>
          <w:tcPr>
            <w:tcW w:w="1188" w:type="dxa"/>
            <w:vAlign w:val="center"/>
          </w:tcPr>
          <w:p w14:paraId="0461094F" w14:textId="2155CB95" w:rsidR="008A3A40" w:rsidRPr="000309CB" w:rsidRDefault="008A3A40" w:rsidP="00EE16D8">
            <w:pPr>
              <w:pStyle w:val="TableText"/>
              <w:spacing w:before="0" w:after="12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Pr>
                <w:color w:val="000000"/>
                <w:szCs w:val="20"/>
              </w:rPr>
              <w:t>0.50%</w:t>
            </w:r>
          </w:p>
        </w:tc>
        <w:tc>
          <w:tcPr>
            <w:tcW w:w="1188" w:type="dxa"/>
            <w:vAlign w:val="center"/>
          </w:tcPr>
          <w:p w14:paraId="19AEDBFE" w14:textId="2239F8F3" w:rsidR="008A3A40" w:rsidRPr="000309CB" w:rsidRDefault="008A3A40" w:rsidP="00EE16D8">
            <w:pPr>
              <w:pStyle w:val="TableText"/>
              <w:spacing w:before="0" w:after="120"/>
              <w:contextualSpacing/>
              <w:jc w:val="right"/>
              <w:cnfStyle w:val="000000010000" w:firstRow="0" w:lastRow="0" w:firstColumn="0" w:lastColumn="0" w:oddVBand="0" w:evenVBand="0" w:oddHBand="0" w:evenHBand="1" w:firstRowFirstColumn="0" w:firstRowLastColumn="0" w:lastRowFirstColumn="0" w:lastRowLastColumn="0"/>
              <w:rPr>
                <w:szCs w:val="20"/>
                <w:highlight w:val="yellow"/>
              </w:rPr>
            </w:pPr>
            <w:r>
              <w:rPr>
                <w:color w:val="000000"/>
                <w:szCs w:val="20"/>
              </w:rPr>
              <w:t>0.17%</w:t>
            </w:r>
          </w:p>
        </w:tc>
        <w:tc>
          <w:tcPr>
            <w:tcW w:w="1188" w:type="dxa"/>
            <w:vAlign w:val="center"/>
          </w:tcPr>
          <w:p w14:paraId="643A4CE7" w14:textId="7AA8B63F" w:rsidR="008A3A40" w:rsidRPr="001E597C" w:rsidRDefault="008A3A40" w:rsidP="00EE16D8">
            <w:pPr>
              <w:pStyle w:val="TableText"/>
              <w:spacing w:before="0" w:after="120"/>
              <w:contextualSpacing/>
              <w:jc w:val="right"/>
              <w:cnfStyle w:val="000000010000" w:firstRow="0" w:lastRow="0" w:firstColumn="0" w:lastColumn="0" w:oddVBand="0" w:evenVBand="0" w:oddHBand="0" w:evenHBand="1" w:firstRowFirstColumn="0" w:firstRowLastColumn="0" w:lastRowFirstColumn="0" w:lastRowLastColumn="0"/>
              <w:rPr>
                <w:szCs w:val="20"/>
              </w:rPr>
            </w:pPr>
            <w:r>
              <w:rPr>
                <w:color w:val="000000"/>
                <w:szCs w:val="20"/>
              </w:rPr>
              <w:t>0.30%</w:t>
            </w:r>
          </w:p>
        </w:tc>
      </w:tr>
    </w:tbl>
    <w:p w14:paraId="153F273F" w14:textId="3FA9859C" w:rsidR="009B6FBC" w:rsidRPr="00787BC3" w:rsidRDefault="009B6FBC" w:rsidP="009B6FBC">
      <w:r>
        <w:t>Energex considers that</w:t>
      </w:r>
      <w:r w:rsidR="005C534D">
        <w:t xml:space="preserve"> a</w:t>
      </w:r>
      <w:r>
        <w:t xml:space="preserve"> component of the total replacement expenditure should be added to the Repex model forecast following calibration to account for difference in </w:t>
      </w:r>
      <w:r w:rsidR="005C534D">
        <w:t xml:space="preserve">the </w:t>
      </w:r>
      <w:r>
        <w:t>balance between augmentation and replacement expenditure between the current and forthcoming regulatory control periods.</w:t>
      </w:r>
    </w:p>
    <w:p w14:paraId="26F23ABC" w14:textId="3A52A9F8" w:rsidR="00DD7179" w:rsidRDefault="00DD7179" w:rsidP="009B6FBC">
      <w:r w:rsidRPr="00BC3521">
        <w:t xml:space="preserve">This </w:t>
      </w:r>
      <w:r w:rsidR="006669BF" w:rsidRPr="00BC3521">
        <w:t xml:space="preserve">is important </w:t>
      </w:r>
      <w:r w:rsidRPr="00BC3521">
        <w:t xml:space="preserve">as the </w:t>
      </w:r>
      <w:r>
        <w:t>R</w:t>
      </w:r>
      <w:r w:rsidRPr="00BC3521">
        <w:t>epex model calibrates data inputs to the average actual replacement expenditure for the past five years. Implicit in the calibration methodology is an assumption that the historic levels of augmentation expenditure, and the balance between augmentation and replacement, will remain constant in the forecast period.</w:t>
      </w:r>
      <w:r w:rsidR="005303CF">
        <w:t xml:space="preserve"> Energex is forecasting significantly lower augmentation expenditure in the </w:t>
      </w:r>
      <w:r w:rsidR="009B6FBC">
        <w:t xml:space="preserve">forthcoming </w:t>
      </w:r>
      <w:r w:rsidR="005303CF">
        <w:t xml:space="preserve">regulatory control period. The balance between augmentation and replacement will therefore be very different from the </w:t>
      </w:r>
      <w:r w:rsidR="00937C27">
        <w:t>current regulatory</w:t>
      </w:r>
      <w:r w:rsidR="005303CF">
        <w:t xml:space="preserve"> control period.</w:t>
      </w:r>
    </w:p>
    <w:p w14:paraId="5E841119" w14:textId="1F18EC9E" w:rsidR="00776284" w:rsidRDefault="00776284" w:rsidP="00776284">
      <w:pPr>
        <w:pStyle w:val="Heading3"/>
      </w:pPr>
      <w:bookmarkStart w:id="78" w:name="_Ref391467914"/>
      <w:bookmarkStart w:id="79" w:name="_Ref396895715"/>
      <w:bookmarkStart w:id="80" w:name="_Toc397097253"/>
      <w:bookmarkEnd w:id="78"/>
      <w:r>
        <w:t>Additional assets due to other factors</w:t>
      </w:r>
      <w:bookmarkEnd w:id="79"/>
      <w:bookmarkEnd w:id="80"/>
    </w:p>
    <w:p w14:paraId="198DC23E" w14:textId="1D78E1C4" w:rsidR="00776284" w:rsidRPr="00776284" w:rsidRDefault="00776284" w:rsidP="00776284">
      <w:r>
        <w:t>Energex has not reported asset replacements due to other factors.</w:t>
      </w:r>
    </w:p>
    <w:p w14:paraId="62078C5A" w14:textId="77777777" w:rsidR="008164CA" w:rsidRDefault="00A23A11" w:rsidP="008164CA">
      <w:pPr>
        <w:pStyle w:val="Heading1"/>
      </w:pPr>
      <w:bookmarkStart w:id="81" w:name="_Toc397097254"/>
      <w:r>
        <w:t xml:space="preserve">Replacement </w:t>
      </w:r>
      <w:r w:rsidR="00C371B6">
        <w:t xml:space="preserve">life </w:t>
      </w:r>
      <w:r>
        <w:t>statistics</w:t>
      </w:r>
      <w:bookmarkEnd w:id="42"/>
      <w:bookmarkEnd w:id="43"/>
      <w:bookmarkEnd w:id="81"/>
    </w:p>
    <w:p w14:paraId="62078CCA" w14:textId="61BECC19" w:rsidR="008164CA" w:rsidRDefault="0043798D" w:rsidP="008164CA">
      <w:pPr>
        <w:pStyle w:val="Heading2"/>
      </w:pPr>
      <w:bookmarkStart w:id="82" w:name="_Ref396895730"/>
      <w:bookmarkStart w:id="83" w:name="_Toc397097255"/>
      <w:r>
        <w:t>Overview</w:t>
      </w:r>
      <w:bookmarkEnd w:id="82"/>
      <w:bookmarkEnd w:id="83"/>
    </w:p>
    <w:p w14:paraId="62078CCB" w14:textId="27D7FE05" w:rsidR="00B00539" w:rsidRPr="0056359C" w:rsidRDefault="00800AD0" w:rsidP="0056359C">
      <w:pPr>
        <w:pStyle w:val="AERbodytext"/>
        <w:rPr>
          <w:rFonts w:cs="Arial"/>
          <w:szCs w:val="22"/>
        </w:rPr>
      </w:pPr>
      <w:r w:rsidRPr="0056359C">
        <w:rPr>
          <w:rFonts w:cs="Arial"/>
          <w:szCs w:val="22"/>
        </w:rPr>
        <w:t xml:space="preserve">The AER requires Energex to </w:t>
      </w:r>
      <w:r w:rsidR="00536712">
        <w:rPr>
          <w:rFonts w:cs="Arial"/>
          <w:szCs w:val="22"/>
        </w:rPr>
        <w:t xml:space="preserve">report replacement life statistics, being the </w:t>
      </w:r>
      <w:r w:rsidRPr="0056359C">
        <w:rPr>
          <w:rFonts w:cs="Arial"/>
          <w:szCs w:val="22"/>
        </w:rPr>
        <w:t xml:space="preserve">mean </w:t>
      </w:r>
      <w:r w:rsidR="00B109A0">
        <w:rPr>
          <w:rFonts w:cs="Arial"/>
          <w:szCs w:val="22"/>
        </w:rPr>
        <w:t>economic life</w:t>
      </w:r>
      <w:r w:rsidR="00B00539" w:rsidRPr="0056359C">
        <w:rPr>
          <w:rFonts w:cs="Arial"/>
          <w:szCs w:val="22"/>
        </w:rPr>
        <w:t xml:space="preserve"> and the standard deviation</w:t>
      </w:r>
      <w:r w:rsidR="00536712">
        <w:rPr>
          <w:rFonts w:cs="Arial"/>
          <w:szCs w:val="22"/>
        </w:rPr>
        <w:t>,</w:t>
      </w:r>
      <w:r w:rsidR="00B00539" w:rsidRPr="0056359C">
        <w:rPr>
          <w:rFonts w:cs="Arial"/>
          <w:szCs w:val="22"/>
        </w:rPr>
        <w:t xml:space="preserve"> for all asset categories. The </w:t>
      </w:r>
      <w:r w:rsidR="00B109A0">
        <w:rPr>
          <w:rFonts w:cs="Arial"/>
          <w:szCs w:val="22"/>
        </w:rPr>
        <w:t>economic life</w:t>
      </w:r>
      <w:r w:rsidR="00B00539" w:rsidRPr="0056359C">
        <w:rPr>
          <w:rFonts w:cs="Arial"/>
          <w:szCs w:val="22"/>
        </w:rPr>
        <w:t xml:space="preserve"> </w:t>
      </w:r>
      <w:r w:rsidR="005E36CC" w:rsidRPr="0056359C">
        <w:rPr>
          <w:rFonts w:cs="Arial"/>
          <w:szCs w:val="22"/>
        </w:rPr>
        <w:t xml:space="preserve">includes when an asset fails in service (sometimes called </w:t>
      </w:r>
      <w:r w:rsidR="00B109A0">
        <w:rPr>
          <w:rFonts w:cs="Arial"/>
          <w:szCs w:val="22"/>
        </w:rPr>
        <w:t>a</w:t>
      </w:r>
      <w:r w:rsidR="005E36CC" w:rsidRPr="0056359C">
        <w:rPr>
          <w:rFonts w:cs="Arial"/>
          <w:szCs w:val="22"/>
        </w:rPr>
        <w:t xml:space="preserve"> </w:t>
      </w:r>
      <w:r w:rsidR="00B109A0">
        <w:rPr>
          <w:rFonts w:cs="Arial"/>
          <w:szCs w:val="22"/>
        </w:rPr>
        <w:t>functional</w:t>
      </w:r>
      <w:r w:rsidR="005E36CC" w:rsidRPr="0056359C">
        <w:rPr>
          <w:rFonts w:cs="Arial"/>
          <w:szCs w:val="22"/>
        </w:rPr>
        <w:t xml:space="preserve"> </w:t>
      </w:r>
      <w:r w:rsidR="00B109A0">
        <w:rPr>
          <w:rFonts w:cs="Arial"/>
          <w:szCs w:val="22"/>
        </w:rPr>
        <w:t>failure</w:t>
      </w:r>
      <w:r w:rsidR="005E36CC" w:rsidRPr="0056359C">
        <w:rPr>
          <w:rFonts w:cs="Arial"/>
          <w:szCs w:val="22"/>
        </w:rPr>
        <w:t>)</w:t>
      </w:r>
      <w:r w:rsidR="00536712">
        <w:rPr>
          <w:rFonts w:cs="Arial"/>
          <w:szCs w:val="22"/>
        </w:rPr>
        <w:t>;</w:t>
      </w:r>
      <w:r w:rsidR="005E36CC" w:rsidRPr="0056359C">
        <w:rPr>
          <w:rFonts w:cs="Arial"/>
          <w:szCs w:val="22"/>
        </w:rPr>
        <w:t xml:space="preserve"> and when it is </w:t>
      </w:r>
      <w:r w:rsidR="00B00539" w:rsidRPr="0056359C">
        <w:rPr>
          <w:rFonts w:cs="Arial"/>
          <w:szCs w:val="22"/>
        </w:rPr>
        <w:t>replaced due to condition prior to failure</w:t>
      </w:r>
      <w:r w:rsidR="005E36CC" w:rsidRPr="0056359C">
        <w:rPr>
          <w:rFonts w:cs="Arial"/>
          <w:szCs w:val="22"/>
        </w:rPr>
        <w:t xml:space="preserve"> (sometimes called </w:t>
      </w:r>
      <w:r w:rsidR="00B109A0">
        <w:rPr>
          <w:rFonts w:cs="Arial"/>
          <w:szCs w:val="22"/>
        </w:rPr>
        <w:t>a</w:t>
      </w:r>
      <w:r w:rsidR="005E36CC" w:rsidRPr="0056359C">
        <w:rPr>
          <w:rFonts w:cs="Arial"/>
          <w:szCs w:val="22"/>
        </w:rPr>
        <w:t xml:space="preserve"> </w:t>
      </w:r>
      <w:r w:rsidR="00B109A0">
        <w:rPr>
          <w:rFonts w:cs="Arial"/>
          <w:szCs w:val="22"/>
        </w:rPr>
        <w:t>conditional failure</w:t>
      </w:r>
      <w:r w:rsidR="005E36CC" w:rsidRPr="0056359C">
        <w:rPr>
          <w:rFonts w:cs="Arial"/>
          <w:szCs w:val="22"/>
        </w:rPr>
        <w:t>)</w:t>
      </w:r>
      <w:r w:rsidR="00B00539" w:rsidRPr="0056359C">
        <w:rPr>
          <w:rFonts w:cs="Arial"/>
          <w:szCs w:val="22"/>
        </w:rPr>
        <w:t>.</w:t>
      </w:r>
    </w:p>
    <w:p w14:paraId="62078CCC" w14:textId="7BA2F5B0" w:rsidR="00126096" w:rsidRPr="0056359C" w:rsidRDefault="00126096" w:rsidP="0056359C">
      <w:pPr>
        <w:pStyle w:val="AERbodytext"/>
        <w:rPr>
          <w:rFonts w:cs="Arial"/>
          <w:szCs w:val="22"/>
        </w:rPr>
      </w:pPr>
      <w:r w:rsidRPr="0056359C">
        <w:rPr>
          <w:rFonts w:cs="Arial"/>
          <w:szCs w:val="22"/>
        </w:rPr>
        <w:t>The following sections describe the</w:t>
      </w:r>
      <w:r w:rsidR="00A6078D">
        <w:rPr>
          <w:rFonts w:cs="Arial"/>
          <w:szCs w:val="22"/>
        </w:rPr>
        <w:t xml:space="preserve"> </w:t>
      </w:r>
      <w:r w:rsidR="0043798D" w:rsidRPr="0056359C">
        <w:rPr>
          <w:rFonts w:cs="Arial"/>
          <w:szCs w:val="22"/>
        </w:rPr>
        <w:t>data sources</w:t>
      </w:r>
      <w:r w:rsidR="00A6078D">
        <w:rPr>
          <w:rFonts w:cs="Arial"/>
          <w:szCs w:val="22"/>
        </w:rPr>
        <w:t xml:space="preserve">, </w:t>
      </w:r>
      <w:r w:rsidR="00A6078D" w:rsidRPr="0056359C">
        <w:rPr>
          <w:rFonts w:cs="Arial"/>
          <w:szCs w:val="22"/>
        </w:rPr>
        <w:t>methodology</w:t>
      </w:r>
      <w:r w:rsidR="0043798D" w:rsidRPr="0056359C">
        <w:rPr>
          <w:rFonts w:cs="Arial"/>
          <w:szCs w:val="22"/>
        </w:rPr>
        <w:t xml:space="preserve"> and</w:t>
      </w:r>
      <w:r w:rsidR="0043798D">
        <w:rPr>
          <w:rFonts w:cs="Arial"/>
          <w:szCs w:val="22"/>
        </w:rPr>
        <w:t xml:space="preserve"> assumptions</w:t>
      </w:r>
      <w:r w:rsidRPr="0056359C">
        <w:rPr>
          <w:rFonts w:cs="Arial"/>
          <w:szCs w:val="22"/>
        </w:rPr>
        <w:t xml:space="preserve"> used</w:t>
      </w:r>
      <w:r w:rsidR="00536712">
        <w:rPr>
          <w:rFonts w:cs="Arial"/>
          <w:szCs w:val="22"/>
        </w:rPr>
        <w:t xml:space="preserve"> to report replacement life statistics</w:t>
      </w:r>
      <w:r w:rsidRPr="0056359C">
        <w:rPr>
          <w:rFonts w:cs="Arial"/>
          <w:szCs w:val="22"/>
        </w:rPr>
        <w:t>.</w:t>
      </w:r>
    </w:p>
    <w:p w14:paraId="62078CCD" w14:textId="2BDB035A" w:rsidR="00D147AB" w:rsidRDefault="00A6078D" w:rsidP="00D147AB">
      <w:pPr>
        <w:pStyle w:val="Heading3"/>
      </w:pPr>
      <w:bookmarkStart w:id="84" w:name="_Toc394570311"/>
      <w:bookmarkStart w:id="85" w:name="_Toc394571481"/>
      <w:bookmarkStart w:id="86" w:name="_Toc397097256"/>
      <w:r>
        <w:t>Data</w:t>
      </w:r>
      <w:r w:rsidR="00D147AB">
        <w:t xml:space="preserve"> sources</w:t>
      </w:r>
      <w:bookmarkEnd w:id="84"/>
      <w:bookmarkEnd w:id="85"/>
      <w:bookmarkEnd w:id="86"/>
    </w:p>
    <w:p w14:paraId="7651F6B4" w14:textId="6C6620CD" w:rsidR="00EF2959" w:rsidRDefault="00EF2959" w:rsidP="00EF2959">
      <w:pPr>
        <w:pStyle w:val="AERbodytext"/>
        <w:spacing w:after="120"/>
        <w:rPr>
          <w:rFonts w:cs="Arial"/>
          <w:szCs w:val="22"/>
        </w:rPr>
      </w:pPr>
      <w:r>
        <w:rPr>
          <w:rFonts w:cs="Arial"/>
          <w:szCs w:val="22"/>
        </w:rPr>
        <w:t xml:space="preserve">A number of sources were used to </w:t>
      </w:r>
      <w:r w:rsidR="0043798D">
        <w:rPr>
          <w:rFonts w:cs="Arial"/>
          <w:szCs w:val="22"/>
        </w:rPr>
        <w:t>provide data</w:t>
      </w:r>
      <w:r>
        <w:rPr>
          <w:rFonts w:cs="Arial"/>
          <w:szCs w:val="22"/>
        </w:rPr>
        <w:t xml:space="preserve"> to estimate replacement life statistics for all asset categories included in the Repex Model. These included:</w:t>
      </w:r>
    </w:p>
    <w:p w14:paraId="41724935" w14:textId="333CE0B6" w:rsidR="00EF2959" w:rsidRDefault="00EF2959" w:rsidP="00EF2959">
      <w:pPr>
        <w:pStyle w:val="Bullet1"/>
      </w:pPr>
      <w:r w:rsidRPr="00D31266">
        <w:t>NFM</w:t>
      </w:r>
      <w:r>
        <w:t xml:space="preserve"> - </w:t>
      </w:r>
      <w:r w:rsidRPr="0056359C">
        <w:t>the main database used by Energex to record and manage asset data and information regarding network outages</w:t>
      </w:r>
    </w:p>
    <w:p w14:paraId="3D6F8516" w14:textId="23CCB25F" w:rsidR="00536712" w:rsidRDefault="0043798D" w:rsidP="0043798D">
      <w:pPr>
        <w:pStyle w:val="Bullet1"/>
      </w:pPr>
      <w:r>
        <w:t xml:space="preserve">CBRM model – </w:t>
      </w:r>
      <w:r w:rsidR="005C534D">
        <w:t xml:space="preserve">engineering </w:t>
      </w:r>
      <w:r>
        <w:t>models used to forecast asset condition</w:t>
      </w:r>
    </w:p>
    <w:p w14:paraId="5C1C7EF8" w14:textId="50A73B69" w:rsidR="00536712" w:rsidRDefault="00536712" w:rsidP="0043798D">
      <w:pPr>
        <w:pStyle w:val="Bullet1"/>
      </w:pPr>
      <w:r>
        <w:t>Engineering assessment</w:t>
      </w:r>
      <w:r w:rsidR="006F6BD8">
        <w:t>s</w:t>
      </w:r>
      <w:r>
        <w:t xml:space="preserve"> from Energex technical specialists</w:t>
      </w:r>
    </w:p>
    <w:p w14:paraId="21D7355A" w14:textId="421AB157" w:rsidR="006F6BD8" w:rsidRDefault="006F6BD8" w:rsidP="006F6BD8">
      <w:pPr>
        <w:pStyle w:val="Bullet1"/>
      </w:pPr>
      <w:r>
        <w:t>Manufacturer’s specifications</w:t>
      </w:r>
    </w:p>
    <w:p w14:paraId="58267FEE" w14:textId="535F9F1A" w:rsidR="006F6BD8" w:rsidRDefault="006F6BD8" w:rsidP="006F6BD8">
      <w:pPr>
        <w:pStyle w:val="Bullet1"/>
      </w:pPr>
      <w:r>
        <w:t>Internal management documentation</w:t>
      </w:r>
    </w:p>
    <w:p w14:paraId="5806BD2E" w14:textId="6CB3B98F" w:rsidR="006F6BD8" w:rsidRDefault="006F6BD8" w:rsidP="006F6BD8">
      <w:pPr>
        <w:pStyle w:val="Bullet1"/>
      </w:pPr>
      <w:r>
        <w:t>Contracts and customer billing data</w:t>
      </w:r>
    </w:p>
    <w:p w14:paraId="3BE730CD" w14:textId="7EE3B256" w:rsidR="0043798D" w:rsidRDefault="006F6BD8" w:rsidP="006F6BD8">
      <w:pPr>
        <w:pStyle w:val="Bullet1"/>
      </w:pPr>
      <w:r>
        <w:t>Regulatory lives.</w:t>
      </w:r>
    </w:p>
    <w:p w14:paraId="2FEC2E9D" w14:textId="36C5649B" w:rsidR="00EF2959" w:rsidRPr="0056359C" w:rsidRDefault="0043798D" w:rsidP="0056359C">
      <w:pPr>
        <w:pStyle w:val="AERbodytext"/>
        <w:rPr>
          <w:rFonts w:cs="Arial"/>
          <w:szCs w:val="22"/>
        </w:rPr>
      </w:pPr>
      <w:r>
        <w:rPr>
          <w:rFonts w:cs="Arial"/>
          <w:szCs w:val="22"/>
        </w:rPr>
        <w:t>The sources for each asset group are</w:t>
      </w:r>
      <w:r w:rsidR="00D147AB" w:rsidRPr="0056359C">
        <w:rPr>
          <w:rFonts w:cs="Arial"/>
          <w:szCs w:val="22"/>
        </w:rPr>
        <w:t xml:space="preserve"> listed in </w:t>
      </w:r>
      <w:r w:rsidR="009C38D3" w:rsidRPr="0056359C">
        <w:rPr>
          <w:rFonts w:cs="Arial"/>
          <w:szCs w:val="22"/>
        </w:rPr>
        <w:fldChar w:fldCharType="begin"/>
      </w:r>
      <w:r w:rsidR="009C38D3" w:rsidRPr="0056359C">
        <w:rPr>
          <w:rFonts w:cs="Arial"/>
          <w:szCs w:val="22"/>
        </w:rPr>
        <w:instrText xml:space="preserve"> REF _Ref389835251 \h </w:instrText>
      </w:r>
      <w:r w:rsidR="0056359C">
        <w:rPr>
          <w:rFonts w:cs="Arial"/>
          <w:szCs w:val="22"/>
        </w:rPr>
        <w:instrText xml:space="preserve"> \* MERGEFORMAT </w:instrText>
      </w:r>
      <w:r w:rsidR="009C38D3" w:rsidRPr="0056359C">
        <w:rPr>
          <w:rFonts w:cs="Arial"/>
          <w:szCs w:val="22"/>
        </w:rPr>
      </w:r>
      <w:r w:rsidR="009C38D3" w:rsidRPr="0056359C">
        <w:rPr>
          <w:rFonts w:cs="Arial"/>
          <w:szCs w:val="22"/>
        </w:rPr>
        <w:fldChar w:fldCharType="separate"/>
      </w:r>
      <w:r w:rsidR="00B27C70" w:rsidRPr="00B27C70">
        <w:rPr>
          <w:rFonts w:cs="Arial"/>
          <w:szCs w:val="22"/>
        </w:rPr>
        <w:t>Table 3</w:t>
      </w:r>
      <w:r w:rsidR="00B27C70" w:rsidRPr="00B27C70">
        <w:rPr>
          <w:rFonts w:cs="Arial"/>
          <w:szCs w:val="22"/>
        </w:rPr>
        <w:noBreakHyphen/>
        <w:t>1</w:t>
      </w:r>
      <w:r w:rsidR="009C38D3" w:rsidRPr="0056359C">
        <w:rPr>
          <w:rFonts w:cs="Arial"/>
          <w:szCs w:val="22"/>
        </w:rPr>
        <w:fldChar w:fldCharType="end"/>
      </w:r>
      <w:r w:rsidR="00D147AB" w:rsidRPr="0056359C">
        <w:rPr>
          <w:rFonts w:cs="Arial"/>
          <w:szCs w:val="22"/>
        </w:rPr>
        <w:t xml:space="preserve"> below.</w:t>
      </w:r>
    </w:p>
    <w:p w14:paraId="62078CCF" w14:textId="19B1B474" w:rsidR="00D147AB" w:rsidRDefault="00D147AB" w:rsidP="00D147AB">
      <w:pPr>
        <w:pStyle w:val="Caption"/>
      </w:pPr>
      <w:bookmarkStart w:id="87" w:name="_Ref389835251"/>
      <w:bookmarkStart w:id="88" w:name="_Toc390670017"/>
      <w:bookmarkStart w:id="89" w:name="_Toc390670030"/>
      <w:bookmarkStart w:id="90" w:name="_Toc397097291"/>
      <w:r>
        <w:t>Table</w:t>
      </w:r>
      <w:r w:rsidR="008D7E91">
        <w:t> </w:t>
      </w:r>
      <w:fldSimple w:instr=" STYLEREF 1 \s ">
        <w:r w:rsidR="00B27C70">
          <w:rPr>
            <w:noProof/>
          </w:rPr>
          <w:t>3</w:t>
        </w:r>
      </w:fldSimple>
      <w:r w:rsidR="00771CAE">
        <w:noBreakHyphen/>
      </w:r>
      <w:fldSimple w:instr=" SEQ Table \* ARABIC \s 1 ">
        <w:r w:rsidR="00B27C70">
          <w:rPr>
            <w:noProof/>
          </w:rPr>
          <w:t>1</w:t>
        </w:r>
      </w:fldSimple>
      <w:bookmarkEnd w:id="87"/>
      <w:r w:rsidR="0056359C">
        <w:tab/>
      </w:r>
      <w:r w:rsidR="004F1F85">
        <w:t>Replacement life statistics information sources</w:t>
      </w:r>
      <w:bookmarkEnd w:id="88"/>
      <w:bookmarkEnd w:id="89"/>
      <w:bookmarkEnd w:id="90"/>
    </w:p>
    <w:tbl>
      <w:tblPr>
        <w:tblStyle w:val="TableGrid"/>
        <w:tblW w:w="9072" w:type="dxa"/>
        <w:tblInd w:w="108" w:type="dxa"/>
        <w:tblLook w:val="04A0" w:firstRow="1" w:lastRow="0" w:firstColumn="1" w:lastColumn="0" w:noHBand="0" w:noVBand="1"/>
      </w:tblPr>
      <w:tblGrid>
        <w:gridCol w:w="2268"/>
        <w:gridCol w:w="2410"/>
        <w:gridCol w:w="4394"/>
      </w:tblGrid>
      <w:tr w:rsidR="00D726A0" w:rsidRPr="002F180C" w14:paraId="62078CD3" w14:textId="77777777" w:rsidTr="0067732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68" w:type="dxa"/>
          </w:tcPr>
          <w:p w14:paraId="62078CD0" w14:textId="77777777" w:rsidR="00D726A0" w:rsidRPr="002F180C" w:rsidRDefault="00D726A0" w:rsidP="00045243">
            <w:pPr>
              <w:pStyle w:val="TableText"/>
              <w:keepNext/>
              <w:rPr>
                <w:rFonts w:ascii="Arial" w:hAnsi="Arial"/>
                <w:szCs w:val="20"/>
              </w:rPr>
            </w:pPr>
            <w:r w:rsidRPr="002F180C">
              <w:rPr>
                <w:rFonts w:ascii="Arial" w:hAnsi="Arial"/>
                <w:szCs w:val="20"/>
              </w:rPr>
              <w:t>Asset Group</w:t>
            </w:r>
          </w:p>
        </w:tc>
        <w:tc>
          <w:tcPr>
            <w:tcW w:w="2410" w:type="dxa"/>
          </w:tcPr>
          <w:p w14:paraId="62078CD1" w14:textId="77777777" w:rsidR="00D726A0" w:rsidRPr="002F180C" w:rsidRDefault="00D726A0" w:rsidP="00045243">
            <w:pPr>
              <w:pStyle w:val="TableText"/>
              <w:keepNext/>
              <w:cnfStyle w:val="100000000000" w:firstRow="1" w:lastRow="0" w:firstColumn="0" w:lastColumn="0" w:oddVBand="0" w:evenVBand="0" w:oddHBand="0" w:evenHBand="0" w:firstRowFirstColumn="0" w:firstRowLastColumn="0" w:lastRowFirstColumn="0" w:lastRowLastColumn="0"/>
              <w:rPr>
                <w:rFonts w:ascii="Arial" w:hAnsi="Arial"/>
                <w:szCs w:val="20"/>
              </w:rPr>
            </w:pPr>
            <w:r w:rsidRPr="002F180C">
              <w:rPr>
                <w:rFonts w:ascii="Arial" w:hAnsi="Arial"/>
                <w:szCs w:val="20"/>
              </w:rPr>
              <w:t>Variable</w:t>
            </w:r>
          </w:p>
        </w:tc>
        <w:tc>
          <w:tcPr>
            <w:tcW w:w="4394" w:type="dxa"/>
          </w:tcPr>
          <w:p w14:paraId="62078CD2" w14:textId="77777777" w:rsidR="00D726A0" w:rsidRPr="002F180C" w:rsidRDefault="00D726A0" w:rsidP="00045243">
            <w:pPr>
              <w:pStyle w:val="TableText"/>
              <w:keepNext/>
              <w:cnfStyle w:val="100000000000" w:firstRow="1" w:lastRow="0" w:firstColumn="0" w:lastColumn="0" w:oddVBand="0" w:evenVBand="0" w:oddHBand="0" w:evenHBand="0" w:firstRowFirstColumn="0" w:firstRowLastColumn="0" w:lastRowFirstColumn="0" w:lastRowLastColumn="0"/>
              <w:rPr>
                <w:rFonts w:ascii="Arial" w:hAnsi="Arial"/>
                <w:szCs w:val="20"/>
              </w:rPr>
            </w:pPr>
            <w:r w:rsidRPr="002F180C">
              <w:rPr>
                <w:rFonts w:ascii="Arial" w:hAnsi="Arial"/>
                <w:szCs w:val="20"/>
              </w:rPr>
              <w:t>Source</w:t>
            </w:r>
          </w:p>
        </w:tc>
      </w:tr>
      <w:tr w:rsidR="003353CD" w:rsidRPr="002F180C" w14:paraId="62078CD7" w14:textId="77777777" w:rsidTr="006773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62078CD4" w14:textId="77777777" w:rsidR="00D726A0" w:rsidRPr="002F180C" w:rsidRDefault="00D726A0" w:rsidP="00D726A0">
            <w:pPr>
              <w:pStyle w:val="TableText"/>
              <w:rPr>
                <w:szCs w:val="20"/>
              </w:rPr>
            </w:pPr>
            <w:r w:rsidRPr="002F180C">
              <w:rPr>
                <w:szCs w:val="20"/>
              </w:rPr>
              <w:t>Poles</w:t>
            </w:r>
          </w:p>
        </w:tc>
        <w:tc>
          <w:tcPr>
            <w:tcW w:w="2410" w:type="dxa"/>
            <w:vAlign w:val="center"/>
          </w:tcPr>
          <w:p w14:paraId="62078CD5" w14:textId="77777777" w:rsidR="00D726A0" w:rsidRPr="002F180C" w:rsidRDefault="009C38D3" w:rsidP="00D726A0">
            <w:pPr>
              <w:pStyle w:val="TableText"/>
              <w:cnfStyle w:val="000000100000" w:firstRow="0" w:lastRow="0" w:firstColumn="0" w:lastColumn="0" w:oddVBand="0" w:evenVBand="0" w:oddHBand="1" w:evenHBand="0" w:firstRowFirstColumn="0" w:firstRowLastColumn="0" w:lastRowFirstColumn="0" w:lastRowLastColumn="0"/>
              <w:rPr>
                <w:szCs w:val="20"/>
              </w:rPr>
            </w:pPr>
            <w:r w:rsidRPr="002F180C">
              <w:rPr>
                <w:szCs w:val="20"/>
              </w:rPr>
              <w:t>wood</w:t>
            </w:r>
          </w:p>
        </w:tc>
        <w:tc>
          <w:tcPr>
            <w:tcW w:w="4394" w:type="dxa"/>
            <w:vAlign w:val="center"/>
          </w:tcPr>
          <w:p w14:paraId="62078CD6" w14:textId="1663D688" w:rsidR="00D726A0" w:rsidRPr="002F180C" w:rsidRDefault="005C534D" w:rsidP="00DC02B0">
            <w:pPr>
              <w:pStyle w:val="TableText"/>
              <w:cnfStyle w:val="000000100000" w:firstRow="0" w:lastRow="0" w:firstColumn="0" w:lastColumn="0" w:oddVBand="0" w:evenVBand="0" w:oddHBand="1" w:evenHBand="0" w:firstRowFirstColumn="0" w:firstRowLastColumn="0" w:lastRowFirstColumn="0" w:lastRowLastColumn="0"/>
              <w:rPr>
                <w:szCs w:val="20"/>
              </w:rPr>
            </w:pPr>
            <w:r>
              <w:rPr>
                <w:szCs w:val="20"/>
              </w:rPr>
              <w:t>E</w:t>
            </w:r>
            <w:r w:rsidR="00B650E6" w:rsidRPr="002F180C">
              <w:rPr>
                <w:szCs w:val="20"/>
              </w:rPr>
              <w:t>ngineering assessment</w:t>
            </w:r>
          </w:p>
        </w:tc>
      </w:tr>
      <w:tr w:rsidR="003353CD" w:rsidRPr="002F180C" w14:paraId="62078CDB" w14:textId="77777777" w:rsidTr="006773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2078CD8" w14:textId="77777777" w:rsidR="00D726A0" w:rsidRPr="002F180C" w:rsidRDefault="00D726A0" w:rsidP="00D726A0">
            <w:pPr>
              <w:pStyle w:val="TableText"/>
              <w:rPr>
                <w:szCs w:val="20"/>
              </w:rPr>
            </w:pPr>
          </w:p>
        </w:tc>
        <w:tc>
          <w:tcPr>
            <w:tcW w:w="2410" w:type="dxa"/>
            <w:vAlign w:val="center"/>
          </w:tcPr>
          <w:p w14:paraId="62078CD9" w14:textId="77777777" w:rsidR="00D726A0" w:rsidRPr="002F180C" w:rsidRDefault="009C38D3" w:rsidP="00D726A0">
            <w:pPr>
              <w:pStyle w:val="TableText"/>
              <w:cnfStyle w:val="000000010000" w:firstRow="0" w:lastRow="0" w:firstColumn="0" w:lastColumn="0" w:oddVBand="0" w:evenVBand="0" w:oddHBand="0" w:evenHBand="1" w:firstRowFirstColumn="0" w:firstRowLastColumn="0" w:lastRowFirstColumn="0" w:lastRowLastColumn="0"/>
              <w:rPr>
                <w:szCs w:val="20"/>
              </w:rPr>
            </w:pPr>
            <w:r w:rsidRPr="002F180C">
              <w:rPr>
                <w:szCs w:val="20"/>
              </w:rPr>
              <w:t>steel and concrete</w:t>
            </w:r>
          </w:p>
        </w:tc>
        <w:tc>
          <w:tcPr>
            <w:tcW w:w="4394" w:type="dxa"/>
            <w:vAlign w:val="center"/>
          </w:tcPr>
          <w:p w14:paraId="62078CDA" w14:textId="52B717D5" w:rsidR="00D726A0" w:rsidRPr="002F180C" w:rsidRDefault="005C534D" w:rsidP="00DC02B0">
            <w:pPr>
              <w:pStyle w:val="TableText"/>
              <w:cnfStyle w:val="000000010000" w:firstRow="0" w:lastRow="0" w:firstColumn="0" w:lastColumn="0" w:oddVBand="0" w:evenVBand="0" w:oddHBand="0" w:evenHBand="1" w:firstRowFirstColumn="0" w:firstRowLastColumn="0" w:lastRowFirstColumn="0" w:lastRowLastColumn="0"/>
              <w:rPr>
                <w:szCs w:val="20"/>
              </w:rPr>
            </w:pPr>
            <w:r>
              <w:rPr>
                <w:szCs w:val="20"/>
              </w:rPr>
              <w:t>E</w:t>
            </w:r>
            <w:r w:rsidR="00B650E6" w:rsidRPr="002F180C">
              <w:rPr>
                <w:szCs w:val="20"/>
              </w:rPr>
              <w:t>ngineering assessment</w:t>
            </w:r>
          </w:p>
        </w:tc>
      </w:tr>
      <w:tr w:rsidR="003353CD" w:rsidRPr="002F180C" w14:paraId="62078CDF" w14:textId="77777777" w:rsidTr="006773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2078CDC" w14:textId="77777777" w:rsidR="00D726A0" w:rsidRPr="002F180C" w:rsidRDefault="00D726A0" w:rsidP="00D726A0">
            <w:pPr>
              <w:pStyle w:val="TableText"/>
              <w:rPr>
                <w:szCs w:val="20"/>
              </w:rPr>
            </w:pPr>
          </w:p>
        </w:tc>
        <w:tc>
          <w:tcPr>
            <w:tcW w:w="2410" w:type="dxa"/>
            <w:vAlign w:val="center"/>
          </w:tcPr>
          <w:p w14:paraId="62078CDD" w14:textId="77777777" w:rsidR="00D726A0" w:rsidRPr="002F180C" w:rsidRDefault="00D726A0" w:rsidP="003353CD">
            <w:pPr>
              <w:pStyle w:val="TableText"/>
              <w:cnfStyle w:val="000000100000" w:firstRow="0" w:lastRow="0" w:firstColumn="0" w:lastColumn="0" w:oddVBand="0" w:evenVBand="0" w:oddHBand="1" w:evenHBand="0" w:firstRowFirstColumn="0" w:firstRowLastColumn="0" w:lastRowFirstColumn="0" w:lastRowLastColumn="0"/>
              <w:rPr>
                <w:szCs w:val="20"/>
              </w:rPr>
            </w:pPr>
            <w:r w:rsidRPr="002F180C">
              <w:rPr>
                <w:szCs w:val="20"/>
              </w:rPr>
              <w:t>nail</w:t>
            </w:r>
            <w:r w:rsidR="003353CD" w:rsidRPr="002F180C">
              <w:rPr>
                <w:szCs w:val="20"/>
              </w:rPr>
              <w:t>ed</w:t>
            </w:r>
            <w:r w:rsidRPr="002F180C">
              <w:rPr>
                <w:szCs w:val="20"/>
              </w:rPr>
              <w:t xml:space="preserve"> (if wood)</w:t>
            </w:r>
          </w:p>
        </w:tc>
        <w:tc>
          <w:tcPr>
            <w:tcW w:w="4394" w:type="dxa"/>
            <w:vAlign w:val="center"/>
          </w:tcPr>
          <w:p w14:paraId="62078CDE" w14:textId="551A2EAE" w:rsidR="00D726A0" w:rsidRPr="002F180C" w:rsidRDefault="005C534D" w:rsidP="00DC02B0">
            <w:pPr>
              <w:pStyle w:val="TableText"/>
              <w:cnfStyle w:val="000000100000" w:firstRow="0" w:lastRow="0" w:firstColumn="0" w:lastColumn="0" w:oddVBand="0" w:evenVBand="0" w:oddHBand="1" w:evenHBand="0" w:firstRowFirstColumn="0" w:firstRowLastColumn="0" w:lastRowFirstColumn="0" w:lastRowLastColumn="0"/>
              <w:rPr>
                <w:szCs w:val="20"/>
              </w:rPr>
            </w:pPr>
            <w:r>
              <w:rPr>
                <w:szCs w:val="20"/>
              </w:rPr>
              <w:t>E</w:t>
            </w:r>
            <w:r w:rsidRPr="002F180C">
              <w:rPr>
                <w:szCs w:val="20"/>
              </w:rPr>
              <w:t xml:space="preserve">ngineering </w:t>
            </w:r>
            <w:r w:rsidR="00DC02B0" w:rsidRPr="002F180C">
              <w:rPr>
                <w:szCs w:val="20"/>
              </w:rPr>
              <w:t>assessment</w:t>
            </w:r>
          </w:p>
        </w:tc>
      </w:tr>
      <w:tr w:rsidR="00D726A0" w:rsidRPr="002F180C" w14:paraId="62078CE3" w14:textId="77777777" w:rsidTr="006773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2078CE0" w14:textId="77777777" w:rsidR="00D726A0" w:rsidRPr="002F180C" w:rsidRDefault="00D726A0" w:rsidP="00D726A0">
            <w:pPr>
              <w:pStyle w:val="TableText"/>
              <w:rPr>
                <w:szCs w:val="20"/>
              </w:rPr>
            </w:pPr>
            <w:r w:rsidRPr="002F180C">
              <w:rPr>
                <w:szCs w:val="20"/>
              </w:rPr>
              <w:t>Pole top structures</w:t>
            </w:r>
          </w:p>
        </w:tc>
        <w:tc>
          <w:tcPr>
            <w:tcW w:w="2410" w:type="dxa"/>
            <w:vAlign w:val="center"/>
          </w:tcPr>
          <w:p w14:paraId="62078CE1" w14:textId="77777777" w:rsidR="00D726A0" w:rsidRPr="002F180C" w:rsidRDefault="003353CD" w:rsidP="00D726A0">
            <w:pPr>
              <w:pStyle w:val="TableText"/>
              <w:cnfStyle w:val="000000010000" w:firstRow="0" w:lastRow="0" w:firstColumn="0" w:lastColumn="0" w:oddVBand="0" w:evenVBand="0" w:oddHBand="0" w:evenHBand="1" w:firstRowFirstColumn="0" w:firstRowLastColumn="0" w:lastRowFirstColumn="0" w:lastRowLastColumn="0"/>
              <w:rPr>
                <w:szCs w:val="20"/>
              </w:rPr>
            </w:pPr>
            <w:r w:rsidRPr="002F180C">
              <w:rPr>
                <w:szCs w:val="20"/>
              </w:rPr>
              <w:t>all</w:t>
            </w:r>
          </w:p>
        </w:tc>
        <w:tc>
          <w:tcPr>
            <w:tcW w:w="4394" w:type="dxa"/>
            <w:vAlign w:val="center"/>
          </w:tcPr>
          <w:p w14:paraId="62078CE2" w14:textId="138C13D5" w:rsidR="00D726A0" w:rsidRPr="002F180C" w:rsidRDefault="005C534D" w:rsidP="00DC02B0">
            <w:pPr>
              <w:pStyle w:val="TableText"/>
              <w:cnfStyle w:val="000000010000" w:firstRow="0" w:lastRow="0" w:firstColumn="0" w:lastColumn="0" w:oddVBand="0" w:evenVBand="0" w:oddHBand="0" w:evenHBand="1" w:firstRowFirstColumn="0" w:firstRowLastColumn="0" w:lastRowFirstColumn="0" w:lastRowLastColumn="0"/>
              <w:rPr>
                <w:szCs w:val="20"/>
              </w:rPr>
            </w:pPr>
            <w:r>
              <w:rPr>
                <w:szCs w:val="20"/>
              </w:rPr>
              <w:t>E</w:t>
            </w:r>
            <w:r w:rsidR="00B650E6" w:rsidRPr="002F180C">
              <w:rPr>
                <w:szCs w:val="20"/>
              </w:rPr>
              <w:t>ngineering assessment</w:t>
            </w:r>
          </w:p>
        </w:tc>
      </w:tr>
      <w:tr w:rsidR="005B22CF" w:rsidRPr="002F180C" w14:paraId="62078CE7" w14:textId="77777777" w:rsidTr="006773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62078CE4" w14:textId="77777777" w:rsidR="005B22CF" w:rsidRPr="002F180C" w:rsidRDefault="005B22CF" w:rsidP="00D726A0">
            <w:pPr>
              <w:pStyle w:val="TableText"/>
              <w:rPr>
                <w:szCs w:val="20"/>
              </w:rPr>
            </w:pPr>
            <w:r w:rsidRPr="002F180C">
              <w:rPr>
                <w:szCs w:val="20"/>
              </w:rPr>
              <w:t>Overhead conductors</w:t>
            </w:r>
          </w:p>
        </w:tc>
        <w:tc>
          <w:tcPr>
            <w:tcW w:w="2410" w:type="dxa"/>
            <w:vAlign w:val="center"/>
          </w:tcPr>
          <w:p w14:paraId="62078CE5" w14:textId="77777777" w:rsidR="005B22CF" w:rsidRPr="002F180C" w:rsidRDefault="005B22CF" w:rsidP="00D726A0">
            <w:pPr>
              <w:pStyle w:val="TableText"/>
              <w:cnfStyle w:val="000000100000" w:firstRow="0" w:lastRow="0" w:firstColumn="0" w:lastColumn="0" w:oddVBand="0" w:evenVBand="0" w:oddHBand="1" w:evenHBand="0" w:firstRowFirstColumn="0" w:firstRowLastColumn="0" w:lastRowFirstColumn="0" w:lastRowLastColumn="0"/>
              <w:rPr>
                <w:szCs w:val="20"/>
              </w:rPr>
            </w:pPr>
            <w:r w:rsidRPr="002F180C">
              <w:rPr>
                <w:szCs w:val="20"/>
              </w:rPr>
              <w:t>≤1 kV</w:t>
            </w:r>
          </w:p>
        </w:tc>
        <w:tc>
          <w:tcPr>
            <w:tcW w:w="4394" w:type="dxa"/>
            <w:vAlign w:val="center"/>
          </w:tcPr>
          <w:p w14:paraId="62078CE6" w14:textId="7FE182A1" w:rsidR="005B22CF" w:rsidRPr="002F180C" w:rsidRDefault="005C534D" w:rsidP="00DC02B0">
            <w:pPr>
              <w:pStyle w:val="TableText"/>
              <w:cnfStyle w:val="000000100000" w:firstRow="0" w:lastRow="0" w:firstColumn="0" w:lastColumn="0" w:oddVBand="0" w:evenVBand="0" w:oddHBand="1" w:evenHBand="0" w:firstRowFirstColumn="0" w:firstRowLastColumn="0" w:lastRowFirstColumn="0" w:lastRowLastColumn="0"/>
              <w:rPr>
                <w:szCs w:val="20"/>
              </w:rPr>
            </w:pPr>
            <w:r>
              <w:rPr>
                <w:szCs w:val="20"/>
              </w:rPr>
              <w:t>E</w:t>
            </w:r>
            <w:r w:rsidRPr="002F180C">
              <w:rPr>
                <w:szCs w:val="20"/>
              </w:rPr>
              <w:t xml:space="preserve">ngineering </w:t>
            </w:r>
            <w:r w:rsidR="005B22CF" w:rsidRPr="002F180C">
              <w:rPr>
                <w:szCs w:val="20"/>
              </w:rPr>
              <w:t>assessment</w:t>
            </w:r>
          </w:p>
        </w:tc>
      </w:tr>
      <w:tr w:rsidR="005B22CF" w:rsidRPr="002F180C" w14:paraId="62078CEB" w14:textId="77777777" w:rsidTr="006773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2078CE8" w14:textId="77777777" w:rsidR="005B22CF" w:rsidRPr="002F180C" w:rsidRDefault="005B22CF" w:rsidP="00D726A0">
            <w:pPr>
              <w:pStyle w:val="TableText"/>
              <w:rPr>
                <w:szCs w:val="20"/>
              </w:rPr>
            </w:pPr>
          </w:p>
        </w:tc>
        <w:tc>
          <w:tcPr>
            <w:tcW w:w="2410" w:type="dxa"/>
            <w:vAlign w:val="center"/>
          </w:tcPr>
          <w:p w14:paraId="62078CE9" w14:textId="77777777" w:rsidR="005B22CF" w:rsidRPr="002F180C" w:rsidRDefault="005B22CF" w:rsidP="003353CD">
            <w:pPr>
              <w:pStyle w:val="TableText"/>
              <w:cnfStyle w:val="000000010000" w:firstRow="0" w:lastRow="0" w:firstColumn="0" w:lastColumn="0" w:oddVBand="0" w:evenVBand="0" w:oddHBand="0" w:evenHBand="1" w:firstRowFirstColumn="0" w:firstRowLastColumn="0" w:lastRowFirstColumn="0" w:lastRowLastColumn="0"/>
              <w:rPr>
                <w:szCs w:val="20"/>
              </w:rPr>
            </w:pPr>
            <w:r w:rsidRPr="002F180C">
              <w:rPr>
                <w:szCs w:val="20"/>
              </w:rPr>
              <w:t>&gt;1 kV and ≤22 kV</w:t>
            </w:r>
          </w:p>
        </w:tc>
        <w:tc>
          <w:tcPr>
            <w:tcW w:w="4394" w:type="dxa"/>
            <w:vAlign w:val="center"/>
          </w:tcPr>
          <w:p w14:paraId="62078CEA" w14:textId="5D4A8B99" w:rsidR="005B22CF" w:rsidRPr="002F180C" w:rsidRDefault="005B22CF">
            <w:pPr>
              <w:pStyle w:val="TableText"/>
              <w:cnfStyle w:val="000000010000" w:firstRow="0" w:lastRow="0" w:firstColumn="0" w:lastColumn="0" w:oddVBand="0" w:evenVBand="0" w:oddHBand="0" w:evenHBand="1" w:firstRowFirstColumn="0" w:firstRowLastColumn="0" w:lastRowFirstColumn="0" w:lastRowLastColumn="0"/>
              <w:rPr>
                <w:szCs w:val="20"/>
              </w:rPr>
            </w:pPr>
            <w:r w:rsidRPr="002F180C">
              <w:rPr>
                <w:szCs w:val="20"/>
              </w:rPr>
              <w:t>Energex CBRM – 11 kV conductors v3.0</w:t>
            </w:r>
            <w:r w:rsidR="00C30FDB">
              <w:rPr>
                <w:szCs w:val="20"/>
              </w:rPr>
              <w:t xml:space="preserve"> and </w:t>
            </w:r>
            <w:r w:rsidR="005C534D">
              <w:rPr>
                <w:szCs w:val="20"/>
              </w:rPr>
              <w:t>e</w:t>
            </w:r>
            <w:r w:rsidR="006B34FB">
              <w:rPr>
                <w:szCs w:val="20"/>
              </w:rPr>
              <w:t>ngineering assessment</w:t>
            </w:r>
          </w:p>
        </w:tc>
      </w:tr>
      <w:tr w:rsidR="005B22CF" w:rsidRPr="002F180C" w14:paraId="62078CEF" w14:textId="77777777" w:rsidTr="006773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2078CEC" w14:textId="77777777" w:rsidR="005B22CF" w:rsidRPr="002F180C" w:rsidRDefault="005B22CF" w:rsidP="00D726A0">
            <w:pPr>
              <w:pStyle w:val="TableText"/>
              <w:rPr>
                <w:szCs w:val="20"/>
              </w:rPr>
            </w:pPr>
          </w:p>
        </w:tc>
        <w:tc>
          <w:tcPr>
            <w:tcW w:w="2410" w:type="dxa"/>
            <w:vAlign w:val="center"/>
          </w:tcPr>
          <w:p w14:paraId="62078CED" w14:textId="77777777" w:rsidR="005B22CF" w:rsidRPr="002F180C" w:rsidRDefault="005B22CF" w:rsidP="003353CD">
            <w:pPr>
              <w:pStyle w:val="TableText"/>
              <w:cnfStyle w:val="000000100000" w:firstRow="0" w:lastRow="0" w:firstColumn="0" w:lastColumn="0" w:oddVBand="0" w:evenVBand="0" w:oddHBand="1" w:evenHBand="0" w:firstRowFirstColumn="0" w:firstRowLastColumn="0" w:lastRowFirstColumn="0" w:lastRowLastColumn="0"/>
              <w:rPr>
                <w:szCs w:val="20"/>
              </w:rPr>
            </w:pPr>
            <w:r w:rsidRPr="002F180C">
              <w:rPr>
                <w:szCs w:val="20"/>
              </w:rPr>
              <w:t>&gt;22 kV and ≤66 kV</w:t>
            </w:r>
          </w:p>
        </w:tc>
        <w:tc>
          <w:tcPr>
            <w:tcW w:w="4394" w:type="dxa"/>
            <w:vAlign w:val="center"/>
          </w:tcPr>
          <w:p w14:paraId="62078CEE" w14:textId="77777777" w:rsidR="005B22CF" w:rsidRPr="002F180C" w:rsidRDefault="005B22CF" w:rsidP="003353CD">
            <w:pPr>
              <w:spacing w:before="60" w:after="6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2F180C">
              <w:rPr>
                <w:color w:val="000000"/>
                <w:szCs w:val="20"/>
              </w:rPr>
              <w:t>Energex CBRM – 33 kV feeders v2.0</w:t>
            </w:r>
          </w:p>
        </w:tc>
      </w:tr>
      <w:tr w:rsidR="005B22CF" w:rsidRPr="002F180C" w14:paraId="62078CF3" w14:textId="77777777" w:rsidTr="006773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2078CF0" w14:textId="77777777" w:rsidR="005B22CF" w:rsidRPr="002F180C" w:rsidRDefault="005B22CF" w:rsidP="00D726A0">
            <w:pPr>
              <w:pStyle w:val="TableText"/>
              <w:rPr>
                <w:szCs w:val="20"/>
              </w:rPr>
            </w:pPr>
          </w:p>
        </w:tc>
        <w:tc>
          <w:tcPr>
            <w:tcW w:w="2410" w:type="dxa"/>
            <w:vAlign w:val="center"/>
          </w:tcPr>
          <w:p w14:paraId="62078CF1" w14:textId="77777777" w:rsidR="005B22CF" w:rsidRPr="002F180C" w:rsidRDefault="005B22CF" w:rsidP="005B22CF">
            <w:pPr>
              <w:pStyle w:val="TableText"/>
              <w:cnfStyle w:val="000000010000" w:firstRow="0" w:lastRow="0" w:firstColumn="0" w:lastColumn="0" w:oddVBand="0" w:evenVBand="0" w:oddHBand="0" w:evenHBand="1" w:firstRowFirstColumn="0" w:firstRowLastColumn="0" w:lastRowFirstColumn="0" w:lastRowLastColumn="0"/>
              <w:rPr>
                <w:szCs w:val="20"/>
              </w:rPr>
            </w:pPr>
            <w:r w:rsidRPr="002F180C">
              <w:rPr>
                <w:szCs w:val="20"/>
              </w:rPr>
              <w:t>&gt;66 kV and ≤132 kV</w:t>
            </w:r>
          </w:p>
        </w:tc>
        <w:tc>
          <w:tcPr>
            <w:tcW w:w="4394" w:type="dxa"/>
            <w:vAlign w:val="center"/>
          </w:tcPr>
          <w:p w14:paraId="62078CF2" w14:textId="77777777" w:rsidR="005B22CF" w:rsidRPr="002F180C" w:rsidRDefault="005B22CF" w:rsidP="005B22CF">
            <w:pPr>
              <w:spacing w:before="60" w:after="6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2F180C">
              <w:rPr>
                <w:color w:val="000000"/>
                <w:szCs w:val="20"/>
              </w:rPr>
              <w:t>Energex CBRM - 110 132 kV feeders v2.0</w:t>
            </w:r>
          </w:p>
        </w:tc>
      </w:tr>
      <w:tr w:rsidR="005B22CF" w:rsidRPr="002F180C" w14:paraId="62078CF7" w14:textId="77777777" w:rsidTr="006773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62078CF4" w14:textId="77777777" w:rsidR="005B22CF" w:rsidRPr="002F180C" w:rsidRDefault="005B22CF" w:rsidP="00D726A0">
            <w:pPr>
              <w:pStyle w:val="TableText"/>
              <w:rPr>
                <w:szCs w:val="20"/>
              </w:rPr>
            </w:pPr>
            <w:r w:rsidRPr="002F180C">
              <w:rPr>
                <w:szCs w:val="20"/>
              </w:rPr>
              <w:t>Underground cables</w:t>
            </w:r>
          </w:p>
        </w:tc>
        <w:tc>
          <w:tcPr>
            <w:tcW w:w="2410" w:type="dxa"/>
            <w:vAlign w:val="center"/>
          </w:tcPr>
          <w:p w14:paraId="62078CF5" w14:textId="77777777" w:rsidR="005B22CF" w:rsidRPr="002F180C" w:rsidRDefault="005B22CF" w:rsidP="006E363D">
            <w:pPr>
              <w:pStyle w:val="TableText"/>
              <w:cnfStyle w:val="000000100000" w:firstRow="0" w:lastRow="0" w:firstColumn="0" w:lastColumn="0" w:oddVBand="0" w:evenVBand="0" w:oddHBand="1" w:evenHBand="0" w:firstRowFirstColumn="0" w:firstRowLastColumn="0" w:lastRowFirstColumn="0" w:lastRowLastColumn="0"/>
              <w:rPr>
                <w:szCs w:val="20"/>
              </w:rPr>
            </w:pPr>
            <w:r w:rsidRPr="002F180C">
              <w:rPr>
                <w:szCs w:val="20"/>
              </w:rPr>
              <w:t>≤1 kV</w:t>
            </w:r>
          </w:p>
        </w:tc>
        <w:tc>
          <w:tcPr>
            <w:tcW w:w="4394" w:type="dxa"/>
            <w:vAlign w:val="center"/>
          </w:tcPr>
          <w:p w14:paraId="62078CF6" w14:textId="0FDA5808" w:rsidR="005B22CF" w:rsidRPr="002F180C" w:rsidRDefault="006B34FB" w:rsidP="005B22CF">
            <w:pPr>
              <w:spacing w:before="60" w:after="6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Engineering assessment</w:t>
            </w:r>
          </w:p>
        </w:tc>
      </w:tr>
      <w:tr w:rsidR="005B22CF" w:rsidRPr="002F180C" w14:paraId="62078CFB" w14:textId="77777777" w:rsidTr="006773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2078CF8" w14:textId="77777777" w:rsidR="005B22CF" w:rsidRPr="002F180C" w:rsidRDefault="005B22CF" w:rsidP="00D726A0">
            <w:pPr>
              <w:pStyle w:val="TableText"/>
              <w:rPr>
                <w:szCs w:val="20"/>
              </w:rPr>
            </w:pPr>
          </w:p>
        </w:tc>
        <w:tc>
          <w:tcPr>
            <w:tcW w:w="2410" w:type="dxa"/>
            <w:vAlign w:val="center"/>
          </w:tcPr>
          <w:p w14:paraId="62078CF9" w14:textId="77777777" w:rsidR="005B22CF" w:rsidRPr="002F180C" w:rsidRDefault="005B22CF" w:rsidP="006E363D">
            <w:pPr>
              <w:pStyle w:val="TableText"/>
              <w:cnfStyle w:val="000000010000" w:firstRow="0" w:lastRow="0" w:firstColumn="0" w:lastColumn="0" w:oddVBand="0" w:evenVBand="0" w:oddHBand="0" w:evenHBand="1" w:firstRowFirstColumn="0" w:firstRowLastColumn="0" w:lastRowFirstColumn="0" w:lastRowLastColumn="0"/>
              <w:rPr>
                <w:szCs w:val="20"/>
              </w:rPr>
            </w:pPr>
            <w:r w:rsidRPr="002F180C">
              <w:rPr>
                <w:szCs w:val="20"/>
              </w:rPr>
              <w:t>&gt;1 kV and ≤22 kV</w:t>
            </w:r>
          </w:p>
        </w:tc>
        <w:tc>
          <w:tcPr>
            <w:tcW w:w="4394" w:type="dxa"/>
            <w:vAlign w:val="center"/>
          </w:tcPr>
          <w:p w14:paraId="62078CFA" w14:textId="4F6AC7FA" w:rsidR="005B22CF" w:rsidRPr="002F180C" w:rsidRDefault="009534BD" w:rsidP="005B22CF">
            <w:pPr>
              <w:spacing w:before="60" w:after="6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9534BD">
              <w:rPr>
                <w:color w:val="000000"/>
                <w:szCs w:val="20"/>
              </w:rPr>
              <w:t>Engineering assessment</w:t>
            </w:r>
          </w:p>
        </w:tc>
      </w:tr>
      <w:tr w:rsidR="005B22CF" w:rsidRPr="002F180C" w14:paraId="62078CFF" w14:textId="77777777" w:rsidTr="006773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2078CFC" w14:textId="77777777" w:rsidR="005B22CF" w:rsidRPr="002F180C" w:rsidRDefault="005B22CF" w:rsidP="00D726A0">
            <w:pPr>
              <w:pStyle w:val="TableText"/>
              <w:rPr>
                <w:szCs w:val="20"/>
              </w:rPr>
            </w:pPr>
          </w:p>
        </w:tc>
        <w:tc>
          <w:tcPr>
            <w:tcW w:w="2410" w:type="dxa"/>
            <w:vAlign w:val="center"/>
          </w:tcPr>
          <w:p w14:paraId="62078CFD" w14:textId="77777777" w:rsidR="005B22CF" w:rsidRPr="002F180C" w:rsidRDefault="005B22CF" w:rsidP="006E363D">
            <w:pPr>
              <w:pStyle w:val="TableText"/>
              <w:cnfStyle w:val="000000100000" w:firstRow="0" w:lastRow="0" w:firstColumn="0" w:lastColumn="0" w:oddVBand="0" w:evenVBand="0" w:oddHBand="1" w:evenHBand="0" w:firstRowFirstColumn="0" w:firstRowLastColumn="0" w:lastRowFirstColumn="0" w:lastRowLastColumn="0"/>
              <w:rPr>
                <w:szCs w:val="20"/>
              </w:rPr>
            </w:pPr>
            <w:r w:rsidRPr="002F180C">
              <w:rPr>
                <w:szCs w:val="20"/>
              </w:rPr>
              <w:t>&gt;22 kV and ≤66 kV</w:t>
            </w:r>
          </w:p>
        </w:tc>
        <w:tc>
          <w:tcPr>
            <w:tcW w:w="4394" w:type="dxa"/>
            <w:vAlign w:val="center"/>
          </w:tcPr>
          <w:p w14:paraId="62078CFE" w14:textId="77777777" w:rsidR="005B22CF" w:rsidRPr="002F180C" w:rsidRDefault="005B22CF" w:rsidP="005B22CF">
            <w:pPr>
              <w:spacing w:before="60" w:after="6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2F180C">
              <w:rPr>
                <w:color w:val="000000"/>
                <w:szCs w:val="20"/>
              </w:rPr>
              <w:t>EGX CBRM – 33 kV gas cables v3.0</w:t>
            </w:r>
            <w:r w:rsidRPr="002F180C">
              <w:rPr>
                <w:color w:val="000000"/>
                <w:szCs w:val="20"/>
              </w:rPr>
              <w:br/>
              <w:t>EGX CBRM – 33 kV oil filled cables v3.0</w:t>
            </w:r>
            <w:r w:rsidRPr="002F180C">
              <w:rPr>
                <w:color w:val="000000"/>
                <w:szCs w:val="20"/>
              </w:rPr>
              <w:br/>
              <w:t>EGX CBRM – 33 kV solid cables v3.0</w:t>
            </w:r>
          </w:p>
        </w:tc>
      </w:tr>
      <w:tr w:rsidR="005B22CF" w:rsidRPr="002F180C" w14:paraId="62078D03" w14:textId="77777777" w:rsidTr="006773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2078D00" w14:textId="77777777" w:rsidR="005B22CF" w:rsidRPr="002F180C" w:rsidRDefault="005B22CF" w:rsidP="00D726A0">
            <w:pPr>
              <w:pStyle w:val="TableText"/>
              <w:rPr>
                <w:szCs w:val="20"/>
              </w:rPr>
            </w:pPr>
          </w:p>
        </w:tc>
        <w:tc>
          <w:tcPr>
            <w:tcW w:w="2410" w:type="dxa"/>
            <w:vAlign w:val="center"/>
          </w:tcPr>
          <w:p w14:paraId="62078D01" w14:textId="77777777" w:rsidR="005B22CF" w:rsidRPr="002F180C" w:rsidRDefault="005B22CF" w:rsidP="006E363D">
            <w:pPr>
              <w:pStyle w:val="TableText"/>
              <w:cnfStyle w:val="000000010000" w:firstRow="0" w:lastRow="0" w:firstColumn="0" w:lastColumn="0" w:oddVBand="0" w:evenVBand="0" w:oddHBand="0" w:evenHBand="1" w:firstRowFirstColumn="0" w:firstRowLastColumn="0" w:lastRowFirstColumn="0" w:lastRowLastColumn="0"/>
              <w:rPr>
                <w:szCs w:val="20"/>
              </w:rPr>
            </w:pPr>
            <w:r w:rsidRPr="002F180C">
              <w:rPr>
                <w:szCs w:val="20"/>
              </w:rPr>
              <w:t>&gt;66 kV and ≤132 kV</w:t>
            </w:r>
          </w:p>
        </w:tc>
        <w:tc>
          <w:tcPr>
            <w:tcW w:w="4394" w:type="dxa"/>
            <w:vAlign w:val="center"/>
          </w:tcPr>
          <w:p w14:paraId="62078D02" w14:textId="77777777" w:rsidR="005B22CF" w:rsidRPr="002F180C" w:rsidRDefault="005B22CF" w:rsidP="005B22CF">
            <w:pPr>
              <w:spacing w:before="60" w:after="6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2F180C">
              <w:rPr>
                <w:color w:val="000000"/>
                <w:szCs w:val="20"/>
              </w:rPr>
              <w:t>Energex CBRM – 110 kV oil filled cables v3.0</w:t>
            </w:r>
            <w:r w:rsidRPr="002F180C">
              <w:rPr>
                <w:color w:val="000000"/>
                <w:szCs w:val="20"/>
              </w:rPr>
              <w:br/>
              <w:t>Energex CBRM – 110 kV solid cables v3.0</w:t>
            </w:r>
          </w:p>
        </w:tc>
      </w:tr>
      <w:tr w:rsidR="00F57B0E" w:rsidRPr="002F180C" w14:paraId="62078D07" w14:textId="77777777" w:rsidTr="006773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2078D04" w14:textId="77777777" w:rsidR="00F57B0E" w:rsidRPr="002F180C" w:rsidRDefault="00F57B0E" w:rsidP="00D726A0">
            <w:pPr>
              <w:pStyle w:val="TableText"/>
              <w:rPr>
                <w:szCs w:val="20"/>
              </w:rPr>
            </w:pPr>
            <w:r w:rsidRPr="002F180C">
              <w:rPr>
                <w:szCs w:val="20"/>
              </w:rPr>
              <w:t>Service lines</w:t>
            </w:r>
          </w:p>
        </w:tc>
        <w:tc>
          <w:tcPr>
            <w:tcW w:w="2410" w:type="dxa"/>
            <w:vAlign w:val="center"/>
          </w:tcPr>
          <w:p w14:paraId="62078D05" w14:textId="77777777" w:rsidR="00F57B0E" w:rsidRPr="002F180C" w:rsidRDefault="00F57B0E" w:rsidP="00D726A0">
            <w:pPr>
              <w:pStyle w:val="TableText"/>
              <w:cnfStyle w:val="000000100000" w:firstRow="0" w:lastRow="0" w:firstColumn="0" w:lastColumn="0" w:oddVBand="0" w:evenVBand="0" w:oddHBand="1" w:evenHBand="0" w:firstRowFirstColumn="0" w:firstRowLastColumn="0" w:lastRowFirstColumn="0" w:lastRowLastColumn="0"/>
              <w:rPr>
                <w:szCs w:val="20"/>
              </w:rPr>
            </w:pPr>
            <w:r w:rsidRPr="002F180C">
              <w:rPr>
                <w:szCs w:val="20"/>
              </w:rPr>
              <w:t>all</w:t>
            </w:r>
          </w:p>
        </w:tc>
        <w:tc>
          <w:tcPr>
            <w:tcW w:w="4394" w:type="dxa"/>
            <w:vAlign w:val="center"/>
          </w:tcPr>
          <w:p w14:paraId="62078D06" w14:textId="4E869B5C" w:rsidR="00F57B0E" w:rsidRPr="002F180C" w:rsidRDefault="005C534D" w:rsidP="00DC02B0">
            <w:pPr>
              <w:pStyle w:val="TableText"/>
              <w:cnfStyle w:val="000000100000" w:firstRow="0" w:lastRow="0" w:firstColumn="0" w:lastColumn="0" w:oddVBand="0" w:evenVBand="0" w:oddHBand="1" w:evenHBand="0" w:firstRowFirstColumn="0" w:firstRowLastColumn="0" w:lastRowFirstColumn="0" w:lastRowLastColumn="0"/>
              <w:rPr>
                <w:szCs w:val="20"/>
              </w:rPr>
            </w:pPr>
            <w:r>
              <w:rPr>
                <w:szCs w:val="20"/>
              </w:rPr>
              <w:t>R</w:t>
            </w:r>
            <w:r w:rsidRPr="002F180C">
              <w:rPr>
                <w:szCs w:val="20"/>
              </w:rPr>
              <w:t xml:space="preserve">egulatory </w:t>
            </w:r>
            <w:r w:rsidR="00F57B0E" w:rsidRPr="002F180C">
              <w:rPr>
                <w:szCs w:val="20"/>
              </w:rPr>
              <w:t>life</w:t>
            </w:r>
          </w:p>
        </w:tc>
      </w:tr>
      <w:tr w:rsidR="002F365D" w:rsidRPr="002F180C" w14:paraId="62078D0B" w14:textId="77777777" w:rsidTr="006773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62078D08" w14:textId="77777777" w:rsidR="002F365D" w:rsidRPr="002F180C" w:rsidRDefault="002F365D" w:rsidP="00D726A0">
            <w:pPr>
              <w:pStyle w:val="TableText"/>
              <w:rPr>
                <w:szCs w:val="20"/>
              </w:rPr>
            </w:pPr>
            <w:r w:rsidRPr="002F180C">
              <w:rPr>
                <w:szCs w:val="20"/>
              </w:rPr>
              <w:t>Transformers</w:t>
            </w:r>
          </w:p>
        </w:tc>
        <w:tc>
          <w:tcPr>
            <w:tcW w:w="2410" w:type="dxa"/>
            <w:vAlign w:val="center"/>
          </w:tcPr>
          <w:p w14:paraId="62078D09" w14:textId="77777777" w:rsidR="002F365D" w:rsidRPr="002F180C" w:rsidRDefault="002F365D" w:rsidP="00D726A0">
            <w:pPr>
              <w:pStyle w:val="TableText"/>
              <w:cnfStyle w:val="000000010000" w:firstRow="0" w:lastRow="0" w:firstColumn="0" w:lastColumn="0" w:oddVBand="0" w:evenVBand="0" w:oddHBand="0" w:evenHBand="1" w:firstRowFirstColumn="0" w:firstRowLastColumn="0" w:lastRowFirstColumn="0" w:lastRowLastColumn="0"/>
              <w:rPr>
                <w:szCs w:val="20"/>
              </w:rPr>
            </w:pPr>
            <w:r w:rsidRPr="002F180C">
              <w:rPr>
                <w:szCs w:val="20"/>
              </w:rPr>
              <w:t>pole mounted - all</w:t>
            </w:r>
          </w:p>
        </w:tc>
        <w:tc>
          <w:tcPr>
            <w:tcW w:w="4394" w:type="dxa"/>
            <w:vAlign w:val="center"/>
          </w:tcPr>
          <w:p w14:paraId="62078D0A" w14:textId="093FA7BD" w:rsidR="002F365D" w:rsidRPr="002F180C" w:rsidRDefault="002F365D" w:rsidP="00DC02B0">
            <w:pPr>
              <w:pStyle w:val="TableText"/>
              <w:cnfStyle w:val="000000010000" w:firstRow="0" w:lastRow="0" w:firstColumn="0" w:lastColumn="0" w:oddVBand="0" w:evenVBand="0" w:oddHBand="0" w:evenHBand="1" w:firstRowFirstColumn="0" w:firstRowLastColumn="0" w:lastRowFirstColumn="0" w:lastRowLastColumn="0"/>
              <w:rPr>
                <w:szCs w:val="20"/>
              </w:rPr>
            </w:pPr>
            <w:r w:rsidRPr="002F180C">
              <w:rPr>
                <w:szCs w:val="20"/>
              </w:rPr>
              <w:t>Energex CBRM - pole mounted TX v3.0</w:t>
            </w:r>
            <w:r w:rsidR="009534BD">
              <w:rPr>
                <w:szCs w:val="20"/>
              </w:rPr>
              <w:t>/</w:t>
            </w:r>
            <w:r w:rsidR="009534BD">
              <w:rPr>
                <w:color w:val="000000"/>
                <w:szCs w:val="20"/>
              </w:rPr>
              <w:t xml:space="preserve"> Engineering assessment</w:t>
            </w:r>
          </w:p>
        </w:tc>
      </w:tr>
      <w:tr w:rsidR="002F365D" w:rsidRPr="002F180C" w14:paraId="62078D0F" w14:textId="77777777" w:rsidTr="006773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2078D0C" w14:textId="77777777" w:rsidR="002F365D" w:rsidRPr="002F180C" w:rsidRDefault="002F365D" w:rsidP="00D726A0">
            <w:pPr>
              <w:pStyle w:val="TableText"/>
              <w:rPr>
                <w:szCs w:val="20"/>
              </w:rPr>
            </w:pPr>
          </w:p>
        </w:tc>
        <w:tc>
          <w:tcPr>
            <w:tcW w:w="2410" w:type="dxa"/>
            <w:vAlign w:val="center"/>
          </w:tcPr>
          <w:p w14:paraId="62078D0D" w14:textId="77777777" w:rsidR="002F365D" w:rsidRPr="002F180C" w:rsidRDefault="002F365D" w:rsidP="00D726A0">
            <w:pPr>
              <w:pStyle w:val="TableText"/>
              <w:cnfStyle w:val="000000100000" w:firstRow="0" w:lastRow="0" w:firstColumn="0" w:lastColumn="0" w:oddVBand="0" w:evenVBand="0" w:oddHBand="1" w:evenHBand="0" w:firstRowFirstColumn="0" w:firstRowLastColumn="0" w:lastRowFirstColumn="0" w:lastRowLastColumn="0"/>
              <w:rPr>
                <w:szCs w:val="20"/>
              </w:rPr>
            </w:pPr>
            <w:r w:rsidRPr="002F180C">
              <w:rPr>
                <w:szCs w:val="20"/>
              </w:rPr>
              <w:t>kiosk mounted - all</w:t>
            </w:r>
          </w:p>
        </w:tc>
        <w:tc>
          <w:tcPr>
            <w:tcW w:w="4394" w:type="dxa"/>
            <w:vAlign w:val="center"/>
          </w:tcPr>
          <w:p w14:paraId="62078D0E" w14:textId="1D02F496" w:rsidR="002F365D" w:rsidRPr="002F180C" w:rsidRDefault="002F365D" w:rsidP="00C37E6E">
            <w:pPr>
              <w:pStyle w:val="TableText"/>
              <w:cnfStyle w:val="000000100000" w:firstRow="0" w:lastRow="0" w:firstColumn="0" w:lastColumn="0" w:oddVBand="0" w:evenVBand="0" w:oddHBand="1" w:evenHBand="0" w:firstRowFirstColumn="0" w:firstRowLastColumn="0" w:lastRowFirstColumn="0" w:lastRowLastColumn="0"/>
              <w:rPr>
                <w:szCs w:val="20"/>
              </w:rPr>
            </w:pPr>
            <w:r w:rsidRPr="002F180C">
              <w:rPr>
                <w:szCs w:val="20"/>
              </w:rPr>
              <w:t xml:space="preserve">Energex CBRM - ground </w:t>
            </w:r>
            <w:r w:rsidR="00C37E6E" w:rsidRPr="002F180C">
              <w:rPr>
                <w:szCs w:val="20"/>
              </w:rPr>
              <w:t>and</w:t>
            </w:r>
            <w:r w:rsidRPr="002F180C">
              <w:rPr>
                <w:szCs w:val="20"/>
              </w:rPr>
              <w:t xml:space="preserve"> pad mounted TX v3.0</w:t>
            </w:r>
            <w:r w:rsidR="00C30FDB">
              <w:rPr>
                <w:szCs w:val="20"/>
              </w:rPr>
              <w:t xml:space="preserve"> and</w:t>
            </w:r>
            <w:r w:rsidR="009534BD">
              <w:rPr>
                <w:color w:val="000000"/>
                <w:szCs w:val="20"/>
              </w:rPr>
              <w:t xml:space="preserve"> Engineering assessment</w:t>
            </w:r>
          </w:p>
        </w:tc>
      </w:tr>
      <w:tr w:rsidR="002F365D" w:rsidRPr="002F180C" w14:paraId="62078D13" w14:textId="77777777" w:rsidTr="006773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2078D10" w14:textId="77777777" w:rsidR="002F365D" w:rsidRPr="002F180C" w:rsidRDefault="002F365D" w:rsidP="00D726A0">
            <w:pPr>
              <w:pStyle w:val="TableText"/>
              <w:rPr>
                <w:szCs w:val="20"/>
              </w:rPr>
            </w:pPr>
          </w:p>
        </w:tc>
        <w:tc>
          <w:tcPr>
            <w:tcW w:w="2410" w:type="dxa"/>
            <w:vAlign w:val="center"/>
          </w:tcPr>
          <w:p w14:paraId="62078D11" w14:textId="77777777" w:rsidR="002F365D" w:rsidRPr="002F180C" w:rsidRDefault="002F365D" w:rsidP="002F365D">
            <w:pPr>
              <w:pStyle w:val="TableText"/>
              <w:cnfStyle w:val="000000010000" w:firstRow="0" w:lastRow="0" w:firstColumn="0" w:lastColumn="0" w:oddVBand="0" w:evenVBand="0" w:oddHBand="0" w:evenHBand="1" w:firstRowFirstColumn="0" w:firstRowLastColumn="0" w:lastRowFirstColumn="0" w:lastRowLastColumn="0"/>
              <w:rPr>
                <w:szCs w:val="20"/>
              </w:rPr>
            </w:pPr>
            <w:r w:rsidRPr="002F180C">
              <w:rPr>
                <w:szCs w:val="20"/>
              </w:rPr>
              <w:t>ground indoor/outdoor chamber mounted</w:t>
            </w:r>
            <w:r w:rsidRPr="002F180C">
              <w:rPr>
                <w:szCs w:val="20"/>
              </w:rPr>
              <w:br/>
              <w:t>≤22 kV</w:t>
            </w:r>
          </w:p>
        </w:tc>
        <w:tc>
          <w:tcPr>
            <w:tcW w:w="4394" w:type="dxa"/>
            <w:vAlign w:val="center"/>
          </w:tcPr>
          <w:p w14:paraId="62078D12" w14:textId="33840D17" w:rsidR="002F365D" w:rsidRPr="002F180C" w:rsidRDefault="002F365D" w:rsidP="00AA3C4D">
            <w:pPr>
              <w:pStyle w:val="TableText"/>
              <w:cnfStyle w:val="000000010000" w:firstRow="0" w:lastRow="0" w:firstColumn="0" w:lastColumn="0" w:oddVBand="0" w:evenVBand="0" w:oddHBand="0" w:evenHBand="1" w:firstRowFirstColumn="0" w:firstRowLastColumn="0" w:lastRowFirstColumn="0" w:lastRowLastColumn="0"/>
              <w:rPr>
                <w:szCs w:val="20"/>
              </w:rPr>
            </w:pPr>
            <w:r w:rsidRPr="002F180C">
              <w:rPr>
                <w:szCs w:val="20"/>
              </w:rPr>
              <w:t xml:space="preserve">Energex CBRM - ground </w:t>
            </w:r>
            <w:r w:rsidR="00C37E6E" w:rsidRPr="002F180C">
              <w:rPr>
                <w:szCs w:val="20"/>
              </w:rPr>
              <w:t>and</w:t>
            </w:r>
            <w:r w:rsidRPr="002F180C">
              <w:rPr>
                <w:szCs w:val="20"/>
              </w:rPr>
              <w:t xml:space="preserve"> pad mounted TX v3.0</w:t>
            </w:r>
            <w:r w:rsidR="00C30FDB">
              <w:rPr>
                <w:szCs w:val="20"/>
              </w:rPr>
              <w:t xml:space="preserve"> and </w:t>
            </w:r>
            <w:r w:rsidR="009534BD">
              <w:rPr>
                <w:color w:val="000000"/>
                <w:szCs w:val="20"/>
              </w:rPr>
              <w:t>Engineering assessment</w:t>
            </w:r>
          </w:p>
        </w:tc>
      </w:tr>
      <w:tr w:rsidR="002F365D" w:rsidRPr="002F180C" w14:paraId="62078D17" w14:textId="77777777" w:rsidTr="006773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2078D14" w14:textId="77777777" w:rsidR="002F365D" w:rsidRPr="002F180C" w:rsidRDefault="002F365D" w:rsidP="00D726A0">
            <w:pPr>
              <w:pStyle w:val="TableText"/>
              <w:rPr>
                <w:szCs w:val="20"/>
              </w:rPr>
            </w:pPr>
          </w:p>
        </w:tc>
        <w:tc>
          <w:tcPr>
            <w:tcW w:w="2410" w:type="dxa"/>
            <w:vAlign w:val="center"/>
          </w:tcPr>
          <w:p w14:paraId="62078D15" w14:textId="77777777" w:rsidR="002F365D" w:rsidRPr="002F180C" w:rsidRDefault="002F365D" w:rsidP="002F365D">
            <w:pPr>
              <w:pStyle w:val="TableText"/>
              <w:cnfStyle w:val="000000100000" w:firstRow="0" w:lastRow="0" w:firstColumn="0" w:lastColumn="0" w:oddVBand="0" w:evenVBand="0" w:oddHBand="1" w:evenHBand="0" w:firstRowFirstColumn="0" w:firstRowLastColumn="0" w:lastRowFirstColumn="0" w:lastRowLastColumn="0"/>
              <w:rPr>
                <w:szCs w:val="20"/>
              </w:rPr>
            </w:pPr>
            <w:r w:rsidRPr="002F180C">
              <w:rPr>
                <w:szCs w:val="20"/>
              </w:rPr>
              <w:t>ground indoor/outdoor chamber mounted</w:t>
            </w:r>
            <w:r w:rsidRPr="002F180C">
              <w:rPr>
                <w:szCs w:val="20"/>
              </w:rPr>
              <w:br/>
              <w:t>&gt;22 kV and ≤66 kV</w:t>
            </w:r>
          </w:p>
        </w:tc>
        <w:tc>
          <w:tcPr>
            <w:tcW w:w="4394" w:type="dxa"/>
            <w:vAlign w:val="center"/>
          </w:tcPr>
          <w:p w14:paraId="62078D16" w14:textId="77777777" w:rsidR="002F365D" w:rsidRPr="002F180C" w:rsidRDefault="002F365D" w:rsidP="00DC02B0">
            <w:pPr>
              <w:pStyle w:val="TableText"/>
              <w:cnfStyle w:val="000000100000" w:firstRow="0" w:lastRow="0" w:firstColumn="0" w:lastColumn="0" w:oddVBand="0" w:evenVBand="0" w:oddHBand="1" w:evenHBand="0" w:firstRowFirstColumn="0" w:firstRowLastColumn="0" w:lastRowFirstColumn="0" w:lastRowLastColumn="0"/>
              <w:rPr>
                <w:szCs w:val="20"/>
              </w:rPr>
            </w:pPr>
            <w:r w:rsidRPr="002F180C">
              <w:rPr>
                <w:szCs w:val="20"/>
              </w:rPr>
              <w:t>EGX CBRM 33</w:t>
            </w:r>
            <w:r w:rsidR="00677320" w:rsidRPr="002F180C">
              <w:rPr>
                <w:szCs w:val="20"/>
              </w:rPr>
              <w:t> </w:t>
            </w:r>
            <w:r w:rsidRPr="002F180C">
              <w:rPr>
                <w:szCs w:val="20"/>
              </w:rPr>
              <w:t>kV TX v3.1</w:t>
            </w:r>
          </w:p>
        </w:tc>
      </w:tr>
      <w:tr w:rsidR="002F365D" w:rsidRPr="002F180C" w14:paraId="62078D1B" w14:textId="77777777" w:rsidTr="006773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2078D18" w14:textId="77777777" w:rsidR="002F365D" w:rsidRPr="002F180C" w:rsidRDefault="002F365D" w:rsidP="00D726A0">
            <w:pPr>
              <w:pStyle w:val="TableText"/>
              <w:rPr>
                <w:szCs w:val="20"/>
              </w:rPr>
            </w:pPr>
          </w:p>
        </w:tc>
        <w:tc>
          <w:tcPr>
            <w:tcW w:w="2410" w:type="dxa"/>
            <w:vAlign w:val="center"/>
          </w:tcPr>
          <w:p w14:paraId="62078D19" w14:textId="77777777" w:rsidR="002F365D" w:rsidRPr="002F180C" w:rsidRDefault="002F365D" w:rsidP="002F365D">
            <w:pPr>
              <w:pStyle w:val="TableText"/>
              <w:cnfStyle w:val="000000010000" w:firstRow="0" w:lastRow="0" w:firstColumn="0" w:lastColumn="0" w:oddVBand="0" w:evenVBand="0" w:oddHBand="0" w:evenHBand="1" w:firstRowFirstColumn="0" w:firstRowLastColumn="0" w:lastRowFirstColumn="0" w:lastRowLastColumn="0"/>
              <w:rPr>
                <w:szCs w:val="20"/>
              </w:rPr>
            </w:pPr>
            <w:r w:rsidRPr="002F180C">
              <w:rPr>
                <w:szCs w:val="20"/>
              </w:rPr>
              <w:t>ground indoor/outdoor chamber mounted</w:t>
            </w:r>
            <w:r w:rsidRPr="002F180C">
              <w:rPr>
                <w:szCs w:val="20"/>
              </w:rPr>
              <w:br/>
              <w:t>&gt;66 kV and ≤132 kV</w:t>
            </w:r>
          </w:p>
        </w:tc>
        <w:tc>
          <w:tcPr>
            <w:tcW w:w="4394" w:type="dxa"/>
            <w:vAlign w:val="center"/>
          </w:tcPr>
          <w:p w14:paraId="62078D1A" w14:textId="77777777" w:rsidR="002F365D" w:rsidRPr="002F180C" w:rsidRDefault="002F365D" w:rsidP="00DC02B0">
            <w:pPr>
              <w:pStyle w:val="TableText"/>
              <w:cnfStyle w:val="000000010000" w:firstRow="0" w:lastRow="0" w:firstColumn="0" w:lastColumn="0" w:oddVBand="0" w:evenVBand="0" w:oddHBand="0" w:evenHBand="1" w:firstRowFirstColumn="0" w:firstRowLastColumn="0" w:lastRowFirstColumn="0" w:lastRowLastColumn="0"/>
              <w:rPr>
                <w:szCs w:val="20"/>
              </w:rPr>
            </w:pPr>
            <w:r w:rsidRPr="002F180C">
              <w:rPr>
                <w:szCs w:val="20"/>
              </w:rPr>
              <w:t>EGX CBRM 110.132</w:t>
            </w:r>
            <w:r w:rsidR="00677320" w:rsidRPr="002F180C">
              <w:rPr>
                <w:szCs w:val="20"/>
              </w:rPr>
              <w:t> </w:t>
            </w:r>
            <w:r w:rsidRPr="002F180C">
              <w:rPr>
                <w:szCs w:val="20"/>
              </w:rPr>
              <w:t>kV TX v3.1</w:t>
            </w:r>
          </w:p>
        </w:tc>
      </w:tr>
      <w:tr w:rsidR="00677320" w:rsidRPr="002F180C" w14:paraId="62078D1F" w14:textId="77777777" w:rsidTr="006773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62078D1C" w14:textId="77777777" w:rsidR="00677320" w:rsidRPr="002F180C" w:rsidRDefault="00677320" w:rsidP="00D726A0">
            <w:pPr>
              <w:pStyle w:val="TableText"/>
              <w:rPr>
                <w:szCs w:val="20"/>
              </w:rPr>
            </w:pPr>
            <w:r w:rsidRPr="002F180C">
              <w:rPr>
                <w:szCs w:val="20"/>
              </w:rPr>
              <w:t>Switchgear</w:t>
            </w:r>
          </w:p>
        </w:tc>
        <w:tc>
          <w:tcPr>
            <w:tcW w:w="2410" w:type="dxa"/>
            <w:vAlign w:val="center"/>
          </w:tcPr>
          <w:p w14:paraId="62078D1D" w14:textId="77777777" w:rsidR="00677320" w:rsidRPr="002F180C" w:rsidRDefault="00677320" w:rsidP="00D726A0">
            <w:pPr>
              <w:pStyle w:val="TableText"/>
              <w:cnfStyle w:val="000000100000" w:firstRow="0" w:lastRow="0" w:firstColumn="0" w:lastColumn="0" w:oddVBand="0" w:evenVBand="0" w:oddHBand="1" w:evenHBand="0" w:firstRowFirstColumn="0" w:firstRowLastColumn="0" w:lastRowFirstColumn="0" w:lastRowLastColumn="0"/>
              <w:rPr>
                <w:szCs w:val="20"/>
              </w:rPr>
            </w:pPr>
            <w:r w:rsidRPr="002F180C">
              <w:rPr>
                <w:szCs w:val="20"/>
              </w:rPr>
              <w:t>circuit breaker</w:t>
            </w:r>
            <w:r w:rsidRPr="002F180C">
              <w:rPr>
                <w:szCs w:val="20"/>
              </w:rPr>
              <w:br/>
              <w:t>≤22 kV</w:t>
            </w:r>
          </w:p>
        </w:tc>
        <w:tc>
          <w:tcPr>
            <w:tcW w:w="4394" w:type="dxa"/>
            <w:vAlign w:val="center"/>
          </w:tcPr>
          <w:p w14:paraId="62078D1E" w14:textId="77777777" w:rsidR="00677320" w:rsidRPr="002F180C" w:rsidRDefault="00677320" w:rsidP="002F365D">
            <w:pPr>
              <w:pStyle w:val="TableText"/>
              <w:cnfStyle w:val="000000100000" w:firstRow="0" w:lastRow="0" w:firstColumn="0" w:lastColumn="0" w:oddVBand="0" w:evenVBand="0" w:oddHBand="1" w:evenHBand="0" w:firstRowFirstColumn="0" w:firstRowLastColumn="0" w:lastRowFirstColumn="0" w:lastRowLastColumn="0"/>
              <w:rPr>
                <w:szCs w:val="20"/>
              </w:rPr>
            </w:pPr>
            <w:r w:rsidRPr="002F180C">
              <w:rPr>
                <w:szCs w:val="20"/>
              </w:rPr>
              <w:t>EGX CBRM 11 kV CB v3.3</w:t>
            </w:r>
            <w:r w:rsidRPr="002F180C">
              <w:rPr>
                <w:szCs w:val="20"/>
              </w:rPr>
              <w:br/>
              <w:t>Energex CBRM - reclosers v3.0</w:t>
            </w:r>
          </w:p>
        </w:tc>
      </w:tr>
      <w:tr w:rsidR="00677320" w:rsidRPr="002F180C" w14:paraId="62078D23" w14:textId="77777777" w:rsidTr="006773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2078D20" w14:textId="77777777" w:rsidR="00677320" w:rsidRPr="002F180C" w:rsidRDefault="00677320" w:rsidP="00D726A0">
            <w:pPr>
              <w:pStyle w:val="TableText"/>
              <w:rPr>
                <w:szCs w:val="20"/>
              </w:rPr>
            </w:pPr>
          </w:p>
        </w:tc>
        <w:tc>
          <w:tcPr>
            <w:tcW w:w="2410" w:type="dxa"/>
            <w:vAlign w:val="center"/>
          </w:tcPr>
          <w:p w14:paraId="62078D21" w14:textId="77777777" w:rsidR="00677320" w:rsidRPr="002F180C" w:rsidRDefault="00677320" w:rsidP="00D726A0">
            <w:pPr>
              <w:pStyle w:val="TableText"/>
              <w:cnfStyle w:val="000000010000" w:firstRow="0" w:lastRow="0" w:firstColumn="0" w:lastColumn="0" w:oddVBand="0" w:evenVBand="0" w:oddHBand="0" w:evenHBand="1" w:firstRowFirstColumn="0" w:firstRowLastColumn="0" w:lastRowFirstColumn="0" w:lastRowLastColumn="0"/>
              <w:rPr>
                <w:szCs w:val="20"/>
              </w:rPr>
            </w:pPr>
            <w:r w:rsidRPr="002F180C">
              <w:rPr>
                <w:szCs w:val="20"/>
              </w:rPr>
              <w:t>circuit breaker</w:t>
            </w:r>
            <w:r w:rsidRPr="002F180C">
              <w:rPr>
                <w:szCs w:val="20"/>
              </w:rPr>
              <w:br/>
              <w:t>&gt;22 kV and ≤66 kV</w:t>
            </w:r>
          </w:p>
        </w:tc>
        <w:tc>
          <w:tcPr>
            <w:tcW w:w="4394" w:type="dxa"/>
            <w:vAlign w:val="center"/>
          </w:tcPr>
          <w:p w14:paraId="62078D22" w14:textId="77777777" w:rsidR="00677320" w:rsidRPr="002F180C" w:rsidRDefault="00677320" w:rsidP="00DC02B0">
            <w:pPr>
              <w:pStyle w:val="TableText"/>
              <w:cnfStyle w:val="000000010000" w:firstRow="0" w:lastRow="0" w:firstColumn="0" w:lastColumn="0" w:oddVBand="0" w:evenVBand="0" w:oddHBand="0" w:evenHBand="1" w:firstRowFirstColumn="0" w:firstRowLastColumn="0" w:lastRowFirstColumn="0" w:lastRowLastColumn="0"/>
              <w:rPr>
                <w:szCs w:val="20"/>
              </w:rPr>
            </w:pPr>
            <w:r w:rsidRPr="002F180C">
              <w:rPr>
                <w:szCs w:val="20"/>
              </w:rPr>
              <w:t>EGX CBRM 33kV CB v3.2</w:t>
            </w:r>
          </w:p>
        </w:tc>
      </w:tr>
      <w:tr w:rsidR="00677320" w:rsidRPr="002F180C" w14:paraId="62078D27" w14:textId="77777777" w:rsidTr="006773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2078D24" w14:textId="77777777" w:rsidR="00677320" w:rsidRPr="002F180C" w:rsidRDefault="00677320" w:rsidP="00D726A0">
            <w:pPr>
              <w:pStyle w:val="TableText"/>
              <w:rPr>
                <w:szCs w:val="20"/>
              </w:rPr>
            </w:pPr>
          </w:p>
        </w:tc>
        <w:tc>
          <w:tcPr>
            <w:tcW w:w="2410" w:type="dxa"/>
            <w:vAlign w:val="center"/>
          </w:tcPr>
          <w:p w14:paraId="62078D25" w14:textId="77777777" w:rsidR="00677320" w:rsidRPr="002F180C" w:rsidRDefault="00677320" w:rsidP="002F365D">
            <w:pPr>
              <w:pStyle w:val="TableText"/>
              <w:cnfStyle w:val="000000100000" w:firstRow="0" w:lastRow="0" w:firstColumn="0" w:lastColumn="0" w:oddVBand="0" w:evenVBand="0" w:oddHBand="1" w:evenHBand="0" w:firstRowFirstColumn="0" w:firstRowLastColumn="0" w:lastRowFirstColumn="0" w:lastRowLastColumn="0"/>
              <w:rPr>
                <w:szCs w:val="20"/>
              </w:rPr>
            </w:pPr>
            <w:r w:rsidRPr="002F180C">
              <w:rPr>
                <w:szCs w:val="20"/>
              </w:rPr>
              <w:t>circuit breaker</w:t>
            </w:r>
            <w:r w:rsidRPr="002F180C">
              <w:rPr>
                <w:szCs w:val="20"/>
              </w:rPr>
              <w:br/>
              <w:t>&gt;66 kV and ≤132 kV</w:t>
            </w:r>
          </w:p>
        </w:tc>
        <w:tc>
          <w:tcPr>
            <w:tcW w:w="4394" w:type="dxa"/>
            <w:vAlign w:val="center"/>
          </w:tcPr>
          <w:p w14:paraId="62078D26" w14:textId="77777777" w:rsidR="00677320" w:rsidRPr="002F180C" w:rsidRDefault="00677320" w:rsidP="00DC02B0">
            <w:pPr>
              <w:pStyle w:val="TableText"/>
              <w:cnfStyle w:val="000000100000" w:firstRow="0" w:lastRow="0" w:firstColumn="0" w:lastColumn="0" w:oddVBand="0" w:evenVBand="0" w:oddHBand="1" w:evenHBand="0" w:firstRowFirstColumn="0" w:firstRowLastColumn="0" w:lastRowFirstColumn="0" w:lastRowLastColumn="0"/>
              <w:rPr>
                <w:szCs w:val="20"/>
              </w:rPr>
            </w:pPr>
            <w:r w:rsidRPr="002F180C">
              <w:rPr>
                <w:szCs w:val="20"/>
              </w:rPr>
              <w:t>EGX CBRM 110.132kV CB v3.1</w:t>
            </w:r>
          </w:p>
        </w:tc>
      </w:tr>
      <w:tr w:rsidR="00677320" w:rsidRPr="002F180C" w14:paraId="62078D2B" w14:textId="77777777" w:rsidTr="006773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2078D28" w14:textId="77777777" w:rsidR="00677320" w:rsidRPr="002F180C" w:rsidRDefault="00677320" w:rsidP="00D726A0">
            <w:pPr>
              <w:pStyle w:val="TableText"/>
              <w:rPr>
                <w:szCs w:val="20"/>
              </w:rPr>
            </w:pPr>
          </w:p>
        </w:tc>
        <w:tc>
          <w:tcPr>
            <w:tcW w:w="2410" w:type="dxa"/>
            <w:vAlign w:val="center"/>
          </w:tcPr>
          <w:p w14:paraId="62078D29" w14:textId="77777777" w:rsidR="00677320" w:rsidRPr="002F180C" w:rsidRDefault="00677320" w:rsidP="00D726A0">
            <w:pPr>
              <w:pStyle w:val="TableText"/>
              <w:cnfStyle w:val="000000010000" w:firstRow="0" w:lastRow="0" w:firstColumn="0" w:lastColumn="0" w:oddVBand="0" w:evenVBand="0" w:oddHBand="0" w:evenHBand="1" w:firstRowFirstColumn="0" w:firstRowLastColumn="0" w:lastRowFirstColumn="0" w:lastRowLastColumn="0"/>
              <w:rPr>
                <w:szCs w:val="20"/>
              </w:rPr>
            </w:pPr>
            <w:r w:rsidRPr="002F180C">
              <w:rPr>
                <w:szCs w:val="20"/>
              </w:rPr>
              <w:t>operational switch</w:t>
            </w:r>
            <w:r w:rsidRPr="002F180C">
              <w:rPr>
                <w:szCs w:val="20"/>
              </w:rPr>
              <w:br/>
              <w:t>≤22 kV</w:t>
            </w:r>
          </w:p>
        </w:tc>
        <w:tc>
          <w:tcPr>
            <w:tcW w:w="4394" w:type="dxa"/>
            <w:vAlign w:val="center"/>
          </w:tcPr>
          <w:p w14:paraId="62078D2A" w14:textId="2BE8F929" w:rsidR="00677320" w:rsidRPr="002F180C" w:rsidRDefault="00677320" w:rsidP="00AA3C4D">
            <w:pPr>
              <w:pStyle w:val="TableText"/>
              <w:cnfStyle w:val="000000010000" w:firstRow="0" w:lastRow="0" w:firstColumn="0" w:lastColumn="0" w:oddVBand="0" w:evenVBand="0" w:oddHBand="0" w:evenHBand="1" w:firstRowFirstColumn="0" w:firstRowLastColumn="0" w:lastRowFirstColumn="0" w:lastRowLastColumn="0"/>
              <w:rPr>
                <w:szCs w:val="20"/>
              </w:rPr>
            </w:pPr>
            <w:r w:rsidRPr="002F180C">
              <w:rPr>
                <w:szCs w:val="20"/>
              </w:rPr>
              <w:t>Energex CBRM - sectionalisers v3.0</w:t>
            </w:r>
            <w:r w:rsidR="00C30FDB">
              <w:rPr>
                <w:szCs w:val="20"/>
              </w:rPr>
              <w:t xml:space="preserve"> and</w:t>
            </w:r>
            <w:r w:rsidR="009534BD">
              <w:rPr>
                <w:color w:val="000000"/>
                <w:szCs w:val="20"/>
              </w:rPr>
              <w:t xml:space="preserve"> </w:t>
            </w:r>
            <w:r w:rsidR="005C534D">
              <w:rPr>
                <w:color w:val="000000"/>
                <w:szCs w:val="20"/>
              </w:rPr>
              <w:t>e</w:t>
            </w:r>
            <w:r w:rsidR="009534BD">
              <w:rPr>
                <w:color w:val="000000"/>
                <w:szCs w:val="20"/>
              </w:rPr>
              <w:t>ngineering assessment</w:t>
            </w:r>
            <w:r w:rsidRPr="002F180C">
              <w:rPr>
                <w:szCs w:val="20"/>
              </w:rPr>
              <w:br/>
              <w:t>Energex CBRM - load transfers switches v3.0</w:t>
            </w:r>
            <w:r w:rsidR="009534BD">
              <w:rPr>
                <w:color w:val="000000"/>
                <w:szCs w:val="20"/>
              </w:rPr>
              <w:t xml:space="preserve"> </w:t>
            </w:r>
            <w:r w:rsidR="00C30FDB">
              <w:rPr>
                <w:color w:val="000000"/>
                <w:szCs w:val="20"/>
              </w:rPr>
              <w:t xml:space="preserve">and </w:t>
            </w:r>
            <w:r w:rsidR="005C534D">
              <w:rPr>
                <w:color w:val="000000"/>
                <w:szCs w:val="20"/>
              </w:rPr>
              <w:t>e</w:t>
            </w:r>
            <w:r w:rsidR="009534BD">
              <w:rPr>
                <w:color w:val="000000"/>
                <w:szCs w:val="20"/>
              </w:rPr>
              <w:t>ngineering assessment</w:t>
            </w:r>
            <w:r w:rsidRPr="002F180C">
              <w:rPr>
                <w:szCs w:val="20"/>
              </w:rPr>
              <w:br/>
              <w:t xml:space="preserve">Energex CBRM </w:t>
            </w:r>
            <w:r w:rsidR="009534BD">
              <w:rPr>
                <w:szCs w:val="20"/>
              </w:rPr>
              <w:t xml:space="preserve">– Ring main units </w:t>
            </w:r>
            <w:r w:rsidRPr="002F180C">
              <w:rPr>
                <w:szCs w:val="20"/>
              </w:rPr>
              <w:t>v3.0</w:t>
            </w:r>
            <w:r w:rsidR="009534BD">
              <w:rPr>
                <w:color w:val="000000"/>
                <w:szCs w:val="20"/>
              </w:rPr>
              <w:t xml:space="preserve"> </w:t>
            </w:r>
            <w:r w:rsidR="00C30FDB">
              <w:rPr>
                <w:color w:val="000000"/>
                <w:szCs w:val="20"/>
              </w:rPr>
              <w:t xml:space="preserve">and </w:t>
            </w:r>
            <w:r w:rsidR="005C534D">
              <w:rPr>
                <w:color w:val="000000"/>
                <w:szCs w:val="20"/>
              </w:rPr>
              <w:t>e</w:t>
            </w:r>
            <w:r w:rsidR="009534BD">
              <w:rPr>
                <w:color w:val="000000"/>
                <w:szCs w:val="20"/>
              </w:rPr>
              <w:t>ngineering assessment</w:t>
            </w:r>
            <w:r w:rsidRPr="002F180C">
              <w:rPr>
                <w:szCs w:val="20"/>
              </w:rPr>
              <w:br/>
              <w:t>Energex CBRM - Air break switches v3.0</w:t>
            </w:r>
            <w:r w:rsidR="00C30FDB">
              <w:rPr>
                <w:szCs w:val="20"/>
              </w:rPr>
              <w:t xml:space="preserve"> and</w:t>
            </w:r>
            <w:r w:rsidR="009534BD">
              <w:rPr>
                <w:color w:val="000000"/>
                <w:szCs w:val="20"/>
              </w:rPr>
              <w:t xml:space="preserve"> </w:t>
            </w:r>
            <w:r w:rsidR="005C534D">
              <w:rPr>
                <w:color w:val="000000"/>
                <w:szCs w:val="20"/>
              </w:rPr>
              <w:t>e</w:t>
            </w:r>
            <w:r w:rsidR="009534BD">
              <w:rPr>
                <w:color w:val="000000"/>
                <w:szCs w:val="20"/>
              </w:rPr>
              <w:t>ngineering assessment</w:t>
            </w:r>
          </w:p>
        </w:tc>
      </w:tr>
      <w:tr w:rsidR="00677320" w:rsidRPr="002F180C" w14:paraId="62078D2F" w14:textId="77777777" w:rsidTr="006773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2078D2C" w14:textId="77777777" w:rsidR="00677320" w:rsidRPr="002F180C" w:rsidRDefault="00677320" w:rsidP="00D726A0">
            <w:pPr>
              <w:pStyle w:val="TableText"/>
              <w:rPr>
                <w:szCs w:val="20"/>
              </w:rPr>
            </w:pPr>
          </w:p>
        </w:tc>
        <w:tc>
          <w:tcPr>
            <w:tcW w:w="2410" w:type="dxa"/>
            <w:vAlign w:val="center"/>
          </w:tcPr>
          <w:p w14:paraId="62078D2D" w14:textId="77777777" w:rsidR="00677320" w:rsidRPr="002F180C" w:rsidRDefault="00677320" w:rsidP="006E363D">
            <w:pPr>
              <w:pStyle w:val="TableText"/>
              <w:cnfStyle w:val="000000100000" w:firstRow="0" w:lastRow="0" w:firstColumn="0" w:lastColumn="0" w:oddVBand="0" w:evenVBand="0" w:oddHBand="1" w:evenHBand="0" w:firstRowFirstColumn="0" w:firstRowLastColumn="0" w:lastRowFirstColumn="0" w:lastRowLastColumn="0"/>
              <w:rPr>
                <w:szCs w:val="20"/>
              </w:rPr>
            </w:pPr>
            <w:r w:rsidRPr="002F180C">
              <w:rPr>
                <w:szCs w:val="20"/>
              </w:rPr>
              <w:t>operational switch</w:t>
            </w:r>
            <w:r w:rsidRPr="002F180C">
              <w:rPr>
                <w:szCs w:val="20"/>
              </w:rPr>
              <w:br/>
              <w:t>&gt;22 kV and ≤66 kV</w:t>
            </w:r>
          </w:p>
        </w:tc>
        <w:tc>
          <w:tcPr>
            <w:tcW w:w="4394" w:type="dxa"/>
            <w:vAlign w:val="center"/>
          </w:tcPr>
          <w:p w14:paraId="62078D2E" w14:textId="007E87C3" w:rsidR="00677320" w:rsidRPr="002F180C" w:rsidRDefault="009534BD" w:rsidP="00B51AC2">
            <w:pPr>
              <w:pStyle w:val="TableText"/>
              <w:cnfStyle w:val="000000100000" w:firstRow="0" w:lastRow="0" w:firstColumn="0" w:lastColumn="0" w:oddVBand="0" w:evenVBand="0" w:oddHBand="1" w:evenHBand="0" w:firstRowFirstColumn="0" w:firstRowLastColumn="0" w:lastRowFirstColumn="0" w:lastRowLastColumn="0"/>
              <w:rPr>
                <w:szCs w:val="20"/>
              </w:rPr>
            </w:pPr>
            <w:r>
              <w:rPr>
                <w:szCs w:val="20"/>
              </w:rPr>
              <w:t>Engineering assessment</w:t>
            </w:r>
          </w:p>
        </w:tc>
      </w:tr>
      <w:tr w:rsidR="00677320" w:rsidRPr="002F180C" w14:paraId="62078D33" w14:textId="77777777" w:rsidTr="006773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2078D30" w14:textId="77777777" w:rsidR="00677320" w:rsidRPr="002F180C" w:rsidRDefault="00677320" w:rsidP="00D726A0">
            <w:pPr>
              <w:pStyle w:val="TableText"/>
              <w:rPr>
                <w:szCs w:val="20"/>
              </w:rPr>
            </w:pPr>
          </w:p>
        </w:tc>
        <w:tc>
          <w:tcPr>
            <w:tcW w:w="2410" w:type="dxa"/>
            <w:vAlign w:val="center"/>
          </w:tcPr>
          <w:p w14:paraId="62078D31" w14:textId="77777777" w:rsidR="00677320" w:rsidRPr="002F180C" w:rsidRDefault="00677320" w:rsidP="00677320">
            <w:pPr>
              <w:pStyle w:val="TableText"/>
              <w:cnfStyle w:val="000000010000" w:firstRow="0" w:lastRow="0" w:firstColumn="0" w:lastColumn="0" w:oddVBand="0" w:evenVBand="0" w:oddHBand="0" w:evenHBand="1" w:firstRowFirstColumn="0" w:firstRowLastColumn="0" w:lastRowFirstColumn="0" w:lastRowLastColumn="0"/>
              <w:rPr>
                <w:szCs w:val="20"/>
              </w:rPr>
            </w:pPr>
            <w:r w:rsidRPr="002F180C">
              <w:rPr>
                <w:szCs w:val="20"/>
              </w:rPr>
              <w:t>operational switch</w:t>
            </w:r>
            <w:r w:rsidRPr="002F180C">
              <w:rPr>
                <w:szCs w:val="20"/>
              </w:rPr>
              <w:br/>
              <w:t>&gt;66 kV and ≤132 kV</w:t>
            </w:r>
          </w:p>
        </w:tc>
        <w:tc>
          <w:tcPr>
            <w:tcW w:w="4394" w:type="dxa"/>
            <w:vAlign w:val="center"/>
          </w:tcPr>
          <w:p w14:paraId="62078D32" w14:textId="112AF2E6" w:rsidR="00677320" w:rsidRPr="002F180C" w:rsidRDefault="00B51AC2" w:rsidP="00677320">
            <w:pPr>
              <w:pStyle w:val="TableText"/>
              <w:cnfStyle w:val="000000010000" w:firstRow="0" w:lastRow="0" w:firstColumn="0" w:lastColumn="0" w:oddVBand="0" w:evenVBand="0" w:oddHBand="0" w:evenHBand="1" w:firstRowFirstColumn="0" w:firstRowLastColumn="0" w:lastRowFirstColumn="0" w:lastRowLastColumn="0"/>
              <w:rPr>
                <w:szCs w:val="20"/>
              </w:rPr>
            </w:pPr>
            <w:r>
              <w:rPr>
                <w:szCs w:val="20"/>
              </w:rPr>
              <w:t>Engineering assessment</w:t>
            </w:r>
          </w:p>
        </w:tc>
      </w:tr>
      <w:tr w:rsidR="00677320" w:rsidRPr="002F180C" w14:paraId="62078D37" w14:textId="77777777" w:rsidTr="006773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62078D34" w14:textId="77777777" w:rsidR="00677320" w:rsidRPr="002F180C" w:rsidRDefault="00677320" w:rsidP="006E363D">
            <w:pPr>
              <w:pStyle w:val="TableText"/>
              <w:rPr>
                <w:szCs w:val="20"/>
              </w:rPr>
            </w:pPr>
            <w:r w:rsidRPr="002F180C">
              <w:rPr>
                <w:szCs w:val="20"/>
              </w:rPr>
              <w:t>Public lighting</w:t>
            </w:r>
          </w:p>
        </w:tc>
        <w:tc>
          <w:tcPr>
            <w:tcW w:w="2410" w:type="dxa"/>
            <w:vAlign w:val="center"/>
          </w:tcPr>
          <w:p w14:paraId="62078D35" w14:textId="77777777" w:rsidR="00677320" w:rsidRPr="002F180C" w:rsidRDefault="00677320" w:rsidP="00D726A0">
            <w:pPr>
              <w:pStyle w:val="TableText"/>
              <w:cnfStyle w:val="000000100000" w:firstRow="0" w:lastRow="0" w:firstColumn="0" w:lastColumn="0" w:oddVBand="0" w:evenVBand="0" w:oddHBand="1" w:evenHBand="0" w:firstRowFirstColumn="0" w:firstRowLastColumn="0" w:lastRowFirstColumn="0" w:lastRowLastColumn="0"/>
              <w:rPr>
                <w:szCs w:val="20"/>
              </w:rPr>
            </w:pPr>
            <w:r w:rsidRPr="002F180C">
              <w:rPr>
                <w:szCs w:val="20"/>
              </w:rPr>
              <w:t>luminaries</w:t>
            </w:r>
          </w:p>
        </w:tc>
        <w:tc>
          <w:tcPr>
            <w:tcW w:w="4394" w:type="dxa"/>
            <w:vAlign w:val="center"/>
          </w:tcPr>
          <w:p w14:paraId="62078D36" w14:textId="37B517BB" w:rsidR="00677320" w:rsidRPr="002F180C" w:rsidRDefault="005C534D" w:rsidP="006E363D">
            <w:pPr>
              <w:pStyle w:val="TableText"/>
              <w:cnfStyle w:val="000000100000" w:firstRow="0" w:lastRow="0" w:firstColumn="0" w:lastColumn="0" w:oddVBand="0" w:evenVBand="0" w:oddHBand="1" w:evenHBand="0" w:firstRowFirstColumn="0" w:firstRowLastColumn="0" w:lastRowFirstColumn="0" w:lastRowLastColumn="0"/>
              <w:rPr>
                <w:szCs w:val="20"/>
              </w:rPr>
            </w:pPr>
            <w:r>
              <w:rPr>
                <w:szCs w:val="20"/>
              </w:rPr>
              <w:t>M</w:t>
            </w:r>
            <w:r w:rsidRPr="002F180C">
              <w:rPr>
                <w:szCs w:val="20"/>
              </w:rPr>
              <w:t xml:space="preserve">anufacturer’s </w:t>
            </w:r>
            <w:r w:rsidR="00677320" w:rsidRPr="002F180C">
              <w:rPr>
                <w:szCs w:val="20"/>
              </w:rPr>
              <w:t>specification</w:t>
            </w:r>
          </w:p>
        </w:tc>
      </w:tr>
      <w:tr w:rsidR="00677320" w:rsidRPr="002F180C" w14:paraId="62078D3B" w14:textId="77777777" w:rsidTr="006773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2078D38" w14:textId="77777777" w:rsidR="00677320" w:rsidRPr="002F180C" w:rsidRDefault="00677320" w:rsidP="006E363D">
            <w:pPr>
              <w:pStyle w:val="TableText"/>
              <w:rPr>
                <w:szCs w:val="20"/>
              </w:rPr>
            </w:pPr>
          </w:p>
        </w:tc>
        <w:tc>
          <w:tcPr>
            <w:tcW w:w="2410" w:type="dxa"/>
            <w:vAlign w:val="center"/>
          </w:tcPr>
          <w:p w14:paraId="62078D39" w14:textId="77777777" w:rsidR="00677320" w:rsidRPr="002F180C" w:rsidRDefault="00677320" w:rsidP="00D726A0">
            <w:pPr>
              <w:pStyle w:val="TableText"/>
              <w:cnfStyle w:val="000000010000" w:firstRow="0" w:lastRow="0" w:firstColumn="0" w:lastColumn="0" w:oddVBand="0" w:evenVBand="0" w:oddHBand="0" w:evenHBand="1" w:firstRowFirstColumn="0" w:firstRowLastColumn="0" w:lastRowFirstColumn="0" w:lastRowLastColumn="0"/>
              <w:rPr>
                <w:szCs w:val="20"/>
              </w:rPr>
            </w:pPr>
            <w:r w:rsidRPr="002F180C">
              <w:rPr>
                <w:szCs w:val="20"/>
              </w:rPr>
              <w:t>brackets and poles</w:t>
            </w:r>
          </w:p>
        </w:tc>
        <w:tc>
          <w:tcPr>
            <w:tcW w:w="4394" w:type="dxa"/>
            <w:vAlign w:val="center"/>
          </w:tcPr>
          <w:p w14:paraId="62078D3A" w14:textId="395C2C6D" w:rsidR="00677320" w:rsidRPr="002F180C" w:rsidRDefault="005C534D" w:rsidP="006E363D">
            <w:pPr>
              <w:pStyle w:val="TableText"/>
              <w:cnfStyle w:val="000000010000" w:firstRow="0" w:lastRow="0" w:firstColumn="0" w:lastColumn="0" w:oddVBand="0" w:evenVBand="0" w:oddHBand="0" w:evenHBand="1" w:firstRowFirstColumn="0" w:firstRowLastColumn="0" w:lastRowFirstColumn="0" w:lastRowLastColumn="0"/>
              <w:rPr>
                <w:szCs w:val="20"/>
              </w:rPr>
            </w:pPr>
            <w:r>
              <w:rPr>
                <w:szCs w:val="20"/>
              </w:rPr>
              <w:t>N</w:t>
            </w:r>
            <w:r w:rsidRPr="002F180C">
              <w:rPr>
                <w:szCs w:val="20"/>
              </w:rPr>
              <w:t xml:space="preserve">etwork </w:t>
            </w:r>
            <w:r w:rsidR="00677320" w:rsidRPr="002F180C">
              <w:rPr>
                <w:szCs w:val="20"/>
              </w:rPr>
              <w:t>asset management documentation</w:t>
            </w:r>
          </w:p>
        </w:tc>
      </w:tr>
      <w:tr w:rsidR="00677320" w:rsidRPr="002F180C" w14:paraId="62078D3F" w14:textId="77777777" w:rsidTr="006773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2078D3C" w14:textId="77777777" w:rsidR="00677320" w:rsidRPr="002F180C" w:rsidRDefault="00677320" w:rsidP="006E363D">
            <w:pPr>
              <w:pStyle w:val="TableText"/>
              <w:rPr>
                <w:szCs w:val="20"/>
              </w:rPr>
            </w:pPr>
          </w:p>
        </w:tc>
        <w:tc>
          <w:tcPr>
            <w:tcW w:w="2410" w:type="dxa"/>
            <w:vAlign w:val="center"/>
          </w:tcPr>
          <w:p w14:paraId="62078D3D" w14:textId="77777777" w:rsidR="00677320" w:rsidRPr="002F180C" w:rsidRDefault="00677320" w:rsidP="00D726A0">
            <w:pPr>
              <w:pStyle w:val="TableText"/>
              <w:cnfStyle w:val="000000100000" w:firstRow="0" w:lastRow="0" w:firstColumn="0" w:lastColumn="0" w:oddVBand="0" w:evenVBand="0" w:oddHBand="1" w:evenHBand="0" w:firstRowFirstColumn="0" w:firstRowLastColumn="0" w:lastRowFirstColumn="0" w:lastRowLastColumn="0"/>
              <w:rPr>
                <w:szCs w:val="20"/>
              </w:rPr>
            </w:pPr>
            <w:r w:rsidRPr="002F180C">
              <w:rPr>
                <w:szCs w:val="20"/>
              </w:rPr>
              <w:t>lamps</w:t>
            </w:r>
          </w:p>
        </w:tc>
        <w:tc>
          <w:tcPr>
            <w:tcW w:w="4394" w:type="dxa"/>
            <w:vAlign w:val="center"/>
          </w:tcPr>
          <w:p w14:paraId="62078D3E" w14:textId="20211868" w:rsidR="00677320" w:rsidRPr="002F180C" w:rsidRDefault="005C534D" w:rsidP="00677320">
            <w:pPr>
              <w:spacing w:before="60" w:after="60" w:line="240" w:lineRule="auto"/>
              <w:cnfStyle w:val="000000100000" w:firstRow="0" w:lastRow="0" w:firstColumn="0" w:lastColumn="0" w:oddVBand="0" w:evenVBand="0" w:oddHBand="1" w:evenHBand="0" w:firstRowFirstColumn="0" w:firstRowLastColumn="0" w:lastRowFirstColumn="0" w:lastRowLastColumn="0"/>
              <w:rPr>
                <w:szCs w:val="20"/>
              </w:rPr>
            </w:pPr>
            <w:r>
              <w:rPr>
                <w:color w:val="000000"/>
                <w:szCs w:val="20"/>
              </w:rPr>
              <w:t>P</w:t>
            </w:r>
            <w:r w:rsidRPr="002F180C">
              <w:rPr>
                <w:color w:val="000000"/>
                <w:szCs w:val="20"/>
              </w:rPr>
              <w:t xml:space="preserve">ublic </w:t>
            </w:r>
            <w:r w:rsidR="00677320" w:rsidRPr="002F180C">
              <w:rPr>
                <w:color w:val="000000"/>
                <w:szCs w:val="20"/>
              </w:rPr>
              <w:t>lighting maintenance contract and customer billing data</w:t>
            </w:r>
          </w:p>
        </w:tc>
      </w:tr>
      <w:tr w:rsidR="00677320" w:rsidRPr="002F180C" w14:paraId="62078D43" w14:textId="77777777" w:rsidTr="006773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2078D40" w14:textId="77777777" w:rsidR="00677320" w:rsidRPr="002F180C" w:rsidRDefault="00677320" w:rsidP="006E363D">
            <w:pPr>
              <w:pStyle w:val="TableText"/>
              <w:rPr>
                <w:szCs w:val="20"/>
              </w:rPr>
            </w:pPr>
            <w:r w:rsidRPr="002F180C">
              <w:rPr>
                <w:szCs w:val="20"/>
              </w:rPr>
              <w:t xml:space="preserve">SCADA network control </w:t>
            </w:r>
            <w:r w:rsidR="00F27F8B" w:rsidRPr="002F180C">
              <w:rPr>
                <w:szCs w:val="20"/>
              </w:rPr>
              <w:t>and</w:t>
            </w:r>
            <w:r w:rsidRPr="002F180C">
              <w:rPr>
                <w:szCs w:val="20"/>
              </w:rPr>
              <w:t xml:space="preserve"> protection systems</w:t>
            </w:r>
          </w:p>
        </w:tc>
        <w:tc>
          <w:tcPr>
            <w:tcW w:w="2410" w:type="dxa"/>
            <w:vAlign w:val="center"/>
          </w:tcPr>
          <w:p w14:paraId="62078D41" w14:textId="77777777" w:rsidR="00677320" w:rsidRPr="002F180C" w:rsidRDefault="00677320" w:rsidP="00D726A0">
            <w:pPr>
              <w:pStyle w:val="TableText"/>
              <w:cnfStyle w:val="000000010000" w:firstRow="0" w:lastRow="0" w:firstColumn="0" w:lastColumn="0" w:oddVBand="0" w:evenVBand="0" w:oddHBand="0" w:evenHBand="1" w:firstRowFirstColumn="0" w:firstRowLastColumn="0" w:lastRowFirstColumn="0" w:lastRowLastColumn="0"/>
              <w:rPr>
                <w:szCs w:val="20"/>
              </w:rPr>
            </w:pPr>
            <w:r w:rsidRPr="002F180C">
              <w:rPr>
                <w:szCs w:val="20"/>
              </w:rPr>
              <w:t>all</w:t>
            </w:r>
          </w:p>
        </w:tc>
        <w:tc>
          <w:tcPr>
            <w:tcW w:w="4394" w:type="dxa"/>
            <w:vAlign w:val="center"/>
          </w:tcPr>
          <w:p w14:paraId="62078D42" w14:textId="3BA44795" w:rsidR="00677320" w:rsidRPr="002F180C" w:rsidRDefault="005C534D">
            <w:pPr>
              <w:spacing w:before="60" w:after="60" w:line="240" w:lineRule="auto"/>
              <w:cnfStyle w:val="000000010000" w:firstRow="0" w:lastRow="0" w:firstColumn="0" w:lastColumn="0" w:oddVBand="0" w:evenVBand="0" w:oddHBand="0" w:evenHBand="1" w:firstRowFirstColumn="0" w:firstRowLastColumn="0" w:lastRowFirstColumn="0" w:lastRowLastColumn="0"/>
              <w:rPr>
                <w:szCs w:val="20"/>
              </w:rPr>
            </w:pPr>
            <w:r>
              <w:rPr>
                <w:color w:val="000000"/>
                <w:szCs w:val="20"/>
              </w:rPr>
              <w:t>E</w:t>
            </w:r>
            <w:r w:rsidRPr="002F180C">
              <w:rPr>
                <w:color w:val="000000"/>
                <w:szCs w:val="20"/>
              </w:rPr>
              <w:t xml:space="preserve">ngineering </w:t>
            </w:r>
            <w:r w:rsidR="00677320" w:rsidRPr="002F180C">
              <w:rPr>
                <w:color w:val="000000"/>
                <w:szCs w:val="20"/>
              </w:rPr>
              <w:t>assessments</w:t>
            </w:r>
          </w:p>
        </w:tc>
      </w:tr>
    </w:tbl>
    <w:p w14:paraId="62078D44" w14:textId="77777777" w:rsidR="00FB28E6" w:rsidRDefault="00FB28E6" w:rsidP="00FB28E6">
      <w:pPr>
        <w:pStyle w:val="Heading3"/>
      </w:pPr>
      <w:bookmarkStart w:id="91" w:name="_Ref390348948"/>
      <w:bookmarkStart w:id="92" w:name="_Toc394570312"/>
      <w:bookmarkStart w:id="93" w:name="_Toc394571482"/>
      <w:bookmarkStart w:id="94" w:name="_Toc397097257"/>
      <w:r>
        <w:t>Methodology</w:t>
      </w:r>
      <w:bookmarkEnd w:id="91"/>
      <w:bookmarkEnd w:id="92"/>
      <w:bookmarkEnd w:id="93"/>
      <w:bookmarkEnd w:id="94"/>
    </w:p>
    <w:p w14:paraId="7A61EDAE" w14:textId="285B0149" w:rsidR="00435485" w:rsidRDefault="003A68D6" w:rsidP="0080705E">
      <w:r w:rsidRPr="0056359C">
        <w:t xml:space="preserve">For all assets modelled using </w:t>
      </w:r>
      <w:r w:rsidR="00B251AE">
        <w:t>a</w:t>
      </w:r>
      <w:r w:rsidRPr="0056359C">
        <w:t xml:space="preserve"> </w:t>
      </w:r>
      <w:r w:rsidR="002A4FCD">
        <w:t>CBRM</w:t>
      </w:r>
      <w:r w:rsidR="00FB28E6" w:rsidRPr="0056359C">
        <w:t xml:space="preserve"> </w:t>
      </w:r>
      <w:r w:rsidRPr="0056359C">
        <w:t xml:space="preserve">model, the mean life was extracted from the CBRM </w:t>
      </w:r>
      <w:r w:rsidR="00C42841">
        <w:t>model</w:t>
      </w:r>
      <w:r w:rsidR="003E5973">
        <w:t>.</w:t>
      </w:r>
      <w:r w:rsidR="00B02233" w:rsidRPr="00B02233">
        <w:t xml:space="preserve"> </w:t>
      </w:r>
    </w:p>
    <w:p w14:paraId="2CE2FE67" w14:textId="5DD6299C" w:rsidR="00CD2D94" w:rsidRDefault="00B02233" w:rsidP="0080705E">
      <w:r w:rsidRPr="00B02233">
        <w:t xml:space="preserve">CBRM enables asset lives to be expressed based on attributes of assets combined with </w:t>
      </w:r>
      <w:r w:rsidR="003E5973">
        <w:t>the</w:t>
      </w:r>
      <w:r>
        <w:t xml:space="preserve"> </w:t>
      </w:r>
      <w:r w:rsidR="00435485">
        <w:t>operating environment and condition assessment data</w:t>
      </w:r>
      <w:r w:rsidRPr="00B02233">
        <w:t>. The input values used in the CBRM models were</w:t>
      </w:r>
      <w:r>
        <w:t xml:space="preserve"> </w:t>
      </w:r>
      <w:r w:rsidRPr="00B02233">
        <w:t>developed through workshops with key stakeholders taking account of factors such as</w:t>
      </w:r>
      <w:r>
        <w:t xml:space="preserve"> </w:t>
      </w:r>
      <w:r w:rsidRPr="00B02233">
        <w:t>original specification, manufacturer, operational experience, obsolescence, maintenance</w:t>
      </w:r>
      <w:r>
        <w:t xml:space="preserve"> </w:t>
      </w:r>
      <w:r w:rsidRPr="00B02233">
        <w:t>issues and operating condi</w:t>
      </w:r>
      <w:r w:rsidR="00E33C81">
        <w:t xml:space="preserve">tions </w:t>
      </w:r>
      <w:r w:rsidR="005313C6">
        <w:t xml:space="preserve">such as </w:t>
      </w:r>
      <w:r w:rsidR="00E33C81">
        <w:t>duty</w:t>
      </w:r>
      <w:r w:rsidR="005313C6">
        <w:t xml:space="preserve"> or</w:t>
      </w:r>
      <w:r w:rsidR="00E33C81">
        <w:t xml:space="preserve"> proximity to coast</w:t>
      </w:r>
      <w:r w:rsidRPr="00B02233">
        <w:t xml:space="preserve">. </w:t>
      </w:r>
    </w:p>
    <w:p w14:paraId="62078D45" w14:textId="7332B80B" w:rsidR="003A68D6" w:rsidRPr="0056359C" w:rsidRDefault="00CD2D94" w:rsidP="0080705E">
      <w:r>
        <w:t xml:space="preserve">The </w:t>
      </w:r>
      <w:r w:rsidR="00B02233" w:rsidRPr="00B02233">
        <w:t xml:space="preserve">values for </w:t>
      </w:r>
      <w:r w:rsidR="003E5973">
        <w:t xml:space="preserve">the </w:t>
      </w:r>
      <w:r w:rsidR="00B02233" w:rsidRPr="00B02233">
        <w:t>average</w:t>
      </w:r>
      <w:r w:rsidR="00B02233">
        <w:t xml:space="preserve"> </w:t>
      </w:r>
      <w:r w:rsidR="00B02233" w:rsidRPr="00B02233">
        <w:t>asset liv</w:t>
      </w:r>
      <w:r>
        <w:t xml:space="preserve">es used in </w:t>
      </w:r>
      <w:r w:rsidR="005C534D">
        <w:t xml:space="preserve">the </w:t>
      </w:r>
      <w:r>
        <w:t>CBRM model</w:t>
      </w:r>
      <w:r w:rsidR="005C534D">
        <w:t>s</w:t>
      </w:r>
      <w:r>
        <w:t xml:space="preserve"> </w:t>
      </w:r>
      <w:r w:rsidR="00B02233" w:rsidRPr="00B02233">
        <w:t>are calibrated</w:t>
      </w:r>
      <w:r w:rsidR="00B02233">
        <w:t xml:space="preserve"> </w:t>
      </w:r>
      <w:r w:rsidR="00B02233" w:rsidRPr="00B02233">
        <w:t xml:space="preserve">against historic asset failures and </w:t>
      </w:r>
      <w:r w:rsidR="00B02233">
        <w:t>r</w:t>
      </w:r>
      <w:r w:rsidR="00B02233" w:rsidRPr="00B02233">
        <w:t>eplacements.</w:t>
      </w:r>
      <w:r w:rsidR="00B02233">
        <w:t xml:space="preserve"> </w:t>
      </w:r>
      <w:r w:rsidR="00C42841">
        <w:t>T</w:t>
      </w:r>
      <w:r w:rsidR="003A68D6" w:rsidRPr="0056359C">
        <w:t>he standard deviation is approximated by the square root of the mean</w:t>
      </w:r>
      <w:r w:rsidR="003A68D6" w:rsidRPr="0056359C">
        <w:rPr>
          <w:vertAlign w:val="superscript"/>
        </w:rPr>
        <w:footnoteReference w:id="4"/>
      </w:r>
      <w:r w:rsidR="003A68D6" w:rsidRPr="0056359C">
        <w:t>.</w:t>
      </w:r>
    </w:p>
    <w:p w14:paraId="62078D46" w14:textId="1752CE8B" w:rsidR="00FB28E6" w:rsidRDefault="003A68D6" w:rsidP="0080705E">
      <w:r w:rsidRPr="0056359C">
        <w:t xml:space="preserve">For assets not modelled using CBRM, engineering assessment using other techniques </w:t>
      </w:r>
      <w:r w:rsidR="005C534D">
        <w:t>were</w:t>
      </w:r>
      <w:r w:rsidR="005C534D" w:rsidRPr="0056359C">
        <w:t xml:space="preserve"> </w:t>
      </w:r>
      <w:r w:rsidRPr="0056359C">
        <w:t>undertaken. The</w:t>
      </w:r>
      <w:r w:rsidR="00B02233">
        <w:t>se</w:t>
      </w:r>
      <w:r w:rsidRPr="0056359C">
        <w:t xml:space="preserve"> assessments included review</w:t>
      </w:r>
      <w:r w:rsidR="00C42841">
        <w:t>s</w:t>
      </w:r>
      <w:r w:rsidRPr="0056359C">
        <w:t xml:space="preserve"> of </w:t>
      </w:r>
      <w:r w:rsidR="00B77477">
        <w:t>actual asset age extracted from ass</w:t>
      </w:r>
      <w:r w:rsidRPr="0056359C">
        <w:t xml:space="preserve">et failure </w:t>
      </w:r>
      <w:r w:rsidR="00B77477">
        <w:t>records</w:t>
      </w:r>
      <w:r w:rsidR="00C42841">
        <w:t>, manufacturer</w:t>
      </w:r>
      <w:r w:rsidR="003E5973">
        <w:t>’s</w:t>
      </w:r>
      <w:r w:rsidR="00C42841">
        <w:t xml:space="preserve"> specification and Energex’s regulatory asset lives</w:t>
      </w:r>
      <w:r w:rsidR="00BE6BD7">
        <w:t>.</w:t>
      </w:r>
      <w:r w:rsidRPr="0056359C">
        <w:t xml:space="preserve"> The standard deviation was either calculated from the data set or approximated by the square root of the mean.</w:t>
      </w:r>
    </w:p>
    <w:p w14:paraId="62078D47" w14:textId="77777777" w:rsidR="00D147AB" w:rsidRDefault="006E363D" w:rsidP="006E363D">
      <w:pPr>
        <w:pStyle w:val="Heading3"/>
      </w:pPr>
      <w:bookmarkStart w:id="95" w:name="_Toc394570313"/>
      <w:bookmarkStart w:id="96" w:name="_Toc394571483"/>
      <w:bookmarkStart w:id="97" w:name="_Toc397097258"/>
      <w:r>
        <w:t>Assumptions</w:t>
      </w:r>
      <w:bookmarkEnd w:id="95"/>
      <w:bookmarkEnd w:id="96"/>
      <w:bookmarkEnd w:id="97"/>
    </w:p>
    <w:p w14:paraId="62078D48" w14:textId="160DB96A" w:rsidR="00C42841" w:rsidRPr="00C42841" w:rsidRDefault="00C42841" w:rsidP="00CA4811">
      <w:pPr>
        <w:pStyle w:val="AERbodytext"/>
        <w:spacing w:after="120"/>
        <w:rPr>
          <w:rFonts w:cs="Arial"/>
          <w:szCs w:val="22"/>
        </w:rPr>
      </w:pPr>
      <w:r w:rsidRPr="00C42841">
        <w:rPr>
          <w:rFonts w:cs="Arial"/>
          <w:szCs w:val="22"/>
        </w:rPr>
        <w:t xml:space="preserve">Energex applied the following assumptions to obtain </w:t>
      </w:r>
      <w:r w:rsidR="005313C6">
        <w:rPr>
          <w:rFonts w:cs="Arial"/>
          <w:szCs w:val="22"/>
        </w:rPr>
        <w:t>replacement life statistics</w:t>
      </w:r>
      <w:r w:rsidRPr="00C42841">
        <w:rPr>
          <w:rFonts w:cs="Arial"/>
          <w:szCs w:val="22"/>
        </w:rPr>
        <w:t>:</w:t>
      </w:r>
    </w:p>
    <w:p w14:paraId="62078D49" w14:textId="77777777" w:rsidR="00C42841" w:rsidRPr="00C42841" w:rsidRDefault="00C42841" w:rsidP="003E5973">
      <w:pPr>
        <w:pStyle w:val="Bullet1"/>
      </w:pPr>
      <w:r w:rsidRPr="00C42841">
        <w:t>Standard deviation of economic life is approximated by the square root of the mean</w:t>
      </w:r>
      <w:r>
        <w:t xml:space="preserve"> </w:t>
      </w:r>
      <w:r w:rsidRPr="00C42841">
        <w:t xml:space="preserve">in accordance with the </w:t>
      </w:r>
      <w:r w:rsidR="003E5973">
        <w:t>AER Replacement expenditure model handbook.</w:t>
      </w:r>
    </w:p>
    <w:p w14:paraId="62078D4A" w14:textId="77777777" w:rsidR="00C42841" w:rsidRPr="00C42841" w:rsidRDefault="00C42841" w:rsidP="003E5973">
      <w:pPr>
        <w:pStyle w:val="Bullet1"/>
      </w:pPr>
      <w:r w:rsidRPr="00C42841">
        <w:t xml:space="preserve">The economic life of </w:t>
      </w:r>
      <w:r w:rsidR="003E5973">
        <w:t>≤</w:t>
      </w:r>
      <w:r w:rsidRPr="00C42841">
        <w:t>22</w:t>
      </w:r>
      <w:r w:rsidR="003E5973">
        <w:t> </w:t>
      </w:r>
      <w:r w:rsidRPr="00C42841">
        <w:t>kV wood poles is assumed to be the same as</w:t>
      </w:r>
      <w:r w:rsidR="003E5973">
        <w:t xml:space="preserve"> </w:t>
      </w:r>
      <w:r w:rsidRPr="00C42841">
        <w:t>11</w:t>
      </w:r>
      <w:r w:rsidR="003E5973">
        <w:t> </w:t>
      </w:r>
      <w:r w:rsidRPr="00C42841">
        <w:t>kV wood</w:t>
      </w:r>
      <w:r>
        <w:t xml:space="preserve"> </w:t>
      </w:r>
      <w:r w:rsidRPr="00C42841">
        <w:t>poles</w:t>
      </w:r>
      <w:r w:rsidR="003E5973">
        <w:t>.</w:t>
      </w:r>
    </w:p>
    <w:p w14:paraId="62078D4B" w14:textId="278ED567" w:rsidR="00C42841" w:rsidRPr="00C42841" w:rsidRDefault="00C42841" w:rsidP="003E5973">
      <w:pPr>
        <w:pStyle w:val="Bullet1"/>
      </w:pPr>
      <w:r w:rsidRPr="00C42841">
        <w:t xml:space="preserve">The economic life of </w:t>
      </w:r>
      <w:r w:rsidR="00BA4D47">
        <w:t>LV</w:t>
      </w:r>
      <w:r w:rsidRPr="00C42841">
        <w:t xml:space="preserve"> steel poles is assumed to be the same as</w:t>
      </w:r>
      <w:r w:rsidR="003E5973">
        <w:t xml:space="preserve"> </w:t>
      </w:r>
      <w:r w:rsidRPr="00C42841">
        <w:t>11</w:t>
      </w:r>
      <w:r w:rsidR="003E5973">
        <w:t> </w:t>
      </w:r>
      <w:r w:rsidRPr="00C42841">
        <w:t>kV</w:t>
      </w:r>
      <w:r>
        <w:t xml:space="preserve"> </w:t>
      </w:r>
      <w:r w:rsidRPr="00C42841">
        <w:t>steel poles</w:t>
      </w:r>
    </w:p>
    <w:p w14:paraId="62078D4C" w14:textId="77777777" w:rsidR="00C42841" w:rsidRPr="00C42841" w:rsidRDefault="00C42841" w:rsidP="003E5973">
      <w:pPr>
        <w:pStyle w:val="Bullet1"/>
      </w:pPr>
      <w:r w:rsidRPr="00C42841">
        <w:t xml:space="preserve">The economic life of </w:t>
      </w:r>
      <w:r w:rsidR="00316B36">
        <w:t xml:space="preserve">single wire earth return </w:t>
      </w:r>
      <w:r w:rsidR="000B74D7">
        <w:t>(</w:t>
      </w:r>
      <w:r w:rsidRPr="00C42841">
        <w:t>SWER</w:t>
      </w:r>
      <w:r w:rsidR="000B74D7">
        <w:t>)</w:t>
      </w:r>
      <w:r w:rsidRPr="00C42841">
        <w:t xml:space="preserve"> conductor</w:t>
      </w:r>
      <w:r w:rsidR="003E5973">
        <w:t>s</w:t>
      </w:r>
      <w:r w:rsidRPr="00C42841">
        <w:t xml:space="preserve"> is assumed to be the same as</w:t>
      </w:r>
      <w:r w:rsidR="003E5973">
        <w:t xml:space="preserve"> </w:t>
      </w:r>
      <w:r w:rsidRPr="00C42841">
        <w:t>11</w:t>
      </w:r>
      <w:r w:rsidR="003E5973">
        <w:t> </w:t>
      </w:r>
      <w:r w:rsidRPr="00C42841">
        <w:t>kV</w:t>
      </w:r>
      <w:r>
        <w:t xml:space="preserve"> </w:t>
      </w:r>
      <w:r w:rsidRPr="00C42841">
        <w:t>conductor</w:t>
      </w:r>
      <w:r w:rsidR="003E5973">
        <w:t>s.</w:t>
      </w:r>
    </w:p>
    <w:p w14:paraId="62078D4D" w14:textId="2D9D853E" w:rsidR="00C42841" w:rsidRPr="00C42841" w:rsidRDefault="00C42841" w:rsidP="003E5973">
      <w:pPr>
        <w:pStyle w:val="Bullet1"/>
      </w:pPr>
      <w:r w:rsidRPr="00C42841">
        <w:t>The economic life of low</w:t>
      </w:r>
      <w:r w:rsidR="00BA4D47" w:rsidRPr="00BA4D47">
        <w:t xml:space="preserve"> </w:t>
      </w:r>
      <w:r w:rsidR="00BA4D47">
        <w:t>LV</w:t>
      </w:r>
      <w:r w:rsidR="00BA4D47" w:rsidRPr="00C42841">
        <w:t xml:space="preserve"> </w:t>
      </w:r>
      <w:r w:rsidRPr="00C42841">
        <w:t>cables (</w:t>
      </w:r>
      <w:r w:rsidR="003E5973">
        <w:t>≤1 </w:t>
      </w:r>
      <w:r w:rsidRPr="00C42841">
        <w:t>kV) is assumed to be the same as</w:t>
      </w:r>
      <w:r w:rsidR="003E5973">
        <w:t xml:space="preserve"> </w:t>
      </w:r>
      <w:r w:rsidRPr="00C42841">
        <w:t>11</w:t>
      </w:r>
      <w:r w:rsidR="003E5973">
        <w:t> </w:t>
      </w:r>
      <w:r w:rsidRPr="00C42841">
        <w:t>kV cables</w:t>
      </w:r>
      <w:r w:rsidR="003E5973">
        <w:t>.</w:t>
      </w:r>
    </w:p>
    <w:p w14:paraId="62078D4E" w14:textId="0F0D778A" w:rsidR="00C42841" w:rsidRPr="00C42841" w:rsidRDefault="00C42841" w:rsidP="003E5973">
      <w:pPr>
        <w:pStyle w:val="Bullet1"/>
      </w:pPr>
      <w:r w:rsidRPr="00C42841">
        <w:t xml:space="preserve">The economic </w:t>
      </w:r>
      <w:r w:rsidR="0098121B" w:rsidRPr="00C42841">
        <w:t>life of poles with unknown voltage has</w:t>
      </w:r>
      <w:r w:rsidRPr="00C42841">
        <w:t xml:space="preserve"> been included</w:t>
      </w:r>
      <w:r>
        <w:t xml:space="preserve"> </w:t>
      </w:r>
      <w:r w:rsidRPr="00C42841">
        <w:t xml:space="preserve">with </w:t>
      </w:r>
      <w:r w:rsidR="00BA4D47">
        <w:t>LV</w:t>
      </w:r>
      <w:r w:rsidR="00BA4D47" w:rsidRPr="00C42841">
        <w:t xml:space="preserve"> </w:t>
      </w:r>
      <w:r w:rsidRPr="00C42841">
        <w:t>poles</w:t>
      </w:r>
      <w:r w:rsidR="00CA4811">
        <w:t>.</w:t>
      </w:r>
    </w:p>
    <w:p w14:paraId="62078D4F" w14:textId="77777777" w:rsidR="00C42841" w:rsidRPr="00C42841" w:rsidRDefault="00C42841" w:rsidP="003E5973">
      <w:pPr>
        <w:pStyle w:val="Bullet1"/>
      </w:pPr>
      <w:r w:rsidRPr="00C42841">
        <w:t>The economic life of pole mounted single phase transformers is assumed to be the</w:t>
      </w:r>
      <w:r>
        <w:t xml:space="preserve"> </w:t>
      </w:r>
      <w:r w:rsidRPr="00C42841">
        <w:t>same as multi-phase pole mounted transformers</w:t>
      </w:r>
      <w:r w:rsidR="003E5973">
        <w:t>.</w:t>
      </w:r>
    </w:p>
    <w:p w14:paraId="62078D50" w14:textId="77777777" w:rsidR="00C42841" w:rsidRPr="00C42841" w:rsidRDefault="00C42841" w:rsidP="003E5973">
      <w:pPr>
        <w:pStyle w:val="Bullet1"/>
      </w:pPr>
      <w:r w:rsidRPr="00C42841">
        <w:t>The economic li</w:t>
      </w:r>
      <w:r w:rsidR="003E5973">
        <w:t xml:space="preserve">fe of ground mounted and </w:t>
      </w:r>
      <w:r w:rsidRPr="00C42841">
        <w:t>indoor chamber mounted transformers &gt;33</w:t>
      </w:r>
      <w:r w:rsidR="003E5973">
        <w:t> </w:t>
      </w:r>
      <w:r w:rsidRPr="00C42841">
        <w:t>kV</w:t>
      </w:r>
      <w:r>
        <w:t xml:space="preserve"> </w:t>
      </w:r>
      <w:r w:rsidRPr="00C42841">
        <w:t xml:space="preserve">and </w:t>
      </w:r>
      <w:r w:rsidR="003E5973">
        <w:t>≤</w:t>
      </w:r>
      <w:r w:rsidRPr="00C42841">
        <w:t>66</w:t>
      </w:r>
      <w:r w:rsidR="003E5973">
        <w:t> </w:t>
      </w:r>
      <w:r w:rsidRPr="00C42841">
        <w:t>kV is assumed to be the same as</w:t>
      </w:r>
      <w:r w:rsidR="009202C8">
        <w:t xml:space="preserve"> </w:t>
      </w:r>
      <w:r w:rsidRPr="00C42841">
        <w:t>33</w:t>
      </w:r>
      <w:r w:rsidR="003E5973">
        <w:t xml:space="preserve"> kV ground mounted and </w:t>
      </w:r>
      <w:r w:rsidRPr="00C42841">
        <w:t>indoor chamber</w:t>
      </w:r>
      <w:r>
        <w:t xml:space="preserve"> </w:t>
      </w:r>
      <w:r w:rsidRPr="00C42841">
        <w:t>mounted transformers</w:t>
      </w:r>
      <w:r w:rsidR="003E5973">
        <w:t>.</w:t>
      </w:r>
    </w:p>
    <w:p w14:paraId="62078D51" w14:textId="77777777" w:rsidR="00C42841" w:rsidRPr="00C42841" w:rsidRDefault="00C42841" w:rsidP="003E5973">
      <w:pPr>
        <w:pStyle w:val="Bullet1"/>
      </w:pPr>
      <w:r w:rsidRPr="00C42841">
        <w:t>The economic life of &gt;11</w:t>
      </w:r>
      <w:r w:rsidR="003E5973">
        <w:t> </w:t>
      </w:r>
      <w:r w:rsidRPr="00C42841">
        <w:t xml:space="preserve">kV and </w:t>
      </w:r>
      <w:r w:rsidR="003E5973">
        <w:t>≤</w:t>
      </w:r>
      <w:r w:rsidRPr="00C42841">
        <w:t>22</w:t>
      </w:r>
      <w:r w:rsidR="003E5973">
        <w:t> </w:t>
      </w:r>
      <w:r w:rsidRPr="00C42841">
        <w:t>kV circuit breakers and switches is assumed to</w:t>
      </w:r>
      <w:r>
        <w:t xml:space="preserve"> </w:t>
      </w:r>
      <w:r w:rsidRPr="00C42841">
        <w:t>be the same as11</w:t>
      </w:r>
      <w:r w:rsidR="003E5973">
        <w:t> </w:t>
      </w:r>
      <w:r w:rsidRPr="00C42841">
        <w:t>kV circuit breakers and switches respectively</w:t>
      </w:r>
      <w:r w:rsidR="003E5973">
        <w:t>.</w:t>
      </w:r>
    </w:p>
    <w:p w14:paraId="62078D52" w14:textId="77777777" w:rsidR="00C42841" w:rsidRPr="00C42841" w:rsidRDefault="00C42841" w:rsidP="003E5973">
      <w:pPr>
        <w:pStyle w:val="Bullet1"/>
      </w:pPr>
      <w:r w:rsidRPr="00C42841">
        <w:t>The economic life of &gt;33</w:t>
      </w:r>
      <w:r w:rsidR="003E5973">
        <w:t> </w:t>
      </w:r>
      <w:r w:rsidRPr="00C42841">
        <w:t xml:space="preserve">kV and </w:t>
      </w:r>
      <w:r w:rsidR="003E5973">
        <w:t>≤</w:t>
      </w:r>
      <w:r w:rsidRPr="00C42841">
        <w:t>66</w:t>
      </w:r>
      <w:r w:rsidR="003E5973">
        <w:t> </w:t>
      </w:r>
      <w:r w:rsidRPr="00C42841">
        <w:t>kV circuit breakers and switches is assumed to</w:t>
      </w:r>
      <w:r>
        <w:t xml:space="preserve"> </w:t>
      </w:r>
      <w:r w:rsidRPr="00C42841">
        <w:t>be the same as</w:t>
      </w:r>
      <w:r w:rsidR="003E5973">
        <w:t xml:space="preserve"> </w:t>
      </w:r>
      <w:r w:rsidRPr="00C42841">
        <w:t>33</w:t>
      </w:r>
      <w:r w:rsidR="003E5973">
        <w:t> </w:t>
      </w:r>
      <w:r w:rsidRPr="00C42841">
        <w:t>kV circuit breakers and switches respectively</w:t>
      </w:r>
      <w:r w:rsidR="003E5973">
        <w:t>.</w:t>
      </w:r>
    </w:p>
    <w:p w14:paraId="62078D53" w14:textId="77777777" w:rsidR="00C42841" w:rsidRPr="0056359C" w:rsidRDefault="00C42841" w:rsidP="003E5973">
      <w:pPr>
        <w:pStyle w:val="Bullet1"/>
      </w:pPr>
      <w:r w:rsidRPr="00C42841">
        <w:t>Steel poles include steel mono poles and steel lattice towers</w:t>
      </w:r>
      <w:r w:rsidR="003E5973">
        <w:t>.</w:t>
      </w:r>
    </w:p>
    <w:p w14:paraId="5130D0FF" w14:textId="485D6488" w:rsidR="00324CA4" w:rsidRDefault="00324CA4" w:rsidP="00E71D10">
      <w:pPr>
        <w:pStyle w:val="Heading2"/>
      </w:pPr>
      <w:bookmarkStart w:id="98" w:name="_Ref396895742"/>
      <w:bookmarkStart w:id="99" w:name="_Toc397097259"/>
      <w:bookmarkStart w:id="100" w:name="_Ref391809408"/>
      <w:bookmarkStart w:id="101" w:name="_Toc394570320"/>
      <w:bookmarkStart w:id="102" w:name="_Toc394571490"/>
      <w:r>
        <w:t>Relationship to historic replacement lives</w:t>
      </w:r>
      <w:bookmarkEnd w:id="98"/>
      <w:bookmarkEnd w:id="99"/>
    </w:p>
    <w:p w14:paraId="0C714444" w14:textId="062C51D9" w:rsidR="00CB7E04" w:rsidRDefault="00CB7E04" w:rsidP="00CB7E04">
      <w:r w:rsidRPr="00B02233">
        <w:t>The</w:t>
      </w:r>
      <w:r>
        <w:t xml:space="preserve"> replacement lives used </w:t>
      </w:r>
      <w:r w:rsidRPr="00B02233">
        <w:t>were</w:t>
      </w:r>
      <w:r>
        <w:t xml:space="preserve"> </w:t>
      </w:r>
      <w:r w:rsidRPr="00B02233">
        <w:t>developed through workshops with key stakeholders, taking account of factors such as</w:t>
      </w:r>
      <w:r>
        <w:t xml:space="preserve"> </w:t>
      </w:r>
      <w:r w:rsidRPr="00B02233">
        <w:t>original specification, manufacturer, operational experience, obsolescence, maintenance</w:t>
      </w:r>
      <w:r>
        <w:t xml:space="preserve"> </w:t>
      </w:r>
      <w:r w:rsidR="001A6476">
        <w:t>issues and operating conditions</w:t>
      </w:r>
      <w:r w:rsidRPr="00B02233">
        <w:t xml:space="preserve">. </w:t>
      </w:r>
    </w:p>
    <w:p w14:paraId="5C8A265D" w14:textId="12AF9EB6" w:rsidR="00CB7E04" w:rsidRPr="0056359C" w:rsidRDefault="00CB7E04" w:rsidP="00CB7E04">
      <w:r w:rsidRPr="00B77477">
        <w:t xml:space="preserve">Therefore, the replacement life statistics for each asset group </w:t>
      </w:r>
      <w:r w:rsidR="005C534D" w:rsidRPr="00B77477">
        <w:t>ha</w:t>
      </w:r>
      <w:r w:rsidR="005C534D">
        <w:t>ve</w:t>
      </w:r>
      <w:r w:rsidR="005C534D" w:rsidRPr="00B77477">
        <w:t xml:space="preserve"> </w:t>
      </w:r>
      <w:r w:rsidRPr="00B77477">
        <w:t xml:space="preserve">a strong relationship </w:t>
      </w:r>
      <w:r w:rsidR="00F31236">
        <w:t xml:space="preserve">with </w:t>
      </w:r>
      <w:r w:rsidRPr="00B77477">
        <w:t>historical replacement lives</w:t>
      </w:r>
      <w:r>
        <w:t xml:space="preserve"> within the Energex environment.</w:t>
      </w:r>
    </w:p>
    <w:p w14:paraId="62078E5A" w14:textId="240300CE" w:rsidR="00E71D10" w:rsidRPr="00A23A11" w:rsidRDefault="001D39AF" w:rsidP="00E71D10">
      <w:pPr>
        <w:pStyle w:val="Heading2"/>
      </w:pPr>
      <w:bookmarkStart w:id="103" w:name="_Toc397097260"/>
      <w:r>
        <w:t>Views on p</w:t>
      </w:r>
      <w:r w:rsidR="00E71D10">
        <w:t>robability distribution</w:t>
      </w:r>
      <w:bookmarkEnd w:id="100"/>
      <w:bookmarkEnd w:id="101"/>
      <w:bookmarkEnd w:id="102"/>
      <w:r>
        <w:t xml:space="preserve"> used in Repex</w:t>
      </w:r>
      <w:bookmarkEnd w:id="103"/>
    </w:p>
    <w:p w14:paraId="6C37EEEE" w14:textId="60F14260" w:rsidR="00CB7E04" w:rsidRDefault="001D39AF" w:rsidP="001D39AF">
      <w:pPr>
        <w:pStyle w:val="Heading3"/>
      </w:pPr>
      <w:bookmarkStart w:id="104" w:name="_Ref396895754"/>
      <w:bookmarkStart w:id="105" w:name="_Toc397097261"/>
      <w:r>
        <w:t>Appropriateness of a normal distribution</w:t>
      </w:r>
      <w:bookmarkEnd w:id="104"/>
      <w:bookmarkEnd w:id="105"/>
    </w:p>
    <w:p w14:paraId="62078E5B" w14:textId="76685AB8" w:rsidR="00F51F58" w:rsidRDefault="00297E41" w:rsidP="005F117D">
      <w:pPr>
        <w:pStyle w:val="AERbodytext"/>
      </w:pPr>
      <w:r>
        <w:t xml:space="preserve">Due to the general nature of the </w:t>
      </w:r>
      <w:r w:rsidR="00AE3B64">
        <w:t xml:space="preserve">Repex </w:t>
      </w:r>
      <w:r>
        <w:t>model E</w:t>
      </w:r>
      <w:r w:rsidR="00E71D10">
        <w:t xml:space="preserve">nergex </w:t>
      </w:r>
      <w:r>
        <w:t xml:space="preserve">does not </w:t>
      </w:r>
      <w:r w:rsidR="00096AE5">
        <w:t xml:space="preserve">consider that there is </w:t>
      </w:r>
      <w:r>
        <w:t>any reason to depart from the normal distribution.</w:t>
      </w:r>
    </w:p>
    <w:p w14:paraId="72F33714" w14:textId="6CCCCAA1" w:rsidR="001D39AF" w:rsidRDefault="001D39AF" w:rsidP="001D39AF">
      <w:pPr>
        <w:pStyle w:val="Heading3"/>
      </w:pPr>
      <w:bookmarkStart w:id="106" w:name="_Ref396895760"/>
      <w:bookmarkStart w:id="107" w:name="_Toc397097262"/>
      <w:r>
        <w:t xml:space="preserve">Typical age when </w:t>
      </w:r>
      <w:r w:rsidR="00704C58">
        <w:t>“</w:t>
      </w:r>
      <w:r>
        <w:t>wear out</w:t>
      </w:r>
      <w:r w:rsidR="00704C58">
        <w:t>”</w:t>
      </w:r>
      <w:r>
        <w:t xml:space="preserve"> phase becomes evident</w:t>
      </w:r>
      <w:bookmarkEnd w:id="106"/>
      <w:bookmarkEnd w:id="107"/>
    </w:p>
    <w:p w14:paraId="7794E93B" w14:textId="1DA67A52" w:rsidR="001D39AF" w:rsidRDefault="00704C58" w:rsidP="001D39AF">
      <w:pPr>
        <w:pStyle w:val="AERbodytext"/>
      </w:pPr>
      <w:r>
        <w:t xml:space="preserve">Energex does not define a </w:t>
      </w:r>
      <w:r w:rsidR="009A2D81">
        <w:t>“</w:t>
      </w:r>
      <w:r>
        <w:t>wear out</w:t>
      </w:r>
      <w:r w:rsidR="009A2D81">
        <w:t>”</w:t>
      </w:r>
      <w:r>
        <w:t xml:space="preserve"> phase for any asset classes. When forecasting asset replacement requirements Energex considers a number of strategies based on</w:t>
      </w:r>
      <w:r w:rsidR="001A6476">
        <w:t xml:space="preserve"> a</w:t>
      </w:r>
      <w:r>
        <w:t xml:space="preserve"> </w:t>
      </w:r>
      <w:r w:rsidR="001A6476">
        <w:t>risk based approach that allows activities to be planned to achieve the desired levels of quality and reliability of supply, safety, and environmental performance.</w:t>
      </w:r>
    </w:p>
    <w:p w14:paraId="37352127" w14:textId="0C45AA84" w:rsidR="001A6476" w:rsidRDefault="001A6476" w:rsidP="001D39AF">
      <w:pPr>
        <w:pStyle w:val="Heading3"/>
      </w:pPr>
      <w:bookmarkStart w:id="108" w:name="_Ref396895768"/>
      <w:bookmarkStart w:id="109" w:name="_Toc397097263"/>
      <w:r>
        <w:t>Skewness of the distribution</w:t>
      </w:r>
      <w:bookmarkEnd w:id="108"/>
      <w:bookmarkEnd w:id="109"/>
    </w:p>
    <w:p w14:paraId="27FFB62D" w14:textId="1C6D444D" w:rsidR="001A6476" w:rsidRDefault="001A6476" w:rsidP="001A6476">
      <w:pPr>
        <w:pStyle w:val="AERbodytext"/>
      </w:pPr>
      <w:r>
        <w:t xml:space="preserve">Due to the general nature of the Repex model Energex does not </w:t>
      </w:r>
      <w:r w:rsidR="00096AE5">
        <w:t xml:space="preserve">consider that there is </w:t>
      </w:r>
      <w:r>
        <w:t>any reason to depart from the normal distribution</w:t>
      </w:r>
      <w:r w:rsidR="001E32DC">
        <w:t xml:space="preserve"> (i.e. by using a skewed normal distribution)</w:t>
      </w:r>
      <w:r>
        <w:t>.</w:t>
      </w:r>
    </w:p>
    <w:p w14:paraId="79CC4DE3" w14:textId="15066A7A" w:rsidR="001D39AF" w:rsidRDefault="001A6476" w:rsidP="001D39AF">
      <w:pPr>
        <w:pStyle w:val="Heading3"/>
      </w:pPr>
      <w:bookmarkStart w:id="110" w:name="_Ref396895772"/>
      <w:bookmarkStart w:id="111" w:name="_Toc397097264"/>
      <w:r>
        <w:t>Process applied to verify the parameters</w:t>
      </w:r>
      <w:bookmarkEnd w:id="110"/>
      <w:bookmarkEnd w:id="111"/>
    </w:p>
    <w:p w14:paraId="24956384" w14:textId="4DA003EA" w:rsidR="001A6476" w:rsidRDefault="00CC4897" w:rsidP="001A6476">
      <w:r w:rsidRPr="009F2F50">
        <w:t>T</w:t>
      </w:r>
      <w:r w:rsidR="00405427">
        <w:t xml:space="preserve">o verify that </w:t>
      </w:r>
      <w:r w:rsidRPr="009F2F50">
        <w:t xml:space="preserve">replacement life statistics </w:t>
      </w:r>
      <w:r w:rsidR="009F2F50">
        <w:t>against Regulatory Template 5.2 of the Reset RIN</w:t>
      </w:r>
      <w:r w:rsidRPr="009F2F50">
        <w:t xml:space="preserve"> </w:t>
      </w:r>
      <w:r w:rsidR="00405427">
        <w:t>were a reasonable estimate of the life for each asset category, Energex  conducted a</w:t>
      </w:r>
      <w:r w:rsidRPr="009F2F50">
        <w:t xml:space="preserve"> peer review</w:t>
      </w:r>
      <w:r w:rsidR="00405427">
        <w:t xml:space="preserve"> of values reported</w:t>
      </w:r>
      <w:r w:rsidRPr="009F2F50">
        <w:t xml:space="preserve"> to ensure suitability of values for the AER’s Repex model.</w:t>
      </w:r>
    </w:p>
    <w:p w14:paraId="43EDBFB1" w14:textId="19E1DDA8" w:rsidR="009F2F50" w:rsidRDefault="00405427" w:rsidP="001A6476">
      <w:r>
        <w:t xml:space="preserve">It is important to note that </w:t>
      </w:r>
      <w:r w:rsidR="009F2F50" w:rsidRPr="009F2F50">
        <w:t xml:space="preserve">Energex does not apply probability distributions when forecasting asset replacement requirements for business as usual purposes. Instead it </w:t>
      </w:r>
      <w:r w:rsidR="009F2F50" w:rsidRPr="00094F7D">
        <w:t xml:space="preserve">applies a strategic, risk based approach allowing planning activities to achieve the desired levels of quality and reliability of supply, safety, and environmental performance. </w:t>
      </w:r>
    </w:p>
    <w:p w14:paraId="1EE64D98" w14:textId="2C55FDD2" w:rsidR="00001ECD" w:rsidRPr="0056359C" w:rsidRDefault="00001ECD" w:rsidP="001A6476"/>
    <w:p w14:paraId="62078E5C" w14:textId="0EC31495" w:rsidR="002075DE" w:rsidRPr="00DA0E57" w:rsidRDefault="002075DE" w:rsidP="005F117D">
      <w:pPr>
        <w:pStyle w:val="AERbodytext"/>
      </w:pPr>
    </w:p>
    <w:p w14:paraId="62078E5D" w14:textId="77777777" w:rsidR="00254C28" w:rsidRDefault="00D85B04" w:rsidP="00D85B04">
      <w:pPr>
        <w:pStyle w:val="Heading1"/>
      </w:pPr>
      <w:bookmarkStart w:id="112" w:name="_Toc394570321"/>
      <w:bookmarkStart w:id="113" w:name="_Toc394571491"/>
      <w:bookmarkStart w:id="114" w:name="_Toc397097265"/>
      <w:r>
        <w:t>Replacement unit costs</w:t>
      </w:r>
      <w:bookmarkEnd w:id="112"/>
      <w:bookmarkEnd w:id="113"/>
      <w:bookmarkEnd w:id="114"/>
    </w:p>
    <w:p w14:paraId="2CC37513" w14:textId="616F1F82" w:rsidR="0037593B" w:rsidRDefault="0037593B" w:rsidP="0037593B">
      <w:pPr>
        <w:pStyle w:val="Heading2"/>
      </w:pPr>
      <w:bookmarkStart w:id="115" w:name="_Toc397097266"/>
      <w:r>
        <w:t>Overview</w:t>
      </w:r>
      <w:bookmarkEnd w:id="115"/>
    </w:p>
    <w:p w14:paraId="15DA6257" w14:textId="6CF9532C" w:rsidR="00DA12DA" w:rsidRDefault="00CC4897" w:rsidP="00CC4897">
      <w:pPr>
        <w:pStyle w:val="Bullet1"/>
        <w:numPr>
          <w:ilvl w:val="0"/>
          <w:numId w:val="0"/>
        </w:numPr>
      </w:pPr>
      <w:r w:rsidRPr="00B7387D">
        <w:rPr>
          <w:i/>
        </w:rPr>
        <w:t>Replacement unit costs</w:t>
      </w:r>
      <w:r>
        <w:t xml:space="preserve"> ha</w:t>
      </w:r>
      <w:r w:rsidR="00AC5CC4">
        <w:t>ve</w:t>
      </w:r>
      <w:r>
        <w:t xml:space="preserve"> not been requested by the AER </w:t>
      </w:r>
      <w:r w:rsidR="00405427">
        <w:t>through</w:t>
      </w:r>
      <w:r>
        <w:t xml:space="preserve"> the Reset RIN</w:t>
      </w:r>
      <w:r w:rsidR="00AC5CC4">
        <w:t xml:space="preserve">, </w:t>
      </w:r>
      <w:r w:rsidR="00645A2F">
        <w:t>however the</w:t>
      </w:r>
      <w:r w:rsidR="00DA12DA" w:rsidRPr="00D81D9A">
        <w:t xml:space="preserve"> </w:t>
      </w:r>
      <w:r w:rsidR="00405427">
        <w:t xml:space="preserve">AER’s </w:t>
      </w:r>
      <w:r w:rsidR="00DA12DA">
        <w:t xml:space="preserve">Repex model </w:t>
      </w:r>
      <w:r w:rsidR="00DA12DA" w:rsidRPr="00D81D9A">
        <w:t xml:space="preserve">requires </w:t>
      </w:r>
      <w:r w:rsidR="00DA12DA">
        <w:t>a</w:t>
      </w:r>
      <w:r w:rsidR="00DA12DA" w:rsidRPr="00D81D9A">
        <w:t xml:space="preserve"> </w:t>
      </w:r>
      <w:r w:rsidR="00B7387D" w:rsidRPr="00B7387D">
        <w:rPr>
          <w:i/>
        </w:rPr>
        <w:t xml:space="preserve">replacement </w:t>
      </w:r>
      <w:r w:rsidR="00DA12DA" w:rsidRPr="00B7387D">
        <w:rPr>
          <w:i/>
        </w:rPr>
        <w:t>unit cost</w:t>
      </w:r>
      <w:r w:rsidR="00DA12DA" w:rsidRPr="00D81D9A">
        <w:t xml:space="preserve"> </w:t>
      </w:r>
      <w:r w:rsidR="00DA12DA">
        <w:t>for each Asset ID specified in the Repex model.</w:t>
      </w:r>
      <w:r w:rsidR="00AC5CC4">
        <w:t xml:space="preserve"> </w:t>
      </w:r>
      <w:r w:rsidR="00405427">
        <w:t xml:space="preserve">Energex therefore discusses the derivation of replacement unit costs on the basis of </w:t>
      </w:r>
      <w:r w:rsidR="0062535C">
        <w:t xml:space="preserve">assumptions regarding how the AER will derive this information. </w:t>
      </w:r>
    </w:p>
    <w:p w14:paraId="3D8951B0" w14:textId="1BF3D34E" w:rsidR="0062535C" w:rsidRDefault="0062535C" w:rsidP="0062535C">
      <w:pPr>
        <w:pStyle w:val="Bullet1"/>
        <w:numPr>
          <w:ilvl w:val="0"/>
          <w:numId w:val="0"/>
        </w:numPr>
      </w:pPr>
      <w:r w:rsidRPr="00AA3C4D">
        <w:t xml:space="preserve">The italicised term </w:t>
      </w:r>
      <w:r>
        <w:rPr>
          <w:i/>
        </w:rPr>
        <w:t>r</w:t>
      </w:r>
      <w:r w:rsidRPr="00AA3C4D">
        <w:rPr>
          <w:i/>
        </w:rPr>
        <w:t xml:space="preserve">eplacement unit costs </w:t>
      </w:r>
      <w:r w:rsidRPr="00AA3C4D">
        <w:t>refers specifically to the unit costs derived by the AER</w:t>
      </w:r>
      <w:r>
        <w:t xml:space="preserve"> (on the basis of information provided by Energex)</w:t>
      </w:r>
      <w:r w:rsidRPr="00AA3C4D">
        <w:t xml:space="preserve"> as an input into its </w:t>
      </w:r>
      <w:r>
        <w:t xml:space="preserve">Repex </w:t>
      </w:r>
      <w:r w:rsidRPr="00AA3C4D">
        <w:t>model. This is to distinguish these costs from Energex’s project or program estimates.</w:t>
      </w:r>
    </w:p>
    <w:p w14:paraId="1949DAC8" w14:textId="5AB0A8BA" w:rsidR="0062535C" w:rsidRDefault="0062535C" w:rsidP="0062535C">
      <w:pPr>
        <w:pStyle w:val="Bullet1"/>
        <w:numPr>
          <w:ilvl w:val="0"/>
          <w:numId w:val="0"/>
        </w:numPr>
      </w:pPr>
      <w:r>
        <w:t>The derivation of asset lives is not relevant to the discussion of cost data.</w:t>
      </w:r>
    </w:p>
    <w:p w14:paraId="18E85B28" w14:textId="0E1593E2" w:rsidR="00DA12DA" w:rsidRDefault="00DA12DA" w:rsidP="00DA12DA">
      <w:pPr>
        <w:pStyle w:val="Heading3"/>
      </w:pPr>
      <w:bookmarkStart w:id="116" w:name="_Ref396895782"/>
      <w:bookmarkStart w:id="117" w:name="_Toc397097267"/>
      <w:r>
        <w:t xml:space="preserve">Methodology, data </w:t>
      </w:r>
      <w:r w:rsidR="00645A2F">
        <w:t>sources</w:t>
      </w:r>
      <w:r>
        <w:t xml:space="preserve"> and assumptions</w:t>
      </w:r>
      <w:bookmarkEnd w:id="116"/>
      <w:bookmarkEnd w:id="117"/>
    </w:p>
    <w:p w14:paraId="63CBADDC" w14:textId="27411933" w:rsidR="00DA12DA" w:rsidRDefault="00DA12DA" w:rsidP="00DA12DA">
      <w:pPr>
        <w:pStyle w:val="Bullet1"/>
        <w:numPr>
          <w:ilvl w:val="0"/>
          <w:numId w:val="0"/>
        </w:numPr>
      </w:pPr>
      <w:r>
        <w:t xml:space="preserve">Energex assumes that the AER will calculate </w:t>
      </w:r>
      <w:r w:rsidRPr="00B7387D">
        <w:rPr>
          <w:i/>
        </w:rPr>
        <w:t>replacement unit cost</w:t>
      </w:r>
      <w:r w:rsidR="005C534D">
        <w:rPr>
          <w:i/>
        </w:rPr>
        <w:t>s</w:t>
      </w:r>
      <w:r>
        <w:t xml:space="preserve"> for each asset c</w:t>
      </w:r>
      <w:r w:rsidR="00E33BA0">
        <w:t>ategory using data provided in T</w:t>
      </w:r>
      <w:r>
        <w:t>able 2.2.1 of the Reset RIN</w:t>
      </w:r>
      <w:r w:rsidR="00736948">
        <w:t xml:space="preserve"> Regulatory Template</w:t>
      </w:r>
      <w:r>
        <w:t xml:space="preserve">. Energex assumes that the </w:t>
      </w:r>
      <w:r w:rsidRPr="00B7387D">
        <w:rPr>
          <w:i/>
        </w:rPr>
        <w:t>replacement unit cost</w:t>
      </w:r>
      <w:r>
        <w:t xml:space="preserve"> </w:t>
      </w:r>
      <w:r w:rsidR="00DE54F2">
        <w:t xml:space="preserve">for the Repex model </w:t>
      </w:r>
      <w:r>
        <w:t>will be estimated by total replacement expenditure divided the total replacement volumes as per the Repex model calibration instructions</w:t>
      </w:r>
      <w:r>
        <w:rPr>
          <w:rStyle w:val="FootnoteReference"/>
        </w:rPr>
        <w:footnoteReference w:id="5"/>
      </w:r>
      <w:r>
        <w:t>.</w:t>
      </w:r>
    </w:p>
    <w:p w14:paraId="39B0AF8F" w14:textId="0C784A14" w:rsidR="00DA12DA" w:rsidRDefault="001D02E9" w:rsidP="00DA12DA">
      <w:pPr>
        <w:pStyle w:val="Heading3"/>
      </w:pPr>
      <w:bookmarkStart w:id="118" w:name="_Ref396895787"/>
      <w:bookmarkStart w:id="119" w:name="_Toc397097268"/>
      <w:r>
        <w:t>Double counting</w:t>
      </w:r>
      <w:bookmarkEnd w:id="118"/>
      <w:bookmarkEnd w:id="119"/>
    </w:p>
    <w:p w14:paraId="7172C359" w14:textId="39E1C767" w:rsidR="005552B0" w:rsidRDefault="002718E3" w:rsidP="005552B0">
      <w:r>
        <w:t>R</w:t>
      </w:r>
      <w:r w:rsidR="005552B0">
        <w:t>eplacement project expenditure was apportioned to each of the AER’s asset categories</w:t>
      </w:r>
      <w:r>
        <w:t xml:space="preserve"> based on the project material cost</w:t>
      </w:r>
      <w:r w:rsidR="005552B0">
        <w:t>. As the expenditure was apportioned from actual project expenditure the</w:t>
      </w:r>
      <w:r w:rsidR="002D5D65">
        <w:t>re was no possibility</w:t>
      </w:r>
      <w:r w:rsidR="005552B0">
        <w:t xml:space="preserve"> of double counting.</w:t>
      </w:r>
    </w:p>
    <w:p w14:paraId="4000E812" w14:textId="73ED9DF2" w:rsidR="00DA12DA" w:rsidRDefault="001D02E9" w:rsidP="00DA12DA">
      <w:pPr>
        <w:pStyle w:val="Heading3"/>
      </w:pPr>
      <w:bookmarkStart w:id="120" w:name="_Ref396895792"/>
      <w:bookmarkStart w:id="121" w:name="_Toc397097269"/>
      <w:r>
        <w:t xml:space="preserve">Variability in </w:t>
      </w:r>
      <w:r w:rsidR="00AC5CC4">
        <w:t xml:space="preserve">replacement </w:t>
      </w:r>
      <w:r>
        <w:t>unit costs</w:t>
      </w:r>
      <w:bookmarkEnd w:id="120"/>
      <w:bookmarkEnd w:id="121"/>
    </w:p>
    <w:p w14:paraId="45530182" w14:textId="3EF1015A" w:rsidR="002D5D65" w:rsidRDefault="00051AEB" w:rsidP="00051AEB">
      <w:r w:rsidRPr="00051AEB">
        <w:t xml:space="preserve">The AER requires Energex to report asset age profiles, replacement volumes and expenditure according to defined asset groups and </w:t>
      </w:r>
      <w:r w:rsidR="002D5D65" w:rsidRPr="00051AEB">
        <w:t xml:space="preserve">asset </w:t>
      </w:r>
      <w:r w:rsidRPr="00051AEB">
        <w:t>categories. As a result, there can be variation between the replacement costs of assets within the specified groups</w:t>
      </w:r>
      <w:r w:rsidR="002D5D65">
        <w:t xml:space="preserve"> which depends on the homogeneity of </w:t>
      </w:r>
      <w:r w:rsidRPr="00051AEB">
        <w:t xml:space="preserve">the assets and replacement scope of work is for a particular asset </w:t>
      </w:r>
      <w:r w:rsidR="002D5D65">
        <w:t>group</w:t>
      </w:r>
      <w:r w:rsidRPr="00051AEB">
        <w:t xml:space="preserve">. </w:t>
      </w:r>
    </w:p>
    <w:p w14:paraId="777DA509" w14:textId="4671B346" w:rsidR="00051AEB" w:rsidRPr="00051AEB" w:rsidRDefault="00051AEB" w:rsidP="00051AEB">
      <w:r w:rsidRPr="00051AEB">
        <w:t>The key asset and project</w:t>
      </w:r>
      <w:r w:rsidR="002D5D65">
        <w:t xml:space="preserve"> unit costs</w:t>
      </w:r>
      <w:r w:rsidRPr="00051AEB">
        <w:t xml:space="preserve"> affected by large variations are:</w:t>
      </w:r>
    </w:p>
    <w:p w14:paraId="2A313917" w14:textId="2903A93E" w:rsidR="00051AEB" w:rsidRPr="00051AEB" w:rsidRDefault="00051AEB" w:rsidP="00051AEB">
      <w:pPr>
        <w:pStyle w:val="Bullet1"/>
      </w:pPr>
      <w:r w:rsidRPr="00051AEB">
        <w:t>Brownfield developments, particularly power transformer projects, which have a unique scope and where costs can be driven by factors such as ground condition, site location, availability of space at site and modern equivalent assets with different footprints and functionality.</w:t>
      </w:r>
    </w:p>
    <w:p w14:paraId="3D67F3B5" w14:textId="35951E00" w:rsidR="00051AEB" w:rsidRPr="00051AEB" w:rsidRDefault="00051AEB" w:rsidP="00051AEB">
      <w:pPr>
        <w:pStyle w:val="Bullet1"/>
      </w:pPr>
      <w:r w:rsidRPr="00051AEB">
        <w:t xml:space="preserve">Pole top structures, as </w:t>
      </w:r>
      <w:r w:rsidR="002D5D65">
        <w:t>due to significant variance in</w:t>
      </w:r>
      <w:r w:rsidRPr="00051AEB">
        <w:t xml:space="preserve"> in complexity within the same asset category.</w:t>
      </w:r>
    </w:p>
    <w:p w14:paraId="57FD441D" w14:textId="473DAEA9" w:rsidR="00051AEB" w:rsidRPr="00051AEB" w:rsidRDefault="00051AEB" w:rsidP="00051AEB">
      <w:pPr>
        <w:pStyle w:val="Bullet1"/>
      </w:pPr>
      <w:r w:rsidRPr="00051AEB">
        <w:t xml:space="preserve">Where controlled substances, such as polychlorinated biphenyls (PCBs) in oil, are found causing an increase </w:t>
      </w:r>
      <w:r w:rsidR="000309CB">
        <w:t xml:space="preserve">to </w:t>
      </w:r>
      <w:r w:rsidRPr="00051AEB">
        <w:t>the cost of asset disposal.</w:t>
      </w:r>
    </w:p>
    <w:p w14:paraId="13ABA54B" w14:textId="605A0305" w:rsidR="001D02E9" w:rsidRDefault="00051AEB" w:rsidP="00051AEB">
      <w:pPr>
        <w:pStyle w:val="Bullet1"/>
      </w:pPr>
      <w:r w:rsidRPr="00051AEB">
        <w:t xml:space="preserve">Fibre Cable installation unit costs can vary significantly between projects where bundling is possible with other </w:t>
      </w:r>
      <w:r w:rsidR="00314DC1">
        <w:t>r</w:t>
      </w:r>
      <w:r w:rsidR="00314DC1" w:rsidRPr="00051AEB">
        <w:t xml:space="preserve">eplacement </w:t>
      </w:r>
      <w:r w:rsidRPr="00051AEB">
        <w:t xml:space="preserve">works (Overhead Earth Wire replacement) compared to direct installation of the cable. This can also impact many of the low cost assets replacement activities. </w:t>
      </w:r>
    </w:p>
    <w:p w14:paraId="6374B44D" w14:textId="26574DFA" w:rsidR="00DE54F2" w:rsidRDefault="00DE54F2" w:rsidP="004E6389">
      <w:pPr>
        <w:pStyle w:val="Heading3"/>
      </w:pPr>
      <w:bookmarkStart w:id="122" w:name="_Ref396895800"/>
      <w:bookmarkStart w:id="123" w:name="_Toc397097270"/>
      <w:bookmarkStart w:id="124" w:name="_Ref390622758"/>
      <w:bookmarkStart w:id="125" w:name="_Toc394570322"/>
      <w:bookmarkStart w:id="126" w:name="_Toc394571492"/>
      <w:r>
        <w:t>Relationship to historic costs</w:t>
      </w:r>
      <w:bookmarkEnd w:id="122"/>
      <w:bookmarkEnd w:id="123"/>
    </w:p>
    <w:p w14:paraId="59F59759" w14:textId="0BE8D9A7" w:rsidR="00DE54F2" w:rsidRDefault="00DE54F2" w:rsidP="00DE54F2">
      <w:pPr>
        <w:pStyle w:val="Bullet1"/>
        <w:numPr>
          <w:ilvl w:val="0"/>
          <w:numId w:val="0"/>
        </w:numPr>
      </w:pPr>
      <w:r>
        <w:t xml:space="preserve">Energex assumes that the </w:t>
      </w:r>
      <w:r w:rsidRPr="00B7387D">
        <w:rPr>
          <w:i/>
        </w:rPr>
        <w:t>replacement unit cost</w:t>
      </w:r>
      <w:r>
        <w:t xml:space="preserve"> for the Repex model will be estimated by total </w:t>
      </w:r>
      <w:r w:rsidR="0051332C">
        <w:t xml:space="preserve">historical </w:t>
      </w:r>
      <w:r>
        <w:t xml:space="preserve">replacement expenditure divided the total </w:t>
      </w:r>
      <w:r w:rsidR="003644EF">
        <w:t xml:space="preserve">historical </w:t>
      </w:r>
      <w:r>
        <w:t>replacement volumes as per the Repex model calibration instructions</w:t>
      </w:r>
      <w:r>
        <w:rPr>
          <w:rStyle w:val="FootnoteReference"/>
        </w:rPr>
        <w:footnoteReference w:id="6"/>
      </w:r>
      <w:r>
        <w:t>.</w:t>
      </w:r>
    </w:p>
    <w:p w14:paraId="6C145DE4" w14:textId="18CA426F" w:rsidR="0000531E" w:rsidRDefault="0000531E" w:rsidP="004E6389">
      <w:pPr>
        <w:pStyle w:val="Heading3"/>
      </w:pPr>
      <w:bookmarkStart w:id="127" w:name="_Ref396895806"/>
      <w:bookmarkStart w:id="128" w:name="_Toc397097271"/>
      <w:r>
        <w:t>Verification process</w:t>
      </w:r>
      <w:bookmarkEnd w:id="127"/>
      <w:bookmarkEnd w:id="128"/>
    </w:p>
    <w:p w14:paraId="244F7F10" w14:textId="3CDBBAC2" w:rsidR="0000531E" w:rsidRDefault="0000531E" w:rsidP="0000531E">
      <w:r>
        <w:t xml:space="preserve">The replacement volumes and expenditure that will be used </w:t>
      </w:r>
      <w:r w:rsidR="0051332C">
        <w:t xml:space="preserve">by the AER </w:t>
      </w:r>
      <w:r>
        <w:t xml:space="preserve">to calculate the </w:t>
      </w:r>
      <w:r w:rsidR="00B7387D" w:rsidRPr="00B7387D">
        <w:rPr>
          <w:i/>
        </w:rPr>
        <w:t xml:space="preserve">replacement </w:t>
      </w:r>
      <w:r w:rsidRPr="00B7387D">
        <w:rPr>
          <w:i/>
        </w:rPr>
        <w:t>unit cost</w:t>
      </w:r>
      <w:r>
        <w:t xml:space="preserve"> </w:t>
      </w:r>
      <w:r w:rsidR="0051332C">
        <w:t>are subject to audit under</w:t>
      </w:r>
      <w:r>
        <w:t xml:space="preserve"> the Reset RIN</w:t>
      </w:r>
      <w:r w:rsidR="0051332C">
        <w:t xml:space="preserve"> and will be</w:t>
      </w:r>
      <w:r w:rsidR="007108BE">
        <w:t xml:space="preserve"> verified through this process.</w:t>
      </w:r>
    </w:p>
    <w:p w14:paraId="55B0D350" w14:textId="4B526FDB" w:rsidR="00B7387D" w:rsidRDefault="007108BE" w:rsidP="00B7387D">
      <w:r>
        <w:t>Importantly,</w:t>
      </w:r>
      <w:r w:rsidR="00685254">
        <w:t xml:space="preserve"> Energex </w:t>
      </w:r>
      <w:r w:rsidR="002718E3">
        <w:t>does</w:t>
      </w:r>
      <w:r w:rsidR="00685254">
        <w:t xml:space="preserve"> not use the </w:t>
      </w:r>
      <w:r w:rsidR="00645A2F">
        <w:t xml:space="preserve">calculated </w:t>
      </w:r>
      <w:r w:rsidR="0051332C">
        <w:t xml:space="preserve">repex </w:t>
      </w:r>
      <w:r w:rsidR="0000531E" w:rsidRPr="00B7387D">
        <w:rPr>
          <w:i/>
        </w:rPr>
        <w:t>replacement unit costs</w:t>
      </w:r>
      <w:r w:rsidR="0000531E">
        <w:t xml:space="preserve"> as part of </w:t>
      </w:r>
      <w:r w:rsidR="002718E3">
        <w:t>its</w:t>
      </w:r>
      <w:r w:rsidR="0000531E">
        <w:t xml:space="preserve"> replacement expenditure forecast</w:t>
      </w:r>
      <w:r w:rsidR="00F43506">
        <w:t xml:space="preserve"> methodology</w:t>
      </w:r>
      <w:r w:rsidR="0000531E">
        <w:t>.</w:t>
      </w:r>
      <w:r w:rsidR="00685254">
        <w:t xml:space="preserve"> </w:t>
      </w:r>
      <w:r>
        <w:t xml:space="preserve">Instead, </w:t>
      </w:r>
      <w:r w:rsidR="00685254">
        <w:t xml:space="preserve">Energex’s replacement </w:t>
      </w:r>
      <w:r w:rsidR="001B379B">
        <w:t>program is</w:t>
      </w:r>
      <w:r w:rsidR="00685254">
        <w:t xml:space="preserve"> forecast</w:t>
      </w:r>
      <w:r w:rsidR="001B379B">
        <w:t xml:space="preserve"> based on specific asset requirements</w:t>
      </w:r>
      <w:r w:rsidR="002718E3">
        <w:t>,</w:t>
      </w:r>
      <w:r w:rsidR="00685254">
        <w:t xml:space="preserve"> costed through a </w:t>
      </w:r>
      <w:bookmarkEnd w:id="124"/>
      <w:bookmarkEnd w:id="125"/>
      <w:bookmarkEnd w:id="126"/>
      <w:r w:rsidR="00B7387D">
        <w:t xml:space="preserve">combination of comparative and standard cost estimating methodologies to underpin the estimation process for individual projects. Energex uses an estimating program that is part of the Ellipse Enterprise Resource Planning (ERP) package. </w:t>
      </w:r>
    </w:p>
    <w:p w14:paraId="1F0FD13A" w14:textId="158A3F57" w:rsidR="00B7387D" w:rsidRDefault="00B7387D" w:rsidP="00B7387D">
      <w:r>
        <w:t xml:space="preserve">Energex standard designs for substations, overhead power lines and underground cables are the building blocks used for the construction of the network. Foundation or base individual components known as compatible units (e.g. circuit breakers, busbars, units of work) are combined to form standard assemblies/estimates (e.g. transformer bays), which in turn are built up into standard network building blocks (e.g. zone substations). This approach ensures all labour, material and contract work is included in compatible units and standard estimates. Where required, a project scope is developed by selecting the appropriate building blocks or compatible units to deliver the required network solution and the project estimate is developed from the standard estimates of the associated elements. </w:t>
      </w:r>
    </w:p>
    <w:p w14:paraId="217C76BF" w14:textId="6562D020" w:rsidR="00B7387D" w:rsidRDefault="00B7387D" w:rsidP="00B7387D">
      <w:r w:rsidRPr="00AA3C4D">
        <w:t xml:space="preserve">Project estimates are </w:t>
      </w:r>
      <w:r w:rsidR="009A0B86" w:rsidRPr="00AA3C4D">
        <w:t xml:space="preserve">developed and refined </w:t>
      </w:r>
      <w:r w:rsidRPr="00AA3C4D">
        <w:t>at key stages in the planning, design and construction process</w:t>
      </w:r>
      <w:r w:rsidR="009A0B86" w:rsidRPr="00AA3C4D">
        <w:t xml:space="preserve"> the estimate of each project will be refined throughout its lifecycle</w:t>
      </w:r>
      <w:r w:rsidRPr="00AA3C4D">
        <w:t>.</w:t>
      </w:r>
      <w:r w:rsidR="009A0B86" w:rsidRPr="00AA3C4D">
        <w:t xml:space="preserve"> The key estimates used by Energex are as follows:</w:t>
      </w:r>
      <w:r w:rsidRPr="00AA3C4D">
        <w:t xml:space="preserve"> </w:t>
      </w:r>
    </w:p>
    <w:p w14:paraId="33E28441" w14:textId="3429CD85" w:rsidR="00B7387D" w:rsidRDefault="00B7387D" w:rsidP="00B7387D">
      <w:pPr>
        <w:pStyle w:val="Bullet1"/>
      </w:pPr>
      <w:r>
        <w:t xml:space="preserve">Strategic estimates represent the initial determination of what the project may cost and are prepared based on minimal scoping for the purpose of program of works prioritisation and development. </w:t>
      </w:r>
    </w:p>
    <w:p w14:paraId="487BC634" w14:textId="02376F85" w:rsidR="00B7387D" w:rsidRDefault="00B7387D" w:rsidP="00B7387D">
      <w:pPr>
        <w:pStyle w:val="Bullet1"/>
      </w:pPr>
      <w:r>
        <w:t xml:space="preserve">Preferred option estimates are produced with greater accuracy reflecting the more detailed scoping of the chosen network solution, used for prioritisation/inclusion in the program of work. This estimate is also used for RIT-D purposes. </w:t>
      </w:r>
    </w:p>
    <w:p w14:paraId="6A26F2EE" w14:textId="2F9F2765" w:rsidR="00B7387D" w:rsidRDefault="00B7387D" w:rsidP="00B7387D">
      <w:pPr>
        <w:pStyle w:val="Bullet1"/>
      </w:pPr>
      <w:r>
        <w:t xml:space="preserve">Approval estimates are developed from detailed planning analysis of individual network limitations used for formal approval of capital expenditure. Project approval estimates are used to forecast capital requirements typically in the zero to three year timeframe. </w:t>
      </w:r>
    </w:p>
    <w:p w14:paraId="709F1FA7" w14:textId="1AD7468D" w:rsidR="00B7387D" w:rsidRDefault="00B7387D" w:rsidP="00B7387D">
      <w:pPr>
        <w:pStyle w:val="Bullet1"/>
      </w:pPr>
      <w:r>
        <w:t>A Total Out-Turn Cost estimate is produced following the detailed design for an approved project.</w:t>
      </w:r>
    </w:p>
    <w:p w14:paraId="2978C93F" w14:textId="6D7EDDC0" w:rsidR="00685254" w:rsidRDefault="002718E3" w:rsidP="00B7387D">
      <w:r>
        <w:t>Once complete</w:t>
      </w:r>
      <w:r w:rsidR="00B7387D">
        <w:t>d</w:t>
      </w:r>
      <w:r>
        <w:t xml:space="preserve">, </w:t>
      </w:r>
      <w:r w:rsidR="00DD0532">
        <w:t xml:space="preserve">Energex’s </w:t>
      </w:r>
      <w:r w:rsidR="007108BE">
        <w:t xml:space="preserve">detailed </w:t>
      </w:r>
      <w:r w:rsidR="00DD0532">
        <w:t xml:space="preserve">asset replacement expenditure </w:t>
      </w:r>
      <w:r>
        <w:t xml:space="preserve">forecast </w:t>
      </w:r>
      <w:r w:rsidR="00B7387D">
        <w:t>was</w:t>
      </w:r>
      <w:r>
        <w:t xml:space="preserve"> allocated to e</w:t>
      </w:r>
      <w:r w:rsidR="009B6CBE">
        <w:t xml:space="preserve">ach of the asset categories </w:t>
      </w:r>
      <w:r w:rsidR="007108BE">
        <w:t>reported</w:t>
      </w:r>
      <w:r w:rsidR="00DD0532">
        <w:t xml:space="preserve"> in</w:t>
      </w:r>
      <w:r w:rsidR="009B6CBE">
        <w:t xml:space="preserve"> T</w:t>
      </w:r>
      <w:r>
        <w:t>able 2.2.1</w:t>
      </w:r>
      <w:r w:rsidR="00F43506">
        <w:t xml:space="preserve"> </w:t>
      </w:r>
      <w:r w:rsidR="007108BE">
        <w:t xml:space="preserve">of the </w:t>
      </w:r>
      <w:r w:rsidR="00433E13">
        <w:t>Reset RIN</w:t>
      </w:r>
      <w:r w:rsidR="007108BE">
        <w:t xml:space="preserve"> </w:t>
      </w:r>
      <w:r w:rsidR="00F43506">
        <w:t>based on material cost</w:t>
      </w:r>
      <w:r>
        <w:t>.</w:t>
      </w:r>
    </w:p>
    <w:p w14:paraId="67DF1FD0" w14:textId="1332AD28" w:rsidR="009B6CBE" w:rsidRDefault="009B6CBE" w:rsidP="002718E3">
      <w:r w:rsidRPr="009B6CBE">
        <w:t>Energex engaged AECOM to provide advice and review unit rates used</w:t>
      </w:r>
      <w:r w:rsidR="00DD0532">
        <w:t xml:space="preserve"> by Energex to</w:t>
      </w:r>
      <w:r w:rsidRPr="009B6CBE">
        <w:t xml:space="preserve"> develop the capital expenditure programs to ensure these are reasonable and reflect prudent and efficient operations (</w:t>
      </w:r>
      <w:r w:rsidR="007108BE">
        <w:t xml:space="preserve">refer to </w:t>
      </w:r>
      <w:r w:rsidRPr="009B6CBE">
        <w:t xml:space="preserve">Regulatory Proposal </w:t>
      </w:r>
      <w:r w:rsidR="007108BE">
        <w:t>A</w:t>
      </w:r>
      <w:r w:rsidR="007108BE" w:rsidRPr="009B6CBE">
        <w:t xml:space="preserve">ppendix </w:t>
      </w:r>
      <w:r w:rsidRPr="009B6CBE">
        <w:t>22).</w:t>
      </w:r>
    </w:p>
    <w:p w14:paraId="62078E7F" w14:textId="44F82DC7" w:rsidR="00A2352B" w:rsidRDefault="00A2352B" w:rsidP="005F117D">
      <w:pPr>
        <w:pStyle w:val="AERbodytext"/>
      </w:pPr>
    </w:p>
    <w:p w14:paraId="410A2571" w14:textId="77777777" w:rsidR="00544000" w:rsidRPr="00CF2701" w:rsidRDefault="00544000" w:rsidP="005F117D">
      <w:pPr>
        <w:pStyle w:val="AERbodytext"/>
      </w:pPr>
    </w:p>
    <w:p w14:paraId="62078EA4" w14:textId="77777777" w:rsidR="008164CA" w:rsidRDefault="00D90E0E" w:rsidP="008164CA">
      <w:pPr>
        <w:pStyle w:val="Heading1"/>
      </w:pPr>
      <w:bookmarkStart w:id="129" w:name="_Ref391833792"/>
      <w:bookmarkStart w:id="130" w:name="_Toc394570329"/>
      <w:bookmarkStart w:id="131" w:name="_Toc394571499"/>
      <w:bookmarkStart w:id="132" w:name="_Toc397097272"/>
      <w:r>
        <w:t>Factors affecting</w:t>
      </w:r>
      <w:r w:rsidR="00D85B04">
        <w:t xml:space="preserve"> replacement expenditure</w:t>
      </w:r>
      <w:bookmarkEnd w:id="129"/>
      <w:bookmarkEnd w:id="130"/>
      <w:bookmarkEnd w:id="131"/>
      <w:bookmarkEnd w:id="132"/>
    </w:p>
    <w:p w14:paraId="236E1E9C" w14:textId="52990264" w:rsidR="00F05AB5" w:rsidRDefault="00F05AB5" w:rsidP="00F05AB5">
      <w:pPr>
        <w:pStyle w:val="Heading2"/>
      </w:pPr>
      <w:bookmarkStart w:id="133" w:name="_Toc397097273"/>
      <w:r>
        <w:t>Overview</w:t>
      </w:r>
      <w:bookmarkEnd w:id="133"/>
    </w:p>
    <w:p w14:paraId="62078EA8" w14:textId="1B8D4BA3" w:rsidR="0018470A" w:rsidRPr="00DC0046" w:rsidRDefault="00E0575C" w:rsidP="0080705E">
      <w:r w:rsidRPr="00DC0046">
        <w:t xml:space="preserve">The following sections describe factors that have changed network replacement expenditure requirements </w:t>
      </w:r>
      <w:r w:rsidR="007108BE">
        <w:t>over the current regulatory control period,</w:t>
      </w:r>
      <w:r w:rsidR="00DC0046" w:rsidRPr="00DC0046">
        <w:t xml:space="preserve"> or are expected to affect replacement requirements in the forthcoming regulatory control period.</w:t>
      </w:r>
      <w:r w:rsidR="007108BE">
        <w:t xml:space="preserve"> </w:t>
      </w:r>
      <w:r w:rsidR="0018470A">
        <w:t>These factors are expected to result in higher replacement volu</w:t>
      </w:r>
      <w:r w:rsidR="0091027A">
        <w:t xml:space="preserve">mes and/or increased unit costs and affect the suitability of using the </w:t>
      </w:r>
      <w:r w:rsidR="008D7E91">
        <w:t>Repex</w:t>
      </w:r>
      <w:r w:rsidR="0091027A">
        <w:t xml:space="preserve"> model to forecast replacement requirements.</w:t>
      </w:r>
    </w:p>
    <w:p w14:paraId="62078EA9" w14:textId="77777777" w:rsidR="00D81D9A" w:rsidRDefault="00D81D9A" w:rsidP="00D81D9A">
      <w:pPr>
        <w:pStyle w:val="Heading2"/>
      </w:pPr>
      <w:bookmarkStart w:id="134" w:name="_Toc394570330"/>
      <w:bookmarkStart w:id="135" w:name="_Toc394571500"/>
      <w:bookmarkStart w:id="136" w:name="_Ref396400567"/>
      <w:bookmarkStart w:id="137" w:name="_Ref396895818"/>
      <w:bookmarkStart w:id="138" w:name="_Toc397097274"/>
      <w:r>
        <w:t>Statutory requirements</w:t>
      </w:r>
      <w:bookmarkEnd w:id="134"/>
      <w:bookmarkEnd w:id="135"/>
      <w:bookmarkEnd w:id="136"/>
      <w:bookmarkEnd w:id="137"/>
      <w:bookmarkEnd w:id="138"/>
    </w:p>
    <w:p w14:paraId="4CAC4D76" w14:textId="1688A8FF" w:rsidR="0052592C" w:rsidRDefault="008F4F87" w:rsidP="0080705E">
      <w:r>
        <w:t xml:space="preserve">The Energex Distribution Authority was </w:t>
      </w:r>
      <w:r w:rsidR="007108BE">
        <w:t xml:space="preserve">amended </w:t>
      </w:r>
      <w:r>
        <w:t xml:space="preserve">in 2014 to </w:t>
      </w:r>
      <w:r w:rsidR="007108BE">
        <w:t xml:space="preserve">establish </w:t>
      </w:r>
      <w:r>
        <w:t xml:space="preserve">a safety net standard </w:t>
      </w:r>
      <w:r w:rsidR="00D76144">
        <w:t>for planning the network to manage</w:t>
      </w:r>
      <w:r w:rsidR="002F5956">
        <w:t xml:space="preserve"> the risk of</w:t>
      </w:r>
      <w:r w:rsidR="00D76144">
        <w:t xml:space="preserve"> high impact low probability events. </w:t>
      </w:r>
      <w:r>
        <w:t xml:space="preserve">The updated </w:t>
      </w:r>
      <w:r w:rsidR="00D45CEF">
        <w:t>standard</w:t>
      </w:r>
      <w:r w:rsidR="002F5956">
        <w:t>, in conjunction</w:t>
      </w:r>
      <w:r>
        <w:t xml:space="preserve"> </w:t>
      </w:r>
      <w:r w:rsidR="00D76144">
        <w:t xml:space="preserve">with </w:t>
      </w:r>
      <w:r w:rsidR="00D45CEF">
        <w:t xml:space="preserve"> </w:t>
      </w:r>
      <w:r w:rsidR="00D76144">
        <w:t>moderat</w:t>
      </w:r>
      <w:r w:rsidR="00D45CEF">
        <w:t>ion in</w:t>
      </w:r>
      <w:r w:rsidR="00D76144">
        <w:t xml:space="preserve"> </w:t>
      </w:r>
      <w:r w:rsidR="002F5956">
        <w:t xml:space="preserve">demand </w:t>
      </w:r>
      <w:r w:rsidR="00D76144">
        <w:t xml:space="preserve">growth </w:t>
      </w:r>
      <w:r>
        <w:t xml:space="preserve">resulted in fewer </w:t>
      </w:r>
      <w:r w:rsidR="002F5956">
        <w:t xml:space="preserve">forecast </w:t>
      </w:r>
      <w:r>
        <w:t xml:space="preserve">augmentation based projects in the forthcoming regulatory control period. </w:t>
      </w:r>
      <w:r w:rsidR="002F5956">
        <w:t>Therefore</w:t>
      </w:r>
      <w:r>
        <w:t xml:space="preserve">, fewer assets </w:t>
      </w:r>
      <w:r w:rsidR="002F5956">
        <w:t xml:space="preserve">will be </w:t>
      </w:r>
      <w:r>
        <w:t>replaced as part of augmentation projects</w:t>
      </w:r>
      <w:r w:rsidR="002F5956">
        <w:t>, with</w:t>
      </w:r>
      <w:r>
        <w:t xml:space="preserve"> the majority expected to be captured under the r</w:t>
      </w:r>
      <w:r w:rsidR="00F22DCF">
        <w:t xml:space="preserve">eplacement category. </w:t>
      </w:r>
    </w:p>
    <w:p w14:paraId="1526166D" w14:textId="092490C5" w:rsidR="008F4F87" w:rsidRPr="001B379B" w:rsidRDefault="00F22DCF" w:rsidP="0080705E">
      <w:r>
        <w:t xml:space="preserve">This will result </w:t>
      </w:r>
      <w:r w:rsidRPr="00AA3C4D">
        <w:t>in a small increase in</w:t>
      </w:r>
      <w:r>
        <w:t xml:space="preserve"> the</w:t>
      </w:r>
      <w:r w:rsidR="008F4F87">
        <w:t xml:space="preserve"> level of replacement </w:t>
      </w:r>
      <w:r w:rsidR="008F4F87" w:rsidRPr="001B379B">
        <w:t xml:space="preserve">from its current level, as discussed in Section </w:t>
      </w:r>
      <w:r w:rsidR="008F4F87" w:rsidRPr="001B379B">
        <w:fldChar w:fldCharType="begin"/>
      </w:r>
      <w:r w:rsidR="008F4F87" w:rsidRPr="001B379B">
        <w:instrText xml:space="preserve"> REF _Ref391736934 \r \h </w:instrText>
      </w:r>
      <w:r w:rsidR="0080705E" w:rsidRPr="001B379B">
        <w:instrText xml:space="preserve"> \* MERGEFORMAT </w:instrText>
      </w:r>
      <w:r w:rsidR="008F4F87" w:rsidRPr="001B379B">
        <w:fldChar w:fldCharType="separate"/>
      </w:r>
      <w:r w:rsidR="00B27C70">
        <w:t>2.2</w:t>
      </w:r>
      <w:r w:rsidR="008F4F87" w:rsidRPr="001B379B">
        <w:fldChar w:fldCharType="end"/>
      </w:r>
      <w:r w:rsidR="008F4F87" w:rsidRPr="001B379B">
        <w:t>.</w:t>
      </w:r>
    </w:p>
    <w:p w14:paraId="62078EAB" w14:textId="13C805BF" w:rsidR="00D81D9A" w:rsidRPr="001B379B" w:rsidRDefault="002F5956" w:rsidP="00D81D9A">
      <w:pPr>
        <w:pStyle w:val="Heading2"/>
      </w:pPr>
      <w:bookmarkStart w:id="139" w:name="_Toc394570331"/>
      <w:bookmarkStart w:id="140" w:name="_Toc394571501"/>
      <w:bookmarkStart w:id="141" w:name="_Ref396400572"/>
      <w:bookmarkStart w:id="142" w:name="_Ref396895823"/>
      <w:bookmarkStart w:id="143" w:name="_Toc397097275"/>
      <w:r>
        <w:t>Internal planning and a</w:t>
      </w:r>
      <w:r w:rsidR="00D81D9A" w:rsidRPr="001B379B">
        <w:t>sset management</w:t>
      </w:r>
      <w:bookmarkEnd w:id="139"/>
      <w:bookmarkEnd w:id="140"/>
      <w:bookmarkEnd w:id="141"/>
      <w:bookmarkEnd w:id="142"/>
      <w:bookmarkEnd w:id="143"/>
    </w:p>
    <w:p w14:paraId="05EAC598" w14:textId="0BB9EDED" w:rsidR="00CD2D94" w:rsidRDefault="00CD2D94" w:rsidP="005F117D">
      <w:pPr>
        <w:pStyle w:val="AERbodytext"/>
      </w:pPr>
      <w:r>
        <w:t>Energex introduced CBRM modelling for high value assets in</w:t>
      </w:r>
      <w:r w:rsidR="002F5956">
        <w:t xml:space="preserve"> </w:t>
      </w:r>
      <w:r w:rsidR="0084295A">
        <w:t>2008</w:t>
      </w:r>
      <w:r w:rsidR="0007432F" w:rsidRPr="001B379B">
        <w:t>.</w:t>
      </w:r>
      <w:r>
        <w:t xml:space="preserve"> This approach enabled Energex to take a more </w:t>
      </w:r>
      <w:r w:rsidR="00AC0487">
        <w:t xml:space="preserve">condition and </w:t>
      </w:r>
      <w:r>
        <w:t>risk based approach to asset replacement</w:t>
      </w:r>
      <w:r w:rsidR="002F5956">
        <w:t>, as opposed to</w:t>
      </w:r>
      <w:r>
        <w:t xml:space="preserve"> a purely age based replacement program. </w:t>
      </w:r>
    </w:p>
    <w:p w14:paraId="522CAE52" w14:textId="3176201C" w:rsidR="00CD2D94" w:rsidRDefault="00CD2D94" w:rsidP="005F117D">
      <w:pPr>
        <w:pStyle w:val="AERbodytext"/>
      </w:pPr>
      <w:r>
        <w:t xml:space="preserve">CBRM </w:t>
      </w:r>
      <w:r w:rsidRPr="00AA3C4D">
        <w:t>modelling generally enables asset lives to be extended however there are cases where asset condition and risk assessment results in the early retirement of assets compared to the economic</w:t>
      </w:r>
      <w:r>
        <w:t xml:space="preserve"> mean life.</w:t>
      </w:r>
    </w:p>
    <w:p w14:paraId="62078EAD" w14:textId="77777777" w:rsidR="00D81D9A" w:rsidRDefault="00D81D9A" w:rsidP="00D81D9A">
      <w:pPr>
        <w:pStyle w:val="Heading2"/>
      </w:pPr>
      <w:bookmarkStart w:id="144" w:name="_Toc394570332"/>
      <w:bookmarkStart w:id="145" w:name="_Toc394571502"/>
      <w:bookmarkStart w:id="146" w:name="_Ref396400579"/>
      <w:bookmarkStart w:id="147" w:name="_Ref396895831"/>
      <w:bookmarkStart w:id="148" w:name="_Toc397097276"/>
      <w:r>
        <w:t>Asset factors</w:t>
      </w:r>
      <w:bookmarkEnd w:id="144"/>
      <w:bookmarkEnd w:id="145"/>
      <w:bookmarkEnd w:id="146"/>
      <w:bookmarkEnd w:id="147"/>
      <w:bookmarkEnd w:id="148"/>
    </w:p>
    <w:p w14:paraId="62078EAE" w14:textId="4F807A73" w:rsidR="00D81D9A" w:rsidRDefault="00D81D9A" w:rsidP="0080705E">
      <w:r w:rsidRPr="00AD0B6A">
        <w:rPr>
          <w:rStyle w:val="BodyTextChar"/>
        </w:rPr>
        <w:t xml:space="preserve">There are a number of </w:t>
      </w:r>
      <w:r w:rsidR="002F5956">
        <w:rPr>
          <w:rStyle w:val="BodyTextChar"/>
        </w:rPr>
        <w:t xml:space="preserve">continuing and </w:t>
      </w:r>
      <w:r w:rsidRPr="00AD0B6A">
        <w:rPr>
          <w:rStyle w:val="BodyTextChar"/>
        </w:rPr>
        <w:t xml:space="preserve">emerging issues </w:t>
      </w:r>
      <w:r w:rsidR="00426D99">
        <w:rPr>
          <w:rStyle w:val="BodyTextChar"/>
        </w:rPr>
        <w:t xml:space="preserve">affecting the need for expenditure in certain </w:t>
      </w:r>
      <w:r w:rsidRPr="00AD0B6A">
        <w:rPr>
          <w:rStyle w:val="BodyTextChar"/>
        </w:rPr>
        <w:t xml:space="preserve">assets </w:t>
      </w:r>
      <w:r w:rsidR="00426D99">
        <w:rPr>
          <w:rStyle w:val="BodyTextChar"/>
        </w:rPr>
        <w:t>categories</w:t>
      </w:r>
      <w:r w:rsidR="000C750C">
        <w:rPr>
          <w:rStyle w:val="BodyTextChar"/>
        </w:rPr>
        <w:t xml:space="preserve">. </w:t>
      </w:r>
      <w:r w:rsidR="00297E41">
        <w:rPr>
          <w:rStyle w:val="BodyTextChar"/>
        </w:rPr>
        <w:t xml:space="preserve"> </w:t>
      </w:r>
      <w:r w:rsidR="0007432F">
        <w:rPr>
          <w:rStyle w:val="BodyTextChar"/>
        </w:rPr>
        <w:t xml:space="preserve">The </w:t>
      </w:r>
      <w:r w:rsidRPr="00AD0B6A">
        <w:rPr>
          <w:rStyle w:val="BodyTextChar"/>
        </w:rPr>
        <w:t>following sections set</w:t>
      </w:r>
      <w:r>
        <w:t xml:space="preserve"> out the</w:t>
      </w:r>
      <w:r w:rsidRPr="00D10B1D">
        <w:t xml:space="preserve"> </w:t>
      </w:r>
      <w:r w:rsidR="003C568C">
        <w:t xml:space="preserve">key </w:t>
      </w:r>
      <w:r>
        <w:t>issues</w:t>
      </w:r>
      <w:r w:rsidR="003C568C">
        <w:t>, resulting</w:t>
      </w:r>
      <w:r>
        <w:t xml:space="preserve"> in the greatest expenditure</w:t>
      </w:r>
      <w:r w:rsidR="00FB648C">
        <w:t xml:space="preserve"> impacts</w:t>
      </w:r>
      <w:r>
        <w:t>.</w:t>
      </w:r>
    </w:p>
    <w:p w14:paraId="62078EB3" w14:textId="52B64FA5" w:rsidR="00D81D9A" w:rsidRDefault="00A46524" w:rsidP="00D81D9A">
      <w:pPr>
        <w:pStyle w:val="Heading3"/>
      </w:pPr>
      <w:bookmarkStart w:id="149" w:name="_Toc397097277"/>
      <w:r>
        <w:t>33 kV power transformers</w:t>
      </w:r>
      <w:bookmarkEnd w:id="149"/>
    </w:p>
    <w:p w14:paraId="1286E3DC" w14:textId="30173E30" w:rsidR="00DB6C1A" w:rsidRDefault="00DF541A" w:rsidP="001B379B">
      <w:r>
        <w:t>Energex has a number of 33/11 kV transformers installed during the</w:t>
      </w:r>
      <w:r w:rsidR="0084295A">
        <w:t xml:space="preserve"> 1960s and 1970s</w:t>
      </w:r>
      <w:r>
        <w:t xml:space="preserve"> </w:t>
      </w:r>
      <w:r w:rsidR="00EC0ECF">
        <w:t>fitted with a Fuller</w:t>
      </w:r>
      <w:r>
        <w:t xml:space="preserve"> </w:t>
      </w:r>
      <w:r w:rsidR="00EC0ECF">
        <w:t xml:space="preserve">type </w:t>
      </w:r>
      <w:r>
        <w:t>tap changer</w:t>
      </w:r>
      <w:r w:rsidR="00EC0ECF">
        <w:t xml:space="preserve"> </w:t>
      </w:r>
      <w:r>
        <w:t xml:space="preserve"> identified </w:t>
      </w:r>
      <w:r w:rsidR="00EC0ECF">
        <w:t xml:space="preserve">as having a high risk of failure. </w:t>
      </w:r>
      <w:r w:rsidR="00CD5462">
        <w:t xml:space="preserve">The majority of the internal shafts where constructed from wood and due to age and moisture build up in them they become weak and break. This can lead to potential catastrophic failure. </w:t>
      </w:r>
      <w:r w:rsidR="00EC0ECF">
        <w:t>Refurbishment of these tap changers is no longer an option as</w:t>
      </w:r>
      <w:r>
        <w:t xml:space="preserve"> </w:t>
      </w:r>
      <w:r w:rsidR="00EC0ECF">
        <w:t>s</w:t>
      </w:r>
      <w:r w:rsidR="00A46524">
        <w:t xml:space="preserve">pare parts </w:t>
      </w:r>
      <w:r w:rsidR="00F22DCF">
        <w:t>are no longer manufactured</w:t>
      </w:r>
      <w:r w:rsidR="00A46524">
        <w:t xml:space="preserve">. </w:t>
      </w:r>
      <w:r w:rsidR="00706E01">
        <w:t>Energex has a proactive program to replace these transformers.</w:t>
      </w:r>
      <w:r w:rsidR="00EC0ECF">
        <w:t xml:space="preserve"> </w:t>
      </w:r>
    </w:p>
    <w:p w14:paraId="0A16AA6C" w14:textId="05A869DE" w:rsidR="00A46524" w:rsidRDefault="00EC0ECF" w:rsidP="001B379B">
      <w:r>
        <w:t xml:space="preserve">The replacement of these transformers </w:t>
      </w:r>
      <w:r w:rsidR="00DB6C1A">
        <w:t>h</w:t>
      </w:r>
      <w:r>
        <w:t>as been prioritised based on a risk assessment</w:t>
      </w:r>
      <w:r w:rsidR="003644EF">
        <w:t xml:space="preserve"> and is anticipated to result in the replacement of </w:t>
      </w:r>
      <w:r w:rsidR="005839F0">
        <w:t>22 out of a population of 58</w:t>
      </w:r>
      <w:r w:rsidR="003644EF">
        <w:t xml:space="preserve"> assets</w:t>
      </w:r>
      <w:r w:rsidR="00940124">
        <w:t>.</w:t>
      </w:r>
    </w:p>
    <w:p w14:paraId="62078EB4" w14:textId="19CC0F2B" w:rsidR="00D81D9A" w:rsidRDefault="00A46524" w:rsidP="00D81D9A">
      <w:pPr>
        <w:pStyle w:val="Heading3"/>
      </w:pPr>
      <w:bookmarkStart w:id="150" w:name="_Toc397097278"/>
      <w:r>
        <w:t>33 kV circuit breakers</w:t>
      </w:r>
      <w:bookmarkEnd w:id="150"/>
    </w:p>
    <w:p w14:paraId="2A472869" w14:textId="6AA7AE0E" w:rsidR="0033493C" w:rsidRDefault="00EC0ECF" w:rsidP="001B379B">
      <w:pPr>
        <w:rPr>
          <w:rStyle w:val="Bullet1Char"/>
        </w:rPr>
      </w:pPr>
      <w:r>
        <w:rPr>
          <w:rStyle w:val="Bullet1Char"/>
        </w:rPr>
        <w:t>Energex identified issues with</w:t>
      </w:r>
      <w:r w:rsidR="0033493C">
        <w:rPr>
          <w:rStyle w:val="Bullet1Char"/>
        </w:rPr>
        <w:t xml:space="preserve"> the following circuit breakers:</w:t>
      </w:r>
    </w:p>
    <w:p w14:paraId="09E9395F" w14:textId="77777777" w:rsidR="0033493C" w:rsidRDefault="00DD2FF3" w:rsidP="00AA3C4D">
      <w:pPr>
        <w:pStyle w:val="ListParagraph"/>
        <w:numPr>
          <w:ilvl w:val="0"/>
          <w:numId w:val="41"/>
        </w:numPr>
        <w:rPr>
          <w:rStyle w:val="Bullet1Char"/>
        </w:rPr>
      </w:pPr>
      <w:r w:rsidRPr="00AA3C4D">
        <w:rPr>
          <w:rStyle w:val="Bullet1Char"/>
        </w:rPr>
        <w:t>GEC type</w:t>
      </w:r>
      <w:r>
        <w:rPr>
          <w:rStyle w:val="Bullet1Char"/>
        </w:rPr>
        <w:t xml:space="preserve"> </w:t>
      </w:r>
      <w:r w:rsidR="00EC0ECF" w:rsidRPr="00EC0ECF">
        <w:rPr>
          <w:rStyle w:val="Bullet1Char"/>
        </w:rPr>
        <w:t xml:space="preserve">JB424, </w:t>
      </w:r>
    </w:p>
    <w:p w14:paraId="74A4ED2E" w14:textId="05260110" w:rsidR="0033493C" w:rsidRDefault="0078609F" w:rsidP="00AA3C4D">
      <w:pPr>
        <w:pStyle w:val="ListParagraph"/>
        <w:numPr>
          <w:ilvl w:val="0"/>
          <w:numId w:val="41"/>
        </w:numPr>
        <w:rPr>
          <w:rStyle w:val="Bullet1Char"/>
        </w:rPr>
      </w:pPr>
      <w:r>
        <w:rPr>
          <w:rStyle w:val="Bullet1Char"/>
        </w:rPr>
        <w:t>Emailed</w:t>
      </w:r>
      <w:r w:rsidR="00DD2FF3">
        <w:rPr>
          <w:rStyle w:val="Bullet1Char"/>
        </w:rPr>
        <w:t xml:space="preserve"> type </w:t>
      </w:r>
      <w:r w:rsidR="00EC0ECF" w:rsidRPr="00EC0ECF">
        <w:rPr>
          <w:rStyle w:val="Bullet1Char"/>
        </w:rPr>
        <w:t xml:space="preserve">345GC and </w:t>
      </w:r>
    </w:p>
    <w:p w14:paraId="0D5A728E" w14:textId="77777777" w:rsidR="0033493C" w:rsidRDefault="00DD2FF3" w:rsidP="00AA3C4D">
      <w:pPr>
        <w:pStyle w:val="ListParagraph"/>
        <w:numPr>
          <w:ilvl w:val="0"/>
          <w:numId w:val="41"/>
        </w:numPr>
        <w:rPr>
          <w:rStyle w:val="Bullet1Char"/>
        </w:rPr>
      </w:pPr>
      <w:r w:rsidRPr="00AA3C4D">
        <w:rPr>
          <w:rStyle w:val="Bullet1Char"/>
        </w:rPr>
        <w:t>AEI type</w:t>
      </w:r>
      <w:r>
        <w:rPr>
          <w:rStyle w:val="Bullet1Char"/>
        </w:rPr>
        <w:t xml:space="preserve"> </w:t>
      </w:r>
      <w:r w:rsidR="00EC0ECF" w:rsidRPr="00EC0ECF">
        <w:rPr>
          <w:rStyle w:val="Bullet1Char"/>
        </w:rPr>
        <w:t xml:space="preserve">LG1C44 </w:t>
      </w:r>
      <w:r w:rsidR="00EC0ECF">
        <w:rPr>
          <w:rStyle w:val="Bullet1Char"/>
        </w:rPr>
        <w:t xml:space="preserve">type </w:t>
      </w:r>
    </w:p>
    <w:p w14:paraId="16CF5F06" w14:textId="7D2259F0" w:rsidR="00EC0ECF" w:rsidRDefault="0033493C" w:rsidP="0033493C">
      <w:pPr>
        <w:rPr>
          <w:rStyle w:val="Bullet1Char"/>
        </w:rPr>
      </w:pPr>
      <w:r>
        <w:rPr>
          <w:rStyle w:val="Bullet1Char"/>
        </w:rPr>
        <w:t xml:space="preserve">These assets are </w:t>
      </w:r>
      <w:r w:rsidR="00EC0ECF">
        <w:rPr>
          <w:rStyle w:val="Bullet1Char"/>
        </w:rPr>
        <w:t xml:space="preserve">33 kV </w:t>
      </w:r>
      <w:r w:rsidR="00DD2FF3" w:rsidRPr="00AA3C4D">
        <w:rPr>
          <w:rStyle w:val="Bullet1Char"/>
        </w:rPr>
        <w:t>bulk</w:t>
      </w:r>
      <w:r w:rsidR="00DD2FF3" w:rsidRPr="00D345AC">
        <w:rPr>
          <w:rStyle w:val="Bullet1Char"/>
        </w:rPr>
        <w:t xml:space="preserve"> </w:t>
      </w:r>
      <w:r w:rsidR="00EC0ECF" w:rsidRPr="00AA3C4D">
        <w:rPr>
          <w:rStyle w:val="Bullet1Char"/>
        </w:rPr>
        <w:t>oil filled outdoor</w:t>
      </w:r>
      <w:r w:rsidR="00EC0ECF">
        <w:rPr>
          <w:rStyle w:val="Bullet1Char"/>
        </w:rPr>
        <w:t xml:space="preserve"> </w:t>
      </w:r>
      <w:r w:rsidR="00EC0ECF" w:rsidRPr="00EC0ECF">
        <w:rPr>
          <w:rStyle w:val="Bullet1Char"/>
        </w:rPr>
        <w:t>circuit breakers</w:t>
      </w:r>
      <w:r w:rsidR="00EC0ECF">
        <w:rPr>
          <w:rStyle w:val="Bullet1Char"/>
        </w:rPr>
        <w:t xml:space="preserve">, the majority of which were installed </w:t>
      </w:r>
      <w:r w:rsidR="00D345AC">
        <w:rPr>
          <w:rStyle w:val="Bullet1Char"/>
        </w:rPr>
        <w:t>from the 1950s to 1970s</w:t>
      </w:r>
      <w:r w:rsidR="00EC0ECF">
        <w:rPr>
          <w:rStyle w:val="Bullet1Char"/>
        </w:rPr>
        <w:t>.</w:t>
      </w:r>
    </w:p>
    <w:p w14:paraId="446EA8CE" w14:textId="51A863CB" w:rsidR="00A46524" w:rsidRDefault="00DD2FF3" w:rsidP="001B379B">
      <w:pPr>
        <w:rPr>
          <w:rFonts w:eastAsia="Times New Roman" w:cs="Times New Roman"/>
          <w:spacing w:val="-2"/>
          <w:szCs w:val="20"/>
          <w:lang w:eastAsia="en-AU"/>
        </w:rPr>
      </w:pPr>
      <w:r>
        <w:rPr>
          <w:rStyle w:val="Bullet1Char"/>
        </w:rPr>
        <w:t xml:space="preserve">These circuit breakers </w:t>
      </w:r>
      <w:r w:rsidR="00FB648C">
        <w:rPr>
          <w:rStyle w:val="Bullet1Char"/>
        </w:rPr>
        <w:t>were</w:t>
      </w:r>
      <w:r>
        <w:rPr>
          <w:rStyle w:val="Bullet1Char"/>
        </w:rPr>
        <w:t xml:space="preserve"> found to have</w:t>
      </w:r>
      <w:r w:rsidR="00A46524">
        <w:rPr>
          <w:rFonts w:eastAsia="Times New Roman" w:cs="Times New Roman"/>
          <w:spacing w:val="-2"/>
          <w:szCs w:val="20"/>
          <w:lang w:eastAsia="en-AU"/>
        </w:rPr>
        <w:t xml:space="preserve"> </w:t>
      </w:r>
      <w:r w:rsidR="00A46524" w:rsidRPr="00FE228F">
        <w:rPr>
          <w:rFonts w:eastAsia="Times New Roman" w:cs="Times New Roman"/>
          <w:spacing w:val="-2"/>
          <w:szCs w:val="20"/>
          <w:lang w:eastAsia="en-AU"/>
        </w:rPr>
        <w:t>deteriorated bushing insulation</w:t>
      </w:r>
      <w:r w:rsidR="00AC0487">
        <w:rPr>
          <w:rFonts w:eastAsia="Times New Roman" w:cs="Times New Roman"/>
          <w:spacing w:val="-2"/>
          <w:szCs w:val="20"/>
          <w:lang w:eastAsia="en-AU"/>
        </w:rPr>
        <w:t>,</w:t>
      </w:r>
      <w:r>
        <w:rPr>
          <w:rFonts w:eastAsia="Times New Roman" w:cs="Times New Roman"/>
          <w:spacing w:val="-2"/>
          <w:szCs w:val="20"/>
          <w:lang w:eastAsia="en-AU"/>
        </w:rPr>
        <w:t xml:space="preserve"> </w:t>
      </w:r>
      <w:r w:rsidR="00A46524" w:rsidRPr="00FE228F">
        <w:rPr>
          <w:rFonts w:eastAsia="Times New Roman" w:cs="Times New Roman"/>
          <w:spacing w:val="-2"/>
          <w:szCs w:val="20"/>
          <w:lang w:eastAsia="en-AU"/>
        </w:rPr>
        <w:t xml:space="preserve">primary </w:t>
      </w:r>
      <w:r>
        <w:rPr>
          <w:rFonts w:eastAsia="Times New Roman" w:cs="Times New Roman"/>
          <w:spacing w:val="-2"/>
          <w:szCs w:val="20"/>
          <w:lang w:eastAsia="en-AU"/>
        </w:rPr>
        <w:t>contact wear</w:t>
      </w:r>
      <w:r w:rsidR="00FB648C">
        <w:rPr>
          <w:rFonts w:eastAsia="Times New Roman" w:cs="Times New Roman"/>
          <w:spacing w:val="-2"/>
          <w:szCs w:val="20"/>
          <w:lang w:eastAsia="en-AU"/>
        </w:rPr>
        <w:t>;</w:t>
      </w:r>
      <w:r w:rsidR="00DB6433">
        <w:rPr>
          <w:rFonts w:eastAsia="Times New Roman" w:cs="Times New Roman"/>
          <w:spacing w:val="-2"/>
          <w:szCs w:val="20"/>
          <w:lang w:eastAsia="en-AU"/>
        </w:rPr>
        <w:t xml:space="preserve"> </w:t>
      </w:r>
      <w:r w:rsidR="00DB6433" w:rsidRPr="00FE228F">
        <w:rPr>
          <w:rFonts w:eastAsia="Times New Roman" w:cs="Times New Roman"/>
          <w:spacing w:val="-2"/>
          <w:szCs w:val="20"/>
          <w:lang w:eastAsia="en-AU"/>
        </w:rPr>
        <w:t>difficulty in achieving correct mechanism adjustments</w:t>
      </w:r>
      <w:r w:rsidR="00FB648C">
        <w:rPr>
          <w:rFonts w:eastAsia="Times New Roman" w:cs="Times New Roman"/>
          <w:spacing w:val="-2"/>
          <w:szCs w:val="20"/>
          <w:lang w:eastAsia="en-AU"/>
        </w:rPr>
        <w:t>;</w:t>
      </w:r>
      <w:r w:rsidR="00DB6433">
        <w:rPr>
          <w:rFonts w:eastAsia="Times New Roman" w:cs="Times New Roman"/>
          <w:spacing w:val="-2"/>
          <w:szCs w:val="20"/>
          <w:lang w:eastAsia="en-AU"/>
        </w:rPr>
        <w:t xml:space="preserve"> and </w:t>
      </w:r>
      <w:r w:rsidR="00DB6433">
        <w:rPr>
          <w:spacing w:val="-2"/>
          <w:szCs w:val="20"/>
          <w:lang w:eastAsia="en-AU"/>
        </w:rPr>
        <w:t xml:space="preserve">reliability </w:t>
      </w:r>
      <w:r w:rsidR="00FB648C">
        <w:rPr>
          <w:spacing w:val="-2"/>
          <w:szCs w:val="20"/>
          <w:lang w:eastAsia="en-AU"/>
        </w:rPr>
        <w:t>issues</w:t>
      </w:r>
      <w:r>
        <w:rPr>
          <w:rFonts w:eastAsia="Times New Roman" w:cs="Times New Roman"/>
          <w:spacing w:val="-2"/>
          <w:szCs w:val="20"/>
          <w:lang w:eastAsia="en-AU"/>
        </w:rPr>
        <w:t xml:space="preserve">. Spare parts are no longer </w:t>
      </w:r>
      <w:r w:rsidR="000C750C">
        <w:rPr>
          <w:rFonts w:eastAsia="Times New Roman" w:cs="Times New Roman"/>
          <w:spacing w:val="-2"/>
          <w:szCs w:val="20"/>
          <w:lang w:eastAsia="en-AU"/>
        </w:rPr>
        <w:t>manufactured</w:t>
      </w:r>
      <w:r>
        <w:rPr>
          <w:rFonts w:eastAsia="Times New Roman" w:cs="Times New Roman"/>
          <w:spacing w:val="-2"/>
          <w:szCs w:val="20"/>
          <w:lang w:eastAsia="en-AU"/>
        </w:rPr>
        <w:t xml:space="preserve"> </w:t>
      </w:r>
      <w:r w:rsidR="0000475F">
        <w:rPr>
          <w:rFonts w:eastAsia="Times New Roman" w:cs="Times New Roman"/>
          <w:spacing w:val="-2"/>
          <w:szCs w:val="20"/>
          <w:lang w:eastAsia="en-AU"/>
        </w:rPr>
        <w:t>and components cannot be retrieved from recovered plant due to poor condition.</w:t>
      </w:r>
      <w:r w:rsidR="00DB6433" w:rsidRPr="00DB6433">
        <w:rPr>
          <w:lang w:eastAsia="en-AU"/>
        </w:rPr>
        <w:t xml:space="preserve"> </w:t>
      </w:r>
    </w:p>
    <w:p w14:paraId="68D98771" w14:textId="370DF7A7" w:rsidR="00DB6C1A" w:rsidRPr="00C83FC0" w:rsidRDefault="00DB6C1A" w:rsidP="001B379B">
      <w:pPr>
        <w:rPr>
          <w:rFonts w:eastAsia="Times New Roman" w:cs="Times New Roman"/>
          <w:spacing w:val="-2"/>
          <w:szCs w:val="20"/>
          <w:lang w:eastAsia="en-AU"/>
        </w:rPr>
      </w:pPr>
      <w:r w:rsidRPr="00DB6C1A">
        <w:rPr>
          <w:rFonts w:eastAsia="Times New Roman" w:cs="Times New Roman"/>
          <w:spacing w:val="-2"/>
          <w:szCs w:val="20"/>
          <w:lang w:eastAsia="en-AU"/>
        </w:rPr>
        <w:t>The r</w:t>
      </w:r>
      <w:r>
        <w:rPr>
          <w:rFonts w:eastAsia="Times New Roman" w:cs="Times New Roman"/>
          <w:spacing w:val="-2"/>
          <w:szCs w:val="20"/>
          <w:lang w:eastAsia="en-AU"/>
        </w:rPr>
        <w:t>eplacement of these circuit breakers</w:t>
      </w:r>
      <w:r w:rsidRPr="00DB6C1A">
        <w:rPr>
          <w:rFonts w:eastAsia="Times New Roman" w:cs="Times New Roman"/>
          <w:spacing w:val="-2"/>
          <w:szCs w:val="20"/>
          <w:lang w:eastAsia="en-AU"/>
        </w:rPr>
        <w:t xml:space="preserve"> has been prioritised based on a risk assessment</w:t>
      </w:r>
      <w:r w:rsidR="00940124" w:rsidRPr="00940124">
        <w:t xml:space="preserve"> </w:t>
      </w:r>
      <w:r w:rsidR="00940124">
        <w:t xml:space="preserve">and is anticipated to result in the replacement of </w:t>
      </w:r>
      <w:r w:rsidR="005839F0">
        <w:t>257 out of a population of 309</w:t>
      </w:r>
      <w:r w:rsidR="00940124">
        <w:t xml:space="preserve"> assets</w:t>
      </w:r>
      <w:r w:rsidRPr="00DB6C1A">
        <w:rPr>
          <w:rFonts w:eastAsia="Times New Roman" w:cs="Times New Roman"/>
          <w:spacing w:val="-2"/>
          <w:szCs w:val="20"/>
          <w:lang w:eastAsia="en-AU"/>
        </w:rPr>
        <w:t>.</w:t>
      </w:r>
    </w:p>
    <w:p w14:paraId="62078EB5" w14:textId="7D743926" w:rsidR="00D81D9A" w:rsidRDefault="006F5931" w:rsidP="00D81D9A">
      <w:pPr>
        <w:pStyle w:val="Heading3"/>
      </w:pPr>
      <w:bookmarkStart w:id="151" w:name="_Toc397097279"/>
      <w:r>
        <w:t>11 kV circuit breakers</w:t>
      </w:r>
      <w:bookmarkEnd w:id="151"/>
    </w:p>
    <w:p w14:paraId="0AB6C437" w14:textId="5A06BA79" w:rsidR="001B2C41" w:rsidRPr="00AA3C4D" w:rsidRDefault="001B2C41" w:rsidP="00AA3C4D">
      <w:r w:rsidRPr="00AA3C4D">
        <w:t>A risk assessment for oil circuit breakers, particularly in high density areas under manual switching operations (no remote control), identified high risk plant. In 97 substations</w:t>
      </w:r>
      <w:r w:rsidR="00FB648C">
        <w:t xml:space="preserve"> for commercial and industrial customers</w:t>
      </w:r>
      <w:r w:rsidRPr="00AA3C4D">
        <w:t xml:space="preserve">, </w:t>
      </w:r>
      <w:r w:rsidR="00FB648C">
        <w:t>t</w:t>
      </w:r>
      <w:r w:rsidR="00FB648C" w:rsidRPr="007C7FA8">
        <w:t>he majority of which were installed from the early 1950s to late 1970s</w:t>
      </w:r>
      <w:r>
        <w:t>,</w:t>
      </w:r>
      <w:r w:rsidRPr="00FB648C">
        <w:t xml:space="preserve"> </w:t>
      </w:r>
      <w:r w:rsidRPr="00AA3C4D">
        <w:t>existing 11 kV circuit breakers require an operator to trip or close.</w:t>
      </w:r>
    </w:p>
    <w:p w14:paraId="2092338C" w14:textId="77777777" w:rsidR="001B2C41" w:rsidRPr="00AA3C4D" w:rsidRDefault="001B2C41" w:rsidP="001B2C41">
      <w:pPr>
        <w:keepLines w:val="0"/>
        <w:autoSpaceDE w:val="0"/>
        <w:autoSpaceDN w:val="0"/>
        <w:adjustRightInd w:val="0"/>
        <w:spacing w:before="0" w:after="0" w:line="240" w:lineRule="auto"/>
        <w:rPr>
          <w:color w:val="000000"/>
        </w:rPr>
      </w:pPr>
    </w:p>
    <w:p w14:paraId="659BEB87" w14:textId="7E77E175" w:rsidR="00654BBE" w:rsidRDefault="001B2C41" w:rsidP="00AA3C4D">
      <w:pPr>
        <w:keepLines w:val="0"/>
        <w:spacing w:before="0" w:after="200" w:line="276" w:lineRule="auto"/>
      </w:pPr>
      <w:r w:rsidRPr="00AA3C4D">
        <w:t xml:space="preserve">Following a risk assessment process, substations with manual controlled circuit breakers </w:t>
      </w:r>
      <w:r w:rsidR="008458FA">
        <w:t>were</w:t>
      </w:r>
      <w:r w:rsidRPr="00AA3C4D">
        <w:t xml:space="preserve"> prioritised such that 45 substations are planned to be completed by 2014/15 and the remaining 52 substations will be completed in the </w:t>
      </w:r>
      <w:r w:rsidR="00940124">
        <w:t>forthcoming</w:t>
      </w:r>
      <w:r w:rsidRPr="00AA3C4D">
        <w:t xml:space="preserve"> regulatory </w:t>
      </w:r>
      <w:r w:rsidR="00940124">
        <w:t xml:space="preserve">control </w:t>
      </w:r>
      <w:r w:rsidRPr="00AA3C4D">
        <w:t>period.</w:t>
      </w:r>
    </w:p>
    <w:p w14:paraId="7A67D133" w14:textId="0E33EB31" w:rsidR="006F5931" w:rsidRDefault="0037593B" w:rsidP="006F5931">
      <w:pPr>
        <w:pStyle w:val="Heading3"/>
      </w:pPr>
      <w:bookmarkStart w:id="152" w:name="_Toc397097280"/>
      <w:r>
        <w:t>SCADA, network control and protection s</w:t>
      </w:r>
      <w:r w:rsidR="00374A3A">
        <w:t>ystems</w:t>
      </w:r>
      <w:bookmarkEnd w:id="152"/>
    </w:p>
    <w:p w14:paraId="79C60850" w14:textId="581149E7" w:rsidR="00374A3A" w:rsidRPr="00141088" w:rsidRDefault="00374A3A" w:rsidP="00994C61">
      <w:r w:rsidRPr="00141088">
        <w:t>Energex is repl</w:t>
      </w:r>
      <w:r>
        <w:t>acing certain Protection, Telecommunications and SCADA equipment</w:t>
      </w:r>
      <w:r w:rsidRPr="00141088">
        <w:t xml:space="preserve"> with modern technologies, resulting in variability to anticipated units and unit rates.</w:t>
      </w:r>
      <w:r>
        <w:t xml:space="preserve"> In particular the Protection Relay replacement programs </w:t>
      </w:r>
      <w:r w:rsidR="008458FA">
        <w:t xml:space="preserve">resulted in </w:t>
      </w:r>
      <w:r w:rsidR="007E45ED">
        <w:t>a</w:t>
      </w:r>
      <w:r>
        <w:t xml:space="preserve"> significant numbers of </w:t>
      </w:r>
      <w:r w:rsidR="007E45ED">
        <w:t>assets</w:t>
      </w:r>
      <w:r>
        <w:t xml:space="preserve"> that previously had a 45 year life time now nearing end of life at only 15-20 years. This has </w:t>
      </w:r>
      <w:r w:rsidR="00F20B77">
        <w:t xml:space="preserve">resulted in a large unit count </w:t>
      </w:r>
      <w:r>
        <w:t>to be replaced compared</w:t>
      </w:r>
      <w:r w:rsidR="00F20B77">
        <w:t xml:space="preserve"> </w:t>
      </w:r>
      <w:r w:rsidR="007E45ED">
        <w:t>with historic replacement volumes</w:t>
      </w:r>
      <w:r w:rsidR="00F20B77">
        <w:t>.</w:t>
      </w:r>
    </w:p>
    <w:p w14:paraId="716C978A" w14:textId="26E74E0A" w:rsidR="00994C61" w:rsidRDefault="00374A3A" w:rsidP="00994C61">
      <w:r w:rsidRPr="00141088">
        <w:t xml:space="preserve">In the current AER period, large amounts of </w:t>
      </w:r>
      <w:r w:rsidR="007E45ED">
        <w:t xml:space="preserve">SCADA, network control and protection systems works </w:t>
      </w:r>
      <w:r w:rsidRPr="00141088">
        <w:t>w</w:t>
      </w:r>
      <w:r w:rsidR="00994C61">
        <w:t>ere completed</w:t>
      </w:r>
      <w:r w:rsidRPr="00141088">
        <w:t xml:space="preserve"> under</w:t>
      </w:r>
      <w:r w:rsidR="007E45ED">
        <w:t xml:space="preserve"> larger</w:t>
      </w:r>
      <w:r w:rsidRPr="00141088">
        <w:t xml:space="preserve"> </w:t>
      </w:r>
      <w:r w:rsidR="00AA163E">
        <w:t>a</w:t>
      </w:r>
      <w:r w:rsidR="00AA163E" w:rsidRPr="00141088">
        <w:t xml:space="preserve">ugmentation </w:t>
      </w:r>
      <w:r w:rsidR="00994C61">
        <w:t>projects</w:t>
      </w:r>
      <w:r w:rsidRPr="00141088">
        <w:t xml:space="preserve"> resulting</w:t>
      </w:r>
      <w:r w:rsidR="007E45ED">
        <w:t>,</w:t>
      </w:r>
      <w:r w:rsidRPr="00141088">
        <w:t xml:space="preserve"> in artificially low</w:t>
      </w:r>
      <w:r w:rsidR="007E45ED">
        <w:t xml:space="preserve"> historic </w:t>
      </w:r>
      <w:r w:rsidR="00994C61">
        <w:t>replacement units in table 2.2.1</w:t>
      </w:r>
      <w:r w:rsidR="00433E13">
        <w:t xml:space="preserve"> of the Reset RIN</w:t>
      </w:r>
      <w:r w:rsidRPr="00141088">
        <w:t xml:space="preserve">. </w:t>
      </w:r>
    </w:p>
    <w:p w14:paraId="016C196F" w14:textId="120B0C97" w:rsidR="00994C61" w:rsidRPr="00CF2701" w:rsidRDefault="00994C61" w:rsidP="00994C61">
      <w:r>
        <w:t>Similarly,</w:t>
      </w:r>
      <w:r w:rsidRPr="00994C61">
        <w:t xml:space="preserve"> </w:t>
      </w:r>
      <w:r>
        <w:t>s</w:t>
      </w:r>
      <w:r w:rsidRPr="00141088">
        <w:t xml:space="preserve">ynergies that were achieved in the current AER period by bundling certain </w:t>
      </w:r>
      <w:r w:rsidR="007E45ED">
        <w:t>SCADA, network control and protection systems work with other substation projects will not be available in the forthcoming period,</w:t>
      </w:r>
      <w:r w:rsidRPr="00141088">
        <w:t xml:space="preserve"> resulting in unit price increases.</w:t>
      </w:r>
    </w:p>
    <w:p w14:paraId="62078EB8" w14:textId="77777777" w:rsidR="00D81D9A" w:rsidRDefault="00D81D9A" w:rsidP="00D81D9A">
      <w:pPr>
        <w:pStyle w:val="Heading2"/>
        <w:ind w:left="851" w:hanging="851"/>
      </w:pPr>
      <w:bookmarkStart w:id="153" w:name="_Toc394570336"/>
      <w:bookmarkStart w:id="154" w:name="_Toc394571506"/>
      <w:bookmarkStart w:id="155" w:name="_Ref396400587"/>
      <w:bookmarkStart w:id="156" w:name="_Ref396895836"/>
      <w:bookmarkStart w:id="157" w:name="_Toc397097281"/>
      <w:r>
        <w:t>External factors</w:t>
      </w:r>
      <w:bookmarkEnd w:id="153"/>
      <w:bookmarkEnd w:id="154"/>
      <w:bookmarkEnd w:id="155"/>
      <w:bookmarkEnd w:id="156"/>
      <w:bookmarkEnd w:id="157"/>
    </w:p>
    <w:p w14:paraId="62078EB9" w14:textId="241FF562" w:rsidR="00D56B79" w:rsidRDefault="00D56B79" w:rsidP="005F117D">
      <w:pPr>
        <w:pStyle w:val="AERbodytext"/>
      </w:pPr>
      <w:r>
        <w:t>T</w:t>
      </w:r>
      <w:r w:rsidRPr="00DC0046">
        <w:t xml:space="preserve">here </w:t>
      </w:r>
      <w:r>
        <w:t>are no</w:t>
      </w:r>
      <w:r w:rsidRPr="00DC0046">
        <w:t xml:space="preserve"> </w:t>
      </w:r>
      <w:r w:rsidR="006C2B4B">
        <w:t>external factors</w:t>
      </w:r>
      <w:r w:rsidRPr="00DC0046">
        <w:t xml:space="preserve"> relating to asset replacement that will affect Energex in the </w:t>
      </w:r>
      <w:r w:rsidR="00AA163E">
        <w:t xml:space="preserve">forthcoming </w:t>
      </w:r>
      <w:r>
        <w:t>regulatory control period.</w:t>
      </w:r>
    </w:p>
    <w:p w14:paraId="62078EBA" w14:textId="77777777" w:rsidR="00D81D9A" w:rsidRDefault="00D81D9A" w:rsidP="00D81D9A">
      <w:pPr>
        <w:pStyle w:val="Heading2"/>
        <w:ind w:left="851" w:hanging="851"/>
      </w:pPr>
      <w:bookmarkStart w:id="158" w:name="_Toc394570337"/>
      <w:bookmarkStart w:id="159" w:name="_Toc394571507"/>
      <w:bookmarkStart w:id="160" w:name="_Ref396400593"/>
      <w:bookmarkStart w:id="161" w:name="_Ref396895840"/>
      <w:bookmarkStart w:id="162" w:name="_Toc397097282"/>
      <w:r>
        <w:t>New technology</w:t>
      </w:r>
      <w:bookmarkEnd w:id="158"/>
      <w:bookmarkEnd w:id="159"/>
      <w:bookmarkEnd w:id="160"/>
      <w:bookmarkEnd w:id="161"/>
      <w:bookmarkEnd w:id="162"/>
    </w:p>
    <w:p w14:paraId="62078EBB" w14:textId="18A5E16C" w:rsidR="00D81D9A" w:rsidRDefault="00D81D9A" w:rsidP="005F117D">
      <w:pPr>
        <w:pStyle w:val="AERbodytext"/>
      </w:pPr>
      <w:r w:rsidRPr="00785DC1">
        <w:t xml:space="preserve">All assets that are captured by asset replacement categories are replaced with their modern equivalent and the modern equivalent is used to determine the replacement unit cost. </w:t>
      </w:r>
    </w:p>
    <w:p w14:paraId="4B1781E3" w14:textId="478FE3B3" w:rsidR="00760DDA" w:rsidRDefault="00785DC1" w:rsidP="00785DC1">
      <w:r>
        <w:t>The main types of assets affected by this type of replacement are</w:t>
      </w:r>
      <w:r w:rsidR="00760DDA">
        <w:t>:</w:t>
      </w:r>
    </w:p>
    <w:p w14:paraId="7CE52DA0" w14:textId="6513CD43" w:rsidR="004E7CDB" w:rsidRDefault="00F8543A" w:rsidP="00AA3C4D">
      <w:pPr>
        <w:pStyle w:val="Bullet1"/>
      </w:pPr>
      <w:r>
        <w:t>Plesio</w:t>
      </w:r>
      <w:r w:rsidR="004E7CDB">
        <w:t>ochronous</w:t>
      </w:r>
      <w:r>
        <w:t xml:space="preserve"> Digital Hierarchy (PDH)</w:t>
      </w:r>
      <w:r w:rsidR="004E7CDB">
        <w:t xml:space="preserve"> </w:t>
      </w:r>
      <w:r w:rsidR="00AA163E">
        <w:t xml:space="preserve">multiplex </w:t>
      </w:r>
      <w:r w:rsidR="004E7CDB">
        <w:t>equipment</w:t>
      </w:r>
      <w:r w:rsidR="00025262">
        <w:t>,</w:t>
      </w:r>
      <w:r w:rsidR="004E7CDB">
        <w:t xml:space="preserve"> </w:t>
      </w:r>
      <w:r w:rsidR="00AA163E">
        <w:t xml:space="preserve">which </w:t>
      </w:r>
      <w:r w:rsidR="004E7CDB">
        <w:t xml:space="preserve">is being replaced with Multi Protocol Label Switching </w:t>
      </w:r>
      <w:r>
        <w:t xml:space="preserve">(MPLS) </w:t>
      </w:r>
      <w:r w:rsidR="004E7CDB">
        <w:t>equipment</w:t>
      </w:r>
      <w:r w:rsidR="00025262">
        <w:t xml:space="preserve">, and is anticipated to result in the </w:t>
      </w:r>
      <w:r w:rsidR="007D632E">
        <w:t>installation</w:t>
      </w:r>
      <w:r w:rsidR="00025262">
        <w:t xml:space="preserve"> of </w:t>
      </w:r>
      <w:r w:rsidR="000E5E17">
        <w:t>262</w:t>
      </w:r>
      <w:r w:rsidR="00025262">
        <w:t xml:space="preserve"> </w:t>
      </w:r>
      <w:r w:rsidR="00025262" w:rsidRPr="00785DC1">
        <w:t xml:space="preserve">modern equivalent </w:t>
      </w:r>
      <w:r w:rsidR="00025262">
        <w:t>assets</w:t>
      </w:r>
      <w:r w:rsidR="00940124">
        <w:t>.</w:t>
      </w:r>
    </w:p>
    <w:p w14:paraId="62078EBC" w14:textId="27FB2301" w:rsidR="00785DC1" w:rsidRDefault="004E7CDB" w:rsidP="00AA3C4D">
      <w:pPr>
        <w:pStyle w:val="Bullet1"/>
      </w:pPr>
      <w:r>
        <w:t xml:space="preserve">Copper pilot cables </w:t>
      </w:r>
      <w:r w:rsidR="00AA163E">
        <w:t xml:space="preserve">which </w:t>
      </w:r>
      <w:r>
        <w:t xml:space="preserve">are replaced with </w:t>
      </w:r>
      <w:r w:rsidR="00AA163E">
        <w:t xml:space="preserve">fibre optic </w:t>
      </w:r>
      <w:r>
        <w:t>cabling</w:t>
      </w:r>
      <w:r w:rsidR="00025262">
        <w:t xml:space="preserve">, and is anticipated to result in the </w:t>
      </w:r>
      <w:r w:rsidR="007D632E">
        <w:t>installation</w:t>
      </w:r>
      <w:r w:rsidR="00025262">
        <w:t xml:space="preserve"> of </w:t>
      </w:r>
      <w:r w:rsidR="007D632E">
        <w:t>314 km</w:t>
      </w:r>
      <w:r w:rsidR="00025262">
        <w:t xml:space="preserve"> </w:t>
      </w:r>
      <w:r w:rsidR="00025262" w:rsidRPr="00785DC1">
        <w:t xml:space="preserve">modern equivalent </w:t>
      </w:r>
      <w:r w:rsidR="00025262">
        <w:t>assets</w:t>
      </w:r>
      <w:r w:rsidR="00940124">
        <w:t>.</w:t>
      </w:r>
    </w:p>
    <w:p w14:paraId="3A6FA552" w14:textId="469C7A05" w:rsidR="00F8543A" w:rsidRDefault="00F8543A" w:rsidP="00AA3C4D">
      <w:pPr>
        <w:pStyle w:val="Bullet1"/>
      </w:pPr>
      <w:r>
        <w:t xml:space="preserve">Electro mechanic protection relays </w:t>
      </w:r>
      <w:r w:rsidR="00AA163E">
        <w:t xml:space="preserve">which </w:t>
      </w:r>
      <w:r>
        <w:t>are replaced with numerical / digital protection relays</w:t>
      </w:r>
      <w:r w:rsidR="00025262">
        <w:t xml:space="preserve">, and is anticipated to result in the replacement of </w:t>
      </w:r>
      <w:r w:rsidR="000E5E17">
        <w:t>2000</w:t>
      </w:r>
      <w:r w:rsidR="00025262">
        <w:t xml:space="preserve"> </w:t>
      </w:r>
      <w:r w:rsidR="00025262" w:rsidRPr="00785DC1">
        <w:t xml:space="preserve">modern equivalent </w:t>
      </w:r>
      <w:r w:rsidR="00025262">
        <w:t>assets</w:t>
      </w:r>
      <w:r w:rsidR="00AA163E">
        <w:t>.</w:t>
      </w:r>
    </w:p>
    <w:p w14:paraId="59108EC5" w14:textId="5F073A3A" w:rsidR="00940124" w:rsidRDefault="00940124" w:rsidP="00AA3C4D">
      <w:r>
        <w:t>Energex has not identified non-network technology impacting the need for replacement expenditure.</w:t>
      </w:r>
    </w:p>
    <w:p w14:paraId="4F43F09F" w14:textId="3CE43C68" w:rsidR="00653098" w:rsidRDefault="00EE7997" w:rsidP="00653098">
      <w:pPr>
        <w:pStyle w:val="Heading2"/>
      </w:pPr>
      <w:bookmarkStart w:id="163" w:name="_Ref396400598"/>
      <w:bookmarkStart w:id="164" w:name="_Toc397097283"/>
      <w:r>
        <w:t>Other significant matters</w:t>
      </w:r>
      <w:bookmarkEnd w:id="163"/>
      <w:bookmarkEnd w:id="164"/>
    </w:p>
    <w:p w14:paraId="7AB65A23" w14:textId="785D9B76" w:rsidR="00835EFD" w:rsidRDefault="00A31E43" w:rsidP="00AA3C4D">
      <w:r w:rsidRPr="00A31E43">
        <w:t xml:space="preserve">There are no </w:t>
      </w:r>
      <w:r>
        <w:t>other significant matter</w:t>
      </w:r>
      <w:r w:rsidR="0033493C">
        <w:t>s</w:t>
      </w:r>
      <w:r w:rsidRPr="00A31E43">
        <w:t xml:space="preserve"> relating to asset replacement</w:t>
      </w:r>
      <w:r w:rsidR="0033493C">
        <w:t xml:space="preserve"> activity</w:t>
      </w:r>
      <w:r w:rsidRPr="00A31E43">
        <w:t xml:space="preserve"> </w:t>
      </w:r>
      <w:r>
        <w:t xml:space="preserve">reported in table 2.2.1 of the Reset RIN </w:t>
      </w:r>
      <w:r w:rsidRPr="00A31E43">
        <w:t>that will affect Energex in the next forthcoming regulatory control period.</w:t>
      </w:r>
    </w:p>
    <w:p w14:paraId="40ACDBA3" w14:textId="09BB9DDF" w:rsidR="00835EFD" w:rsidRPr="00835EFD" w:rsidRDefault="00835EFD" w:rsidP="00AA3C4D">
      <w:pPr>
        <w:pStyle w:val="Heading1"/>
      </w:pPr>
      <w:bookmarkStart w:id="165" w:name="_Toc397097284"/>
      <w:r>
        <w:t>Additional Energex replacement expenditure items</w:t>
      </w:r>
      <w:bookmarkEnd w:id="165"/>
    </w:p>
    <w:p w14:paraId="399E5498" w14:textId="77777777" w:rsidR="00AA163E" w:rsidRDefault="00EE7997" w:rsidP="00EE7997">
      <w:r w:rsidRPr="00EE7997">
        <w:t xml:space="preserve">The AER has stated that the Repex model is aimed at modelling non-demand driven replacement of an asset with its modern equivalent, where the timing of the need can be directly or implicitly linked to the age of the asset. </w:t>
      </w:r>
    </w:p>
    <w:p w14:paraId="793F7507" w14:textId="0A202536" w:rsidR="00EE7997" w:rsidRPr="00EE7997" w:rsidRDefault="00EE7997" w:rsidP="00EE7997">
      <w:r w:rsidRPr="00EE7997">
        <w:t xml:space="preserve">This statement acknowledges that there are factors other than condition that trigger the need for asset replacement and that age cannot always be a good proxy for condition. In addition, the AER notes that DNSPs apply a number of alternative techniques and the Repex model </w:t>
      </w:r>
      <w:r w:rsidR="00C80BC4" w:rsidRPr="00C80BC4">
        <w:t>does not replace those techniques</w:t>
      </w:r>
      <w:r w:rsidR="00C80BC4">
        <w:t>.</w:t>
      </w:r>
      <w:r w:rsidRPr="00EE7997">
        <w:rPr>
          <w:vertAlign w:val="superscript"/>
        </w:rPr>
        <w:footnoteReference w:id="7"/>
      </w:r>
      <w:r w:rsidRPr="00EE7997">
        <w:t xml:space="preserve"> </w:t>
      </w:r>
    </w:p>
    <w:p w14:paraId="477F6E6B" w14:textId="7E6C3326" w:rsidR="00C11621" w:rsidRDefault="00D1329E" w:rsidP="005A5006">
      <w:r>
        <w:t xml:space="preserve">The following programs </w:t>
      </w:r>
      <w:r w:rsidR="007851AB">
        <w:t xml:space="preserve">set out in </w:t>
      </w:r>
      <w:r w:rsidR="007851AB">
        <w:fldChar w:fldCharType="begin"/>
      </w:r>
      <w:r w:rsidR="007851AB">
        <w:instrText xml:space="preserve"> REF _Ref397000136 \h </w:instrText>
      </w:r>
      <w:r w:rsidR="007851AB">
        <w:fldChar w:fldCharType="separate"/>
      </w:r>
      <w:r w:rsidR="00B27C70">
        <w:t xml:space="preserve">Table </w:t>
      </w:r>
      <w:r w:rsidR="00B27C70">
        <w:rPr>
          <w:noProof/>
        </w:rPr>
        <w:t>6</w:t>
      </w:r>
      <w:r w:rsidR="00B27C70">
        <w:noBreakHyphen/>
      </w:r>
      <w:r w:rsidR="00B27C70">
        <w:rPr>
          <w:noProof/>
        </w:rPr>
        <w:t>1</w:t>
      </w:r>
      <w:r w:rsidR="007851AB">
        <w:fldChar w:fldCharType="end"/>
      </w:r>
      <w:r w:rsidR="007851AB">
        <w:t xml:space="preserve"> </w:t>
      </w:r>
      <w:r w:rsidR="00A31E43">
        <w:t>have not been included in table 2.2.1 of the Reset RIN</w:t>
      </w:r>
      <w:r w:rsidR="00C11621">
        <w:t xml:space="preserve"> due to:</w:t>
      </w:r>
    </w:p>
    <w:p w14:paraId="7B10A596" w14:textId="17F3253B" w:rsidR="00C11621" w:rsidRDefault="00C11621" w:rsidP="00AA3C4D">
      <w:pPr>
        <w:pStyle w:val="Bullet1"/>
      </w:pPr>
      <w:r>
        <w:t>Asset replacement not being directly or implicitly linked to the age of the asset</w:t>
      </w:r>
    </w:p>
    <w:p w14:paraId="1AEE3F38" w14:textId="65E7F59D" w:rsidR="00EE7997" w:rsidRDefault="00A31E43" w:rsidP="00AA3C4D">
      <w:pPr>
        <w:pStyle w:val="Bullet1"/>
      </w:pPr>
      <w:r>
        <w:t xml:space="preserve">affected </w:t>
      </w:r>
      <w:r w:rsidR="00C11621">
        <w:t>assets not being included in the AER’s Repex categories</w:t>
      </w:r>
      <w:r w:rsidR="00D1329E">
        <w:t>.</w:t>
      </w:r>
    </w:p>
    <w:p w14:paraId="0ED720ED" w14:textId="77777777" w:rsidR="003D63C0" w:rsidRDefault="003D63C0" w:rsidP="005E765B"/>
    <w:p w14:paraId="4AA842ED" w14:textId="14E5BDE9" w:rsidR="007851AB" w:rsidRDefault="007851AB" w:rsidP="00AA3C4D">
      <w:pPr>
        <w:pStyle w:val="Caption"/>
      </w:pPr>
      <w:bookmarkStart w:id="166" w:name="_Ref397000136"/>
      <w:bookmarkStart w:id="167" w:name="_Toc397097292"/>
      <w:r>
        <w:t xml:space="preserve">Table </w:t>
      </w:r>
      <w:fldSimple w:instr=" STYLEREF 1 \s ">
        <w:r w:rsidR="00B27C70">
          <w:rPr>
            <w:noProof/>
          </w:rPr>
          <w:t>6</w:t>
        </w:r>
      </w:fldSimple>
      <w:r w:rsidR="00771CAE">
        <w:noBreakHyphen/>
      </w:r>
      <w:fldSimple w:instr=" SEQ Table \* ARABIC \s 1 ">
        <w:r w:rsidR="00B27C70">
          <w:rPr>
            <w:noProof/>
          </w:rPr>
          <w:t>1</w:t>
        </w:r>
      </w:fldSimple>
      <w:bookmarkEnd w:id="166"/>
      <w:r>
        <w:t xml:space="preserve"> – Unmodelled programs not included in Repex model</w:t>
      </w:r>
      <w:bookmarkEnd w:id="167"/>
    </w:p>
    <w:tbl>
      <w:tblPr>
        <w:tblStyle w:val="TableGrid"/>
        <w:tblW w:w="0" w:type="auto"/>
        <w:tblLook w:val="04A0" w:firstRow="1" w:lastRow="0" w:firstColumn="1" w:lastColumn="0" w:noHBand="0" w:noVBand="1"/>
      </w:tblPr>
      <w:tblGrid>
        <w:gridCol w:w="2002"/>
        <w:gridCol w:w="3351"/>
        <w:gridCol w:w="3827"/>
      </w:tblGrid>
      <w:tr w:rsidR="00466C24" w14:paraId="56D9DF92" w14:textId="63B3FAF7" w:rsidTr="00AA17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tcPr>
          <w:p w14:paraId="3CA88F64" w14:textId="69D2E93C" w:rsidR="00466C24" w:rsidRDefault="00466C24" w:rsidP="00081A1D">
            <w:r>
              <w:t>Unmodelled Programs</w:t>
            </w:r>
          </w:p>
        </w:tc>
        <w:tc>
          <w:tcPr>
            <w:tcW w:w="3351" w:type="dxa"/>
          </w:tcPr>
          <w:p w14:paraId="2991BBAF" w14:textId="71FBC1EB" w:rsidR="00466C24" w:rsidRDefault="0010347B" w:rsidP="00081A1D">
            <w:pPr>
              <w:cnfStyle w:val="100000000000" w:firstRow="1" w:lastRow="0" w:firstColumn="0" w:lastColumn="0" w:oddVBand="0" w:evenVBand="0" w:oddHBand="0" w:evenHBand="0" w:firstRowFirstColumn="0" w:firstRowLastColumn="0" w:lastRowFirstColumn="0" w:lastRowLastColumn="0"/>
            </w:pPr>
            <w:r>
              <w:t>Description</w:t>
            </w:r>
            <w:r w:rsidR="00466C24">
              <w:t xml:space="preserve"> </w:t>
            </w:r>
          </w:p>
        </w:tc>
        <w:tc>
          <w:tcPr>
            <w:tcW w:w="3827" w:type="dxa"/>
          </w:tcPr>
          <w:p w14:paraId="0AAFBDB2" w14:textId="624B4BBB" w:rsidR="00466C24" w:rsidRDefault="0010347B" w:rsidP="00081A1D">
            <w:pPr>
              <w:cnfStyle w:val="100000000000" w:firstRow="1" w:lastRow="0" w:firstColumn="0" w:lastColumn="0" w:oddVBand="0" w:evenVBand="0" w:oddHBand="0" w:evenHBand="0" w:firstRowFirstColumn="0" w:firstRowLastColumn="0" w:lastRowFirstColumn="0" w:lastRowLastColumn="0"/>
            </w:pPr>
            <w:r>
              <w:t>Driver</w:t>
            </w:r>
          </w:p>
        </w:tc>
      </w:tr>
      <w:tr w:rsidR="0010347B" w14:paraId="1817FCDC" w14:textId="3EEFFC9E" w:rsidTr="00AA1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vAlign w:val="center"/>
          </w:tcPr>
          <w:p w14:paraId="6B4281A4" w14:textId="0CDD920B" w:rsidR="0010347B" w:rsidRDefault="0010347B" w:rsidP="00081A1D">
            <w:r>
              <w:rPr>
                <w:color w:val="000000"/>
                <w:szCs w:val="20"/>
              </w:rPr>
              <w:t>Protection Scheme</w:t>
            </w:r>
            <w:r w:rsidR="00654A4F">
              <w:rPr>
                <w:color w:val="000000"/>
                <w:szCs w:val="20"/>
              </w:rPr>
              <w:t>s</w:t>
            </w:r>
          </w:p>
        </w:tc>
        <w:tc>
          <w:tcPr>
            <w:tcW w:w="3351" w:type="dxa"/>
            <w:vAlign w:val="center"/>
          </w:tcPr>
          <w:p w14:paraId="71745CC6" w14:textId="1790A159" w:rsidR="0010347B" w:rsidRDefault="007851AB" w:rsidP="00ED2A55">
            <w:pPr>
              <w:cnfStyle w:val="000000100000" w:firstRow="0" w:lastRow="0" w:firstColumn="0" w:lastColumn="0" w:oddVBand="0" w:evenVBand="0" w:oddHBand="1" w:evenHBand="0" w:firstRowFirstColumn="0" w:firstRowLastColumn="0" w:lastRowFirstColumn="0" w:lastRowLastColumn="0"/>
            </w:pPr>
            <w:r>
              <w:t>B</w:t>
            </w:r>
            <w:r w:rsidR="00ED2A55">
              <w:t xml:space="preserve">us zone protection at locations where high fault levels exist, bus schemes are not present, bus faults are currently cleared via low speed overcurrent protection, </w:t>
            </w:r>
            <w:r w:rsidR="00ED2A55">
              <w:rPr>
                <w:color w:val="000000"/>
                <w:szCs w:val="20"/>
              </w:rPr>
              <w:t>transformer</w:t>
            </w:r>
            <w:r w:rsidR="0010347B">
              <w:rPr>
                <w:color w:val="000000"/>
                <w:szCs w:val="20"/>
              </w:rPr>
              <w:t xml:space="preserve"> ended feeders without diverse communications and 11kV feeders without under frequency load shed control.</w:t>
            </w:r>
          </w:p>
        </w:tc>
        <w:tc>
          <w:tcPr>
            <w:tcW w:w="3827" w:type="dxa"/>
            <w:vAlign w:val="center"/>
          </w:tcPr>
          <w:p w14:paraId="17BB2021" w14:textId="22A65133" w:rsidR="0010347B" w:rsidRDefault="00021CD2" w:rsidP="00AA3C4D">
            <w:pPr>
              <w:cnfStyle w:val="000000100000" w:firstRow="0" w:lastRow="0" w:firstColumn="0" w:lastColumn="0" w:oddVBand="0" w:evenVBand="0" w:oddHBand="1" w:evenHBand="0" w:firstRowFirstColumn="0" w:firstRowLastColumn="0" w:lastRowFirstColumn="0" w:lastRowLastColumn="0"/>
            </w:pPr>
            <w:r>
              <w:t>Replacement of existing aged protection schemes where they unable to meet current operating standards</w:t>
            </w:r>
          </w:p>
        </w:tc>
      </w:tr>
      <w:tr w:rsidR="00E80151" w14:paraId="6E3DF260" w14:textId="77777777" w:rsidTr="00AA17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vMerge w:val="restart"/>
            <w:vAlign w:val="center"/>
          </w:tcPr>
          <w:p w14:paraId="7F9435F2" w14:textId="77777777" w:rsidR="00E80151" w:rsidRDefault="00E80151" w:rsidP="00081A1D">
            <w:r>
              <w:rPr>
                <w:color w:val="000000"/>
                <w:szCs w:val="20"/>
              </w:rPr>
              <w:t>Asset Replacement</w:t>
            </w:r>
          </w:p>
          <w:p w14:paraId="73E68E1B" w14:textId="35DA3404" w:rsidR="00E80151" w:rsidRDefault="00E80151" w:rsidP="00081A1D">
            <w:r>
              <w:rPr>
                <w:color w:val="000000"/>
                <w:szCs w:val="20"/>
              </w:rPr>
              <w:t> </w:t>
            </w:r>
          </w:p>
          <w:p w14:paraId="6EE69220" w14:textId="55624411" w:rsidR="00E80151" w:rsidRDefault="00E80151" w:rsidP="00081A1D">
            <w:r>
              <w:rPr>
                <w:color w:val="000000"/>
                <w:szCs w:val="20"/>
              </w:rPr>
              <w:t> </w:t>
            </w:r>
          </w:p>
          <w:p w14:paraId="2CFDDCC5" w14:textId="77777777" w:rsidR="00E80151" w:rsidRDefault="00E80151" w:rsidP="00081A1D">
            <w:r>
              <w:rPr>
                <w:color w:val="000000"/>
                <w:szCs w:val="20"/>
              </w:rPr>
              <w:t> </w:t>
            </w:r>
          </w:p>
          <w:p w14:paraId="220B3381" w14:textId="6C4530E0" w:rsidR="00E80151" w:rsidRDefault="00E80151" w:rsidP="00081A1D"/>
          <w:p w14:paraId="29F9191F" w14:textId="705E49E1" w:rsidR="00E80151" w:rsidRDefault="00E80151" w:rsidP="00081A1D"/>
        </w:tc>
        <w:tc>
          <w:tcPr>
            <w:tcW w:w="3351" w:type="dxa"/>
            <w:vAlign w:val="center"/>
          </w:tcPr>
          <w:p w14:paraId="544589C2" w14:textId="38EEDE01" w:rsidR="00E80151" w:rsidRDefault="00E80151" w:rsidP="00081A1D">
            <w:pPr>
              <w:cnfStyle w:val="000000010000" w:firstRow="0" w:lastRow="0" w:firstColumn="0" w:lastColumn="0" w:oddVBand="0" w:evenVBand="0" w:oddHBand="0" w:evenHBand="1" w:firstRowFirstColumn="0" w:firstRowLastColumn="0" w:lastRowFirstColumn="0" w:lastRowLastColumn="0"/>
            </w:pPr>
            <w:r>
              <w:rPr>
                <w:color w:val="000000"/>
                <w:szCs w:val="20"/>
              </w:rPr>
              <w:t>132/110kV Insulators Replacement</w:t>
            </w:r>
          </w:p>
        </w:tc>
        <w:tc>
          <w:tcPr>
            <w:tcW w:w="3827" w:type="dxa"/>
            <w:vAlign w:val="center"/>
          </w:tcPr>
          <w:p w14:paraId="0AC2CCF8" w14:textId="694B2138" w:rsidR="00E80151" w:rsidRDefault="0045082C">
            <w:pPr>
              <w:cnfStyle w:val="000000010000" w:firstRow="0" w:lastRow="0" w:firstColumn="0" w:lastColumn="0" w:oddVBand="0" w:evenVBand="0" w:oddHBand="0" w:evenHBand="1" w:firstRowFirstColumn="0" w:firstRowLastColumn="0" w:lastRowFirstColumn="0" w:lastRowLastColumn="0"/>
            </w:pPr>
            <w:r>
              <w:rPr>
                <w:color w:val="000000"/>
                <w:szCs w:val="20"/>
              </w:rPr>
              <w:t>Replacements identified through p</w:t>
            </w:r>
            <w:r w:rsidR="00E80151">
              <w:rPr>
                <w:color w:val="000000"/>
                <w:szCs w:val="20"/>
              </w:rPr>
              <w:t>lanned inspections of overhead 132kV and 110kV network</w:t>
            </w:r>
            <w:r w:rsidR="003B0D70">
              <w:rPr>
                <w:color w:val="000000"/>
                <w:szCs w:val="20"/>
              </w:rPr>
              <w:t>.</w:t>
            </w:r>
          </w:p>
        </w:tc>
      </w:tr>
      <w:tr w:rsidR="00E80151" w14:paraId="332F9D38" w14:textId="77777777" w:rsidTr="00AA1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vMerge/>
            <w:vAlign w:val="center"/>
          </w:tcPr>
          <w:p w14:paraId="23B8F8AD" w14:textId="2F862795" w:rsidR="00E80151" w:rsidRDefault="00E80151" w:rsidP="00081A1D"/>
        </w:tc>
        <w:tc>
          <w:tcPr>
            <w:tcW w:w="3351" w:type="dxa"/>
            <w:vAlign w:val="center"/>
          </w:tcPr>
          <w:p w14:paraId="0A28DBD8" w14:textId="3EC7A514" w:rsidR="00E80151" w:rsidRDefault="00E80151" w:rsidP="00081A1D">
            <w:pPr>
              <w:cnfStyle w:val="000000100000" w:firstRow="0" w:lastRow="0" w:firstColumn="0" w:lastColumn="0" w:oddVBand="0" w:evenVBand="0" w:oddHBand="1" w:evenHBand="0" w:firstRowFirstColumn="0" w:firstRowLastColumn="0" w:lastRowFirstColumn="0" w:lastRowLastColumn="0"/>
            </w:pPr>
            <w:r>
              <w:rPr>
                <w:color w:val="000000"/>
                <w:szCs w:val="20"/>
              </w:rPr>
              <w:t>Planned Substation Battery Replacement</w:t>
            </w:r>
          </w:p>
        </w:tc>
        <w:tc>
          <w:tcPr>
            <w:tcW w:w="3827" w:type="dxa"/>
            <w:vAlign w:val="center"/>
          </w:tcPr>
          <w:p w14:paraId="5C869C86" w14:textId="7DF175D1" w:rsidR="00E80151" w:rsidRDefault="007851AB" w:rsidP="00081A1D">
            <w:pPr>
              <w:cnfStyle w:val="000000100000" w:firstRow="0" w:lastRow="0" w:firstColumn="0" w:lastColumn="0" w:oddVBand="0" w:evenVBand="0" w:oddHBand="1" w:evenHBand="0" w:firstRowFirstColumn="0" w:firstRowLastColumn="0" w:lastRowFirstColumn="0" w:lastRowLastColumn="0"/>
            </w:pPr>
            <w:r>
              <w:rPr>
                <w:color w:val="000000"/>
                <w:szCs w:val="20"/>
              </w:rPr>
              <w:t>P</w:t>
            </w:r>
            <w:r w:rsidR="00E80151">
              <w:rPr>
                <w:color w:val="000000"/>
                <w:szCs w:val="20"/>
              </w:rPr>
              <w:t xml:space="preserve">lanned replacement of the entire substation battery bank every </w:t>
            </w:r>
            <w:r>
              <w:rPr>
                <w:color w:val="000000"/>
                <w:szCs w:val="20"/>
              </w:rPr>
              <w:t xml:space="preserve">five </w:t>
            </w:r>
            <w:r w:rsidR="00E80151">
              <w:rPr>
                <w:color w:val="000000"/>
                <w:szCs w:val="20"/>
              </w:rPr>
              <w:t xml:space="preserve">years. This was determined through a joint Powerlink/Energex </w:t>
            </w:r>
            <w:r w:rsidR="00A94F78">
              <w:rPr>
                <w:color w:val="000000"/>
                <w:szCs w:val="20"/>
              </w:rPr>
              <w:t>engineering assessment and has been on</w:t>
            </w:r>
            <w:r w:rsidR="003B0D70">
              <w:rPr>
                <w:color w:val="000000"/>
                <w:szCs w:val="20"/>
              </w:rPr>
              <w:t>going for several</w:t>
            </w:r>
            <w:r w:rsidR="00A94F78">
              <w:rPr>
                <w:color w:val="000000"/>
                <w:szCs w:val="20"/>
              </w:rPr>
              <w:t xml:space="preserve"> years</w:t>
            </w:r>
            <w:r w:rsidR="00E80151">
              <w:rPr>
                <w:color w:val="000000"/>
                <w:szCs w:val="20"/>
              </w:rPr>
              <w:t>.</w:t>
            </w:r>
          </w:p>
        </w:tc>
      </w:tr>
      <w:tr w:rsidR="00E80151" w14:paraId="1F7B80BC" w14:textId="77777777" w:rsidTr="00AA17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vMerge/>
            <w:vAlign w:val="center"/>
          </w:tcPr>
          <w:p w14:paraId="6B0934CB" w14:textId="725683AA" w:rsidR="00E80151" w:rsidRDefault="00E80151" w:rsidP="00081A1D"/>
        </w:tc>
        <w:tc>
          <w:tcPr>
            <w:tcW w:w="3351" w:type="dxa"/>
            <w:vAlign w:val="center"/>
          </w:tcPr>
          <w:p w14:paraId="5B3B368C" w14:textId="0E3A9869" w:rsidR="00E80151" w:rsidRDefault="00E80151" w:rsidP="00E5185D">
            <w:pPr>
              <w:cnfStyle w:val="000000010000" w:firstRow="0" w:lastRow="0" w:firstColumn="0" w:lastColumn="0" w:oddVBand="0" w:evenVBand="0" w:oddHBand="0" w:evenHBand="1" w:firstRowFirstColumn="0" w:firstRowLastColumn="0" w:lastRowFirstColumn="0" w:lastRowLastColumn="0"/>
            </w:pPr>
            <w:r>
              <w:rPr>
                <w:color w:val="000000"/>
                <w:szCs w:val="20"/>
              </w:rPr>
              <w:t>110kV CVTs Replacement</w:t>
            </w:r>
          </w:p>
        </w:tc>
        <w:tc>
          <w:tcPr>
            <w:tcW w:w="3827" w:type="dxa"/>
            <w:vAlign w:val="center"/>
          </w:tcPr>
          <w:p w14:paraId="09A87ACB" w14:textId="4038F509" w:rsidR="00E80151" w:rsidRDefault="00E80151" w:rsidP="0045082C">
            <w:pPr>
              <w:cnfStyle w:val="000000010000" w:firstRow="0" w:lastRow="0" w:firstColumn="0" w:lastColumn="0" w:oddVBand="0" w:evenVBand="0" w:oddHBand="0" w:evenHBand="1" w:firstRowFirstColumn="0" w:firstRowLastColumn="0" w:lastRowFirstColumn="0" w:lastRowLastColumn="0"/>
            </w:pPr>
            <w:r>
              <w:rPr>
                <w:color w:val="000000"/>
                <w:szCs w:val="20"/>
              </w:rPr>
              <w:t xml:space="preserve">The outcome of </w:t>
            </w:r>
            <w:r w:rsidR="0045082C">
              <w:rPr>
                <w:color w:val="000000"/>
                <w:szCs w:val="20"/>
              </w:rPr>
              <w:t xml:space="preserve">a </w:t>
            </w:r>
            <w:r>
              <w:rPr>
                <w:color w:val="000000"/>
                <w:szCs w:val="20"/>
              </w:rPr>
              <w:t xml:space="preserve">failure investigation by </w:t>
            </w:r>
            <w:r w:rsidRPr="00E5185D">
              <w:rPr>
                <w:color w:val="000000"/>
                <w:szCs w:val="20"/>
              </w:rPr>
              <w:t xml:space="preserve">Powerlink </w:t>
            </w:r>
            <w:r w:rsidR="009B54C2" w:rsidRPr="00E5185D">
              <w:rPr>
                <w:color w:val="000000"/>
                <w:szCs w:val="20"/>
              </w:rPr>
              <w:t>on th</w:t>
            </w:r>
            <w:r w:rsidR="0045082C">
              <w:rPr>
                <w:color w:val="000000"/>
                <w:szCs w:val="20"/>
              </w:rPr>
              <w:t>e</w:t>
            </w:r>
            <w:r w:rsidR="009B54C2" w:rsidRPr="00E5185D">
              <w:rPr>
                <w:color w:val="000000"/>
                <w:szCs w:val="20"/>
              </w:rPr>
              <w:t>s</w:t>
            </w:r>
            <w:r w:rsidR="0045082C">
              <w:rPr>
                <w:color w:val="000000"/>
                <w:szCs w:val="20"/>
              </w:rPr>
              <w:t>e</w:t>
            </w:r>
            <w:r w:rsidRPr="00E5185D">
              <w:rPr>
                <w:color w:val="000000"/>
                <w:szCs w:val="20"/>
              </w:rPr>
              <w:t xml:space="preserve"> </w:t>
            </w:r>
            <w:r>
              <w:rPr>
                <w:color w:val="000000"/>
                <w:szCs w:val="20"/>
              </w:rPr>
              <w:t xml:space="preserve">CVTs </w:t>
            </w:r>
            <w:r w:rsidR="007851AB">
              <w:rPr>
                <w:color w:val="000000"/>
                <w:szCs w:val="20"/>
              </w:rPr>
              <w:t xml:space="preserve">was </w:t>
            </w:r>
            <w:r>
              <w:rPr>
                <w:color w:val="000000"/>
                <w:szCs w:val="20"/>
              </w:rPr>
              <w:t xml:space="preserve">to replace all </w:t>
            </w:r>
            <w:r w:rsidR="007851AB">
              <w:rPr>
                <w:color w:val="000000"/>
                <w:szCs w:val="20"/>
              </w:rPr>
              <w:t xml:space="preserve">assets </w:t>
            </w:r>
            <w:r w:rsidR="009B54C2">
              <w:rPr>
                <w:color w:val="000000"/>
                <w:szCs w:val="20"/>
              </w:rPr>
              <w:t>greater than 20 year</w:t>
            </w:r>
            <w:r w:rsidR="007851AB">
              <w:rPr>
                <w:color w:val="000000"/>
                <w:szCs w:val="20"/>
              </w:rPr>
              <w:t>s</w:t>
            </w:r>
            <w:r w:rsidR="009B54C2">
              <w:rPr>
                <w:color w:val="000000"/>
                <w:szCs w:val="20"/>
              </w:rPr>
              <w:t xml:space="preserve"> old</w:t>
            </w:r>
            <w:r>
              <w:rPr>
                <w:color w:val="000000"/>
                <w:szCs w:val="20"/>
              </w:rPr>
              <w:t xml:space="preserve"> before they catastrophically fail with a potential safety risk to personnel as the bushing material is porcelain. </w:t>
            </w:r>
          </w:p>
        </w:tc>
      </w:tr>
      <w:tr w:rsidR="00E80151" w14:paraId="18F20EE7" w14:textId="77777777" w:rsidTr="00AA1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vMerge/>
            <w:vAlign w:val="center"/>
          </w:tcPr>
          <w:p w14:paraId="3D8A30AD" w14:textId="2B1571AD" w:rsidR="00E80151" w:rsidRDefault="00E80151" w:rsidP="00081A1D"/>
        </w:tc>
        <w:tc>
          <w:tcPr>
            <w:tcW w:w="3351" w:type="dxa"/>
            <w:vAlign w:val="center"/>
          </w:tcPr>
          <w:p w14:paraId="797A315D" w14:textId="33940652" w:rsidR="00E80151" w:rsidRDefault="0033493C" w:rsidP="00081A1D">
            <w:pPr>
              <w:cnfStyle w:val="000000100000" w:firstRow="0" w:lastRow="0" w:firstColumn="0" w:lastColumn="0" w:oddVBand="0" w:evenVBand="0" w:oddHBand="1" w:evenHBand="0" w:firstRowFirstColumn="0" w:firstRowLastColumn="0" w:lastRowFirstColumn="0" w:lastRowLastColumn="0"/>
            </w:pPr>
            <w:r>
              <w:rPr>
                <w:color w:val="000000"/>
                <w:szCs w:val="20"/>
              </w:rPr>
              <w:t>Overhead Earth Wire (</w:t>
            </w:r>
            <w:r w:rsidR="00E80151">
              <w:rPr>
                <w:color w:val="000000"/>
                <w:szCs w:val="20"/>
              </w:rPr>
              <w:t>OHEW</w:t>
            </w:r>
            <w:r>
              <w:rPr>
                <w:color w:val="000000"/>
                <w:szCs w:val="20"/>
              </w:rPr>
              <w:t>)</w:t>
            </w:r>
            <w:r w:rsidR="00E80151">
              <w:rPr>
                <w:color w:val="000000"/>
                <w:szCs w:val="20"/>
              </w:rPr>
              <w:t xml:space="preserve"> Replacement</w:t>
            </w:r>
          </w:p>
        </w:tc>
        <w:tc>
          <w:tcPr>
            <w:tcW w:w="3827" w:type="dxa"/>
            <w:vAlign w:val="center"/>
          </w:tcPr>
          <w:p w14:paraId="5FC4B8CA" w14:textId="47694168" w:rsidR="00E80151" w:rsidRDefault="0045082C">
            <w:pPr>
              <w:cnfStyle w:val="000000100000" w:firstRow="0" w:lastRow="0" w:firstColumn="0" w:lastColumn="0" w:oddVBand="0" w:evenVBand="0" w:oddHBand="1" w:evenHBand="0" w:firstRowFirstColumn="0" w:firstRowLastColumn="0" w:lastRowFirstColumn="0" w:lastRowLastColumn="0"/>
            </w:pPr>
            <w:r>
              <w:rPr>
                <w:color w:val="000000"/>
                <w:szCs w:val="20"/>
              </w:rPr>
              <w:t>Replacements identified through p</w:t>
            </w:r>
            <w:r w:rsidR="00E80151">
              <w:rPr>
                <w:color w:val="000000"/>
                <w:szCs w:val="20"/>
              </w:rPr>
              <w:t xml:space="preserve">lanned inspections of overhead earth wires on the 132kV and 110kV network  </w:t>
            </w:r>
          </w:p>
        </w:tc>
      </w:tr>
      <w:tr w:rsidR="00E80151" w14:paraId="73F24D5C" w14:textId="77777777" w:rsidTr="00AA17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vMerge/>
            <w:vAlign w:val="center"/>
          </w:tcPr>
          <w:p w14:paraId="2E07F45E" w14:textId="0DFA5E82" w:rsidR="00E80151" w:rsidRDefault="00E80151" w:rsidP="00081A1D"/>
        </w:tc>
        <w:tc>
          <w:tcPr>
            <w:tcW w:w="3351" w:type="dxa"/>
            <w:vAlign w:val="center"/>
          </w:tcPr>
          <w:p w14:paraId="02368D3F" w14:textId="22D789CB" w:rsidR="00E80151" w:rsidRDefault="00E80151" w:rsidP="00081A1D">
            <w:pPr>
              <w:cnfStyle w:val="000000010000" w:firstRow="0" w:lastRow="0" w:firstColumn="0" w:lastColumn="0" w:oddVBand="0" w:evenVBand="0" w:oddHBand="0" w:evenHBand="1" w:firstRowFirstColumn="0" w:firstRowLastColumn="0" w:lastRowFirstColumn="0" w:lastRowLastColumn="0"/>
              <w:rPr>
                <w:color w:val="000000"/>
                <w:szCs w:val="20"/>
              </w:rPr>
            </w:pPr>
            <w:r>
              <w:rPr>
                <w:color w:val="000000"/>
                <w:szCs w:val="20"/>
              </w:rPr>
              <w:t>Replace Cable Terminations</w:t>
            </w:r>
          </w:p>
        </w:tc>
        <w:tc>
          <w:tcPr>
            <w:tcW w:w="3827" w:type="dxa"/>
            <w:vAlign w:val="center"/>
          </w:tcPr>
          <w:p w14:paraId="01D56E3A" w14:textId="47C467BB" w:rsidR="00E80151" w:rsidRDefault="00E80151" w:rsidP="00081A1D">
            <w:pPr>
              <w:cnfStyle w:val="000000010000" w:firstRow="0" w:lastRow="0" w:firstColumn="0" w:lastColumn="0" w:oddVBand="0" w:evenVBand="0" w:oddHBand="0" w:evenHBand="1" w:firstRowFirstColumn="0" w:firstRowLastColumn="0" w:lastRowFirstColumn="0" w:lastRowLastColumn="0"/>
              <w:rPr>
                <w:color w:val="000000"/>
                <w:szCs w:val="20"/>
              </w:rPr>
            </w:pPr>
            <w:r>
              <w:rPr>
                <w:color w:val="000000"/>
                <w:szCs w:val="20"/>
              </w:rPr>
              <w:t>Where high risk and “end of life” Cable Terminations exist, the cable needs to be replaced feeding the Ground Transformer.</w:t>
            </w:r>
          </w:p>
        </w:tc>
      </w:tr>
      <w:tr w:rsidR="00E80151" w14:paraId="7DFD9981" w14:textId="77777777" w:rsidTr="00AA1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vMerge/>
            <w:vAlign w:val="center"/>
          </w:tcPr>
          <w:p w14:paraId="58060BD1" w14:textId="214AAA4F" w:rsidR="00E80151" w:rsidRDefault="00E80151" w:rsidP="00081A1D"/>
        </w:tc>
        <w:tc>
          <w:tcPr>
            <w:tcW w:w="3351" w:type="dxa"/>
            <w:vAlign w:val="center"/>
          </w:tcPr>
          <w:p w14:paraId="7B002631" w14:textId="51A31E3D" w:rsidR="00E80151" w:rsidRDefault="00E80151" w:rsidP="00081A1D">
            <w:pPr>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Asset Management Requested Refurbishment</w:t>
            </w:r>
          </w:p>
        </w:tc>
        <w:tc>
          <w:tcPr>
            <w:tcW w:w="3827" w:type="dxa"/>
            <w:vAlign w:val="center"/>
          </w:tcPr>
          <w:p w14:paraId="4FC61AC3" w14:textId="14B7FC65" w:rsidR="00E80151" w:rsidRDefault="00E80151" w:rsidP="00081A1D">
            <w:pPr>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 xml:space="preserve">This program is for </w:t>
            </w:r>
            <w:r w:rsidR="00E5185D">
              <w:rPr>
                <w:color w:val="000000"/>
                <w:szCs w:val="20"/>
              </w:rPr>
              <w:t xml:space="preserve">minor </w:t>
            </w:r>
            <w:r>
              <w:rPr>
                <w:color w:val="000000"/>
                <w:szCs w:val="20"/>
              </w:rPr>
              <w:t xml:space="preserve">non-specific network components that are encountered during normal works and are identified by Asset managers as at "End of Life". </w:t>
            </w:r>
          </w:p>
        </w:tc>
      </w:tr>
      <w:tr w:rsidR="00A35CD8" w14:paraId="059149D1" w14:textId="77777777" w:rsidTr="00AA3C4D">
        <w:trPr>
          <w:cnfStyle w:val="000000010000" w:firstRow="0" w:lastRow="0" w:firstColumn="0" w:lastColumn="0" w:oddVBand="0" w:evenVBand="0" w:oddHBand="0" w:evenHBand="1" w:firstRowFirstColumn="0" w:firstRowLastColumn="0" w:lastRowFirstColumn="0" w:lastRowLastColumn="0"/>
          <w:trHeight w:val="1229"/>
        </w:trPr>
        <w:tc>
          <w:tcPr>
            <w:cnfStyle w:val="001000000000" w:firstRow="0" w:lastRow="0" w:firstColumn="1" w:lastColumn="0" w:oddVBand="0" w:evenVBand="0" w:oddHBand="0" w:evenHBand="0" w:firstRowFirstColumn="0" w:firstRowLastColumn="0" w:lastRowFirstColumn="0" w:lastRowLastColumn="0"/>
            <w:tcW w:w="2002" w:type="dxa"/>
            <w:vMerge w:val="restart"/>
            <w:vAlign w:val="center"/>
          </w:tcPr>
          <w:p w14:paraId="45AE351B" w14:textId="77777777" w:rsidR="00A35CD8" w:rsidRDefault="00A35CD8" w:rsidP="00081A1D">
            <w:r>
              <w:rPr>
                <w:color w:val="000000"/>
                <w:szCs w:val="20"/>
              </w:rPr>
              <w:t>Non-age Related Replacement</w:t>
            </w:r>
          </w:p>
          <w:p w14:paraId="473839D4" w14:textId="03C0AEBD" w:rsidR="00A35CD8" w:rsidRDefault="00A35CD8" w:rsidP="00081A1D">
            <w:r>
              <w:rPr>
                <w:color w:val="000000"/>
                <w:szCs w:val="20"/>
              </w:rPr>
              <w:t> </w:t>
            </w:r>
          </w:p>
          <w:p w14:paraId="530F5EDE" w14:textId="4252F653" w:rsidR="00A35CD8" w:rsidRDefault="00A35CD8" w:rsidP="00081A1D">
            <w:r>
              <w:rPr>
                <w:color w:val="000000"/>
                <w:szCs w:val="20"/>
              </w:rPr>
              <w:t> </w:t>
            </w:r>
          </w:p>
          <w:p w14:paraId="0FB75739" w14:textId="2F469871" w:rsidR="00A35CD8" w:rsidRDefault="00A35CD8" w:rsidP="00081A1D">
            <w:r>
              <w:rPr>
                <w:color w:val="000000"/>
                <w:szCs w:val="20"/>
              </w:rPr>
              <w:t> </w:t>
            </w:r>
          </w:p>
          <w:p w14:paraId="0799E0C1" w14:textId="42EA3D83" w:rsidR="00A35CD8" w:rsidRDefault="00A35CD8" w:rsidP="00081A1D">
            <w:r>
              <w:rPr>
                <w:color w:val="000000"/>
                <w:szCs w:val="20"/>
              </w:rPr>
              <w:t> </w:t>
            </w:r>
          </w:p>
          <w:p w14:paraId="7E8CAD9E" w14:textId="7F92EF10" w:rsidR="00A35CD8" w:rsidRDefault="00A35CD8" w:rsidP="00081A1D">
            <w:r>
              <w:rPr>
                <w:color w:val="000000"/>
                <w:szCs w:val="20"/>
              </w:rPr>
              <w:t> </w:t>
            </w:r>
          </w:p>
        </w:tc>
        <w:tc>
          <w:tcPr>
            <w:tcW w:w="3351" w:type="dxa"/>
            <w:vAlign w:val="center"/>
          </w:tcPr>
          <w:p w14:paraId="52475A67" w14:textId="711B725F" w:rsidR="00A35CD8" w:rsidRDefault="00A35CD8">
            <w:pPr>
              <w:cnfStyle w:val="000000010000" w:firstRow="0" w:lastRow="0" w:firstColumn="0" w:lastColumn="0" w:oddVBand="0" w:evenVBand="0" w:oddHBand="0" w:evenHBand="1" w:firstRowFirstColumn="0" w:firstRowLastColumn="0" w:lastRowFirstColumn="0" w:lastRowLastColumn="0"/>
            </w:pPr>
            <w:r>
              <w:rPr>
                <w:color w:val="000000"/>
                <w:szCs w:val="20"/>
              </w:rPr>
              <w:t>Non-age related circuit breaker replacement</w:t>
            </w:r>
          </w:p>
          <w:p w14:paraId="75ED7FC8" w14:textId="10B3602C" w:rsidR="00A35CD8" w:rsidRDefault="00A35CD8" w:rsidP="00081A1D">
            <w:pPr>
              <w:cnfStyle w:val="000000010000" w:firstRow="0" w:lastRow="0" w:firstColumn="0" w:lastColumn="0" w:oddVBand="0" w:evenVBand="0" w:oddHBand="0" w:evenHBand="1" w:firstRowFirstColumn="0" w:firstRowLastColumn="0" w:lastRowFirstColumn="0" w:lastRowLastColumn="0"/>
            </w:pPr>
          </w:p>
        </w:tc>
        <w:tc>
          <w:tcPr>
            <w:tcW w:w="3827" w:type="dxa"/>
            <w:vAlign w:val="center"/>
          </w:tcPr>
          <w:p w14:paraId="334BFF63" w14:textId="6DA1370C" w:rsidR="00A35CD8" w:rsidRPr="00E5185D" w:rsidRDefault="00A35CD8" w:rsidP="009D1479">
            <w:pPr>
              <w:cnfStyle w:val="000000010000" w:firstRow="0" w:lastRow="0" w:firstColumn="0" w:lastColumn="0" w:oddVBand="0" w:evenVBand="0" w:oddHBand="0" w:evenHBand="1" w:firstRowFirstColumn="0" w:firstRowLastColumn="0" w:lastRowFirstColumn="0" w:lastRowLastColumn="0"/>
              <w:rPr>
                <w:color w:val="000000"/>
                <w:szCs w:val="20"/>
              </w:rPr>
            </w:pPr>
            <w:r>
              <w:rPr>
                <w:color w:val="000000"/>
                <w:szCs w:val="20"/>
              </w:rPr>
              <w:t>Premature degradation of specific types of modern circuit breakers due to partial discharge.</w:t>
            </w:r>
          </w:p>
        </w:tc>
      </w:tr>
      <w:tr w:rsidR="00ED2A55" w14:paraId="31E448BE" w14:textId="77777777" w:rsidTr="00AA1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vMerge/>
            <w:vAlign w:val="center"/>
          </w:tcPr>
          <w:p w14:paraId="779BA6B8" w14:textId="51561139" w:rsidR="00ED2A55" w:rsidRDefault="00ED2A55" w:rsidP="00081A1D"/>
        </w:tc>
        <w:tc>
          <w:tcPr>
            <w:tcW w:w="3351" w:type="dxa"/>
            <w:vAlign w:val="center"/>
          </w:tcPr>
          <w:p w14:paraId="2957CE3E" w14:textId="5CC9B368" w:rsidR="00ED2A55" w:rsidRDefault="0033493C" w:rsidP="00081A1D">
            <w:pPr>
              <w:cnfStyle w:val="000000100000" w:firstRow="0" w:lastRow="0" w:firstColumn="0" w:lastColumn="0" w:oddVBand="0" w:evenVBand="0" w:oddHBand="1" w:evenHBand="0" w:firstRowFirstColumn="0" w:firstRowLastColumn="0" w:lastRowFirstColumn="0" w:lastRowLastColumn="0"/>
            </w:pPr>
            <w:r>
              <w:rPr>
                <w:color w:val="000000"/>
                <w:szCs w:val="20"/>
              </w:rPr>
              <w:t xml:space="preserve">Neutral Earth Resistor (NER) </w:t>
            </w:r>
            <w:r w:rsidR="00ED2A55">
              <w:rPr>
                <w:color w:val="000000"/>
                <w:szCs w:val="20"/>
              </w:rPr>
              <w:t>Replacement</w:t>
            </w:r>
          </w:p>
        </w:tc>
        <w:tc>
          <w:tcPr>
            <w:tcW w:w="3827" w:type="dxa"/>
            <w:vAlign w:val="center"/>
          </w:tcPr>
          <w:p w14:paraId="288FDB7E" w14:textId="40F473C6" w:rsidR="00ED2A55" w:rsidRDefault="00B42FDF" w:rsidP="00081A1D">
            <w:pPr>
              <w:cnfStyle w:val="000000100000" w:firstRow="0" w:lastRow="0" w:firstColumn="0" w:lastColumn="0" w:oddVBand="0" w:evenVBand="0" w:oddHBand="1" w:evenHBand="0" w:firstRowFirstColumn="0" w:firstRowLastColumn="0" w:lastRowFirstColumn="0" w:lastRowLastColumn="0"/>
            </w:pPr>
            <w:r>
              <w:rPr>
                <w:color w:val="000000"/>
                <w:szCs w:val="20"/>
              </w:rPr>
              <w:t>The</w:t>
            </w:r>
            <w:r w:rsidR="00ED2A55">
              <w:rPr>
                <w:color w:val="000000"/>
                <w:szCs w:val="20"/>
              </w:rPr>
              <w:t xml:space="preserve"> time required to maintain a NER is longer than what is allowed for the NER to be out of service. This was determined by a risk assessment safety driver.</w:t>
            </w:r>
          </w:p>
        </w:tc>
      </w:tr>
      <w:tr w:rsidR="00ED2A55" w14:paraId="35EC0374" w14:textId="77777777" w:rsidTr="00AA17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vMerge/>
            <w:vAlign w:val="center"/>
          </w:tcPr>
          <w:p w14:paraId="62481DB7" w14:textId="2C713865" w:rsidR="00ED2A55" w:rsidRDefault="00ED2A55" w:rsidP="00081A1D"/>
        </w:tc>
        <w:tc>
          <w:tcPr>
            <w:tcW w:w="3351" w:type="dxa"/>
            <w:vAlign w:val="center"/>
          </w:tcPr>
          <w:p w14:paraId="03A8DC36" w14:textId="7D0A4858" w:rsidR="00ED2A55" w:rsidRDefault="00ED2A55">
            <w:pPr>
              <w:cnfStyle w:val="000000010000" w:firstRow="0" w:lastRow="0" w:firstColumn="0" w:lastColumn="0" w:oddVBand="0" w:evenVBand="0" w:oddHBand="0" w:evenHBand="1" w:firstRowFirstColumn="0" w:firstRowLastColumn="0" w:lastRowFirstColumn="0" w:lastRowLastColumn="0"/>
            </w:pPr>
            <w:r>
              <w:rPr>
                <w:color w:val="000000"/>
                <w:szCs w:val="20"/>
              </w:rPr>
              <w:t xml:space="preserve">Andelect </w:t>
            </w:r>
            <w:r w:rsidR="0033493C">
              <w:rPr>
                <w:color w:val="000000"/>
                <w:szCs w:val="20"/>
              </w:rPr>
              <w:t xml:space="preserve">ring main unit </w:t>
            </w:r>
            <w:r>
              <w:rPr>
                <w:color w:val="000000"/>
                <w:szCs w:val="20"/>
              </w:rPr>
              <w:t>Replacement</w:t>
            </w:r>
          </w:p>
        </w:tc>
        <w:tc>
          <w:tcPr>
            <w:tcW w:w="3827" w:type="dxa"/>
            <w:vAlign w:val="center"/>
          </w:tcPr>
          <w:p w14:paraId="0014B839" w14:textId="28EF2AB0" w:rsidR="00ED2A55" w:rsidRDefault="00640987" w:rsidP="00081A1D">
            <w:pPr>
              <w:cnfStyle w:val="000000010000" w:firstRow="0" w:lastRow="0" w:firstColumn="0" w:lastColumn="0" w:oddVBand="0" w:evenVBand="0" w:oddHBand="0" w:evenHBand="1" w:firstRowFirstColumn="0" w:firstRowLastColumn="0" w:lastRowFirstColumn="0" w:lastRowLastColumn="0"/>
            </w:pPr>
            <w:r w:rsidRPr="00640987">
              <w:rPr>
                <w:color w:val="000000"/>
                <w:szCs w:val="20"/>
              </w:rPr>
              <w:t>Replacement driver is based on two known issues: the first is</w:t>
            </w:r>
            <w:r>
              <w:rPr>
                <w:color w:val="000000"/>
                <w:szCs w:val="20"/>
              </w:rPr>
              <w:t xml:space="preserve"> frequent</w:t>
            </w:r>
            <w:r w:rsidRPr="00640987">
              <w:rPr>
                <w:color w:val="000000"/>
                <w:szCs w:val="20"/>
              </w:rPr>
              <w:t xml:space="preserve"> </w:t>
            </w:r>
            <w:r>
              <w:rPr>
                <w:color w:val="000000"/>
                <w:szCs w:val="20"/>
              </w:rPr>
              <w:t>oil leak</w:t>
            </w:r>
            <w:r w:rsidRPr="00640987">
              <w:rPr>
                <w:color w:val="000000"/>
                <w:szCs w:val="20"/>
              </w:rPr>
              <w:t xml:space="preserve"> attributed to the failure of the bottom tank </w:t>
            </w:r>
            <w:r>
              <w:rPr>
                <w:color w:val="000000"/>
                <w:szCs w:val="20"/>
              </w:rPr>
              <w:t xml:space="preserve">gasket and other issue </w:t>
            </w:r>
            <w:r w:rsidRPr="00640987">
              <w:rPr>
                <w:color w:val="000000"/>
                <w:szCs w:val="20"/>
              </w:rPr>
              <w:t xml:space="preserve">is the tendency for coupled units (SDAF and SDAF3) to fail in the coupling chamber. </w:t>
            </w:r>
          </w:p>
        </w:tc>
      </w:tr>
      <w:tr w:rsidR="00A35CD8" w14:paraId="165552DB" w14:textId="77777777" w:rsidTr="009D1479">
        <w:trPr>
          <w:cnfStyle w:val="000000100000" w:firstRow="0" w:lastRow="0" w:firstColumn="0" w:lastColumn="0" w:oddVBand="0" w:evenVBand="0" w:oddHBand="1" w:evenHBand="0" w:firstRowFirstColumn="0" w:firstRowLastColumn="0" w:lastRowFirstColumn="0" w:lastRowLastColumn="0"/>
          <w:trHeight w:val="2140"/>
        </w:trPr>
        <w:tc>
          <w:tcPr>
            <w:cnfStyle w:val="001000000000" w:firstRow="0" w:lastRow="0" w:firstColumn="1" w:lastColumn="0" w:oddVBand="0" w:evenVBand="0" w:oddHBand="0" w:evenHBand="0" w:firstRowFirstColumn="0" w:firstRowLastColumn="0" w:lastRowFirstColumn="0" w:lastRowLastColumn="0"/>
            <w:tcW w:w="2002" w:type="dxa"/>
            <w:vMerge/>
            <w:vAlign w:val="center"/>
          </w:tcPr>
          <w:p w14:paraId="4067D961" w14:textId="32D7855E" w:rsidR="00A35CD8" w:rsidRDefault="00A35CD8" w:rsidP="00081A1D"/>
        </w:tc>
        <w:tc>
          <w:tcPr>
            <w:tcW w:w="3351" w:type="dxa"/>
            <w:vAlign w:val="center"/>
          </w:tcPr>
          <w:p w14:paraId="6B0B3275" w14:textId="36E6981B" w:rsidR="00A35CD8" w:rsidRDefault="00A35CD8" w:rsidP="00081A1D">
            <w:pPr>
              <w:cnfStyle w:val="000000100000" w:firstRow="0" w:lastRow="0" w:firstColumn="0" w:lastColumn="0" w:oddVBand="0" w:evenVBand="0" w:oddHBand="1" w:evenHBand="0" w:firstRowFirstColumn="0" w:firstRowLastColumn="0" w:lastRowFirstColumn="0" w:lastRowLastColumn="0"/>
            </w:pPr>
            <w:r>
              <w:rPr>
                <w:color w:val="000000"/>
                <w:szCs w:val="20"/>
              </w:rPr>
              <w:t>Specific air break switch replacement</w:t>
            </w:r>
          </w:p>
        </w:tc>
        <w:tc>
          <w:tcPr>
            <w:tcW w:w="3827" w:type="dxa"/>
            <w:vAlign w:val="center"/>
          </w:tcPr>
          <w:p w14:paraId="279B92A4" w14:textId="4C13C9B8" w:rsidR="00A35CD8" w:rsidRDefault="00A35CD8" w:rsidP="00081A1D">
            <w:pPr>
              <w:cnfStyle w:val="000000100000" w:firstRow="0" w:lastRow="0" w:firstColumn="0" w:lastColumn="0" w:oddVBand="0" w:evenVBand="0" w:oddHBand="1" w:evenHBand="0" w:firstRowFirstColumn="0" w:firstRowLastColumn="0" w:lastRowFirstColumn="0" w:lastRowLastColumn="0"/>
            </w:pPr>
            <w:r>
              <w:rPr>
                <w:color w:val="000000"/>
                <w:szCs w:val="20"/>
              </w:rPr>
              <w:t xml:space="preserve">Insulators of the switches have pin corrosion which has led to numerous insulators with hairline cracks failing when the switch is operated. </w:t>
            </w:r>
          </w:p>
        </w:tc>
      </w:tr>
      <w:tr w:rsidR="0010347B" w14:paraId="37677ED9" w14:textId="77777777" w:rsidTr="00AA17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vAlign w:val="center"/>
          </w:tcPr>
          <w:p w14:paraId="2EE4CFE4" w14:textId="07F8011E" w:rsidR="0010347B" w:rsidRDefault="0010347B" w:rsidP="00081A1D">
            <w:r>
              <w:rPr>
                <w:color w:val="000000"/>
                <w:szCs w:val="20"/>
              </w:rPr>
              <w:t>Reactive Work Program</w:t>
            </w:r>
          </w:p>
        </w:tc>
        <w:tc>
          <w:tcPr>
            <w:tcW w:w="3351" w:type="dxa"/>
            <w:vAlign w:val="center"/>
          </w:tcPr>
          <w:p w14:paraId="1B082B88" w14:textId="0E80721D" w:rsidR="0010347B" w:rsidRDefault="00160F3E" w:rsidP="00081A1D">
            <w:pPr>
              <w:cnfStyle w:val="000000010000" w:firstRow="0" w:lastRow="0" w:firstColumn="0" w:lastColumn="0" w:oddVBand="0" w:evenVBand="0" w:oddHBand="0" w:evenHBand="1" w:firstRowFirstColumn="0" w:firstRowLastColumn="0" w:lastRowFirstColumn="0" w:lastRowLastColumn="0"/>
            </w:pPr>
            <w:r>
              <w:rPr>
                <w:color w:val="000000"/>
                <w:szCs w:val="20"/>
              </w:rPr>
              <w:t>C</w:t>
            </w:r>
            <w:r w:rsidRPr="00160F3E">
              <w:rPr>
                <w:color w:val="000000"/>
                <w:szCs w:val="20"/>
              </w:rPr>
              <w:t>apital replacement of plant which fails in service, requiring quick turnaround.</w:t>
            </w:r>
          </w:p>
        </w:tc>
        <w:tc>
          <w:tcPr>
            <w:tcW w:w="3827" w:type="dxa"/>
            <w:vAlign w:val="center"/>
          </w:tcPr>
          <w:p w14:paraId="237AC1BF" w14:textId="45F1A213" w:rsidR="0010347B" w:rsidRDefault="00B42FDF" w:rsidP="00081A1D">
            <w:pPr>
              <w:cnfStyle w:val="000000010000" w:firstRow="0" w:lastRow="0" w:firstColumn="0" w:lastColumn="0" w:oddVBand="0" w:evenVBand="0" w:oddHBand="0" w:evenHBand="1" w:firstRowFirstColumn="0" w:firstRowLastColumn="0" w:lastRowFirstColumn="0" w:lastRowLastColumn="0"/>
            </w:pPr>
            <w:r>
              <w:rPr>
                <w:color w:val="000000"/>
                <w:szCs w:val="20"/>
              </w:rPr>
              <w:t xml:space="preserve">Provision of </w:t>
            </w:r>
            <w:r w:rsidR="00160F3E" w:rsidRPr="00160F3E">
              <w:rPr>
                <w:color w:val="000000"/>
                <w:szCs w:val="20"/>
              </w:rPr>
              <w:t>fast-tracked capital replacement of critical system assets which fail in service where there are no applicable alternative options and repair is not economical.</w:t>
            </w:r>
          </w:p>
        </w:tc>
      </w:tr>
      <w:tr w:rsidR="002072B5" w14:paraId="130201AD" w14:textId="77777777" w:rsidTr="00AA1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vMerge w:val="restart"/>
            <w:vAlign w:val="center"/>
          </w:tcPr>
          <w:p w14:paraId="210C303D" w14:textId="77777777" w:rsidR="002072B5" w:rsidRDefault="002072B5" w:rsidP="00081A1D">
            <w:r>
              <w:rPr>
                <w:color w:val="000000"/>
                <w:szCs w:val="20"/>
              </w:rPr>
              <w:t>Life Extension Trials &amp; Condition Monitoring</w:t>
            </w:r>
          </w:p>
          <w:p w14:paraId="6BA36528" w14:textId="3E7DB314" w:rsidR="002072B5" w:rsidRDefault="002072B5" w:rsidP="00081A1D">
            <w:r>
              <w:rPr>
                <w:color w:val="000000"/>
                <w:szCs w:val="20"/>
              </w:rPr>
              <w:t> </w:t>
            </w:r>
          </w:p>
          <w:p w14:paraId="766C96EE" w14:textId="0AB435B9" w:rsidR="002072B5" w:rsidRDefault="002072B5" w:rsidP="00081A1D">
            <w:r>
              <w:rPr>
                <w:color w:val="000000"/>
                <w:szCs w:val="20"/>
              </w:rPr>
              <w:t> </w:t>
            </w:r>
          </w:p>
          <w:p w14:paraId="3BB20B45" w14:textId="77777777" w:rsidR="002072B5" w:rsidRDefault="002072B5" w:rsidP="00081A1D">
            <w:r>
              <w:rPr>
                <w:color w:val="000000"/>
                <w:szCs w:val="20"/>
              </w:rPr>
              <w:t> </w:t>
            </w:r>
          </w:p>
          <w:p w14:paraId="01D7A3B9" w14:textId="6F328C0D" w:rsidR="002072B5" w:rsidRDefault="002072B5" w:rsidP="00081A1D"/>
        </w:tc>
        <w:tc>
          <w:tcPr>
            <w:tcW w:w="3351" w:type="dxa"/>
            <w:vAlign w:val="center"/>
          </w:tcPr>
          <w:p w14:paraId="48B0A628" w14:textId="2E279B13" w:rsidR="002072B5" w:rsidRDefault="002072B5" w:rsidP="00081A1D">
            <w:pPr>
              <w:cnfStyle w:val="000000100000" w:firstRow="0" w:lastRow="0" w:firstColumn="0" w:lastColumn="0" w:oddVBand="0" w:evenVBand="0" w:oddHBand="1" w:evenHBand="0" w:firstRowFirstColumn="0" w:firstRowLastColumn="0" w:lastRowFirstColumn="0" w:lastRowLastColumn="0"/>
            </w:pPr>
            <w:r>
              <w:rPr>
                <w:color w:val="000000"/>
                <w:szCs w:val="20"/>
              </w:rPr>
              <w:t>Transformer Moisture Rectification</w:t>
            </w:r>
          </w:p>
        </w:tc>
        <w:tc>
          <w:tcPr>
            <w:tcW w:w="3827" w:type="dxa"/>
            <w:vAlign w:val="center"/>
          </w:tcPr>
          <w:p w14:paraId="3BE31DFB" w14:textId="019C9788" w:rsidR="002072B5" w:rsidRDefault="00B42FDF" w:rsidP="00081A1D">
            <w:pPr>
              <w:cnfStyle w:val="000000100000" w:firstRow="0" w:lastRow="0" w:firstColumn="0" w:lastColumn="0" w:oddVBand="0" w:evenVBand="0" w:oddHBand="1" w:evenHBand="0" w:firstRowFirstColumn="0" w:firstRowLastColumn="0" w:lastRowFirstColumn="0" w:lastRowLastColumn="0"/>
            </w:pPr>
            <w:r>
              <w:rPr>
                <w:color w:val="000000"/>
                <w:szCs w:val="20"/>
              </w:rPr>
              <w:t xml:space="preserve">Increasing </w:t>
            </w:r>
            <w:r w:rsidR="002072B5">
              <w:rPr>
                <w:color w:val="000000"/>
                <w:szCs w:val="20"/>
              </w:rPr>
              <w:t xml:space="preserve">moisture levels in some of the Energex transformer fleet. If this is not rectified the insulation will age exponentially leading to </w:t>
            </w:r>
            <w:r w:rsidR="00E82E78">
              <w:rPr>
                <w:color w:val="000000"/>
                <w:szCs w:val="20"/>
              </w:rPr>
              <w:t xml:space="preserve">a reduction in useful life or </w:t>
            </w:r>
            <w:r w:rsidR="002072B5">
              <w:rPr>
                <w:color w:val="000000"/>
                <w:szCs w:val="20"/>
              </w:rPr>
              <w:t>failure of the internal windings</w:t>
            </w:r>
            <w:r w:rsidR="00E82E78">
              <w:rPr>
                <w:color w:val="000000"/>
                <w:szCs w:val="20"/>
              </w:rPr>
              <w:t>.</w:t>
            </w:r>
          </w:p>
        </w:tc>
      </w:tr>
      <w:tr w:rsidR="002072B5" w14:paraId="15C17A24" w14:textId="77777777" w:rsidTr="00AA17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vMerge/>
            <w:vAlign w:val="center"/>
          </w:tcPr>
          <w:p w14:paraId="05F06C3C" w14:textId="1AEF3077" w:rsidR="002072B5" w:rsidRDefault="002072B5" w:rsidP="00081A1D"/>
        </w:tc>
        <w:tc>
          <w:tcPr>
            <w:tcW w:w="3351" w:type="dxa"/>
            <w:vAlign w:val="center"/>
          </w:tcPr>
          <w:p w14:paraId="7374E434" w14:textId="23193375" w:rsidR="002072B5" w:rsidRDefault="00D73AD8" w:rsidP="00081A1D">
            <w:pPr>
              <w:cnfStyle w:val="000000010000" w:firstRow="0" w:lastRow="0" w:firstColumn="0" w:lastColumn="0" w:oddVBand="0" w:evenVBand="0" w:oddHBand="0" w:evenHBand="1" w:firstRowFirstColumn="0" w:firstRowLastColumn="0" w:lastRowFirstColumn="0" w:lastRowLastColumn="0"/>
            </w:pPr>
            <w:r>
              <w:rPr>
                <w:color w:val="000000"/>
                <w:szCs w:val="20"/>
              </w:rPr>
              <w:t>Regenerative</w:t>
            </w:r>
            <w:r w:rsidR="002072B5">
              <w:rPr>
                <w:color w:val="000000"/>
                <w:szCs w:val="20"/>
              </w:rPr>
              <w:t xml:space="preserve"> Breather Installation</w:t>
            </w:r>
          </w:p>
        </w:tc>
        <w:tc>
          <w:tcPr>
            <w:tcW w:w="3827" w:type="dxa"/>
            <w:vAlign w:val="center"/>
          </w:tcPr>
          <w:p w14:paraId="666397BF" w14:textId="7CF3A108" w:rsidR="002072B5" w:rsidRDefault="00B42FDF" w:rsidP="00081A1D">
            <w:pPr>
              <w:cnfStyle w:val="000000010000" w:firstRow="0" w:lastRow="0" w:firstColumn="0" w:lastColumn="0" w:oddVBand="0" w:evenVBand="0" w:oddHBand="0" w:evenHBand="1" w:firstRowFirstColumn="0" w:firstRowLastColumn="0" w:lastRowFirstColumn="0" w:lastRowLastColumn="0"/>
            </w:pPr>
            <w:r>
              <w:rPr>
                <w:color w:val="000000"/>
                <w:szCs w:val="20"/>
              </w:rPr>
              <w:t>I</w:t>
            </w:r>
            <w:r w:rsidR="002072B5">
              <w:rPr>
                <w:color w:val="000000"/>
                <w:szCs w:val="20"/>
              </w:rPr>
              <w:t xml:space="preserve">ncreasing moisture developing in the new tap changers. If not addressed </w:t>
            </w:r>
            <w:r>
              <w:rPr>
                <w:color w:val="000000"/>
                <w:szCs w:val="20"/>
              </w:rPr>
              <w:t xml:space="preserve">assets </w:t>
            </w:r>
            <w:r w:rsidR="002072B5">
              <w:rPr>
                <w:color w:val="000000"/>
                <w:szCs w:val="20"/>
              </w:rPr>
              <w:t xml:space="preserve">will catastrophically fail as the clearances within are less than in older unit. </w:t>
            </w:r>
          </w:p>
        </w:tc>
      </w:tr>
      <w:tr w:rsidR="002072B5" w14:paraId="3297E4ED" w14:textId="77777777" w:rsidTr="00AA1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vMerge/>
            <w:vAlign w:val="center"/>
          </w:tcPr>
          <w:p w14:paraId="214C0FF0" w14:textId="2F601208" w:rsidR="002072B5" w:rsidRDefault="002072B5" w:rsidP="00081A1D"/>
        </w:tc>
        <w:tc>
          <w:tcPr>
            <w:tcW w:w="3351" w:type="dxa"/>
            <w:vAlign w:val="center"/>
          </w:tcPr>
          <w:p w14:paraId="7E0C3124" w14:textId="61528467" w:rsidR="002072B5" w:rsidRDefault="002072B5" w:rsidP="00081A1D">
            <w:pPr>
              <w:cnfStyle w:val="000000100000" w:firstRow="0" w:lastRow="0" w:firstColumn="0" w:lastColumn="0" w:oddVBand="0" w:evenVBand="0" w:oddHBand="1" w:evenHBand="0" w:firstRowFirstColumn="0" w:firstRowLastColumn="0" w:lastRowFirstColumn="0" w:lastRowLastColumn="0"/>
            </w:pPr>
            <w:r>
              <w:rPr>
                <w:color w:val="000000"/>
                <w:szCs w:val="20"/>
              </w:rPr>
              <w:t>Air Conditioning</w:t>
            </w:r>
          </w:p>
        </w:tc>
        <w:tc>
          <w:tcPr>
            <w:tcW w:w="3827" w:type="dxa"/>
            <w:vAlign w:val="center"/>
          </w:tcPr>
          <w:p w14:paraId="34C632CE" w14:textId="22CC9587" w:rsidR="002072B5" w:rsidRDefault="00B42FDF" w:rsidP="00081A1D">
            <w:pPr>
              <w:cnfStyle w:val="000000100000" w:firstRow="0" w:lastRow="0" w:firstColumn="0" w:lastColumn="0" w:oddVBand="0" w:evenVBand="0" w:oddHBand="1" w:evenHBand="0" w:firstRowFirstColumn="0" w:firstRowLastColumn="0" w:lastRowFirstColumn="0" w:lastRowLastColumn="0"/>
            </w:pPr>
            <w:r>
              <w:rPr>
                <w:color w:val="000000"/>
                <w:szCs w:val="20"/>
              </w:rPr>
              <w:t>A</w:t>
            </w:r>
            <w:r w:rsidR="00AA1791" w:rsidRPr="00AA1791">
              <w:rPr>
                <w:color w:val="000000"/>
                <w:szCs w:val="20"/>
              </w:rPr>
              <w:t xml:space="preserve"> small quantity of observed degrading sites with HS Eclipse switchgear that are at risk of failure.</w:t>
            </w:r>
            <w:r w:rsidR="00AA1791">
              <w:t xml:space="preserve"> </w:t>
            </w:r>
            <w:r w:rsidR="00AA1791" w:rsidRPr="00AA1791">
              <w:rPr>
                <w:color w:val="000000"/>
                <w:szCs w:val="20"/>
              </w:rPr>
              <w:t>As the P</w:t>
            </w:r>
            <w:r w:rsidR="00AA1791">
              <w:rPr>
                <w:color w:val="000000"/>
                <w:szCs w:val="20"/>
              </w:rPr>
              <w:t xml:space="preserve">artial </w:t>
            </w:r>
            <w:r w:rsidR="00AA1791" w:rsidRPr="00AA1791">
              <w:rPr>
                <w:color w:val="000000"/>
                <w:szCs w:val="20"/>
              </w:rPr>
              <w:t>D</w:t>
            </w:r>
            <w:r w:rsidR="00AA1791">
              <w:rPr>
                <w:color w:val="000000"/>
                <w:szCs w:val="20"/>
              </w:rPr>
              <w:t>ischarge</w:t>
            </w:r>
            <w:r w:rsidR="00AA1791" w:rsidRPr="00AA1791">
              <w:rPr>
                <w:color w:val="000000"/>
                <w:szCs w:val="20"/>
              </w:rPr>
              <w:t xml:space="preserve"> is very sensitive to the environment, studies have shown that a reduction in the substation humidity by employing A/C can substantially reduce the risk of PD occurring and hence the risk of a catastrophic failure.</w:t>
            </w:r>
          </w:p>
        </w:tc>
      </w:tr>
      <w:tr w:rsidR="002072B5" w14:paraId="08CFB16A" w14:textId="77777777" w:rsidTr="00AA17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vMerge/>
            <w:vAlign w:val="center"/>
          </w:tcPr>
          <w:p w14:paraId="11243FC7" w14:textId="1BA4007C" w:rsidR="002072B5" w:rsidRDefault="002072B5" w:rsidP="00081A1D"/>
        </w:tc>
        <w:tc>
          <w:tcPr>
            <w:tcW w:w="3351" w:type="dxa"/>
            <w:vAlign w:val="center"/>
          </w:tcPr>
          <w:p w14:paraId="36AF6C4B" w14:textId="35AE5D54" w:rsidR="002072B5" w:rsidRDefault="002072B5" w:rsidP="00081A1D">
            <w:pPr>
              <w:cnfStyle w:val="000000010000" w:firstRow="0" w:lastRow="0" w:firstColumn="0" w:lastColumn="0" w:oddVBand="0" w:evenVBand="0" w:oddHBand="0" w:evenHBand="1" w:firstRowFirstColumn="0" w:firstRowLastColumn="0" w:lastRowFirstColumn="0" w:lastRowLastColumn="0"/>
            </w:pPr>
            <w:r>
              <w:rPr>
                <w:color w:val="000000"/>
                <w:szCs w:val="20"/>
              </w:rPr>
              <w:t>Condition Monitoring</w:t>
            </w:r>
          </w:p>
        </w:tc>
        <w:tc>
          <w:tcPr>
            <w:tcW w:w="3827" w:type="dxa"/>
            <w:vAlign w:val="center"/>
          </w:tcPr>
          <w:p w14:paraId="02DA392A" w14:textId="4C247BB4" w:rsidR="002072B5" w:rsidRDefault="00B42FDF" w:rsidP="0045082C">
            <w:pPr>
              <w:cnfStyle w:val="000000010000" w:firstRow="0" w:lastRow="0" w:firstColumn="0" w:lastColumn="0" w:oddVBand="0" w:evenVBand="0" w:oddHBand="0" w:evenHBand="1" w:firstRowFirstColumn="0" w:firstRowLastColumn="0" w:lastRowFirstColumn="0" w:lastRowLastColumn="0"/>
            </w:pPr>
            <w:r>
              <w:rPr>
                <w:color w:val="000000"/>
                <w:szCs w:val="20"/>
              </w:rPr>
              <w:t>B</w:t>
            </w:r>
            <w:r w:rsidR="002072B5">
              <w:rPr>
                <w:color w:val="000000"/>
                <w:szCs w:val="20"/>
              </w:rPr>
              <w:t>etter assess</w:t>
            </w:r>
            <w:r>
              <w:rPr>
                <w:color w:val="000000"/>
                <w:szCs w:val="20"/>
              </w:rPr>
              <w:t>ment of</w:t>
            </w:r>
            <w:r w:rsidR="002072B5">
              <w:rPr>
                <w:color w:val="000000"/>
                <w:szCs w:val="20"/>
              </w:rPr>
              <w:t xml:space="preserve"> equipment condition </w:t>
            </w:r>
            <w:r>
              <w:rPr>
                <w:color w:val="000000"/>
                <w:szCs w:val="20"/>
              </w:rPr>
              <w:t xml:space="preserve">such </w:t>
            </w:r>
            <w:r w:rsidR="002072B5">
              <w:rPr>
                <w:color w:val="000000"/>
                <w:szCs w:val="20"/>
              </w:rPr>
              <w:t>that it is replaced just before failure or that it is better to run to failure</w:t>
            </w:r>
            <w:r>
              <w:rPr>
                <w:color w:val="000000"/>
                <w:szCs w:val="20"/>
              </w:rPr>
              <w:t>,</w:t>
            </w:r>
            <w:r w:rsidR="002072B5">
              <w:rPr>
                <w:color w:val="000000"/>
                <w:szCs w:val="20"/>
              </w:rPr>
              <w:t>.</w:t>
            </w:r>
          </w:p>
        </w:tc>
      </w:tr>
      <w:tr w:rsidR="002072B5" w14:paraId="2CBD785B" w14:textId="77777777" w:rsidTr="00AA1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vMerge/>
            <w:vAlign w:val="center"/>
          </w:tcPr>
          <w:p w14:paraId="521EFDEF" w14:textId="258BC0DF" w:rsidR="002072B5" w:rsidRPr="00E80151" w:rsidRDefault="002072B5" w:rsidP="00081A1D">
            <w:pPr>
              <w:rPr>
                <w:b/>
              </w:rPr>
            </w:pPr>
          </w:p>
        </w:tc>
        <w:tc>
          <w:tcPr>
            <w:tcW w:w="3351" w:type="dxa"/>
            <w:vAlign w:val="center"/>
          </w:tcPr>
          <w:p w14:paraId="0A009876" w14:textId="23596599" w:rsidR="002072B5" w:rsidRDefault="002072B5">
            <w:pPr>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 xml:space="preserve">Distribution </w:t>
            </w:r>
            <w:r w:rsidR="0033493C">
              <w:rPr>
                <w:color w:val="000000"/>
                <w:szCs w:val="20"/>
              </w:rPr>
              <w:t>power quality m</w:t>
            </w:r>
            <w:r>
              <w:rPr>
                <w:color w:val="000000"/>
                <w:szCs w:val="20"/>
              </w:rPr>
              <w:t xml:space="preserve">onitoring - </w:t>
            </w:r>
            <w:r w:rsidR="0033493C">
              <w:rPr>
                <w:color w:val="000000"/>
                <w:szCs w:val="20"/>
              </w:rPr>
              <w:t>pole mounted transformer</w:t>
            </w:r>
          </w:p>
        </w:tc>
        <w:tc>
          <w:tcPr>
            <w:tcW w:w="3827" w:type="dxa"/>
            <w:vAlign w:val="center"/>
          </w:tcPr>
          <w:p w14:paraId="53E5AA27" w14:textId="76C44777" w:rsidR="002072B5" w:rsidRDefault="002072B5" w:rsidP="00676A16">
            <w:pPr>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Energex has a responsibility to provide a reliable supply of electricity to its customers with acceptable supply quality.  This program enables the monitoring of the network to provide input into reporting systems, network analysis and remediation programs.</w:t>
            </w:r>
          </w:p>
        </w:tc>
      </w:tr>
      <w:tr w:rsidR="00ED2A55" w14:paraId="35D74216" w14:textId="77777777" w:rsidTr="00AA17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vMerge w:val="restart"/>
            <w:vAlign w:val="center"/>
          </w:tcPr>
          <w:p w14:paraId="0F434993" w14:textId="77777777" w:rsidR="00ED2A55" w:rsidRDefault="00ED2A55" w:rsidP="00081A1D">
            <w:r>
              <w:rPr>
                <w:color w:val="000000"/>
                <w:szCs w:val="20"/>
              </w:rPr>
              <w:t>SCADA System</w:t>
            </w:r>
          </w:p>
          <w:p w14:paraId="236A3757" w14:textId="74A053D8" w:rsidR="00ED2A55" w:rsidRDefault="00ED2A55" w:rsidP="00081A1D">
            <w:r>
              <w:rPr>
                <w:color w:val="000000"/>
                <w:szCs w:val="20"/>
              </w:rPr>
              <w:t> </w:t>
            </w:r>
          </w:p>
          <w:p w14:paraId="3CD9BB27" w14:textId="17E2D8B5" w:rsidR="00ED2A55" w:rsidRDefault="00ED2A55" w:rsidP="00081A1D">
            <w:r>
              <w:rPr>
                <w:color w:val="000000"/>
                <w:szCs w:val="20"/>
              </w:rPr>
              <w:t> </w:t>
            </w:r>
          </w:p>
          <w:p w14:paraId="75C63623" w14:textId="21C1839D" w:rsidR="00ED2A55" w:rsidRDefault="00ED2A55" w:rsidP="00081A1D">
            <w:r>
              <w:rPr>
                <w:color w:val="000000"/>
                <w:szCs w:val="20"/>
              </w:rPr>
              <w:t> </w:t>
            </w:r>
          </w:p>
        </w:tc>
        <w:tc>
          <w:tcPr>
            <w:tcW w:w="3351" w:type="dxa"/>
            <w:vAlign w:val="center"/>
          </w:tcPr>
          <w:p w14:paraId="5017C2FE" w14:textId="727F4A2A" w:rsidR="00ED2A55" w:rsidRDefault="00ED2A55">
            <w:pPr>
              <w:cnfStyle w:val="000000010000" w:firstRow="0" w:lastRow="0" w:firstColumn="0" w:lastColumn="0" w:oddVBand="0" w:evenVBand="0" w:oddHBand="0" w:evenHBand="1" w:firstRowFirstColumn="0" w:firstRowLastColumn="0" w:lastRowFirstColumn="0" w:lastRowLastColumn="0"/>
            </w:pPr>
            <w:r>
              <w:rPr>
                <w:color w:val="000000"/>
              </w:rPr>
              <w:t xml:space="preserve">OTE </w:t>
            </w:r>
            <w:r w:rsidR="0033493C">
              <w:rPr>
                <w:color w:val="000000"/>
              </w:rPr>
              <w:t xml:space="preserve">environment </w:t>
            </w:r>
            <w:r>
              <w:rPr>
                <w:color w:val="000000"/>
              </w:rPr>
              <w:t xml:space="preserve">and </w:t>
            </w:r>
            <w:r w:rsidR="0033493C">
              <w:rPr>
                <w:color w:val="000000"/>
              </w:rPr>
              <w:t>services migration</w:t>
            </w:r>
          </w:p>
        </w:tc>
        <w:tc>
          <w:tcPr>
            <w:tcW w:w="3827" w:type="dxa"/>
            <w:vAlign w:val="center"/>
          </w:tcPr>
          <w:p w14:paraId="3AA061DE" w14:textId="184D1569" w:rsidR="00ED2A55" w:rsidRDefault="00ED2A55" w:rsidP="00081A1D">
            <w:pPr>
              <w:cnfStyle w:val="000000010000" w:firstRow="0" w:lastRow="0" w:firstColumn="0" w:lastColumn="0" w:oddVBand="0" w:evenVBand="0" w:oddHBand="0" w:evenHBand="1" w:firstRowFirstColumn="0" w:firstRowLastColumn="0" w:lastRowFirstColumn="0" w:lastRowLastColumn="0"/>
            </w:pPr>
            <w:r>
              <w:rPr>
                <w:color w:val="000000"/>
              </w:rPr>
              <w:t xml:space="preserve">Implementation of the replacement </w:t>
            </w:r>
            <w:r w:rsidR="007A1DBB">
              <w:rPr>
                <w:color w:val="000000"/>
              </w:rPr>
              <w:t>Environment and Services Migration</w:t>
            </w:r>
            <w:r w:rsidR="007A1DBB" w:rsidDel="007A1DBB">
              <w:rPr>
                <w:color w:val="000000"/>
              </w:rPr>
              <w:t xml:space="preserve"> </w:t>
            </w:r>
            <w:r>
              <w:rPr>
                <w:color w:val="000000"/>
              </w:rPr>
              <w:t>from existing arrangement to the OTE environment.</w:t>
            </w:r>
          </w:p>
        </w:tc>
      </w:tr>
      <w:tr w:rsidR="00ED2A55" w14:paraId="3BA7738C" w14:textId="77777777" w:rsidTr="00AA1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vMerge/>
            <w:vAlign w:val="center"/>
          </w:tcPr>
          <w:p w14:paraId="0FA71318" w14:textId="2C28910A" w:rsidR="00ED2A55" w:rsidRDefault="00ED2A55" w:rsidP="00081A1D"/>
        </w:tc>
        <w:tc>
          <w:tcPr>
            <w:tcW w:w="3351" w:type="dxa"/>
            <w:vAlign w:val="center"/>
          </w:tcPr>
          <w:p w14:paraId="179444BB" w14:textId="7AD368E5" w:rsidR="00ED2A55" w:rsidRDefault="00ED2A55" w:rsidP="00081A1D">
            <w:pPr>
              <w:cnfStyle w:val="000000100000" w:firstRow="0" w:lastRow="0" w:firstColumn="0" w:lastColumn="0" w:oddVBand="0" w:evenVBand="0" w:oddHBand="1" w:evenHBand="0" w:firstRowFirstColumn="0" w:firstRowLastColumn="0" w:lastRowFirstColumn="0" w:lastRowLastColumn="0"/>
            </w:pPr>
            <w:r>
              <w:rPr>
                <w:color w:val="000000"/>
                <w:szCs w:val="20"/>
              </w:rPr>
              <w:t>SCADA Development</w:t>
            </w:r>
          </w:p>
        </w:tc>
        <w:tc>
          <w:tcPr>
            <w:tcW w:w="3827" w:type="dxa"/>
            <w:vAlign w:val="center"/>
          </w:tcPr>
          <w:p w14:paraId="2E1D7893" w14:textId="622BFE45" w:rsidR="00ED2A55" w:rsidRDefault="00ED2A55" w:rsidP="00081A1D">
            <w:pPr>
              <w:cnfStyle w:val="000000100000" w:firstRow="0" w:lastRow="0" w:firstColumn="0" w:lastColumn="0" w:oddVBand="0" w:evenVBand="0" w:oddHBand="1" w:evenHBand="0" w:firstRowFirstColumn="0" w:firstRowLastColumn="0" w:lastRowFirstColumn="0" w:lastRowLastColumn="0"/>
            </w:pPr>
            <w:r>
              <w:rPr>
                <w:color w:val="000000"/>
                <w:szCs w:val="20"/>
              </w:rPr>
              <w:t>This program includes initiatives to keep the existing arrangements operating and to commence the work to transition to a commercial system.</w:t>
            </w:r>
          </w:p>
        </w:tc>
      </w:tr>
      <w:tr w:rsidR="00ED2A55" w14:paraId="0BCAA3D2" w14:textId="77777777" w:rsidTr="00AA17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vMerge/>
            <w:vAlign w:val="center"/>
          </w:tcPr>
          <w:p w14:paraId="6CBD338F" w14:textId="7DDA32B5" w:rsidR="00ED2A55" w:rsidRDefault="00ED2A55" w:rsidP="00081A1D"/>
        </w:tc>
        <w:tc>
          <w:tcPr>
            <w:tcW w:w="3351" w:type="dxa"/>
            <w:vAlign w:val="center"/>
          </w:tcPr>
          <w:p w14:paraId="316FEB56" w14:textId="1B6C14C0" w:rsidR="00ED2A55" w:rsidRDefault="00ED2A55" w:rsidP="00081A1D">
            <w:pPr>
              <w:cnfStyle w:val="000000010000" w:firstRow="0" w:lastRow="0" w:firstColumn="0" w:lastColumn="0" w:oddVBand="0" w:evenVBand="0" w:oddHBand="0" w:evenHBand="1" w:firstRowFirstColumn="0" w:firstRowLastColumn="0" w:lastRowFirstColumn="0" w:lastRowLastColumn="0"/>
            </w:pPr>
            <w:r>
              <w:rPr>
                <w:color w:val="000000"/>
                <w:szCs w:val="20"/>
              </w:rPr>
              <w:t>SCADA Feature Rollout</w:t>
            </w:r>
          </w:p>
        </w:tc>
        <w:tc>
          <w:tcPr>
            <w:tcW w:w="3827" w:type="dxa"/>
            <w:vAlign w:val="center"/>
          </w:tcPr>
          <w:p w14:paraId="2DA41BC8" w14:textId="39AC946C" w:rsidR="00ED2A55" w:rsidRDefault="00ED2A55" w:rsidP="00081A1D">
            <w:pPr>
              <w:cnfStyle w:val="000000010000" w:firstRow="0" w:lastRow="0" w:firstColumn="0" w:lastColumn="0" w:oddVBand="0" w:evenVBand="0" w:oddHBand="0" w:evenHBand="1" w:firstRowFirstColumn="0" w:firstRowLastColumn="0" w:lastRowFirstColumn="0" w:lastRowLastColumn="0"/>
            </w:pPr>
            <w:r>
              <w:rPr>
                <w:color w:val="000000"/>
                <w:szCs w:val="20"/>
              </w:rPr>
              <w:t xml:space="preserve">In order to meet the evolving needs of the distribution network, improvements to SCADA and Automation system software will need to be deployed. </w:t>
            </w:r>
          </w:p>
        </w:tc>
      </w:tr>
      <w:tr w:rsidR="00ED2A55" w14:paraId="7191AAA0" w14:textId="77777777" w:rsidTr="00AA1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vMerge/>
            <w:vAlign w:val="center"/>
          </w:tcPr>
          <w:p w14:paraId="78524282" w14:textId="109D2E50" w:rsidR="00ED2A55" w:rsidRDefault="00ED2A55" w:rsidP="00081A1D"/>
        </w:tc>
        <w:tc>
          <w:tcPr>
            <w:tcW w:w="3351" w:type="dxa"/>
            <w:vAlign w:val="center"/>
          </w:tcPr>
          <w:p w14:paraId="06CE6E51" w14:textId="1C64D175" w:rsidR="00ED2A55" w:rsidRDefault="00ED2A55" w:rsidP="00081A1D">
            <w:pPr>
              <w:cnfStyle w:val="000000100000" w:firstRow="0" w:lastRow="0" w:firstColumn="0" w:lastColumn="0" w:oddVBand="0" w:evenVBand="0" w:oddHBand="1" w:evenHBand="0" w:firstRowFirstColumn="0" w:firstRowLastColumn="0" w:lastRowFirstColumn="0" w:lastRowLastColumn="0"/>
            </w:pPr>
            <w:r>
              <w:rPr>
                <w:color w:val="000000"/>
                <w:szCs w:val="20"/>
              </w:rPr>
              <w:t>Trunked Mobile Radio (TMR) replacement</w:t>
            </w:r>
          </w:p>
        </w:tc>
        <w:tc>
          <w:tcPr>
            <w:tcW w:w="3827" w:type="dxa"/>
            <w:vAlign w:val="center"/>
          </w:tcPr>
          <w:p w14:paraId="386ABAEB" w14:textId="603B230D" w:rsidR="00ED2A55" w:rsidRDefault="00ED2A55" w:rsidP="00676A16">
            <w:pPr>
              <w:cnfStyle w:val="000000100000" w:firstRow="0" w:lastRow="0" w:firstColumn="0" w:lastColumn="0" w:oddVBand="0" w:evenVBand="0" w:oddHBand="1" w:evenHBand="0" w:firstRowFirstColumn="0" w:firstRowLastColumn="0" w:lastRowFirstColumn="0" w:lastRowLastColumn="0"/>
            </w:pPr>
            <w:r>
              <w:rPr>
                <w:color w:val="000000"/>
                <w:szCs w:val="20"/>
              </w:rPr>
              <w:t xml:space="preserve">This project caters for the need to pay for a replacement network to meet Energex requirements. </w:t>
            </w:r>
          </w:p>
        </w:tc>
      </w:tr>
    </w:tbl>
    <w:p w14:paraId="387DCE35" w14:textId="6D632FAC" w:rsidR="009024FA" w:rsidRDefault="00380898" w:rsidP="009024FA">
      <w:pPr>
        <w:pStyle w:val="Heading1"/>
      </w:pPr>
      <w:bookmarkStart w:id="168" w:name="_Toc394570355"/>
      <w:bookmarkStart w:id="169" w:name="_Toc394571525"/>
      <w:bookmarkStart w:id="170" w:name="_Toc397097285"/>
      <w:bookmarkStart w:id="171" w:name="_Ref392843159"/>
      <w:bookmarkStart w:id="172" w:name="_Toc394570340"/>
      <w:bookmarkStart w:id="173" w:name="_Toc394571510"/>
      <w:r>
        <w:t xml:space="preserve">RIN Schedule 1 </w:t>
      </w:r>
      <w:r w:rsidR="009024FA">
        <w:t>checklist</w:t>
      </w:r>
      <w:bookmarkEnd w:id="168"/>
      <w:bookmarkEnd w:id="169"/>
      <w:bookmarkEnd w:id="170"/>
    </w:p>
    <w:p w14:paraId="711DBEF8" w14:textId="2020AEE6" w:rsidR="00ED6976" w:rsidRPr="00ED6976" w:rsidRDefault="00ED6976" w:rsidP="00AA3C4D">
      <w:r>
        <w:rPr>
          <w:lang w:eastAsia="en-AU"/>
        </w:rPr>
        <w:fldChar w:fldCharType="begin"/>
      </w:r>
      <w:r>
        <w:rPr>
          <w:lang w:eastAsia="en-AU"/>
        </w:rPr>
        <w:instrText xml:space="preserve"> REF _Ref396918962 \h </w:instrText>
      </w:r>
      <w:r>
        <w:rPr>
          <w:lang w:eastAsia="en-AU"/>
        </w:rPr>
      </w:r>
      <w:r>
        <w:rPr>
          <w:lang w:eastAsia="en-AU"/>
        </w:rPr>
        <w:fldChar w:fldCharType="separate"/>
      </w:r>
      <w:r w:rsidR="00B27C70">
        <w:t xml:space="preserve">Table </w:t>
      </w:r>
      <w:r w:rsidR="00B27C70">
        <w:rPr>
          <w:noProof/>
        </w:rPr>
        <w:t>7</w:t>
      </w:r>
      <w:r w:rsidR="00B27C70">
        <w:noBreakHyphen/>
      </w:r>
      <w:r w:rsidR="00B27C70">
        <w:rPr>
          <w:noProof/>
        </w:rPr>
        <w:t>1</w:t>
      </w:r>
      <w:r>
        <w:rPr>
          <w:lang w:eastAsia="en-AU"/>
        </w:rPr>
        <w:fldChar w:fldCharType="end"/>
      </w:r>
      <w:r>
        <w:rPr>
          <w:lang w:eastAsia="en-AU"/>
        </w:rPr>
        <w:t xml:space="preserve"> sets out the requirements and relevant reference for each of the Submission RIN Schedule 1 clauses relating to </w:t>
      </w:r>
      <w:r w:rsidR="00C13E9C">
        <w:rPr>
          <w:lang w:eastAsia="en-AU"/>
        </w:rPr>
        <w:t>Repex modelling</w:t>
      </w:r>
      <w:r>
        <w:rPr>
          <w:lang w:eastAsia="en-AU"/>
        </w:rPr>
        <w:t>.</w:t>
      </w:r>
    </w:p>
    <w:p w14:paraId="33A6CD88" w14:textId="3EADBB61" w:rsidR="00ED6976" w:rsidRDefault="00ED6976" w:rsidP="00AA3C4D">
      <w:pPr>
        <w:pStyle w:val="Caption"/>
      </w:pPr>
      <w:bookmarkStart w:id="174" w:name="_Ref396918962"/>
      <w:bookmarkStart w:id="175" w:name="_Ref396918957"/>
      <w:bookmarkStart w:id="176" w:name="_Toc397097293"/>
      <w:r>
        <w:t xml:space="preserve">Table </w:t>
      </w:r>
      <w:fldSimple w:instr=" STYLEREF 1 \s ">
        <w:r w:rsidR="00B27C70">
          <w:rPr>
            <w:noProof/>
          </w:rPr>
          <w:t>7</w:t>
        </w:r>
      </w:fldSimple>
      <w:r w:rsidR="00771CAE">
        <w:noBreakHyphen/>
      </w:r>
      <w:fldSimple w:instr=" SEQ Table \* ARABIC \s 1 ">
        <w:r w:rsidR="00B27C70">
          <w:rPr>
            <w:noProof/>
          </w:rPr>
          <w:t>1</w:t>
        </w:r>
      </w:fldSimple>
      <w:bookmarkEnd w:id="174"/>
      <w:r>
        <w:t xml:space="preserve"> – Compliance </w:t>
      </w:r>
      <w:bookmarkEnd w:id="175"/>
      <w:r>
        <w:t>checklist</w:t>
      </w:r>
      <w:bookmarkEnd w:id="176"/>
    </w:p>
    <w:tbl>
      <w:tblPr>
        <w:tblStyle w:val="TableGrid"/>
        <w:tblW w:w="9072" w:type="dxa"/>
        <w:tblInd w:w="108" w:type="dxa"/>
        <w:tblLook w:val="04A0" w:firstRow="1" w:lastRow="0" w:firstColumn="1" w:lastColumn="0" w:noHBand="0" w:noVBand="1"/>
      </w:tblPr>
      <w:tblGrid>
        <w:gridCol w:w="1418"/>
        <w:gridCol w:w="5670"/>
        <w:gridCol w:w="1984"/>
      </w:tblGrid>
      <w:tr w:rsidR="0000467E" w14:paraId="36234952" w14:textId="77777777" w:rsidTr="0000467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dxa"/>
          </w:tcPr>
          <w:p w14:paraId="2BE05287" w14:textId="77777777" w:rsidR="0000467E" w:rsidRDefault="0000467E" w:rsidP="0000467E">
            <w:pPr>
              <w:pStyle w:val="TableText"/>
            </w:pPr>
            <w:r>
              <w:t>RIN Clause</w:t>
            </w:r>
          </w:p>
        </w:tc>
        <w:tc>
          <w:tcPr>
            <w:tcW w:w="5670" w:type="dxa"/>
          </w:tcPr>
          <w:p w14:paraId="57CAC2C8" w14:textId="77777777" w:rsidR="0000467E" w:rsidRDefault="0000467E" w:rsidP="0000467E">
            <w:pPr>
              <w:pStyle w:val="TableText"/>
              <w:cnfStyle w:val="100000000000" w:firstRow="1" w:lastRow="0" w:firstColumn="0" w:lastColumn="0" w:oddVBand="0" w:evenVBand="0" w:oddHBand="0" w:evenHBand="0" w:firstRowFirstColumn="0" w:firstRowLastColumn="0" w:lastRowFirstColumn="0" w:lastRowLastColumn="0"/>
            </w:pPr>
            <w:r>
              <w:t>Description</w:t>
            </w:r>
          </w:p>
        </w:tc>
        <w:tc>
          <w:tcPr>
            <w:tcW w:w="1984" w:type="dxa"/>
          </w:tcPr>
          <w:p w14:paraId="189F6646" w14:textId="3CC17654" w:rsidR="0000467E" w:rsidRPr="00AA3C4D" w:rsidRDefault="00555224" w:rsidP="0000467E">
            <w:pPr>
              <w:pStyle w:val="TableText"/>
              <w:cnfStyle w:val="100000000000" w:firstRow="1" w:lastRow="0" w:firstColumn="0" w:lastColumn="0" w:oddVBand="0" w:evenVBand="0" w:oddHBand="0" w:evenHBand="0" w:firstRowFirstColumn="0" w:firstRowLastColumn="0" w:lastRowFirstColumn="0" w:lastRowLastColumn="0"/>
            </w:pPr>
            <w:r w:rsidRPr="00AA3C4D">
              <w:t>Section Reference</w:t>
            </w:r>
          </w:p>
        </w:tc>
      </w:tr>
      <w:tr w:rsidR="0000467E" w14:paraId="30094E26" w14:textId="77777777" w:rsidTr="000046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220B6F41" w14:textId="638EF292" w:rsidR="0000467E" w:rsidRDefault="0000467E" w:rsidP="0000467E">
            <w:pPr>
              <w:pStyle w:val="TableText"/>
            </w:pPr>
            <w:r>
              <w:t>6.1(a)(i)(A)</w:t>
            </w:r>
          </w:p>
        </w:tc>
        <w:tc>
          <w:tcPr>
            <w:tcW w:w="5670" w:type="dxa"/>
            <w:vAlign w:val="center"/>
          </w:tcPr>
          <w:p w14:paraId="0F5B0B90" w14:textId="77777777" w:rsidR="00336832" w:rsidRDefault="00336832" w:rsidP="00336832">
            <w:pPr>
              <w:pStyle w:val="TableText"/>
              <w:cnfStyle w:val="000000100000" w:firstRow="0" w:lastRow="0" w:firstColumn="0" w:lastColumn="0" w:oddVBand="0" w:evenVBand="0" w:oddHBand="1" w:evenHBand="0" w:firstRowFirstColumn="0" w:firstRowLastColumn="0" w:lastRowFirstColumn="0" w:lastRowLastColumn="0"/>
            </w:pPr>
            <w:r>
              <w:t>In relation to information provided in regulatory templates 2.2 and with respect to the AER’s repex model, provide in relation to individual asset categories set out in the regulatory templates,  provide in a separate document a description of the asset category, including:</w:t>
            </w:r>
          </w:p>
          <w:p w14:paraId="2BB7DB3E" w14:textId="380C19BD" w:rsidR="0000467E" w:rsidRDefault="00336832" w:rsidP="0000467E">
            <w:pPr>
              <w:pStyle w:val="TableText"/>
              <w:cnfStyle w:val="000000100000" w:firstRow="0" w:lastRow="0" w:firstColumn="0" w:lastColumn="0" w:oddVBand="0" w:evenVBand="0" w:oddHBand="1" w:evenHBand="0" w:firstRowFirstColumn="0" w:firstRowLastColumn="0" w:lastRowFirstColumn="0" w:lastRowLastColumn="0"/>
            </w:pPr>
            <w:r>
              <w:t>…the assets included and any boundary issues (i.e. with other asset categories)</w:t>
            </w:r>
          </w:p>
        </w:tc>
        <w:tc>
          <w:tcPr>
            <w:tcW w:w="1984" w:type="dxa"/>
            <w:vAlign w:val="center"/>
          </w:tcPr>
          <w:p w14:paraId="016CF9DD" w14:textId="29FA54A0" w:rsidR="0000467E" w:rsidRPr="00AA3C4D" w:rsidRDefault="00C80BC4" w:rsidP="006F48BB">
            <w:pPr>
              <w:pStyle w:val="TableText"/>
              <w:cnfStyle w:val="000000100000" w:firstRow="0" w:lastRow="0" w:firstColumn="0" w:lastColumn="0" w:oddVBand="0" w:evenVBand="0" w:oddHBand="1" w:evenHBand="0" w:firstRowFirstColumn="0" w:firstRowLastColumn="0" w:lastRowFirstColumn="0" w:lastRowLastColumn="0"/>
            </w:pPr>
            <w:r w:rsidRPr="00AA3C4D">
              <w:fldChar w:fldCharType="begin"/>
            </w:r>
            <w:r w:rsidRPr="00AA3C4D">
              <w:instrText xml:space="preserve"> REF _Ref396400284 \r \h </w:instrText>
            </w:r>
            <w:r w:rsidRPr="00AA3C4D">
              <w:fldChar w:fldCharType="separate"/>
            </w:r>
            <w:r w:rsidR="00B27C70">
              <w:t>2.1</w:t>
            </w:r>
            <w:r w:rsidRPr="00AA3C4D">
              <w:fldChar w:fldCharType="end"/>
            </w:r>
          </w:p>
          <w:p w14:paraId="4762B011" w14:textId="098D8458" w:rsidR="00C13E9C" w:rsidRPr="00AA3C4D" w:rsidRDefault="00C13E9C" w:rsidP="006F48BB">
            <w:pPr>
              <w:pStyle w:val="TableText"/>
              <w:cnfStyle w:val="000000100000" w:firstRow="0" w:lastRow="0" w:firstColumn="0" w:lastColumn="0" w:oddVBand="0" w:evenVBand="0" w:oddHBand="1" w:evenHBand="0" w:firstRowFirstColumn="0" w:firstRowLastColumn="0" w:lastRowFirstColumn="0" w:lastRowLastColumn="0"/>
            </w:pPr>
          </w:p>
        </w:tc>
      </w:tr>
      <w:tr w:rsidR="0000467E" w14:paraId="0416CE4C" w14:textId="77777777" w:rsidTr="0000467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7007D6B4" w14:textId="79670FA0" w:rsidR="0000467E" w:rsidRDefault="00336832" w:rsidP="00336832">
            <w:pPr>
              <w:pStyle w:val="TableText"/>
            </w:pPr>
            <w:r>
              <w:t>6.1(a)(i)(B)</w:t>
            </w:r>
          </w:p>
        </w:tc>
        <w:tc>
          <w:tcPr>
            <w:tcW w:w="5670" w:type="dxa"/>
            <w:vAlign w:val="center"/>
          </w:tcPr>
          <w:p w14:paraId="77C49B7E" w14:textId="5693931C" w:rsidR="0000467E" w:rsidRDefault="0000467E" w:rsidP="0000467E">
            <w:pPr>
              <w:pStyle w:val="TableText"/>
              <w:cnfStyle w:val="000000010000" w:firstRow="0" w:lastRow="0" w:firstColumn="0" w:lastColumn="0" w:oddVBand="0" w:evenVBand="0" w:oddHBand="0" w:evenHBand="1" w:firstRowFirstColumn="0" w:firstRowLastColumn="0" w:lastRowFirstColumn="0" w:lastRowLastColumn="0"/>
            </w:pPr>
            <w:r>
              <w:t>…an explanation of how these matters have been accounted for in determining</w:t>
            </w:r>
            <w:r w:rsidR="00336832">
              <w:t xml:space="preserve"> quantities in the age profile</w:t>
            </w:r>
          </w:p>
        </w:tc>
        <w:tc>
          <w:tcPr>
            <w:tcW w:w="1984" w:type="dxa"/>
            <w:vAlign w:val="center"/>
          </w:tcPr>
          <w:p w14:paraId="4C8E2463" w14:textId="151AD174" w:rsidR="0000467E" w:rsidRPr="00AA3C4D" w:rsidRDefault="006F48BB" w:rsidP="006F48BB">
            <w:pPr>
              <w:pStyle w:val="TableText"/>
              <w:cnfStyle w:val="000000010000" w:firstRow="0" w:lastRow="0" w:firstColumn="0" w:lastColumn="0" w:oddVBand="0" w:evenVBand="0" w:oddHBand="0" w:evenHBand="1" w:firstRowFirstColumn="0" w:firstRowLastColumn="0" w:lastRowFirstColumn="0" w:lastRowLastColumn="0"/>
            </w:pPr>
            <w:r w:rsidRPr="00AA3C4D">
              <w:fldChar w:fldCharType="begin"/>
            </w:r>
            <w:r w:rsidRPr="00AA3C4D">
              <w:instrText xml:space="preserve"> REF _Ref389830350 \r \h </w:instrText>
            </w:r>
            <w:r w:rsidR="00C13E9C" w:rsidRPr="00AA3C4D">
              <w:instrText xml:space="preserve"> \* MERGEFORMAT </w:instrText>
            </w:r>
            <w:r w:rsidRPr="00AA3C4D">
              <w:fldChar w:fldCharType="separate"/>
            </w:r>
            <w:r w:rsidR="00B27C70">
              <w:t>2.1.2</w:t>
            </w:r>
            <w:r w:rsidRPr="00AA3C4D">
              <w:fldChar w:fldCharType="end"/>
            </w:r>
          </w:p>
        </w:tc>
      </w:tr>
      <w:tr w:rsidR="0000467E" w14:paraId="706AB368" w14:textId="77777777" w:rsidTr="000046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79F4F566" w14:textId="09F8EB6D" w:rsidR="0000467E" w:rsidRDefault="00336832" w:rsidP="00336832">
            <w:pPr>
              <w:pStyle w:val="TableText"/>
            </w:pPr>
            <w:r>
              <w:t>6.1(a)(i)(C)</w:t>
            </w:r>
          </w:p>
        </w:tc>
        <w:tc>
          <w:tcPr>
            <w:tcW w:w="5670" w:type="dxa"/>
            <w:vAlign w:val="center"/>
          </w:tcPr>
          <w:p w14:paraId="4577484F" w14:textId="0580C4D7" w:rsidR="0000467E" w:rsidRDefault="00336832" w:rsidP="0000467E">
            <w:pPr>
              <w:pStyle w:val="TableText"/>
              <w:cnfStyle w:val="000000100000" w:firstRow="0" w:lastRow="0" w:firstColumn="0" w:lastColumn="0" w:oddVBand="0" w:evenVBand="0" w:oddHBand="1" w:evenHBand="0" w:firstRowFirstColumn="0" w:firstRowLastColumn="0" w:lastRowFirstColumn="0" w:lastRowLastColumn="0"/>
            </w:pPr>
            <w:r>
              <w:t>…an explanation of the main drivers for replacement (e.g. condition)</w:t>
            </w:r>
          </w:p>
        </w:tc>
        <w:tc>
          <w:tcPr>
            <w:tcW w:w="1984" w:type="dxa"/>
            <w:vAlign w:val="center"/>
          </w:tcPr>
          <w:p w14:paraId="0C1DDB17" w14:textId="606874F6" w:rsidR="0000467E" w:rsidRPr="00AA3C4D" w:rsidRDefault="006F48BB" w:rsidP="0000467E">
            <w:pPr>
              <w:pStyle w:val="TableText"/>
              <w:cnfStyle w:val="000000100000" w:firstRow="0" w:lastRow="0" w:firstColumn="0" w:lastColumn="0" w:oddVBand="0" w:evenVBand="0" w:oddHBand="1" w:evenHBand="0" w:firstRowFirstColumn="0" w:firstRowLastColumn="0" w:lastRowFirstColumn="0" w:lastRowLastColumn="0"/>
            </w:pPr>
            <w:r w:rsidRPr="00AA3C4D">
              <w:fldChar w:fldCharType="begin"/>
            </w:r>
            <w:r w:rsidRPr="00AA3C4D">
              <w:instrText xml:space="preserve"> REF _Ref396895668 \r \h </w:instrText>
            </w:r>
            <w:r w:rsidR="00C13E9C" w:rsidRPr="00AA3C4D">
              <w:instrText xml:space="preserve"> \* MERGEFORMAT </w:instrText>
            </w:r>
            <w:r w:rsidRPr="00AA3C4D">
              <w:fldChar w:fldCharType="separate"/>
            </w:r>
            <w:r w:rsidR="00B27C70">
              <w:t>2.1.3</w:t>
            </w:r>
            <w:r w:rsidRPr="00AA3C4D">
              <w:fldChar w:fldCharType="end"/>
            </w:r>
          </w:p>
        </w:tc>
      </w:tr>
      <w:tr w:rsidR="0000467E" w14:paraId="43AA1179" w14:textId="77777777" w:rsidTr="0000467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48718382" w14:textId="33F85D06" w:rsidR="0000467E" w:rsidRDefault="00336832" w:rsidP="00336832">
            <w:pPr>
              <w:pStyle w:val="TableText"/>
            </w:pPr>
            <w:r>
              <w:t>6.1(a)(i)(D)</w:t>
            </w:r>
          </w:p>
        </w:tc>
        <w:tc>
          <w:tcPr>
            <w:tcW w:w="5670" w:type="dxa"/>
            <w:vAlign w:val="center"/>
          </w:tcPr>
          <w:p w14:paraId="45CEED44" w14:textId="03F28F5D" w:rsidR="0000467E" w:rsidRDefault="00336832" w:rsidP="0000467E">
            <w:pPr>
              <w:pStyle w:val="TableText"/>
              <w:cnfStyle w:val="000000010000" w:firstRow="0" w:lastRow="0" w:firstColumn="0" w:lastColumn="0" w:oddVBand="0" w:evenVBand="0" w:oddHBand="0" w:evenHBand="1" w:firstRowFirstColumn="0" w:firstRowLastColumn="0" w:lastRowFirstColumn="0" w:lastRowLastColumn="0"/>
            </w:pPr>
            <w:r>
              <w:t>…an explanation of whether the replacement unit cost provides for a complete replacement of the asset, or some other activity, including an extension of the asset’s life (e.g. pole staking) and whether the costs of this extension or other activity are capitalised or not.</w:t>
            </w:r>
          </w:p>
        </w:tc>
        <w:tc>
          <w:tcPr>
            <w:tcW w:w="1984" w:type="dxa"/>
            <w:vAlign w:val="center"/>
          </w:tcPr>
          <w:p w14:paraId="2E7117C8" w14:textId="752D6A45" w:rsidR="0000467E" w:rsidRPr="00AA3C4D" w:rsidRDefault="002663D7" w:rsidP="0000467E">
            <w:pPr>
              <w:pStyle w:val="TableText"/>
              <w:cnfStyle w:val="000000010000" w:firstRow="0" w:lastRow="0" w:firstColumn="0" w:lastColumn="0" w:oddVBand="0" w:evenVBand="0" w:oddHBand="0" w:evenHBand="1" w:firstRowFirstColumn="0" w:firstRowLastColumn="0" w:lastRowFirstColumn="0" w:lastRowLastColumn="0"/>
            </w:pPr>
            <w:r>
              <w:fldChar w:fldCharType="begin"/>
            </w:r>
            <w:r>
              <w:instrText xml:space="preserve"> REF _Ref397097653 \r \h </w:instrText>
            </w:r>
            <w:r>
              <w:fldChar w:fldCharType="separate"/>
            </w:r>
            <w:r w:rsidR="00B27C70">
              <w:t>2.1.4</w:t>
            </w:r>
            <w:r>
              <w:fldChar w:fldCharType="end"/>
            </w:r>
          </w:p>
        </w:tc>
      </w:tr>
      <w:tr w:rsidR="0000467E" w14:paraId="7EF9C852" w14:textId="77777777" w:rsidTr="000046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6E6D232D" w14:textId="748B0890" w:rsidR="0000467E" w:rsidRDefault="00336832" w:rsidP="0000467E">
            <w:pPr>
              <w:pStyle w:val="TableText"/>
            </w:pPr>
            <w:r>
              <w:t>6.1(a)(ii)(A)</w:t>
            </w:r>
          </w:p>
        </w:tc>
        <w:tc>
          <w:tcPr>
            <w:tcW w:w="5670" w:type="dxa"/>
            <w:vAlign w:val="center"/>
          </w:tcPr>
          <w:p w14:paraId="138DC030" w14:textId="77777777" w:rsidR="0000467E" w:rsidRDefault="00336832" w:rsidP="0000467E">
            <w:pPr>
              <w:pStyle w:val="TableText"/>
              <w:cnfStyle w:val="000000100000" w:firstRow="0" w:lastRow="0" w:firstColumn="0" w:lastColumn="0" w:oddVBand="0" w:evenVBand="0" w:oddHBand="1" w:evenHBand="0" w:firstRowFirstColumn="0" w:firstRowLastColumn="0" w:lastRowFirstColumn="0" w:lastRowLastColumn="0"/>
            </w:pPr>
            <w:r>
              <w:t>In relation to information provided in regulatory templates 2.2 and with respect to the AER’s repex model, provide in relation to individual asset categories set out in the regulatory templates,  provide in a separate document an estimate of the proportion of assets replaced for each year of the current regulatory control period, due to:</w:t>
            </w:r>
          </w:p>
          <w:p w14:paraId="6BEB557A" w14:textId="7ABF2FB9" w:rsidR="00336832" w:rsidRDefault="00336832" w:rsidP="0000467E">
            <w:pPr>
              <w:pStyle w:val="TableText"/>
              <w:cnfStyle w:val="000000100000" w:firstRow="0" w:lastRow="0" w:firstColumn="0" w:lastColumn="0" w:oddVBand="0" w:evenVBand="0" w:oddHBand="1" w:evenHBand="0" w:firstRowFirstColumn="0" w:firstRowLastColumn="0" w:lastRowFirstColumn="0" w:lastRowLastColumn="0"/>
            </w:pPr>
            <w:r>
              <w:t>… aging of existing assets (e.g. condition, obsolesce, etc.) that should be largely captured by this form of replacement modelling</w:t>
            </w:r>
          </w:p>
        </w:tc>
        <w:tc>
          <w:tcPr>
            <w:tcW w:w="1984" w:type="dxa"/>
            <w:vAlign w:val="center"/>
          </w:tcPr>
          <w:p w14:paraId="3E3B2B52" w14:textId="3B03C821" w:rsidR="0006246B" w:rsidRPr="00AA3C4D" w:rsidRDefault="006F48BB" w:rsidP="00C80BC4">
            <w:pPr>
              <w:pStyle w:val="TableText"/>
              <w:cnfStyle w:val="000000100000" w:firstRow="0" w:lastRow="0" w:firstColumn="0" w:lastColumn="0" w:oddVBand="0" w:evenVBand="0" w:oddHBand="1" w:evenHBand="0" w:firstRowFirstColumn="0" w:firstRowLastColumn="0" w:lastRowFirstColumn="0" w:lastRowLastColumn="0"/>
            </w:pPr>
            <w:r w:rsidRPr="00AA3C4D">
              <w:fldChar w:fldCharType="begin"/>
            </w:r>
            <w:r w:rsidRPr="00AA3C4D">
              <w:instrText xml:space="preserve"> REF _Ref396895698 \r \h </w:instrText>
            </w:r>
            <w:r w:rsidRPr="00AA3C4D">
              <w:fldChar w:fldCharType="separate"/>
            </w:r>
            <w:r w:rsidR="00B27C70">
              <w:t>2.2.1</w:t>
            </w:r>
            <w:r w:rsidRPr="00AA3C4D">
              <w:fldChar w:fldCharType="end"/>
            </w:r>
          </w:p>
        </w:tc>
      </w:tr>
      <w:tr w:rsidR="0000467E" w14:paraId="7BEAEB2E" w14:textId="77777777" w:rsidTr="0000467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4F86E255" w14:textId="7BCA13D6" w:rsidR="0000467E" w:rsidRDefault="00336832" w:rsidP="00336832">
            <w:pPr>
              <w:pStyle w:val="TableText"/>
            </w:pPr>
            <w:r>
              <w:t>6.1(a)(ii)(B)</w:t>
            </w:r>
          </w:p>
        </w:tc>
        <w:tc>
          <w:tcPr>
            <w:tcW w:w="5670" w:type="dxa"/>
            <w:vAlign w:val="center"/>
          </w:tcPr>
          <w:p w14:paraId="591B4E66" w14:textId="1B21709C" w:rsidR="00336832" w:rsidRDefault="00336832" w:rsidP="00336832">
            <w:pPr>
              <w:pStyle w:val="TableText"/>
              <w:cnfStyle w:val="000000010000" w:firstRow="0" w:lastRow="0" w:firstColumn="0" w:lastColumn="0" w:oddVBand="0" w:evenVBand="0" w:oddHBand="0" w:evenHBand="1" w:firstRowFirstColumn="0" w:firstRowLastColumn="0" w:lastRowFirstColumn="0" w:lastRowLastColumn="0"/>
            </w:pPr>
            <w:r>
              <w:t>…replacements due to other factors (and a description of those factors)</w:t>
            </w:r>
          </w:p>
          <w:p w14:paraId="04A5A9FA" w14:textId="77777777" w:rsidR="0000467E" w:rsidRDefault="0000467E" w:rsidP="0000467E">
            <w:pPr>
              <w:pStyle w:val="TableText"/>
              <w:cnfStyle w:val="000000010000" w:firstRow="0" w:lastRow="0" w:firstColumn="0" w:lastColumn="0" w:oddVBand="0" w:evenVBand="0" w:oddHBand="0" w:evenHBand="1" w:firstRowFirstColumn="0" w:firstRowLastColumn="0" w:lastRowFirstColumn="0" w:lastRowLastColumn="0"/>
            </w:pPr>
          </w:p>
        </w:tc>
        <w:tc>
          <w:tcPr>
            <w:tcW w:w="1984" w:type="dxa"/>
            <w:vAlign w:val="center"/>
          </w:tcPr>
          <w:p w14:paraId="6276A027" w14:textId="4DFE5686" w:rsidR="0000467E" w:rsidRPr="00AA3C4D" w:rsidRDefault="006F48BB" w:rsidP="0000467E">
            <w:pPr>
              <w:pStyle w:val="TableText"/>
              <w:cnfStyle w:val="000000010000" w:firstRow="0" w:lastRow="0" w:firstColumn="0" w:lastColumn="0" w:oddVBand="0" w:evenVBand="0" w:oddHBand="0" w:evenHBand="1" w:firstRowFirstColumn="0" w:firstRowLastColumn="0" w:lastRowFirstColumn="0" w:lastRowLastColumn="0"/>
            </w:pPr>
            <w:r w:rsidRPr="00AA3C4D">
              <w:fldChar w:fldCharType="begin"/>
            </w:r>
            <w:r w:rsidRPr="00AA3C4D">
              <w:instrText xml:space="preserve"> REF _Ref396895702 \r \h </w:instrText>
            </w:r>
            <w:r w:rsidR="0006246B" w:rsidRPr="00AA3C4D">
              <w:instrText xml:space="preserve"> \* MERGEFORMAT </w:instrText>
            </w:r>
            <w:r w:rsidRPr="00AA3C4D">
              <w:fldChar w:fldCharType="separate"/>
            </w:r>
            <w:r w:rsidR="00B27C70">
              <w:t>2.2.2</w:t>
            </w:r>
            <w:r w:rsidRPr="00AA3C4D">
              <w:fldChar w:fldCharType="end"/>
            </w:r>
          </w:p>
        </w:tc>
      </w:tr>
      <w:tr w:rsidR="0000467E" w14:paraId="69E61C42" w14:textId="77777777" w:rsidTr="000046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7E4D3CF1" w14:textId="38912B87" w:rsidR="0000467E" w:rsidRDefault="00336832" w:rsidP="00336832">
            <w:pPr>
              <w:pStyle w:val="TableText"/>
            </w:pPr>
            <w:r>
              <w:t>6.1(a)(ii)(C)</w:t>
            </w:r>
          </w:p>
        </w:tc>
        <w:tc>
          <w:tcPr>
            <w:tcW w:w="5670" w:type="dxa"/>
            <w:vAlign w:val="center"/>
          </w:tcPr>
          <w:p w14:paraId="5D0E5464" w14:textId="6CE9C33F" w:rsidR="00336832" w:rsidRDefault="00336832" w:rsidP="00336832">
            <w:pPr>
              <w:pStyle w:val="TableText"/>
              <w:cnfStyle w:val="000000100000" w:firstRow="0" w:lastRow="0" w:firstColumn="0" w:lastColumn="0" w:oddVBand="0" w:evenVBand="0" w:oddHBand="1" w:evenHBand="0" w:firstRowFirstColumn="0" w:firstRowLastColumn="0" w:lastRowFirstColumn="0" w:lastRowLastColumn="0"/>
            </w:pPr>
            <w:r>
              <w:t>…additional assets due to the augmentation, extension, development of the network</w:t>
            </w:r>
          </w:p>
          <w:p w14:paraId="7427E5B4" w14:textId="77777777" w:rsidR="0000467E" w:rsidRDefault="0000467E" w:rsidP="0000467E">
            <w:pPr>
              <w:pStyle w:val="TableText"/>
              <w:cnfStyle w:val="000000100000" w:firstRow="0" w:lastRow="0" w:firstColumn="0" w:lastColumn="0" w:oddVBand="0" w:evenVBand="0" w:oddHBand="1" w:evenHBand="0" w:firstRowFirstColumn="0" w:firstRowLastColumn="0" w:lastRowFirstColumn="0" w:lastRowLastColumn="0"/>
            </w:pPr>
          </w:p>
        </w:tc>
        <w:tc>
          <w:tcPr>
            <w:tcW w:w="1984" w:type="dxa"/>
            <w:vAlign w:val="center"/>
          </w:tcPr>
          <w:p w14:paraId="39A429D8" w14:textId="5EF43907" w:rsidR="0006246B" w:rsidRPr="00AA3C4D" w:rsidRDefault="006F48BB" w:rsidP="0000467E">
            <w:pPr>
              <w:pStyle w:val="TableText"/>
              <w:cnfStyle w:val="000000100000" w:firstRow="0" w:lastRow="0" w:firstColumn="0" w:lastColumn="0" w:oddVBand="0" w:evenVBand="0" w:oddHBand="1" w:evenHBand="0" w:firstRowFirstColumn="0" w:firstRowLastColumn="0" w:lastRowFirstColumn="0" w:lastRowLastColumn="0"/>
            </w:pPr>
            <w:r w:rsidRPr="00AA3C4D">
              <w:fldChar w:fldCharType="begin"/>
            </w:r>
            <w:r w:rsidRPr="00AA3C4D">
              <w:instrText xml:space="preserve"> REF _Ref396895711 \r \h </w:instrText>
            </w:r>
            <w:r w:rsidRPr="00AA3C4D">
              <w:fldChar w:fldCharType="separate"/>
            </w:r>
            <w:r w:rsidR="00B27C70">
              <w:t>2.2.3</w:t>
            </w:r>
            <w:r w:rsidRPr="00AA3C4D">
              <w:fldChar w:fldCharType="end"/>
            </w:r>
          </w:p>
        </w:tc>
      </w:tr>
      <w:tr w:rsidR="0000467E" w14:paraId="07913E08" w14:textId="77777777" w:rsidTr="0000467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3BD6F32F" w14:textId="08BFAF7A" w:rsidR="0000467E" w:rsidRDefault="00336832" w:rsidP="00336832">
            <w:pPr>
              <w:pStyle w:val="TableText"/>
            </w:pPr>
            <w:r>
              <w:t>6.1(a)(ii)(D)</w:t>
            </w:r>
          </w:p>
        </w:tc>
        <w:tc>
          <w:tcPr>
            <w:tcW w:w="5670" w:type="dxa"/>
            <w:vAlign w:val="center"/>
          </w:tcPr>
          <w:p w14:paraId="77D94AB4" w14:textId="5A3CA605" w:rsidR="00336832" w:rsidRDefault="00336832" w:rsidP="00336832">
            <w:pPr>
              <w:pStyle w:val="TableText"/>
              <w:cnfStyle w:val="000000010000" w:firstRow="0" w:lastRow="0" w:firstColumn="0" w:lastColumn="0" w:oddVBand="0" w:evenVBand="0" w:oddHBand="0" w:evenHBand="1" w:firstRowFirstColumn="0" w:firstRowLastColumn="0" w:lastRowFirstColumn="0" w:lastRowLastColumn="0"/>
            </w:pPr>
            <w:r>
              <w:t>…additional assets due to other factors (and a description of those factors)</w:t>
            </w:r>
          </w:p>
          <w:p w14:paraId="403C186F" w14:textId="77777777" w:rsidR="0000467E" w:rsidRDefault="0000467E" w:rsidP="0000467E">
            <w:pPr>
              <w:pStyle w:val="TableText"/>
              <w:cnfStyle w:val="000000010000" w:firstRow="0" w:lastRow="0" w:firstColumn="0" w:lastColumn="0" w:oddVBand="0" w:evenVBand="0" w:oddHBand="0" w:evenHBand="1" w:firstRowFirstColumn="0" w:firstRowLastColumn="0" w:lastRowFirstColumn="0" w:lastRowLastColumn="0"/>
            </w:pPr>
          </w:p>
        </w:tc>
        <w:tc>
          <w:tcPr>
            <w:tcW w:w="1984" w:type="dxa"/>
            <w:vAlign w:val="center"/>
          </w:tcPr>
          <w:p w14:paraId="5C82234E" w14:textId="3B04805C" w:rsidR="0000467E" w:rsidRPr="00AA3C4D" w:rsidRDefault="006F48BB" w:rsidP="0000467E">
            <w:pPr>
              <w:pStyle w:val="TableText"/>
              <w:cnfStyle w:val="000000010000" w:firstRow="0" w:lastRow="0" w:firstColumn="0" w:lastColumn="0" w:oddVBand="0" w:evenVBand="0" w:oddHBand="0" w:evenHBand="1" w:firstRowFirstColumn="0" w:firstRowLastColumn="0" w:lastRowFirstColumn="0" w:lastRowLastColumn="0"/>
            </w:pPr>
            <w:r w:rsidRPr="00AA3C4D">
              <w:fldChar w:fldCharType="begin"/>
            </w:r>
            <w:r w:rsidRPr="00AA3C4D">
              <w:instrText xml:space="preserve"> REF _Ref396895715 \r \h </w:instrText>
            </w:r>
            <w:r w:rsidR="0006246B" w:rsidRPr="00AA3C4D">
              <w:instrText xml:space="preserve"> \* MERGEFORMAT </w:instrText>
            </w:r>
            <w:r w:rsidRPr="00AA3C4D">
              <w:fldChar w:fldCharType="separate"/>
            </w:r>
            <w:r w:rsidR="00B27C70">
              <w:t>2.2.4</w:t>
            </w:r>
            <w:r w:rsidRPr="00AA3C4D">
              <w:fldChar w:fldCharType="end"/>
            </w:r>
          </w:p>
        </w:tc>
      </w:tr>
      <w:tr w:rsidR="0000467E" w14:paraId="1CE049F1" w14:textId="77777777" w:rsidTr="000046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6A057273" w14:textId="723D5EB0" w:rsidR="0000467E" w:rsidRDefault="00336832" w:rsidP="00336832">
            <w:pPr>
              <w:pStyle w:val="TableText"/>
            </w:pPr>
            <w:r>
              <w:t>6.1(b)(i</w:t>
            </w:r>
            <w:r w:rsidR="000F6475">
              <w:t>)</w:t>
            </w:r>
          </w:p>
        </w:tc>
        <w:tc>
          <w:tcPr>
            <w:tcW w:w="5670" w:type="dxa"/>
            <w:vAlign w:val="center"/>
          </w:tcPr>
          <w:p w14:paraId="6E0492CC" w14:textId="1F60360B" w:rsidR="0000467E" w:rsidRDefault="00336832" w:rsidP="00336832">
            <w:pPr>
              <w:pStyle w:val="TableText"/>
              <w:cnfStyle w:val="000000100000" w:firstRow="0" w:lastRow="0" w:firstColumn="0" w:lastColumn="0" w:oddVBand="0" w:evenVBand="0" w:oddHBand="1" w:evenHBand="0" w:firstRowFirstColumn="0" w:firstRowLastColumn="0" w:lastRowFirstColumn="0" w:lastRowLastColumn="0"/>
            </w:pPr>
            <w:r>
              <w:t>In relation to information provided in regulatory templates 2.2 and with respect to the AER’s repex model, provide justification for the replacement life statistics provided (the mean and standard deviation), including the methodology, data sources and assumptions used to derive the statistics</w:t>
            </w:r>
          </w:p>
        </w:tc>
        <w:tc>
          <w:tcPr>
            <w:tcW w:w="1984" w:type="dxa"/>
            <w:vAlign w:val="center"/>
          </w:tcPr>
          <w:p w14:paraId="408080F7" w14:textId="5BCEC894" w:rsidR="0000467E" w:rsidRPr="00AA3C4D" w:rsidRDefault="006F48BB" w:rsidP="0000467E">
            <w:pPr>
              <w:pStyle w:val="TableText"/>
              <w:cnfStyle w:val="000000100000" w:firstRow="0" w:lastRow="0" w:firstColumn="0" w:lastColumn="0" w:oddVBand="0" w:evenVBand="0" w:oddHBand="1" w:evenHBand="0" w:firstRowFirstColumn="0" w:firstRowLastColumn="0" w:lastRowFirstColumn="0" w:lastRowLastColumn="0"/>
            </w:pPr>
            <w:r w:rsidRPr="00AA3C4D">
              <w:fldChar w:fldCharType="begin"/>
            </w:r>
            <w:r w:rsidRPr="00AA3C4D">
              <w:instrText xml:space="preserve"> REF _Ref396895730 \r \h </w:instrText>
            </w:r>
            <w:r w:rsidRPr="00AA3C4D">
              <w:fldChar w:fldCharType="separate"/>
            </w:r>
            <w:r w:rsidR="00B27C70">
              <w:t>3.1</w:t>
            </w:r>
            <w:r w:rsidRPr="00AA3C4D">
              <w:fldChar w:fldCharType="end"/>
            </w:r>
          </w:p>
        </w:tc>
      </w:tr>
      <w:tr w:rsidR="0000467E" w14:paraId="5BCA0637" w14:textId="77777777" w:rsidTr="0000467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63815D98" w14:textId="3A88382B" w:rsidR="0000467E" w:rsidRDefault="000F6475" w:rsidP="0000467E">
            <w:pPr>
              <w:pStyle w:val="TableText"/>
            </w:pPr>
            <w:r>
              <w:t>6.1(b)(ii)</w:t>
            </w:r>
          </w:p>
        </w:tc>
        <w:tc>
          <w:tcPr>
            <w:tcW w:w="5670" w:type="dxa"/>
            <w:vAlign w:val="center"/>
          </w:tcPr>
          <w:p w14:paraId="74F06F26" w14:textId="59EFEB2A" w:rsidR="0000467E" w:rsidRDefault="00336832" w:rsidP="0000467E">
            <w:pPr>
              <w:pStyle w:val="TableText"/>
              <w:cnfStyle w:val="000000010000" w:firstRow="0" w:lastRow="0" w:firstColumn="0" w:lastColumn="0" w:oddVBand="0" w:evenVBand="0" w:oddHBand="0" w:evenHBand="1" w:firstRowFirstColumn="0" w:firstRowLastColumn="0" w:lastRowFirstColumn="0" w:lastRowLastColumn="0"/>
            </w:pPr>
            <w:r>
              <w:t>In relation to information provided in regulatory templates 2.2 and with respect to the AER’s repex model, provide justification for the replacement life statistics provided (the mean and standard deviation), including the relationship to historical replacement lives for that asset category</w:t>
            </w:r>
          </w:p>
        </w:tc>
        <w:tc>
          <w:tcPr>
            <w:tcW w:w="1984" w:type="dxa"/>
            <w:vAlign w:val="center"/>
          </w:tcPr>
          <w:p w14:paraId="46E50A54" w14:textId="36BD0E95" w:rsidR="0000467E" w:rsidRPr="00AA3C4D" w:rsidRDefault="006F48BB" w:rsidP="0000467E">
            <w:pPr>
              <w:pStyle w:val="TableText"/>
              <w:cnfStyle w:val="000000010000" w:firstRow="0" w:lastRow="0" w:firstColumn="0" w:lastColumn="0" w:oddVBand="0" w:evenVBand="0" w:oddHBand="0" w:evenHBand="1" w:firstRowFirstColumn="0" w:firstRowLastColumn="0" w:lastRowFirstColumn="0" w:lastRowLastColumn="0"/>
            </w:pPr>
            <w:r w:rsidRPr="00AA3C4D">
              <w:fldChar w:fldCharType="begin"/>
            </w:r>
            <w:r w:rsidRPr="00AA3C4D">
              <w:instrText xml:space="preserve"> REF _Ref396895742 \r \h </w:instrText>
            </w:r>
            <w:r w:rsidR="0006246B" w:rsidRPr="00AA3C4D">
              <w:instrText xml:space="preserve"> \* MERGEFORMAT </w:instrText>
            </w:r>
            <w:r w:rsidRPr="00AA3C4D">
              <w:fldChar w:fldCharType="separate"/>
            </w:r>
            <w:r w:rsidR="00B27C70">
              <w:t>3.2</w:t>
            </w:r>
            <w:r w:rsidRPr="00AA3C4D">
              <w:fldChar w:fldCharType="end"/>
            </w:r>
          </w:p>
        </w:tc>
      </w:tr>
      <w:tr w:rsidR="0000467E" w14:paraId="2CCA7E16" w14:textId="77777777" w:rsidTr="000046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705D53AE" w14:textId="1E606297" w:rsidR="0000467E" w:rsidRDefault="000F6475" w:rsidP="0000467E">
            <w:pPr>
              <w:pStyle w:val="TableText"/>
            </w:pPr>
            <w:r>
              <w:t>6.1(b)(iii)(A)</w:t>
            </w:r>
          </w:p>
        </w:tc>
        <w:tc>
          <w:tcPr>
            <w:tcW w:w="5670" w:type="dxa"/>
            <w:vAlign w:val="center"/>
          </w:tcPr>
          <w:p w14:paraId="37A8E1C0" w14:textId="77777777" w:rsidR="0000467E" w:rsidRDefault="000F6475" w:rsidP="0000467E">
            <w:pPr>
              <w:pStyle w:val="TableText"/>
              <w:cnfStyle w:val="000000100000" w:firstRow="0" w:lastRow="0" w:firstColumn="0" w:lastColumn="0" w:oddVBand="0" w:evenVBand="0" w:oddHBand="1" w:evenHBand="0" w:firstRowFirstColumn="0" w:firstRowLastColumn="0" w:lastRowFirstColumn="0" w:lastRowLastColumn="0"/>
            </w:pPr>
            <w:r>
              <w:t>In relation to information provided in regulatory templates 2.2 and with respect to the AER’s repex model, provide justification for the replacement life statistics provided (the mean and standard deviation), including Energex’s views on the most appropriate probability distribution to simulate the replacement needs of that asset category, including matters such as:</w:t>
            </w:r>
          </w:p>
          <w:p w14:paraId="47602309" w14:textId="64E946C8" w:rsidR="000F6475" w:rsidRDefault="000F6475" w:rsidP="0000467E">
            <w:pPr>
              <w:pStyle w:val="TableText"/>
              <w:cnfStyle w:val="000000100000" w:firstRow="0" w:lastRow="0" w:firstColumn="0" w:lastColumn="0" w:oddVBand="0" w:evenVBand="0" w:oddHBand="1" w:evenHBand="0" w:firstRowFirstColumn="0" w:firstRowLastColumn="0" w:lastRowFirstColumn="0" w:lastRowLastColumn="0"/>
            </w:pPr>
            <w:r>
              <w:t>…the appropriateness of the normal distribution or another distribution (e.g. the Weibull distribution)</w:t>
            </w:r>
          </w:p>
        </w:tc>
        <w:tc>
          <w:tcPr>
            <w:tcW w:w="1984" w:type="dxa"/>
            <w:vAlign w:val="center"/>
          </w:tcPr>
          <w:p w14:paraId="4E2CEE9B" w14:textId="5EC5563F" w:rsidR="0000467E" w:rsidRPr="00AA3C4D" w:rsidRDefault="006F48BB" w:rsidP="0000467E">
            <w:pPr>
              <w:pStyle w:val="TableText"/>
              <w:cnfStyle w:val="000000100000" w:firstRow="0" w:lastRow="0" w:firstColumn="0" w:lastColumn="0" w:oddVBand="0" w:evenVBand="0" w:oddHBand="1" w:evenHBand="0" w:firstRowFirstColumn="0" w:firstRowLastColumn="0" w:lastRowFirstColumn="0" w:lastRowLastColumn="0"/>
            </w:pPr>
            <w:r w:rsidRPr="00AA3C4D">
              <w:fldChar w:fldCharType="begin"/>
            </w:r>
            <w:r w:rsidRPr="00AA3C4D">
              <w:instrText xml:space="preserve"> REF _Ref396895754 \r \h </w:instrText>
            </w:r>
            <w:r w:rsidRPr="00AA3C4D">
              <w:fldChar w:fldCharType="separate"/>
            </w:r>
            <w:r w:rsidR="00B27C70">
              <w:t>3.3.1</w:t>
            </w:r>
            <w:r w:rsidRPr="00AA3C4D">
              <w:fldChar w:fldCharType="end"/>
            </w:r>
          </w:p>
        </w:tc>
      </w:tr>
      <w:tr w:rsidR="0000467E" w14:paraId="6BDCEF63" w14:textId="77777777" w:rsidTr="0000467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6F53DA4C" w14:textId="10DC3FDB" w:rsidR="0000467E" w:rsidRDefault="000F6475" w:rsidP="000F6475">
            <w:pPr>
              <w:pStyle w:val="TableText"/>
            </w:pPr>
            <w:r>
              <w:t>6.1(b)(iii)(B)</w:t>
            </w:r>
          </w:p>
        </w:tc>
        <w:tc>
          <w:tcPr>
            <w:tcW w:w="5670" w:type="dxa"/>
            <w:vAlign w:val="center"/>
          </w:tcPr>
          <w:p w14:paraId="6A22BB2E" w14:textId="7CF680A2" w:rsidR="00336832" w:rsidRDefault="000F6475" w:rsidP="00336832">
            <w:pPr>
              <w:pStyle w:val="TableText"/>
              <w:cnfStyle w:val="000000010000" w:firstRow="0" w:lastRow="0" w:firstColumn="0" w:lastColumn="0" w:oddVBand="0" w:evenVBand="0" w:oddHBand="0" w:evenHBand="1" w:firstRowFirstColumn="0" w:firstRowLastColumn="0" w:lastRowFirstColumn="0" w:lastRowLastColumn="0"/>
            </w:pPr>
            <w:r>
              <w:t>…</w:t>
            </w:r>
            <w:r w:rsidR="00336832">
              <w:t xml:space="preserve">the typical age when the “wear out” phase </w:t>
            </w:r>
            <w:r>
              <w:t>becomes evident</w:t>
            </w:r>
          </w:p>
          <w:p w14:paraId="7EEA7A4F" w14:textId="77777777" w:rsidR="0000467E" w:rsidRDefault="0000467E" w:rsidP="000F6475">
            <w:pPr>
              <w:pStyle w:val="TableText"/>
              <w:cnfStyle w:val="000000010000" w:firstRow="0" w:lastRow="0" w:firstColumn="0" w:lastColumn="0" w:oddVBand="0" w:evenVBand="0" w:oddHBand="0" w:evenHBand="1" w:firstRowFirstColumn="0" w:firstRowLastColumn="0" w:lastRowFirstColumn="0" w:lastRowLastColumn="0"/>
            </w:pPr>
          </w:p>
        </w:tc>
        <w:tc>
          <w:tcPr>
            <w:tcW w:w="1984" w:type="dxa"/>
            <w:vAlign w:val="center"/>
          </w:tcPr>
          <w:p w14:paraId="04632DB3" w14:textId="0DE536B6" w:rsidR="0000467E" w:rsidRPr="00AA3C4D" w:rsidRDefault="006F48BB" w:rsidP="0000467E">
            <w:pPr>
              <w:pStyle w:val="TableText"/>
              <w:cnfStyle w:val="000000010000" w:firstRow="0" w:lastRow="0" w:firstColumn="0" w:lastColumn="0" w:oddVBand="0" w:evenVBand="0" w:oddHBand="0" w:evenHBand="1" w:firstRowFirstColumn="0" w:firstRowLastColumn="0" w:lastRowFirstColumn="0" w:lastRowLastColumn="0"/>
            </w:pPr>
            <w:r w:rsidRPr="00AA3C4D">
              <w:fldChar w:fldCharType="begin"/>
            </w:r>
            <w:r w:rsidRPr="00AA3C4D">
              <w:instrText xml:space="preserve"> REF _Ref396895760 \r \h </w:instrText>
            </w:r>
            <w:r w:rsidR="0006246B" w:rsidRPr="00AA3C4D">
              <w:instrText xml:space="preserve"> \* MERGEFORMAT </w:instrText>
            </w:r>
            <w:r w:rsidRPr="00AA3C4D">
              <w:fldChar w:fldCharType="separate"/>
            </w:r>
            <w:r w:rsidR="00B27C70">
              <w:t>3.3.2</w:t>
            </w:r>
            <w:r w:rsidRPr="00AA3C4D">
              <w:fldChar w:fldCharType="end"/>
            </w:r>
          </w:p>
        </w:tc>
      </w:tr>
      <w:tr w:rsidR="0000467E" w14:paraId="5366083E" w14:textId="77777777" w:rsidTr="000046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15D88E1F" w14:textId="130B46DC" w:rsidR="0000467E" w:rsidRDefault="000F6475" w:rsidP="000F6475">
            <w:pPr>
              <w:pStyle w:val="TableText"/>
            </w:pPr>
            <w:r>
              <w:t>6.1(b)(iii)(C)</w:t>
            </w:r>
          </w:p>
        </w:tc>
        <w:tc>
          <w:tcPr>
            <w:tcW w:w="5670" w:type="dxa"/>
            <w:vAlign w:val="center"/>
          </w:tcPr>
          <w:p w14:paraId="2FD0F6FB" w14:textId="52ED8FD7" w:rsidR="0000467E" w:rsidRDefault="000F6475" w:rsidP="0000467E">
            <w:pPr>
              <w:pStyle w:val="TableText"/>
              <w:cnfStyle w:val="000000100000" w:firstRow="0" w:lastRow="0" w:firstColumn="0" w:lastColumn="0" w:oddVBand="0" w:evenVBand="0" w:oddHBand="1" w:evenHBand="0" w:firstRowFirstColumn="0" w:firstRowLastColumn="0" w:lastRowFirstColumn="0" w:lastRowLastColumn="0"/>
            </w:pPr>
            <w:r>
              <w:t>…the “skewness” of the distribution</w:t>
            </w:r>
          </w:p>
        </w:tc>
        <w:tc>
          <w:tcPr>
            <w:tcW w:w="1984" w:type="dxa"/>
            <w:vAlign w:val="center"/>
          </w:tcPr>
          <w:p w14:paraId="7E9FCC1A" w14:textId="63B9FDE8" w:rsidR="0006246B" w:rsidRPr="00AA3C4D" w:rsidRDefault="006F48BB" w:rsidP="0000467E">
            <w:pPr>
              <w:pStyle w:val="TableText"/>
              <w:cnfStyle w:val="000000100000" w:firstRow="0" w:lastRow="0" w:firstColumn="0" w:lastColumn="0" w:oddVBand="0" w:evenVBand="0" w:oddHBand="1" w:evenHBand="0" w:firstRowFirstColumn="0" w:firstRowLastColumn="0" w:lastRowFirstColumn="0" w:lastRowLastColumn="0"/>
            </w:pPr>
            <w:r w:rsidRPr="00AA3C4D">
              <w:fldChar w:fldCharType="begin"/>
            </w:r>
            <w:r w:rsidRPr="00AA3C4D">
              <w:instrText xml:space="preserve"> REF _Ref396895768 \r \h </w:instrText>
            </w:r>
            <w:r w:rsidR="007A1DBB" w:rsidRPr="00AA3C4D">
              <w:instrText xml:space="preserve"> \* MERGEFORMAT </w:instrText>
            </w:r>
            <w:r w:rsidRPr="00AA3C4D">
              <w:fldChar w:fldCharType="separate"/>
            </w:r>
            <w:r w:rsidR="00B27C70">
              <w:t>3.3.3</w:t>
            </w:r>
            <w:r w:rsidRPr="00AA3C4D">
              <w:fldChar w:fldCharType="end"/>
            </w:r>
          </w:p>
        </w:tc>
      </w:tr>
      <w:tr w:rsidR="0000467E" w14:paraId="239BC9E6" w14:textId="77777777" w:rsidTr="0000467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0C5703AD" w14:textId="45AB0C8D" w:rsidR="0000467E" w:rsidRDefault="000F6475" w:rsidP="000F6475">
            <w:pPr>
              <w:pStyle w:val="TableText"/>
            </w:pPr>
            <w:r>
              <w:t>6.1(b)(iii)(D)</w:t>
            </w:r>
          </w:p>
        </w:tc>
        <w:tc>
          <w:tcPr>
            <w:tcW w:w="5670" w:type="dxa"/>
            <w:vAlign w:val="center"/>
          </w:tcPr>
          <w:p w14:paraId="0134AC77" w14:textId="17347808" w:rsidR="0000467E" w:rsidRDefault="000F6475" w:rsidP="0000467E">
            <w:pPr>
              <w:pStyle w:val="TableText"/>
              <w:cnfStyle w:val="000000010000" w:firstRow="0" w:lastRow="0" w:firstColumn="0" w:lastColumn="0" w:oddVBand="0" w:evenVBand="0" w:oddHBand="0" w:evenHBand="1" w:firstRowFirstColumn="0" w:firstRowLastColumn="0" w:lastRowFirstColumn="0" w:lastRowLastColumn="0"/>
            </w:pPr>
            <w:r>
              <w:t>…the process applied to verify that the parameters are a reasonable estimate of the life for the asset category.</w:t>
            </w:r>
          </w:p>
        </w:tc>
        <w:tc>
          <w:tcPr>
            <w:tcW w:w="1984" w:type="dxa"/>
            <w:vAlign w:val="center"/>
          </w:tcPr>
          <w:p w14:paraId="5CC8EF93" w14:textId="714EA34A" w:rsidR="00D12A22" w:rsidRPr="00AA3C4D" w:rsidRDefault="006F48BB" w:rsidP="00555224">
            <w:pPr>
              <w:pStyle w:val="TableText"/>
              <w:cnfStyle w:val="000000010000" w:firstRow="0" w:lastRow="0" w:firstColumn="0" w:lastColumn="0" w:oddVBand="0" w:evenVBand="0" w:oddHBand="0" w:evenHBand="1" w:firstRowFirstColumn="0" w:firstRowLastColumn="0" w:lastRowFirstColumn="0" w:lastRowLastColumn="0"/>
            </w:pPr>
            <w:r w:rsidRPr="00AA3C4D">
              <w:fldChar w:fldCharType="begin"/>
            </w:r>
            <w:r w:rsidRPr="00AA3C4D">
              <w:instrText xml:space="preserve"> REF _Ref396895772 \r \h </w:instrText>
            </w:r>
            <w:r w:rsidRPr="00AA3C4D">
              <w:fldChar w:fldCharType="separate"/>
            </w:r>
            <w:r w:rsidR="00B27C70">
              <w:t>3.3.4</w:t>
            </w:r>
            <w:r w:rsidRPr="00AA3C4D">
              <w:fldChar w:fldCharType="end"/>
            </w:r>
          </w:p>
        </w:tc>
      </w:tr>
      <w:tr w:rsidR="0000467E" w14:paraId="2BBF0966" w14:textId="77777777" w:rsidTr="000046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02C0A9FB" w14:textId="0608F29E" w:rsidR="0000467E" w:rsidRDefault="000F6475" w:rsidP="000F6475">
            <w:pPr>
              <w:pStyle w:val="TableText"/>
            </w:pPr>
            <w:r>
              <w:t>6.1(c)(i)</w:t>
            </w:r>
          </w:p>
        </w:tc>
        <w:tc>
          <w:tcPr>
            <w:tcW w:w="5670" w:type="dxa"/>
            <w:vAlign w:val="center"/>
          </w:tcPr>
          <w:p w14:paraId="63200002" w14:textId="6126FE3B" w:rsidR="000F6475" w:rsidRDefault="000F6475" w:rsidP="000F6475">
            <w:pPr>
              <w:pStyle w:val="TableText"/>
              <w:cnfStyle w:val="000000100000" w:firstRow="0" w:lastRow="0" w:firstColumn="0" w:lastColumn="0" w:oddVBand="0" w:evenVBand="0" w:oddHBand="1" w:evenHBand="0" w:firstRowFirstColumn="0" w:firstRowLastColumn="0" w:lastRowFirstColumn="0" w:lastRowLastColumn="0"/>
            </w:pPr>
            <w:r>
              <w:t>In relation to information provided in regulatory templates 2.2 and with respect to the AER’s repex model, provide the derivation of replacement unit costs and asset lives, including any internal documentation or analysis or independent benchmarking that justifies or supports its cost data. This information must include:</w:t>
            </w:r>
          </w:p>
          <w:p w14:paraId="3445B7D5" w14:textId="3AD8C9BB" w:rsidR="0000467E" w:rsidRDefault="000F6475" w:rsidP="000F6475">
            <w:pPr>
              <w:pStyle w:val="TableText"/>
              <w:cnfStyle w:val="000000100000" w:firstRow="0" w:lastRow="0" w:firstColumn="0" w:lastColumn="0" w:oddVBand="0" w:evenVBand="0" w:oddHBand="1" w:evenHBand="0" w:firstRowFirstColumn="0" w:firstRowLastColumn="0" w:lastRowFirstColumn="0" w:lastRowLastColumn="0"/>
            </w:pPr>
            <w:r>
              <w:t>… the methodology, data sources and assumptions used to derive the cost data</w:t>
            </w:r>
          </w:p>
        </w:tc>
        <w:tc>
          <w:tcPr>
            <w:tcW w:w="1984" w:type="dxa"/>
            <w:vAlign w:val="center"/>
          </w:tcPr>
          <w:p w14:paraId="71AA4251" w14:textId="70DB514E" w:rsidR="00D12A22" w:rsidRPr="00AA3C4D" w:rsidRDefault="006F48BB" w:rsidP="00555224">
            <w:pPr>
              <w:pStyle w:val="TableText"/>
              <w:cnfStyle w:val="000000100000" w:firstRow="0" w:lastRow="0" w:firstColumn="0" w:lastColumn="0" w:oddVBand="0" w:evenVBand="0" w:oddHBand="1" w:evenHBand="0" w:firstRowFirstColumn="0" w:firstRowLastColumn="0" w:lastRowFirstColumn="0" w:lastRowLastColumn="0"/>
            </w:pPr>
            <w:r w:rsidRPr="00AA3C4D">
              <w:fldChar w:fldCharType="begin"/>
            </w:r>
            <w:r w:rsidRPr="00AA3C4D">
              <w:instrText xml:space="preserve"> REF _Ref396895782 \r \h </w:instrText>
            </w:r>
            <w:r w:rsidR="007A1DBB" w:rsidRPr="00AA3C4D">
              <w:instrText xml:space="preserve"> \* MERGEFORMAT </w:instrText>
            </w:r>
            <w:r w:rsidRPr="00AA3C4D">
              <w:fldChar w:fldCharType="separate"/>
            </w:r>
            <w:r w:rsidR="00B27C70">
              <w:t>4.1.1</w:t>
            </w:r>
            <w:r w:rsidRPr="00AA3C4D">
              <w:fldChar w:fldCharType="end"/>
            </w:r>
          </w:p>
        </w:tc>
      </w:tr>
      <w:tr w:rsidR="0000467E" w14:paraId="5E9070B6" w14:textId="77777777" w:rsidTr="0000467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5AD85E27" w14:textId="33B82AAD" w:rsidR="0000467E" w:rsidRDefault="000F6475" w:rsidP="0000467E">
            <w:pPr>
              <w:pStyle w:val="TableText"/>
            </w:pPr>
            <w:r>
              <w:t>6.1(c)(ii)</w:t>
            </w:r>
          </w:p>
        </w:tc>
        <w:tc>
          <w:tcPr>
            <w:tcW w:w="5670" w:type="dxa"/>
            <w:vAlign w:val="center"/>
          </w:tcPr>
          <w:p w14:paraId="39A0DEAD" w14:textId="015B3D5F" w:rsidR="0000467E" w:rsidRDefault="000F6475" w:rsidP="0000467E">
            <w:pPr>
              <w:pStyle w:val="TableText"/>
              <w:cnfStyle w:val="000000010000" w:firstRow="0" w:lastRow="0" w:firstColumn="0" w:lastColumn="0" w:oddVBand="0" w:evenVBand="0" w:oddHBand="0" w:evenHBand="1" w:firstRowFirstColumn="0" w:firstRowLastColumn="0" w:lastRowFirstColumn="0" w:lastRowLastColumn="0"/>
            </w:pPr>
            <w:r>
              <w:t xml:space="preserve">… the possibility of double-counting costs in the estimate, and the process applied to ensure this </w:t>
            </w:r>
            <w:r w:rsidR="000E743B">
              <w:t>is appropriately accounted for</w:t>
            </w:r>
          </w:p>
        </w:tc>
        <w:tc>
          <w:tcPr>
            <w:tcW w:w="1984" w:type="dxa"/>
            <w:vAlign w:val="center"/>
          </w:tcPr>
          <w:p w14:paraId="6B8B6AE3" w14:textId="28CB0E1B" w:rsidR="00D12A22" w:rsidRPr="00AA3C4D" w:rsidRDefault="006F48BB" w:rsidP="0000467E">
            <w:pPr>
              <w:pStyle w:val="TableText"/>
              <w:cnfStyle w:val="000000010000" w:firstRow="0" w:lastRow="0" w:firstColumn="0" w:lastColumn="0" w:oddVBand="0" w:evenVBand="0" w:oddHBand="0" w:evenHBand="1" w:firstRowFirstColumn="0" w:firstRowLastColumn="0" w:lastRowFirstColumn="0" w:lastRowLastColumn="0"/>
            </w:pPr>
            <w:r w:rsidRPr="00AA3C4D">
              <w:fldChar w:fldCharType="begin"/>
            </w:r>
            <w:r w:rsidRPr="00AA3C4D">
              <w:instrText xml:space="preserve"> REF _Ref396895787 \r \h </w:instrText>
            </w:r>
            <w:r w:rsidR="007A1DBB" w:rsidRPr="00AA3C4D">
              <w:instrText xml:space="preserve"> \* MERGEFORMAT </w:instrText>
            </w:r>
            <w:r w:rsidRPr="00AA3C4D">
              <w:fldChar w:fldCharType="separate"/>
            </w:r>
            <w:r w:rsidR="00B27C70">
              <w:t>4.1.2</w:t>
            </w:r>
            <w:r w:rsidRPr="00AA3C4D">
              <w:fldChar w:fldCharType="end"/>
            </w:r>
          </w:p>
        </w:tc>
      </w:tr>
      <w:tr w:rsidR="0000467E" w14:paraId="174A8E31" w14:textId="77777777" w:rsidTr="000046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6640E5AF" w14:textId="3B4A0AB6" w:rsidR="0000467E" w:rsidRDefault="000F6475" w:rsidP="0000467E">
            <w:pPr>
              <w:pStyle w:val="TableText"/>
            </w:pPr>
            <w:r>
              <w:t>6.1(c)(iii)</w:t>
            </w:r>
          </w:p>
        </w:tc>
        <w:tc>
          <w:tcPr>
            <w:tcW w:w="5670" w:type="dxa"/>
            <w:vAlign w:val="center"/>
          </w:tcPr>
          <w:p w14:paraId="62B8562B" w14:textId="2C77D59B" w:rsidR="0000467E" w:rsidRDefault="000F6475" w:rsidP="0000467E">
            <w:pPr>
              <w:pStyle w:val="TableText"/>
              <w:cnfStyle w:val="000000100000" w:firstRow="0" w:lastRow="0" w:firstColumn="0" w:lastColumn="0" w:oddVBand="0" w:evenVBand="0" w:oddHBand="1" w:evenHBand="0" w:firstRowFirstColumn="0" w:firstRowLastColumn="0" w:lastRowFirstColumn="0" w:lastRowLastColumn="0"/>
            </w:pPr>
            <w:r>
              <w:t>… the variability in the unit costs between individual asset replacements, and the ma</w:t>
            </w:r>
            <w:r w:rsidR="000E743B">
              <w:t>in drivers of the variability</w:t>
            </w:r>
          </w:p>
        </w:tc>
        <w:tc>
          <w:tcPr>
            <w:tcW w:w="1984" w:type="dxa"/>
            <w:vAlign w:val="center"/>
          </w:tcPr>
          <w:p w14:paraId="54CEA987" w14:textId="0DE1BD11" w:rsidR="0000467E" w:rsidRPr="00AA3C4D" w:rsidRDefault="006F48BB" w:rsidP="0000467E">
            <w:pPr>
              <w:pStyle w:val="TableText"/>
              <w:cnfStyle w:val="000000100000" w:firstRow="0" w:lastRow="0" w:firstColumn="0" w:lastColumn="0" w:oddVBand="0" w:evenVBand="0" w:oddHBand="1" w:evenHBand="0" w:firstRowFirstColumn="0" w:firstRowLastColumn="0" w:lastRowFirstColumn="0" w:lastRowLastColumn="0"/>
            </w:pPr>
            <w:r w:rsidRPr="00AA3C4D">
              <w:fldChar w:fldCharType="begin"/>
            </w:r>
            <w:r w:rsidRPr="00AA3C4D">
              <w:instrText xml:space="preserve"> REF _Ref396895792 \r \h </w:instrText>
            </w:r>
            <w:r w:rsidRPr="00AA3C4D">
              <w:fldChar w:fldCharType="separate"/>
            </w:r>
            <w:r w:rsidR="00B27C70">
              <w:t>4.1.3</w:t>
            </w:r>
            <w:r w:rsidRPr="00AA3C4D">
              <w:fldChar w:fldCharType="end"/>
            </w:r>
          </w:p>
        </w:tc>
      </w:tr>
      <w:tr w:rsidR="0000467E" w14:paraId="7CAFBB33" w14:textId="77777777" w:rsidTr="0000467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223DA1BA" w14:textId="2289B61F" w:rsidR="0000467E" w:rsidRDefault="000F6475" w:rsidP="0000467E">
            <w:pPr>
              <w:pStyle w:val="TableText"/>
            </w:pPr>
            <w:r>
              <w:t>6.1(c)(iv)</w:t>
            </w:r>
          </w:p>
        </w:tc>
        <w:tc>
          <w:tcPr>
            <w:tcW w:w="5670" w:type="dxa"/>
            <w:vAlign w:val="center"/>
          </w:tcPr>
          <w:p w14:paraId="317231B1" w14:textId="024F8C0A" w:rsidR="0000467E" w:rsidRDefault="000F6475" w:rsidP="0000467E">
            <w:pPr>
              <w:pStyle w:val="TableText"/>
              <w:cnfStyle w:val="000000010000" w:firstRow="0" w:lastRow="0" w:firstColumn="0" w:lastColumn="0" w:oddVBand="0" w:evenVBand="0" w:oddHBand="0" w:evenHBand="1" w:firstRowFirstColumn="0" w:firstRowLastColumn="0" w:lastRowFirstColumn="0" w:lastRowLastColumn="0"/>
            </w:pPr>
            <w:r>
              <w:t>… the relationship of the unit cost, and its derivation, to historical replacement costs for that asset category (this should clearly differentiate and quantify any assumed cost difference due to labour/material pr</w:t>
            </w:r>
            <w:r w:rsidR="000E743B">
              <w:t>ice changes and other factors)</w:t>
            </w:r>
          </w:p>
        </w:tc>
        <w:tc>
          <w:tcPr>
            <w:tcW w:w="1984" w:type="dxa"/>
            <w:vAlign w:val="center"/>
          </w:tcPr>
          <w:p w14:paraId="04E913F8" w14:textId="3A64CA26" w:rsidR="0000467E" w:rsidRPr="00AA3C4D" w:rsidRDefault="006F48BB" w:rsidP="006F48BB">
            <w:pPr>
              <w:pStyle w:val="TableText"/>
              <w:cnfStyle w:val="000000010000" w:firstRow="0" w:lastRow="0" w:firstColumn="0" w:lastColumn="0" w:oddVBand="0" w:evenVBand="0" w:oddHBand="0" w:evenHBand="1" w:firstRowFirstColumn="0" w:firstRowLastColumn="0" w:lastRowFirstColumn="0" w:lastRowLastColumn="0"/>
            </w:pPr>
            <w:r w:rsidRPr="00AA3C4D">
              <w:fldChar w:fldCharType="begin"/>
            </w:r>
            <w:r w:rsidRPr="00AA3C4D">
              <w:instrText xml:space="preserve"> REF _Ref396895800 \r \h </w:instrText>
            </w:r>
            <w:r w:rsidRPr="00AA3C4D">
              <w:fldChar w:fldCharType="separate"/>
            </w:r>
            <w:r w:rsidR="00B27C70">
              <w:t>4.1.4</w:t>
            </w:r>
            <w:r w:rsidRPr="00AA3C4D">
              <w:fldChar w:fldCharType="end"/>
            </w:r>
          </w:p>
        </w:tc>
      </w:tr>
      <w:tr w:rsidR="000F6475" w14:paraId="6EA723F3" w14:textId="77777777" w:rsidTr="000046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166EE33F" w14:textId="17855C84" w:rsidR="000F6475" w:rsidRDefault="000F6475" w:rsidP="000F6475">
            <w:pPr>
              <w:pStyle w:val="TableText"/>
            </w:pPr>
            <w:r>
              <w:t>6.1(c)(v)</w:t>
            </w:r>
          </w:p>
        </w:tc>
        <w:tc>
          <w:tcPr>
            <w:tcW w:w="5670" w:type="dxa"/>
            <w:vAlign w:val="center"/>
          </w:tcPr>
          <w:p w14:paraId="37109478" w14:textId="3C98BC8C" w:rsidR="000F6475" w:rsidRDefault="000F6475" w:rsidP="0000467E">
            <w:pPr>
              <w:pStyle w:val="TableText"/>
              <w:cnfStyle w:val="000000100000" w:firstRow="0" w:lastRow="0" w:firstColumn="0" w:lastColumn="0" w:oddVBand="0" w:evenVBand="0" w:oddHBand="1" w:evenHBand="0" w:firstRowFirstColumn="0" w:firstRowLastColumn="0" w:lastRowFirstColumn="0" w:lastRowLastColumn="0"/>
            </w:pPr>
            <w:r>
              <w:t>…the process applied to verify that the parameter is a reasonable estimate of the unit cos</w:t>
            </w:r>
            <w:r w:rsidR="000E743B">
              <w:t>t for the asset category;</w:t>
            </w:r>
          </w:p>
        </w:tc>
        <w:tc>
          <w:tcPr>
            <w:tcW w:w="1984" w:type="dxa"/>
            <w:vAlign w:val="center"/>
          </w:tcPr>
          <w:p w14:paraId="121C9C5C" w14:textId="18A21215" w:rsidR="000F6475" w:rsidRPr="00AA3C4D" w:rsidRDefault="006F48BB" w:rsidP="0000467E">
            <w:pPr>
              <w:pStyle w:val="TableText"/>
              <w:cnfStyle w:val="000000100000" w:firstRow="0" w:lastRow="0" w:firstColumn="0" w:lastColumn="0" w:oddVBand="0" w:evenVBand="0" w:oddHBand="1" w:evenHBand="0" w:firstRowFirstColumn="0" w:firstRowLastColumn="0" w:lastRowFirstColumn="0" w:lastRowLastColumn="0"/>
            </w:pPr>
            <w:r w:rsidRPr="00AA3C4D">
              <w:fldChar w:fldCharType="begin"/>
            </w:r>
            <w:r w:rsidRPr="00AA3C4D">
              <w:instrText xml:space="preserve"> REF _Ref396895806 \r \h </w:instrText>
            </w:r>
            <w:r w:rsidRPr="00AA3C4D">
              <w:fldChar w:fldCharType="separate"/>
            </w:r>
            <w:r w:rsidR="00B27C70">
              <w:t>4.1.5</w:t>
            </w:r>
            <w:r w:rsidRPr="00AA3C4D">
              <w:fldChar w:fldCharType="end"/>
            </w:r>
          </w:p>
        </w:tc>
      </w:tr>
      <w:tr w:rsidR="0000467E" w14:paraId="60EAA887" w14:textId="77777777" w:rsidTr="0000467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7CAD96E0" w14:textId="4A862E56" w:rsidR="0000467E" w:rsidRDefault="000E743B" w:rsidP="0000467E">
            <w:pPr>
              <w:pStyle w:val="TableText"/>
            </w:pPr>
            <w:r>
              <w:t>6.1(d)(i)</w:t>
            </w:r>
          </w:p>
        </w:tc>
        <w:tc>
          <w:tcPr>
            <w:tcW w:w="5670" w:type="dxa"/>
            <w:vAlign w:val="center"/>
          </w:tcPr>
          <w:p w14:paraId="1B6D0AC4" w14:textId="6646228B" w:rsidR="00336832" w:rsidRDefault="000E743B" w:rsidP="00336832">
            <w:pPr>
              <w:pStyle w:val="TableText"/>
              <w:cnfStyle w:val="000000010000" w:firstRow="0" w:lastRow="0" w:firstColumn="0" w:lastColumn="0" w:oddVBand="0" w:evenVBand="0" w:oddHBand="0" w:evenHBand="1" w:firstRowFirstColumn="0" w:firstRowLastColumn="0" w:lastRowFirstColumn="0" w:lastRowLastColumn="0"/>
            </w:pPr>
            <w:r>
              <w:t>In relation to information provided in regulatory templates 2.2 and with respect to the AER’s repex model, provide f</w:t>
            </w:r>
            <w:r w:rsidR="00336832">
              <w:t>or the previous, current and forthcoming regulatory control periods, explain the drivers or factors that have changed network replacement expenditure requirements. Separately identify and quantify the relative effect of each of the following matters on network replacement expenditure requirements, where they have changed network replacement expenditure requirements:</w:t>
            </w:r>
          </w:p>
          <w:p w14:paraId="4142BBF2" w14:textId="6BB95231" w:rsidR="00336832" w:rsidRDefault="000E743B" w:rsidP="00336832">
            <w:pPr>
              <w:pStyle w:val="TableText"/>
              <w:cnfStyle w:val="000000010000" w:firstRow="0" w:lastRow="0" w:firstColumn="0" w:lastColumn="0" w:oddVBand="0" w:evenVBand="0" w:oddHBand="0" w:evenHBand="1" w:firstRowFirstColumn="0" w:firstRowLastColumn="0" w:lastRowFirstColumn="0" w:lastRowLastColumn="0"/>
            </w:pPr>
            <w:r>
              <w:t>…</w:t>
            </w:r>
            <w:r w:rsidR="00336832">
              <w:t xml:space="preserve"> rules, codes, license conditions, statutory requirements;</w:t>
            </w:r>
          </w:p>
          <w:p w14:paraId="2A81F940" w14:textId="4D68B222" w:rsidR="0000467E" w:rsidRDefault="00336832" w:rsidP="00336832">
            <w:pPr>
              <w:pStyle w:val="TableText"/>
              <w:cnfStyle w:val="000000010000" w:firstRow="0" w:lastRow="0" w:firstColumn="0" w:lastColumn="0" w:oddVBand="0" w:evenVBand="0" w:oddHBand="0" w:evenHBand="1" w:firstRowFirstColumn="0" w:firstRowLastColumn="0" w:lastRowFirstColumn="0" w:lastRowLastColumn="0"/>
            </w:pPr>
            <w:r>
              <w:t>The information provided in response to the above requests should at least distinguish between the asset categories defined above.</w:t>
            </w:r>
          </w:p>
        </w:tc>
        <w:tc>
          <w:tcPr>
            <w:tcW w:w="1984" w:type="dxa"/>
            <w:vAlign w:val="center"/>
          </w:tcPr>
          <w:p w14:paraId="5743D90D" w14:textId="75F96994" w:rsidR="0000467E" w:rsidRPr="00AA3C4D" w:rsidRDefault="006F48BB" w:rsidP="0000467E">
            <w:pPr>
              <w:pStyle w:val="TableText"/>
              <w:cnfStyle w:val="000000010000" w:firstRow="0" w:lastRow="0" w:firstColumn="0" w:lastColumn="0" w:oddVBand="0" w:evenVBand="0" w:oddHBand="0" w:evenHBand="1" w:firstRowFirstColumn="0" w:firstRowLastColumn="0" w:lastRowFirstColumn="0" w:lastRowLastColumn="0"/>
            </w:pPr>
            <w:r w:rsidRPr="00AA3C4D">
              <w:fldChar w:fldCharType="begin"/>
            </w:r>
            <w:r w:rsidRPr="00AA3C4D">
              <w:instrText xml:space="preserve"> REF _Ref396895818 \r \h </w:instrText>
            </w:r>
            <w:r w:rsidR="0052592C" w:rsidRPr="00AA3C4D">
              <w:instrText xml:space="preserve"> \* MERGEFORMAT </w:instrText>
            </w:r>
            <w:r w:rsidRPr="00AA3C4D">
              <w:fldChar w:fldCharType="separate"/>
            </w:r>
            <w:r w:rsidR="00B27C70">
              <w:t>5.2</w:t>
            </w:r>
            <w:r w:rsidRPr="00AA3C4D">
              <w:fldChar w:fldCharType="end"/>
            </w:r>
          </w:p>
        </w:tc>
      </w:tr>
      <w:tr w:rsidR="0000467E" w:rsidRPr="001140B0" w14:paraId="09516295" w14:textId="77777777" w:rsidTr="000046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255036F6" w14:textId="04C7A31B" w:rsidR="0000467E" w:rsidRPr="001140B0" w:rsidRDefault="000E743B" w:rsidP="0000467E">
            <w:pPr>
              <w:pStyle w:val="TableText"/>
            </w:pPr>
            <w:r>
              <w:t>6.1(d)(ii)</w:t>
            </w:r>
          </w:p>
        </w:tc>
        <w:tc>
          <w:tcPr>
            <w:tcW w:w="5670" w:type="dxa"/>
            <w:vAlign w:val="center"/>
          </w:tcPr>
          <w:p w14:paraId="11592EC5" w14:textId="6A34435C" w:rsidR="0000467E" w:rsidRDefault="000E743B" w:rsidP="000F6475">
            <w:pPr>
              <w:pStyle w:val="TableText"/>
              <w:cnfStyle w:val="000000100000" w:firstRow="0" w:lastRow="0" w:firstColumn="0" w:lastColumn="0" w:oddVBand="0" w:evenVBand="0" w:oddHBand="1" w:evenHBand="0" w:firstRowFirstColumn="0" w:firstRowLastColumn="0" w:lastRowFirstColumn="0" w:lastRowLastColumn="0"/>
            </w:pPr>
            <w:r>
              <w:t>...internal planning a</w:t>
            </w:r>
            <w:r w:rsidR="00817603">
              <w:t>nd asset management approaches;</w:t>
            </w:r>
          </w:p>
        </w:tc>
        <w:tc>
          <w:tcPr>
            <w:tcW w:w="1984" w:type="dxa"/>
            <w:vAlign w:val="center"/>
          </w:tcPr>
          <w:p w14:paraId="479B69E6" w14:textId="10E8E386" w:rsidR="0000467E" w:rsidRPr="00AA3C4D" w:rsidRDefault="006F48BB" w:rsidP="0000467E">
            <w:pPr>
              <w:pStyle w:val="TableText"/>
              <w:cnfStyle w:val="000000100000" w:firstRow="0" w:lastRow="0" w:firstColumn="0" w:lastColumn="0" w:oddVBand="0" w:evenVBand="0" w:oddHBand="1" w:evenHBand="0" w:firstRowFirstColumn="0" w:firstRowLastColumn="0" w:lastRowFirstColumn="0" w:lastRowLastColumn="0"/>
            </w:pPr>
            <w:r w:rsidRPr="00AA3C4D">
              <w:fldChar w:fldCharType="begin"/>
            </w:r>
            <w:r w:rsidRPr="00AA3C4D">
              <w:instrText xml:space="preserve"> REF _Ref396895823 \r \h </w:instrText>
            </w:r>
            <w:r w:rsidR="00D12A22" w:rsidRPr="00AA3C4D">
              <w:instrText xml:space="preserve"> \* MERGEFORMAT </w:instrText>
            </w:r>
            <w:r w:rsidRPr="00AA3C4D">
              <w:fldChar w:fldCharType="separate"/>
            </w:r>
            <w:r w:rsidR="00B27C70">
              <w:t>5.3</w:t>
            </w:r>
            <w:r w:rsidRPr="00AA3C4D">
              <w:fldChar w:fldCharType="end"/>
            </w:r>
          </w:p>
          <w:p w14:paraId="25640646" w14:textId="516D4A9E" w:rsidR="0000467E" w:rsidRPr="00AA3C4D" w:rsidRDefault="0000467E" w:rsidP="0000467E">
            <w:pPr>
              <w:pStyle w:val="TableText"/>
              <w:cnfStyle w:val="000000100000" w:firstRow="0" w:lastRow="0" w:firstColumn="0" w:lastColumn="0" w:oddVBand="0" w:evenVBand="0" w:oddHBand="1" w:evenHBand="0" w:firstRowFirstColumn="0" w:firstRowLastColumn="0" w:lastRowFirstColumn="0" w:lastRowLastColumn="0"/>
            </w:pPr>
          </w:p>
        </w:tc>
      </w:tr>
      <w:tr w:rsidR="0000467E" w:rsidRPr="001140B0" w14:paraId="4EBB5B2F" w14:textId="77777777" w:rsidTr="0000467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123F959F" w14:textId="79C8E4F9" w:rsidR="0000467E" w:rsidRPr="001140B0" w:rsidRDefault="000E743B" w:rsidP="0000467E">
            <w:pPr>
              <w:pStyle w:val="TableText"/>
            </w:pPr>
            <w:r>
              <w:t>6.1(d)(iii)</w:t>
            </w:r>
          </w:p>
        </w:tc>
        <w:tc>
          <w:tcPr>
            <w:tcW w:w="5670" w:type="dxa"/>
            <w:vAlign w:val="center"/>
          </w:tcPr>
          <w:p w14:paraId="2C5B9DAD" w14:textId="0B89278A" w:rsidR="0000467E" w:rsidRDefault="000E743B" w:rsidP="00817603">
            <w:pPr>
              <w:pStyle w:val="TableText"/>
              <w:cnfStyle w:val="000000010000" w:firstRow="0" w:lastRow="0" w:firstColumn="0" w:lastColumn="0" w:oddVBand="0" w:evenVBand="0" w:oddHBand="0" w:evenHBand="1" w:firstRowFirstColumn="0" w:firstRowLastColumn="0" w:lastRowFirstColumn="0" w:lastRowLastColumn="0"/>
            </w:pPr>
            <w:r>
              <w:t>…measurable asset factors that affect the need for expenditure in this category (e.g. age profiles, risk profiles, condition trend, etc.).  Identify and quantify individual factors</w:t>
            </w:r>
          </w:p>
        </w:tc>
        <w:tc>
          <w:tcPr>
            <w:tcW w:w="1984" w:type="dxa"/>
            <w:vAlign w:val="center"/>
          </w:tcPr>
          <w:p w14:paraId="43A46C7B" w14:textId="68D47F6A" w:rsidR="0000467E" w:rsidRPr="00AA3C4D" w:rsidRDefault="006F48BB" w:rsidP="0000467E">
            <w:pPr>
              <w:pStyle w:val="TableText"/>
              <w:cnfStyle w:val="000000010000" w:firstRow="0" w:lastRow="0" w:firstColumn="0" w:lastColumn="0" w:oddVBand="0" w:evenVBand="0" w:oddHBand="0" w:evenHBand="1" w:firstRowFirstColumn="0" w:firstRowLastColumn="0" w:lastRowFirstColumn="0" w:lastRowLastColumn="0"/>
            </w:pPr>
            <w:r w:rsidRPr="00AA3C4D">
              <w:fldChar w:fldCharType="begin"/>
            </w:r>
            <w:r w:rsidRPr="00AA3C4D">
              <w:instrText xml:space="preserve"> REF _Ref396895831 \r \h </w:instrText>
            </w:r>
            <w:r w:rsidRPr="00AA3C4D">
              <w:fldChar w:fldCharType="separate"/>
            </w:r>
            <w:r w:rsidR="00B27C70">
              <w:t>5.4</w:t>
            </w:r>
            <w:r w:rsidRPr="00AA3C4D">
              <w:fldChar w:fldCharType="end"/>
            </w:r>
          </w:p>
          <w:p w14:paraId="51BCB011" w14:textId="2D3AA668" w:rsidR="0000467E" w:rsidRPr="00AA3C4D" w:rsidRDefault="0000467E" w:rsidP="0000467E">
            <w:pPr>
              <w:pStyle w:val="TableText"/>
              <w:cnfStyle w:val="000000010000" w:firstRow="0" w:lastRow="0" w:firstColumn="0" w:lastColumn="0" w:oddVBand="0" w:evenVBand="0" w:oddHBand="0" w:evenHBand="1" w:firstRowFirstColumn="0" w:firstRowLastColumn="0" w:lastRowFirstColumn="0" w:lastRowLastColumn="0"/>
            </w:pPr>
          </w:p>
        </w:tc>
      </w:tr>
      <w:tr w:rsidR="0000467E" w:rsidRPr="001140B0" w14:paraId="32BB3080" w14:textId="77777777" w:rsidTr="000046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04A60035" w14:textId="2B051E11" w:rsidR="0000467E" w:rsidRPr="001140B0" w:rsidRDefault="000E743B" w:rsidP="0000467E">
            <w:pPr>
              <w:pStyle w:val="TableText"/>
            </w:pPr>
            <w:r>
              <w:t>6.1(d)(iv)</w:t>
            </w:r>
          </w:p>
        </w:tc>
        <w:tc>
          <w:tcPr>
            <w:tcW w:w="5670" w:type="dxa"/>
            <w:vAlign w:val="center"/>
          </w:tcPr>
          <w:p w14:paraId="6F629478" w14:textId="592F6D83" w:rsidR="0000467E" w:rsidRPr="001140B0" w:rsidRDefault="00817603" w:rsidP="00817603">
            <w:pPr>
              <w:pStyle w:val="TableText"/>
              <w:cnfStyle w:val="000000100000" w:firstRow="0" w:lastRow="0" w:firstColumn="0" w:lastColumn="0" w:oddVBand="0" w:evenVBand="0" w:oddHBand="1" w:evenHBand="0" w:firstRowFirstColumn="0" w:firstRowLastColumn="0" w:lastRowFirstColumn="0" w:lastRowLastColumn="0"/>
            </w:pPr>
            <w:r>
              <w:t>…the external factors that can be forecast and the outcome measured (e.g. demand growth, customer numbers) that affect the need for expenditure in this category. Identify and quantify individual factors, covering the forecasts and the outcome (external factors to be discussed here do not relate to changing obligations which are covered in paragraph 4)</w:t>
            </w:r>
          </w:p>
        </w:tc>
        <w:tc>
          <w:tcPr>
            <w:tcW w:w="1984" w:type="dxa"/>
            <w:vAlign w:val="center"/>
          </w:tcPr>
          <w:p w14:paraId="33E6A7AC" w14:textId="32410630" w:rsidR="0000467E" w:rsidRPr="00AA3C4D" w:rsidRDefault="006F48BB" w:rsidP="0000467E">
            <w:pPr>
              <w:pStyle w:val="TableText"/>
              <w:cnfStyle w:val="000000100000" w:firstRow="0" w:lastRow="0" w:firstColumn="0" w:lastColumn="0" w:oddVBand="0" w:evenVBand="0" w:oddHBand="1" w:evenHBand="0" w:firstRowFirstColumn="0" w:firstRowLastColumn="0" w:lastRowFirstColumn="0" w:lastRowLastColumn="0"/>
            </w:pPr>
            <w:r w:rsidRPr="00AA3C4D">
              <w:fldChar w:fldCharType="begin"/>
            </w:r>
            <w:r w:rsidRPr="00AA3C4D">
              <w:instrText xml:space="preserve"> REF _Ref396895836 \r \h </w:instrText>
            </w:r>
            <w:r w:rsidR="0052592C" w:rsidRPr="00AA3C4D">
              <w:instrText xml:space="preserve"> \* MERGEFORMAT </w:instrText>
            </w:r>
            <w:r w:rsidRPr="00AA3C4D">
              <w:fldChar w:fldCharType="separate"/>
            </w:r>
            <w:r w:rsidR="00B27C70">
              <w:t>5.5</w:t>
            </w:r>
            <w:r w:rsidRPr="00AA3C4D">
              <w:fldChar w:fldCharType="end"/>
            </w:r>
          </w:p>
        </w:tc>
      </w:tr>
      <w:tr w:rsidR="0000467E" w14:paraId="7D7E045B" w14:textId="77777777" w:rsidTr="0000467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52406F1F" w14:textId="267C0D34" w:rsidR="0000467E" w:rsidRDefault="000E743B" w:rsidP="000E743B">
            <w:pPr>
              <w:pStyle w:val="TableText"/>
            </w:pPr>
            <w:r>
              <w:t>6.1(d)(v)</w:t>
            </w:r>
          </w:p>
        </w:tc>
        <w:tc>
          <w:tcPr>
            <w:tcW w:w="5670" w:type="dxa"/>
            <w:vAlign w:val="center"/>
          </w:tcPr>
          <w:p w14:paraId="086BAC4C" w14:textId="5E616368" w:rsidR="00817603" w:rsidRDefault="00817603" w:rsidP="00817603">
            <w:pPr>
              <w:pStyle w:val="TableText"/>
              <w:cnfStyle w:val="000000010000" w:firstRow="0" w:lastRow="0" w:firstColumn="0" w:lastColumn="0" w:oddVBand="0" w:evenVBand="0" w:oddHBand="0" w:evenHBand="1" w:firstRowFirstColumn="0" w:firstRowLastColumn="0" w:lastRowFirstColumn="0" w:lastRowLastColumn="0"/>
            </w:pPr>
            <w:r>
              <w:t>…technology/solutions to address needs, covering:</w:t>
            </w:r>
          </w:p>
          <w:p w14:paraId="25BD93E9" w14:textId="77777777" w:rsidR="00817603" w:rsidRDefault="00817603" w:rsidP="00817603">
            <w:pPr>
              <w:pStyle w:val="TableText"/>
              <w:cnfStyle w:val="000000010000" w:firstRow="0" w:lastRow="0" w:firstColumn="0" w:lastColumn="0" w:oddVBand="0" w:evenVBand="0" w:oddHBand="0" w:evenHBand="1" w:firstRowFirstColumn="0" w:firstRowLastColumn="0" w:lastRowFirstColumn="0" w:lastRowLastColumn="0"/>
            </w:pPr>
            <w:r>
              <w:t>(A)</w:t>
            </w:r>
            <w:r>
              <w:tab/>
              <w:t>network; and</w:t>
            </w:r>
          </w:p>
          <w:p w14:paraId="0CF3E330" w14:textId="72090067" w:rsidR="0000467E" w:rsidRDefault="00817603" w:rsidP="0000467E">
            <w:pPr>
              <w:pStyle w:val="TableText"/>
              <w:cnfStyle w:val="000000010000" w:firstRow="0" w:lastRow="0" w:firstColumn="0" w:lastColumn="0" w:oddVBand="0" w:evenVBand="0" w:oddHBand="0" w:evenHBand="1" w:firstRowFirstColumn="0" w:firstRowLastColumn="0" w:lastRowFirstColumn="0" w:lastRowLastColumn="0"/>
            </w:pPr>
            <w:r>
              <w:t>(B)</w:t>
            </w:r>
            <w:r>
              <w:tab/>
              <w:t>non-network.</w:t>
            </w:r>
          </w:p>
        </w:tc>
        <w:tc>
          <w:tcPr>
            <w:tcW w:w="1984" w:type="dxa"/>
            <w:vAlign w:val="center"/>
          </w:tcPr>
          <w:p w14:paraId="0C196553" w14:textId="3E0EADD0" w:rsidR="0000467E" w:rsidRPr="00AA3C4D" w:rsidRDefault="006F48BB" w:rsidP="0000467E">
            <w:pPr>
              <w:pStyle w:val="TableText"/>
              <w:cnfStyle w:val="000000010000" w:firstRow="0" w:lastRow="0" w:firstColumn="0" w:lastColumn="0" w:oddVBand="0" w:evenVBand="0" w:oddHBand="0" w:evenHBand="1" w:firstRowFirstColumn="0" w:firstRowLastColumn="0" w:lastRowFirstColumn="0" w:lastRowLastColumn="0"/>
            </w:pPr>
            <w:r w:rsidRPr="00AA3C4D">
              <w:fldChar w:fldCharType="begin"/>
            </w:r>
            <w:r w:rsidRPr="00AA3C4D">
              <w:instrText xml:space="preserve"> REF _Ref396895840 \r \h </w:instrText>
            </w:r>
            <w:r w:rsidRPr="00AA3C4D">
              <w:fldChar w:fldCharType="separate"/>
            </w:r>
            <w:r w:rsidR="00B27C70">
              <w:t>5.6</w:t>
            </w:r>
            <w:r w:rsidRPr="00AA3C4D">
              <w:fldChar w:fldCharType="end"/>
            </w:r>
          </w:p>
          <w:p w14:paraId="035F63A3" w14:textId="542EC9B8" w:rsidR="0000467E" w:rsidRPr="00AA3C4D" w:rsidRDefault="0000467E" w:rsidP="0000467E">
            <w:pPr>
              <w:pStyle w:val="TableText"/>
              <w:cnfStyle w:val="000000010000" w:firstRow="0" w:lastRow="0" w:firstColumn="0" w:lastColumn="0" w:oddVBand="0" w:evenVBand="0" w:oddHBand="0" w:evenHBand="1" w:firstRowFirstColumn="0" w:firstRowLastColumn="0" w:lastRowFirstColumn="0" w:lastRowLastColumn="0"/>
            </w:pPr>
          </w:p>
        </w:tc>
      </w:tr>
      <w:tr w:rsidR="0000467E" w14:paraId="0854D001" w14:textId="77777777" w:rsidTr="000046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667A1456" w14:textId="5164CE39" w:rsidR="0000467E" w:rsidRDefault="000E743B" w:rsidP="0000467E">
            <w:pPr>
              <w:pStyle w:val="TableText"/>
            </w:pPr>
            <w:r>
              <w:t>6.1(d)(vi)</w:t>
            </w:r>
          </w:p>
        </w:tc>
        <w:tc>
          <w:tcPr>
            <w:tcW w:w="5670" w:type="dxa"/>
            <w:vAlign w:val="center"/>
          </w:tcPr>
          <w:p w14:paraId="746B1C0D" w14:textId="5E398711" w:rsidR="0000467E" w:rsidRDefault="00817603" w:rsidP="0000467E">
            <w:pPr>
              <w:pStyle w:val="TableText"/>
              <w:cnfStyle w:val="000000100000" w:firstRow="0" w:lastRow="0" w:firstColumn="0" w:lastColumn="0" w:oddVBand="0" w:evenVBand="0" w:oddHBand="1" w:evenHBand="0" w:firstRowFirstColumn="0" w:firstRowLastColumn="0" w:lastRowFirstColumn="0" w:lastRowLastColumn="0"/>
            </w:pPr>
            <w:r>
              <w:t>…any other significant matters.</w:t>
            </w:r>
          </w:p>
        </w:tc>
        <w:tc>
          <w:tcPr>
            <w:tcW w:w="1984" w:type="dxa"/>
            <w:vAlign w:val="center"/>
          </w:tcPr>
          <w:p w14:paraId="046FD0A8" w14:textId="21FD8AC9" w:rsidR="0000467E" w:rsidRPr="00AA3C4D" w:rsidRDefault="006F48BB" w:rsidP="0000467E">
            <w:pPr>
              <w:pStyle w:val="TableText"/>
              <w:cnfStyle w:val="000000100000" w:firstRow="0" w:lastRow="0" w:firstColumn="0" w:lastColumn="0" w:oddVBand="0" w:evenVBand="0" w:oddHBand="1" w:evenHBand="0" w:firstRowFirstColumn="0" w:firstRowLastColumn="0" w:lastRowFirstColumn="0" w:lastRowLastColumn="0"/>
            </w:pPr>
            <w:r w:rsidRPr="00AA3C4D">
              <w:fldChar w:fldCharType="begin"/>
            </w:r>
            <w:r w:rsidRPr="00AA3C4D">
              <w:instrText xml:space="preserve"> REF _Ref396400598 \r \h </w:instrText>
            </w:r>
            <w:r w:rsidR="00C13E9C" w:rsidRPr="00AA3C4D">
              <w:instrText xml:space="preserve"> \* MERGEFORMAT </w:instrText>
            </w:r>
            <w:r w:rsidRPr="00AA3C4D">
              <w:fldChar w:fldCharType="separate"/>
            </w:r>
            <w:r w:rsidR="00B27C70">
              <w:t>5.7</w:t>
            </w:r>
            <w:r w:rsidRPr="00AA3C4D">
              <w:fldChar w:fldCharType="end"/>
            </w:r>
          </w:p>
          <w:p w14:paraId="4C2025BE" w14:textId="16C20CED" w:rsidR="0000467E" w:rsidRPr="00AA3C4D" w:rsidRDefault="0000467E" w:rsidP="0000467E">
            <w:pPr>
              <w:pStyle w:val="TableText"/>
              <w:cnfStyle w:val="000000100000" w:firstRow="0" w:lastRow="0" w:firstColumn="0" w:lastColumn="0" w:oddVBand="0" w:evenVBand="0" w:oddHBand="1" w:evenHBand="0" w:firstRowFirstColumn="0" w:firstRowLastColumn="0" w:lastRowFirstColumn="0" w:lastRowLastColumn="0"/>
            </w:pPr>
          </w:p>
        </w:tc>
      </w:tr>
    </w:tbl>
    <w:p w14:paraId="3FCFF879" w14:textId="77777777" w:rsidR="0000467E" w:rsidRDefault="0000467E" w:rsidP="009024FA"/>
    <w:bookmarkEnd w:id="171"/>
    <w:bookmarkEnd w:id="172"/>
    <w:bookmarkEnd w:id="173"/>
    <w:p w14:paraId="29362B4D" w14:textId="21F90B95" w:rsidR="00F05AB5" w:rsidRDefault="00F05AB5">
      <w:pPr>
        <w:keepLines w:val="0"/>
        <w:spacing w:before="0" w:after="200" w:line="276" w:lineRule="auto"/>
      </w:pPr>
    </w:p>
    <w:sectPr w:rsidR="00F05AB5" w:rsidSect="00F16305">
      <w:pgSz w:w="11906" w:h="16838" w:code="9"/>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15FE7" w14:textId="77777777" w:rsidR="004C29FD" w:rsidRDefault="004C29FD" w:rsidP="00545CDF">
      <w:pPr>
        <w:spacing w:before="0" w:after="0" w:line="240" w:lineRule="auto"/>
      </w:pPr>
      <w:r>
        <w:separator/>
      </w:r>
    </w:p>
  </w:endnote>
  <w:endnote w:type="continuationSeparator" w:id="0">
    <w:p w14:paraId="77CD9E3D" w14:textId="77777777" w:rsidR="004C29FD" w:rsidRDefault="004C29FD" w:rsidP="00545CDF">
      <w:pPr>
        <w:spacing w:before="0" w:after="0" w:line="240" w:lineRule="auto"/>
      </w:pPr>
      <w:r>
        <w:continuationSeparator/>
      </w:r>
    </w:p>
  </w:endnote>
  <w:endnote w:type="continuationNotice" w:id="1">
    <w:p w14:paraId="777E929A" w14:textId="77777777" w:rsidR="004C29FD" w:rsidRDefault="004C29F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0C011" w14:textId="77777777" w:rsidR="004C29FD" w:rsidRDefault="004C29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8"/>
        <w:szCs w:val="18"/>
      </w:rPr>
      <w:id w:val="1688482275"/>
      <w:docPartObj>
        <w:docPartGallery w:val="Page Numbers (Bottom of Page)"/>
        <w:docPartUnique/>
      </w:docPartObj>
    </w:sdtPr>
    <w:sdtEndPr>
      <w:rPr>
        <w:noProof/>
      </w:rPr>
    </w:sdtEndPr>
    <w:sdtContent>
      <w:p w14:paraId="62078F32" w14:textId="77777777" w:rsidR="004C29FD" w:rsidRPr="0024611F" w:rsidRDefault="004C29FD" w:rsidP="00277CE3">
        <w:pPr>
          <w:tabs>
            <w:tab w:val="center" w:pos="4536"/>
            <w:tab w:val="right" w:pos="9072"/>
          </w:tabs>
          <w:spacing w:before="160"/>
          <w:rPr>
            <w:b/>
            <w:color w:val="FFFFFF"/>
          </w:rPr>
        </w:pPr>
        <w:r>
          <w:rPr>
            <w:noProof/>
            <w:lang w:eastAsia="en-AU"/>
          </w:rPr>
          <w:drawing>
            <wp:anchor distT="0" distB="0" distL="114300" distR="114300" simplePos="0" relativeHeight="251658240" behindDoc="1" locked="0" layoutInCell="1" allowOverlap="1" wp14:anchorId="62078F37" wp14:editId="62078F38">
              <wp:simplePos x="0" y="0"/>
              <wp:positionH relativeFrom="margin">
                <wp:align>center</wp:align>
              </wp:positionH>
              <wp:positionV relativeFrom="paragraph">
                <wp:posOffset>101600</wp:posOffset>
              </wp:positionV>
              <wp:extent cx="6838950" cy="219075"/>
              <wp:effectExtent l="0" t="0" r="0" b="9525"/>
              <wp:wrapNone/>
              <wp:docPr id="21" name="Picture 21" descr="Page-Banner_Bottom-A4_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Page-Banner_Bottom-A4_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219075"/>
                      </a:xfrm>
                      <a:prstGeom prst="rect">
                        <a:avLst/>
                      </a:prstGeom>
                      <a:noFill/>
                    </pic:spPr>
                  </pic:pic>
                </a:graphicData>
              </a:graphic>
              <wp14:sizeRelH relativeFrom="page">
                <wp14:pctWidth>0</wp14:pctWidth>
              </wp14:sizeRelH>
              <wp14:sizeRelV relativeFrom="page">
                <wp14:pctHeight>0</wp14:pctHeight>
              </wp14:sizeRelV>
            </wp:anchor>
          </w:drawing>
        </w:r>
        <w:r w:rsidRPr="00DE2D0E">
          <w:rPr>
            <w:b/>
            <w:color w:val="FFFFFF"/>
            <w:sz w:val="48"/>
            <w:szCs w:val="44"/>
          </w:rPr>
          <w:tab/>
        </w:r>
        <w:r w:rsidRPr="00DE2D0E">
          <w:rPr>
            <w:b/>
            <w:color w:val="FFFFFF"/>
            <w:sz w:val="16"/>
            <w:szCs w:val="16"/>
          </w:rPr>
          <w:t>-</w:t>
        </w:r>
        <w:r w:rsidRPr="00DE2D0E">
          <w:rPr>
            <w:b/>
            <w:color w:val="FFFFFF"/>
            <w:sz w:val="16"/>
            <w:szCs w:val="16"/>
          </w:rPr>
          <w:fldChar w:fldCharType="begin"/>
        </w:r>
        <w:r w:rsidRPr="00DE2D0E">
          <w:rPr>
            <w:b/>
            <w:color w:val="FFFFFF"/>
            <w:sz w:val="16"/>
            <w:szCs w:val="16"/>
          </w:rPr>
          <w:instrText xml:space="preserve"> PAGE   \* MERGEFORMAT </w:instrText>
        </w:r>
        <w:r w:rsidRPr="00DE2D0E">
          <w:rPr>
            <w:b/>
            <w:color w:val="FFFFFF"/>
            <w:sz w:val="16"/>
            <w:szCs w:val="16"/>
          </w:rPr>
          <w:fldChar w:fldCharType="separate"/>
        </w:r>
        <w:r w:rsidR="00257E36">
          <w:rPr>
            <w:b/>
            <w:noProof/>
            <w:color w:val="FFFFFF"/>
            <w:sz w:val="16"/>
            <w:szCs w:val="16"/>
          </w:rPr>
          <w:t>1</w:t>
        </w:r>
        <w:r w:rsidRPr="00DE2D0E">
          <w:rPr>
            <w:b/>
            <w:color w:val="FFFFFF"/>
            <w:sz w:val="16"/>
            <w:szCs w:val="16"/>
          </w:rPr>
          <w:fldChar w:fldCharType="end"/>
        </w:r>
        <w:r w:rsidRPr="00DE2D0E">
          <w:rPr>
            <w:b/>
            <w:color w:val="FFFFFF"/>
            <w:sz w:val="16"/>
            <w:szCs w:val="16"/>
          </w:rPr>
          <w:t>-</w:t>
        </w:r>
        <w:r w:rsidRPr="00DE2D0E">
          <w:rPr>
            <w:b/>
            <w:color w:val="FFFFFF"/>
            <w:sz w:val="16"/>
            <w:szCs w:val="16"/>
          </w:rPr>
          <w:tab/>
        </w:r>
        <w:r>
          <w:rPr>
            <w:b/>
            <w:color w:val="FFFFFF"/>
            <w:sz w:val="16"/>
            <w:szCs w:val="16"/>
          </w:rPr>
          <w:t>Document title</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477C2" w14:textId="77777777" w:rsidR="004C29FD" w:rsidRDefault="004C29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8"/>
        <w:szCs w:val="18"/>
      </w:rPr>
      <w:id w:val="1597283076"/>
      <w:docPartObj>
        <w:docPartGallery w:val="Page Numbers (Bottom of Page)"/>
        <w:docPartUnique/>
      </w:docPartObj>
    </w:sdtPr>
    <w:sdtEndPr>
      <w:rPr>
        <w:noProof/>
      </w:rPr>
    </w:sdtEndPr>
    <w:sdtContent>
      <w:p w14:paraId="62078F33" w14:textId="77777777" w:rsidR="004C29FD" w:rsidRPr="0024611F" w:rsidRDefault="004C29FD" w:rsidP="00277CE3">
        <w:pPr>
          <w:tabs>
            <w:tab w:val="center" w:pos="4536"/>
            <w:tab w:val="right" w:pos="9072"/>
          </w:tabs>
          <w:spacing w:before="160"/>
          <w:rPr>
            <w:b/>
            <w:color w:val="FFFFFF"/>
          </w:rPr>
        </w:pPr>
        <w:r>
          <w:rPr>
            <w:noProof/>
            <w:lang w:eastAsia="en-AU"/>
          </w:rPr>
          <w:drawing>
            <wp:anchor distT="0" distB="0" distL="114300" distR="114300" simplePos="0" relativeHeight="251658242" behindDoc="1" locked="0" layoutInCell="1" allowOverlap="1" wp14:anchorId="62078F39" wp14:editId="62078F3A">
              <wp:simplePos x="0" y="0"/>
              <wp:positionH relativeFrom="margin">
                <wp:align>center</wp:align>
              </wp:positionH>
              <wp:positionV relativeFrom="paragraph">
                <wp:posOffset>101600</wp:posOffset>
              </wp:positionV>
              <wp:extent cx="6838950" cy="219075"/>
              <wp:effectExtent l="0" t="0" r="0" b="9525"/>
              <wp:wrapNone/>
              <wp:docPr id="9" name="Picture 9" descr="Page-Banner_Bottom-A4_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Page-Banner_Bottom-A4_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219075"/>
                      </a:xfrm>
                      <a:prstGeom prst="rect">
                        <a:avLst/>
                      </a:prstGeom>
                      <a:noFill/>
                    </pic:spPr>
                  </pic:pic>
                </a:graphicData>
              </a:graphic>
              <wp14:sizeRelH relativeFrom="page">
                <wp14:pctWidth>0</wp14:pctWidth>
              </wp14:sizeRelH>
              <wp14:sizeRelV relativeFrom="page">
                <wp14:pctHeight>0</wp14:pctHeight>
              </wp14:sizeRelV>
            </wp:anchor>
          </w:drawing>
        </w:r>
        <w:r w:rsidRPr="00DE2D0E">
          <w:rPr>
            <w:b/>
            <w:color w:val="FFFFFF"/>
            <w:sz w:val="48"/>
            <w:szCs w:val="44"/>
          </w:rPr>
          <w:tab/>
        </w:r>
        <w:r w:rsidRPr="00DE2D0E">
          <w:rPr>
            <w:b/>
            <w:color w:val="FFFFFF"/>
            <w:sz w:val="16"/>
            <w:szCs w:val="16"/>
          </w:rPr>
          <w:t>-</w:t>
        </w:r>
        <w:r w:rsidRPr="00DE2D0E">
          <w:rPr>
            <w:b/>
            <w:color w:val="FFFFFF"/>
            <w:sz w:val="16"/>
            <w:szCs w:val="16"/>
          </w:rPr>
          <w:fldChar w:fldCharType="begin"/>
        </w:r>
        <w:r w:rsidRPr="00DE2D0E">
          <w:rPr>
            <w:b/>
            <w:color w:val="FFFFFF"/>
            <w:sz w:val="16"/>
            <w:szCs w:val="16"/>
          </w:rPr>
          <w:instrText xml:space="preserve"> PAGE   \* MERGEFORMAT </w:instrText>
        </w:r>
        <w:r w:rsidRPr="00DE2D0E">
          <w:rPr>
            <w:b/>
            <w:color w:val="FFFFFF"/>
            <w:sz w:val="16"/>
            <w:szCs w:val="16"/>
          </w:rPr>
          <w:fldChar w:fldCharType="separate"/>
        </w:r>
        <w:r w:rsidR="00257E36">
          <w:rPr>
            <w:b/>
            <w:noProof/>
            <w:color w:val="FFFFFF"/>
            <w:sz w:val="16"/>
            <w:szCs w:val="16"/>
          </w:rPr>
          <w:t>i</w:t>
        </w:r>
        <w:r w:rsidRPr="00DE2D0E">
          <w:rPr>
            <w:b/>
            <w:color w:val="FFFFFF"/>
            <w:sz w:val="16"/>
            <w:szCs w:val="16"/>
          </w:rPr>
          <w:fldChar w:fldCharType="end"/>
        </w:r>
        <w:r w:rsidRPr="00DE2D0E">
          <w:rPr>
            <w:b/>
            <w:color w:val="FFFFFF"/>
            <w:sz w:val="16"/>
            <w:szCs w:val="16"/>
          </w:rPr>
          <w:t>-</w:t>
        </w:r>
        <w:r w:rsidRPr="00DE2D0E">
          <w:rPr>
            <w:b/>
            <w:color w:val="FFFFFF"/>
            <w:sz w:val="16"/>
            <w:szCs w:val="16"/>
          </w:rPr>
          <w:tab/>
        </w:r>
        <w:r>
          <w:rPr>
            <w:b/>
            <w:color w:val="FFFFFF"/>
            <w:sz w:val="16"/>
            <w:szCs w:val="16"/>
          </w:rPr>
          <w:t>Repex model supporting information</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47A7A" w14:textId="77777777" w:rsidR="004C29FD" w:rsidRDefault="004C29FD" w:rsidP="00545CDF">
      <w:pPr>
        <w:spacing w:before="0" w:after="0" w:line="240" w:lineRule="auto"/>
      </w:pPr>
      <w:r>
        <w:separator/>
      </w:r>
    </w:p>
  </w:footnote>
  <w:footnote w:type="continuationSeparator" w:id="0">
    <w:p w14:paraId="666E6FA1" w14:textId="77777777" w:rsidR="004C29FD" w:rsidRDefault="004C29FD" w:rsidP="00545CDF">
      <w:pPr>
        <w:spacing w:before="0" w:after="0" w:line="240" w:lineRule="auto"/>
      </w:pPr>
      <w:r>
        <w:continuationSeparator/>
      </w:r>
    </w:p>
  </w:footnote>
  <w:footnote w:type="continuationNotice" w:id="1">
    <w:p w14:paraId="3C298BB8" w14:textId="77777777" w:rsidR="004C29FD" w:rsidRDefault="004C29FD">
      <w:pPr>
        <w:spacing w:before="0" w:after="0" w:line="240" w:lineRule="auto"/>
      </w:pPr>
    </w:p>
  </w:footnote>
  <w:footnote w:id="2">
    <w:p w14:paraId="37CD4258" w14:textId="3D5D42F6" w:rsidR="004C29FD" w:rsidRDefault="004C29FD">
      <w:pPr>
        <w:pStyle w:val="FootnoteText"/>
      </w:pPr>
      <w:r>
        <w:rPr>
          <w:rStyle w:val="FootnoteReference"/>
        </w:rPr>
        <w:footnoteRef/>
      </w:r>
      <w:r>
        <w:t xml:space="preserve"> AER Replacement expenditure model handbook, November 2013</w:t>
      </w:r>
    </w:p>
    <w:p w14:paraId="3DDEA7FE" w14:textId="77777777" w:rsidR="004C29FD" w:rsidRDefault="004C29FD">
      <w:pPr>
        <w:pStyle w:val="FootnoteText"/>
      </w:pPr>
    </w:p>
  </w:footnote>
  <w:footnote w:id="3">
    <w:p w14:paraId="02F1D119" w14:textId="240A0BF7" w:rsidR="004C29FD" w:rsidRDefault="004C29FD" w:rsidP="0000531E">
      <w:pPr>
        <w:pStyle w:val="FootnoteText"/>
      </w:pPr>
      <w:r>
        <w:rPr>
          <w:rStyle w:val="FootnoteReference"/>
        </w:rPr>
        <w:footnoteRef/>
      </w:r>
      <w:r>
        <w:t xml:space="preserve"> AER Replacement expenditure model handbook, November 2013, page 20</w:t>
      </w:r>
    </w:p>
  </w:footnote>
  <w:footnote w:id="4">
    <w:p w14:paraId="62078F3E" w14:textId="2833FFD8" w:rsidR="004C29FD" w:rsidRDefault="004C29FD" w:rsidP="003A68D6">
      <w:pPr>
        <w:pStyle w:val="FootnoteText"/>
      </w:pPr>
      <w:r>
        <w:rPr>
          <w:rStyle w:val="FootnoteReference"/>
        </w:rPr>
        <w:footnoteRef/>
      </w:r>
      <w:r>
        <w:t xml:space="preserve"> AER Replacement expenditure model handbook, November 2013, page 18</w:t>
      </w:r>
    </w:p>
  </w:footnote>
  <w:footnote w:id="5">
    <w:p w14:paraId="17D9C07E" w14:textId="1B0425EC" w:rsidR="004C29FD" w:rsidRDefault="004C29FD" w:rsidP="00DA12DA">
      <w:pPr>
        <w:pStyle w:val="FootnoteText"/>
      </w:pPr>
      <w:r>
        <w:rPr>
          <w:rStyle w:val="FootnoteReference"/>
        </w:rPr>
        <w:footnoteRef/>
      </w:r>
      <w:r>
        <w:t xml:space="preserve"> AER Replacement expenditure model handbook, November 2013, page 20</w:t>
      </w:r>
    </w:p>
  </w:footnote>
  <w:footnote w:id="6">
    <w:p w14:paraId="3DBC203A" w14:textId="4EE61365" w:rsidR="004C29FD" w:rsidRDefault="004C29FD" w:rsidP="00DE54F2">
      <w:pPr>
        <w:pStyle w:val="FootnoteText"/>
      </w:pPr>
      <w:r>
        <w:rPr>
          <w:rStyle w:val="FootnoteReference"/>
        </w:rPr>
        <w:footnoteRef/>
      </w:r>
      <w:r>
        <w:t xml:space="preserve"> AER Replacement expenditure model handbook, November 2013, page 20</w:t>
      </w:r>
    </w:p>
  </w:footnote>
  <w:footnote w:id="7">
    <w:p w14:paraId="5CF4C1E9" w14:textId="3121D1FE" w:rsidR="004C29FD" w:rsidRDefault="004C29FD" w:rsidP="00EE7997">
      <w:pPr>
        <w:pStyle w:val="FootnoteText"/>
      </w:pPr>
      <w:r w:rsidRPr="00C80BC4">
        <w:rPr>
          <w:rStyle w:val="FootnoteReference"/>
        </w:rPr>
        <w:footnoteRef/>
      </w:r>
      <w:r w:rsidRPr="00C80BC4">
        <w:t xml:space="preserve"> AER guide to the Repex model, November 2013, Section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3CD1B" w14:textId="77777777" w:rsidR="004C29FD" w:rsidRDefault="004C29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78F30" w14:textId="77777777" w:rsidR="004C29FD" w:rsidRDefault="004C29FD" w:rsidP="0024611F">
    <w:pPr>
      <w:pStyle w:val="Header"/>
    </w:pPr>
  </w:p>
  <w:p w14:paraId="62078F31" w14:textId="77777777" w:rsidR="004C29FD" w:rsidRDefault="004C29FD">
    <w:pPr>
      <w:pStyle w:val="Header"/>
    </w:pPr>
    <w:r>
      <w:rPr>
        <w:noProof/>
        <w:lang w:eastAsia="en-AU"/>
      </w:rPr>
      <mc:AlternateContent>
        <mc:Choice Requires="wps">
          <w:drawing>
            <wp:anchor distT="0" distB="0" distL="114300" distR="114300" simplePos="0" relativeHeight="251658241" behindDoc="0" locked="0" layoutInCell="1" allowOverlap="1" wp14:anchorId="62078F35" wp14:editId="62078F36">
              <wp:simplePos x="0" y="0"/>
              <wp:positionH relativeFrom="margin">
                <wp:align>center</wp:align>
              </wp:positionH>
              <wp:positionV relativeFrom="paragraph">
                <wp:posOffset>2540</wp:posOffset>
              </wp:positionV>
              <wp:extent cx="6839585" cy="0"/>
              <wp:effectExtent l="0" t="19050" r="1841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9585" cy="0"/>
                      </a:xfrm>
                      <a:prstGeom prst="straightConnector1">
                        <a:avLst/>
                      </a:prstGeom>
                      <a:noFill/>
                      <a:ln w="28575">
                        <a:solidFill>
                          <a:srgbClr val="C4D5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0;margin-top:.2pt;width:538.55pt;height:0;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" strokecolor="#c4d545" strokeweight="2.25pt">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9A5FB" w14:textId="77777777" w:rsidR="004C29FD" w:rsidRDefault="004C29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71E"/>
    <w:multiLevelType w:val="hybridMultilevel"/>
    <w:tmpl w:val="1F2C2BE4"/>
    <w:lvl w:ilvl="0" w:tplc="85CC8C32">
      <w:start w:val="1"/>
      <w:numFmt w:val="decimal"/>
      <w:pStyle w:val="Numbered1"/>
      <w:lvlText w:val="%1)"/>
      <w:lvlJc w:val="left"/>
      <w:pPr>
        <w:ind w:left="1145" w:hanging="360"/>
      </w:pPr>
    </w:lvl>
    <w:lvl w:ilvl="1" w:tplc="0C090019">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
    <w:nsid w:val="07A74CD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81F2E54"/>
    <w:multiLevelType w:val="hybridMultilevel"/>
    <w:tmpl w:val="F38245F2"/>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
    <w:nsid w:val="0C0B38C2"/>
    <w:multiLevelType w:val="singleLevel"/>
    <w:tmpl w:val="DEBC8DD8"/>
    <w:lvl w:ilvl="0">
      <w:start w:val="1"/>
      <w:numFmt w:val="decimal"/>
      <w:lvlText w:val="%1"/>
      <w:lvlJc w:val="left"/>
      <w:pPr>
        <w:tabs>
          <w:tab w:val="num" w:pos="360"/>
        </w:tabs>
        <w:ind w:left="360" w:hanging="360"/>
      </w:pPr>
      <w:rPr>
        <w:rFonts w:hint="default"/>
      </w:rPr>
    </w:lvl>
  </w:abstractNum>
  <w:abstractNum w:abstractNumId="4">
    <w:nsid w:val="0CAB3B86"/>
    <w:multiLevelType w:val="hybridMultilevel"/>
    <w:tmpl w:val="7FD69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5C1813"/>
    <w:multiLevelType w:val="hybridMultilevel"/>
    <w:tmpl w:val="7AD23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FB69EF"/>
    <w:multiLevelType w:val="hybridMultilevel"/>
    <w:tmpl w:val="983CA7E4"/>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7">
    <w:nsid w:val="1813492A"/>
    <w:multiLevelType w:val="hybridMultilevel"/>
    <w:tmpl w:val="2CB48178"/>
    <w:lvl w:ilvl="0" w:tplc="CF1E6446">
      <w:start w:val="2066"/>
      <w:numFmt w:val="bullet"/>
      <w:lvlText w:val="•"/>
      <w:lvlJc w:val="left"/>
      <w:pPr>
        <w:tabs>
          <w:tab w:val="num" w:pos="1440"/>
        </w:tabs>
        <w:ind w:left="144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CD5B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1B856DA9"/>
    <w:multiLevelType w:val="hybridMultilevel"/>
    <w:tmpl w:val="7BB68C36"/>
    <w:lvl w:ilvl="0" w:tplc="8342E062">
      <w:start w:val="1"/>
      <w:numFmt w:val="bullet"/>
      <w:lvlText w:val="•"/>
      <w:lvlJc w:val="left"/>
      <w:pPr>
        <w:tabs>
          <w:tab w:val="num" w:pos="720"/>
        </w:tabs>
        <w:ind w:left="720" w:hanging="360"/>
      </w:pPr>
      <w:rPr>
        <w:rFonts w:ascii="Arial" w:hAnsi="Arial" w:hint="default"/>
      </w:rPr>
    </w:lvl>
    <w:lvl w:ilvl="1" w:tplc="CF1E6446">
      <w:start w:val="2066"/>
      <w:numFmt w:val="bullet"/>
      <w:lvlText w:val="•"/>
      <w:lvlJc w:val="left"/>
      <w:pPr>
        <w:tabs>
          <w:tab w:val="num" w:pos="1440"/>
        </w:tabs>
        <w:ind w:left="1440" w:hanging="360"/>
      </w:pPr>
      <w:rPr>
        <w:rFonts w:ascii="Arial" w:hAnsi="Arial" w:hint="default"/>
      </w:rPr>
    </w:lvl>
    <w:lvl w:ilvl="2" w:tplc="4D6448E0">
      <w:start w:val="1"/>
      <w:numFmt w:val="bullet"/>
      <w:lvlText w:val="•"/>
      <w:lvlJc w:val="left"/>
      <w:pPr>
        <w:tabs>
          <w:tab w:val="num" w:pos="2160"/>
        </w:tabs>
        <w:ind w:left="2160" w:hanging="360"/>
      </w:pPr>
      <w:rPr>
        <w:rFonts w:ascii="Arial" w:hAnsi="Arial" w:hint="default"/>
      </w:rPr>
    </w:lvl>
    <w:lvl w:ilvl="3" w:tplc="13F06240">
      <w:start w:val="1"/>
      <w:numFmt w:val="bullet"/>
      <w:lvlText w:val="•"/>
      <w:lvlJc w:val="left"/>
      <w:pPr>
        <w:tabs>
          <w:tab w:val="num" w:pos="2880"/>
        </w:tabs>
        <w:ind w:left="2880" w:hanging="360"/>
      </w:pPr>
      <w:rPr>
        <w:rFonts w:ascii="Arial" w:hAnsi="Arial" w:hint="default"/>
      </w:rPr>
    </w:lvl>
    <w:lvl w:ilvl="4" w:tplc="A1F483F8" w:tentative="1">
      <w:start w:val="1"/>
      <w:numFmt w:val="bullet"/>
      <w:lvlText w:val="•"/>
      <w:lvlJc w:val="left"/>
      <w:pPr>
        <w:tabs>
          <w:tab w:val="num" w:pos="3600"/>
        </w:tabs>
        <w:ind w:left="3600" w:hanging="360"/>
      </w:pPr>
      <w:rPr>
        <w:rFonts w:ascii="Arial" w:hAnsi="Arial" w:hint="default"/>
      </w:rPr>
    </w:lvl>
    <w:lvl w:ilvl="5" w:tplc="5EECFCB8" w:tentative="1">
      <w:start w:val="1"/>
      <w:numFmt w:val="bullet"/>
      <w:lvlText w:val="•"/>
      <w:lvlJc w:val="left"/>
      <w:pPr>
        <w:tabs>
          <w:tab w:val="num" w:pos="4320"/>
        </w:tabs>
        <w:ind w:left="4320" w:hanging="360"/>
      </w:pPr>
      <w:rPr>
        <w:rFonts w:ascii="Arial" w:hAnsi="Arial" w:hint="default"/>
      </w:rPr>
    </w:lvl>
    <w:lvl w:ilvl="6" w:tplc="D6DAFAF0" w:tentative="1">
      <w:start w:val="1"/>
      <w:numFmt w:val="bullet"/>
      <w:lvlText w:val="•"/>
      <w:lvlJc w:val="left"/>
      <w:pPr>
        <w:tabs>
          <w:tab w:val="num" w:pos="5040"/>
        </w:tabs>
        <w:ind w:left="5040" w:hanging="360"/>
      </w:pPr>
      <w:rPr>
        <w:rFonts w:ascii="Arial" w:hAnsi="Arial" w:hint="default"/>
      </w:rPr>
    </w:lvl>
    <w:lvl w:ilvl="7" w:tplc="51DA67AC" w:tentative="1">
      <w:start w:val="1"/>
      <w:numFmt w:val="bullet"/>
      <w:lvlText w:val="•"/>
      <w:lvlJc w:val="left"/>
      <w:pPr>
        <w:tabs>
          <w:tab w:val="num" w:pos="5760"/>
        </w:tabs>
        <w:ind w:left="5760" w:hanging="360"/>
      </w:pPr>
      <w:rPr>
        <w:rFonts w:ascii="Arial" w:hAnsi="Arial" w:hint="default"/>
      </w:rPr>
    </w:lvl>
    <w:lvl w:ilvl="8" w:tplc="9F1C6B06" w:tentative="1">
      <w:start w:val="1"/>
      <w:numFmt w:val="bullet"/>
      <w:lvlText w:val="•"/>
      <w:lvlJc w:val="left"/>
      <w:pPr>
        <w:tabs>
          <w:tab w:val="num" w:pos="6480"/>
        </w:tabs>
        <w:ind w:left="6480" w:hanging="360"/>
      </w:pPr>
      <w:rPr>
        <w:rFonts w:ascii="Arial" w:hAnsi="Arial" w:hint="default"/>
      </w:rPr>
    </w:lvl>
  </w:abstractNum>
  <w:abstractNum w:abstractNumId="10">
    <w:nsid w:val="20C90840"/>
    <w:multiLevelType w:val="hybridMultilevel"/>
    <w:tmpl w:val="61B8498C"/>
    <w:lvl w:ilvl="0" w:tplc="E3DAD84A">
      <w:start w:val="1"/>
      <w:numFmt w:val="lowerLetter"/>
      <w:pStyle w:val="Numbered2"/>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1">
    <w:nsid w:val="239F500A"/>
    <w:multiLevelType w:val="hybridMultilevel"/>
    <w:tmpl w:val="9E86F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CC5963"/>
    <w:multiLevelType w:val="hybridMultilevel"/>
    <w:tmpl w:val="DC147EBA"/>
    <w:lvl w:ilvl="0" w:tplc="F806911C">
      <w:start w:val="1"/>
      <w:numFmt w:val="lowerRoman"/>
      <w:pStyle w:val="Numbered3"/>
      <w:lvlText w:val="%1."/>
      <w:lvlJc w:val="right"/>
      <w:pPr>
        <w:ind w:left="2364" w:hanging="360"/>
      </w:pPr>
    </w:lvl>
    <w:lvl w:ilvl="1" w:tplc="0C090019" w:tentative="1">
      <w:start w:val="1"/>
      <w:numFmt w:val="lowerLetter"/>
      <w:lvlText w:val="%2."/>
      <w:lvlJc w:val="left"/>
      <w:pPr>
        <w:ind w:left="3084" w:hanging="360"/>
      </w:pPr>
    </w:lvl>
    <w:lvl w:ilvl="2" w:tplc="0C09001B" w:tentative="1">
      <w:start w:val="1"/>
      <w:numFmt w:val="lowerRoman"/>
      <w:lvlText w:val="%3."/>
      <w:lvlJc w:val="right"/>
      <w:pPr>
        <w:ind w:left="3804" w:hanging="180"/>
      </w:pPr>
    </w:lvl>
    <w:lvl w:ilvl="3" w:tplc="0C09000F" w:tentative="1">
      <w:start w:val="1"/>
      <w:numFmt w:val="decimal"/>
      <w:lvlText w:val="%4."/>
      <w:lvlJc w:val="left"/>
      <w:pPr>
        <w:ind w:left="4524" w:hanging="360"/>
      </w:pPr>
    </w:lvl>
    <w:lvl w:ilvl="4" w:tplc="0C090019" w:tentative="1">
      <w:start w:val="1"/>
      <w:numFmt w:val="lowerLetter"/>
      <w:lvlText w:val="%5."/>
      <w:lvlJc w:val="left"/>
      <w:pPr>
        <w:ind w:left="5244" w:hanging="360"/>
      </w:pPr>
    </w:lvl>
    <w:lvl w:ilvl="5" w:tplc="0C09001B" w:tentative="1">
      <w:start w:val="1"/>
      <w:numFmt w:val="lowerRoman"/>
      <w:lvlText w:val="%6."/>
      <w:lvlJc w:val="right"/>
      <w:pPr>
        <w:ind w:left="5964" w:hanging="180"/>
      </w:pPr>
    </w:lvl>
    <w:lvl w:ilvl="6" w:tplc="0C09000F" w:tentative="1">
      <w:start w:val="1"/>
      <w:numFmt w:val="decimal"/>
      <w:lvlText w:val="%7."/>
      <w:lvlJc w:val="left"/>
      <w:pPr>
        <w:ind w:left="6684" w:hanging="360"/>
      </w:pPr>
    </w:lvl>
    <w:lvl w:ilvl="7" w:tplc="0C090019" w:tentative="1">
      <w:start w:val="1"/>
      <w:numFmt w:val="lowerLetter"/>
      <w:lvlText w:val="%8."/>
      <w:lvlJc w:val="left"/>
      <w:pPr>
        <w:ind w:left="7404" w:hanging="360"/>
      </w:pPr>
    </w:lvl>
    <w:lvl w:ilvl="8" w:tplc="0C09001B" w:tentative="1">
      <w:start w:val="1"/>
      <w:numFmt w:val="lowerRoman"/>
      <w:lvlText w:val="%9."/>
      <w:lvlJc w:val="right"/>
      <w:pPr>
        <w:ind w:left="8124" w:hanging="180"/>
      </w:pPr>
    </w:lvl>
  </w:abstractNum>
  <w:abstractNum w:abstractNumId="13">
    <w:nsid w:val="31292E99"/>
    <w:multiLevelType w:val="hybridMultilevel"/>
    <w:tmpl w:val="CF3AA462"/>
    <w:lvl w:ilvl="0" w:tplc="F3F812EC">
      <w:start w:val="1"/>
      <w:numFmt w:val="lowerLetter"/>
      <w:pStyle w:val="Numberedabc"/>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7924FB"/>
    <w:multiLevelType w:val="hybridMultilevel"/>
    <w:tmpl w:val="B60EE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7E07BA"/>
    <w:multiLevelType w:val="hybridMultilevel"/>
    <w:tmpl w:val="2E305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FE1600B"/>
    <w:multiLevelType w:val="hybridMultilevel"/>
    <w:tmpl w:val="8F82101C"/>
    <w:lvl w:ilvl="0" w:tplc="88DE49D0">
      <w:start w:val="1"/>
      <w:numFmt w:val="bullet"/>
      <w:lvlText w:val="•"/>
      <w:lvlJc w:val="left"/>
      <w:pPr>
        <w:tabs>
          <w:tab w:val="num" w:pos="720"/>
        </w:tabs>
        <w:ind w:left="720" w:hanging="360"/>
      </w:pPr>
      <w:rPr>
        <w:rFonts w:ascii="Arial" w:hAnsi="Arial" w:hint="default"/>
      </w:rPr>
    </w:lvl>
    <w:lvl w:ilvl="1" w:tplc="07663DA6">
      <w:start w:val="1925"/>
      <w:numFmt w:val="bullet"/>
      <w:lvlText w:val="•"/>
      <w:lvlJc w:val="left"/>
      <w:pPr>
        <w:tabs>
          <w:tab w:val="num" w:pos="1440"/>
        </w:tabs>
        <w:ind w:left="1440" w:hanging="360"/>
      </w:pPr>
      <w:rPr>
        <w:rFonts w:ascii="Arial" w:hAnsi="Arial" w:hint="default"/>
      </w:rPr>
    </w:lvl>
    <w:lvl w:ilvl="2" w:tplc="7B8E810A" w:tentative="1">
      <w:start w:val="1"/>
      <w:numFmt w:val="bullet"/>
      <w:lvlText w:val="•"/>
      <w:lvlJc w:val="left"/>
      <w:pPr>
        <w:tabs>
          <w:tab w:val="num" w:pos="2160"/>
        </w:tabs>
        <w:ind w:left="2160" w:hanging="360"/>
      </w:pPr>
      <w:rPr>
        <w:rFonts w:ascii="Arial" w:hAnsi="Arial" w:hint="default"/>
      </w:rPr>
    </w:lvl>
    <w:lvl w:ilvl="3" w:tplc="F4B8DD1C" w:tentative="1">
      <w:start w:val="1"/>
      <w:numFmt w:val="bullet"/>
      <w:lvlText w:val="•"/>
      <w:lvlJc w:val="left"/>
      <w:pPr>
        <w:tabs>
          <w:tab w:val="num" w:pos="2880"/>
        </w:tabs>
        <w:ind w:left="2880" w:hanging="360"/>
      </w:pPr>
      <w:rPr>
        <w:rFonts w:ascii="Arial" w:hAnsi="Arial" w:hint="default"/>
      </w:rPr>
    </w:lvl>
    <w:lvl w:ilvl="4" w:tplc="1D2A2C94" w:tentative="1">
      <w:start w:val="1"/>
      <w:numFmt w:val="bullet"/>
      <w:lvlText w:val="•"/>
      <w:lvlJc w:val="left"/>
      <w:pPr>
        <w:tabs>
          <w:tab w:val="num" w:pos="3600"/>
        </w:tabs>
        <w:ind w:left="3600" w:hanging="360"/>
      </w:pPr>
      <w:rPr>
        <w:rFonts w:ascii="Arial" w:hAnsi="Arial" w:hint="default"/>
      </w:rPr>
    </w:lvl>
    <w:lvl w:ilvl="5" w:tplc="7A9074DA" w:tentative="1">
      <w:start w:val="1"/>
      <w:numFmt w:val="bullet"/>
      <w:lvlText w:val="•"/>
      <w:lvlJc w:val="left"/>
      <w:pPr>
        <w:tabs>
          <w:tab w:val="num" w:pos="4320"/>
        </w:tabs>
        <w:ind w:left="4320" w:hanging="360"/>
      </w:pPr>
      <w:rPr>
        <w:rFonts w:ascii="Arial" w:hAnsi="Arial" w:hint="default"/>
      </w:rPr>
    </w:lvl>
    <w:lvl w:ilvl="6" w:tplc="2D6000E2" w:tentative="1">
      <w:start w:val="1"/>
      <w:numFmt w:val="bullet"/>
      <w:lvlText w:val="•"/>
      <w:lvlJc w:val="left"/>
      <w:pPr>
        <w:tabs>
          <w:tab w:val="num" w:pos="5040"/>
        </w:tabs>
        <w:ind w:left="5040" w:hanging="360"/>
      </w:pPr>
      <w:rPr>
        <w:rFonts w:ascii="Arial" w:hAnsi="Arial" w:hint="default"/>
      </w:rPr>
    </w:lvl>
    <w:lvl w:ilvl="7" w:tplc="2AF42794" w:tentative="1">
      <w:start w:val="1"/>
      <w:numFmt w:val="bullet"/>
      <w:lvlText w:val="•"/>
      <w:lvlJc w:val="left"/>
      <w:pPr>
        <w:tabs>
          <w:tab w:val="num" w:pos="5760"/>
        </w:tabs>
        <w:ind w:left="5760" w:hanging="360"/>
      </w:pPr>
      <w:rPr>
        <w:rFonts w:ascii="Arial" w:hAnsi="Arial" w:hint="default"/>
      </w:rPr>
    </w:lvl>
    <w:lvl w:ilvl="8" w:tplc="D76ABB90" w:tentative="1">
      <w:start w:val="1"/>
      <w:numFmt w:val="bullet"/>
      <w:lvlText w:val="•"/>
      <w:lvlJc w:val="left"/>
      <w:pPr>
        <w:tabs>
          <w:tab w:val="num" w:pos="6480"/>
        </w:tabs>
        <w:ind w:left="6480" w:hanging="360"/>
      </w:pPr>
      <w:rPr>
        <w:rFonts w:ascii="Arial" w:hAnsi="Arial" w:hint="default"/>
      </w:rPr>
    </w:lvl>
  </w:abstractNum>
  <w:abstractNum w:abstractNumId="17">
    <w:nsid w:val="41133930"/>
    <w:multiLevelType w:val="hybridMultilevel"/>
    <w:tmpl w:val="5428E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C40DBD"/>
    <w:multiLevelType w:val="hybridMultilevel"/>
    <w:tmpl w:val="55E82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4622261"/>
    <w:multiLevelType w:val="hybridMultilevel"/>
    <w:tmpl w:val="4F2006BE"/>
    <w:lvl w:ilvl="0" w:tplc="09AEBD3C">
      <w:start w:val="1"/>
      <w:numFmt w:val="bullet"/>
      <w:pStyle w:val="Bullet2"/>
      <w:lvlText w:val="-"/>
      <w:lvlJc w:val="left"/>
      <w:pPr>
        <w:ind w:left="4254" w:hanging="360"/>
      </w:pPr>
      <w:rPr>
        <w:rFonts w:ascii="Courier New" w:hAnsi="Courier New" w:hint="default"/>
      </w:rPr>
    </w:lvl>
    <w:lvl w:ilvl="1" w:tplc="0C090003">
      <w:start w:val="1"/>
      <w:numFmt w:val="bullet"/>
      <w:lvlText w:val="o"/>
      <w:lvlJc w:val="left"/>
      <w:pPr>
        <w:ind w:left="4974" w:hanging="360"/>
      </w:pPr>
      <w:rPr>
        <w:rFonts w:ascii="Courier New" w:hAnsi="Courier New" w:cs="Courier New" w:hint="default"/>
      </w:rPr>
    </w:lvl>
    <w:lvl w:ilvl="2" w:tplc="0C090005">
      <w:start w:val="1"/>
      <w:numFmt w:val="bullet"/>
      <w:lvlText w:val=""/>
      <w:lvlJc w:val="left"/>
      <w:pPr>
        <w:ind w:left="5694" w:hanging="360"/>
      </w:pPr>
      <w:rPr>
        <w:rFonts w:ascii="Wingdings" w:hAnsi="Wingdings" w:hint="default"/>
      </w:rPr>
    </w:lvl>
    <w:lvl w:ilvl="3" w:tplc="0C090001" w:tentative="1">
      <w:start w:val="1"/>
      <w:numFmt w:val="bullet"/>
      <w:lvlText w:val=""/>
      <w:lvlJc w:val="left"/>
      <w:pPr>
        <w:ind w:left="6414" w:hanging="360"/>
      </w:pPr>
      <w:rPr>
        <w:rFonts w:ascii="Symbol" w:hAnsi="Symbol" w:hint="default"/>
      </w:rPr>
    </w:lvl>
    <w:lvl w:ilvl="4" w:tplc="0C090003" w:tentative="1">
      <w:start w:val="1"/>
      <w:numFmt w:val="bullet"/>
      <w:lvlText w:val="o"/>
      <w:lvlJc w:val="left"/>
      <w:pPr>
        <w:ind w:left="7134" w:hanging="360"/>
      </w:pPr>
      <w:rPr>
        <w:rFonts w:ascii="Courier New" w:hAnsi="Courier New" w:cs="Courier New" w:hint="default"/>
      </w:rPr>
    </w:lvl>
    <w:lvl w:ilvl="5" w:tplc="0C090005" w:tentative="1">
      <w:start w:val="1"/>
      <w:numFmt w:val="bullet"/>
      <w:lvlText w:val=""/>
      <w:lvlJc w:val="left"/>
      <w:pPr>
        <w:ind w:left="7854" w:hanging="360"/>
      </w:pPr>
      <w:rPr>
        <w:rFonts w:ascii="Wingdings" w:hAnsi="Wingdings" w:hint="default"/>
      </w:rPr>
    </w:lvl>
    <w:lvl w:ilvl="6" w:tplc="0C090001" w:tentative="1">
      <w:start w:val="1"/>
      <w:numFmt w:val="bullet"/>
      <w:lvlText w:val=""/>
      <w:lvlJc w:val="left"/>
      <w:pPr>
        <w:ind w:left="8574" w:hanging="360"/>
      </w:pPr>
      <w:rPr>
        <w:rFonts w:ascii="Symbol" w:hAnsi="Symbol" w:hint="default"/>
      </w:rPr>
    </w:lvl>
    <w:lvl w:ilvl="7" w:tplc="0C090003" w:tentative="1">
      <w:start w:val="1"/>
      <w:numFmt w:val="bullet"/>
      <w:lvlText w:val="o"/>
      <w:lvlJc w:val="left"/>
      <w:pPr>
        <w:ind w:left="9294" w:hanging="360"/>
      </w:pPr>
      <w:rPr>
        <w:rFonts w:ascii="Courier New" w:hAnsi="Courier New" w:cs="Courier New" w:hint="default"/>
      </w:rPr>
    </w:lvl>
    <w:lvl w:ilvl="8" w:tplc="0C090005" w:tentative="1">
      <w:start w:val="1"/>
      <w:numFmt w:val="bullet"/>
      <w:lvlText w:val=""/>
      <w:lvlJc w:val="left"/>
      <w:pPr>
        <w:ind w:left="10014" w:hanging="360"/>
      </w:pPr>
      <w:rPr>
        <w:rFonts w:ascii="Wingdings" w:hAnsi="Wingdings" w:hint="default"/>
      </w:rPr>
    </w:lvl>
  </w:abstractNum>
  <w:abstractNum w:abstractNumId="20">
    <w:nsid w:val="4FCF71C5"/>
    <w:multiLevelType w:val="hybridMultilevel"/>
    <w:tmpl w:val="C77EC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7317BD"/>
    <w:multiLevelType w:val="multilevel"/>
    <w:tmpl w:val="1706A41C"/>
    <w:lvl w:ilvl="0">
      <w:start w:val="1"/>
      <w:numFmt w:val="bullet"/>
      <w:pStyle w:val="Bullet1"/>
      <w:lvlText w:val=""/>
      <w:lvlJc w:val="left"/>
      <w:pPr>
        <w:tabs>
          <w:tab w:val="num" w:pos="851"/>
        </w:tabs>
        <w:ind w:left="851" w:hanging="426"/>
      </w:pPr>
      <w:rPr>
        <w:rFonts w:ascii="Symbol" w:hAnsi="Symbol" w:hint="default"/>
        <w:color w:val="0081C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BC940D7"/>
    <w:multiLevelType w:val="hybridMultilevel"/>
    <w:tmpl w:val="50287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AEF67FF"/>
    <w:multiLevelType w:val="multilevel"/>
    <w:tmpl w:val="7AAEDB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D6A202E"/>
    <w:multiLevelType w:val="hybridMultilevel"/>
    <w:tmpl w:val="6ABE8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EB37748"/>
    <w:multiLevelType w:val="hybridMultilevel"/>
    <w:tmpl w:val="CCA8D06A"/>
    <w:lvl w:ilvl="0" w:tplc="041C0668">
      <w:start w:val="1"/>
      <w:numFmt w:val="bullet"/>
      <w:lvlText w:val="•"/>
      <w:lvlJc w:val="left"/>
      <w:pPr>
        <w:tabs>
          <w:tab w:val="num" w:pos="720"/>
        </w:tabs>
        <w:ind w:left="720" w:hanging="360"/>
      </w:pPr>
      <w:rPr>
        <w:rFonts w:ascii="Arial" w:hAnsi="Arial" w:hint="default"/>
      </w:rPr>
    </w:lvl>
    <w:lvl w:ilvl="1" w:tplc="2E447464">
      <w:start w:val="461"/>
      <w:numFmt w:val="bullet"/>
      <w:lvlText w:val="o"/>
      <w:lvlJc w:val="left"/>
      <w:pPr>
        <w:tabs>
          <w:tab w:val="num" w:pos="1440"/>
        </w:tabs>
        <w:ind w:left="1440" w:hanging="360"/>
      </w:pPr>
      <w:rPr>
        <w:rFonts w:ascii="Courier New" w:hAnsi="Courier New" w:hint="default"/>
      </w:rPr>
    </w:lvl>
    <w:lvl w:ilvl="2" w:tplc="814CAD34">
      <w:start w:val="1"/>
      <w:numFmt w:val="bullet"/>
      <w:lvlText w:val="•"/>
      <w:lvlJc w:val="left"/>
      <w:pPr>
        <w:tabs>
          <w:tab w:val="num" w:pos="2160"/>
        </w:tabs>
        <w:ind w:left="2160" w:hanging="360"/>
      </w:pPr>
      <w:rPr>
        <w:rFonts w:ascii="Arial" w:hAnsi="Arial" w:hint="default"/>
      </w:rPr>
    </w:lvl>
    <w:lvl w:ilvl="3" w:tplc="18DAB68E" w:tentative="1">
      <w:start w:val="1"/>
      <w:numFmt w:val="bullet"/>
      <w:lvlText w:val="•"/>
      <w:lvlJc w:val="left"/>
      <w:pPr>
        <w:tabs>
          <w:tab w:val="num" w:pos="2880"/>
        </w:tabs>
        <w:ind w:left="2880" w:hanging="360"/>
      </w:pPr>
      <w:rPr>
        <w:rFonts w:ascii="Arial" w:hAnsi="Arial" w:hint="default"/>
      </w:rPr>
    </w:lvl>
    <w:lvl w:ilvl="4" w:tplc="F9607996" w:tentative="1">
      <w:start w:val="1"/>
      <w:numFmt w:val="bullet"/>
      <w:lvlText w:val="•"/>
      <w:lvlJc w:val="left"/>
      <w:pPr>
        <w:tabs>
          <w:tab w:val="num" w:pos="3600"/>
        </w:tabs>
        <w:ind w:left="3600" w:hanging="360"/>
      </w:pPr>
      <w:rPr>
        <w:rFonts w:ascii="Arial" w:hAnsi="Arial" w:hint="default"/>
      </w:rPr>
    </w:lvl>
    <w:lvl w:ilvl="5" w:tplc="1364558C" w:tentative="1">
      <w:start w:val="1"/>
      <w:numFmt w:val="bullet"/>
      <w:lvlText w:val="•"/>
      <w:lvlJc w:val="left"/>
      <w:pPr>
        <w:tabs>
          <w:tab w:val="num" w:pos="4320"/>
        </w:tabs>
        <w:ind w:left="4320" w:hanging="360"/>
      </w:pPr>
      <w:rPr>
        <w:rFonts w:ascii="Arial" w:hAnsi="Arial" w:hint="default"/>
      </w:rPr>
    </w:lvl>
    <w:lvl w:ilvl="6" w:tplc="680E520A" w:tentative="1">
      <w:start w:val="1"/>
      <w:numFmt w:val="bullet"/>
      <w:lvlText w:val="•"/>
      <w:lvlJc w:val="left"/>
      <w:pPr>
        <w:tabs>
          <w:tab w:val="num" w:pos="5040"/>
        </w:tabs>
        <w:ind w:left="5040" w:hanging="360"/>
      </w:pPr>
      <w:rPr>
        <w:rFonts w:ascii="Arial" w:hAnsi="Arial" w:hint="default"/>
      </w:rPr>
    </w:lvl>
    <w:lvl w:ilvl="7" w:tplc="AB80D67E" w:tentative="1">
      <w:start w:val="1"/>
      <w:numFmt w:val="bullet"/>
      <w:lvlText w:val="•"/>
      <w:lvlJc w:val="left"/>
      <w:pPr>
        <w:tabs>
          <w:tab w:val="num" w:pos="5760"/>
        </w:tabs>
        <w:ind w:left="5760" w:hanging="360"/>
      </w:pPr>
      <w:rPr>
        <w:rFonts w:ascii="Arial" w:hAnsi="Arial" w:hint="default"/>
      </w:rPr>
    </w:lvl>
    <w:lvl w:ilvl="8" w:tplc="33A6DC2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1"/>
  </w:num>
  <w:num w:numId="3">
    <w:abstractNumId w:val="19"/>
  </w:num>
  <w:num w:numId="4">
    <w:abstractNumId w:val="13"/>
  </w:num>
  <w:num w:numId="5">
    <w:abstractNumId w:val="0"/>
  </w:num>
  <w:num w:numId="6">
    <w:abstractNumId w:val="10"/>
  </w:num>
  <w:num w:numId="7">
    <w:abstractNumId w:val="12"/>
  </w:num>
  <w:num w:numId="8">
    <w:abstractNumId w:val="2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6"/>
  </w:num>
  <w:num w:numId="12">
    <w:abstractNumId w:val="11"/>
  </w:num>
  <w:num w:numId="13">
    <w:abstractNumId w:val="5"/>
  </w:num>
  <w:num w:numId="14">
    <w:abstractNumId w:val="21"/>
  </w:num>
  <w:num w:numId="15">
    <w:abstractNumId w:val="21"/>
  </w:num>
  <w:num w:numId="16">
    <w:abstractNumId w:val="21"/>
  </w:num>
  <w:num w:numId="17">
    <w:abstractNumId w:val="7"/>
  </w:num>
  <w:num w:numId="18">
    <w:abstractNumId w:val="3"/>
  </w:num>
  <w:num w:numId="19">
    <w:abstractNumId w:val="8"/>
  </w:num>
  <w:num w:numId="20">
    <w:abstractNumId w:val="18"/>
  </w:num>
  <w:num w:numId="21">
    <w:abstractNumId w:val="25"/>
  </w:num>
  <w:num w:numId="22">
    <w:abstractNumId w:val="24"/>
  </w:num>
  <w:num w:numId="23">
    <w:abstractNumId w:val="4"/>
  </w:num>
  <w:num w:numId="24">
    <w:abstractNumId w:val="6"/>
  </w:num>
  <w:num w:numId="25">
    <w:abstractNumId w:val="21"/>
  </w:num>
  <w:num w:numId="26">
    <w:abstractNumId w:val="21"/>
  </w:num>
  <w:num w:numId="27">
    <w:abstractNumId w:val="21"/>
  </w:num>
  <w:num w:numId="28">
    <w:abstractNumId w:val="21"/>
  </w:num>
  <w:num w:numId="29">
    <w:abstractNumId w:val="21"/>
  </w:num>
  <w:num w:numId="30">
    <w:abstractNumId w:val="2"/>
  </w:num>
  <w:num w:numId="31">
    <w:abstractNumId w:val="22"/>
  </w:num>
  <w:num w:numId="32">
    <w:abstractNumId w:val="15"/>
  </w:num>
  <w:num w:numId="33">
    <w:abstractNumId w:val="1"/>
  </w:num>
  <w:num w:numId="34">
    <w:abstractNumId w:val="1"/>
  </w:num>
  <w:num w:numId="35">
    <w:abstractNumId w:val="1"/>
  </w:num>
  <w:num w:numId="36">
    <w:abstractNumId w:val="21"/>
  </w:num>
  <w:num w:numId="37">
    <w:abstractNumId w:val="21"/>
  </w:num>
  <w:num w:numId="38">
    <w:abstractNumId w:val="21"/>
  </w:num>
  <w:num w:numId="39">
    <w:abstractNumId w:val="20"/>
  </w:num>
  <w:num w:numId="40">
    <w:abstractNumId w:val="14"/>
  </w:num>
  <w:num w:numId="41">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attachedTemplate r:id="rId1"/>
  <w:stylePaneSortMethod w:val="0000"/>
  <w:revisionView w:inkAnnotations="0"/>
  <w:defaultTabStop w:val="1134"/>
  <w:drawingGridHorizontalSpacing w:val="57"/>
  <w:drawingGridVerticalSpacing w:val="57"/>
  <w:doNotUseMarginsForDrawingGridOrigin/>
  <w:drawingGridHorizontalOrigin w:val="1418"/>
  <w:drawingGridVerticalOrigin w:val="1418"/>
  <w:characterSpacingControl w:val="doNotCompress"/>
  <w:hdrShapeDefaults>
    <o:shapedefaults v:ext="edit" spidmax="1269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4CA"/>
    <w:rsid w:val="00001ECD"/>
    <w:rsid w:val="000033D9"/>
    <w:rsid w:val="0000341F"/>
    <w:rsid w:val="0000467E"/>
    <w:rsid w:val="0000475F"/>
    <w:rsid w:val="0000531E"/>
    <w:rsid w:val="00011394"/>
    <w:rsid w:val="000140EE"/>
    <w:rsid w:val="00014DCC"/>
    <w:rsid w:val="00021439"/>
    <w:rsid w:val="00021CD2"/>
    <w:rsid w:val="00023410"/>
    <w:rsid w:val="00025262"/>
    <w:rsid w:val="00027880"/>
    <w:rsid w:val="000309CB"/>
    <w:rsid w:val="00032187"/>
    <w:rsid w:val="00033370"/>
    <w:rsid w:val="00037359"/>
    <w:rsid w:val="00037A5B"/>
    <w:rsid w:val="0004201A"/>
    <w:rsid w:val="00042BE1"/>
    <w:rsid w:val="00045243"/>
    <w:rsid w:val="00045C72"/>
    <w:rsid w:val="000461B7"/>
    <w:rsid w:val="000467EA"/>
    <w:rsid w:val="0004751F"/>
    <w:rsid w:val="00051AEB"/>
    <w:rsid w:val="00052AC5"/>
    <w:rsid w:val="0006246B"/>
    <w:rsid w:val="000632C2"/>
    <w:rsid w:val="00064B71"/>
    <w:rsid w:val="00065B0F"/>
    <w:rsid w:val="00066E73"/>
    <w:rsid w:val="0007432F"/>
    <w:rsid w:val="00074F88"/>
    <w:rsid w:val="000750CE"/>
    <w:rsid w:val="00077627"/>
    <w:rsid w:val="00077E1E"/>
    <w:rsid w:val="00081A1D"/>
    <w:rsid w:val="00082E63"/>
    <w:rsid w:val="000907ED"/>
    <w:rsid w:val="0009314C"/>
    <w:rsid w:val="00095C37"/>
    <w:rsid w:val="00096AE5"/>
    <w:rsid w:val="0009745B"/>
    <w:rsid w:val="000A2BAA"/>
    <w:rsid w:val="000A74D0"/>
    <w:rsid w:val="000B039B"/>
    <w:rsid w:val="000B24F9"/>
    <w:rsid w:val="000B3439"/>
    <w:rsid w:val="000B36C1"/>
    <w:rsid w:val="000B655A"/>
    <w:rsid w:val="000B6D91"/>
    <w:rsid w:val="000B70B3"/>
    <w:rsid w:val="000B74D7"/>
    <w:rsid w:val="000B76CE"/>
    <w:rsid w:val="000C1650"/>
    <w:rsid w:val="000C24FF"/>
    <w:rsid w:val="000C33F6"/>
    <w:rsid w:val="000C55EF"/>
    <w:rsid w:val="000C617A"/>
    <w:rsid w:val="000C66C9"/>
    <w:rsid w:val="000C750C"/>
    <w:rsid w:val="000D1790"/>
    <w:rsid w:val="000D564B"/>
    <w:rsid w:val="000E49D0"/>
    <w:rsid w:val="000E5E17"/>
    <w:rsid w:val="000E743B"/>
    <w:rsid w:val="000E7E8C"/>
    <w:rsid w:val="000F2092"/>
    <w:rsid w:val="000F6475"/>
    <w:rsid w:val="00101710"/>
    <w:rsid w:val="0010347B"/>
    <w:rsid w:val="00107074"/>
    <w:rsid w:val="001140B0"/>
    <w:rsid w:val="001152BA"/>
    <w:rsid w:val="001169AA"/>
    <w:rsid w:val="00122A71"/>
    <w:rsid w:val="0012493C"/>
    <w:rsid w:val="00126096"/>
    <w:rsid w:val="00130A40"/>
    <w:rsid w:val="0013466D"/>
    <w:rsid w:val="001349CC"/>
    <w:rsid w:val="001363D2"/>
    <w:rsid w:val="001364F6"/>
    <w:rsid w:val="001368FF"/>
    <w:rsid w:val="00136C03"/>
    <w:rsid w:val="00140A0B"/>
    <w:rsid w:val="00140E1B"/>
    <w:rsid w:val="00141088"/>
    <w:rsid w:val="00144E0F"/>
    <w:rsid w:val="0014563A"/>
    <w:rsid w:val="0014611B"/>
    <w:rsid w:val="0014644A"/>
    <w:rsid w:val="00146C57"/>
    <w:rsid w:val="00150235"/>
    <w:rsid w:val="00150CF2"/>
    <w:rsid w:val="001535A1"/>
    <w:rsid w:val="00160B31"/>
    <w:rsid w:val="00160F3E"/>
    <w:rsid w:val="001626C6"/>
    <w:rsid w:val="0017040C"/>
    <w:rsid w:val="00174198"/>
    <w:rsid w:val="001750B0"/>
    <w:rsid w:val="0017788C"/>
    <w:rsid w:val="00180815"/>
    <w:rsid w:val="0018384F"/>
    <w:rsid w:val="0018470A"/>
    <w:rsid w:val="00184FBF"/>
    <w:rsid w:val="001851A4"/>
    <w:rsid w:val="00186120"/>
    <w:rsid w:val="00190E5E"/>
    <w:rsid w:val="00195C46"/>
    <w:rsid w:val="001A03CD"/>
    <w:rsid w:val="001A58F4"/>
    <w:rsid w:val="001A6476"/>
    <w:rsid w:val="001A71E4"/>
    <w:rsid w:val="001B2C41"/>
    <w:rsid w:val="001B36E6"/>
    <w:rsid w:val="001B379B"/>
    <w:rsid w:val="001B4E52"/>
    <w:rsid w:val="001B6C1C"/>
    <w:rsid w:val="001B702A"/>
    <w:rsid w:val="001C3F34"/>
    <w:rsid w:val="001C477F"/>
    <w:rsid w:val="001D02E9"/>
    <w:rsid w:val="001D0CB9"/>
    <w:rsid w:val="001D175A"/>
    <w:rsid w:val="001D1FAC"/>
    <w:rsid w:val="001D2210"/>
    <w:rsid w:val="001D39AF"/>
    <w:rsid w:val="001D5876"/>
    <w:rsid w:val="001D6C88"/>
    <w:rsid w:val="001E0693"/>
    <w:rsid w:val="001E1532"/>
    <w:rsid w:val="001E23DE"/>
    <w:rsid w:val="001E32DC"/>
    <w:rsid w:val="001E4E67"/>
    <w:rsid w:val="001E5025"/>
    <w:rsid w:val="001E597C"/>
    <w:rsid w:val="001E73D5"/>
    <w:rsid w:val="001E7ADB"/>
    <w:rsid w:val="001E7D5E"/>
    <w:rsid w:val="001F1516"/>
    <w:rsid w:val="001F2AE7"/>
    <w:rsid w:val="001F34BA"/>
    <w:rsid w:val="00205E72"/>
    <w:rsid w:val="00206AAE"/>
    <w:rsid w:val="002072B5"/>
    <w:rsid w:val="002075DE"/>
    <w:rsid w:val="002174C3"/>
    <w:rsid w:val="00221590"/>
    <w:rsid w:val="00223F92"/>
    <w:rsid w:val="002264A3"/>
    <w:rsid w:val="00226969"/>
    <w:rsid w:val="00230F9F"/>
    <w:rsid w:val="00235145"/>
    <w:rsid w:val="00237694"/>
    <w:rsid w:val="002434DF"/>
    <w:rsid w:val="00243985"/>
    <w:rsid w:val="002452E9"/>
    <w:rsid w:val="0024611F"/>
    <w:rsid w:val="0025269E"/>
    <w:rsid w:val="00253607"/>
    <w:rsid w:val="00254C28"/>
    <w:rsid w:val="00254D30"/>
    <w:rsid w:val="002551AA"/>
    <w:rsid w:val="00257E36"/>
    <w:rsid w:val="002613DC"/>
    <w:rsid w:val="002663D7"/>
    <w:rsid w:val="002668D8"/>
    <w:rsid w:val="0027048A"/>
    <w:rsid w:val="00270B82"/>
    <w:rsid w:val="0027132B"/>
    <w:rsid w:val="0027175D"/>
    <w:rsid w:val="002718E3"/>
    <w:rsid w:val="00271959"/>
    <w:rsid w:val="00271EB2"/>
    <w:rsid w:val="00274E3C"/>
    <w:rsid w:val="00277CE3"/>
    <w:rsid w:val="002807CA"/>
    <w:rsid w:val="00280A47"/>
    <w:rsid w:val="002816A8"/>
    <w:rsid w:val="002835D4"/>
    <w:rsid w:val="002922F6"/>
    <w:rsid w:val="0029378F"/>
    <w:rsid w:val="00293926"/>
    <w:rsid w:val="002940D7"/>
    <w:rsid w:val="00294875"/>
    <w:rsid w:val="00297630"/>
    <w:rsid w:val="00297E41"/>
    <w:rsid w:val="002A20B3"/>
    <w:rsid w:val="002A4086"/>
    <w:rsid w:val="002A488E"/>
    <w:rsid w:val="002A4FCD"/>
    <w:rsid w:val="002A67C5"/>
    <w:rsid w:val="002B0F58"/>
    <w:rsid w:val="002B182B"/>
    <w:rsid w:val="002B4418"/>
    <w:rsid w:val="002B674C"/>
    <w:rsid w:val="002B7E98"/>
    <w:rsid w:val="002C1D6D"/>
    <w:rsid w:val="002C23FE"/>
    <w:rsid w:val="002C3A9B"/>
    <w:rsid w:val="002C3DAD"/>
    <w:rsid w:val="002C6A26"/>
    <w:rsid w:val="002C7F64"/>
    <w:rsid w:val="002D1594"/>
    <w:rsid w:val="002D1F63"/>
    <w:rsid w:val="002D32A7"/>
    <w:rsid w:val="002D47C1"/>
    <w:rsid w:val="002D5D65"/>
    <w:rsid w:val="002D6051"/>
    <w:rsid w:val="002D6469"/>
    <w:rsid w:val="002E1631"/>
    <w:rsid w:val="002E1BF1"/>
    <w:rsid w:val="002E3AA3"/>
    <w:rsid w:val="002E3AB8"/>
    <w:rsid w:val="002E47A4"/>
    <w:rsid w:val="002E4E0F"/>
    <w:rsid w:val="002E5097"/>
    <w:rsid w:val="002E69A9"/>
    <w:rsid w:val="002E7ABD"/>
    <w:rsid w:val="002F086D"/>
    <w:rsid w:val="002F180C"/>
    <w:rsid w:val="002F365D"/>
    <w:rsid w:val="002F5956"/>
    <w:rsid w:val="002F5BC0"/>
    <w:rsid w:val="003023B7"/>
    <w:rsid w:val="0030299E"/>
    <w:rsid w:val="003029B3"/>
    <w:rsid w:val="003040D6"/>
    <w:rsid w:val="0030623D"/>
    <w:rsid w:val="00311429"/>
    <w:rsid w:val="003118E8"/>
    <w:rsid w:val="003120F0"/>
    <w:rsid w:val="003145A7"/>
    <w:rsid w:val="00314DC1"/>
    <w:rsid w:val="00316B36"/>
    <w:rsid w:val="00324CA4"/>
    <w:rsid w:val="00332DE0"/>
    <w:rsid w:val="0033493C"/>
    <w:rsid w:val="003352A3"/>
    <w:rsid w:val="003353CD"/>
    <w:rsid w:val="00336832"/>
    <w:rsid w:val="00337098"/>
    <w:rsid w:val="00342C7B"/>
    <w:rsid w:val="00345E05"/>
    <w:rsid w:val="003468D4"/>
    <w:rsid w:val="00346C0D"/>
    <w:rsid w:val="00354B76"/>
    <w:rsid w:val="003571F2"/>
    <w:rsid w:val="0036086C"/>
    <w:rsid w:val="0036333D"/>
    <w:rsid w:val="003637FD"/>
    <w:rsid w:val="003644EF"/>
    <w:rsid w:val="00374203"/>
    <w:rsid w:val="00374507"/>
    <w:rsid w:val="00374A3A"/>
    <w:rsid w:val="0037593B"/>
    <w:rsid w:val="00380898"/>
    <w:rsid w:val="00381305"/>
    <w:rsid w:val="00381ECA"/>
    <w:rsid w:val="00384D03"/>
    <w:rsid w:val="003851F3"/>
    <w:rsid w:val="00387BFE"/>
    <w:rsid w:val="003923EA"/>
    <w:rsid w:val="00395FAF"/>
    <w:rsid w:val="00397F3D"/>
    <w:rsid w:val="003A385E"/>
    <w:rsid w:val="003A47D6"/>
    <w:rsid w:val="003A5A3E"/>
    <w:rsid w:val="003A68D6"/>
    <w:rsid w:val="003A7D52"/>
    <w:rsid w:val="003B0D0C"/>
    <w:rsid w:val="003B0D70"/>
    <w:rsid w:val="003B2118"/>
    <w:rsid w:val="003B4F47"/>
    <w:rsid w:val="003B6B31"/>
    <w:rsid w:val="003C0A9C"/>
    <w:rsid w:val="003C568C"/>
    <w:rsid w:val="003C6822"/>
    <w:rsid w:val="003C7FF7"/>
    <w:rsid w:val="003D0E76"/>
    <w:rsid w:val="003D17E4"/>
    <w:rsid w:val="003D21FA"/>
    <w:rsid w:val="003D3E90"/>
    <w:rsid w:val="003D49E8"/>
    <w:rsid w:val="003D4BF4"/>
    <w:rsid w:val="003D62A8"/>
    <w:rsid w:val="003D63C0"/>
    <w:rsid w:val="003D7096"/>
    <w:rsid w:val="003D79B6"/>
    <w:rsid w:val="003E0859"/>
    <w:rsid w:val="003E08CE"/>
    <w:rsid w:val="003E1674"/>
    <w:rsid w:val="003E36FC"/>
    <w:rsid w:val="003E46A0"/>
    <w:rsid w:val="003E5497"/>
    <w:rsid w:val="003E5973"/>
    <w:rsid w:val="003E6C2D"/>
    <w:rsid w:val="003E6CD7"/>
    <w:rsid w:val="003F0507"/>
    <w:rsid w:val="003F0A93"/>
    <w:rsid w:val="003F0B9C"/>
    <w:rsid w:val="003F4D9A"/>
    <w:rsid w:val="003F52A8"/>
    <w:rsid w:val="00405427"/>
    <w:rsid w:val="00406BF6"/>
    <w:rsid w:val="004136D3"/>
    <w:rsid w:val="004174AE"/>
    <w:rsid w:val="00417851"/>
    <w:rsid w:val="00421D21"/>
    <w:rsid w:val="00421D27"/>
    <w:rsid w:val="00424242"/>
    <w:rsid w:val="00426D99"/>
    <w:rsid w:val="004331BB"/>
    <w:rsid w:val="004337E6"/>
    <w:rsid w:val="00433E13"/>
    <w:rsid w:val="00435485"/>
    <w:rsid w:val="00435EF5"/>
    <w:rsid w:val="0043798D"/>
    <w:rsid w:val="004419B1"/>
    <w:rsid w:val="004444E8"/>
    <w:rsid w:val="00444CDA"/>
    <w:rsid w:val="00445B2D"/>
    <w:rsid w:val="0045082C"/>
    <w:rsid w:val="004512F5"/>
    <w:rsid w:val="00452DBA"/>
    <w:rsid w:val="004541CC"/>
    <w:rsid w:val="00456335"/>
    <w:rsid w:val="004566C8"/>
    <w:rsid w:val="00457AC2"/>
    <w:rsid w:val="004612F8"/>
    <w:rsid w:val="00461D57"/>
    <w:rsid w:val="0046375B"/>
    <w:rsid w:val="00463F57"/>
    <w:rsid w:val="00464353"/>
    <w:rsid w:val="004656C8"/>
    <w:rsid w:val="00465B26"/>
    <w:rsid w:val="00466C24"/>
    <w:rsid w:val="00470069"/>
    <w:rsid w:val="004701A4"/>
    <w:rsid w:val="0047162F"/>
    <w:rsid w:val="00471BEC"/>
    <w:rsid w:val="004727FE"/>
    <w:rsid w:val="00472C34"/>
    <w:rsid w:val="0047560E"/>
    <w:rsid w:val="00476B82"/>
    <w:rsid w:val="00477D7C"/>
    <w:rsid w:val="004840ED"/>
    <w:rsid w:val="004861C4"/>
    <w:rsid w:val="004864F1"/>
    <w:rsid w:val="004940E6"/>
    <w:rsid w:val="00495D36"/>
    <w:rsid w:val="00496678"/>
    <w:rsid w:val="004A1C07"/>
    <w:rsid w:val="004A31EE"/>
    <w:rsid w:val="004A51D8"/>
    <w:rsid w:val="004A565C"/>
    <w:rsid w:val="004B0F31"/>
    <w:rsid w:val="004B269D"/>
    <w:rsid w:val="004B327D"/>
    <w:rsid w:val="004B387D"/>
    <w:rsid w:val="004C0446"/>
    <w:rsid w:val="004C29FD"/>
    <w:rsid w:val="004C2FF7"/>
    <w:rsid w:val="004C3DC7"/>
    <w:rsid w:val="004C64C1"/>
    <w:rsid w:val="004C7719"/>
    <w:rsid w:val="004D0C1B"/>
    <w:rsid w:val="004D0DDB"/>
    <w:rsid w:val="004D62F0"/>
    <w:rsid w:val="004D70BF"/>
    <w:rsid w:val="004E118D"/>
    <w:rsid w:val="004E47AD"/>
    <w:rsid w:val="004E5EE3"/>
    <w:rsid w:val="004E6187"/>
    <w:rsid w:val="004E6389"/>
    <w:rsid w:val="004E7CDB"/>
    <w:rsid w:val="004F1F85"/>
    <w:rsid w:val="004F36EC"/>
    <w:rsid w:val="004F510F"/>
    <w:rsid w:val="004F5B9B"/>
    <w:rsid w:val="004F5F60"/>
    <w:rsid w:val="0050091A"/>
    <w:rsid w:val="005011AF"/>
    <w:rsid w:val="00501EF5"/>
    <w:rsid w:val="00504072"/>
    <w:rsid w:val="005057BA"/>
    <w:rsid w:val="00505AC3"/>
    <w:rsid w:val="00511877"/>
    <w:rsid w:val="00512CAE"/>
    <w:rsid w:val="0051332C"/>
    <w:rsid w:val="00516D29"/>
    <w:rsid w:val="00521099"/>
    <w:rsid w:val="005243F1"/>
    <w:rsid w:val="00524C06"/>
    <w:rsid w:val="0052592C"/>
    <w:rsid w:val="005303CF"/>
    <w:rsid w:val="00530BFA"/>
    <w:rsid w:val="005313C6"/>
    <w:rsid w:val="00533BF2"/>
    <w:rsid w:val="00536712"/>
    <w:rsid w:val="00536E63"/>
    <w:rsid w:val="00544000"/>
    <w:rsid w:val="0054407A"/>
    <w:rsid w:val="00545CDF"/>
    <w:rsid w:val="005468B8"/>
    <w:rsid w:val="00551630"/>
    <w:rsid w:val="00552B76"/>
    <w:rsid w:val="00553C1C"/>
    <w:rsid w:val="005541B5"/>
    <w:rsid w:val="00555224"/>
    <w:rsid w:val="005552B0"/>
    <w:rsid w:val="00557A83"/>
    <w:rsid w:val="00561366"/>
    <w:rsid w:val="0056359C"/>
    <w:rsid w:val="00576B53"/>
    <w:rsid w:val="005839F0"/>
    <w:rsid w:val="00584516"/>
    <w:rsid w:val="00584D73"/>
    <w:rsid w:val="0059237A"/>
    <w:rsid w:val="00592B71"/>
    <w:rsid w:val="00593710"/>
    <w:rsid w:val="005937FE"/>
    <w:rsid w:val="005941AF"/>
    <w:rsid w:val="0059423F"/>
    <w:rsid w:val="005964F8"/>
    <w:rsid w:val="00596733"/>
    <w:rsid w:val="00597757"/>
    <w:rsid w:val="00597B5B"/>
    <w:rsid w:val="005A0FC1"/>
    <w:rsid w:val="005A1012"/>
    <w:rsid w:val="005A4FB6"/>
    <w:rsid w:val="005A5006"/>
    <w:rsid w:val="005A6141"/>
    <w:rsid w:val="005B22CF"/>
    <w:rsid w:val="005B5E40"/>
    <w:rsid w:val="005C2851"/>
    <w:rsid w:val="005C3012"/>
    <w:rsid w:val="005C3528"/>
    <w:rsid w:val="005C534D"/>
    <w:rsid w:val="005C54B1"/>
    <w:rsid w:val="005C6032"/>
    <w:rsid w:val="005C78F2"/>
    <w:rsid w:val="005D2544"/>
    <w:rsid w:val="005D71E3"/>
    <w:rsid w:val="005E16B1"/>
    <w:rsid w:val="005E36CC"/>
    <w:rsid w:val="005E5CAC"/>
    <w:rsid w:val="005E6846"/>
    <w:rsid w:val="005E728C"/>
    <w:rsid w:val="005E765B"/>
    <w:rsid w:val="005F117D"/>
    <w:rsid w:val="005F1423"/>
    <w:rsid w:val="005F2E4A"/>
    <w:rsid w:val="005F4AF1"/>
    <w:rsid w:val="005F6233"/>
    <w:rsid w:val="00601C77"/>
    <w:rsid w:val="00606251"/>
    <w:rsid w:val="006127FD"/>
    <w:rsid w:val="0062117F"/>
    <w:rsid w:val="006228A4"/>
    <w:rsid w:val="0062535C"/>
    <w:rsid w:val="00626213"/>
    <w:rsid w:val="00630C35"/>
    <w:rsid w:val="00631908"/>
    <w:rsid w:val="00633D8F"/>
    <w:rsid w:val="0063615B"/>
    <w:rsid w:val="00640987"/>
    <w:rsid w:val="00641368"/>
    <w:rsid w:val="006415E4"/>
    <w:rsid w:val="00641B66"/>
    <w:rsid w:val="006427A6"/>
    <w:rsid w:val="006455BF"/>
    <w:rsid w:val="00645A2F"/>
    <w:rsid w:val="00653098"/>
    <w:rsid w:val="006535FA"/>
    <w:rsid w:val="00654271"/>
    <w:rsid w:val="00654A4F"/>
    <w:rsid w:val="00654BBE"/>
    <w:rsid w:val="00657119"/>
    <w:rsid w:val="006612AC"/>
    <w:rsid w:val="00663798"/>
    <w:rsid w:val="00664D1B"/>
    <w:rsid w:val="006669BF"/>
    <w:rsid w:val="00667CED"/>
    <w:rsid w:val="00670086"/>
    <w:rsid w:val="00670567"/>
    <w:rsid w:val="00672254"/>
    <w:rsid w:val="006724B6"/>
    <w:rsid w:val="00672CB5"/>
    <w:rsid w:val="006759A5"/>
    <w:rsid w:val="0067677F"/>
    <w:rsid w:val="00676A16"/>
    <w:rsid w:val="00677320"/>
    <w:rsid w:val="00685254"/>
    <w:rsid w:val="006852B3"/>
    <w:rsid w:val="00691F7F"/>
    <w:rsid w:val="00692799"/>
    <w:rsid w:val="00692848"/>
    <w:rsid w:val="0069578C"/>
    <w:rsid w:val="006A7451"/>
    <w:rsid w:val="006B1058"/>
    <w:rsid w:val="006B34FB"/>
    <w:rsid w:val="006B6891"/>
    <w:rsid w:val="006B79DC"/>
    <w:rsid w:val="006C0864"/>
    <w:rsid w:val="006C2236"/>
    <w:rsid w:val="006C23DB"/>
    <w:rsid w:val="006C2B4B"/>
    <w:rsid w:val="006C3CDB"/>
    <w:rsid w:val="006C709A"/>
    <w:rsid w:val="006D02B5"/>
    <w:rsid w:val="006D259E"/>
    <w:rsid w:val="006D2AAC"/>
    <w:rsid w:val="006D4AEB"/>
    <w:rsid w:val="006D67B4"/>
    <w:rsid w:val="006E0003"/>
    <w:rsid w:val="006E149B"/>
    <w:rsid w:val="006E1DC7"/>
    <w:rsid w:val="006E1FDC"/>
    <w:rsid w:val="006E363D"/>
    <w:rsid w:val="006E4F2E"/>
    <w:rsid w:val="006E7013"/>
    <w:rsid w:val="006E7D01"/>
    <w:rsid w:val="006F48BB"/>
    <w:rsid w:val="006F5931"/>
    <w:rsid w:val="006F5F90"/>
    <w:rsid w:val="006F6BD8"/>
    <w:rsid w:val="006F72E7"/>
    <w:rsid w:val="00704C58"/>
    <w:rsid w:val="00704C60"/>
    <w:rsid w:val="00705A75"/>
    <w:rsid w:val="0070686D"/>
    <w:rsid w:val="00706E01"/>
    <w:rsid w:val="007108BE"/>
    <w:rsid w:val="00711C17"/>
    <w:rsid w:val="00714435"/>
    <w:rsid w:val="0071537E"/>
    <w:rsid w:val="00725F17"/>
    <w:rsid w:val="007316DE"/>
    <w:rsid w:val="0073173D"/>
    <w:rsid w:val="007353D3"/>
    <w:rsid w:val="00736948"/>
    <w:rsid w:val="007506EB"/>
    <w:rsid w:val="0076025D"/>
    <w:rsid w:val="00760DDA"/>
    <w:rsid w:val="0076258E"/>
    <w:rsid w:val="00764B62"/>
    <w:rsid w:val="007655E4"/>
    <w:rsid w:val="00765933"/>
    <w:rsid w:val="00765EA4"/>
    <w:rsid w:val="00765F54"/>
    <w:rsid w:val="00766705"/>
    <w:rsid w:val="00771CAE"/>
    <w:rsid w:val="00772C0F"/>
    <w:rsid w:val="00773A89"/>
    <w:rsid w:val="00773E27"/>
    <w:rsid w:val="00776284"/>
    <w:rsid w:val="007838EC"/>
    <w:rsid w:val="007851AB"/>
    <w:rsid w:val="00785DC1"/>
    <w:rsid w:val="0078609F"/>
    <w:rsid w:val="00787BC3"/>
    <w:rsid w:val="00793902"/>
    <w:rsid w:val="007A0091"/>
    <w:rsid w:val="007A1DBB"/>
    <w:rsid w:val="007A3270"/>
    <w:rsid w:val="007A5AC5"/>
    <w:rsid w:val="007C5466"/>
    <w:rsid w:val="007C551E"/>
    <w:rsid w:val="007C7343"/>
    <w:rsid w:val="007D30F5"/>
    <w:rsid w:val="007D35C5"/>
    <w:rsid w:val="007D423B"/>
    <w:rsid w:val="007D4E38"/>
    <w:rsid w:val="007D5818"/>
    <w:rsid w:val="007D632E"/>
    <w:rsid w:val="007E15D9"/>
    <w:rsid w:val="007E1DFA"/>
    <w:rsid w:val="007E45ED"/>
    <w:rsid w:val="007E62B9"/>
    <w:rsid w:val="007E72F6"/>
    <w:rsid w:val="007F68D9"/>
    <w:rsid w:val="00800AD0"/>
    <w:rsid w:val="008034C1"/>
    <w:rsid w:val="008035BE"/>
    <w:rsid w:val="008042FE"/>
    <w:rsid w:val="00806DEA"/>
    <w:rsid w:val="0080705E"/>
    <w:rsid w:val="00807751"/>
    <w:rsid w:val="008112F5"/>
    <w:rsid w:val="008164CA"/>
    <w:rsid w:val="0081741C"/>
    <w:rsid w:val="00817603"/>
    <w:rsid w:val="00820457"/>
    <w:rsid w:val="0082252A"/>
    <w:rsid w:val="00835EFD"/>
    <w:rsid w:val="00837180"/>
    <w:rsid w:val="00841E09"/>
    <w:rsid w:val="00842001"/>
    <w:rsid w:val="0084295A"/>
    <w:rsid w:val="00843D0F"/>
    <w:rsid w:val="008458FA"/>
    <w:rsid w:val="00846E1D"/>
    <w:rsid w:val="0085198F"/>
    <w:rsid w:val="00853804"/>
    <w:rsid w:val="00856BC4"/>
    <w:rsid w:val="00860A08"/>
    <w:rsid w:val="00860E0D"/>
    <w:rsid w:val="0086162D"/>
    <w:rsid w:val="00863C83"/>
    <w:rsid w:val="00864EEF"/>
    <w:rsid w:val="00864FD3"/>
    <w:rsid w:val="00866E6B"/>
    <w:rsid w:val="00867014"/>
    <w:rsid w:val="0087297B"/>
    <w:rsid w:val="0087506E"/>
    <w:rsid w:val="0087699C"/>
    <w:rsid w:val="00876C90"/>
    <w:rsid w:val="00877C63"/>
    <w:rsid w:val="008803D9"/>
    <w:rsid w:val="00882770"/>
    <w:rsid w:val="008839E6"/>
    <w:rsid w:val="008846EA"/>
    <w:rsid w:val="008854D9"/>
    <w:rsid w:val="00887ED4"/>
    <w:rsid w:val="008908C8"/>
    <w:rsid w:val="008A050E"/>
    <w:rsid w:val="008A1A24"/>
    <w:rsid w:val="008A2DBF"/>
    <w:rsid w:val="008A3A40"/>
    <w:rsid w:val="008A448D"/>
    <w:rsid w:val="008A7116"/>
    <w:rsid w:val="008A778D"/>
    <w:rsid w:val="008B3A14"/>
    <w:rsid w:val="008B6433"/>
    <w:rsid w:val="008C6362"/>
    <w:rsid w:val="008C6F98"/>
    <w:rsid w:val="008C6FA6"/>
    <w:rsid w:val="008D46C8"/>
    <w:rsid w:val="008D57F3"/>
    <w:rsid w:val="008D689D"/>
    <w:rsid w:val="008D7E91"/>
    <w:rsid w:val="008E624E"/>
    <w:rsid w:val="008E79BC"/>
    <w:rsid w:val="008F1255"/>
    <w:rsid w:val="008F4706"/>
    <w:rsid w:val="008F4BC6"/>
    <w:rsid w:val="008F4F87"/>
    <w:rsid w:val="008F5955"/>
    <w:rsid w:val="008F690C"/>
    <w:rsid w:val="009024FA"/>
    <w:rsid w:val="00905B28"/>
    <w:rsid w:val="00906D3E"/>
    <w:rsid w:val="00907041"/>
    <w:rsid w:val="0090736A"/>
    <w:rsid w:val="00907431"/>
    <w:rsid w:val="0091027A"/>
    <w:rsid w:val="00911E88"/>
    <w:rsid w:val="009122D5"/>
    <w:rsid w:val="00914C85"/>
    <w:rsid w:val="009202C8"/>
    <w:rsid w:val="0092275A"/>
    <w:rsid w:val="00924C93"/>
    <w:rsid w:val="0093071C"/>
    <w:rsid w:val="00930FDA"/>
    <w:rsid w:val="00932B2F"/>
    <w:rsid w:val="00932FEC"/>
    <w:rsid w:val="00935D23"/>
    <w:rsid w:val="00936F4E"/>
    <w:rsid w:val="00937C27"/>
    <w:rsid w:val="00940124"/>
    <w:rsid w:val="00941091"/>
    <w:rsid w:val="009414AD"/>
    <w:rsid w:val="0095332C"/>
    <w:rsid w:val="009534BD"/>
    <w:rsid w:val="009576F4"/>
    <w:rsid w:val="00960753"/>
    <w:rsid w:val="009610CB"/>
    <w:rsid w:val="0096408E"/>
    <w:rsid w:val="009666B3"/>
    <w:rsid w:val="0096688F"/>
    <w:rsid w:val="0096792A"/>
    <w:rsid w:val="00972528"/>
    <w:rsid w:val="00975343"/>
    <w:rsid w:val="0098121B"/>
    <w:rsid w:val="00982069"/>
    <w:rsid w:val="00982EF9"/>
    <w:rsid w:val="00985F72"/>
    <w:rsid w:val="00987C4B"/>
    <w:rsid w:val="00993C34"/>
    <w:rsid w:val="00994C61"/>
    <w:rsid w:val="009950CA"/>
    <w:rsid w:val="009A0B86"/>
    <w:rsid w:val="009A190F"/>
    <w:rsid w:val="009A2B01"/>
    <w:rsid w:val="009A2D81"/>
    <w:rsid w:val="009A4E0D"/>
    <w:rsid w:val="009A59BC"/>
    <w:rsid w:val="009A66F6"/>
    <w:rsid w:val="009A6EEF"/>
    <w:rsid w:val="009A724C"/>
    <w:rsid w:val="009B05D3"/>
    <w:rsid w:val="009B318A"/>
    <w:rsid w:val="009B4D4E"/>
    <w:rsid w:val="009B5454"/>
    <w:rsid w:val="009B54C2"/>
    <w:rsid w:val="009B6575"/>
    <w:rsid w:val="009B6CBE"/>
    <w:rsid w:val="009B6FBC"/>
    <w:rsid w:val="009C0D7A"/>
    <w:rsid w:val="009C38D3"/>
    <w:rsid w:val="009C4DA6"/>
    <w:rsid w:val="009D1479"/>
    <w:rsid w:val="009D5376"/>
    <w:rsid w:val="009E1580"/>
    <w:rsid w:val="009E7906"/>
    <w:rsid w:val="009F1F0F"/>
    <w:rsid w:val="009F2F50"/>
    <w:rsid w:val="009F79AB"/>
    <w:rsid w:val="00A000A2"/>
    <w:rsid w:val="00A005AC"/>
    <w:rsid w:val="00A04167"/>
    <w:rsid w:val="00A0776E"/>
    <w:rsid w:val="00A11FAB"/>
    <w:rsid w:val="00A15772"/>
    <w:rsid w:val="00A22DC1"/>
    <w:rsid w:val="00A2352B"/>
    <w:rsid w:val="00A23A11"/>
    <w:rsid w:val="00A23A9B"/>
    <w:rsid w:val="00A250D9"/>
    <w:rsid w:val="00A25549"/>
    <w:rsid w:val="00A25912"/>
    <w:rsid w:val="00A267CE"/>
    <w:rsid w:val="00A31E43"/>
    <w:rsid w:val="00A33382"/>
    <w:rsid w:val="00A34FC9"/>
    <w:rsid w:val="00A35C9A"/>
    <w:rsid w:val="00A35CD8"/>
    <w:rsid w:val="00A36658"/>
    <w:rsid w:val="00A4053B"/>
    <w:rsid w:val="00A40D37"/>
    <w:rsid w:val="00A413B8"/>
    <w:rsid w:val="00A417E2"/>
    <w:rsid w:val="00A43B47"/>
    <w:rsid w:val="00A446F1"/>
    <w:rsid w:val="00A45B53"/>
    <w:rsid w:val="00A46524"/>
    <w:rsid w:val="00A47817"/>
    <w:rsid w:val="00A51A2F"/>
    <w:rsid w:val="00A54EE2"/>
    <w:rsid w:val="00A569E9"/>
    <w:rsid w:val="00A6078D"/>
    <w:rsid w:val="00A660E1"/>
    <w:rsid w:val="00A813C6"/>
    <w:rsid w:val="00A82F2B"/>
    <w:rsid w:val="00A85219"/>
    <w:rsid w:val="00A87900"/>
    <w:rsid w:val="00A91B87"/>
    <w:rsid w:val="00A94F78"/>
    <w:rsid w:val="00A954C7"/>
    <w:rsid w:val="00A95E03"/>
    <w:rsid w:val="00A96024"/>
    <w:rsid w:val="00A970C4"/>
    <w:rsid w:val="00AA093C"/>
    <w:rsid w:val="00AA163E"/>
    <w:rsid w:val="00AA1791"/>
    <w:rsid w:val="00AA2878"/>
    <w:rsid w:val="00AA3C4D"/>
    <w:rsid w:val="00AA703A"/>
    <w:rsid w:val="00AB1705"/>
    <w:rsid w:val="00AB462A"/>
    <w:rsid w:val="00AC0487"/>
    <w:rsid w:val="00AC1B93"/>
    <w:rsid w:val="00AC493C"/>
    <w:rsid w:val="00AC5CC4"/>
    <w:rsid w:val="00AC6C0A"/>
    <w:rsid w:val="00AC7D73"/>
    <w:rsid w:val="00AD0B6A"/>
    <w:rsid w:val="00AD1126"/>
    <w:rsid w:val="00AD3D8A"/>
    <w:rsid w:val="00AD674E"/>
    <w:rsid w:val="00AD7629"/>
    <w:rsid w:val="00AD7A07"/>
    <w:rsid w:val="00AE08B3"/>
    <w:rsid w:val="00AE1954"/>
    <w:rsid w:val="00AE36AC"/>
    <w:rsid w:val="00AE3B64"/>
    <w:rsid w:val="00AE527B"/>
    <w:rsid w:val="00AF2315"/>
    <w:rsid w:val="00AF3A95"/>
    <w:rsid w:val="00AF6578"/>
    <w:rsid w:val="00AF6B4F"/>
    <w:rsid w:val="00B00539"/>
    <w:rsid w:val="00B0178D"/>
    <w:rsid w:val="00B02233"/>
    <w:rsid w:val="00B0622E"/>
    <w:rsid w:val="00B06641"/>
    <w:rsid w:val="00B06C34"/>
    <w:rsid w:val="00B103DB"/>
    <w:rsid w:val="00B109A0"/>
    <w:rsid w:val="00B1402D"/>
    <w:rsid w:val="00B1415E"/>
    <w:rsid w:val="00B15D1D"/>
    <w:rsid w:val="00B200A4"/>
    <w:rsid w:val="00B251AE"/>
    <w:rsid w:val="00B27C70"/>
    <w:rsid w:val="00B325A5"/>
    <w:rsid w:val="00B32C66"/>
    <w:rsid w:val="00B338EE"/>
    <w:rsid w:val="00B34058"/>
    <w:rsid w:val="00B3447E"/>
    <w:rsid w:val="00B35FD5"/>
    <w:rsid w:val="00B37DC0"/>
    <w:rsid w:val="00B411CC"/>
    <w:rsid w:val="00B41A2A"/>
    <w:rsid w:val="00B42DD8"/>
    <w:rsid w:val="00B42FDF"/>
    <w:rsid w:val="00B44607"/>
    <w:rsid w:val="00B46B1E"/>
    <w:rsid w:val="00B51AC2"/>
    <w:rsid w:val="00B53737"/>
    <w:rsid w:val="00B56478"/>
    <w:rsid w:val="00B5788B"/>
    <w:rsid w:val="00B60FAC"/>
    <w:rsid w:val="00B650E6"/>
    <w:rsid w:val="00B6544F"/>
    <w:rsid w:val="00B66DA4"/>
    <w:rsid w:val="00B7387D"/>
    <w:rsid w:val="00B75422"/>
    <w:rsid w:val="00B75773"/>
    <w:rsid w:val="00B76740"/>
    <w:rsid w:val="00B77477"/>
    <w:rsid w:val="00B80BEB"/>
    <w:rsid w:val="00B85915"/>
    <w:rsid w:val="00B904A2"/>
    <w:rsid w:val="00B90D78"/>
    <w:rsid w:val="00B924D3"/>
    <w:rsid w:val="00B92C84"/>
    <w:rsid w:val="00B93D85"/>
    <w:rsid w:val="00BA101D"/>
    <w:rsid w:val="00BA1AE1"/>
    <w:rsid w:val="00BA1FAB"/>
    <w:rsid w:val="00BA4D47"/>
    <w:rsid w:val="00BA59B2"/>
    <w:rsid w:val="00BB2BEF"/>
    <w:rsid w:val="00BB4130"/>
    <w:rsid w:val="00BC16A4"/>
    <w:rsid w:val="00BC3521"/>
    <w:rsid w:val="00BD10F0"/>
    <w:rsid w:val="00BD2CBD"/>
    <w:rsid w:val="00BD641F"/>
    <w:rsid w:val="00BD6917"/>
    <w:rsid w:val="00BD76B1"/>
    <w:rsid w:val="00BD7EB8"/>
    <w:rsid w:val="00BE38DB"/>
    <w:rsid w:val="00BE5EEB"/>
    <w:rsid w:val="00BE6BD7"/>
    <w:rsid w:val="00BF1B7F"/>
    <w:rsid w:val="00BF224E"/>
    <w:rsid w:val="00BF2785"/>
    <w:rsid w:val="00BF6490"/>
    <w:rsid w:val="00C043FC"/>
    <w:rsid w:val="00C05441"/>
    <w:rsid w:val="00C07FCF"/>
    <w:rsid w:val="00C11621"/>
    <w:rsid w:val="00C13E9C"/>
    <w:rsid w:val="00C14C9B"/>
    <w:rsid w:val="00C20D41"/>
    <w:rsid w:val="00C21D5F"/>
    <w:rsid w:val="00C306B1"/>
    <w:rsid w:val="00C30FDB"/>
    <w:rsid w:val="00C371B6"/>
    <w:rsid w:val="00C37E6E"/>
    <w:rsid w:val="00C40DE2"/>
    <w:rsid w:val="00C427C4"/>
    <w:rsid w:val="00C42841"/>
    <w:rsid w:val="00C44BD7"/>
    <w:rsid w:val="00C460DF"/>
    <w:rsid w:val="00C46CBE"/>
    <w:rsid w:val="00C47112"/>
    <w:rsid w:val="00C512A1"/>
    <w:rsid w:val="00C54F3F"/>
    <w:rsid w:val="00C70563"/>
    <w:rsid w:val="00C758F3"/>
    <w:rsid w:val="00C80BC4"/>
    <w:rsid w:val="00C829D4"/>
    <w:rsid w:val="00C83DB0"/>
    <w:rsid w:val="00C83FC0"/>
    <w:rsid w:val="00C8446F"/>
    <w:rsid w:val="00C900B8"/>
    <w:rsid w:val="00C91869"/>
    <w:rsid w:val="00C91A64"/>
    <w:rsid w:val="00C92B05"/>
    <w:rsid w:val="00C93CE4"/>
    <w:rsid w:val="00C94305"/>
    <w:rsid w:val="00CA077E"/>
    <w:rsid w:val="00CA4811"/>
    <w:rsid w:val="00CB09B5"/>
    <w:rsid w:val="00CB5B2E"/>
    <w:rsid w:val="00CB7236"/>
    <w:rsid w:val="00CB7E04"/>
    <w:rsid w:val="00CC049B"/>
    <w:rsid w:val="00CC0E3D"/>
    <w:rsid w:val="00CC232F"/>
    <w:rsid w:val="00CC2A44"/>
    <w:rsid w:val="00CC4897"/>
    <w:rsid w:val="00CC4F46"/>
    <w:rsid w:val="00CD2D94"/>
    <w:rsid w:val="00CD2F33"/>
    <w:rsid w:val="00CD5462"/>
    <w:rsid w:val="00CD5977"/>
    <w:rsid w:val="00CD76E3"/>
    <w:rsid w:val="00CE0198"/>
    <w:rsid w:val="00CE16FE"/>
    <w:rsid w:val="00CE1E18"/>
    <w:rsid w:val="00CE2120"/>
    <w:rsid w:val="00CE566E"/>
    <w:rsid w:val="00CE71BF"/>
    <w:rsid w:val="00CF1D67"/>
    <w:rsid w:val="00CF2701"/>
    <w:rsid w:val="00CF3C44"/>
    <w:rsid w:val="00CF3EE3"/>
    <w:rsid w:val="00CF5195"/>
    <w:rsid w:val="00CF5603"/>
    <w:rsid w:val="00D03FD0"/>
    <w:rsid w:val="00D0706B"/>
    <w:rsid w:val="00D12A22"/>
    <w:rsid w:val="00D1329E"/>
    <w:rsid w:val="00D147AB"/>
    <w:rsid w:val="00D16BD6"/>
    <w:rsid w:val="00D20314"/>
    <w:rsid w:val="00D20595"/>
    <w:rsid w:val="00D213E4"/>
    <w:rsid w:val="00D21551"/>
    <w:rsid w:val="00D21D6A"/>
    <w:rsid w:val="00D22E03"/>
    <w:rsid w:val="00D2619A"/>
    <w:rsid w:val="00D262DB"/>
    <w:rsid w:val="00D2661B"/>
    <w:rsid w:val="00D27334"/>
    <w:rsid w:val="00D308C3"/>
    <w:rsid w:val="00D31266"/>
    <w:rsid w:val="00D31ADF"/>
    <w:rsid w:val="00D31FC8"/>
    <w:rsid w:val="00D32603"/>
    <w:rsid w:val="00D32EA2"/>
    <w:rsid w:val="00D33201"/>
    <w:rsid w:val="00D345AC"/>
    <w:rsid w:val="00D34A22"/>
    <w:rsid w:val="00D357C5"/>
    <w:rsid w:val="00D43F2F"/>
    <w:rsid w:val="00D45CEF"/>
    <w:rsid w:val="00D46664"/>
    <w:rsid w:val="00D46FFB"/>
    <w:rsid w:val="00D52646"/>
    <w:rsid w:val="00D53426"/>
    <w:rsid w:val="00D56B79"/>
    <w:rsid w:val="00D6023B"/>
    <w:rsid w:val="00D64F90"/>
    <w:rsid w:val="00D667F6"/>
    <w:rsid w:val="00D70924"/>
    <w:rsid w:val="00D71F36"/>
    <w:rsid w:val="00D726A0"/>
    <w:rsid w:val="00D73AD8"/>
    <w:rsid w:val="00D73E17"/>
    <w:rsid w:val="00D74FB9"/>
    <w:rsid w:val="00D7541F"/>
    <w:rsid w:val="00D75C20"/>
    <w:rsid w:val="00D76144"/>
    <w:rsid w:val="00D76591"/>
    <w:rsid w:val="00D77051"/>
    <w:rsid w:val="00D77947"/>
    <w:rsid w:val="00D816AF"/>
    <w:rsid w:val="00D81D9A"/>
    <w:rsid w:val="00D83ED9"/>
    <w:rsid w:val="00D85B04"/>
    <w:rsid w:val="00D8611A"/>
    <w:rsid w:val="00D8630F"/>
    <w:rsid w:val="00D90E0E"/>
    <w:rsid w:val="00D9178F"/>
    <w:rsid w:val="00D92D5B"/>
    <w:rsid w:val="00D9424D"/>
    <w:rsid w:val="00D97F43"/>
    <w:rsid w:val="00DA07A6"/>
    <w:rsid w:val="00DA0931"/>
    <w:rsid w:val="00DA0E57"/>
    <w:rsid w:val="00DA12DA"/>
    <w:rsid w:val="00DA4B32"/>
    <w:rsid w:val="00DB1558"/>
    <w:rsid w:val="00DB1ACE"/>
    <w:rsid w:val="00DB51BA"/>
    <w:rsid w:val="00DB6433"/>
    <w:rsid w:val="00DB6C1A"/>
    <w:rsid w:val="00DB74FE"/>
    <w:rsid w:val="00DC0046"/>
    <w:rsid w:val="00DC02B0"/>
    <w:rsid w:val="00DC3C4E"/>
    <w:rsid w:val="00DC3D3B"/>
    <w:rsid w:val="00DC6273"/>
    <w:rsid w:val="00DD0314"/>
    <w:rsid w:val="00DD0532"/>
    <w:rsid w:val="00DD1AEA"/>
    <w:rsid w:val="00DD2FF3"/>
    <w:rsid w:val="00DD406F"/>
    <w:rsid w:val="00DD7179"/>
    <w:rsid w:val="00DD73A5"/>
    <w:rsid w:val="00DD7C7F"/>
    <w:rsid w:val="00DE54F2"/>
    <w:rsid w:val="00DE6355"/>
    <w:rsid w:val="00DF16EC"/>
    <w:rsid w:val="00DF1A09"/>
    <w:rsid w:val="00DF3DD8"/>
    <w:rsid w:val="00DF541A"/>
    <w:rsid w:val="00E023D0"/>
    <w:rsid w:val="00E03427"/>
    <w:rsid w:val="00E03B9E"/>
    <w:rsid w:val="00E04262"/>
    <w:rsid w:val="00E0575C"/>
    <w:rsid w:val="00E071B1"/>
    <w:rsid w:val="00E103A0"/>
    <w:rsid w:val="00E109CA"/>
    <w:rsid w:val="00E15851"/>
    <w:rsid w:val="00E16D1E"/>
    <w:rsid w:val="00E214CF"/>
    <w:rsid w:val="00E22243"/>
    <w:rsid w:val="00E240B5"/>
    <w:rsid w:val="00E2512F"/>
    <w:rsid w:val="00E27C6A"/>
    <w:rsid w:val="00E3343C"/>
    <w:rsid w:val="00E33BA0"/>
    <w:rsid w:val="00E33C81"/>
    <w:rsid w:val="00E341B5"/>
    <w:rsid w:val="00E35FFE"/>
    <w:rsid w:val="00E363C1"/>
    <w:rsid w:val="00E418A9"/>
    <w:rsid w:val="00E41A09"/>
    <w:rsid w:val="00E41EF8"/>
    <w:rsid w:val="00E42C5F"/>
    <w:rsid w:val="00E43C74"/>
    <w:rsid w:val="00E5100E"/>
    <w:rsid w:val="00E5185D"/>
    <w:rsid w:val="00E52C88"/>
    <w:rsid w:val="00E53ED4"/>
    <w:rsid w:val="00E57710"/>
    <w:rsid w:val="00E63561"/>
    <w:rsid w:val="00E67222"/>
    <w:rsid w:val="00E71D10"/>
    <w:rsid w:val="00E72D7A"/>
    <w:rsid w:val="00E74626"/>
    <w:rsid w:val="00E75C5A"/>
    <w:rsid w:val="00E75CCB"/>
    <w:rsid w:val="00E765DD"/>
    <w:rsid w:val="00E7666E"/>
    <w:rsid w:val="00E7691C"/>
    <w:rsid w:val="00E77443"/>
    <w:rsid w:val="00E80151"/>
    <w:rsid w:val="00E8038C"/>
    <w:rsid w:val="00E8133A"/>
    <w:rsid w:val="00E82BA9"/>
    <w:rsid w:val="00E82E78"/>
    <w:rsid w:val="00E83670"/>
    <w:rsid w:val="00E84B5B"/>
    <w:rsid w:val="00E85701"/>
    <w:rsid w:val="00E86899"/>
    <w:rsid w:val="00E8705A"/>
    <w:rsid w:val="00E947AF"/>
    <w:rsid w:val="00E9543E"/>
    <w:rsid w:val="00EA0BD5"/>
    <w:rsid w:val="00EA1FDC"/>
    <w:rsid w:val="00EA49C9"/>
    <w:rsid w:val="00EA76D4"/>
    <w:rsid w:val="00EB13B7"/>
    <w:rsid w:val="00EB3119"/>
    <w:rsid w:val="00EB5E01"/>
    <w:rsid w:val="00EB7DF4"/>
    <w:rsid w:val="00EC0ECF"/>
    <w:rsid w:val="00EC0F42"/>
    <w:rsid w:val="00EC79EE"/>
    <w:rsid w:val="00ED13F0"/>
    <w:rsid w:val="00ED2A55"/>
    <w:rsid w:val="00ED4A86"/>
    <w:rsid w:val="00ED6286"/>
    <w:rsid w:val="00ED6976"/>
    <w:rsid w:val="00EE16D8"/>
    <w:rsid w:val="00EE389E"/>
    <w:rsid w:val="00EE4DF9"/>
    <w:rsid w:val="00EE56D6"/>
    <w:rsid w:val="00EE7500"/>
    <w:rsid w:val="00EE7997"/>
    <w:rsid w:val="00EF0843"/>
    <w:rsid w:val="00EF2959"/>
    <w:rsid w:val="00EF4349"/>
    <w:rsid w:val="00EF50D2"/>
    <w:rsid w:val="00EF621C"/>
    <w:rsid w:val="00EF6C25"/>
    <w:rsid w:val="00F0078C"/>
    <w:rsid w:val="00F009D9"/>
    <w:rsid w:val="00F02FC3"/>
    <w:rsid w:val="00F04C87"/>
    <w:rsid w:val="00F05AB5"/>
    <w:rsid w:val="00F1093C"/>
    <w:rsid w:val="00F1370E"/>
    <w:rsid w:val="00F16305"/>
    <w:rsid w:val="00F20601"/>
    <w:rsid w:val="00F20B77"/>
    <w:rsid w:val="00F22DCF"/>
    <w:rsid w:val="00F26D75"/>
    <w:rsid w:val="00F27BFC"/>
    <w:rsid w:val="00F27F8B"/>
    <w:rsid w:val="00F31236"/>
    <w:rsid w:val="00F3148F"/>
    <w:rsid w:val="00F37072"/>
    <w:rsid w:val="00F41475"/>
    <w:rsid w:val="00F43506"/>
    <w:rsid w:val="00F50872"/>
    <w:rsid w:val="00F5165A"/>
    <w:rsid w:val="00F51F58"/>
    <w:rsid w:val="00F5655C"/>
    <w:rsid w:val="00F57B0E"/>
    <w:rsid w:val="00F6013C"/>
    <w:rsid w:val="00F6792D"/>
    <w:rsid w:val="00F70309"/>
    <w:rsid w:val="00F718AF"/>
    <w:rsid w:val="00F7344C"/>
    <w:rsid w:val="00F76E15"/>
    <w:rsid w:val="00F80CF6"/>
    <w:rsid w:val="00F8543A"/>
    <w:rsid w:val="00F85D54"/>
    <w:rsid w:val="00F87004"/>
    <w:rsid w:val="00F94DB0"/>
    <w:rsid w:val="00F96C1A"/>
    <w:rsid w:val="00FA2DBB"/>
    <w:rsid w:val="00FA476C"/>
    <w:rsid w:val="00FA72A9"/>
    <w:rsid w:val="00FB28E6"/>
    <w:rsid w:val="00FB33C7"/>
    <w:rsid w:val="00FB56BE"/>
    <w:rsid w:val="00FB648C"/>
    <w:rsid w:val="00FC26D8"/>
    <w:rsid w:val="00FC3247"/>
    <w:rsid w:val="00FC432B"/>
    <w:rsid w:val="00FD21E2"/>
    <w:rsid w:val="00FD33EE"/>
    <w:rsid w:val="00FD53D7"/>
    <w:rsid w:val="00FD60B3"/>
    <w:rsid w:val="00FD60E9"/>
    <w:rsid w:val="00FE228F"/>
    <w:rsid w:val="00FE3207"/>
    <w:rsid w:val="00FE4901"/>
    <w:rsid w:val="00FF0B71"/>
    <w:rsid w:val="00FF40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6207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1370E"/>
    <w:pPr>
      <w:keepLines/>
      <w:spacing w:before="240" w:after="120" w:line="280" w:lineRule="atLeast"/>
    </w:pPr>
  </w:style>
  <w:style w:type="paragraph" w:styleId="Heading1">
    <w:name w:val="heading 1"/>
    <w:basedOn w:val="Normal"/>
    <w:next w:val="Normal"/>
    <w:link w:val="Heading1Char"/>
    <w:uiPriority w:val="9"/>
    <w:qFormat/>
    <w:rsid w:val="00C21D5F"/>
    <w:pPr>
      <w:keepNext/>
      <w:pageBreakBefore/>
      <w:numPr>
        <w:numId w:val="1"/>
      </w:numPr>
      <w:spacing w:before="360" w:after="360"/>
      <w:ind w:left="851" w:hanging="851"/>
      <w:outlineLvl w:val="0"/>
    </w:pPr>
    <w:rPr>
      <w:rFonts w:eastAsiaTheme="majorEastAsia" w:cstheme="majorBidi"/>
      <w:b/>
      <w:bCs/>
      <w:color w:val="0081C3"/>
      <w:sz w:val="48"/>
      <w:szCs w:val="28"/>
    </w:rPr>
  </w:style>
  <w:style w:type="paragraph" w:styleId="Heading2">
    <w:name w:val="heading 2"/>
    <w:basedOn w:val="Normal"/>
    <w:next w:val="Normal"/>
    <w:link w:val="Heading2Char"/>
    <w:uiPriority w:val="9"/>
    <w:unhideWhenUsed/>
    <w:qFormat/>
    <w:rsid w:val="00705A75"/>
    <w:pPr>
      <w:keepNext/>
      <w:numPr>
        <w:ilvl w:val="1"/>
        <w:numId w:val="1"/>
      </w:numPr>
      <w:spacing w:before="36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705A75"/>
    <w:pPr>
      <w:keepNext/>
      <w:numPr>
        <w:ilvl w:val="2"/>
        <w:numId w:val="1"/>
      </w:numPr>
      <w:spacing w:before="36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AA2878"/>
    <w:pPr>
      <w:keepNext/>
      <w:numPr>
        <w:ilvl w:val="3"/>
        <w:numId w:val="1"/>
      </w:numPr>
      <w:ind w:left="851" w:hanging="851"/>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unhideWhenUsed/>
    <w:rsid w:val="00AC493C"/>
    <w:pPr>
      <w:keepNext/>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493C"/>
    <w:pPr>
      <w:keepNext/>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493C"/>
    <w:pPr>
      <w:keepNext/>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493C"/>
    <w:pPr>
      <w:keepNext/>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493C"/>
    <w:pPr>
      <w:keepNext/>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D5F"/>
    <w:rPr>
      <w:rFonts w:eastAsiaTheme="majorEastAsia" w:cstheme="majorBidi"/>
      <w:b/>
      <w:bCs/>
      <w:color w:val="0081C3"/>
      <w:sz w:val="48"/>
      <w:szCs w:val="28"/>
    </w:rPr>
  </w:style>
  <w:style w:type="character" w:customStyle="1" w:styleId="Heading2Char">
    <w:name w:val="Heading 2 Char"/>
    <w:basedOn w:val="DefaultParagraphFont"/>
    <w:link w:val="Heading2"/>
    <w:uiPriority w:val="9"/>
    <w:rsid w:val="00705A75"/>
    <w:rPr>
      <w:rFonts w:eastAsiaTheme="majorEastAsia" w:cstheme="majorBidi"/>
      <w:b/>
      <w:bCs/>
      <w:sz w:val="28"/>
      <w:szCs w:val="26"/>
    </w:rPr>
  </w:style>
  <w:style w:type="character" w:customStyle="1" w:styleId="Heading3Char">
    <w:name w:val="Heading 3 Char"/>
    <w:basedOn w:val="DefaultParagraphFont"/>
    <w:link w:val="Heading3"/>
    <w:uiPriority w:val="9"/>
    <w:rsid w:val="00705A75"/>
    <w:rPr>
      <w:rFonts w:eastAsiaTheme="majorEastAsia" w:cstheme="majorBidi"/>
      <w:b/>
      <w:bCs/>
      <w:sz w:val="24"/>
    </w:rPr>
  </w:style>
  <w:style w:type="character" w:customStyle="1" w:styleId="Heading4Char">
    <w:name w:val="Heading 4 Char"/>
    <w:basedOn w:val="DefaultParagraphFont"/>
    <w:link w:val="Heading4"/>
    <w:uiPriority w:val="9"/>
    <w:rsid w:val="00AA2878"/>
    <w:rPr>
      <w:rFonts w:ascii="Arial Bold" w:eastAsiaTheme="majorEastAsia" w:hAnsi="Arial Bold" w:cstheme="majorBidi"/>
      <w:b/>
      <w:bCs/>
      <w:iCs/>
    </w:rPr>
  </w:style>
  <w:style w:type="character" w:customStyle="1" w:styleId="Heading5Char">
    <w:name w:val="Heading 5 Char"/>
    <w:basedOn w:val="DefaultParagraphFont"/>
    <w:link w:val="Heading5"/>
    <w:uiPriority w:val="9"/>
    <w:semiHidden/>
    <w:rsid w:val="00AC493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C49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C49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C49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C493C"/>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8B3A14"/>
    <w:pPr>
      <w:ind w:left="720"/>
      <w:contextualSpacing/>
    </w:pPr>
  </w:style>
  <w:style w:type="paragraph" w:customStyle="1" w:styleId="Bullet1">
    <w:name w:val="Bullet 1"/>
    <w:basedOn w:val="ListParagraph"/>
    <w:link w:val="Bullet1Char"/>
    <w:qFormat/>
    <w:rsid w:val="00F04C87"/>
    <w:pPr>
      <w:numPr>
        <w:numId w:val="2"/>
      </w:numPr>
      <w:spacing w:before="120" w:after="240"/>
      <w:contextualSpacing w:val="0"/>
    </w:pPr>
  </w:style>
  <w:style w:type="paragraph" w:customStyle="1" w:styleId="Bullet2">
    <w:name w:val="Bullet 2"/>
    <w:basedOn w:val="ListParagraph"/>
    <w:link w:val="Bullet2Char"/>
    <w:qFormat/>
    <w:rsid w:val="00D31ADF"/>
    <w:pPr>
      <w:numPr>
        <w:numId w:val="3"/>
      </w:numPr>
      <w:tabs>
        <w:tab w:val="left" w:pos="1276"/>
      </w:tabs>
      <w:spacing w:before="60" w:after="60"/>
      <w:ind w:left="1276" w:hanging="425"/>
      <w:contextualSpacing w:val="0"/>
    </w:pPr>
  </w:style>
  <w:style w:type="character" w:customStyle="1" w:styleId="ListParagraphChar">
    <w:name w:val="List Paragraph Char"/>
    <w:basedOn w:val="DefaultParagraphFont"/>
    <w:link w:val="ListParagraph"/>
    <w:uiPriority w:val="34"/>
    <w:rsid w:val="0014644A"/>
  </w:style>
  <w:style w:type="character" w:customStyle="1" w:styleId="Bullet1Char">
    <w:name w:val="Bullet 1 Char"/>
    <w:basedOn w:val="ListParagraphChar"/>
    <w:link w:val="Bullet1"/>
    <w:rsid w:val="00F04C87"/>
  </w:style>
  <w:style w:type="paragraph" w:customStyle="1" w:styleId="Caption-Table">
    <w:name w:val="Caption - Table"/>
    <w:basedOn w:val="Normal"/>
    <w:link w:val="Caption-TableChar"/>
    <w:rsid w:val="0087297B"/>
    <w:pPr>
      <w:jc w:val="center"/>
    </w:pPr>
    <w:rPr>
      <w:b/>
      <w:sz w:val="20"/>
      <w:szCs w:val="20"/>
    </w:rPr>
  </w:style>
  <w:style w:type="character" w:customStyle="1" w:styleId="Bullet2Char">
    <w:name w:val="Bullet 2 Char"/>
    <w:basedOn w:val="ListParagraphChar"/>
    <w:link w:val="Bullet2"/>
    <w:rsid w:val="00D31ADF"/>
  </w:style>
  <w:style w:type="paragraph" w:customStyle="1" w:styleId="Caption-Figure">
    <w:name w:val="Caption - Figure"/>
    <w:basedOn w:val="Caption-Table"/>
    <w:link w:val="Caption-FigureChar"/>
    <w:rsid w:val="0087297B"/>
  </w:style>
  <w:style w:type="character" w:customStyle="1" w:styleId="Caption-TableChar">
    <w:name w:val="Caption - Table Char"/>
    <w:basedOn w:val="DefaultParagraphFont"/>
    <w:link w:val="Caption-Table"/>
    <w:rsid w:val="0087297B"/>
    <w:rPr>
      <w:b/>
      <w:sz w:val="20"/>
      <w:szCs w:val="20"/>
    </w:rPr>
  </w:style>
  <w:style w:type="table" w:styleId="TableGrid">
    <w:name w:val="Table Grid"/>
    <w:basedOn w:val="TableNormal"/>
    <w:uiPriority w:val="59"/>
    <w:rsid w:val="00293926"/>
    <w:pPr>
      <w:spacing w:after="0" w:line="240" w:lineRule="auto"/>
    </w:pPr>
    <w:rPr>
      <w:sz w:val="20"/>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pPr>
        <w:wordWrap/>
        <w:spacing w:beforeLines="0" w:before="120" w:beforeAutospacing="0" w:afterLines="0" w:after="120" w:afterAutospacing="0"/>
        <w:jc w:val="center"/>
      </w:pPr>
      <w:rPr>
        <w:rFonts w:ascii="Arial Bold" w:hAnsi="Arial Bold"/>
        <w:b/>
        <w:i w:val="0"/>
        <w:sz w:val="20"/>
      </w:rPr>
      <w:tblPr/>
      <w:tcPr>
        <w:shd w:val="clear" w:color="auto" w:fill="C4D545"/>
        <w:vAlign w:val="center"/>
      </w:tcPr>
    </w:tblStylePr>
    <w:tblStylePr w:type="firstCol">
      <w:pPr>
        <w:wordWrap/>
        <w:jc w:val="left"/>
      </w:pPr>
    </w:tblStylePr>
    <w:tblStylePr w:type="band1Horz">
      <w:pPr>
        <w:wordWrap/>
        <w:spacing w:beforeLines="0" w:before="120" w:beforeAutospacing="0" w:afterLines="0" w:after="120" w:afterAutospacing="0"/>
      </w:pPr>
      <w:rPr>
        <w:rFonts w:ascii="Arial" w:hAnsi="Arial"/>
        <w:b w:val="0"/>
        <w:i w:val="0"/>
        <w:sz w:val="20"/>
      </w:rPr>
      <w:tblPr/>
      <w:tcPr>
        <w:shd w:val="clear" w:color="auto" w:fill="EAF0BA"/>
      </w:tcPr>
    </w:tblStylePr>
    <w:tblStylePr w:type="band2Horz">
      <w:pPr>
        <w:wordWrap/>
        <w:spacing w:beforeLines="0" w:before="120" w:beforeAutospacing="0" w:afterLines="0" w:after="120" w:afterAutospacing="0"/>
      </w:pPr>
      <w:rPr>
        <w:rFonts w:ascii="Arial" w:hAnsi="Arial"/>
        <w:b w:val="0"/>
        <w:i w:val="0"/>
        <w:sz w:val="20"/>
      </w:rPr>
      <w:tblPr/>
      <w:tcPr>
        <w:shd w:val="clear" w:color="auto" w:fill="EAF0BA"/>
      </w:tcPr>
    </w:tblStylePr>
  </w:style>
  <w:style w:type="character" w:customStyle="1" w:styleId="Caption-FigureChar">
    <w:name w:val="Caption - Figure Char"/>
    <w:basedOn w:val="Caption-TableChar"/>
    <w:link w:val="Caption-Figure"/>
    <w:rsid w:val="0087297B"/>
    <w:rPr>
      <w:b/>
      <w:sz w:val="20"/>
      <w:szCs w:val="20"/>
    </w:rPr>
  </w:style>
  <w:style w:type="table" w:styleId="MediumGrid1-Accent3">
    <w:name w:val="Medium Grid 1 Accent 3"/>
    <w:basedOn w:val="TableNormal"/>
    <w:uiPriority w:val="67"/>
    <w:rsid w:val="0087297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List-Accent1">
    <w:name w:val="Light List Accent 1"/>
    <w:basedOn w:val="TableNormal"/>
    <w:uiPriority w:val="61"/>
    <w:rsid w:val="0029392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OverviewBox">
    <w:name w:val="Overview Box"/>
    <w:basedOn w:val="TableNormal"/>
    <w:uiPriority w:val="99"/>
    <w:rsid w:val="00293926"/>
    <w:pPr>
      <w:spacing w:after="0" w:line="240" w:lineRule="auto"/>
    </w:pPr>
    <w:tblPr/>
  </w:style>
  <w:style w:type="table" w:customStyle="1" w:styleId="Overviewbox0">
    <w:name w:val="Overview box"/>
    <w:basedOn w:val="TableGrid"/>
    <w:uiPriority w:val="99"/>
    <w:rsid w:val="006455BF"/>
    <w:rPr>
      <w:color w:val="FFFFFF" w:themeColor="background1"/>
      <w:sz w:val="16"/>
    </w:rPr>
    <w:tblPr>
      <w:tblStyleColBandSize w:val="1"/>
      <w:tblBorders>
        <w:top w:val="single" w:sz="8" w:space="0" w:color="0081C3"/>
        <w:left w:val="single" w:sz="8" w:space="0" w:color="0081C3"/>
        <w:bottom w:val="single" w:sz="8" w:space="0" w:color="0081C3"/>
        <w:right w:val="single" w:sz="8" w:space="0" w:color="0081C3"/>
        <w:insideH w:val="single" w:sz="8" w:space="0" w:color="0081C3"/>
        <w:insideV w:val="single" w:sz="8" w:space="0" w:color="0081C3"/>
      </w:tblBorders>
    </w:tblPr>
    <w:tcPr>
      <w:shd w:val="clear" w:color="auto" w:fill="808080" w:themeFill="background1" w:themeFillShade="80"/>
    </w:tcPr>
    <w:tblStylePr w:type="firstRow">
      <w:pPr>
        <w:wordWrap/>
        <w:spacing w:beforeLines="0" w:before="0" w:beforeAutospacing="0" w:afterLines="0" w:after="0" w:afterAutospacing="0"/>
        <w:jc w:val="left"/>
      </w:pPr>
      <w:rPr>
        <w:rFonts w:ascii="Arial Bold" w:hAnsi="Arial Bold"/>
        <w:b/>
        <w:i w:val="0"/>
        <w:sz w:val="16"/>
      </w:rPr>
      <w:tblPr/>
      <w:tcPr>
        <w:shd w:val="clear" w:color="auto" w:fill="808080" w:themeFill="background1" w:themeFillShade="80"/>
        <w:vAlign w:val="center"/>
      </w:tcPr>
    </w:tblStylePr>
    <w:tblStylePr w:type="firstCol">
      <w:pPr>
        <w:wordWrap/>
        <w:jc w:val="left"/>
      </w:pPr>
      <w:tblPr/>
      <w:tcPr>
        <w:shd w:val="clear" w:color="auto" w:fill="808080" w:themeFill="background1" w:themeFillShade="80"/>
      </w:tcPr>
    </w:tblStylePr>
    <w:tblStylePr w:type="band1Vert">
      <w:tblPr/>
      <w:tcPr>
        <w:shd w:val="clear" w:color="auto" w:fill="808080" w:themeFill="background1" w:themeFillShade="80"/>
      </w:tcPr>
    </w:tblStylePr>
    <w:tblStylePr w:type="band2Vert">
      <w:tblPr/>
      <w:tcPr>
        <w:shd w:val="clear" w:color="auto" w:fill="808080" w:themeFill="background1" w:themeFillShade="80"/>
      </w:tcPr>
    </w:tblStylePr>
    <w:tblStylePr w:type="band1Horz">
      <w:pPr>
        <w:wordWrap/>
        <w:spacing w:beforeLines="0" w:before="120" w:beforeAutospacing="0" w:afterLines="0" w:after="120" w:afterAutospacing="0"/>
      </w:pPr>
      <w:rPr>
        <w:rFonts w:ascii="Arial" w:hAnsi="Arial"/>
        <w:b w:val="0"/>
        <w:i w:val="0"/>
        <w:sz w:val="20"/>
      </w:rPr>
      <w:tblPr/>
      <w:tcPr>
        <w:shd w:val="clear" w:color="auto" w:fill="D9D9D9" w:themeFill="background1" w:themeFillShade="D9"/>
      </w:tcPr>
    </w:tblStylePr>
    <w:tblStylePr w:type="band2Horz">
      <w:pPr>
        <w:wordWrap/>
        <w:spacing w:beforeLines="0" w:before="120" w:beforeAutospacing="0" w:afterLines="0" w:after="120" w:afterAutospacing="0"/>
      </w:pPr>
      <w:rPr>
        <w:rFonts w:ascii="Arial" w:hAnsi="Arial"/>
        <w:b w:val="0"/>
        <w:i w:val="0"/>
        <w:sz w:val="20"/>
      </w:rPr>
      <w:tblPr/>
      <w:tcPr>
        <w:shd w:val="clear" w:color="auto" w:fill="D9D9D9" w:themeFill="background1" w:themeFillShade="D9"/>
      </w:tcPr>
    </w:tblStylePr>
  </w:style>
  <w:style w:type="table" w:customStyle="1" w:styleId="Style1">
    <w:name w:val="Style1"/>
    <w:basedOn w:val="LightList-Accent1"/>
    <w:uiPriority w:val="99"/>
    <w:rsid w:val="002C7F64"/>
    <w:tblPr/>
    <w:tcPr>
      <w:shd w:val="clear" w:color="auto" w:fill="0081C3"/>
    </w:tcPr>
    <w:tblStylePr w:type="firstRow">
      <w:pPr>
        <w:spacing w:before="0" w:after="0" w:line="240" w:lineRule="auto"/>
      </w:pPr>
      <w:rPr>
        <w:b/>
        <w:bCs/>
        <w:color w:val="FFFFFF" w:themeColor="background1"/>
      </w:rPr>
      <w:tblPr/>
      <w:tcPr>
        <w:shd w:val="clear" w:color="auto" w:fill="0081C3"/>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aption1">
    <w:name w:val="Caption1"/>
    <w:basedOn w:val="Normal"/>
    <w:link w:val="Caption1Char"/>
    <w:rsid w:val="00F27BFC"/>
    <w:pPr>
      <w:jc w:val="center"/>
    </w:pPr>
    <w:rPr>
      <w:rFonts w:cstheme="minorBidi"/>
      <w:b/>
      <w:sz w:val="20"/>
      <w:szCs w:val="20"/>
    </w:rPr>
  </w:style>
  <w:style w:type="character" w:customStyle="1" w:styleId="Caption1Char">
    <w:name w:val="Caption1 Char"/>
    <w:basedOn w:val="DefaultParagraphFont"/>
    <w:link w:val="Caption1"/>
    <w:rsid w:val="00F27BFC"/>
    <w:rPr>
      <w:rFonts w:cstheme="minorBidi"/>
      <w:b/>
      <w:sz w:val="20"/>
      <w:szCs w:val="20"/>
    </w:rPr>
  </w:style>
  <w:style w:type="paragraph" w:styleId="Header">
    <w:name w:val="header"/>
    <w:basedOn w:val="Normal"/>
    <w:link w:val="HeaderChar"/>
    <w:unhideWhenUsed/>
    <w:rsid w:val="00545CD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45CDF"/>
  </w:style>
  <w:style w:type="paragraph" w:styleId="Footer">
    <w:name w:val="footer"/>
    <w:basedOn w:val="Normal"/>
    <w:link w:val="FooterChar"/>
    <w:uiPriority w:val="99"/>
    <w:unhideWhenUsed/>
    <w:rsid w:val="00545CD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45CDF"/>
  </w:style>
  <w:style w:type="character" w:styleId="PageNumber">
    <w:name w:val="page number"/>
    <w:basedOn w:val="DefaultParagraphFont"/>
    <w:rsid w:val="00641368"/>
  </w:style>
  <w:style w:type="paragraph" w:customStyle="1" w:styleId="Numberedabc">
    <w:name w:val="Numbered abc"/>
    <w:basedOn w:val="ListParagraph"/>
    <w:link w:val="NumberedabcChar"/>
    <w:rsid w:val="00AF6B4F"/>
    <w:pPr>
      <w:numPr>
        <w:numId w:val="4"/>
      </w:numPr>
      <w:ind w:left="850" w:hanging="425"/>
    </w:pPr>
  </w:style>
  <w:style w:type="character" w:customStyle="1" w:styleId="NumberedabcChar">
    <w:name w:val="Numbered abc Char"/>
    <w:basedOn w:val="ListParagraphChar"/>
    <w:link w:val="Numberedabc"/>
    <w:rsid w:val="00AF6B4F"/>
  </w:style>
  <w:style w:type="paragraph" w:styleId="TOCHeading">
    <w:name w:val="TOC Heading"/>
    <w:basedOn w:val="Heading1"/>
    <w:next w:val="Normal"/>
    <w:uiPriority w:val="39"/>
    <w:semiHidden/>
    <w:unhideWhenUsed/>
    <w:qFormat/>
    <w:rsid w:val="003B0D0C"/>
    <w:pPr>
      <w:numPr>
        <w:numId w:val="0"/>
      </w:num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C92B05"/>
    <w:pPr>
      <w:tabs>
        <w:tab w:val="right" w:pos="9072"/>
      </w:tabs>
      <w:spacing w:before="360" w:after="0"/>
      <w:ind w:left="709" w:hanging="709"/>
    </w:pPr>
    <w:rPr>
      <w:rFonts w:ascii="Arial Bold" w:hAnsi="Arial Bold"/>
      <w:b/>
      <w:bCs/>
      <w:caps/>
      <w:szCs w:val="24"/>
    </w:rPr>
  </w:style>
  <w:style w:type="paragraph" w:styleId="TOC2">
    <w:name w:val="toc 2"/>
    <w:basedOn w:val="Normal"/>
    <w:next w:val="Normal"/>
    <w:autoRedefine/>
    <w:uiPriority w:val="39"/>
    <w:unhideWhenUsed/>
    <w:rsid w:val="00C92B05"/>
    <w:pPr>
      <w:tabs>
        <w:tab w:val="left" w:pos="709"/>
        <w:tab w:val="left" w:pos="1418"/>
        <w:tab w:val="right" w:pos="9072"/>
      </w:tabs>
      <w:spacing w:before="120" w:after="0"/>
      <w:ind w:left="1418" w:hanging="709"/>
    </w:pPr>
    <w:rPr>
      <w:rFonts w:ascii="Arial Bold" w:hAnsi="Arial Bold" w:cstheme="minorHAnsi"/>
      <w:bCs/>
      <w:noProof/>
      <w:szCs w:val="20"/>
    </w:rPr>
  </w:style>
  <w:style w:type="paragraph" w:styleId="TOC3">
    <w:name w:val="toc 3"/>
    <w:basedOn w:val="Normal"/>
    <w:next w:val="Normal"/>
    <w:autoRedefine/>
    <w:uiPriority w:val="39"/>
    <w:unhideWhenUsed/>
    <w:rsid w:val="00F16305"/>
    <w:pPr>
      <w:tabs>
        <w:tab w:val="left" w:pos="1418"/>
        <w:tab w:val="right" w:pos="9072"/>
      </w:tabs>
      <w:spacing w:before="0" w:after="0"/>
      <w:ind w:left="1418" w:hanging="709"/>
    </w:pPr>
    <w:rPr>
      <w:rFonts w:cstheme="minorHAnsi"/>
      <w:noProof/>
      <w:sz w:val="20"/>
      <w:szCs w:val="20"/>
    </w:rPr>
  </w:style>
  <w:style w:type="character" w:styleId="Hyperlink">
    <w:name w:val="Hyperlink"/>
    <w:basedOn w:val="DefaultParagraphFont"/>
    <w:uiPriority w:val="99"/>
    <w:unhideWhenUsed/>
    <w:rsid w:val="003B0D0C"/>
    <w:rPr>
      <w:color w:val="0000FF" w:themeColor="hyperlink"/>
      <w:u w:val="single"/>
    </w:rPr>
  </w:style>
  <w:style w:type="paragraph" w:styleId="BalloonText">
    <w:name w:val="Balloon Text"/>
    <w:basedOn w:val="Normal"/>
    <w:link w:val="BalloonTextChar"/>
    <w:uiPriority w:val="99"/>
    <w:semiHidden/>
    <w:unhideWhenUsed/>
    <w:rsid w:val="003B0D0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D0C"/>
    <w:rPr>
      <w:rFonts w:ascii="Tahoma" w:hAnsi="Tahoma" w:cs="Tahoma"/>
      <w:sz w:val="16"/>
      <w:szCs w:val="16"/>
    </w:rPr>
  </w:style>
  <w:style w:type="paragraph" w:styleId="TOC4">
    <w:name w:val="toc 4"/>
    <w:basedOn w:val="Normal"/>
    <w:next w:val="Normal"/>
    <w:autoRedefine/>
    <w:uiPriority w:val="39"/>
    <w:unhideWhenUsed/>
    <w:rsid w:val="00F16305"/>
    <w:pPr>
      <w:tabs>
        <w:tab w:val="left" w:pos="1701"/>
        <w:tab w:val="right" w:pos="9072"/>
      </w:tabs>
      <w:spacing w:before="120" w:line="240" w:lineRule="auto"/>
      <w:ind w:left="1418" w:hanging="709"/>
    </w:pPr>
    <w:rPr>
      <w:rFonts w:cstheme="minorHAnsi"/>
      <w:sz w:val="20"/>
      <w:szCs w:val="20"/>
    </w:rPr>
  </w:style>
  <w:style w:type="paragraph" w:styleId="TOC5">
    <w:name w:val="toc 5"/>
    <w:basedOn w:val="Normal"/>
    <w:next w:val="Normal"/>
    <w:autoRedefine/>
    <w:uiPriority w:val="39"/>
    <w:unhideWhenUsed/>
    <w:rsid w:val="003B0D0C"/>
    <w:pPr>
      <w:spacing w:before="0" w:after="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3B0D0C"/>
    <w:pPr>
      <w:spacing w:before="0"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3B0D0C"/>
    <w:pPr>
      <w:spacing w:before="0"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3B0D0C"/>
    <w:pPr>
      <w:spacing w:before="0"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3B0D0C"/>
    <w:pPr>
      <w:spacing w:before="0" w:after="0"/>
      <w:ind w:left="1540"/>
    </w:pPr>
    <w:rPr>
      <w:rFonts w:asciiTheme="minorHAnsi" w:hAnsiTheme="minorHAnsi" w:cstheme="minorHAnsi"/>
      <w:sz w:val="20"/>
      <w:szCs w:val="20"/>
    </w:rPr>
  </w:style>
  <w:style w:type="paragraph" w:customStyle="1" w:styleId="AppendixHeading">
    <w:name w:val="Appendix Heading"/>
    <w:basedOn w:val="Normal"/>
    <w:link w:val="AppendixHeadingChar"/>
    <w:rsid w:val="00773A89"/>
    <w:pPr>
      <w:jc w:val="center"/>
    </w:pPr>
    <w:rPr>
      <w:rFonts w:ascii="Arial Black" w:hAnsi="Arial Black"/>
      <w:b/>
      <w:color w:val="0081C3"/>
      <w:sz w:val="56"/>
      <w:szCs w:val="56"/>
    </w:rPr>
  </w:style>
  <w:style w:type="paragraph" w:customStyle="1" w:styleId="AppendixTitle">
    <w:name w:val="Appendix Title"/>
    <w:basedOn w:val="AppendixHeading"/>
    <w:link w:val="AppendixTitleChar"/>
    <w:qFormat/>
    <w:rsid w:val="00773A89"/>
  </w:style>
  <w:style w:type="character" w:customStyle="1" w:styleId="AppendixHeadingChar">
    <w:name w:val="Appendix Heading Char"/>
    <w:basedOn w:val="DefaultParagraphFont"/>
    <w:link w:val="AppendixHeading"/>
    <w:rsid w:val="00773A89"/>
    <w:rPr>
      <w:rFonts w:ascii="Arial Black" w:hAnsi="Arial Black"/>
      <w:b/>
      <w:color w:val="0081C3"/>
      <w:sz w:val="56"/>
      <w:szCs w:val="56"/>
    </w:rPr>
  </w:style>
  <w:style w:type="paragraph" w:customStyle="1" w:styleId="Appendix">
    <w:name w:val="Appendix"/>
    <w:basedOn w:val="Heading1"/>
    <w:link w:val="AppendixChar"/>
    <w:qFormat/>
    <w:rsid w:val="008042FE"/>
    <w:pPr>
      <w:numPr>
        <w:numId w:val="0"/>
      </w:numPr>
    </w:pPr>
  </w:style>
  <w:style w:type="character" w:customStyle="1" w:styleId="AppendixTitleChar">
    <w:name w:val="Appendix Title Char"/>
    <w:basedOn w:val="AppendixHeadingChar"/>
    <w:link w:val="AppendixTitle"/>
    <w:rsid w:val="00773A89"/>
    <w:rPr>
      <w:rFonts w:ascii="Arial Black" w:hAnsi="Arial Black"/>
      <w:b/>
      <w:color w:val="0081C3"/>
      <w:sz w:val="56"/>
      <w:szCs w:val="56"/>
    </w:rPr>
  </w:style>
  <w:style w:type="paragraph" w:customStyle="1" w:styleId="AppendixSub">
    <w:name w:val="Appendix Sub"/>
    <w:basedOn w:val="Normal"/>
    <w:link w:val="AppendixSubChar"/>
    <w:qFormat/>
    <w:rsid w:val="00FF405A"/>
    <w:pPr>
      <w:jc w:val="center"/>
    </w:pPr>
    <w:rPr>
      <w:b/>
      <w:sz w:val="48"/>
      <w:szCs w:val="48"/>
    </w:rPr>
  </w:style>
  <w:style w:type="character" w:customStyle="1" w:styleId="AppendixChar">
    <w:name w:val="Appendix Char"/>
    <w:basedOn w:val="Heading1Char"/>
    <w:link w:val="Appendix"/>
    <w:rsid w:val="008042FE"/>
    <w:rPr>
      <w:rFonts w:eastAsiaTheme="majorEastAsia" w:cstheme="majorBidi"/>
      <w:b/>
      <w:bCs/>
      <w:color w:val="0081C3"/>
      <w:sz w:val="48"/>
      <w:szCs w:val="28"/>
    </w:rPr>
  </w:style>
  <w:style w:type="character" w:customStyle="1" w:styleId="AppendixSubChar">
    <w:name w:val="Appendix Sub Char"/>
    <w:basedOn w:val="DefaultParagraphFont"/>
    <w:link w:val="AppendixSub"/>
    <w:rsid w:val="00FF405A"/>
    <w:rPr>
      <w:b/>
      <w:sz w:val="48"/>
      <w:szCs w:val="48"/>
    </w:rPr>
  </w:style>
  <w:style w:type="paragraph" w:customStyle="1" w:styleId="Numbered1">
    <w:name w:val="Numbered 1"/>
    <w:basedOn w:val="ListParagraph"/>
    <w:link w:val="Numbered1Char"/>
    <w:qFormat/>
    <w:rsid w:val="00EC79EE"/>
    <w:pPr>
      <w:numPr>
        <w:numId w:val="5"/>
      </w:numPr>
      <w:ind w:left="850" w:hanging="425"/>
      <w:contextualSpacing w:val="0"/>
    </w:pPr>
  </w:style>
  <w:style w:type="character" w:customStyle="1" w:styleId="Numbered1Char">
    <w:name w:val="Numbered 1 Char"/>
    <w:basedOn w:val="DefaultParagraphFont"/>
    <w:link w:val="Numbered1"/>
    <w:rsid w:val="00EC79EE"/>
  </w:style>
  <w:style w:type="paragraph" w:customStyle="1" w:styleId="Numbered2">
    <w:name w:val="Numbered 2"/>
    <w:basedOn w:val="Numbered1"/>
    <w:link w:val="Numbered2Char"/>
    <w:qFormat/>
    <w:rsid w:val="001A03CD"/>
    <w:pPr>
      <w:numPr>
        <w:numId w:val="6"/>
      </w:numPr>
      <w:spacing w:before="120"/>
      <w:ind w:left="1276" w:hanging="425"/>
    </w:pPr>
  </w:style>
  <w:style w:type="paragraph" w:customStyle="1" w:styleId="Numbered30">
    <w:name w:val="Numbered 3"/>
    <w:basedOn w:val="Numbered1"/>
    <w:rsid w:val="00EC79EE"/>
    <w:pPr>
      <w:spacing w:before="120"/>
      <w:ind w:left="2285" w:hanging="357"/>
    </w:pPr>
  </w:style>
  <w:style w:type="character" w:customStyle="1" w:styleId="Numbered2Char">
    <w:name w:val="Numbered 2 Char"/>
    <w:basedOn w:val="Numbered1Char"/>
    <w:link w:val="Numbered2"/>
    <w:rsid w:val="001A03CD"/>
  </w:style>
  <w:style w:type="paragraph" w:customStyle="1" w:styleId="Numbered3">
    <w:name w:val="Numbered (3)"/>
    <w:basedOn w:val="Numbered30"/>
    <w:link w:val="Numbered3Char"/>
    <w:qFormat/>
    <w:rsid w:val="001A03CD"/>
    <w:pPr>
      <w:numPr>
        <w:numId w:val="7"/>
      </w:numPr>
      <w:ind w:left="1775" w:hanging="357"/>
    </w:pPr>
  </w:style>
  <w:style w:type="character" w:customStyle="1" w:styleId="Numbered3Char">
    <w:name w:val="Numbered (3) Char"/>
    <w:basedOn w:val="DefaultParagraphFont"/>
    <w:link w:val="Numbered3"/>
    <w:rsid w:val="001A03CD"/>
  </w:style>
  <w:style w:type="paragraph" w:customStyle="1" w:styleId="Cover1">
    <w:name w:val="Cover 1"/>
    <w:basedOn w:val="Normal"/>
    <w:link w:val="Cover1Char"/>
    <w:rsid w:val="00E765DD"/>
    <w:pPr>
      <w:spacing w:before="600" w:after="600" w:line="280" w:lineRule="exact"/>
      <w:jc w:val="right"/>
    </w:pPr>
    <w:rPr>
      <w:rFonts w:ascii="Arial Black" w:hAnsi="Arial Black"/>
      <w:b/>
      <w:color w:val="FFFFFF"/>
      <w:sz w:val="120"/>
      <w:szCs w:val="120"/>
    </w:rPr>
  </w:style>
  <w:style w:type="character" w:customStyle="1" w:styleId="Cover1Char">
    <w:name w:val="Cover 1 Char"/>
    <w:basedOn w:val="DefaultParagraphFont"/>
    <w:link w:val="Cover1"/>
    <w:rsid w:val="00E765DD"/>
    <w:rPr>
      <w:rFonts w:ascii="Arial Black" w:hAnsi="Arial Black"/>
      <w:b/>
      <w:color w:val="FFFFFF"/>
      <w:sz w:val="120"/>
      <w:szCs w:val="120"/>
    </w:rPr>
  </w:style>
  <w:style w:type="paragraph" w:customStyle="1" w:styleId="Cover3">
    <w:name w:val="Cover 3"/>
    <w:basedOn w:val="Normal"/>
    <w:link w:val="Cover3Char"/>
    <w:rsid w:val="00E765DD"/>
    <w:pPr>
      <w:spacing w:line="240" w:lineRule="exact"/>
      <w:jc w:val="right"/>
    </w:pPr>
    <w:rPr>
      <w:b/>
      <w:color w:val="0081C3"/>
      <w:sz w:val="44"/>
      <w:szCs w:val="44"/>
    </w:rPr>
  </w:style>
  <w:style w:type="character" w:customStyle="1" w:styleId="Cover3Char">
    <w:name w:val="Cover 3 Char"/>
    <w:basedOn w:val="DefaultParagraphFont"/>
    <w:link w:val="Cover3"/>
    <w:rsid w:val="00E765DD"/>
    <w:rPr>
      <w:b/>
      <w:color w:val="0081C3"/>
      <w:sz w:val="44"/>
      <w:szCs w:val="44"/>
    </w:rPr>
  </w:style>
  <w:style w:type="paragraph" w:styleId="Caption">
    <w:name w:val="caption"/>
    <w:basedOn w:val="Normal"/>
    <w:next w:val="Normal"/>
    <w:uiPriority w:val="35"/>
    <w:unhideWhenUsed/>
    <w:qFormat/>
    <w:rsid w:val="00AA2878"/>
    <w:pPr>
      <w:keepNext/>
      <w:spacing w:line="240" w:lineRule="auto"/>
      <w:jc w:val="center"/>
    </w:pPr>
    <w:rPr>
      <w:b/>
      <w:bCs/>
      <w:szCs w:val="18"/>
    </w:rPr>
  </w:style>
  <w:style w:type="table" w:customStyle="1" w:styleId="TableGrid1">
    <w:name w:val="Table Grid1"/>
    <w:basedOn w:val="TableNormal"/>
    <w:next w:val="TableGrid"/>
    <w:uiPriority w:val="59"/>
    <w:rsid w:val="00EB5E01"/>
    <w:pPr>
      <w:spacing w:after="0" w:line="240" w:lineRule="auto"/>
    </w:pPr>
    <w:rPr>
      <w:sz w:val="20"/>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pPr>
        <w:wordWrap/>
        <w:spacing w:beforeLines="0" w:before="120" w:beforeAutospacing="0" w:afterLines="0" w:after="120" w:afterAutospacing="0"/>
        <w:jc w:val="center"/>
      </w:pPr>
      <w:rPr>
        <w:rFonts w:ascii="Arial Bold" w:hAnsi="Arial Bold"/>
        <w:b/>
        <w:i w:val="0"/>
        <w:sz w:val="20"/>
      </w:rPr>
      <w:tblPr/>
      <w:tcPr>
        <w:shd w:val="clear" w:color="auto" w:fill="C4D545"/>
        <w:vAlign w:val="center"/>
      </w:tcPr>
    </w:tblStylePr>
    <w:tblStylePr w:type="firstCol">
      <w:pPr>
        <w:wordWrap/>
        <w:jc w:val="left"/>
      </w:pPr>
    </w:tblStylePr>
    <w:tblStylePr w:type="band1Horz">
      <w:pPr>
        <w:wordWrap/>
        <w:spacing w:beforeLines="0" w:before="120" w:beforeAutospacing="0" w:afterLines="0" w:after="120" w:afterAutospacing="0"/>
      </w:pPr>
      <w:rPr>
        <w:rFonts w:ascii="Arial" w:hAnsi="Arial"/>
        <w:b w:val="0"/>
        <w:i w:val="0"/>
        <w:sz w:val="20"/>
      </w:rPr>
      <w:tblPr/>
      <w:tcPr>
        <w:shd w:val="clear" w:color="auto" w:fill="EAF0BA"/>
      </w:tcPr>
    </w:tblStylePr>
    <w:tblStylePr w:type="band2Horz">
      <w:pPr>
        <w:wordWrap/>
        <w:spacing w:beforeLines="0" w:before="120" w:beforeAutospacing="0" w:afterLines="0" w:after="120" w:afterAutospacing="0"/>
      </w:pPr>
      <w:rPr>
        <w:rFonts w:ascii="Arial" w:hAnsi="Arial"/>
        <w:b w:val="0"/>
        <w:i w:val="0"/>
        <w:sz w:val="20"/>
      </w:rPr>
      <w:tblPr/>
      <w:tcPr>
        <w:shd w:val="clear" w:color="auto" w:fill="EAF0BA"/>
      </w:tcPr>
    </w:tblStylePr>
  </w:style>
  <w:style w:type="paragraph" w:styleId="FootnoteText">
    <w:name w:val="footnote text"/>
    <w:aliases w:val="ALTS FOOTNOTE,(NECG) Footnote Text,Footnote text,AR Footnote Text,AR Footnote Text Char Char Char Char Char,AR Footnote Text Char Char Char Char Char Char"/>
    <w:basedOn w:val="Normal"/>
    <w:link w:val="FootnoteTextChar"/>
    <w:semiHidden/>
    <w:unhideWhenUsed/>
    <w:rsid w:val="00A85219"/>
    <w:pPr>
      <w:spacing w:before="0" w:after="0" w:line="240" w:lineRule="auto"/>
    </w:pPr>
    <w:rPr>
      <w:sz w:val="20"/>
      <w:szCs w:val="20"/>
    </w:rPr>
  </w:style>
  <w:style w:type="character" w:customStyle="1" w:styleId="FootnoteTextChar">
    <w:name w:val="Footnote Text Char"/>
    <w:aliases w:val="ALTS FOOTNOTE Char,(NECG) Footnote Text Char,Footnote text Char,AR Footnote Text Char,AR Footnote Text Char Char Char Char Char Char1,AR Footnote Text Char Char Char Char Char Char Char"/>
    <w:basedOn w:val="DefaultParagraphFont"/>
    <w:link w:val="FootnoteText"/>
    <w:uiPriority w:val="99"/>
    <w:semiHidden/>
    <w:rsid w:val="00A85219"/>
    <w:rPr>
      <w:sz w:val="20"/>
      <w:szCs w:val="20"/>
    </w:rPr>
  </w:style>
  <w:style w:type="character" w:styleId="FootnoteReference">
    <w:name w:val="footnote reference"/>
    <w:aliases w:val="(NECG) Footnote Reference"/>
    <w:basedOn w:val="DefaultParagraphFont"/>
    <w:semiHidden/>
    <w:unhideWhenUsed/>
    <w:rsid w:val="00A85219"/>
    <w:rPr>
      <w:vertAlign w:val="superscript"/>
    </w:rPr>
  </w:style>
  <w:style w:type="character" w:styleId="CommentReference">
    <w:name w:val="annotation reference"/>
    <w:basedOn w:val="DefaultParagraphFont"/>
    <w:uiPriority w:val="99"/>
    <w:semiHidden/>
    <w:unhideWhenUsed/>
    <w:rsid w:val="00374507"/>
    <w:rPr>
      <w:sz w:val="16"/>
      <w:szCs w:val="16"/>
    </w:rPr>
  </w:style>
  <w:style w:type="paragraph" w:styleId="CommentText">
    <w:name w:val="annotation text"/>
    <w:basedOn w:val="Normal"/>
    <w:link w:val="CommentTextChar"/>
    <w:uiPriority w:val="99"/>
    <w:semiHidden/>
    <w:unhideWhenUsed/>
    <w:rsid w:val="00374507"/>
    <w:pPr>
      <w:spacing w:line="240" w:lineRule="auto"/>
    </w:pPr>
    <w:rPr>
      <w:sz w:val="20"/>
      <w:szCs w:val="20"/>
    </w:rPr>
  </w:style>
  <w:style w:type="character" w:customStyle="1" w:styleId="CommentTextChar">
    <w:name w:val="Comment Text Char"/>
    <w:basedOn w:val="DefaultParagraphFont"/>
    <w:link w:val="CommentText"/>
    <w:uiPriority w:val="99"/>
    <w:semiHidden/>
    <w:rsid w:val="00374507"/>
    <w:rPr>
      <w:sz w:val="20"/>
      <w:szCs w:val="20"/>
    </w:rPr>
  </w:style>
  <w:style w:type="paragraph" w:styleId="CommentSubject">
    <w:name w:val="annotation subject"/>
    <w:basedOn w:val="CommentText"/>
    <w:next w:val="CommentText"/>
    <w:link w:val="CommentSubjectChar"/>
    <w:uiPriority w:val="99"/>
    <w:semiHidden/>
    <w:unhideWhenUsed/>
    <w:rsid w:val="00374507"/>
    <w:rPr>
      <w:b/>
      <w:bCs/>
    </w:rPr>
  </w:style>
  <w:style w:type="character" w:customStyle="1" w:styleId="CommentSubjectChar">
    <w:name w:val="Comment Subject Char"/>
    <w:basedOn w:val="CommentTextChar"/>
    <w:link w:val="CommentSubject"/>
    <w:uiPriority w:val="99"/>
    <w:semiHidden/>
    <w:rsid w:val="00374507"/>
    <w:rPr>
      <w:b/>
      <w:bCs/>
      <w:sz w:val="20"/>
      <w:szCs w:val="20"/>
    </w:rPr>
  </w:style>
  <w:style w:type="paragraph" w:styleId="TableofFigures">
    <w:name w:val="table of figures"/>
    <w:basedOn w:val="Normal"/>
    <w:next w:val="Normal"/>
    <w:uiPriority w:val="99"/>
    <w:unhideWhenUsed/>
    <w:rsid w:val="00972528"/>
    <w:pPr>
      <w:tabs>
        <w:tab w:val="left" w:pos="1701"/>
        <w:tab w:val="right" w:pos="9072"/>
      </w:tabs>
      <w:spacing w:before="120" w:line="240" w:lineRule="auto"/>
      <w:ind w:left="1701" w:hanging="992"/>
    </w:pPr>
    <w:rPr>
      <w:sz w:val="20"/>
    </w:rPr>
  </w:style>
  <w:style w:type="paragraph" w:customStyle="1" w:styleId="TableText">
    <w:name w:val="Table Text"/>
    <w:basedOn w:val="Normal"/>
    <w:qFormat/>
    <w:rsid w:val="008D7E91"/>
    <w:pPr>
      <w:spacing w:before="60" w:after="60" w:line="240" w:lineRule="auto"/>
    </w:pPr>
    <w:rPr>
      <w:sz w:val="20"/>
    </w:rPr>
  </w:style>
  <w:style w:type="paragraph" w:styleId="BodyText">
    <w:name w:val="Body Text"/>
    <w:basedOn w:val="Normal"/>
    <w:link w:val="BodyTextChar"/>
    <w:uiPriority w:val="99"/>
    <w:unhideWhenUsed/>
    <w:rsid w:val="00AA2878"/>
  </w:style>
  <w:style w:type="character" w:customStyle="1" w:styleId="BodyTextChar">
    <w:name w:val="Body Text Char"/>
    <w:basedOn w:val="DefaultParagraphFont"/>
    <w:link w:val="BodyText"/>
    <w:uiPriority w:val="99"/>
    <w:rsid w:val="00AA2878"/>
  </w:style>
  <w:style w:type="paragraph" w:customStyle="1" w:styleId="AERbodytext">
    <w:name w:val="AER body text"/>
    <w:qFormat/>
    <w:rsid w:val="00D8611A"/>
    <w:pPr>
      <w:keepLines/>
      <w:spacing w:after="240" w:line="240" w:lineRule="auto"/>
    </w:pPr>
    <w:rPr>
      <w:rFonts w:eastAsia="Times New Roman" w:cs="Times New Roman"/>
      <w:szCs w:val="24"/>
    </w:rPr>
  </w:style>
  <w:style w:type="paragraph" w:customStyle="1" w:styleId="AERtabletext">
    <w:name w:val="AER table text"/>
    <w:basedOn w:val="Normal"/>
    <w:rsid w:val="003E0859"/>
    <w:pPr>
      <w:keepLines w:val="0"/>
      <w:widowControl w:val="0"/>
      <w:spacing w:before="120" w:line="240" w:lineRule="auto"/>
    </w:pPr>
    <w:rPr>
      <w:rFonts w:ascii="Times New Roman" w:eastAsia="Times New Roman" w:hAnsi="Times New Roman" w:cs="Times New Roman"/>
      <w:sz w:val="20"/>
      <w:szCs w:val="24"/>
    </w:rPr>
  </w:style>
  <w:style w:type="paragraph" w:customStyle="1" w:styleId="AERtabletextheading">
    <w:name w:val="AER table text heading"/>
    <w:basedOn w:val="AERtabletext"/>
    <w:rsid w:val="003E0859"/>
    <w:rPr>
      <w:b/>
    </w:rPr>
  </w:style>
  <w:style w:type="paragraph" w:customStyle="1" w:styleId="AERbulletlistfirststyle">
    <w:name w:val="AER bullet list (first style)"/>
    <w:basedOn w:val="Normal"/>
    <w:rsid w:val="00F41475"/>
    <w:pPr>
      <w:keepLines w:val="0"/>
      <w:numPr>
        <w:numId w:val="8"/>
      </w:numPr>
      <w:spacing w:before="0" w:after="240" w:line="240" w:lineRule="atLeast"/>
    </w:pPr>
    <w:rPr>
      <w:rFonts w:ascii="Times New Roman" w:eastAsia="Times New Roman" w:hAnsi="Times New Roman" w:cs="Times New Roman"/>
      <w:sz w:val="24"/>
      <w:szCs w:val="24"/>
    </w:rPr>
  </w:style>
  <w:style w:type="paragraph" w:styleId="Revision">
    <w:name w:val="Revision"/>
    <w:hidden/>
    <w:uiPriority w:val="99"/>
    <w:semiHidden/>
    <w:rsid w:val="002A67C5"/>
    <w:pPr>
      <w:spacing w:after="0" w:line="240" w:lineRule="auto"/>
    </w:pPr>
  </w:style>
  <w:style w:type="paragraph" w:customStyle="1" w:styleId="Indented">
    <w:name w:val="Indented"/>
    <w:basedOn w:val="Normal"/>
    <w:link w:val="IndentedChar"/>
    <w:autoRedefine/>
    <w:qFormat/>
    <w:rsid w:val="00AE36AC"/>
    <w:pPr>
      <w:keepLines w:val="0"/>
      <w:spacing w:before="0" w:after="0" w:line="240" w:lineRule="auto"/>
      <w:ind w:right="-20"/>
      <w:jc w:val="both"/>
    </w:pPr>
    <w:rPr>
      <w:rFonts w:eastAsia="Arial"/>
      <w:bCs/>
      <w:spacing w:val="-1"/>
      <w:sz w:val="20"/>
      <w:szCs w:val="20"/>
      <w:lang w:eastAsia="en-AU"/>
    </w:rPr>
  </w:style>
  <w:style w:type="character" w:customStyle="1" w:styleId="IndentedChar">
    <w:name w:val="Indented Char"/>
    <w:basedOn w:val="DefaultParagraphFont"/>
    <w:link w:val="Indented"/>
    <w:rsid w:val="00AE36AC"/>
    <w:rPr>
      <w:rFonts w:eastAsia="Arial"/>
      <w:bCs/>
      <w:spacing w:val="-1"/>
      <w:sz w:val="20"/>
      <w:szCs w:val="20"/>
      <w:lang w:eastAsia="en-AU"/>
    </w:rPr>
  </w:style>
  <w:style w:type="paragraph" w:styleId="NormalWeb">
    <w:name w:val="Normal (Web)"/>
    <w:basedOn w:val="Normal"/>
    <w:uiPriority w:val="99"/>
    <w:semiHidden/>
    <w:unhideWhenUsed/>
    <w:rsid w:val="00E41A09"/>
    <w:rPr>
      <w:rFonts w:ascii="Times New Roman" w:hAnsi="Times New Roman" w:cs="Times New Roman"/>
      <w:sz w:val="24"/>
      <w:szCs w:val="24"/>
    </w:rPr>
  </w:style>
  <w:style w:type="paragraph" w:customStyle="1" w:styleId="PARBodyText">
    <w:name w:val="PAR Body Text"/>
    <w:basedOn w:val="BodyText"/>
    <w:link w:val="PARBodyTextChar"/>
    <w:rsid w:val="00E42C5F"/>
    <w:pPr>
      <w:keepLines w:val="0"/>
      <w:spacing w:before="0" w:line="240" w:lineRule="auto"/>
      <w:ind w:left="851"/>
    </w:pPr>
    <w:rPr>
      <w:rFonts w:eastAsia="Times New Roman" w:cs="Times New Roman"/>
      <w:color w:val="FF0000"/>
      <w:sz w:val="20"/>
      <w:szCs w:val="20"/>
      <w:lang w:eastAsia="en-AU"/>
    </w:rPr>
  </w:style>
  <w:style w:type="character" w:customStyle="1" w:styleId="PARBodyTextChar">
    <w:name w:val="PAR Body Text Char"/>
    <w:basedOn w:val="BodyTextChar"/>
    <w:link w:val="PARBodyText"/>
    <w:rsid w:val="00E42C5F"/>
    <w:rPr>
      <w:rFonts w:eastAsia="Times New Roman" w:cs="Times New Roman"/>
      <w:color w:val="FF0000"/>
      <w:sz w:val="20"/>
      <w:szCs w:val="20"/>
      <w:lang w:eastAsia="en-AU"/>
    </w:rPr>
  </w:style>
  <w:style w:type="paragraph" w:customStyle="1" w:styleId="CharCharCharChar">
    <w:name w:val="Char Char Char Char"/>
    <w:basedOn w:val="Normal"/>
    <w:rsid w:val="00530BFA"/>
    <w:pPr>
      <w:keepLines w:val="0"/>
      <w:spacing w:before="0" w:after="160" w:line="240" w:lineRule="exact"/>
    </w:pPr>
    <w:rPr>
      <w:rFonts w:ascii="Verdana" w:eastAsia="Times New Roman" w:hAnsi="Verdana"/>
      <w:sz w:val="20"/>
      <w:szCs w:val="24"/>
      <w:lang w:val="en-US"/>
    </w:rPr>
  </w:style>
  <w:style w:type="paragraph" w:customStyle="1" w:styleId="Char">
    <w:name w:val="Char"/>
    <w:basedOn w:val="Normal"/>
    <w:rsid w:val="00B41A2A"/>
    <w:pPr>
      <w:keepLines w:val="0"/>
      <w:spacing w:before="0" w:after="160" w:line="240" w:lineRule="exact"/>
    </w:pPr>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5A4FB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A4FB6"/>
    <w:rPr>
      <w:sz w:val="20"/>
      <w:szCs w:val="20"/>
    </w:rPr>
  </w:style>
  <w:style w:type="character" w:styleId="EndnoteReference">
    <w:name w:val="endnote reference"/>
    <w:basedOn w:val="DefaultParagraphFont"/>
    <w:uiPriority w:val="99"/>
    <w:semiHidden/>
    <w:unhideWhenUsed/>
    <w:rsid w:val="005A4FB6"/>
    <w:rPr>
      <w:vertAlign w:val="superscript"/>
    </w:rPr>
  </w:style>
  <w:style w:type="paragraph" w:customStyle="1" w:styleId="Default">
    <w:name w:val="Default"/>
    <w:rsid w:val="001B2C41"/>
    <w:pPr>
      <w:autoSpaceDE w:val="0"/>
      <w:autoSpaceDN w:val="0"/>
      <w:adjustRightInd w:val="0"/>
      <w:spacing w:after="0" w:line="240" w:lineRule="auto"/>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1370E"/>
    <w:pPr>
      <w:keepLines/>
      <w:spacing w:before="240" w:after="120" w:line="280" w:lineRule="atLeast"/>
    </w:pPr>
  </w:style>
  <w:style w:type="paragraph" w:styleId="Heading1">
    <w:name w:val="heading 1"/>
    <w:basedOn w:val="Normal"/>
    <w:next w:val="Normal"/>
    <w:link w:val="Heading1Char"/>
    <w:uiPriority w:val="9"/>
    <w:qFormat/>
    <w:rsid w:val="00C21D5F"/>
    <w:pPr>
      <w:keepNext/>
      <w:pageBreakBefore/>
      <w:numPr>
        <w:numId w:val="1"/>
      </w:numPr>
      <w:spacing w:before="360" w:after="360"/>
      <w:ind w:left="851" w:hanging="851"/>
      <w:outlineLvl w:val="0"/>
    </w:pPr>
    <w:rPr>
      <w:rFonts w:eastAsiaTheme="majorEastAsia" w:cstheme="majorBidi"/>
      <w:b/>
      <w:bCs/>
      <w:color w:val="0081C3"/>
      <w:sz w:val="48"/>
      <w:szCs w:val="28"/>
    </w:rPr>
  </w:style>
  <w:style w:type="paragraph" w:styleId="Heading2">
    <w:name w:val="heading 2"/>
    <w:basedOn w:val="Normal"/>
    <w:next w:val="Normal"/>
    <w:link w:val="Heading2Char"/>
    <w:uiPriority w:val="9"/>
    <w:unhideWhenUsed/>
    <w:qFormat/>
    <w:rsid w:val="00705A75"/>
    <w:pPr>
      <w:keepNext/>
      <w:numPr>
        <w:ilvl w:val="1"/>
        <w:numId w:val="1"/>
      </w:numPr>
      <w:spacing w:before="36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705A75"/>
    <w:pPr>
      <w:keepNext/>
      <w:numPr>
        <w:ilvl w:val="2"/>
        <w:numId w:val="1"/>
      </w:numPr>
      <w:spacing w:before="36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AA2878"/>
    <w:pPr>
      <w:keepNext/>
      <w:numPr>
        <w:ilvl w:val="3"/>
        <w:numId w:val="1"/>
      </w:numPr>
      <w:ind w:left="851" w:hanging="851"/>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unhideWhenUsed/>
    <w:rsid w:val="00AC493C"/>
    <w:pPr>
      <w:keepNext/>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493C"/>
    <w:pPr>
      <w:keepNext/>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493C"/>
    <w:pPr>
      <w:keepNext/>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493C"/>
    <w:pPr>
      <w:keepNext/>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493C"/>
    <w:pPr>
      <w:keepNext/>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D5F"/>
    <w:rPr>
      <w:rFonts w:eastAsiaTheme="majorEastAsia" w:cstheme="majorBidi"/>
      <w:b/>
      <w:bCs/>
      <w:color w:val="0081C3"/>
      <w:sz w:val="48"/>
      <w:szCs w:val="28"/>
    </w:rPr>
  </w:style>
  <w:style w:type="character" w:customStyle="1" w:styleId="Heading2Char">
    <w:name w:val="Heading 2 Char"/>
    <w:basedOn w:val="DefaultParagraphFont"/>
    <w:link w:val="Heading2"/>
    <w:uiPriority w:val="9"/>
    <w:rsid w:val="00705A75"/>
    <w:rPr>
      <w:rFonts w:eastAsiaTheme="majorEastAsia" w:cstheme="majorBidi"/>
      <w:b/>
      <w:bCs/>
      <w:sz w:val="28"/>
      <w:szCs w:val="26"/>
    </w:rPr>
  </w:style>
  <w:style w:type="character" w:customStyle="1" w:styleId="Heading3Char">
    <w:name w:val="Heading 3 Char"/>
    <w:basedOn w:val="DefaultParagraphFont"/>
    <w:link w:val="Heading3"/>
    <w:uiPriority w:val="9"/>
    <w:rsid w:val="00705A75"/>
    <w:rPr>
      <w:rFonts w:eastAsiaTheme="majorEastAsia" w:cstheme="majorBidi"/>
      <w:b/>
      <w:bCs/>
      <w:sz w:val="24"/>
    </w:rPr>
  </w:style>
  <w:style w:type="character" w:customStyle="1" w:styleId="Heading4Char">
    <w:name w:val="Heading 4 Char"/>
    <w:basedOn w:val="DefaultParagraphFont"/>
    <w:link w:val="Heading4"/>
    <w:uiPriority w:val="9"/>
    <w:rsid w:val="00AA2878"/>
    <w:rPr>
      <w:rFonts w:ascii="Arial Bold" w:eastAsiaTheme="majorEastAsia" w:hAnsi="Arial Bold" w:cstheme="majorBidi"/>
      <w:b/>
      <w:bCs/>
      <w:iCs/>
    </w:rPr>
  </w:style>
  <w:style w:type="character" w:customStyle="1" w:styleId="Heading5Char">
    <w:name w:val="Heading 5 Char"/>
    <w:basedOn w:val="DefaultParagraphFont"/>
    <w:link w:val="Heading5"/>
    <w:uiPriority w:val="9"/>
    <w:semiHidden/>
    <w:rsid w:val="00AC493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C49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C49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C49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C493C"/>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8B3A14"/>
    <w:pPr>
      <w:ind w:left="720"/>
      <w:contextualSpacing/>
    </w:pPr>
  </w:style>
  <w:style w:type="paragraph" w:customStyle="1" w:styleId="Bullet1">
    <w:name w:val="Bullet 1"/>
    <w:basedOn w:val="ListParagraph"/>
    <w:link w:val="Bullet1Char"/>
    <w:qFormat/>
    <w:rsid w:val="00F04C87"/>
    <w:pPr>
      <w:numPr>
        <w:numId w:val="2"/>
      </w:numPr>
      <w:spacing w:before="120" w:after="240"/>
      <w:contextualSpacing w:val="0"/>
    </w:pPr>
  </w:style>
  <w:style w:type="paragraph" w:customStyle="1" w:styleId="Bullet2">
    <w:name w:val="Bullet 2"/>
    <w:basedOn w:val="ListParagraph"/>
    <w:link w:val="Bullet2Char"/>
    <w:qFormat/>
    <w:rsid w:val="00D31ADF"/>
    <w:pPr>
      <w:numPr>
        <w:numId w:val="3"/>
      </w:numPr>
      <w:tabs>
        <w:tab w:val="left" w:pos="1276"/>
      </w:tabs>
      <w:spacing w:before="60" w:after="60"/>
      <w:ind w:left="1276" w:hanging="425"/>
      <w:contextualSpacing w:val="0"/>
    </w:pPr>
  </w:style>
  <w:style w:type="character" w:customStyle="1" w:styleId="ListParagraphChar">
    <w:name w:val="List Paragraph Char"/>
    <w:basedOn w:val="DefaultParagraphFont"/>
    <w:link w:val="ListParagraph"/>
    <w:uiPriority w:val="34"/>
    <w:rsid w:val="0014644A"/>
  </w:style>
  <w:style w:type="character" w:customStyle="1" w:styleId="Bullet1Char">
    <w:name w:val="Bullet 1 Char"/>
    <w:basedOn w:val="ListParagraphChar"/>
    <w:link w:val="Bullet1"/>
    <w:rsid w:val="00F04C87"/>
  </w:style>
  <w:style w:type="paragraph" w:customStyle="1" w:styleId="Caption-Table">
    <w:name w:val="Caption - Table"/>
    <w:basedOn w:val="Normal"/>
    <w:link w:val="Caption-TableChar"/>
    <w:rsid w:val="0087297B"/>
    <w:pPr>
      <w:jc w:val="center"/>
    </w:pPr>
    <w:rPr>
      <w:b/>
      <w:sz w:val="20"/>
      <w:szCs w:val="20"/>
    </w:rPr>
  </w:style>
  <w:style w:type="character" w:customStyle="1" w:styleId="Bullet2Char">
    <w:name w:val="Bullet 2 Char"/>
    <w:basedOn w:val="ListParagraphChar"/>
    <w:link w:val="Bullet2"/>
    <w:rsid w:val="00D31ADF"/>
  </w:style>
  <w:style w:type="paragraph" w:customStyle="1" w:styleId="Caption-Figure">
    <w:name w:val="Caption - Figure"/>
    <w:basedOn w:val="Caption-Table"/>
    <w:link w:val="Caption-FigureChar"/>
    <w:rsid w:val="0087297B"/>
  </w:style>
  <w:style w:type="character" w:customStyle="1" w:styleId="Caption-TableChar">
    <w:name w:val="Caption - Table Char"/>
    <w:basedOn w:val="DefaultParagraphFont"/>
    <w:link w:val="Caption-Table"/>
    <w:rsid w:val="0087297B"/>
    <w:rPr>
      <w:b/>
      <w:sz w:val="20"/>
      <w:szCs w:val="20"/>
    </w:rPr>
  </w:style>
  <w:style w:type="table" w:styleId="TableGrid">
    <w:name w:val="Table Grid"/>
    <w:basedOn w:val="TableNormal"/>
    <w:uiPriority w:val="59"/>
    <w:rsid w:val="00293926"/>
    <w:pPr>
      <w:spacing w:after="0" w:line="240" w:lineRule="auto"/>
    </w:pPr>
    <w:rPr>
      <w:sz w:val="20"/>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pPr>
        <w:wordWrap/>
        <w:spacing w:beforeLines="0" w:before="120" w:beforeAutospacing="0" w:afterLines="0" w:after="120" w:afterAutospacing="0"/>
        <w:jc w:val="center"/>
      </w:pPr>
      <w:rPr>
        <w:rFonts w:ascii="Arial Bold" w:hAnsi="Arial Bold"/>
        <w:b/>
        <w:i w:val="0"/>
        <w:sz w:val="20"/>
      </w:rPr>
      <w:tblPr/>
      <w:tcPr>
        <w:shd w:val="clear" w:color="auto" w:fill="C4D545"/>
        <w:vAlign w:val="center"/>
      </w:tcPr>
    </w:tblStylePr>
    <w:tblStylePr w:type="firstCol">
      <w:pPr>
        <w:wordWrap/>
        <w:jc w:val="left"/>
      </w:pPr>
    </w:tblStylePr>
    <w:tblStylePr w:type="band1Horz">
      <w:pPr>
        <w:wordWrap/>
        <w:spacing w:beforeLines="0" w:before="120" w:beforeAutospacing="0" w:afterLines="0" w:after="120" w:afterAutospacing="0"/>
      </w:pPr>
      <w:rPr>
        <w:rFonts w:ascii="Arial" w:hAnsi="Arial"/>
        <w:b w:val="0"/>
        <w:i w:val="0"/>
        <w:sz w:val="20"/>
      </w:rPr>
      <w:tblPr/>
      <w:tcPr>
        <w:shd w:val="clear" w:color="auto" w:fill="EAF0BA"/>
      </w:tcPr>
    </w:tblStylePr>
    <w:tblStylePr w:type="band2Horz">
      <w:pPr>
        <w:wordWrap/>
        <w:spacing w:beforeLines="0" w:before="120" w:beforeAutospacing="0" w:afterLines="0" w:after="120" w:afterAutospacing="0"/>
      </w:pPr>
      <w:rPr>
        <w:rFonts w:ascii="Arial" w:hAnsi="Arial"/>
        <w:b w:val="0"/>
        <w:i w:val="0"/>
        <w:sz w:val="20"/>
      </w:rPr>
      <w:tblPr/>
      <w:tcPr>
        <w:shd w:val="clear" w:color="auto" w:fill="EAF0BA"/>
      </w:tcPr>
    </w:tblStylePr>
  </w:style>
  <w:style w:type="character" w:customStyle="1" w:styleId="Caption-FigureChar">
    <w:name w:val="Caption - Figure Char"/>
    <w:basedOn w:val="Caption-TableChar"/>
    <w:link w:val="Caption-Figure"/>
    <w:rsid w:val="0087297B"/>
    <w:rPr>
      <w:b/>
      <w:sz w:val="20"/>
      <w:szCs w:val="20"/>
    </w:rPr>
  </w:style>
  <w:style w:type="table" w:styleId="MediumGrid1-Accent3">
    <w:name w:val="Medium Grid 1 Accent 3"/>
    <w:basedOn w:val="TableNormal"/>
    <w:uiPriority w:val="67"/>
    <w:rsid w:val="0087297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List-Accent1">
    <w:name w:val="Light List Accent 1"/>
    <w:basedOn w:val="TableNormal"/>
    <w:uiPriority w:val="61"/>
    <w:rsid w:val="0029392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OverviewBox">
    <w:name w:val="Overview Box"/>
    <w:basedOn w:val="TableNormal"/>
    <w:uiPriority w:val="99"/>
    <w:rsid w:val="00293926"/>
    <w:pPr>
      <w:spacing w:after="0" w:line="240" w:lineRule="auto"/>
    </w:pPr>
    <w:tblPr/>
  </w:style>
  <w:style w:type="table" w:customStyle="1" w:styleId="Overviewbox0">
    <w:name w:val="Overview box"/>
    <w:basedOn w:val="TableGrid"/>
    <w:uiPriority w:val="99"/>
    <w:rsid w:val="006455BF"/>
    <w:rPr>
      <w:color w:val="FFFFFF" w:themeColor="background1"/>
      <w:sz w:val="16"/>
    </w:rPr>
    <w:tblPr>
      <w:tblStyleColBandSize w:val="1"/>
      <w:tblBorders>
        <w:top w:val="single" w:sz="8" w:space="0" w:color="0081C3"/>
        <w:left w:val="single" w:sz="8" w:space="0" w:color="0081C3"/>
        <w:bottom w:val="single" w:sz="8" w:space="0" w:color="0081C3"/>
        <w:right w:val="single" w:sz="8" w:space="0" w:color="0081C3"/>
        <w:insideH w:val="single" w:sz="8" w:space="0" w:color="0081C3"/>
        <w:insideV w:val="single" w:sz="8" w:space="0" w:color="0081C3"/>
      </w:tblBorders>
    </w:tblPr>
    <w:tcPr>
      <w:shd w:val="clear" w:color="auto" w:fill="808080" w:themeFill="background1" w:themeFillShade="80"/>
    </w:tcPr>
    <w:tblStylePr w:type="firstRow">
      <w:pPr>
        <w:wordWrap/>
        <w:spacing w:beforeLines="0" w:before="0" w:beforeAutospacing="0" w:afterLines="0" w:after="0" w:afterAutospacing="0"/>
        <w:jc w:val="left"/>
      </w:pPr>
      <w:rPr>
        <w:rFonts w:ascii="Arial Bold" w:hAnsi="Arial Bold"/>
        <w:b/>
        <w:i w:val="0"/>
        <w:sz w:val="16"/>
      </w:rPr>
      <w:tblPr/>
      <w:tcPr>
        <w:shd w:val="clear" w:color="auto" w:fill="808080" w:themeFill="background1" w:themeFillShade="80"/>
        <w:vAlign w:val="center"/>
      </w:tcPr>
    </w:tblStylePr>
    <w:tblStylePr w:type="firstCol">
      <w:pPr>
        <w:wordWrap/>
        <w:jc w:val="left"/>
      </w:pPr>
      <w:tblPr/>
      <w:tcPr>
        <w:shd w:val="clear" w:color="auto" w:fill="808080" w:themeFill="background1" w:themeFillShade="80"/>
      </w:tcPr>
    </w:tblStylePr>
    <w:tblStylePr w:type="band1Vert">
      <w:tblPr/>
      <w:tcPr>
        <w:shd w:val="clear" w:color="auto" w:fill="808080" w:themeFill="background1" w:themeFillShade="80"/>
      </w:tcPr>
    </w:tblStylePr>
    <w:tblStylePr w:type="band2Vert">
      <w:tblPr/>
      <w:tcPr>
        <w:shd w:val="clear" w:color="auto" w:fill="808080" w:themeFill="background1" w:themeFillShade="80"/>
      </w:tcPr>
    </w:tblStylePr>
    <w:tblStylePr w:type="band1Horz">
      <w:pPr>
        <w:wordWrap/>
        <w:spacing w:beforeLines="0" w:before="120" w:beforeAutospacing="0" w:afterLines="0" w:after="120" w:afterAutospacing="0"/>
      </w:pPr>
      <w:rPr>
        <w:rFonts w:ascii="Arial" w:hAnsi="Arial"/>
        <w:b w:val="0"/>
        <w:i w:val="0"/>
        <w:sz w:val="20"/>
      </w:rPr>
      <w:tblPr/>
      <w:tcPr>
        <w:shd w:val="clear" w:color="auto" w:fill="D9D9D9" w:themeFill="background1" w:themeFillShade="D9"/>
      </w:tcPr>
    </w:tblStylePr>
    <w:tblStylePr w:type="band2Horz">
      <w:pPr>
        <w:wordWrap/>
        <w:spacing w:beforeLines="0" w:before="120" w:beforeAutospacing="0" w:afterLines="0" w:after="120" w:afterAutospacing="0"/>
      </w:pPr>
      <w:rPr>
        <w:rFonts w:ascii="Arial" w:hAnsi="Arial"/>
        <w:b w:val="0"/>
        <w:i w:val="0"/>
        <w:sz w:val="20"/>
      </w:rPr>
      <w:tblPr/>
      <w:tcPr>
        <w:shd w:val="clear" w:color="auto" w:fill="D9D9D9" w:themeFill="background1" w:themeFillShade="D9"/>
      </w:tcPr>
    </w:tblStylePr>
  </w:style>
  <w:style w:type="table" w:customStyle="1" w:styleId="Style1">
    <w:name w:val="Style1"/>
    <w:basedOn w:val="LightList-Accent1"/>
    <w:uiPriority w:val="99"/>
    <w:rsid w:val="002C7F64"/>
    <w:tblPr/>
    <w:tcPr>
      <w:shd w:val="clear" w:color="auto" w:fill="0081C3"/>
    </w:tcPr>
    <w:tblStylePr w:type="firstRow">
      <w:pPr>
        <w:spacing w:before="0" w:after="0" w:line="240" w:lineRule="auto"/>
      </w:pPr>
      <w:rPr>
        <w:b/>
        <w:bCs/>
        <w:color w:val="FFFFFF" w:themeColor="background1"/>
      </w:rPr>
      <w:tblPr/>
      <w:tcPr>
        <w:shd w:val="clear" w:color="auto" w:fill="0081C3"/>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aption1">
    <w:name w:val="Caption1"/>
    <w:basedOn w:val="Normal"/>
    <w:link w:val="Caption1Char"/>
    <w:rsid w:val="00F27BFC"/>
    <w:pPr>
      <w:jc w:val="center"/>
    </w:pPr>
    <w:rPr>
      <w:rFonts w:cstheme="minorBidi"/>
      <w:b/>
      <w:sz w:val="20"/>
      <w:szCs w:val="20"/>
    </w:rPr>
  </w:style>
  <w:style w:type="character" w:customStyle="1" w:styleId="Caption1Char">
    <w:name w:val="Caption1 Char"/>
    <w:basedOn w:val="DefaultParagraphFont"/>
    <w:link w:val="Caption1"/>
    <w:rsid w:val="00F27BFC"/>
    <w:rPr>
      <w:rFonts w:cstheme="minorBidi"/>
      <w:b/>
      <w:sz w:val="20"/>
      <w:szCs w:val="20"/>
    </w:rPr>
  </w:style>
  <w:style w:type="paragraph" w:styleId="Header">
    <w:name w:val="header"/>
    <w:basedOn w:val="Normal"/>
    <w:link w:val="HeaderChar"/>
    <w:unhideWhenUsed/>
    <w:rsid w:val="00545CD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45CDF"/>
  </w:style>
  <w:style w:type="paragraph" w:styleId="Footer">
    <w:name w:val="footer"/>
    <w:basedOn w:val="Normal"/>
    <w:link w:val="FooterChar"/>
    <w:uiPriority w:val="99"/>
    <w:unhideWhenUsed/>
    <w:rsid w:val="00545CD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45CDF"/>
  </w:style>
  <w:style w:type="character" w:styleId="PageNumber">
    <w:name w:val="page number"/>
    <w:basedOn w:val="DefaultParagraphFont"/>
    <w:rsid w:val="00641368"/>
  </w:style>
  <w:style w:type="paragraph" w:customStyle="1" w:styleId="Numberedabc">
    <w:name w:val="Numbered abc"/>
    <w:basedOn w:val="ListParagraph"/>
    <w:link w:val="NumberedabcChar"/>
    <w:rsid w:val="00AF6B4F"/>
    <w:pPr>
      <w:numPr>
        <w:numId w:val="4"/>
      </w:numPr>
      <w:ind w:left="850" w:hanging="425"/>
    </w:pPr>
  </w:style>
  <w:style w:type="character" w:customStyle="1" w:styleId="NumberedabcChar">
    <w:name w:val="Numbered abc Char"/>
    <w:basedOn w:val="ListParagraphChar"/>
    <w:link w:val="Numberedabc"/>
    <w:rsid w:val="00AF6B4F"/>
  </w:style>
  <w:style w:type="paragraph" w:styleId="TOCHeading">
    <w:name w:val="TOC Heading"/>
    <w:basedOn w:val="Heading1"/>
    <w:next w:val="Normal"/>
    <w:uiPriority w:val="39"/>
    <w:semiHidden/>
    <w:unhideWhenUsed/>
    <w:qFormat/>
    <w:rsid w:val="003B0D0C"/>
    <w:pPr>
      <w:numPr>
        <w:numId w:val="0"/>
      </w:num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C92B05"/>
    <w:pPr>
      <w:tabs>
        <w:tab w:val="right" w:pos="9072"/>
      </w:tabs>
      <w:spacing w:before="360" w:after="0"/>
      <w:ind w:left="709" w:hanging="709"/>
    </w:pPr>
    <w:rPr>
      <w:rFonts w:ascii="Arial Bold" w:hAnsi="Arial Bold"/>
      <w:b/>
      <w:bCs/>
      <w:caps/>
      <w:szCs w:val="24"/>
    </w:rPr>
  </w:style>
  <w:style w:type="paragraph" w:styleId="TOC2">
    <w:name w:val="toc 2"/>
    <w:basedOn w:val="Normal"/>
    <w:next w:val="Normal"/>
    <w:autoRedefine/>
    <w:uiPriority w:val="39"/>
    <w:unhideWhenUsed/>
    <w:rsid w:val="00C92B05"/>
    <w:pPr>
      <w:tabs>
        <w:tab w:val="left" w:pos="709"/>
        <w:tab w:val="left" w:pos="1418"/>
        <w:tab w:val="right" w:pos="9072"/>
      </w:tabs>
      <w:spacing w:before="120" w:after="0"/>
      <w:ind w:left="1418" w:hanging="709"/>
    </w:pPr>
    <w:rPr>
      <w:rFonts w:ascii="Arial Bold" w:hAnsi="Arial Bold" w:cstheme="minorHAnsi"/>
      <w:bCs/>
      <w:noProof/>
      <w:szCs w:val="20"/>
    </w:rPr>
  </w:style>
  <w:style w:type="paragraph" w:styleId="TOC3">
    <w:name w:val="toc 3"/>
    <w:basedOn w:val="Normal"/>
    <w:next w:val="Normal"/>
    <w:autoRedefine/>
    <w:uiPriority w:val="39"/>
    <w:unhideWhenUsed/>
    <w:rsid w:val="00F16305"/>
    <w:pPr>
      <w:tabs>
        <w:tab w:val="left" w:pos="1418"/>
        <w:tab w:val="right" w:pos="9072"/>
      </w:tabs>
      <w:spacing w:before="0" w:after="0"/>
      <w:ind w:left="1418" w:hanging="709"/>
    </w:pPr>
    <w:rPr>
      <w:rFonts w:cstheme="minorHAnsi"/>
      <w:noProof/>
      <w:sz w:val="20"/>
      <w:szCs w:val="20"/>
    </w:rPr>
  </w:style>
  <w:style w:type="character" w:styleId="Hyperlink">
    <w:name w:val="Hyperlink"/>
    <w:basedOn w:val="DefaultParagraphFont"/>
    <w:uiPriority w:val="99"/>
    <w:unhideWhenUsed/>
    <w:rsid w:val="003B0D0C"/>
    <w:rPr>
      <w:color w:val="0000FF" w:themeColor="hyperlink"/>
      <w:u w:val="single"/>
    </w:rPr>
  </w:style>
  <w:style w:type="paragraph" w:styleId="BalloonText">
    <w:name w:val="Balloon Text"/>
    <w:basedOn w:val="Normal"/>
    <w:link w:val="BalloonTextChar"/>
    <w:uiPriority w:val="99"/>
    <w:semiHidden/>
    <w:unhideWhenUsed/>
    <w:rsid w:val="003B0D0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D0C"/>
    <w:rPr>
      <w:rFonts w:ascii="Tahoma" w:hAnsi="Tahoma" w:cs="Tahoma"/>
      <w:sz w:val="16"/>
      <w:szCs w:val="16"/>
    </w:rPr>
  </w:style>
  <w:style w:type="paragraph" w:styleId="TOC4">
    <w:name w:val="toc 4"/>
    <w:basedOn w:val="Normal"/>
    <w:next w:val="Normal"/>
    <w:autoRedefine/>
    <w:uiPriority w:val="39"/>
    <w:unhideWhenUsed/>
    <w:rsid w:val="00F16305"/>
    <w:pPr>
      <w:tabs>
        <w:tab w:val="left" w:pos="1701"/>
        <w:tab w:val="right" w:pos="9072"/>
      </w:tabs>
      <w:spacing w:before="120" w:line="240" w:lineRule="auto"/>
      <w:ind w:left="1418" w:hanging="709"/>
    </w:pPr>
    <w:rPr>
      <w:rFonts w:cstheme="minorHAnsi"/>
      <w:sz w:val="20"/>
      <w:szCs w:val="20"/>
    </w:rPr>
  </w:style>
  <w:style w:type="paragraph" w:styleId="TOC5">
    <w:name w:val="toc 5"/>
    <w:basedOn w:val="Normal"/>
    <w:next w:val="Normal"/>
    <w:autoRedefine/>
    <w:uiPriority w:val="39"/>
    <w:unhideWhenUsed/>
    <w:rsid w:val="003B0D0C"/>
    <w:pPr>
      <w:spacing w:before="0" w:after="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3B0D0C"/>
    <w:pPr>
      <w:spacing w:before="0"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3B0D0C"/>
    <w:pPr>
      <w:spacing w:before="0"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3B0D0C"/>
    <w:pPr>
      <w:spacing w:before="0"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3B0D0C"/>
    <w:pPr>
      <w:spacing w:before="0" w:after="0"/>
      <w:ind w:left="1540"/>
    </w:pPr>
    <w:rPr>
      <w:rFonts w:asciiTheme="minorHAnsi" w:hAnsiTheme="minorHAnsi" w:cstheme="minorHAnsi"/>
      <w:sz w:val="20"/>
      <w:szCs w:val="20"/>
    </w:rPr>
  </w:style>
  <w:style w:type="paragraph" w:customStyle="1" w:styleId="AppendixHeading">
    <w:name w:val="Appendix Heading"/>
    <w:basedOn w:val="Normal"/>
    <w:link w:val="AppendixHeadingChar"/>
    <w:rsid w:val="00773A89"/>
    <w:pPr>
      <w:jc w:val="center"/>
    </w:pPr>
    <w:rPr>
      <w:rFonts w:ascii="Arial Black" w:hAnsi="Arial Black"/>
      <w:b/>
      <w:color w:val="0081C3"/>
      <w:sz w:val="56"/>
      <w:szCs w:val="56"/>
    </w:rPr>
  </w:style>
  <w:style w:type="paragraph" w:customStyle="1" w:styleId="AppendixTitle">
    <w:name w:val="Appendix Title"/>
    <w:basedOn w:val="AppendixHeading"/>
    <w:link w:val="AppendixTitleChar"/>
    <w:qFormat/>
    <w:rsid w:val="00773A89"/>
  </w:style>
  <w:style w:type="character" w:customStyle="1" w:styleId="AppendixHeadingChar">
    <w:name w:val="Appendix Heading Char"/>
    <w:basedOn w:val="DefaultParagraphFont"/>
    <w:link w:val="AppendixHeading"/>
    <w:rsid w:val="00773A89"/>
    <w:rPr>
      <w:rFonts w:ascii="Arial Black" w:hAnsi="Arial Black"/>
      <w:b/>
      <w:color w:val="0081C3"/>
      <w:sz w:val="56"/>
      <w:szCs w:val="56"/>
    </w:rPr>
  </w:style>
  <w:style w:type="paragraph" w:customStyle="1" w:styleId="Appendix">
    <w:name w:val="Appendix"/>
    <w:basedOn w:val="Heading1"/>
    <w:link w:val="AppendixChar"/>
    <w:qFormat/>
    <w:rsid w:val="008042FE"/>
    <w:pPr>
      <w:numPr>
        <w:numId w:val="0"/>
      </w:numPr>
    </w:pPr>
  </w:style>
  <w:style w:type="character" w:customStyle="1" w:styleId="AppendixTitleChar">
    <w:name w:val="Appendix Title Char"/>
    <w:basedOn w:val="AppendixHeadingChar"/>
    <w:link w:val="AppendixTitle"/>
    <w:rsid w:val="00773A89"/>
    <w:rPr>
      <w:rFonts w:ascii="Arial Black" w:hAnsi="Arial Black"/>
      <w:b/>
      <w:color w:val="0081C3"/>
      <w:sz w:val="56"/>
      <w:szCs w:val="56"/>
    </w:rPr>
  </w:style>
  <w:style w:type="paragraph" w:customStyle="1" w:styleId="AppendixSub">
    <w:name w:val="Appendix Sub"/>
    <w:basedOn w:val="Normal"/>
    <w:link w:val="AppendixSubChar"/>
    <w:qFormat/>
    <w:rsid w:val="00FF405A"/>
    <w:pPr>
      <w:jc w:val="center"/>
    </w:pPr>
    <w:rPr>
      <w:b/>
      <w:sz w:val="48"/>
      <w:szCs w:val="48"/>
    </w:rPr>
  </w:style>
  <w:style w:type="character" w:customStyle="1" w:styleId="AppendixChar">
    <w:name w:val="Appendix Char"/>
    <w:basedOn w:val="Heading1Char"/>
    <w:link w:val="Appendix"/>
    <w:rsid w:val="008042FE"/>
    <w:rPr>
      <w:rFonts w:eastAsiaTheme="majorEastAsia" w:cstheme="majorBidi"/>
      <w:b/>
      <w:bCs/>
      <w:color w:val="0081C3"/>
      <w:sz w:val="48"/>
      <w:szCs w:val="28"/>
    </w:rPr>
  </w:style>
  <w:style w:type="character" w:customStyle="1" w:styleId="AppendixSubChar">
    <w:name w:val="Appendix Sub Char"/>
    <w:basedOn w:val="DefaultParagraphFont"/>
    <w:link w:val="AppendixSub"/>
    <w:rsid w:val="00FF405A"/>
    <w:rPr>
      <w:b/>
      <w:sz w:val="48"/>
      <w:szCs w:val="48"/>
    </w:rPr>
  </w:style>
  <w:style w:type="paragraph" w:customStyle="1" w:styleId="Numbered1">
    <w:name w:val="Numbered 1"/>
    <w:basedOn w:val="ListParagraph"/>
    <w:link w:val="Numbered1Char"/>
    <w:qFormat/>
    <w:rsid w:val="00EC79EE"/>
    <w:pPr>
      <w:numPr>
        <w:numId w:val="5"/>
      </w:numPr>
      <w:ind w:left="850" w:hanging="425"/>
      <w:contextualSpacing w:val="0"/>
    </w:pPr>
  </w:style>
  <w:style w:type="character" w:customStyle="1" w:styleId="Numbered1Char">
    <w:name w:val="Numbered 1 Char"/>
    <w:basedOn w:val="DefaultParagraphFont"/>
    <w:link w:val="Numbered1"/>
    <w:rsid w:val="00EC79EE"/>
  </w:style>
  <w:style w:type="paragraph" w:customStyle="1" w:styleId="Numbered2">
    <w:name w:val="Numbered 2"/>
    <w:basedOn w:val="Numbered1"/>
    <w:link w:val="Numbered2Char"/>
    <w:qFormat/>
    <w:rsid w:val="001A03CD"/>
    <w:pPr>
      <w:numPr>
        <w:numId w:val="6"/>
      </w:numPr>
      <w:spacing w:before="120"/>
      <w:ind w:left="1276" w:hanging="425"/>
    </w:pPr>
  </w:style>
  <w:style w:type="paragraph" w:customStyle="1" w:styleId="Numbered30">
    <w:name w:val="Numbered 3"/>
    <w:basedOn w:val="Numbered1"/>
    <w:rsid w:val="00EC79EE"/>
    <w:pPr>
      <w:spacing w:before="120"/>
      <w:ind w:left="2285" w:hanging="357"/>
    </w:pPr>
  </w:style>
  <w:style w:type="character" w:customStyle="1" w:styleId="Numbered2Char">
    <w:name w:val="Numbered 2 Char"/>
    <w:basedOn w:val="Numbered1Char"/>
    <w:link w:val="Numbered2"/>
    <w:rsid w:val="001A03CD"/>
  </w:style>
  <w:style w:type="paragraph" w:customStyle="1" w:styleId="Numbered3">
    <w:name w:val="Numbered (3)"/>
    <w:basedOn w:val="Numbered30"/>
    <w:link w:val="Numbered3Char"/>
    <w:qFormat/>
    <w:rsid w:val="001A03CD"/>
    <w:pPr>
      <w:numPr>
        <w:numId w:val="7"/>
      </w:numPr>
      <w:ind w:left="1775" w:hanging="357"/>
    </w:pPr>
  </w:style>
  <w:style w:type="character" w:customStyle="1" w:styleId="Numbered3Char">
    <w:name w:val="Numbered (3) Char"/>
    <w:basedOn w:val="DefaultParagraphFont"/>
    <w:link w:val="Numbered3"/>
    <w:rsid w:val="001A03CD"/>
  </w:style>
  <w:style w:type="paragraph" w:customStyle="1" w:styleId="Cover1">
    <w:name w:val="Cover 1"/>
    <w:basedOn w:val="Normal"/>
    <w:link w:val="Cover1Char"/>
    <w:rsid w:val="00E765DD"/>
    <w:pPr>
      <w:spacing w:before="600" w:after="600" w:line="280" w:lineRule="exact"/>
      <w:jc w:val="right"/>
    </w:pPr>
    <w:rPr>
      <w:rFonts w:ascii="Arial Black" w:hAnsi="Arial Black"/>
      <w:b/>
      <w:color w:val="FFFFFF"/>
      <w:sz w:val="120"/>
      <w:szCs w:val="120"/>
    </w:rPr>
  </w:style>
  <w:style w:type="character" w:customStyle="1" w:styleId="Cover1Char">
    <w:name w:val="Cover 1 Char"/>
    <w:basedOn w:val="DefaultParagraphFont"/>
    <w:link w:val="Cover1"/>
    <w:rsid w:val="00E765DD"/>
    <w:rPr>
      <w:rFonts w:ascii="Arial Black" w:hAnsi="Arial Black"/>
      <w:b/>
      <w:color w:val="FFFFFF"/>
      <w:sz w:val="120"/>
      <w:szCs w:val="120"/>
    </w:rPr>
  </w:style>
  <w:style w:type="paragraph" w:customStyle="1" w:styleId="Cover3">
    <w:name w:val="Cover 3"/>
    <w:basedOn w:val="Normal"/>
    <w:link w:val="Cover3Char"/>
    <w:rsid w:val="00E765DD"/>
    <w:pPr>
      <w:spacing w:line="240" w:lineRule="exact"/>
      <w:jc w:val="right"/>
    </w:pPr>
    <w:rPr>
      <w:b/>
      <w:color w:val="0081C3"/>
      <w:sz w:val="44"/>
      <w:szCs w:val="44"/>
    </w:rPr>
  </w:style>
  <w:style w:type="character" w:customStyle="1" w:styleId="Cover3Char">
    <w:name w:val="Cover 3 Char"/>
    <w:basedOn w:val="DefaultParagraphFont"/>
    <w:link w:val="Cover3"/>
    <w:rsid w:val="00E765DD"/>
    <w:rPr>
      <w:b/>
      <w:color w:val="0081C3"/>
      <w:sz w:val="44"/>
      <w:szCs w:val="44"/>
    </w:rPr>
  </w:style>
  <w:style w:type="paragraph" w:styleId="Caption">
    <w:name w:val="caption"/>
    <w:basedOn w:val="Normal"/>
    <w:next w:val="Normal"/>
    <w:uiPriority w:val="35"/>
    <w:unhideWhenUsed/>
    <w:qFormat/>
    <w:rsid w:val="00AA2878"/>
    <w:pPr>
      <w:keepNext/>
      <w:spacing w:line="240" w:lineRule="auto"/>
      <w:jc w:val="center"/>
    </w:pPr>
    <w:rPr>
      <w:b/>
      <w:bCs/>
      <w:szCs w:val="18"/>
    </w:rPr>
  </w:style>
  <w:style w:type="table" w:customStyle="1" w:styleId="TableGrid1">
    <w:name w:val="Table Grid1"/>
    <w:basedOn w:val="TableNormal"/>
    <w:next w:val="TableGrid"/>
    <w:uiPriority w:val="59"/>
    <w:rsid w:val="00EB5E01"/>
    <w:pPr>
      <w:spacing w:after="0" w:line="240" w:lineRule="auto"/>
    </w:pPr>
    <w:rPr>
      <w:sz w:val="20"/>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pPr>
        <w:wordWrap/>
        <w:spacing w:beforeLines="0" w:before="120" w:beforeAutospacing="0" w:afterLines="0" w:after="120" w:afterAutospacing="0"/>
        <w:jc w:val="center"/>
      </w:pPr>
      <w:rPr>
        <w:rFonts w:ascii="Arial Bold" w:hAnsi="Arial Bold"/>
        <w:b/>
        <w:i w:val="0"/>
        <w:sz w:val="20"/>
      </w:rPr>
      <w:tblPr/>
      <w:tcPr>
        <w:shd w:val="clear" w:color="auto" w:fill="C4D545"/>
        <w:vAlign w:val="center"/>
      </w:tcPr>
    </w:tblStylePr>
    <w:tblStylePr w:type="firstCol">
      <w:pPr>
        <w:wordWrap/>
        <w:jc w:val="left"/>
      </w:pPr>
    </w:tblStylePr>
    <w:tblStylePr w:type="band1Horz">
      <w:pPr>
        <w:wordWrap/>
        <w:spacing w:beforeLines="0" w:before="120" w:beforeAutospacing="0" w:afterLines="0" w:after="120" w:afterAutospacing="0"/>
      </w:pPr>
      <w:rPr>
        <w:rFonts w:ascii="Arial" w:hAnsi="Arial"/>
        <w:b w:val="0"/>
        <w:i w:val="0"/>
        <w:sz w:val="20"/>
      </w:rPr>
      <w:tblPr/>
      <w:tcPr>
        <w:shd w:val="clear" w:color="auto" w:fill="EAF0BA"/>
      </w:tcPr>
    </w:tblStylePr>
    <w:tblStylePr w:type="band2Horz">
      <w:pPr>
        <w:wordWrap/>
        <w:spacing w:beforeLines="0" w:before="120" w:beforeAutospacing="0" w:afterLines="0" w:after="120" w:afterAutospacing="0"/>
      </w:pPr>
      <w:rPr>
        <w:rFonts w:ascii="Arial" w:hAnsi="Arial"/>
        <w:b w:val="0"/>
        <w:i w:val="0"/>
        <w:sz w:val="20"/>
      </w:rPr>
      <w:tblPr/>
      <w:tcPr>
        <w:shd w:val="clear" w:color="auto" w:fill="EAF0BA"/>
      </w:tcPr>
    </w:tblStylePr>
  </w:style>
  <w:style w:type="paragraph" w:styleId="FootnoteText">
    <w:name w:val="footnote text"/>
    <w:aliases w:val="ALTS FOOTNOTE,(NECG) Footnote Text,Footnote text,AR Footnote Text,AR Footnote Text Char Char Char Char Char,AR Footnote Text Char Char Char Char Char Char"/>
    <w:basedOn w:val="Normal"/>
    <w:link w:val="FootnoteTextChar"/>
    <w:semiHidden/>
    <w:unhideWhenUsed/>
    <w:rsid w:val="00A85219"/>
    <w:pPr>
      <w:spacing w:before="0" w:after="0" w:line="240" w:lineRule="auto"/>
    </w:pPr>
    <w:rPr>
      <w:sz w:val="20"/>
      <w:szCs w:val="20"/>
    </w:rPr>
  </w:style>
  <w:style w:type="character" w:customStyle="1" w:styleId="FootnoteTextChar">
    <w:name w:val="Footnote Text Char"/>
    <w:aliases w:val="ALTS FOOTNOTE Char,(NECG) Footnote Text Char,Footnote text Char,AR Footnote Text Char,AR Footnote Text Char Char Char Char Char Char1,AR Footnote Text Char Char Char Char Char Char Char"/>
    <w:basedOn w:val="DefaultParagraphFont"/>
    <w:link w:val="FootnoteText"/>
    <w:uiPriority w:val="99"/>
    <w:semiHidden/>
    <w:rsid w:val="00A85219"/>
    <w:rPr>
      <w:sz w:val="20"/>
      <w:szCs w:val="20"/>
    </w:rPr>
  </w:style>
  <w:style w:type="character" w:styleId="FootnoteReference">
    <w:name w:val="footnote reference"/>
    <w:aliases w:val="(NECG) Footnote Reference"/>
    <w:basedOn w:val="DefaultParagraphFont"/>
    <w:semiHidden/>
    <w:unhideWhenUsed/>
    <w:rsid w:val="00A85219"/>
    <w:rPr>
      <w:vertAlign w:val="superscript"/>
    </w:rPr>
  </w:style>
  <w:style w:type="character" w:styleId="CommentReference">
    <w:name w:val="annotation reference"/>
    <w:basedOn w:val="DefaultParagraphFont"/>
    <w:uiPriority w:val="99"/>
    <w:semiHidden/>
    <w:unhideWhenUsed/>
    <w:rsid w:val="00374507"/>
    <w:rPr>
      <w:sz w:val="16"/>
      <w:szCs w:val="16"/>
    </w:rPr>
  </w:style>
  <w:style w:type="paragraph" w:styleId="CommentText">
    <w:name w:val="annotation text"/>
    <w:basedOn w:val="Normal"/>
    <w:link w:val="CommentTextChar"/>
    <w:uiPriority w:val="99"/>
    <w:semiHidden/>
    <w:unhideWhenUsed/>
    <w:rsid w:val="00374507"/>
    <w:pPr>
      <w:spacing w:line="240" w:lineRule="auto"/>
    </w:pPr>
    <w:rPr>
      <w:sz w:val="20"/>
      <w:szCs w:val="20"/>
    </w:rPr>
  </w:style>
  <w:style w:type="character" w:customStyle="1" w:styleId="CommentTextChar">
    <w:name w:val="Comment Text Char"/>
    <w:basedOn w:val="DefaultParagraphFont"/>
    <w:link w:val="CommentText"/>
    <w:uiPriority w:val="99"/>
    <w:semiHidden/>
    <w:rsid w:val="00374507"/>
    <w:rPr>
      <w:sz w:val="20"/>
      <w:szCs w:val="20"/>
    </w:rPr>
  </w:style>
  <w:style w:type="paragraph" w:styleId="CommentSubject">
    <w:name w:val="annotation subject"/>
    <w:basedOn w:val="CommentText"/>
    <w:next w:val="CommentText"/>
    <w:link w:val="CommentSubjectChar"/>
    <w:uiPriority w:val="99"/>
    <w:semiHidden/>
    <w:unhideWhenUsed/>
    <w:rsid w:val="00374507"/>
    <w:rPr>
      <w:b/>
      <w:bCs/>
    </w:rPr>
  </w:style>
  <w:style w:type="character" w:customStyle="1" w:styleId="CommentSubjectChar">
    <w:name w:val="Comment Subject Char"/>
    <w:basedOn w:val="CommentTextChar"/>
    <w:link w:val="CommentSubject"/>
    <w:uiPriority w:val="99"/>
    <w:semiHidden/>
    <w:rsid w:val="00374507"/>
    <w:rPr>
      <w:b/>
      <w:bCs/>
      <w:sz w:val="20"/>
      <w:szCs w:val="20"/>
    </w:rPr>
  </w:style>
  <w:style w:type="paragraph" w:styleId="TableofFigures">
    <w:name w:val="table of figures"/>
    <w:basedOn w:val="Normal"/>
    <w:next w:val="Normal"/>
    <w:uiPriority w:val="99"/>
    <w:unhideWhenUsed/>
    <w:rsid w:val="00972528"/>
    <w:pPr>
      <w:tabs>
        <w:tab w:val="left" w:pos="1701"/>
        <w:tab w:val="right" w:pos="9072"/>
      </w:tabs>
      <w:spacing w:before="120" w:line="240" w:lineRule="auto"/>
      <w:ind w:left="1701" w:hanging="992"/>
    </w:pPr>
    <w:rPr>
      <w:sz w:val="20"/>
    </w:rPr>
  </w:style>
  <w:style w:type="paragraph" w:customStyle="1" w:styleId="TableText">
    <w:name w:val="Table Text"/>
    <w:basedOn w:val="Normal"/>
    <w:qFormat/>
    <w:rsid w:val="008D7E91"/>
    <w:pPr>
      <w:spacing w:before="60" w:after="60" w:line="240" w:lineRule="auto"/>
    </w:pPr>
    <w:rPr>
      <w:sz w:val="20"/>
    </w:rPr>
  </w:style>
  <w:style w:type="paragraph" w:styleId="BodyText">
    <w:name w:val="Body Text"/>
    <w:basedOn w:val="Normal"/>
    <w:link w:val="BodyTextChar"/>
    <w:uiPriority w:val="99"/>
    <w:unhideWhenUsed/>
    <w:rsid w:val="00AA2878"/>
  </w:style>
  <w:style w:type="character" w:customStyle="1" w:styleId="BodyTextChar">
    <w:name w:val="Body Text Char"/>
    <w:basedOn w:val="DefaultParagraphFont"/>
    <w:link w:val="BodyText"/>
    <w:uiPriority w:val="99"/>
    <w:rsid w:val="00AA2878"/>
  </w:style>
  <w:style w:type="paragraph" w:customStyle="1" w:styleId="AERbodytext">
    <w:name w:val="AER body text"/>
    <w:qFormat/>
    <w:rsid w:val="00D8611A"/>
    <w:pPr>
      <w:keepLines/>
      <w:spacing w:after="240" w:line="240" w:lineRule="auto"/>
    </w:pPr>
    <w:rPr>
      <w:rFonts w:eastAsia="Times New Roman" w:cs="Times New Roman"/>
      <w:szCs w:val="24"/>
    </w:rPr>
  </w:style>
  <w:style w:type="paragraph" w:customStyle="1" w:styleId="AERtabletext">
    <w:name w:val="AER table text"/>
    <w:basedOn w:val="Normal"/>
    <w:rsid w:val="003E0859"/>
    <w:pPr>
      <w:keepLines w:val="0"/>
      <w:widowControl w:val="0"/>
      <w:spacing w:before="120" w:line="240" w:lineRule="auto"/>
    </w:pPr>
    <w:rPr>
      <w:rFonts w:ascii="Times New Roman" w:eastAsia="Times New Roman" w:hAnsi="Times New Roman" w:cs="Times New Roman"/>
      <w:sz w:val="20"/>
      <w:szCs w:val="24"/>
    </w:rPr>
  </w:style>
  <w:style w:type="paragraph" w:customStyle="1" w:styleId="AERtabletextheading">
    <w:name w:val="AER table text heading"/>
    <w:basedOn w:val="AERtabletext"/>
    <w:rsid w:val="003E0859"/>
    <w:rPr>
      <w:b/>
    </w:rPr>
  </w:style>
  <w:style w:type="paragraph" w:customStyle="1" w:styleId="AERbulletlistfirststyle">
    <w:name w:val="AER bullet list (first style)"/>
    <w:basedOn w:val="Normal"/>
    <w:rsid w:val="00F41475"/>
    <w:pPr>
      <w:keepLines w:val="0"/>
      <w:numPr>
        <w:numId w:val="8"/>
      </w:numPr>
      <w:spacing w:before="0" w:after="240" w:line="240" w:lineRule="atLeast"/>
    </w:pPr>
    <w:rPr>
      <w:rFonts w:ascii="Times New Roman" w:eastAsia="Times New Roman" w:hAnsi="Times New Roman" w:cs="Times New Roman"/>
      <w:sz w:val="24"/>
      <w:szCs w:val="24"/>
    </w:rPr>
  </w:style>
  <w:style w:type="paragraph" w:styleId="Revision">
    <w:name w:val="Revision"/>
    <w:hidden/>
    <w:uiPriority w:val="99"/>
    <w:semiHidden/>
    <w:rsid w:val="002A67C5"/>
    <w:pPr>
      <w:spacing w:after="0" w:line="240" w:lineRule="auto"/>
    </w:pPr>
  </w:style>
  <w:style w:type="paragraph" w:customStyle="1" w:styleId="Indented">
    <w:name w:val="Indented"/>
    <w:basedOn w:val="Normal"/>
    <w:link w:val="IndentedChar"/>
    <w:autoRedefine/>
    <w:qFormat/>
    <w:rsid w:val="00AE36AC"/>
    <w:pPr>
      <w:keepLines w:val="0"/>
      <w:spacing w:before="0" w:after="0" w:line="240" w:lineRule="auto"/>
      <w:ind w:right="-20"/>
      <w:jc w:val="both"/>
    </w:pPr>
    <w:rPr>
      <w:rFonts w:eastAsia="Arial"/>
      <w:bCs/>
      <w:spacing w:val="-1"/>
      <w:sz w:val="20"/>
      <w:szCs w:val="20"/>
      <w:lang w:eastAsia="en-AU"/>
    </w:rPr>
  </w:style>
  <w:style w:type="character" w:customStyle="1" w:styleId="IndentedChar">
    <w:name w:val="Indented Char"/>
    <w:basedOn w:val="DefaultParagraphFont"/>
    <w:link w:val="Indented"/>
    <w:rsid w:val="00AE36AC"/>
    <w:rPr>
      <w:rFonts w:eastAsia="Arial"/>
      <w:bCs/>
      <w:spacing w:val="-1"/>
      <w:sz w:val="20"/>
      <w:szCs w:val="20"/>
      <w:lang w:eastAsia="en-AU"/>
    </w:rPr>
  </w:style>
  <w:style w:type="paragraph" w:styleId="NormalWeb">
    <w:name w:val="Normal (Web)"/>
    <w:basedOn w:val="Normal"/>
    <w:uiPriority w:val="99"/>
    <w:semiHidden/>
    <w:unhideWhenUsed/>
    <w:rsid w:val="00E41A09"/>
    <w:rPr>
      <w:rFonts w:ascii="Times New Roman" w:hAnsi="Times New Roman" w:cs="Times New Roman"/>
      <w:sz w:val="24"/>
      <w:szCs w:val="24"/>
    </w:rPr>
  </w:style>
  <w:style w:type="paragraph" w:customStyle="1" w:styleId="PARBodyText">
    <w:name w:val="PAR Body Text"/>
    <w:basedOn w:val="BodyText"/>
    <w:link w:val="PARBodyTextChar"/>
    <w:rsid w:val="00E42C5F"/>
    <w:pPr>
      <w:keepLines w:val="0"/>
      <w:spacing w:before="0" w:line="240" w:lineRule="auto"/>
      <w:ind w:left="851"/>
    </w:pPr>
    <w:rPr>
      <w:rFonts w:eastAsia="Times New Roman" w:cs="Times New Roman"/>
      <w:color w:val="FF0000"/>
      <w:sz w:val="20"/>
      <w:szCs w:val="20"/>
      <w:lang w:eastAsia="en-AU"/>
    </w:rPr>
  </w:style>
  <w:style w:type="character" w:customStyle="1" w:styleId="PARBodyTextChar">
    <w:name w:val="PAR Body Text Char"/>
    <w:basedOn w:val="BodyTextChar"/>
    <w:link w:val="PARBodyText"/>
    <w:rsid w:val="00E42C5F"/>
    <w:rPr>
      <w:rFonts w:eastAsia="Times New Roman" w:cs="Times New Roman"/>
      <w:color w:val="FF0000"/>
      <w:sz w:val="20"/>
      <w:szCs w:val="20"/>
      <w:lang w:eastAsia="en-AU"/>
    </w:rPr>
  </w:style>
  <w:style w:type="paragraph" w:customStyle="1" w:styleId="CharCharCharChar">
    <w:name w:val="Char Char Char Char"/>
    <w:basedOn w:val="Normal"/>
    <w:rsid w:val="00530BFA"/>
    <w:pPr>
      <w:keepLines w:val="0"/>
      <w:spacing w:before="0" w:after="160" w:line="240" w:lineRule="exact"/>
    </w:pPr>
    <w:rPr>
      <w:rFonts w:ascii="Verdana" w:eastAsia="Times New Roman" w:hAnsi="Verdana"/>
      <w:sz w:val="20"/>
      <w:szCs w:val="24"/>
      <w:lang w:val="en-US"/>
    </w:rPr>
  </w:style>
  <w:style w:type="paragraph" w:customStyle="1" w:styleId="Char">
    <w:name w:val="Char"/>
    <w:basedOn w:val="Normal"/>
    <w:rsid w:val="00B41A2A"/>
    <w:pPr>
      <w:keepLines w:val="0"/>
      <w:spacing w:before="0" w:after="160" w:line="240" w:lineRule="exact"/>
    </w:pPr>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5A4FB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A4FB6"/>
    <w:rPr>
      <w:sz w:val="20"/>
      <w:szCs w:val="20"/>
    </w:rPr>
  </w:style>
  <w:style w:type="character" w:styleId="EndnoteReference">
    <w:name w:val="endnote reference"/>
    <w:basedOn w:val="DefaultParagraphFont"/>
    <w:uiPriority w:val="99"/>
    <w:semiHidden/>
    <w:unhideWhenUsed/>
    <w:rsid w:val="005A4FB6"/>
    <w:rPr>
      <w:vertAlign w:val="superscript"/>
    </w:rPr>
  </w:style>
  <w:style w:type="paragraph" w:customStyle="1" w:styleId="Default">
    <w:name w:val="Default"/>
    <w:rsid w:val="001B2C41"/>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163">
      <w:bodyDiv w:val="1"/>
      <w:marLeft w:val="0"/>
      <w:marRight w:val="0"/>
      <w:marTop w:val="0"/>
      <w:marBottom w:val="0"/>
      <w:divBdr>
        <w:top w:val="none" w:sz="0" w:space="0" w:color="auto"/>
        <w:left w:val="none" w:sz="0" w:space="0" w:color="auto"/>
        <w:bottom w:val="none" w:sz="0" w:space="0" w:color="auto"/>
        <w:right w:val="none" w:sz="0" w:space="0" w:color="auto"/>
      </w:divBdr>
    </w:div>
    <w:div w:id="127819635">
      <w:bodyDiv w:val="1"/>
      <w:marLeft w:val="0"/>
      <w:marRight w:val="0"/>
      <w:marTop w:val="0"/>
      <w:marBottom w:val="0"/>
      <w:divBdr>
        <w:top w:val="none" w:sz="0" w:space="0" w:color="auto"/>
        <w:left w:val="none" w:sz="0" w:space="0" w:color="auto"/>
        <w:bottom w:val="none" w:sz="0" w:space="0" w:color="auto"/>
        <w:right w:val="none" w:sz="0" w:space="0" w:color="auto"/>
      </w:divBdr>
    </w:div>
    <w:div w:id="137311160">
      <w:bodyDiv w:val="1"/>
      <w:marLeft w:val="0"/>
      <w:marRight w:val="0"/>
      <w:marTop w:val="0"/>
      <w:marBottom w:val="0"/>
      <w:divBdr>
        <w:top w:val="none" w:sz="0" w:space="0" w:color="auto"/>
        <w:left w:val="none" w:sz="0" w:space="0" w:color="auto"/>
        <w:bottom w:val="none" w:sz="0" w:space="0" w:color="auto"/>
        <w:right w:val="none" w:sz="0" w:space="0" w:color="auto"/>
      </w:divBdr>
    </w:div>
    <w:div w:id="218709985">
      <w:bodyDiv w:val="1"/>
      <w:marLeft w:val="0"/>
      <w:marRight w:val="0"/>
      <w:marTop w:val="0"/>
      <w:marBottom w:val="0"/>
      <w:divBdr>
        <w:top w:val="none" w:sz="0" w:space="0" w:color="auto"/>
        <w:left w:val="none" w:sz="0" w:space="0" w:color="auto"/>
        <w:bottom w:val="none" w:sz="0" w:space="0" w:color="auto"/>
        <w:right w:val="none" w:sz="0" w:space="0" w:color="auto"/>
      </w:divBdr>
    </w:div>
    <w:div w:id="256716321">
      <w:bodyDiv w:val="1"/>
      <w:marLeft w:val="0"/>
      <w:marRight w:val="0"/>
      <w:marTop w:val="0"/>
      <w:marBottom w:val="0"/>
      <w:divBdr>
        <w:top w:val="none" w:sz="0" w:space="0" w:color="auto"/>
        <w:left w:val="none" w:sz="0" w:space="0" w:color="auto"/>
        <w:bottom w:val="none" w:sz="0" w:space="0" w:color="auto"/>
        <w:right w:val="none" w:sz="0" w:space="0" w:color="auto"/>
      </w:divBdr>
      <w:divsChild>
        <w:div w:id="378624909">
          <w:marLeft w:val="274"/>
          <w:marRight w:val="0"/>
          <w:marTop w:val="20"/>
          <w:marBottom w:val="0"/>
          <w:divBdr>
            <w:top w:val="none" w:sz="0" w:space="0" w:color="auto"/>
            <w:left w:val="none" w:sz="0" w:space="0" w:color="auto"/>
            <w:bottom w:val="none" w:sz="0" w:space="0" w:color="auto"/>
            <w:right w:val="none" w:sz="0" w:space="0" w:color="auto"/>
          </w:divBdr>
        </w:div>
        <w:div w:id="2146501613">
          <w:marLeft w:val="994"/>
          <w:marRight w:val="0"/>
          <w:marTop w:val="20"/>
          <w:marBottom w:val="0"/>
          <w:divBdr>
            <w:top w:val="none" w:sz="0" w:space="0" w:color="auto"/>
            <w:left w:val="none" w:sz="0" w:space="0" w:color="auto"/>
            <w:bottom w:val="none" w:sz="0" w:space="0" w:color="auto"/>
            <w:right w:val="none" w:sz="0" w:space="0" w:color="auto"/>
          </w:divBdr>
        </w:div>
        <w:div w:id="1077508735">
          <w:marLeft w:val="994"/>
          <w:marRight w:val="0"/>
          <w:marTop w:val="20"/>
          <w:marBottom w:val="0"/>
          <w:divBdr>
            <w:top w:val="none" w:sz="0" w:space="0" w:color="auto"/>
            <w:left w:val="none" w:sz="0" w:space="0" w:color="auto"/>
            <w:bottom w:val="none" w:sz="0" w:space="0" w:color="auto"/>
            <w:right w:val="none" w:sz="0" w:space="0" w:color="auto"/>
          </w:divBdr>
        </w:div>
        <w:div w:id="673261863">
          <w:marLeft w:val="274"/>
          <w:marRight w:val="0"/>
          <w:marTop w:val="20"/>
          <w:marBottom w:val="0"/>
          <w:divBdr>
            <w:top w:val="none" w:sz="0" w:space="0" w:color="auto"/>
            <w:left w:val="none" w:sz="0" w:space="0" w:color="auto"/>
            <w:bottom w:val="none" w:sz="0" w:space="0" w:color="auto"/>
            <w:right w:val="none" w:sz="0" w:space="0" w:color="auto"/>
          </w:divBdr>
        </w:div>
        <w:div w:id="1210413653">
          <w:marLeft w:val="274"/>
          <w:marRight w:val="0"/>
          <w:marTop w:val="20"/>
          <w:marBottom w:val="0"/>
          <w:divBdr>
            <w:top w:val="none" w:sz="0" w:space="0" w:color="auto"/>
            <w:left w:val="none" w:sz="0" w:space="0" w:color="auto"/>
            <w:bottom w:val="none" w:sz="0" w:space="0" w:color="auto"/>
            <w:right w:val="none" w:sz="0" w:space="0" w:color="auto"/>
          </w:divBdr>
        </w:div>
        <w:div w:id="598686010">
          <w:marLeft w:val="274"/>
          <w:marRight w:val="0"/>
          <w:marTop w:val="20"/>
          <w:marBottom w:val="0"/>
          <w:divBdr>
            <w:top w:val="none" w:sz="0" w:space="0" w:color="auto"/>
            <w:left w:val="none" w:sz="0" w:space="0" w:color="auto"/>
            <w:bottom w:val="none" w:sz="0" w:space="0" w:color="auto"/>
            <w:right w:val="none" w:sz="0" w:space="0" w:color="auto"/>
          </w:divBdr>
        </w:div>
        <w:div w:id="779765535">
          <w:marLeft w:val="274"/>
          <w:marRight w:val="0"/>
          <w:marTop w:val="20"/>
          <w:marBottom w:val="0"/>
          <w:divBdr>
            <w:top w:val="none" w:sz="0" w:space="0" w:color="auto"/>
            <w:left w:val="none" w:sz="0" w:space="0" w:color="auto"/>
            <w:bottom w:val="none" w:sz="0" w:space="0" w:color="auto"/>
            <w:right w:val="none" w:sz="0" w:space="0" w:color="auto"/>
          </w:divBdr>
        </w:div>
      </w:divsChild>
    </w:div>
    <w:div w:id="263346742">
      <w:bodyDiv w:val="1"/>
      <w:marLeft w:val="0"/>
      <w:marRight w:val="0"/>
      <w:marTop w:val="0"/>
      <w:marBottom w:val="0"/>
      <w:divBdr>
        <w:top w:val="none" w:sz="0" w:space="0" w:color="auto"/>
        <w:left w:val="none" w:sz="0" w:space="0" w:color="auto"/>
        <w:bottom w:val="none" w:sz="0" w:space="0" w:color="auto"/>
        <w:right w:val="none" w:sz="0" w:space="0" w:color="auto"/>
      </w:divBdr>
    </w:div>
    <w:div w:id="275598447">
      <w:bodyDiv w:val="1"/>
      <w:marLeft w:val="0"/>
      <w:marRight w:val="0"/>
      <w:marTop w:val="0"/>
      <w:marBottom w:val="0"/>
      <w:divBdr>
        <w:top w:val="none" w:sz="0" w:space="0" w:color="auto"/>
        <w:left w:val="none" w:sz="0" w:space="0" w:color="auto"/>
        <w:bottom w:val="none" w:sz="0" w:space="0" w:color="auto"/>
        <w:right w:val="none" w:sz="0" w:space="0" w:color="auto"/>
      </w:divBdr>
    </w:div>
    <w:div w:id="276371216">
      <w:bodyDiv w:val="1"/>
      <w:marLeft w:val="0"/>
      <w:marRight w:val="0"/>
      <w:marTop w:val="0"/>
      <w:marBottom w:val="0"/>
      <w:divBdr>
        <w:top w:val="none" w:sz="0" w:space="0" w:color="auto"/>
        <w:left w:val="none" w:sz="0" w:space="0" w:color="auto"/>
        <w:bottom w:val="none" w:sz="0" w:space="0" w:color="auto"/>
        <w:right w:val="none" w:sz="0" w:space="0" w:color="auto"/>
      </w:divBdr>
    </w:div>
    <w:div w:id="302929404">
      <w:bodyDiv w:val="1"/>
      <w:marLeft w:val="0"/>
      <w:marRight w:val="0"/>
      <w:marTop w:val="0"/>
      <w:marBottom w:val="0"/>
      <w:divBdr>
        <w:top w:val="none" w:sz="0" w:space="0" w:color="auto"/>
        <w:left w:val="none" w:sz="0" w:space="0" w:color="auto"/>
        <w:bottom w:val="none" w:sz="0" w:space="0" w:color="auto"/>
        <w:right w:val="none" w:sz="0" w:space="0" w:color="auto"/>
      </w:divBdr>
    </w:div>
    <w:div w:id="318849195">
      <w:bodyDiv w:val="1"/>
      <w:marLeft w:val="0"/>
      <w:marRight w:val="0"/>
      <w:marTop w:val="0"/>
      <w:marBottom w:val="0"/>
      <w:divBdr>
        <w:top w:val="none" w:sz="0" w:space="0" w:color="auto"/>
        <w:left w:val="none" w:sz="0" w:space="0" w:color="auto"/>
        <w:bottom w:val="none" w:sz="0" w:space="0" w:color="auto"/>
        <w:right w:val="none" w:sz="0" w:space="0" w:color="auto"/>
      </w:divBdr>
    </w:div>
    <w:div w:id="321080207">
      <w:bodyDiv w:val="1"/>
      <w:marLeft w:val="0"/>
      <w:marRight w:val="0"/>
      <w:marTop w:val="0"/>
      <w:marBottom w:val="0"/>
      <w:divBdr>
        <w:top w:val="none" w:sz="0" w:space="0" w:color="auto"/>
        <w:left w:val="none" w:sz="0" w:space="0" w:color="auto"/>
        <w:bottom w:val="none" w:sz="0" w:space="0" w:color="auto"/>
        <w:right w:val="none" w:sz="0" w:space="0" w:color="auto"/>
      </w:divBdr>
    </w:div>
    <w:div w:id="341902722">
      <w:bodyDiv w:val="1"/>
      <w:marLeft w:val="0"/>
      <w:marRight w:val="0"/>
      <w:marTop w:val="0"/>
      <w:marBottom w:val="0"/>
      <w:divBdr>
        <w:top w:val="none" w:sz="0" w:space="0" w:color="auto"/>
        <w:left w:val="none" w:sz="0" w:space="0" w:color="auto"/>
        <w:bottom w:val="none" w:sz="0" w:space="0" w:color="auto"/>
        <w:right w:val="none" w:sz="0" w:space="0" w:color="auto"/>
      </w:divBdr>
      <w:divsChild>
        <w:div w:id="159582706">
          <w:marLeft w:val="274"/>
          <w:marRight w:val="0"/>
          <w:marTop w:val="20"/>
          <w:marBottom w:val="0"/>
          <w:divBdr>
            <w:top w:val="none" w:sz="0" w:space="0" w:color="auto"/>
            <w:left w:val="none" w:sz="0" w:space="0" w:color="auto"/>
            <w:bottom w:val="none" w:sz="0" w:space="0" w:color="auto"/>
            <w:right w:val="none" w:sz="0" w:space="0" w:color="auto"/>
          </w:divBdr>
        </w:div>
        <w:div w:id="2083289507">
          <w:marLeft w:val="994"/>
          <w:marRight w:val="0"/>
          <w:marTop w:val="20"/>
          <w:marBottom w:val="0"/>
          <w:divBdr>
            <w:top w:val="none" w:sz="0" w:space="0" w:color="auto"/>
            <w:left w:val="none" w:sz="0" w:space="0" w:color="auto"/>
            <w:bottom w:val="none" w:sz="0" w:space="0" w:color="auto"/>
            <w:right w:val="none" w:sz="0" w:space="0" w:color="auto"/>
          </w:divBdr>
        </w:div>
        <w:div w:id="865101058">
          <w:marLeft w:val="994"/>
          <w:marRight w:val="0"/>
          <w:marTop w:val="20"/>
          <w:marBottom w:val="0"/>
          <w:divBdr>
            <w:top w:val="none" w:sz="0" w:space="0" w:color="auto"/>
            <w:left w:val="none" w:sz="0" w:space="0" w:color="auto"/>
            <w:bottom w:val="none" w:sz="0" w:space="0" w:color="auto"/>
            <w:right w:val="none" w:sz="0" w:space="0" w:color="auto"/>
          </w:divBdr>
        </w:div>
        <w:div w:id="207227775">
          <w:marLeft w:val="274"/>
          <w:marRight w:val="0"/>
          <w:marTop w:val="20"/>
          <w:marBottom w:val="0"/>
          <w:divBdr>
            <w:top w:val="none" w:sz="0" w:space="0" w:color="auto"/>
            <w:left w:val="none" w:sz="0" w:space="0" w:color="auto"/>
            <w:bottom w:val="none" w:sz="0" w:space="0" w:color="auto"/>
            <w:right w:val="none" w:sz="0" w:space="0" w:color="auto"/>
          </w:divBdr>
        </w:div>
        <w:div w:id="759985456">
          <w:marLeft w:val="274"/>
          <w:marRight w:val="0"/>
          <w:marTop w:val="20"/>
          <w:marBottom w:val="0"/>
          <w:divBdr>
            <w:top w:val="none" w:sz="0" w:space="0" w:color="auto"/>
            <w:left w:val="none" w:sz="0" w:space="0" w:color="auto"/>
            <w:bottom w:val="none" w:sz="0" w:space="0" w:color="auto"/>
            <w:right w:val="none" w:sz="0" w:space="0" w:color="auto"/>
          </w:divBdr>
        </w:div>
        <w:div w:id="1788311685">
          <w:marLeft w:val="274"/>
          <w:marRight w:val="0"/>
          <w:marTop w:val="20"/>
          <w:marBottom w:val="0"/>
          <w:divBdr>
            <w:top w:val="none" w:sz="0" w:space="0" w:color="auto"/>
            <w:left w:val="none" w:sz="0" w:space="0" w:color="auto"/>
            <w:bottom w:val="none" w:sz="0" w:space="0" w:color="auto"/>
            <w:right w:val="none" w:sz="0" w:space="0" w:color="auto"/>
          </w:divBdr>
        </w:div>
        <w:div w:id="2131244603">
          <w:marLeft w:val="274"/>
          <w:marRight w:val="0"/>
          <w:marTop w:val="20"/>
          <w:marBottom w:val="0"/>
          <w:divBdr>
            <w:top w:val="none" w:sz="0" w:space="0" w:color="auto"/>
            <w:left w:val="none" w:sz="0" w:space="0" w:color="auto"/>
            <w:bottom w:val="none" w:sz="0" w:space="0" w:color="auto"/>
            <w:right w:val="none" w:sz="0" w:space="0" w:color="auto"/>
          </w:divBdr>
        </w:div>
      </w:divsChild>
    </w:div>
    <w:div w:id="386491823">
      <w:bodyDiv w:val="1"/>
      <w:marLeft w:val="0"/>
      <w:marRight w:val="0"/>
      <w:marTop w:val="0"/>
      <w:marBottom w:val="0"/>
      <w:divBdr>
        <w:top w:val="none" w:sz="0" w:space="0" w:color="auto"/>
        <w:left w:val="none" w:sz="0" w:space="0" w:color="auto"/>
        <w:bottom w:val="none" w:sz="0" w:space="0" w:color="auto"/>
        <w:right w:val="none" w:sz="0" w:space="0" w:color="auto"/>
      </w:divBdr>
    </w:div>
    <w:div w:id="516315508">
      <w:bodyDiv w:val="1"/>
      <w:marLeft w:val="0"/>
      <w:marRight w:val="0"/>
      <w:marTop w:val="0"/>
      <w:marBottom w:val="0"/>
      <w:divBdr>
        <w:top w:val="none" w:sz="0" w:space="0" w:color="auto"/>
        <w:left w:val="none" w:sz="0" w:space="0" w:color="auto"/>
        <w:bottom w:val="none" w:sz="0" w:space="0" w:color="auto"/>
        <w:right w:val="none" w:sz="0" w:space="0" w:color="auto"/>
      </w:divBdr>
    </w:div>
    <w:div w:id="559554624">
      <w:bodyDiv w:val="1"/>
      <w:marLeft w:val="0"/>
      <w:marRight w:val="0"/>
      <w:marTop w:val="0"/>
      <w:marBottom w:val="0"/>
      <w:divBdr>
        <w:top w:val="none" w:sz="0" w:space="0" w:color="auto"/>
        <w:left w:val="none" w:sz="0" w:space="0" w:color="auto"/>
        <w:bottom w:val="none" w:sz="0" w:space="0" w:color="auto"/>
        <w:right w:val="none" w:sz="0" w:space="0" w:color="auto"/>
      </w:divBdr>
    </w:div>
    <w:div w:id="575283335">
      <w:bodyDiv w:val="1"/>
      <w:marLeft w:val="0"/>
      <w:marRight w:val="0"/>
      <w:marTop w:val="0"/>
      <w:marBottom w:val="0"/>
      <w:divBdr>
        <w:top w:val="none" w:sz="0" w:space="0" w:color="auto"/>
        <w:left w:val="none" w:sz="0" w:space="0" w:color="auto"/>
        <w:bottom w:val="none" w:sz="0" w:space="0" w:color="auto"/>
        <w:right w:val="none" w:sz="0" w:space="0" w:color="auto"/>
      </w:divBdr>
    </w:div>
    <w:div w:id="718287108">
      <w:bodyDiv w:val="1"/>
      <w:marLeft w:val="0"/>
      <w:marRight w:val="0"/>
      <w:marTop w:val="0"/>
      <w:marBottom w:val="0"/>
      <w:divBdr>
        <w:top w:val="none" w:sz="0" w:space="0" w:color="auto"/>
        <w:left w:val="none" w:sz="0" w:space="0" w:color="auto"/>
        <w:bottom w:val="none" w:sz="0" w:space="0" w:color="auto"/>
        <w:right w:val="none" w:sz="0" w:space="0" w:color="auto"/>
      </w:divBdr>
    </w:div>
    <w:div w:id="754664260">
      <w:bodyDiv w:val="1"/>
      <w:marLeft w:val="0"/>
      <w:marRight w:val="0"/>
      <w:marTop w:val="0"/>
      <w:marBottom w:val="0"/>
      <w:divBdr>
        <w:top w:val="none" w:sz="0" w:space="0" w:color="auto"/>
        <w:left w:val="none" w:sz="0" w:space="0" w:color="auto"/>
        <w:bottom w:val="none" w:sz="0" w:space="0" w:color="auto"/>
        <w:right w:val="none" w:sz="0" w:space="0" w:color="auto"/>
      </w:divBdr>
    </w:div>
    <w:div w:id="761343689">
      <w:bodyDiv w:val="1"/>
      <w:marLeft w:val="0"/>
      <w:marRight w:val="0"/>
      <w:marTop w:val="0"/>
      <w:marBottom w:val="0"/>
      <w:divBdr>
        <w:top w:val="none" w:sz="0" w:space="0" w:color="auto"/>
        <w:left w:val="none" w:sz="0" w:space="0" w:color="auto"/>
        <w:bottom w:val="none" w:sz="0" w:space="0" w:color="auto"/>
        <w:right w:val="none" w:sz="0" w:space="0" w:color="auto"/>
      </w:divBdr>
    </w:div>
    <w:div w:id="773356869">
      <w:bodyDiv w:val="1"/>
      <w:marLeft w:val="0"/>
      <w:marRight w:val="0"/>
      <w:marTop w:val="0"/>
      <w:marBottom w:val="0"/>
      <w:divBdr>
        <w:top w:val="none" w:sz="0" w:space="0" w:color="auto"/>
        <w:left w:val="none" w:sz="0" w:space="0" w:color="auto"/>
        <w:bottom w:val="none" w:sz="0" w:space="0" w:color="auto"/>
        <w:right w:val="none" w:sz="0" w:space="0" w:color="auto"/>
      </w:divBdr>
    </w:div>
    <w:div w:id="792091620">
      <w:bodyDiv w:val="1"/>
      <w:marLeft w:val="0"/>
      <w:marRight w:val="0"/>
      <w:marTop w:val="0"/>
      <w:marBottom w:val="0"/>
      <w:divBdr>
        <w:top w:val="none" w:sz="0" w:space="0" w:color="auto"/>
        <w:left w:val="none" w:sz="0" w:space="0" w:color="auto"/>
        <w:bottom w:val="none" w:sz="0" w:space="0" w:color="auto"/>
        <w:right w:val="none" w:sz="0" w:space="0" w:color="auto"/>
      </w:divBdr>
    </w:div>
    <w:div w:id="796029446">
      <w:bodyDiv w:val="1"/>
      <w:marLeft w:val="0"/>
      <w:marRight w:val="0"/>
      <w:marTop w:val="0"/>
      <w:marBottom w:val="0"/>
      <w:divBdr>
        <w:top w:val="none" w:sz="0" w:space="0" w:color="auto"/>
        <w:left w:val="none" w:sz="0" w:space="0" w:color="auto"/>
        <w:bottom w:val="none" w:sz="0" w:space="0" w:color="auto"/>
        <w:right w:val="none" w:sz="0" w:space="0" w:color="auto"/>
      </w:divBdr>
      <w:divsChild>
        <w:div w:id="172764745">
          <w:marLeft w:val="446"/>
          <w:marRight w:val="0"/>
          <w:marTop w:val="20"/>
          <w:marBottom w:val="0"/>
          <w:divBdr>
            <w:top w:val="none" w:sz="0" w:space="0" w:color="auto"/>
            <w:left w:val="none" w:sz="0" w:space="0" w:color="auto"/>
            <w:bottom w:val="none" w:sz="0" w:space="0" w:color="auto"/>
            <w:right w:val="none" w:sz="0" w:space="0" w:color="auto"/>
          </w:divBdr>
        </w:div>
        <w:div w:id="237836716">
          <w:marLeft w:val="446"/>
          <w:marRight w:val="0"/>
          <w:marTop w:val="20"/>
          <w:marBottom w:val="0"/>
          <w:divBdr>
            <w:top w:val="none" w:sz="0" w:space="0" w:color="auto"/>
            <w:left w:val="none" w:sz="0" w:space="0" w:color="auto"/>
            <w:bottom w:val="none" w:sz="0" w:space="0" w:color="auto"/>
            <w:right w:val="none" w:sz="0" w:space="0" w:color="auto"/>
          </w:divBdr>
        </w:div>
        <w:div w:id="234750273">
          <w:marLeft w:val="1166"/>
          <w:marRight w:val="0"/>
          <w:marTop w:val="20"/>
          <w:marBottom w:val="0"/>
          <w:divBdr>
            <w:top w:val="none" w:sz="0" w:space="0" w:color="auto"/>
            <w:left w:val="none" w:sz="0" w:space="0" w:color="auto"/>
            <w:bottom w:val="none" w:sz="0" w:space="0" w:color="auto"/>
            <w:right w:val="none" w:sz="0" w:space="0" w:color="auto"/>
          </w:divBdr>
        </w:div>
        <w:div w:id="1682396925">
          <w:marLeft w:val="1166"/>
          <w:marRight w:val="0"/>
          <w:marTop w:val="20"/>
          <w:marBottom w:val="0"/>
          <w:divBdr>
            <w:top w:val="none" w:sz="0" w:space="0" w:color="auto"/>
            <w:left w:val="none" w:sz="0" w:space="0" w:color="auto"/>
            <w:bottom w:val="none" w:sz="0" w:space="0" w:color="auto"/>
            <w:right w:val="none" w:sz="0" w:space="0" w:color="auto"/>
          </w:divBdr>
        </w:div>
        <w:div w:id="177622630">
          <w:marLeft w:val="1166"/>
          <w:marRight w:val="0"/>
          <w:marTop w:val="20"/>
          <w:marBottom w:val="0"/>
          <w:divBdr>
            <w:top w:val="none" w:sz="0" w:space="0" w:color="auto"/>
            <w:left w:val="none" w:sz="0" w:space="0" w:color="auto"/>
            <w:bottom w:val="none" w:sz="0" w:space="0" w:color="auto"/>
            <w:right w:val="none" w:sz="0" w:space="0" w:color="auto"/>
          </w:divBdr>
        </w:div>
      </w:divsChild>
    </w:div>
    <w:div w:id="807938389">
      <w:bodyDiv w:val="1"/>
      <w:marLeft w:val="0"/>
      <w:marRight w:val="0"/>
      <w:marTop w:val="0"/>
      <w:marBottom w:val="0"/>
      <w:divBdr>
        <w:top w:val="none" w:sz="0" w:space="0" w:color="auto"/>
        <w:left w:val="none" w:sz="0" w:space="0" w:color="auto"/>
        <w:bottom w:val="none" w:sz="0" w:space="0" w:color="auto"/>
        <w:right w:val="none" w:sz="0" w:space="0" w:color="auto"/>
      </w:divBdr>
    </w:div>
    <w:div w:id="846096866">
      <w:bodyDiv w:val="1"/>
      <w:marLeft w:val="0"/>
      <w:marRight w:val="0"/>
      <w:marTop w:val="0"/>
      <w:marBottom w:val="0"/>
      <w:divBdr>
        <w:top w:val="none" w:sz="0" w:space="0" w:color="auto"/>
        <w:left w:val="none" w:sz="0" w:space="0" w:color="auto"/>
        <w:bottom w:val="none" w:sz="0" w:space="0" w:color="auto"/>
        <w:right w:val="none" w:sz="0" w:space="0" w:color="auto"/>
      </w:divBdr>
    </w:div>
    <w:div w:id="857475508">
      <w:bodyDiv w:val="1"/>
      <w:marLeft w:val="0"/>
      <w:marRight w:val="0"/>
      <w:marTop w:val="0"/>
      <w:marBottom w:val="0"/>
      <w:divBdr>
        <w:top w:val="none" w:sz="0" w:space="0" w:color="auto"/>
        <w:left w:val="none" w:sz="0" w:space="0" w:color="auto"/>
        <w:bottom w:val="none" w:sz="0" w:space="0" w:color="auto"/>
        <w:right w:val="none" w:sz="0" w:space="0" w:color="auto"/>
      </w:divBdr>
    </w:div>
    <w:div w:id="863983315">
      <w:bodyDiv w:val="1"/>
      <w:marLeft w:val="0"/>
      <w:marRight w:val="0"/>
      <w:marTop w:val="0"/>
      <w:marBottom w:val="0"/>
      <w:divBdr>
        <w:top w:val="none" w:sz="0" w:space="0" w:color="auto"/>
        <w:left w:val="none" w:sz="0" w:space="0" w:color="auto"/>
        <w:bottom w:val="none" w:sz="0" w:space="0" w:color="auto"/>
        <w:right w:val="none" w:sz="0" w:space="0" w:color="auto"/>
      </w:divBdr>
    </w:div>
    <w:div w:id="873806961">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994138633">
      <w:bodyDiv w:val="1"/>
      <w:marLeft w:val="0"/>
      <w:marRight w:val="0"/>
      <w:marTop w:val="0"/>
      <w:marBottom w:val="0"/>
      <w:divBdr>
        <w:top w:val="none" w:sz="0" w:space="0" w:color="auto"/>
        <w:left w:val="none" w:sz="0" w:space="0" w:color="auto"/>
        <w:bottom w:val="none" w:sz="0" w:space="0" w:color="auto"/>
        <w:right w:val="none" w:sz="0" w:space="0" w:color="auto"/>
      </w:divBdr>
    </w:div>
    <w:div w:id="1052924494">
      <w:bodyDiv w:val="1"/>
      <w:marLeft w:val="0"/>
      <w:marRight w:val="0"/>
      <w:marTop w:val="0"/>
      <w:marBottom w:val="0"/>
      <w:divBdr>
        <w:top w:val="none" w:sz="0" w:space="0" w:color="auto"/>
        <w:left w:val="none" w:sz="0" w:space="0" w:color="auto"/>
        <w:bottom w:val="none" w:sz="0" w:space="0" w:color="auto"/>
        <w:right w:val="none" w:sz="0" w:space="0" w:color="auto"/>
      </w:divBdr>
    </w:div>
    <w:div w:id="1122649885">
      <w:bodyDiv w:val="1"/>
      <w:marLeft w:val="0"/>
      <w:marRight w:val="0"/>
      <w:marTop w:val="0"/>
      <w:marBottom w:val="0"/>
      <w:divBdr>
        <w:top w:val="none" w:sz="0" w:space="0" w:color="auto"/>
        <w:left w:val="none" w:sz="0" w:space="0" w:color="auto"/>
        <w:bottom w:val="none" w:sz="0" w:space="0" w:color="auto"/>
        <w:right w:val="none" w:sz="0" w:space="0" w:color="auto"/>
      </w:divBdr>
    </w:div>
    <w:div w:id="1150487932">
      <w:bodyDiv w:val="1"/>
      <w:marLeft w:val="0"/>
      <w:marRight w:val="0"/>
      <w:marTop w:val="0"/>
      <w:marBottom w:val="0"/>
      <w:divBdr>
        <w:top w:val="none" w:sz="0" w:space="0" w:color="auto"/>
        <w:left w:val="none" w:sz="0" w:space="0" w:color="auto"/>
        <w:bottom w:val="none" w:sz="0" w:space="0" w:color="auto"/>
        <w:right w:val="none" w:sz="0" w:space="0" w:color="auto"/>
      </w:divBdr>
    </w:div>
    <w:div w:id="1346711986">
      <w:bodyDiv w:val="1"/>
      <w:marLeft w:val="0"/>
      <w:marRight w:val="0"/>
      <w:marTop w:val="0"/>
      <w:marBottom w:val="0"/>
      <w:divBdr>
        <w:top w:val="none" w:sz="0" w:space="0" w:color="auto"/>
        <w:left w:val="none" w:sz="0" w:space="0" w:color="auto"/>
        <w:bottom w:val="none" w:sz="0" w:space="0" w:color="auto"/>
        <w:right w:val="none" w:sz="0" w:space="0" w:color="auto"/>
      </w:divBdr>
    </w:div>
    <w:div w:id="1356883321">
      <w:bodyDiv w:val="1"/>
      <w:marLeft w:val="0"/>
      <w:marRight w:val="0"/>
      <w:marTop w:val="0"/>
      <w:marBottom w:val="0"/>
      <w:divBdr>
        <w:top w:val="none" w:sz="0" w:space="0" w:color="auto"/>
        <w:left w:val="none" w:sz="0" w:space="0" w:color="auto"/>
        <w:bottom w:val="none" w:sz="0" w:space="0" w:color="auto"/>
        <w:right w:val="none" w:sz="0" w:space="0" w:color="auto"/>
      </w:divBdr>
    </w:div>
    <w:div w:id="1364135259">
      <w:bodyDiv w:val="1"/>
      <w:marLeft w:val="0"/>
      <w:marRight w:val="0"/>
      <w:marTop w:val="0"/>
      <w:marBottom w:val="0"/>
      <w:divBdr>
        <w:top w:val="none" w:sz="0" w:space="0" w:color="auto"/>
        <w:left w:val="none" w:sz="0" w:space="0" w:color="auto"/>
        <w:bottom w:val="none" w:sz="0" w:space="0" w:color="auto"/>
        <w:right w:val="none" w:sz="0" w:space="0" w:color="auto"/>
      </w:divBdr>
    </w:div>
    <w:div w:id="1365980521">
      <w:bodyDiv w:val="1"/>
      <w:marLeft w:val="0"/>
      <w:marRight w:val="0"/>
      <w:marTop w:val="0"/>
      <w:marBottom w:val="0"/>
      <w:divBdr>
        <w:top w:val="none" w:sz="0" w:space="0" w:color="auto"/>
        <w:left w:val="none" w:sz="0" w:space="0" w:color="auto"/>
        <w:bottom w:val="none" w:sz="0" w:space="0" w:color="auto"/>
        <w:right w:val="none" w:sz="0" w:space="0" w:color="auto"/>
      </w:divBdr>
    </w:div>
    <w:div w:id="1381438685">
      <w:bodyDiv w:val="1"/>
      <w:marLeft w:val="0"/>
      <w:marRight w:val="0"/>
      <w:marTop w:val="0"/>
      <w:marBottom w:val="0"/>
      <w:divBdr>
        <w:top w:val="none" w:sz="0" w:space="0" w:color="auto"/>
        <w:left w:val="none" w:sz="0" w:space="0" w:color="auto"/>
        <w:bottom w:val="none" w:sz="0" w:space="0" w:color="auto"/>
        <w:right w:val="none" w:sz="0" w:space="0" w:color="auto"/>
      </w:divBdr>
    </w:div>
    <w:div w:id="1450734583">
      <w:bodyDiv w:val="1"/>
      <w:marLeft w:val="0"/>
      <w:marRight w:val="0"/>
      <w:marTop w:val="0"/>
      <w:marBottom w:val="0"/>
      <w:divBdr>
        <w:top w:val="none" w:sz="0" w:space="0" w:color="auto"/>
        <w:left w:val="none" w:sz="0" w:space="0" w:color="auto"/>
        <w:bottom w:val="none" w:sz="0" w:space="0" w:color="auto"/>
        <w:right w:val="none" w:sz="0" w:space="0" w:color="auto"/>
      </w:divBdr>
      <w:divsChild>
        <w:div w:id="468791296">
          <w:marLeft w:val="274"/>
          <w:marRight w:val="0"/>
          <w:marTop w:val="20"/>
          <w:marBottom w:val="0"/>
          <w:divBdr>
            <w:top w:val="none" w:sz="0" w:space="0" w:color="auto"/>
            <w:left w:val="none" w:sz="0" w:space="0" w:color="auto"/>
            <w:bottom w:val="none" w:sz="0" w:space="0" w:color="auto"/>
            <w:right w:val="none" w:sz="0" w:space="0" w:color="auto"/>
          </w:divBdr>
        </w:div>
        <w:div w:id="148253071">
          <w:marLeft w:val="994"/>
          <w:marRight w:val="0"/>
          <w:marTop w:val="20"/>
          <w:marBottom w:val="0"/>
          <w:divBdr>
            <w:top w:val="none" w:sz="0" w:space="0" w:color="auto"/>
            <w:left w:val="none" w:sz="0" w:space="0" w:color="auto"/>
            <w:bottom w:val="none" w:sz="0" w:space="0" w:color="auto"/>
            <w:right w:val="none" w:sz="0" w:space="0" w:color="auto"/>
          </w:divBdr>
        </w:div>
        <w:div w:id="1051730521">
          <w:marLeft w:val="994"/>
          <w:marRight w:val="0"/>
          <w:marTop w:val="20"/>
          <w:marBottom w:val="0"/>
          <w:divBdr>
            <w:top w:val="none" w:sz="0" w:space="0" w:color="auto"/>
            <w:left w:val="none" w:sz="0" w:space="0" w:color="auto"/>
            <w:bottom w:val="none" w:sz="0" w:space="0" w:color="auto"/>
            <w:right w:val="none" w:sz="0" w:space="0" w:color="auto"/>
          </w:divBdr>
        </w:div>
        <w:div w:id="1818953896">
          <w:marLeft w:val="994"/>
          <w:marRight w:val="0"/>
          <w:marTop w:val="20"/>
          <w:marBottom w:val="0"/>
          <w:divBdr>
            <w:top w:val="none" w:sz="0" w:space="0" w:color="auto"/>
            <w:left w:val="none" w:sz="0" w:space="0" w:color="auto"/>
            <w:bottom w:val="none" w:sz="0" w:space="0" w:color="auto"/>
            <w:right w:val="none" w:sz="0" w:space="0" w:color="auto"/>
          </w:divBdr>
        </w:div>
        <w:div w:id="1293051521">
          <w:marLeft w:val="274"/>
          <w:marRight w:val="0"/>
          <w:marTop w:val="20"/>
          <w:marBottom w:val="0"/>
          <w:divBdr>
            <w:top w:val="none" w:sz="0" w:space="0" w:color="auto"/>
            <w:left w:val="none" w:sz="0" w:space="0" w:color="auto"/>
            <w:bottom w:val="none" w:sz="0" w:space="0" w:color="auto"/>
            <w:right w:val="none" w:sz="0" w:space="0" w:color="auto"/>
          </w:divBdr>
        </w:div>
        <w:div w:id="1946844147">
          <w:marLeft w:val="274"/>
          <w:marRight w:val="0"/>
          <w:marTop w:val="20"/>
          <w:marBottom w:val="0"/>
          <w:divBdr>
            <w:top w:val="none" w:sz="0" w:space="0" w:color="auto"/>
            <w:left w:val="none" w:sz="0" w:space="0" w:color="auto"/>
            <w:bottom w:val="none" w:sz="0" w:space="0" w:color="auto"/>
            <w:right w:val="none" w:sz="0" w:space="0" w:color="auto"/>
          </w:divBdr>
        </w:div>
      </w:divsChild>
    </w:div>
    <w:div w:id="1490514976">
      <w:bodyDiv w:val="1"/>
      <w:marLeft w:val="0"/>
      <w:marRight w:val="0"/>
      <w:marTop w:val="0"/>
      <w:marBottom w:val="0"/>
      <w:divBdr>
        <w:top w:val="none" w:sz="0" w:space="0" w:color="auto"/>
        <w:left w:val="none" w:sz="0" w:space="0" w:color="auto"/>
        <w:bottom w:val="none" w:sz="0" w:space="0" w:color="auto"/>
        <w:right w:val="none" w:sz="0" w:space="0" w:color="auto"/>
      </w:divBdr>
    </w:div>
    <w:div w:id="1567838012">
      <w:bodyDiv w:val="1"/>
      <w:marLeft w:val="0"/>
      <w:marRight w:val="0"/>
      <w:marTop w:val="0"/>
      <w:marBottom w:val="0"/>
      <w:divBdr>
        <w:top w:val="none" w:sz="0" w:space="0" w:color="auto"/>
        <w:left w:val="none" w:sz="0" w:space="0" w:color="auto"/>
        <w:bottom w:val="none" w:sz="0" w:space="0" w:color="auto"/>
        <w:right w:val="none" w:sz="0" w:space="0" w:color="auto"/>
      </w:divBdr>
    </w:div>
    <w:div w:id="1584144275">
      <w:bodyDiv w:val="1"/>
      <w:marLeft w:val="0"/>
      <w:marRight w:val="0"/>
      <w:marTop w:val="0"/>
      <w:marBottom w:val="0"/>
      <w:divBdr>
        <w:top w:val="none" w:sz="0" w:space="0" w:color="auto"/>
        <w:left w:val="none" w:sz="0" w:space="0" w:color="auto"/>
        <w:bottom w:val="none" w:sz="0" w:space="0" w:color="auto"/>
        <w:right w:val="none" w:sz="0" w:space="0" w:color="auto"/>
      </w:divBdr>
    </w:div>
    <w:div w:id="1613897478">
      <w:bodyDiv w:val="1"/>
      <w:marLeft w:val="0"/>
      <w:marRight w:val="0"/>
      <w:marTop w:val="0"/>
      <w:marBottom w:val="0"/>
      <w:divBdr>
        <w:top w:val="none" w:sz="0" w:space="0" w:color="auto"/>
        <w:left w:val="none" w:sz="0" w:space="0" w:color="auto"/>
        <w:bottom w:val="none" w:sz="0" w:space="0" w:color="auto"/>
        <w:right w:val="none" w:sz="0" w:space="0" w:color="auto"/>
      </w:divBdr>
    </w:div>
    <w:div w:id="1637956292">
      <w:bodyDiv w:val="1"/>
      <w:marLeft w:val="0"/>
      <w:marRight w:val="0"/>
      <w:marTop w:val="0"/>
      <w:marBottom w:val="0"/>
      <w:divBdr>
        <w:top w:val="none" w:sz="0" w:space="0" w:color="auto"/>
        <w:left w:val="none" w:sz="0" w:space="0" w:color="auto"/>
        <w:bottom w:val="none" w:sz="0" w:space="0" w:color="auto"/>
        <w:right w:val="none" w:sz="0" w:space="0" w:color="auto"/>
      </w:divBdr>
    </w:div>
    <w:div w:id="1780028912">
      <w:bodyDiv w:val="1"/>
      <w:marLeft w:val="0"/>
      <w:marRight w:val="0"/>
      <w:marTop w:val="0"/>
      <w:marBottom w:val="0"/>
      <w:divBdr>
        <w:top w:val="none" w:sz="0" w:space="0" w:color="auto"/>
        <w:left w:val="none" w:sz="0" w:space="0" w:color="auto"/>
        <w:bottom w:val="none" w:sz="0" w:space="0" w:color="auto"/>
        <w:right w:val="none" w:sz="0" w:space="0" w:color="auto"/>
      </w:divBdr>
    </w:div>
    <w:div w:id="1814789997">
      <w:bodyDiv w:val="1"/>
      <w:marLeft w:val="0"/>
      <w:marRight w:val="0"/>
      <w:marTop w:val="0"/>
      <w:marBottom w:val="0"/>
      <w:divBdr>
        <w:top w:val="none" w:sz="0" w:space="0" w:color="auto"/>
        <w:left w:val="none" w:sz="0" w:space="0" w:color="auto"/>
        <w:bottom w:val="none" w:sz="0" w:space="0" w:color="auto"/>
        <w:right w:val="none" w:sz="0" w:space="0" w:color="auto"/>
      </w:divBdr>
    </w:div>
    <w:div w:id="1860309151">
      <w:bodyDiv w:val="1"/>
      <w:marLeft w:val="0"/>
      <w:marRight w:val="0"/>
      <w:marTop w:val="0"/>
      <w:marBottom w:val="0"/>
      <w:divBdr>
        <w:top w:val="none" w:sz="0" w:space="0" w:color="auto"/>
        <w:left w:val="none" w:sz="0" w:space="0" w:color="auto"/>
        <w:bottom w:val="none" w:sz="0" w:space="0" w:color="auto"/>
        <w:right w:val="none" w:sz="0" w:space="0" w:color="auto"/>
      </w:divBdr>
    </w:div>
    <w:div w:id="1879582552">
      <w:bodyDiv w:val="1"/>
      <w:marLeft w:val="0"/>
      <w:marRight w:val="0"/>
      <w:marTop w:val="0"/>
      <w:marBottom w:val="0"/>
      <w:divBdr>
        <w:top w:val="none" w:sz="0" w:space="0" w:color="auto"/>
        <w:left w:val="none" w:sz="0" w:space="0" w:color="auto"/>
        <w:bottom w:val="none" w:sz="0" w:space="0" w:color="auto"/>
        <w:right w:val="none" w:sz="0" w:space="0" w:color="auto"/>
      </w:divBdr>
    </w:div>
    <w:div w:id="1886719907">
      <w:bodyDiv w:val="1"/>
      <w:marLeft w:val="0"/>
      <w:marRight w:val="0"/>
      <w:marTop w:val="0"/>
      <w:marBottom w:val="0"/>
      <w:divBdr>
        <w:top w:val="none" w:sz="0" w:space="0" w:color="auto"/>
        <w:left w:val="none" w:sz="0" w:space="0" w:color="auto"/>
        <w:bottom w:val="none" w:sz="0" w:space="0" w:color="auto"/>
        <w:right w:val="none" w:sz="0" w:space="0" w:color="auto"/>
      </w:divBdr>
    </w:div>
    <w:div w:id="1975980638">
      <w:bodyDiv w:val="1"/>
      <w:marLeft w:val="0"/>
      <w:marRight w:val="0"/>
      <w:marTop w:val="0"/>
      <w:marBottom w:val="0"/>
      <w:divBdr>
        <w:top w:val="none" w:sz="0" w:space="0" w:color="auto"/>
        <w:left w:val="none" w:sz="0" w:space="0" w:color="auto"/>
        <w:bottom w:val="none" w:sz="0" w:space="0" w:color="auto"/>
        <w:right w:val="none" w:sz="0" w:space="0" w:color="auto"/>
      </w:divBdr>
    </w:div>
    <w:div w:id="1986082743">
      <w:bodyDiv w:val="1"/>
      <w:marLeft w:val="0"/>
      <w:marRight w:val="0"/>
      <w:marTop w:val="0"/>
      <w:marBottom w:val="0"/>
      <w:divBdr>
        <w:top w:val="none" w:sz="0" w:space="0" w:color="auto"/>
        <w:left w:val="none" w:sz="0" w:space="0" w:color="auto"/>
        <w:bottom w:val="none" w:sz="0" w:space="0" w:color="auto"/>
        <w:right w:val="none" w:sz="0" w:space="0" w:color="auto"/>
      </w:divBdr>
    </w:div>
    <w:div w:id="2045321440">
      <w:bodyDiv w:val="1"/>
      <w:marLeft w:val="0"/>
      <w:marRight w:val="0"/>
      <w:marTop w:val="0"/>
      <w:marBottom w:val="0"/>
      <w:divBdr>
        <w:top w:val="none" w:sz="0" w:space="0" w:color="auto"/>
        <w:left w:val="none" w:sz="0" w:space="0" w:color="auto"/>
        <w:bottom w:val="none" w:sz="0" w:space="0" w:color="auto"/>
        <w:right w:val="none" w:sz="0" w:space="0" w:color="auto"/>
      </w:divBdr>
    </w:div>
    <w:div w:id="214310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doornikm\Desktop\Energex%20Augex%20and%20Repex\RDP2015%20Genera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8EB96F54577245A8A48C8B86C94FDF" ma:contentTypeVersion="0" ma:contentTypeDescription="Create a new document." ma:contentTypeScope="" ma:versionID="801b8957962aeb3622921eab84b79a3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ABB6F-DAEC-4EB3-AAE6-309713CE92DB}">
  <ds:schemaRef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8C9B30D-FDB9-4FB6-8221-D7FD0C935D22}">
  <ds:schemaRefs>
    <ds:schemaRef ds:uri="http://schemas.microsoft.com/sharepoint/v3/contenttype/forms"/>
  </ds:schemaRefs>
</ds:datastoreItem>
</file>

<file path=customXml/itemProps3.xml><?xml version="1.0" encoding="utf-8"?>
<ds:datastoreItem xmlns:ds="http://schemas.openxmlformats.org/officeDocument/2006/customXml" ds:itemID="{36B59DE1-5380-4C16-8C04-883C22125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D670238-6E82-49B2-B8F3-FC5E392BB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RDP2015 General word template.dotx</Template>
  <TotalTime>1</TotalTime>
  <Pages>4</Pages>
  <Words>9267</Words>
  <Characters>52827</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SPARQ Solutions</Company>
  <LinksUpToDate>false</LinksUpToDate>
  <CharactersWithSpaces>61971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nr032</dc:creator>
  <cp:lastModifiedBy>Amanda Wecker</cp:lastModifiedBy>
  <cp:revision>2</cp:revision>
  <cp:lastPrinted>2014-09-23T04:32:00Z</cp:lastPrinted>
  <dcterms:created xsi:type="dcterms:W3CDTF">2014-10-28T04:03:00Z</dcterms:created>
  <dcterms:modified xsi:type="dcterms:W3CDTF">2014-10-28T04:03:00Z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0x010100E78EB96F54577245A8A48C8B86C94FDF</vt:lpwstr>
  </property>
</Properties>
</file>