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31C" w:rsidRPr="00F7220C" w:rsidRDefault="00E35B50" w:rsidP="003C2A3D">
      <w:pPr>
        <w:pStyle w:val="AERheading2"/>
        <w:numPr>
          <w:ilvl w:val="0"/>
          <w:numId w:val="0"/>
        </w:numPr>
        <w:spacing w:before="0" w:after="0"/>
        <w:ind w:left="720" w:hanging="720"/>
        <w:jc w:val="both"/>
        <w:rPr>
          <w:rFonts w:ascii="Arial Narrow" w:hAnsi="Arial Narrow"/>
          <w:b/>
          <w:sz w:val="32"/>
          <w:szCs w:val="32"/>
        </w:rPr>
      </w:pPr>
      <w:r w:rsidRPr="00F7220C">
        <w:rPr>
          <w:rFonts w:ascii="Arial Narrow" w:hAnsi="Arial Narrow"/>
          <w:b/>
          <w:sz w:val="32"/>
          <w:szCs w:val="32"/>
        </w:rPr>
        <w:t xml:space="preserve">Attachment </w:t>
      </w:r>
      <w:r w:rsidR="008F50CB">
        <w:rPr>
          <w:rFonts w:ascii="Arial Narrow" w:hAnsi="Arial Narrow"/>
          <w:b/>
          <w:sz w:val="32"/>
          <w:szCs w:val="32"/>
        </w:rPr>
        <w:t>8</w:t>
      </w:r>
      <w:r w:rsidR="009F0437">
        <w:rPr>
          <w:rFonts w:ascii="Arial Narrow" w:hAnsi="Arial Narrow"/>
          <w:b/>
          <w:sz w:val="32"/>
          <w:szCs w:val="32"/>
        </w:rPr>
        <w:t>-</w:t>
      </w:r>
      <w:r w:rsidR="00FD5053">
        <w:rPr>
          <w:rFonts w:ascii="Arial Narrow" w:hAnsi="Arial Narrow"/>
          <w:b/>
          <w:sz w:val="32"/>
          <w:szCs w:val="32"/>
        </w:rPr>
        <w:t>2</w:t>
      </w:r>
      <w:r w:rsidR="003D6780" w:rsidRPr="00F7220C">
        <w:rPr>
          <w:rFonts w:ascii="Arial Narrow" w:hAnsi="Arial Narrow"/>
          <w:b/>
          <w:sz w:val="32"/>
          <w:szCs w:val="32"/>
        </w:rPr>
        <w:tab/>
      </w:r>
      <w:r w:rsidR="00F7220C">
        <w:rPr>
          <w:rFonts w:ascii="Arial Narrow" w:hAnsi="Arial Narrow"/>
          <w:b/>
          <w:sz w:val="32"/>
          <w:szCs w:val="32"/>
        </w:rPr>
        <w:t xml:space="preserve"> </w:t>
      </w:r>
      <w:r w:rsidR="00FD5053">
        <w:rPr>
          <w:rFonts w:ascii="Arial Narrow" w:hAnsi="Arial Narrow"/>
          <w:b/>
          <w:sz w:val="32"/>
          <w:szCs w:val="32"/>
        </w:rPr>
        <w:t xml:space="preserve">Draft Decision Response: </w:t>
      </w:r>
      <w:r w:rsidR="008F50CB">
        <w:rPr>
          <w:rFonts w:ascii="Arial Narrow" w:hAnsi="Arial Narrow"/>
          <w:b/>
          <w:sz w:val="32"/>
          <w:szCs w:val="32"/>
        </w:rPr>
        <w:t>Capital Base</w:t>
      </w:r>
    </w:p>
    <w:p w:rsidR="009142CE" w:rsidRDefault="009142CE" w:rsidP="003C2A3D">
      <w:pPr>
        <w:pStyle w:val="AERbodytext"/>
        <w:spacing w:after="0"/>
        <w:jc w:val="both"/>
        <w:rPr>
          <w:rFonts w:ascii="Arial Narrow" w:hAnsi="Arial Narrow"/>
        </w:rPr>
      </w:pPr>
    </w:p>
    <w:p w:rsidR="002E3156" w:rsidRPr="002E3156" w:rsidRDefault="00F12C81" w:rsidP="003C2A3D">
      <w:pPr>
        <w:pStyle w:val="AERbodytext"/>
        <w:spacing w:after="0"/>
        <w:jc w:val="both"/>
        <w:rPr>
          <w:rFonts w:ascii="Arial Narrow" w:hAnsi="Arial Narrow"/>
          <w:i/>
        </w:rPr>
      </w:pPr>
      <w:r w:rsidRPr="002E3156">
        <w:rPr>
          <w:rFonts w:ascii="Arial Narrow" w:hAnsi="Arial Narrow"/>
          <w:i/>
        </w:rPr>
        <w:t>This attachment sets out</w:t>
      </w:r>
      <w:r w:rsidR="002E3156" w:rsidRPr="002E3156">
        <w:rPr>
          <w:rFonts w:ascii="Arial Narrow" w:hAnsi="Arial Narrow"/>
          <w:i/>
        </w:rPr>
        <w:t>:</w:t>
      </w:r>
    </w:p>
    <w:p w:rsidR="002E3156" w:rsidRPr="002E3156" w:rsidRDefault="00F12C81" w:rsidP="002E3156">
      <w:pPr>
        <w:pStyle w:val="AERbodytext"/>
        <w:numPr>
          <w:ilvl w:val="0"/>
          <w:numId w:val="21"/>
        </w:numPr>
        <w:spacing w:after="0"/>
        <w:jc w:val="both"/>
        <w:rPr>
          <w:rFonts w:ascii="Arial Narrow" w:hAnsi="Arial Narrow"/>
          <w:i/>
        </w:rPr>
      </w:pPr>
      <w:r w:rsidRPr="002E3156">
        <w:rPr>
          <w:rFonts w:ascii="Arial Narrow" w:hAnsi="Arial Narrow"/>
          <w:i/>
        </w:rPr>
        <w:t>amendments made by Envestra consequential to the Draft Decision</w:t>
      </w:r>
      <w:r w:rsidR="002E3156" w:rsidRPr="002E3156">
        <w:rPr>
          <w:rFonts w:ascii="Arial Narrow" w:hAnsi="Arial Narrow"/>
          <w:i/>
        </w:rPr>
        <w:t>;</w:t>
      </w:r>
      <w:r w:rsidRPr="002E3156">
        <w:rPr>
          <w:rFonts w:ascii="Arial Narrow" w:hAnsi="Arial Narrow"/>
          <w:i/>
        </w:rPr>
        <w:t xml:space="preserve"> and</w:t>
      </w:r>
    </w:p>
    <w:p w:rsidR="009142CE" w:rsidRPr="002E3156" w:rsidRDefault="00F12C81" w:rsidP="002E3156">
      <w:pPr>
        <w:pStyle w:val="AERbodytext"/>
        <w:numPr>
          <w:ilvl w:val="0"/>
          <w:numId w:val="21"/>
        </w:numPr>
        <w:spacing w:after="0"/>
        <w:jc w:val="both"/>
        <w:rPr>
          <w:rFonts w:ascii="Arial Narrow" w:hAnsi="Arial Narrow"/>
          <w:i/>
        </w:rPr>
      </w:pPr>
      <w:proofErr w:type="gramStart"/>
      <w:r w:rsidRPr="002E3156">
        <w:rPr>
          <w:rFonts w:ascii="Arial Narrow" w:hAnsi="Arial Narrow"/>
          <w:i/>
        </w:rPr>
        <w:t>where</w:t>
      </w:r>
      <w:proofErr w:type="gramEnd"/>
      <w:r w:rsidRPr="002E3156">
        <w:rPr>
          <w:rFonts w:ascii="Arial Narrow" w:hAnsi="Arial Narrow"/>
          <w:i/>
        </w:rPr>
        <w:t xml:space="preserve"> the AER has set out required amendments that Envestra does not accept, this attachment sets out the reasoning for the rejection of the AER’s amendments.</w:t>
      </w:r>
    </w:p>
    <w:p w:rsidR="007C1649" w:rsidRPr="00ED0255" w:rsidRDefault="007C1649" w:rsidP="003C2A3D">
      <w:pPr>
        <w:pStyle w:val="AERbodytext"/>
        <w:spacing w:after="0"/>
        <w:jc w:val="both"/>
        <w:rPr>
          <w:rFonts w:ascii="Arial Narrow" w:hAnsi="Arial Narrow"/>
        </w:rPr>
      </w:pPr>
    </w:p>
    <w:p w:rsidR="007F01F5" w:rsidRDefault="006D71D2" w:rsidP="003C2A3D">
      <w:pPr>
        <w:pStyle w:val="AERbodytext"/>
        <w:numPr>
          <w:ilvl w:val="0"/>
          <w:numId w:val="8"/>
        </w:numPr>
        <w:tabs>
          <w:tab w:val="left" w:pos="567"/>
        </w:tabs>
        <w:spacing w:after="0"/>
        <w:ind w:left="567" w:hanging="567"/>
        <w:jc w:val="both"/>
        <w:rPr>
          <w:rFonts w:ascii="Arial Narrow" w:hAnsi="Arial Narrow"/>
          <w:b/>
        </w:rPr>
      </w:pPr>
      <w:r>
        <w:rPr>
          <w:rFonts w:ascii="Arial Narrow" w:hAnsi="Arial Narrow"/>
          <w:b/>
        </w:rPr>
        <w:t>Introduction</w:t>
      </w:r>
    </w:p>
    <w:p w:rsidR="00522359" w:rsidRDefault="00522359" w:rsidP="00522359">
      <w:pPr>
        <w:spacing w:after="0"/>
        <w:rPr>
          <w:rFonts w:ascii="Arial Narrow" w:eastAsia="Times New Roman" w:hAnsi="Arial Narrow"/>
          <w:sz w:val="24"/>
          <w:szCs w:val="24"/>
        </w:rPr>
      </w:pPr>
    </w:p>
    <w:p w:rsidR="00535A4E" w:rsidRDefault="00EC64E2" w:rsidP="00522359">
      <w:pPr>
        <w:spacing w:after="0"/>
        <w:rPr>
          <w:rFonts w:ascii="Arial Narrow" w:eastAsia="Times New Roman" w:hAnsi="Arial Narrow"/>
          <w:sz w:val="24"/>
          <w:szCs w:val="24"/>
        </w:rPr>
      </w:pPr>
      <w:r w:rsidRPr="00522359">
        <w:rPr>
          <w:rFonts w:ascii="Arial Narrow" w:eastAsia="Times New Roman" w:hAnsi="Arial Narrow"/>
          <w:sz w:val="24"/>
          <w:szCs w:val="24"/>
        </w:rPr>
        <w:t>In its Draft Decision, t</w:t>
      </w:r>
      <w:r w:rsidR="004062A5" w:rsidRPr="00522359">
        <w:rPr>
          <w:rFonts w:ascii="Arial Narrow" w:eastAsia="Times New Roman" w:hAnsi="Arial Narrow"/>
          <w:sz w:val="24"/>
          <w:szCs w:val="24"/>
        </w:rPr>
        <w:t xml:space="preserve">he AER </w:t>
      </w:r>
      <w:r w:rsidR="00535A4E">
        <w:rPr>
          <w:rFonts w:ascii="Arial Narrow" w:eastAsia="Times New Roman" w:hAnsi="Arial Narrow"/>
          <w:sz w:val="24"/>
          <w:szCs w:val="24"/>
        </w:rPr>
        <w:t>did not accept</w:t>
      </w:r>
      <w:r w:rsidR="008F50CB">
        <w:rPr>
          <w:rFonts w:ascii="Arial Narrow" w:eastAsia="Times New Roman" w:hAnsi="Arial Narrow"/>
          <w:sz w:val="24"/>
          <w:szCs w:val="24"/>
        </w:rPr>
        <w:t xml:space="preserve"> Envestra’s determination of the opening asset base as at 1 July 2011. </w:t>
      </w:r>
      <w:r w:rsidR="00BC7AE1">
        <w:rPr>
          <w:rFonts w:ascii="Arial Narrow" w:eastAsia="Times New Roman" w:hAnsi="Arial Narrow"/>
          <w:sz w:val="24"/>
          <w:szCs w:val="24"/>
        </w:rPr>
        <w:t>Th</w:t>
      </w:r>
      <w:r w:rsidR="00535A4E">
        <w:rPr>
          <w:rFonts w:ascii="Arial Narrow" w:eastAsia="Times New Roman" w:hAnsi="Arial Narrow"/>
          <w:sz w:val="24"/>
          <w:szCs w:val="24"/>
        </w:rPr>
        <w:t xml:space="preserve">is primarily reflected the </w:t>
      </w:r>
      <w:r w:rsidR="00BC7AE1">
        <w:rPr>
          <w:rFonts w:ascii="Arial Narrow" w:eastAsia="Times New Roman" w:hAnsi="Arial Narrow"/>
          <w:sz w:val="24"/>
          <w:szCs w:val="24"/>
        </w:rPr>
        <w:t xml:space="preserve">AER </w:t>
      </w:r>
      <w:r w:rsidR="00535A4E">
        <w:rPr>
          <w:rFonts w:ascii="Arial Narrow" w:eastAsia="Times New Roman" w:hAnsi="Arial Narrow"/>
          <w:sz w:val="24"/>
          <w:szCs w:val="24"/>
        </w:rPr>
        <w:t xml:space="preserve">decision to use </w:t>
      </w:r>
      <w:r w:rsidR="00224A54">
        <w:rPr>
          <w:rFonts w:ascii="Arial Narrow" w:eastAsia="Times New Roman" w:hAnsi="Arial Narrow"/>
          <w:sz w:val="24"/>
          <w:szCs w:val="24"/>
        </w:rPr>
        <w:t>forecast</w:t>
      </w:r>
      <w:r w:rsidR="00535A4E">
        <w:rPr>
          <w:rFonts w:ascii="Arial Narrow" w:eastAsia="Times New Roman" w:hAnsi="Arial Narrow"/>
          <w:sz w:val="24"/>
          <w:szCs w:val="24"/>
        </w:rPr>
        <w:t xml:space="preserve"> depreciation in adjusting the regulatory asset base (RAB) rather than actual depreciation, a decision it also took for the next regulatory period. The AER also amended the manner by which inflation was applied to adjust the RAB. </w:t>
      </w:r>
    </w:p>
    <w:p w:rsidR="00535A4E" w:rsidRDefault="00535A4E" w:rsidP="00522359">
      <w:pPr>
        <w:spacing w:after="0"/>
        <w:rPr>
          <w:rFonts w:ascii="Arial Narrow" w:eastAsia="Times New Roman" w:hAnsi="Arial Narrow"/>
          <w:sz w:val="24"/>
          <w:szCs w:val="24"/>
        </w:rPr>
      </w:pPr>
    </w:p>
    <w:p w:rsidR="00155C03" w:rsidRDefault="00535A4E" w:rsidP="00747002">
      <w:pPr>
        <w:pStyle w:val="AERbodytext"/>
        <w:numPr>
          <w:ilvl w:val="0"/>
          <w:numId w:val="8"/>
        </w:numPr>
        <w:tabs>
          <w:tab w:val="left" w:pos="567"/>
        </w:tabs>
        <w:spacing w:after="0"/>
        <w:ind w:left="567" w:hanging="567"/>
        <w:jc w:val="both"/>
        <w:rPr>
          <w:rFonts w:ascii="Arial Narrow" w:hAnsi="Arial Narrow"/>
          <w:b/>
        </w:rPr>
      </w:pPr>
      <w:r>
        <w:rPr>
          <w:rFonts w:ascii="Arial Narrow" w:hAnsi="Arial Narrow"/>
          <w:b/>
        </w:rPr>
        <w:t>R</w:t>
      </w:r>
      <w:r w:rsidR="00155C03">
        <w:rPr>
          <w:rFonts w:ascii="Arial Narrow" w:hAnsi="Arial Narrow"/>
          <w:b/>
        </w:rPr>
        <w:t>esponse to Draft Decision</w:t>
      </w:r>
    </w:p>
    <w:p w:rsidR="00155C03" w:rsidRPr="00747002" w:rsidRDefault="00155C03" w:rsidP="00747002">
      <w:pPr>
        <w:spacing w:after="0"/>
        <w:rPr>
          <w:rFonts w:ascii="Arial Narrow" w:eastAsia="Times New Roman" w:hAnsi="Arial Narrow"/>
          <w:sz w:val="24"/>
          <w:szCs w:val="24"/>
        </w:rPr>
      </w:pPr>
    </w:p>
    <w:p w:rsidR="00535A4E" w:rsidRDefault="00BC7AE1" w:rsidP="00BC7AE1">
      <w:pPr>
        <w:spacing w:after="0"/>
        <w:rPr>
          <w:rFonts w:ascii="Arial Narrow" w:eastAsia="Times New Roman" w:hAnsi="Arial Narrow"/>
          <w:sz w:val="24"/>
          <w:szCs w:val="24"/>
        </w:rPr>
      </w:pPr>
      <w:r>
        <w:rPr>
          <w:rFonts w:ascii="Arial Narrow" w:eastAsia="Times New Roman" w:hAnsi="Arial Narrow"/>
          <w:sz w:val="24"/>
          <w:szCs w:val="24"/>
        </w:rPr>
        <w:t xml:space="preserve">Envestra </w:t>
      </w:r>
      <w:r w:rsidR="00535A4E">
        <w:rPr>
          <w:rFonts w:ascii="Arial Narrow" w:eastAsia="Times New Roman" w:hAnsi="Arial Narrow"/>
          <w:sz w:val="24"/>
          <w:szCs w:val="24"/>
        </w:rPr>
        <w:t>has accepted the decision to apply forecast depreciation in rolling forward the RAB over the current regulatory period. This reflects that the</w:t>
      </w:r>
      <w:r w:rsidR="006758CF">
        <w:rPr>
          <w:rFonts w:ascii="Arial Narrow" w:eastAsia="Times New Roman" w:hAnsi="Arial Narrow"/>
          <w:sz w:val="24"/>
          <w:szCs w:val="24"/>
        </w:rPr>
        <w:t xml:space="preserve"> Essential Services Commission of South Australia (</w:t>
      </w:r>
      <w:r w:rsidR="00535A4E">
        <w:rPr>
          <w:rFonts w:ascii="Arial Narrow" w:eastAsia="Times New Roman" w:hAnsi="Arial Narrow"/>
          <w:sz w:val="24"/>
          <w:szCs w:val="24"/>
        </w:rPr>
        <w:t>ESCOSA</w:t>
      </w:r>
      <w:r w:rsidR="006758CF">
        <w:rPr>
          <w:rFonts w:ascii="Arial Narrow" w:eastAsia="Times New Roman" w:hAnsi="Arial Narrow"/>
          <w:sz w:val="24"/>
          <w:szCs w:val="24"/>
        </w:rPr>
        <w:t>)</w:t>
      </w:r>
      <w:r w:rsidR="00535A4E">
        <w:rPr>
          <w:rFonts w:ascii="Arial Narrow" w:eastAsia="Times New Roman" w:hAnsi="Arial Narrow"/>
          <w:sz w:val="24"/>
          <w:szCs w:val="24"/>
        </w:rPr>
        <w:t xml:space="preserve"> was most likely to also apply forecast depreciation over the current period, although it did not specifically state that it would. This is supported by the inclusion </w:t>
      </w:r>
      <w:r w:rsidR="006758CF">
        <w:rPr>
          <w:rFonts w:ascii="Arial Narrow" w:eastAsia="Times New Roman" w:hAnsi="Arial Narrow"/>
          <w:sz w:val="24"/>
          <w:szCs w:val="24"/>
        </w:rPr>
        <w:t xml:space="preserve">by ESCOSA of </w:t>
      </w:r>
      <w:r w:rsidR="00535A4E">
        <w:rPr>
          <w:rFonts w:ascii="Arial Narrow" w:eastAsia="Times New Roman" w:hAnsi="Arial Narrow"/>
          <w:sz w:val="24"/>
          <w:szCs w:val="24"/>
        </w:rPr>
        <w:t xml:space="preserve">capex in the efficiency carryover mechanism </w:t>
      </w:r>
      <w:r w:rsidR="006758CF">
        <w:rPr>
          <w:rFonts w:ascii="Arial Narrow" w:eastAsia="Times New Roman" w:hAnsi="Arial Narrow"/>
          <w:sz w:val="24"/>
          <w:szCs w:val="24"/>
        </w:rPr>
        <w:t xml:space="preserve">(ECM) </w:t>
      </w:r>
      <w:r w:rsidR="00535A4E">
        <w:rPr>
          <w:rFonts w:ascii="Arial Narrow" w:eastAsia="Times New Roman" w:hAnsi="Arial Narrow"/>
          <w:sz w:val="24"/>
          <w:szCs w:val="24"/>
        </w:rPr>
        <w:t xml:space="preserve">for the current regulatory period. </w:t>
      </w:r>
    </w:p>
    <w:p w:rsidR="00535A4E" w:rsidRDefault="00535A4E" w:rsidP="00BC7AE1">
      <w:pPr>
        <w:spacing w:after="0"/>
        <w:rPr>
          <w:rFonts w:ascii="Arial Narrow" w:eastAsia="Times New Roman" w:hAnsi="Arial Narrow"/>
          <w:sz w:val="24"/>
          <w:szCs w:val="24"/>
        </w:rPr>
      </w:pPr>
    </w:p>
    <w:p w:rsidR="00033920" w:rsidRDefault="00033920" w:rsidP="00BC7AE1">
      <w:pPr>
        <w:spacing w:after="0"/>
        <w:rPr>
          <w:rFonts w:ascii="Arial Narrow" w:eastAsia="Times New Roman" w:hAnsi="Arial Narrow"/>
          <w:sz w:val="24"/>
          <w:szCs w:val="24"/>
        </w:rPr>
      </w:pPr>
      <w:r>
        <w:rPr>
          <w:rFonts w:ascii="Arial Narrow" w:eastAsia="Times New Roman" w:hAnsi="Arial Narrow"/>
          <w:sz w:val="24"/>
          <w:szCs w:val="24"/>
        </w:rPr>
        <w:t xml:space="preserve">Envestra however maintains its position that actual depreciation should be applied to adjust the RAB from 1 July 2011, unless the AER accepts Envestra’s proposal to include capex in the ECM to apply over the next regulatory period. </w:t>
      </w:r>
    </w:p>
    <w:p w:rsidR="00033920" w:rsidRDefault="00033920" w:rsidP="00BC7AE1">
      <w:pPr>
        <w:spacing w:after="0"/>
        <w:rPr>
          <w:rFonts w:ascii="Arial Narrow" w:eastAsia="Times New Roman" w:hAnsi="Arial Narrow"/>
          <w:sz w:val="24"/>
          <w:szCs w:val="24"/>
        </w:rPr>
      </w:pPr>
    </w:p>
    <w:p w:rsidR="00033920" w:rsidRDefault="00033920" w:rsidP="00BC7AE1">
      <w:pPr>
        <w:spacing w:after="0"/>
        <w:rPr>
          <w:rFonts w:ascii="Arial Narrow" w:eastAsia="Times New Roman" w:hAnsi="Arial Narrow"/>
          <w:sz w:val="24"/>
          <w:szCs w:val="24"/>
        </w:rPr>
      </w:pPr>
      <w:r>
        <w:rPr>
          <w:rFonts w:ascii="Arial Narrow" w:eastAsia="Times New Roman" w:hAnsi="Arial Narrow"/>
          <w:sz w:val="24"/>
          <w:szCs w:val="24"/>
        </w:rPr>
        <w:t xml:space="preserve">Envestra notes that it does not accept the manner by which the AER has applied inflation to put the opening RAB as at 1 July 2011 in March 2011 dollar terms. This matter is explained in more detail in this </w:t>
      </w:r>
      <w:r w:rsidR="00224A54">
        <w:rPr>
          <w:rFonts w:ascii="Arial Narrow" w:eastAsia="Times New Roman" w:hAnsi="Arial Narrow"/>
          <w:sz w:val="24"/>
          <w:szCs w:val="24"/>
        </w:rPr>
        <w:t>attachment</w:t>
      </w:r>
      <w:r>
        <w:rPr>
          <w:rFonts w:ascii="Arial Narrow" w:eastAsia="Times New Roman" w:hAnsi="Arial Narrow"/>
          <w:sz w:val="24"/>
          <w:szCs w:val="24"/>
        </w:rPr>
        <w:t xml:space="preserve">. </w:t>
      </w:r>
    </w:p>
    <w:p w:rsidR="00033920" w:rsidRDefault="00033920" w:rsidP="00BC7AE1">
      <w:pPr>
        <w:spacing w:after="0"/>
        <w:rPr>
          <w:rFonts w:ascii="Arial Narrow" w:eastAsia="Times New Roman" w:hAnsi="Arial Narrow"/>
          <w:sz w:val="24"/>
          <w:szCs w:val="24"/>
        </w:rPr>
      </w:pPr>
    </w:p>
    <w:p w:rsidR="00033920" w:rsidRDefault="00033920" w:rsidP="00B40438">
      <w:pPr>
        <w:pStyle w:val="AERbodytext"/>
        <w:numPr>
          <w:ilvl w:val="0"/>
          <w:numId w:val="8"/>
        </w:numPr>
        <w:tabs>
          <w:tab w:val="left" w:pos="567"/>
        </w:tabs>
        <w:spacing w:after="0"/>
        <w:ind w:left="567" w:hanging="567"/>
        <w:jc w:val="both"/>
        <w:rPr>
          <w:rFonts w:ascii="Arial Narrow" w:hAnsi="Arial Narrow"/>
          <w:b/>
        </w:rPr>
      </w:pPr>
      <w:r>
        <w:rPr>
          <w:rFonts w:ascii="Arial Narrow" w:hAnsi="Arial Narrow"/>
          <w:b/>
        </w:rPr>
        <w:t>Application of Inflation</w:t>
      </w:r>
      <w:r w:rsidR="00C066FE">
        <w:rPr>
          <w:rFonts w:ascii="Arial Narrow" w:hAnsi="Arial Narrow"/>
          <w:b/>
        </w:rPr>
        <w:t xml:space="preserve"> up to 30 June 2011</w:t>
      </w:r>
    </w:p>
    <w:p w:rsidR="00033920" w:rsidRPr="00033920" w:rsidRDefault="00033920" w:rsidP="00033920">
      <w:pPr>
        <w:spacing w:after="0"/>
        <w:rPr>
          <w:rFonts w:ascii="Arial Narrow" w:eastAsia="Times New Roman" w:hAnsi="Arial Narrow"/>
          <w:sz w:val="24"/>
          <w:szCs w:val="24"/>
        </w:rPr>
      </w:pPr>
    </w:p>
    <w:p w:rsidR="0081216B" w:rsidRDefault="00033920" w:rsidP="00033920">
      <w:pPr>
        <w:spacing w:after="0"/>
        <w:rPr>
          <w:rFonts w:ascii="Arial Narrow" w:eastAsia="Times New Roman" w:hAnsi="Arial Narrow"/>
          <w:sz w:val="24"/>
          <w:szCs w:val="24"/>
        </w:rPr>
      </w:pPr>
      <w:r>
        <w:rPr>
          <w:rFonts w:ascii="Arial Narrow" w:eastAsia="Times New Roman" w:hAnsi="Arial Narrow"/>
          <w:sz w:val="24"/>
          <w:szCs w:val="24"/>
        </w:rPr>
        <w:t xml:space="preserve">The AER has </w:t>
      </w:r>
      <w:r w:rsidR="00374D41">
        <w:rPr>
          <w:rFonts w:ascii="Arial Narrow" w:eastAsia="Times New Roman" w:hAnsi="Arial Narrow"/>
          <w:sz w:val="24"/>
          <w:szCs w:val="24"/>
        </w:rPr>
        <w:t>express</w:t>
      </w:r>
      <w:r w:rsidR="0081216B">
        <w:rPr>
          <w:rFonts w:ascii="Arial Narrow" w:eastAsia="Times New Roman" w:hAnsi="Arial Narrow"/>
          <w:sz w:val="24"/>
          <w:szCs w:val="24"/>
        </w:rPr>
        <w:t xml:space="preserve">ed </w:t>
      </w:r>
      <w:r>
        <w:rPr>
          <w:rFonts w:ascii="Arial Narrow" w:eastAsia="Times New Roman" w:hAnsi="Arial Narrow"/>
          <w:sz w:val="24"/>
          <w:szCs w:val="24"/>
        </w:rPr>
        <w:t xml:space="preserve">a </w:t>
      </w:r>
      <w:r w:rsidR="00374D41">
        <w:rPr>
          <w:rFonts w:ascii="Arial Narrow" w:eastAsia="Times New Roman" w:hAnsi="Arial Narrow"/>
          <w:sz w:val="24"/>
          <w:szCs w:val="24"/>
        </w:rPr>
        <w:t xml:space="preserve">preference for </w:t>
      </w:r>
      <w:r w:rsidR="0081216B">
        <w:rPr>
          <w:rFonts w:ascii="Arial Narrow" w:eastAsia="Times New Roman" w:hAnsi="Arial Narrow"/>
          <w:sz w:val="24"/>
          <w:szCs w:val="24"/>
        </w:rPr>
        <w:t>the opening RAB as at 1 July 2011 to be expressed in March 2011 dollar terms. This value is then used as an input into the post-tax revenue model and adjusted over the next regulatory period in accordance with, among other things, the AER preferred approach to applying inflation</w:t>
      </w:r>
      <w:r w:rsidR="006758CF">
        <w:rPr>
          <w:rFonts w:ascii="Arial Narrow" w:eastAsia="Times New Roman" w:hAnsi="Arial Narrow"/>
          <w:sz w:val="24"/>
          <w:szCs w:val="24"/>
        </w:rPr>
        <w:t xml:space="preserve"> (which is the relevant March quarter index value for each year))</w:t>
      </w:r>
      <w:r w:rsidR="0081216B">
        <w:rPr>
          <w:rFonts w:ascii="Arial Narrow" w:eastAsia="Times New Roman" w:hAnsi="Arial Narrow"/>
          <w:sz w:val="24"/>
          <w:szCs w:val="24"/>
        </w:rPr>
        <w:t xml:space="preserve">. </w:t>
      </w:r>
    </w:p>
    <w:p w:rsidR="0081216B" w:rsidRDefault="0081216B" w:rsidP="00033920">
      <w:pPr>
        <w:spacing w:after="0"/>
        <w:rPr>
          <w:rFonts w:ascii="Arial Narrow" w:eastAsia="Times New Roman" w:hAnsi="Arial Narrow"/>
          <w:sz w:val="24"/>
          <w:szCs w:val="24"/>
        </w:rPr>
      </w:pPr>
    </w:p>
    <w:p w:rsidR="003D42BD" w:rsidRDefault="0081216B" w:rsidP="00033920">
      <w:pPr>
        <w:spacing w:after="0"/>
        <w:rPr>
          <w:rFonts w:ascii="Arial Narrow" w:eastAsia="Times New Roman" w:hAnsi="Arial Narrow"/>
          <w:sz w:val="24"/>
          <w:szCs w:val="24"/>
        </w:rPr>
      </w:pPr>
      <w:r>
        <w:rPr>
          <w:rFonts w:ascii="Arial Narrow" w:eastAsia="Times New Roman" w:hAnsi="Arial Narrow"/>
          <w:sz w:val="24"/>
          <w:szCs w:val="24"/>
        </w:rPr>
        <w:t xml:space="preserve">The AER has however sought to introduce its preferred approach to inflation into the ESCOSA RAB roll forward </w:t>
      </w:r>
      <w:r w:rsidR="003D42BD">
        <w:rPr>
          <w:rFonts w:ascii="Arial Narrow" w:eastAsia="Times New Roman" w:hAnsi="Arial Narrow"/>
          <w:sz w:val="24"/>
          <w:szCs w:val="24"/>
        </w:rPr>
        <w:t xml:space="preserve">model. Envestra submits that the AER should not have changed the manner that inflation is applied in this model. Similar to the reason for accepting forecast inflation, Envestra believes that the ESCOSA model should be applied in a consistent manner through to 30 June 2011. </w:t>
      </w:r>
    </w:p>
    <w:p w:rsidR="003D42BD" w:rsidRDefault="003D42BD" w:rsidP="00033920">
      <w:pPr>
        <w:spacing w:after="0"/>
        <w:rPr>
          <w:rFonts w:ascii="Arial Narrow" w:eastAsia="Times New Roman" w:hAnsi="Arial Narrow"/>
          <w:sz w:val="24"/>
          <w:szCs w:val="24"/>
        </w:rPr>
      </w:pPr>
    </w:p>
    <w:p w:rsidR="003D42BD" w:rsidRDefault="003D42BD" w:rsidP="00033920">
      <w:pPr>
        <w:spacing w:after="0"/>
        <w:rPr>
          <w:rFonts w:ascii="Arial Narrow" w:eastAsia="Times New Roman" w:hAnsi="Arial Narrow"/>
          <w:sz w:val="24"/>
          <w:szCs w:val="24"/>
        </w:rPr>
      </w:pPr>
      <w:r>
        <w:rPr>
          <w:rFonts w:ascii="Arial Narrow" w:eastAsia="Times New Roman" w:hAnsi="Arial Narrow"/>
          <w:sz w:val="24"/>
          <w:szCs w:val="24"/>
        </w:rPr>
        <w:t xml:space="preserve">There are several advantages in not altering the </w:t>
      </w:r>
      <w:proofErr w:type="gramStart"/>
      <w:r>
        <w:rPr>
          <w:rFonts w:ascii="Arial Narrow" w:eastAsia="Times New Roman" w:hAnsi="Arial Narrow"/>
          <w:sz w:val="24"/>
          <w:szCs w:val="24"/>
        </w:rPr>
        <w:t>manner</w:t>
      </w:r>
      <w:proofErr w:type="gramEnd"/>
      <w:r>
        <w:rPr>
          <w:rFonts w:ascii="Arial Narrow" w:eastAsia="Times New Roman" w:hAnsi="Arial Narrow"/>
          <w:sz w:val="24"/>
          <w:szCs w:val="24"/>
        </w:rPr>
        <w:t xml:space="preserve"> by which inflation is applied over the course of the current regulatory period, including:</w:t>
      </w:r>
    </w:p>
    <w:p w:rsidR="003D42BD" w:rsidRDefault="003D42BD" w:rsidP="00033920">
      <w:pPr>
        <w:spacing w:after="0"/>
        <w:rPr>
          <w:rFonts w:ascii="Arial Narrow" w:eastAsia="Times New Roman" w:hAnsi="Arial Narrow"/>
          <w:sz w:val="24"/>
          <w:szCs w:val="24"/>
        </w:rPr>
      </w:pPr>
    </w:p>
    <w:p w:rsidR="003D42BD" w:rsidRDefault="003D42BD" w:rsidP="003D42BD">
      <w:pPr>
        <w:pStyle w:val="ListParagraph"/>
        <w:numPr>
          <w:ilvl w:val="0"/>
          <w:numId w:val="42"/>
        </w:numPr>
        <w:spacing w:after="0"/>
        <w:rPr>
          <w:rFonts w:ascii="Arial Narrow" w:eastAsia="Times New Roman" w:hAnsi="Arial Narrow"/>
          <w:sz w:val="24"/>
          <w:szCs w:val="24"/>
        </w:rPr>
      </w:pPr>
      <w:r>
        <w:rPr>
          <w:rFonts w:ascii="Arial Narrow" w:eastAsia="Times New Roman" w:hAnsi="Arial Narrow"/>
          <w:sz w:val="24"/>
          <w:szCs w:val="24"/>
        </w:rPr>
        <w:lastRenderedPageBreak/>
        <w:t>ensuring that inflation is applied consistently, thereby satisfying principles of financial capital maintenance;</w:t>
      </w:r>
    </w:p>
    <w:p w:rsidR="003D42BD" w:rsidRDefault="003D42BD" w:rsidP="003D42BD">
      <w:pPr>
        <w:pStyle w:val="ListParagraph"/>
        <w:numPr>
          <w:ilvl w:val="0"/>
          <w:numId w:val="42"/>
        </w:numPr>
        <w:spacing w:after="0"/>
        <w:rPr>
          <w:rFonts w:ascii="Arial Narrow" w:eastAsia="Times New Roman" w:hAnsi="Arial Narrow"/>
          <w:sz w:val="24"/>
          <w:szCs w:val="24"/>
        </w:rPr>
      </w:pPr>
      <w:r>
        <w:rPr>
          <w:rFonts w:ascii="Arial Narrow" w:eastAsia="Times New Roman" w:hAnsi="Arial Narrow"/>
          <w:sz w:val="24"/>
          <w:szCs w:val="24"/>
        </w:rPr>
        <w:t xml:space="preserve">Envestra receives neither a windfall gain or loss stemming from changes to inflation; and </w:t>
      </w:r>
    </w:p>
    <w:p w:rsidR="003D42BD" w:rsidRDefault="003D42BD" w:rsidP="003D42BD">
      <w:pPr>
        <w:pStyle w:val="ListParagraph"/>
        <w:numPr>
          <w:ilvl w:val="0"/>
          <w:numId w:val="42"/>
        </w:numPr>
        <w:spacing w:after="0"/>
        <w:rPr>
          <w:rFonts w:ascii="Arial Narrow" w:eastAsia="Times New Roman" w:hAnsi="Arial Narrow"/>
          <w:sz w:val="24"/>
          <w:szCs w:val="24"/>
        </w:rPr>
      </w:pPr>
      <w:proofErr w:type="gramStart"/>
      <w:r>
        <w:rPr>
          <w:rFonts w:ascii="Arial Narrow" w:eastAsia="Times New Roman" w:hAnsi="Arial Narrow"/>
          <w:sz w:val="24"/>
          <w:szCs w:val="24"/>
        </w:rPr>
        <w:t>provides</w:t>
      </w:r>
      <w:proofErr w:type="gramEnd"/>
      <w:r>
        <w:rPr>
          <w:rFonts w:ascii="Arial Narrow" w:eastAsia="Times New Roman" w:hAnsi="Arial Narrow"/>
          <w:sz w:val="24"/>
          <w:szCs w:val="24"/>
        </w:rPr>
        <w:t xml:space="preserve"> for a far simpler calculation and method for transitioning over to the AER preferred ro</w:t>
      </w:r>
      <w:r w:rsidR="001B0A11">
        <w:rPr>
          <w:rFonts w:ascii="Arial Narrow" w:eastAsia="Times New Roman" w:hAnsi="Arial Narrow"/>
          <w:sz w:val="24"/>
          <w:szCs w:val="24"/>
        </w:rPr>
        <w:t>l</w:t>
      </w:r>
      <w:r>
        <w:rPr>
          <w:rFonts w:ascii="Arial Narrow" w:eastAsia="Times New Roman" w:hAnsi="Arial Narrow"/>
          <w:sz w:val="24"/>
          <w:szCs w:val="24"/>
        </w:rPr>
        <w:t xml:space="preserve">l forward </w:t>
      </w:r>
      <w:r w:rsidR="001B0A11">
        <w:rPr>
          <w:rFonts w:ascii="Arial Narrow" w:eastAsia="Times New Roman" w:hAnsi="Arial Narrow"/>
          <w:sz w:val="24"/>
          <w:szCs w:val="24"/>
        </w:rPr>
        <w:t>approach.</w:t>
      </w:r>
    </w:p>
    <w:p w:rsidR="003D42BD" w:rsidRDefault="003D42BD" w:rsidP="00033920">
      <w:pPr>
        <w:spacing w:after="0"/>
        <w:rPr>
          <w:rFonts w:ascii="Arial Narrow" w:eastAsia="Times New Roman" w:hAnsi="Arial Narrow"/>
          <w:sz w:val="24"/>
          <w:szCs w:val="24"/>
        </w:rPr>
      </w:pPr>
    </w:p>
    <w:p w:rsidR="001B0A11" w:rsidRDefault="001B0A11" w:rsidP="00033920">
      <w:pPr>
        <w:spacing w:after="0"/>
        <w:rPr>
          <w:rFonts w:ascii="Arial Narrow" w:eastAsia="Times New Roman" w:hAnsi="Arial Narrow"/>
          <w:sz w:val="24"/>
          <w:szCs w:val="24"/>
        </w:rPr>
      </w:pPr>
      <w:r>
        <w:rPr>
          <w:rFonts w:ascii="Arial Narrow" w:eastAsia="Times New Roman" w:hAnsi="Arial Narrow"/>
          <w:sz w:val="24"/>
          <w:szCs w:val="24"/>
        </w:rPr>
        <w:t xml:space="preserve">With regard to the last point, the ESCOSA roll forward model was calculated in December 2005 dollar terms (that is, in real terms). ESCOSA applied what is referred to as a 9 month lag in </w:t>
      </w:r>
      <w:proofErr w:type="gramStart"/>
      <w:r>
        <w:rPr>
          <w:rFonts w:ascii="Arial Narrow" w:eastAsia="Times New Roman" w:hAnsi="Arial Narrow"/>
          <w:sz w:val="24"/>
          <w:szCs w:val="24"/>
        </w:rPr>
        <w:t>inflation,</w:t>
      </w:r>
      <w:proofErr w:type="gramEnd"/>
      <w:r>
        <w:rPr>
          <w:rFonts w:ascii="Arial Narrow" w:eastAsia="Times New Roman" w:hAnsi="Arial Narrow"/>
          <w:sz w:val="24"/>
          <w:szCs w:val="24"/>
        </w:rPr>
        <w:t xml:space="preserve"> such that December 2005 was proxied by inflation up to March 2005 (i.e. 9 months prior to December 2005). </w:t>
      </w:r>
    </w:p>
    <w:p w:rsidR="001B0A11" w:rsidRDefault="001B0A11" w:rsidP="00033920">
      <w:pPr>
        <w:spacing w:after="0"/>
        <w:rPr>
          <w:rFonts w:ascii="Arial Narrow" w:eastAsia="Times New Roman" w:hAnsi="Arial Narrow"/>
          <w:sz w:val="24"/>
          <w:szCs w:val="24"/>
        </w:rPr>
      </w:pPr>
    </w:p>
    <w:p w:rsidR="001B0A11" w:rsidRDefault="001B0A11" w:rsidP="00033920">
      <w:pPr>
        <w:spacing w:after="0"/>
        <w:rPr>
          <w:rFonts w:ascii="Arial Narrow" w:eastAsia="Times New Roman" w:hAnsi="Arial Narrow"/>
          <w:sz w:val="24"/>
          <w:szCs w:val="24"/>
        </w:rPr>
      </w:pPr>
      <w:r>
        <w:rPr>
          <w:rFonts w:ascii="Arial Narrow" w:eastAsia="Times New Roman" w:hAnsi="Arial Narrow"/>
          <w:sz w:val="24"/>
          <w:szCs w:val="24"/>
        </w:rPr>
        <w:t>The ESCOSA RAB model therefore determines the closing RAB as at 30 June 2011 in December 2005 dollar terms. This mean</w:t>
      </w:r>
      <w:r w:rsidR="00334C7A">
        <w:rPr>
          <w:rFonts w:ascii="Arial Narrow" w:eastAsia="Times New Roman" w:hAnsi="Arial Narrow"/>
          <w:sz w:val="24"/>
          <w:szCs w:val="24"/>
        </w:rPr>
        <w:t>s</w:t>
      </w:r>
      <w:r>
        <w:rPr>
          <w:rFonts w:ascii="Arial Narrow" w:eastAsia="Times New Roman" w:hAnsi="Arial Narrow"/>
          <w:sz w:val="24"/>
          <w:szCs w:val="24"/>
        </w:rPr>
        <w:t xml:space="preserve"> that the closing RAB has been inflated up to March 2005 (pursuant to actual inflation used been 9 months prior to December 2005). To convert this value into March 2011 dollar terms simply require</w:t>
      </w:r>
      <w:r w:rsidR="000976AB">
        <w:rPr>
          <w:rFonts w:ascii="Arial Narrow" w:eastAsia="Times New Roman" w:hAnsi="Arial Narrow"/>
          <w:sz w:val="24"/>
          <w:szCs w:val="24"/>
        </w:rPr>
        <w:t>s</w:t>
      </w:r>
      <w:r>
        <w:rPr>
          <w:rFonts w:ascii="Arial Narrow" w:eastAsia="Times New Roman" w:hAnsi="Arial Narrow"/>
          <w:sz w:val="24"/>
          <w:szCs w:val="24"/>
        </w:rPr>
        <w:t xml:space="preserve"> applying the </w:t>
      </w:r>
      <w:r w:rsidR="00334C7A">
        <w:rPr>
          <w:rFonts w:ascii="Arial Narrow" w:eastAsia="Times New Roman" w:hAnsi="Arial Narrow"/>
          <w:sz w:val="24"/>
          <w:szCs w:val="24"/>
        </w:rPr>
        <w:t xml:space="preserve">change in the </w:t>
      </w:r>
      <w:r w:rsidR="000976AB">
        <w:rPr>
          <w:rFonts w:ascii="Arial Narrow" w:eastAsia="Times New Roman" w:hAnsi="Arial Narrow"/>
          <w:sz w:val="24"/>
          <w:szCs w:val="24"/>
        </w:rPr>
        <w:t xml:space="preserve">March quarter index values over this </w:t>
      </w:r>
      <w:r w:rsidR="00334C7A">
        <w:rPr>
          <w:rFonts w:ascii="Arial Narrow" w:eastAsia="Times New Roman" w:hAnsi="Arial Narrow"/>
          <w:sz w:val="24"/>
          <w:szCs w:val="24"/>
        </w:rPr>
        <w:t xml:space="preserve">period to the closing RAB value determined by the ESCOSA RAB model. </w:t>
      </w:r>
    </w:p>
    <w:p w:rsidR="00334C7A" w:rsidRDefault="00334C7A" w:rsidP="00033920">
      <w:pPr>
        <w:spacing w:after="0"/>
        <w:rPr>
          <w:rFonts w:ascii="Arial Narrow" w:eastAsia="Times New Roman" w:hAnsi="Arial Narrow"/>
          <w:sz w:val="24"/>
          <w:szCs w:val="24"/>
        </w:rPr>
      </w:pPr>
    </w:p>
    <w:p w:rsidR="00334C7A" w:rsidRDefault="00334C7A" w:rsidP="00033920">
      <w:pPr>
        <w:spacing w:after="0"/>
        <w:rPr>
          <w:rFonts w:ascii="Arial Narrow" w:eastAsia="Times New Roman" w:hAnsi="Arial Narrow"/>
          <w:sz w:val="24"/>
          <w:szCs w:val="24"/>
        </w:rPr>
      </w:pPr>
      <w:r>
        <w:rPr>
          <w:rFonts w:ascii="Arial Narrow" w:eastAsia="Times New Roman" w:hAnsi="Arial Narrow"/>
          <w:sz w:val="24"/>
          <w:szCs w:val="24"/>
        </w:rPr>
        <w:t xml:space="preserve">Envestra has undertaken this calculation in its RAB roll forward model by </w:t>
      </w:r>
      <w:r w:rsidR="000976AB">
        <w:rPr>
          <w:rFonts w:ascii="Arial Narrow" w:eastAsia="Times New Roman" w:hAnsi="Arial Narrow"/>
          <w:sz w:val="24"/>
          <w:szCs w:val="24"/>
        </w:rPr>
        <w:t xml:space="preserve">determining: </w:t>
      </w:r>
    </w:p>
    <w:p w:rsidR="001B0A11" w:rsidRDefault="001B0A11" w:rsidP="00033920">
      <w:pPr>
        <w:spacing w:after="0"/>
        <w:rPr>
          <w:rFonts w:ascii="Arial Narrow" w:eastAsia="Times New Roman" w:hAnsi="Arial Narrow"/>
          <w:sz w:val="24"/>
          <w:szCs w:val="24"/>
        </w:rPr>
      </w:pPr>
    </w:p>
    <w:p w:rsidR="003D42BD" w:rsidRDefault="000976AB" w:rsidP="003D42BD">
      <w:pPr>
        <w:pStyle w:val="ListParagraph"/>
        <w:numPr>
          <w:ilvl w:val="0"/>
          <w:numId w:val="41"/>
        </w:numPr>
        <w:spacing w:after="0"/>
        <w:rPr>
          <w:rFonts w:ascii="Arial Narrow" w:eastAsia="Times New Roman" w:hAnsi="Arial Narrow"/>
          <w:sz w:val="24"/>
          <w:szCs w:val="24"/>
        </w:rPr>
      </w:pPr>
      <w:r>
        <w:rPr>
          <w:rFonts w:ascii="Arial Narrow" w:eastAsia="Times New Roman" w:hAnsi="Arial Narrow"/>
          <w:sz w:val="24"/>
          <w:szCs w:val="24"/>
        </w:rPr>
        <w:t>the closing RAB as at 30 June 2011 in December 2005 dollar terms, which is $</w:t>
      </w:r>
      <w:r w:rsidR="00224A54">
        <w:rPr>
          <w:rFonts w:ascii="Arial Narrow" w:eastAsia="Times New Roman" w:hAnsi="Arial Narrow"/>
          <w:sz w:val="24"/>
          <w:szCs w:val="24"/>
        </w:rPr>
        <w:t>867.5</w:t>
      </w:r>
      <w:r>
        <w:rPr>
          <w:rFonts w:ascii="Arial Narrow" w:eastAsia="Times New Roman" w:hAnsi="Arial Narrow"/>
          <w:sz w:val="24"/>
          <w:szCs w:val="24"/>
        </w:rPr>
        <w:t>m;</w:t>
      </w:r>
    </w:p>
    <w:p w:rsidR="000976AB" w:rsidRDefault="000976AB" w:rsidP="003D42BD">
      <w:pPr>
        <w:pStyle w:val="ListParagraph"/>
        <w:numPr>
          <w:ilvl w:val="0"/>
          <w:numId w:val="41"/>
        </w:numPr>
        <w:spacing w:after="0"/>
        <w:rPr>
          <w:rFonts w:ascii="Arial Narrow" w:eastAsia="Times New Roman" w:hAnsi="Arial Narrow"/>
          <w:sz w:val="24"/>
          <w:szCs w:val="24"/>
        </w:rPr>
      </w:pPr>
      <w:r>
        <w:rPr>
          <w:rFonts w:ascii="Arial Narrow" w:eastAsia="Times New Roman" w:hAnsi="Arial Narrow"/>
          <w:sz w:val="24"/>
          <w:szCs w:val="24"/>
        </w:rPr>
        <w:t xml:space="preserve">the inflator as the March 2011 index value divided by the March 2005 index value, which is </w:t>
      </w:r>
      <w:r w:rsidR="00224A54">
        <w:rPr>
          <w:rFonts w:ascii="Arial Narrow" w:eastAsia="Times New Roman" w:hAnsi="Arial Narrow"/>
          <w:sz w:val="24"/>
          <w:szCs w:val="24"/>
        </w:rPr>
        <w:t>1.19</w:t>
      </w:r>
      <w:r>
        <w:rPr>
          <w:rFonts w:ascii="Arial Narrow" w:eastAsia="Times New Roman" w:hAnsi="Arial Narrow"/>
          <w:sz w:val="24"/>
          <w:szCs w:val="24"/>
        </w:rPr>
        <w:t>; and</w:t>
      </w:r>
    </w:p>
    <w:p w:rsidR="003D42BD" w:rsidRPr="003D42BD" w:rsidRDefault="003D42BD" w:rsidP="003D42BD">
      <w:pPr>
        <w:pStyle w:val="ListParagraph"/>
        <w:numPr>
          <w:ilvl w:val="0"/>
          <w:numId w:val="41"/>
        </w:numPr>
        <w:spacing w:after="0"/>
        <w:rPr>
          <w:rFonts w:ascii="Arial Narrow" w:eastAsia="Times New Roman" w:hAnsi="Arial Narrow"/>
          <w:sz w:val="24"/>
          <w:szCs w:val="24"/>
        </w:rPr>
      </w:pPr>
      <w:r>
        <w:rPr>
          <w:rFonts w:ascii="Arial Narrow" w:eastAsia="Times New Roman" w:hAnsi="Arial Narrow"/>
          <w:sz w:val="24"/>
          <w:szCs w:val="24"/>
        </w:rPr>
        <w:t xml:space="preserve"> </w:t>
      </w:r>
      <w:proofErr w:type="gramStart"/>
      <w:r w:rsidR="000976AB">
        <w:rPr>
          <w:rFonts w:ascii="Arial Narrow" w:eastAsia="Times New Roman" w:hAnsi="Arial Narrow"/>
          <w:sz w:val="24"/>
          <w:szCs w:val="24"/>
        </w:rPr>
        <w:t>multiplying</w:t>
      </w:r>
      <w:proofErr w:type="gramEnd"/>
      <w:r w:rsidR="000976AB">
        <w:rPr>
          <w:rFonts w:ascii="Arial Narrow" w:eastAsia="Times New Roman" w:hAnsi="Arial Narrow"/>
          <w:sz w:val="24"/>
          <w:szCs w:val="24"/>
        </w:rPr>
        <w:t xml:space="preserve"> the closing RAB value by the inflator, which provides a closing RAB as at 1 July 2011 of $</w:t>
      </w:r>
      <w:r w:rsidR="00224A54">
        <w:rPr>
          <w:rFonts w:ascii="Arial Narrow" w:eastAsia="Times New Roman" w:hAnsi="Arial Narrow"/>
          <w:sz w:val="24"/>
          <w:szCs w:val="24"/>
        </w:rPr>
        <w:t>1031.1</w:t>
      </w:r>
      <w:r w:rsidR="000976AB">
        <w:rPr>
          <w:rFonts w:ascii="Arial Narrow" w:eastAsia="Times New Roman" w:hAnsi="Arial Narrow"/>
          <w:sz w:val="24"/>
          <w:szCs w:val="24"/>
        </w:rPr>
        <w:t>m.</w:t>
      </w:r>
    </w:p>
    <w:p w:rsidR="003D42BD" w:rsidRDefault="003D42BD" w:rsidP="00033920">
      <w:pPr>
        <w:spacing w:after="0"/>
        <w:rPr>
          <w:rFonts w:ascii="Arial Narrow" w:eastAsia="Times New Roman" w:hAnsi="Arial Narrow"/>
          <w:sz w:val="24"/>
          <w:szCs w:val="24"/>
        </w:rPr>
      </w:pPr>
    </w:p>
    <w:p w:rsidR="003D42BD" w:rsidRDefault="000976AB" w:rsidP="00033920">
      <w:pPr>
        <w:spacing w:after="0"/>
        <w:rPr>
          <w:rFonts w:ascii="Arial Narrow" w:eastAsia="Times New Roman" w:hAnsi="Arial Narrow"/>
          <w:sz w:val="24"/>
          <w:szCs w:val="24"/>
        </w:rPr>
      </w:pPr>
      <w:r>
        <w:rPr>
          <w:rFonts w:ascii="Arial Narrow" w:eastAsia="Times New Roman" w:hAnsi="Arial Narrow"/>
          <w:sz w:val="24"/>
          <w:szCs w:val="24"/>
        </w:rPr>
        <w:t xml:space="preserve">Envestra has clearly set this calculation out in the ESCOSA RAB roll forward model. This value is then taken into the AER’s PTRM and rolled forward according to its preferred approach. Envestra notes that this issue reflects one of the key matters required in not only transitioning over to a new regulator but in moving from a “real” regulatory regime to a “nominal” regulatory regime. </w:t>
      </w:r>
    </w:p>
    <w:p w:rsidR="000976AB" w:rsidRDefault="000976AB" w:rsidP="00033920">
      <w:pPr>
        <w:spacing w:after="0"/>
        <w:rPr>
          <w:rFonts w:ascii="Arial Narrow" w:eastAsia="Times New Roman" w:hAnsi="Arial Narrow"/>
          <w:sz w:val="24"/>
          <w:szCs w:val="24"/>
        </w:rPr>
      </w:pPr>
    </w:p>
    <w:p w:rsidR="00033920" w:rsidRPr="00033920" w:rsidRDefault="00033920" w:rsidP="00033920">
      <w:pPr>
        <w:spacing w:after="0"/>
        <w:rPr>
          <w:rFonts w:ascii="Arial Narrow" w:eastAsia="Times New Roman" w:hAnsi="Arial Narrow"/>
          <w:sz w:val="24"/>
          <w:szCs w:val="24"/>
        </w:rPr>
      </w:pPr>
    </w:p>
    <w:p w:rsidR="000A3EA6" w:rsidRPr="000976AB" w:rsidRDefault="003D5A59" w:rsidP="000976AB">
      <w:pPr>
        <w:pStyle w:val="AERbodytext"/>
        <w:numPr>
          <w:ilvl w:val="0"/>
          <w:numId w:val="8"/>
        </w:numPr>
        <w:tabs>
          <w:tab w:val="left" w:pos="567"/>
        </w:tabs>
        <w:spacing w:after="0"/>
        <w:ind w:left="567" w:hanging="567"/>
        <w:jc w:val="both"/>
        <w:rPr>
          <w:rFonts w:ascii="Arial Narrow" w:hAnsi="Arial Narrow"/>
          <w:b/>
        </w:rPr>
      </w:pPr>
      <w:r w:rsidRPr="000976AB">
        <w:rPr>
          <w:rFonts w:ascii="Arial Narrow" w:hAnsi="Arial Narrow"/>
          <w:b/>
        </w:rPr>
        <w:t>Actual versus Forecast Depreciation</w:t>
      </w:r>
      <w:r w:rsidR="006E2DD0" w:rsidRPr="000976AB">
        <w:rPr>
          <w:rFonts w:ascii="Arial Narrow" w:hAnsi="Arial Narrow"/>
          <w:b/>
        </w:rPr>
        <w:t xml:space="preserve"> </w:t>
      </w:r>
      <w:r w:rsidR="00C066FE">
        <w:rPr>
          <w:rFonts w:ascii="Arial Narrow" w:hAnsi="Arial Narrow"/>
          <w:b/>
        </w:rPr>
        <w:t>from 1 July 2011</w:t>
      </w:r>
    </w:p>
    <w:p w:rsidR="000976AB" w:rsidRDefault="000976AB" w:rsidP="00DE4CC7">
      <w:pPr>
        <w:pStyle w:val="AERbodytext"/>
        <w:spacing w:after="0"/>
        <w:jc w:val="both"/>
        <w:rPr>
          <w:rFonts w:ascii="Arial Narrow" w:hAnsi="Arial Narrow"/>
        </w:rPr>
      </w:pPr>
    </w:p>
    <w:p w:rsidR="000976AB" w:rsidRDefault="000976AB" w:rsidP="00DE4CC7">
      <w:pPr>
        <w:pStyle w:val="AERbodytext"/>
        <w:spacing w:after="0"/>
        <w:jc w:val="both"/>
        <w:rPr>
          <w:rFonts w:ascii="Arial Narrow" w:hAnsi="Arial Narrow"/>
        </w:rPr>
      </w:pPr>
      <w:r>
        <w:rPr>
          <w:rFonts w:ascii="Arial Narrow" w:hAnsi="Arial Narrow"/>
        </w:rPr>
        <w:t xml:space="preserve">As already noted, Envestra has accepted the AER preference to apply forecast depreciation in rolling forward the RAB over the current regulatory period. </w:t>
      </w:r>
    </w:p>
    <w:p w:rsidR="000976AB" w:rsidRDefault="000976AB" w:rsidP="00DE4CC7">
      <w:pPr>
        <w:pStyle w:val="AERbodytext"/>
        <w:spacing w:after="0"/>
        <w:jc w:val="both"/>
        <w:rPr>
          <w:rFonts w:ascii="Arial Narrow" w:hAnsi="Arial Narrow"/>
        </w:rPr>
      </w:pPr>
    </w:p>
    <w:p w:rsidR="00DE4CC7" w:rsidRDefault="000976AB" w:rsidP="00DE4CC7">
      <w:pPr>
        <w:pStyle w:val="AERbodytext"/>
        <w:spacing w:after="0"/>
        <w:jc w:val="both"/>
        <w:rPr>
          <w:rFonts w:ascii="Arial Narrow" w:hAnsi="Arial Narrow"/>
        </w:rPr>
      </w:pPr>
      <w:r>
        <w:rPr>
          <w:rFonts w:ascii="Arial Narrow" w:hAnsi="Arial Narrow"/>
        </w:rPr>
        <w:t xml:space="preserve">Despite this, Envestra has a strong preference to apply actual depreciation to adjust its RAB and proposed that this approach be applied in rolling forward the RAB from 1 July 2011. </w:t>
      </w:r>
      <w:r w:rsidR="00C066FE">
        <w:rPr>
          <w:rFonts w:ascii="Arial Narrow" w:hAnsi="Arial Narrow"/>
        </w:rPr>
        <w:t>This primarily reflects that the u</w:t>
      </w:r>
      <w:r w:rsidR="00215BC0" w:rsidRPr="00DE4CC7">
        <w:rPr>
          <w:rFonts w:ascii="Arial Narrow" w:hAnsi="Arial Narrow"/>
        </w:rPr>
        <w:t>se of ac</w:t>
      </w:r>
      <w:r w:rsidR="00DE4CC7" w:rsidRPr="00DE4CC7">
        <w:rPr>
          <w:rFonts w:ascii="Arial Narrow" w:hAnsi="Arial Narrow"/>
        </w:rPr>
        <w:t>tual depreciation in</w:t>
      </w:r>
      <w:r w:rsidR="00215BC0" w:rsidRPr="00DE4CC7">
        <w:rPr>
          <w:rFonts w:ascii="Arial Narrow" w:hAnsi="Arial Narrow"/>
        </w:rPr>
        <w:t xml:space="preserve"> </w:t>
      </w:r>
      <w:r w:rsidR="00C066FE">
        <w:rPr>
          <w:rFonts w:ascii="Arial Narrow" w:hAnsi="Arial Narrow"/>
        </w:rPr>
        <w:t xml:space="preserve">adjusting the RAB strengthens the incentives to improve efficiencies, particularly in cases where </w:t>
      </w:r>
      <w:r w:rsidR="00224A54">
        <w:rPr>
          <w:rFonts w:ascii="Arial Narrow" w:hAnsi="Arial Narrow"/>
        </w:rPr>
        <w:t>capital expenditure</w:t>
      </w:r>
      <w:r w:rsidR="00C066FE">
        <w:rPr>
          <w:rFonts w:ascii="Arial Narrow" w:hAnsi="Arial Narrow"/>
        </w:rPr>
        <w:t xml:space="preserve"> is not included in the ECM. </w:t>
      </w:r>
    </w:p>
    <w:p w:rsidR="006A61B4" w:rsidRDefault="006A61B4" w:rsidP="00DE4CC7">
      <w:pPr>
        <w:pStyle w:val="AERbodytext"/>
        <w:spacing w:after="0"/>
        <w:jc w:val="both"/>
        <w:rPr>
          <w:rFonts w:ascii="Arial Narrow" w:hAnsi="Arial Narrow"/>
        </w:rPr>
      </w:pPr>
    </w:p>
    <w:p w:rsidR="00B05F26" w:rsidRDefault="00B05F26" w:rsidP="00DE4CC7">
      <w:pPr>
        <w:pStyle w:val="AERbodytext"/>
        <w:spacing w:after="0"/>
        <w:jc w:val="both"/>
        <w:rPr>
          <w:rFonts w:ascii="Arial Narrow" w:hAnsi="Arial Narrow"/>
        </w:rPr>
      </w:pPr>
      <w:r>
        <w:rPr>
          <w:rFonts w:ascii="Arial Narrow" w:hAnsi="Arial Narrow"/>
        </w:rPr>
        <w:t>Th</w:t>
      </w:r>
      <w:r w:rsidR="006758CF">
        <w:rPr>
          <w:rFonts w:ascii="Arial Narrow" w:hAnsi="Arial Narrow"/>
        </w:rPr>
        <w:t>is</w:t>
      </w:r>
      <w:r>
        <w:rPr>
          <w:rFonts w:ascii="Arial Narrow" w:hAnsi="Arial Narrow"/>
        </w:rPr>
        <w:t xml:space="preserve"> section</w:t>
      </w:r>
      <w:r w:rsidR="00C066FE">
        <w:rPr>
          <w:rFonts w:ascii="Arial Narrow" w:hAnsi="Arial Narrow"/>
        </w:rPr>
        <w:t xml:space="preserve"> addresse</w:t>
      </w:r>
      <w:r>
        <w:rPr>
          <w:rFonts w:ascii="Arial Narrow" w:hAnsi="Arial Narrow"/>
        </w:rPr>
        <w:t xml:space="preserve">s </w:t>
      </w:r>
      <w:r w:rsidR="00C066FE">
        <w:rPr>
          <w:rFonts w:ascii="Arial Narrow" w:hAnsi="Arial Narrow"/>
        </w:rPr>
        <w:t>the matters raised by the AER in support of applying forecast depreciation as opposed to actual depreciation.</w:t>
      </w:r>
      <w:r>
        <w:rPr>
          <w:rFonts w:ascii="Arial Narrow" w:hAnsi="Arial Narrow"/>
        </w:rPr>
        <w:t xml:space="preserve">  </w:t>
      </w:r>
    </w:p>
    <w:p w:rsidR="006758CF" w:rsidRDefault="006758CF" w:rsidP="00DE4CC7">
      <w:pPr>
        <w:pStyle w:val="AERbodytext"/>
        <w:spacing w:after="0"/>
        <w:jc w:val="both"/>
        <w:rPr>
          <w:rFonts w:ascii="Arial Narrow" w:hAnsi="Arial Narrow"/>
        </w:rPr>
      </w:pPr>
    </w:p>
    <w:p w:rsidR="006758CF" w:rsidRDefault="006758CF" w:rsidP="00DE4CC7">
      <w:pPr>
        <w:pStyle w:val="AERbodytext"/>
        <w:spacing w:after="0"/>
        <w:jc w:val="both"/>
        <w:rPr>
          <w:rFonts w:ascii="Arial Narrow" w:hAnsi="Arial Narrow"/>
        </w:rPr>
      </w:pPr>
    </w:p>
    <w:p w:rsidR="006758CF" w:rsidRDefault="006758CF" w:rsidP="00DE4CC7">
      <w:pPr>
        <w:pStyle w:val="AERbodytext"/>
        <w:spacing w:after="0"/>
        <w:jc w:val="both"/>
        <w:rPr>
          <w:rFonts w:ascii="Arial Narrow" w:hAnsi="Arial Narrow"/>
        </w:rPr>
      </w:pPr>
    </w:p>
    <w:p w:rsidR="00DE4CC7" w:rsidRDefault="00DE4CC7" w:rsidP="00DE4CC7">
      <w:pPr>
        <w:pStyle w:val="AERbodytext"/>
        <w:spacing w:after="0"/>
        <w:jc w:val="both"/>
        <w:rPr>
          <w:rFonts w:ascii="Arial Narrow" w:hAnsi="Arial Narrow"/>
        </w:rPr>
      </w:pPr>
    </w:p>
    <w:p w:rsidR="00761D72" w:rsidRPr="00490F79" w:rsidRDefault="00B05F26" w:rsidP="00215BC0">
      <w:pPr>
        <w:pStyle w:val="AERbodytext"/>
        <w:numPr>
          <w:ilvl w:val="1"/>
          <w:numId w:val="8"/>
        </w:numPr>
        <w:tabs>
          <w:tab w:val="clear" w:pos="576"/>
          <w:tab w:val="left" w:pos="567"/>
        </w:tabs>
        <w:spacing w:after="0"/>
        <w:jc w:val="both"/>
        <w:rPr>
          <w:rFonts w:ascii="Arial Narrow" w:hAnsi="Arial Narrow"/>
          <w:b/>
        </w:rPr>
      </w:pPr>
      <w:bookmarkStart w:id="0" w:name="_Toc440427245"/>
      <w:bookmarkStart w:id="1" w:name="_Toc440427326"/>
      <w:bookmarkStart w:id="2" w:name="_Toc440802114"/>
      <w:bookmarkStart w:id="3" w:name="_Toc440863761"/>
      <w:bookmarkStart w:id="4" w:name="_Toc440878481"/>
      <w:bookmarkStart w:id="5" w:name="_Toc441314912"/>
      <w:bookmarkStart w:id="6" w:name="_Toc441476009"/>
      <w:bookmarkStart w:id="7" w:name="_Toc441476312"/>
      <w:bookmarkStart w:id="8" w:name="_Toc442070565"/>
      <w:bookmarkStart w:id="9" w:name="_Toc442089922"/>
      <w:bookmarkStart w:id="10" w:name="_Toc442239072"/>
      <w:bookmarkStart w:id="11" w:name="_Toc442493006"/>
      <w:bookmarkStart w:id="12" w:name="_Toc442499091"/>
      <w:bookmarkStart w:id="13" w:name="_Toc442519965"/>
      <w:bookmarkStart w:id="14" w:name="_Toc442845093"/>
      <w:bookmarkStart w:id="15" w:name="_Toc443112413"/>
      <w:bookmarkStart w:id="16" w:name="_Toc443206023"/>
      <w:bookmarkStart w:id="17" w:name="_Toc115585367"/>
      <w:r>
        <w:rPr>
          <w:rFonts w:ascii="Arial Narrow" w:hAnsi="Arial Narrow"/>
          <w:b/>
        </w:rPr>
        <w:lastRenderedPageBreak/>
        <w:t>Differences between Gas and Electricity Networks</w:t>
      </w:r>
    </w:p>
    <w:p w:rsidR="00761D72" w:rsidRDefault="00761D72" w:rsidP="003D5A59">
      <w:pPr>
        <w:spacing w:after="0"/>
        <w:rPr>
          <w:rFonts w:ascii="Arial Narrow" w:eastAsia="Times New Roman" w:hAnsi="Arial Narrow"/>
          <w:sz w:val="24"/>
          <w:szCs w:val="24"/>
        </w:rPr>
      </w:pPr>
    </w:p>
    <w:p w:rsidR="00C066FE" w:rsidRDefault="00C066FE" w:rsidP="003D5A59">
      <w:pPr>
        <w:spacing w:after="0"/>
        <w:rPr>
          <w:rFonts w:ascii="Arial Narrow" w:eastAsia="Times New Roman" w:hAnsi="Arial Narrow"/>
          <w:sz w:val="24"/>
          <w:szCs w:val="24"/>
        </w:rPr>
      </w:pPr>
      <w:r>
        <w:rPr>
          <w:rFonts w:ascii="Arial Narrow" w:eastAsia="Times New Roman" w:hAnsi="Arial Narrow"/>
          <w:sz w:val="24"/>
          <w:szCs w:val="24"/>
        </w:rPr>
        <w:t>The AER applies a</w:t>
      </w:r>
      <w:r w:rsidR="00D55CFB">
        <w:rPr>
          <w:rFonts w:ascii="Arial Narrow" w:eastAsia="Times New Roman" w:hAnsi="Arial Narrow"/>
          <w:sz w:val="24"/>
          <w:szCs w:val="24"/>
        </w:rPr>
        <w:t xml:space="preserve">ctual depreciation to </w:t>
      </w:r>
      <w:r>
        <w:rPr>
          <w:rFonts w:ascii="Arial Narrow" w:eastAsia="Times New Roman" w:hAnsi="Arial Narrow"/>
          <w:sz w:val="24"/>
          <w:szCs w:val="24"/>
        </w:rPr>
        <w:t xml:space="preserve">adjust the RAB for </w:t>
      </w:r>
      <w:r w:rsidR="00D55CFB">
        <w:rPr>
          <w:rFonts w:ascii="Arial Narrow" w:eastAsia="Times New Roman" w:hAnsi="Arial Narrow"/>
          <w:sz w:val="24"/>
          <w:szCs w:val="24"/>
        </w:rPr>
        <w:t xml:space="preserve">electricity distributors. However, </w:t>
      </w:r>
      <w:r>
        <w:rPr>
          <w:rFonts w:ascii="Arial Narrow" w:eastAsia="Times New Roman" w:hAnsi="Arial Narrow"/>
          <w:sz w:val="24"/>
          <w:szCs w:val="24"/>
        </w:rPr>
        <w:t xml:space="preserve">the AER has argued in its Draft Decision that forecast </w:t>
      </w:r>
      <w:r w:rsidR="000A34A2">
        <w:rPr>
          <w:rFonts w:ascii="Arial Narrow" w:eastAsia="Times New Roman" w:hAnsi="Arial Narrow"/>
          <w:sz w:val="24"/>
          <w:szCs w:val="24"/>
        </w:rPr>
        <w:t xml:space="preserve">depreciation </w:t>
      </w:r>
      <w:r>
        <w:rPr>
          <w:rFonts w:ascii="Arial Narrow" w:eastAsia="Times New Roman" w:hAnsi="Arial Narrow"/>
          <w:sz w:val="24"/>
          <w:szCs w:val="24"/>
        </w:rPr>
        <w:t xml:space="preserve">is more appropriate for the </w:t>
      </w:r>
      <w:r w:rsidR="003D5A59" w:rsidRPr="003D5A59">
        <w:rPr>
          <w:rFonts w:ascii="Arial Narrow" w:eastAsia="Times New Roman" w:hAnsi="Arial Narrow"/>
          <w:sz w:val="24"/>
          <w:szCs w:val="24"/>
        </w:rPr>
        <w:t xml:space="preserve">gas sector because ‘gas distributors generally operate in a less dynamic market, which can give them scope to defer expenditure as the situation allows’.   </w:t>
      </w:r>
    </w:p>
    <w:p w:rsidR="00C066FE" w:rsidRDefault="00C066FE" w:rsidP="003D5A59">
      <w:pPr>
        <w:spacing w:after="0"/>
        <w:rPr>
          <w:rFonts w:ascii="Arial Narrow" w:eastAsia="Times New Roman" w:hAnsi="Arial Narrow"/>
          <w:sz w:val="24"/>
          <w:szCs w:val="24"/>
        </w:rPr>
      </w:pPr>
    </w:p>
    <w:p w:rsidR="003D5A59" w:rsidRPr="003D5A59" w:rsidRDefault="003D5A59" w:rsidP="003D5A59">
      <w:pPr>
        <w:spacing w:after="0"/>
        <w:rPr>
          <w:rFonts w:ascii="Arial Narrow" w:eastAsia="Times New Roman" w:hAnsi="Arial Narrow"/>
          <w:sz w:val="24"/>
          <w:szCs w:val="24"/>
        </w:rPr>
      </w:pPr>
      <w:r w:rsidRPr="003D5A59">
        <w:rPr>
          <w:rFonts w:ascii="Arial Narrow" w:eastAsia="Times New Roman" w:hAnsi="Arial Narrow"/>
          <w:sz w:val="24"/>
          <w:szCs w:val="24"/>
        </w:rPr>
        <w:t xml:space="preserve">The AER </w:t>
      </w:r>
      <w:r w:rsidR="000A34A2">
        <w:rPr>
          <w:rFonts w:ascii="Arial Narrow" w:eastAsia="Times New Roman" w:hAnsi="Arial Narrow"/>
          <w:sz w:val="24"/>
          <w:szCs w:val="24"/>
        </w:rPr>
        <w:t xml:space="preserve">has </w:t>
      </w:r>
      <w:r w:rsidRPr="003D5A59">
        <w:rPr>
          <w:rFonts w:ascii="Arial Narrow" w:eastAsia="Times New Roman" w:hAnsi="Arial Narrow"/>
          <w:sz w:val="24"/>
          <w:szCs w:val="24"/>
        </w:rPr>
        <w:t>also pointed to the absence of</w:t>
      </w:r>
      <w:r w:rsidR="000A34A2">
        <w:rPr>
          <w:rFonts w:ascii="Arial Narrow" w:eastAsia="Times New Roman" w:hAnsi="Arial Narrow"/>
          <w:sz w:val="24"/>
          <w:szCs w:val="24"/>
        </w:rPr>
        <w:t xml:space="preserve"> a</w:t>
      </w:r>
      <w:r w:rsidRPr="003D5A59">
        <w:rPr>
          <w:rFonts w:ascii="Arial Narrow" w:eastAsia="Times New Roman" w:hAnsi="Arial Narrow"/>
          <w:sz w:val="24"/>
          <w:szCs w:val="24"/>
        </w:rPr>
        <w:t xml:space="preserve"> formal service quality incentive sc</w:t>
      </w:r>
      <w:r w:rsidR="000A34A2">
        <w:rPr>
          <w:rFonts w:ascii="Arial Narrow" w:eastAsia="Times New Roman" w:hAnsi="Arial Narrow"/>
          <w:sz w:val="24"/>
          <w:szCs w:val="24"/>
        </w:rPr>
        <w:t xml:space="preserve">heme in the gas sector, </w:t>
      </w:r>
      <w:r w:rsidRPr="003D5A59">
        <w:rPr>
          <w:rFonts w:ascii="Arial Narrow" w:eastAsia="Times New Roman" w:hAnsi="Arial Narrow"/>
          <w:sz w:val="24"/>
          <w:szCs w:val="24"/>
        </w:rPr>
        <w:t>implying that there is less incentive to direct expenditure towards improving service quality.   On this basis, the AER considered that the forecast depreciation approach is neutral in terms of its impa</w:t>
      </w:r>
      <w:r w:rsidR="006E2DD0">
        <w:rPr>
          <w:rFonts w:ascii="Arial Narrow" w:eastAsia="Times New Roman" w:hAnsi="Arial Narrow"/>
          <w:sz w:val="24"/>
          <w:szCs w:val="24"/>
        </w:rPr>
        <w:t>ct on a busines</w:t>
      </w:r>
      <w:r w:rsidR="000A34A2">
        <w:rPr>
          <w:rFonts w:ascii="Arial Narrow" w:eastAsia="Times New Roman" w:hAnsi="Arial Narrow"/>
          <w:sz w:val="24"/>
          <w:szCs w:val="24"/>
        </w:rPr>
        <w:t>se</w:t>
      </w:r>
      <w:r w:rsidR="006E2DD0">
        <w:rPr>
          <w:rFonts w:ascii="Arial Narrow" w:eastAsia="Times New Roman" w:hAnsi="Arial Narrow"/>
          <w:sz w:val="24"/>
          <w:szCs w:val="24"/>
        </w:rPr>
        <w:t>s spending on cape</w:t>
      </w:r>
      <w:r w:rsidR="000A34A2">
        <w:rPr>
          <w:rFonts w:ascii="Arial Narrow" w:eastAsia="Times New Roman" w:hAnsi="Arial Narrow"/>
          <w:sz w:val="24"/>
          <w:szCs w:val="24"/>
        </w:rPr>
        <w:t>x</w:t>
      </w:r>
      <w:r w:rsidRPr="003D5A59">
        <w:rPr>
          <w:rFonts w:ascii="Arial Narrow" w:eastAsia="Times New Roman" w:hAnsi="Arial Narrow"/>
          <w:sz w:val="24"/>
          <w:szCs w:val="24"/>
        </w:rPr>
        <w:t>.</w:t>
      </w:r>
    </w:p>
    <w:p w:rsidR="003D5A59" w:rsidRPr="003D5A59" w:rsidRDefault="003D5A59" w:rsidP="003D5A59">
      <w:pPr>
        <w:spacing w:after="0"/>
        <w:rPr>
          <w:rFonts w:ascii="Arial Narrow" w:eastAsia="Times New Roman" w:hAnsi="Arial Narrow"/>
          <w:sz w:val="24"/>
          <w:szCs w:val="24"/>
        </w:rPr>
      </w:pPr>
    </w:p>
    <w:p w:rsidR="003D5A59" w:rsidRPr="003D5A59" w:rsidRDefault="003D5A59" w:rsidP="003D5A59">
      <w:pPr>
        <w:spacing w:after="0"/>
        <w:rPr>
          <w:rFonts w:ascii="Arial Narrow" w:eastAsia="Times New Roman" w:hAnsi="Arial Narrow"/>
          <w:sz w:val="24"/>
          <w:szCs w:val="24"/>
        </w:rPr>
      </w:pPr>
      <w:r w:rsidRPr="003D5A59">
        <w:rPr>
          <w:rFonts w:ascii="Arial Narrow" w:eastAsia="Times New Roman" w:hAnsi="Arial Narrow"/>
          <w:sz w:val="24"/>
          <w:szCs w:val="24"/>
        </w:rPr>
        <w:t xml:space="preserve">Envestra disagrees with these assertions because gas, unlike electricity, is a fuel of choice.   Whilst no formal service quality incentive regime is in place, if consumers are dissatisfied with the level of Envestra’s service, they have the option </w:t>
      </w:r>
      <w:r w:rsidR="000A34A2">
        <w:rPr>
          <w:rFonts w:ascii="Arial Narrow" w:eastAsia="Times New Roman" w:hAnsi="Arial Narrow"/>
          <w:sz w:val="24"/>
          <w:szCs w:val="24"/>
        </w:rPr>
        <w:t xml:space="preserve">of </w:t>
      </w:r>
      <w:r w:rsidRPr="003D5A59">
        <w:rPr>
          <w:rFonts w:ascii="Arial Narrow" w:eastAsia="Times New Roman" w:hAnsi="Arial Narrow"/>
          <w:sz w:val="24"/>
          <w:szCs w:val="24"/>
        </w:rPr>
        <w:t>revert</w:t>
      </w:r>
      <w:r w:rsidR="000A34A2">
        <w:rPr>
          <w:rFonts w:ascii="Arial Narrow" w:eastAsia="Times New Roman" w:hAnsi="Arial Narrow"/>
          <w:sz w:val="24"/>
          <w:szCs w:val="24"/>
        </w:rPr>
        <w:t xml:space="preserve">ing </w:t>
      </w:r>
      <w:r w:rsidRPr="003D5A59">
        <w:rPr>
          <w:rFonts w:ascii="Arial Narrow" w:eastAsia="Times New Roman" w:hAnsi="Arial Narrow"/>
          <w:sz w:val="24"/>
          <w:szCs w:val="24"/>
        </w:rPr>
        <w:t xml:space="preserve">to electricity </w:t>
      </w:r>
      <w:r w:rsidR="000A34A2">
        <w:rPr>
          <w:rFonts w:ascii="Arial Narrow" w:eastAsia="Times New Roman" w:hAnsi="Arial Narrow"/>
          <w:sz w:val="24"/>
          <w:szCs w:val="24"/>
        </w:rPr>
        <w:t xml:space="preserve">in place of gas for their energy requirements. This provides a continuous incentive for Envestra </w:t>
      </w:r>
      <w:r w:rsidRPr="003D5A59">
        <w:rPr>
          <w:rFonts w:ascii="Arial Narrow" w:eastAsia="Times New Roman" w:hAnsi="Arial Narrow"/>
          <w:sz w:val="24"/>
          <w:szCs w:val="24"/>
        </w:rPr>
        <w:t xml:space="preserve">to direct expenditure towards improving its level of service.  </w:t>
      </w:r>
    </w:p>
    <w:p w:rsidR="003D5A59" w:rsidRPr="003D5A59" w:rsidRDefault="003D5A59" w:rsidP="003D5A59">
      <w:pPr>
        <w:spacing w:after="0"/>
        <w:rPr>
          <w:rFonts w:ascii="Arial Narrow" w:eastAsia="Times New Roman" w:hAnsi="Arial Narrow"/>
          <w:sz w:val="24"/>
          <w:szCs w:val="24"/>
        </w:rPr>
      </w:pPr>
    </w:p>
    <w:p w:rsidR="00215BC0" w:rsidRPr="00490F79" w:rsidRDefault="00DA0E3A" w:rsidP="00215BC0">
      <w:pPr>
        <w:pStyle w:val="AERbodytext"/>
        <w:numPr>
          <w:ilvl w:val="1"/>
          <w:numId w:val="8"/>
        </w:numPr>
        <w:tabs>
          <w:tab w:val="clear" w:pos="576"/>
          <w:tab w:val="left" w:pos="567"/>
        </w:tabs>
        <w:spacing w:after="0"/>
        <w:jc w:val="both"/>
        <w:rPr>
          <w:rFonts w:ascii="Arial Narrow" w:hAnsi="Arial Narrow"/>
          <w:b/>
        </w:rPr>
      </w:pPr>
      <w:r>
        <w:rPr>
          <w:rFonts w:ascii="Arial Narrow" w:hAnsi="Arial Narrow"/>
          <w:b/>
        </w:rPr>
        <w:t>Consistency Across Jurisdictions</w:t>
      </w:r>
    </w:p>
    <w:p w:rsidR="003D5A59" w:rsidRDefault="003D5A59" w:rsidP="003D5A59">
      <w:pPr>
        <w:spacing w:after="0"/>
        <w:rPr>
          <w:rFonts w:ascii="Arial Narrow" w:eastAsia="Times New Roman" w:hAnsi="Arial Narrow"/>
          <w:sz w:val="24"/>
          <w:szCs w:val="24"/>
        </w:rPr>
      </w:pPr>
    </w:p>
    <w:p w:rsidR="004B5B28" w:rsidRDefault="004B5B28" w:rsidP="003D5A59">
      <w:pPr>
        <w:spacing w:after="0"/>
        <w:rPr>
          <w:rFonts w:ascii="Arial Narrow" w:eastAsia="Times New Roman" w:hAnsi="Arial Narrow"/>
          <w:sz w:val="24"/>
          <w:szCs w:val="24"/>
        </w:rPr>
      </w:pPr>
      <w:r>
        <w:rPr>
          <w:rFonts w:ascii="Arial Narrow" w:eastAsia="Times New Roman" w:hAnsi="Arial Narrow"/>
          <w:sz w:val="24"/>
          <w:szCs w:val="24"/>
        </w:rPr>
        <w:t xml:space="preserve">The AER has supported its decision to apply forecast depreciation to Envestra on the basis that this approach is consistent with its previous decisions for gas distributors, namely ActewAGL, Country Energy (Wagga Wagga) and Jemena NSW.  However, each of these networks </w:t>
      </w:r>
      <w:r w:rsidRPr="009F0241">
        <w:rPr>
          <w:rFonts w:ascii="Arial Narrow" w:eastAsia="Times New Roman" w:hAnsi="Arial Narrow"/>
          <w:sz w:val="24"/>
          <w:szCs w:val="24"/>
          <w:u w:val="single"/>
        </w:rPr>
        <w:t>elected</w:t>
      </w:r>
      <w:r>
        <w:rPr>
          <w:rFonts w:ascii="Arial Narrow" w:eastAsia="Times New Roman" w:hAnsi="Arial Narrow"/>
          <w:sz w:val="24"/>
          <w:szCs w:val="24"/>
        </w:rPr>
        <w:t xml:space="preserve">, under rule 90(2) of the NGR, to use a forecast depreciation approach. </w:t>
      </w:r>
    </w:p>
    <w:p w:rsidR="004B5B28" w:rsidRDefault="004B5B28" w:rsidP="003D5A59">
      <w:pPr>
        <w:spacing w:after="0"/>
        <w:rPr>
          <w:rFonts w:ascii="Arial Narrow" w:eastAsia="Times New Roman" w:hAnsi="Arial Narrow"/>
          <w:sz w:val="24"/>
          <w:szCs w:val="24"/>
        </w:rPr>
      </w:pPr>
    </w:p>
    <w:p w:rsidR="00D30EFF" w:rsidRDefault="00D30EFF" w:rsidP="003D5A59">
      <w:pPr>
        <w:spacing w:after="0"/>
        <w:rPr>
          <w:rFonts w:ascii="Arial Narrow" w:eastAsia="Times New Roman" w:hAnsi="Arial Narrow"/>
          <w:sz w:val="24"/>
          <w:szCs w:val="24"/>
        </w:rPr>
      </w:pPr>
      <w:r>
        <w:rPr>
          <w:rFonts w:ascii="Arial Narrow" w:eastAsia="Times New Roman" w:hAnsi="Arial Narrow"/>
          <w:sz w:val="24"/>
          <w:szCs w:val="24"/>
        </w:rPr>
        <w:t xml:space="preserve">While other distributors may have elected to use forecast depreciation, Envestra elects to use actual depreciation, which is the approach applied to electricity distributors. Not accepting Envestra’s proposal to use actual depreciation can not therefore be based on consistency grounds. In any event, there is no reason as to why depreciation needs to be applied consistently across gas businesses. </w:t>
      </w:r>
    </w:p>
    <w:p w:rsidR="00D30EFF" w:rsidRDefault="00D30EFF" w:rsidP="003D5A59">
      <w:pPr>
        <w:spacing w:after="0"/>
        <w:rPr>
          <w:rFonts w:ascii="Arial Narrow" w:eastAsia="Times New Roman" w:hAnsi="Arial Narrow"/>
          <w:sz w:val="24"/>
          <w:szCs w:val="24"/>
        </w:rPr>
      </w:pPr>
    </w:p>
    <w:p w:rsidR="00215BC0" w:rsidRPr="00490F79" w:rsidRDefault="00215BC0" w:rsidP="00215BC0">
      <w:pPr>
        <w:pStyle w:val="AERbodytext"/>
        <w:numPr>
          <w:ilvl w:val="1"/>
          <w:numId w:val="8"/>
        </w:numPr>
        <w:tabs>
          <w:tab w:val="clear" w:pos="576"/>
          <w:tab w:val="left" w:pos="567"/>
        </w:tabs>
        <w:spacing w:after="0"/>
        <w:jc w:val="both"/>
        <w:rPr>
          <w:rFonts w:ascii="Arial Narrow" w:hAnsi="Arial Narrow"/>
          <w:b/>
        </w:rPr>
      </w:pPr>
      <w:r>
        <w:rPr>
          <w:rFonts w:ascii="Arial Narrow" w:hAnsi="Arial Narrow"/>
          <w:b/>
        </w:rPr>
        <w:t>Negative Asset Base</w:t>
      </w:r>
    </w:p>
    <w:p w:rsidR="00215BC0" w:rsidRDefault="00215BC0" w:rsidP="001E0CE3">
      <w:pPr>
        <w:spacing w:after="0"/>
        <w:rPr>
          <w:rFonts w:ascii="Arial Narrow" w:eastAsia="Times New Roman" w:hAnsi="Arial Narrow"/>
          <w:sz w:val="24"/>
          <w:szCs w:val="24"/>
        </w:rPr>
      </w:pPr>
    </w:p>
    <w:p w:rsidR="001E0CE3" w:rsidRDefault="001E0CE3" w:rsidP="001E0CE3">
      <w:pPr>
        <w:spacing w:after="0"/>
        <w:rPr>
          <w:rFonts w:ascii="Arial Narrow" w:eastAsia="Times New Roman" w:hAnsi="Arial Narrow"/>
          <w:sz w:val="24"/>
          <w:szCs w:val="24"/>
        </w:rPr>
      </w:pPr>
      <w:r w:rsidRPr="003D5A59">
        <w:rPr>
          <w:rFonts w:ascii="Arial Narrow" w:eastAsia="Times New Roman" w:hAnsi="Arial Narrow"/>
          <w:sz w:val="24"/>
          <w:szCs w:val="24"/>
        </w:rPr>
        <w:t xml:space="preserve">Envestra notes that the use of forecast depreciation </w:t>
      </w:r>
      <w:r w:rsidR="00D30EFF">
        <w:rPr>
          <w:rFonts w:ascii="Arial Narrow" w:eastAsia="Times New Roman" w:hAnsi="Arial Narrow"/>
          <w:sz w:val="24"/>
          <w:szCs w:val="24"/>
        </w:rPr>
        <w:t xml:space="preserve">can </w:t>
      </w:r>
      <w:r w:rsidRPr="003D5A59">
        <w:rPr>
          <w:rFonts w:ascii="Arial Narrow" w:eastAsia="Times New Roman" w:hAnsi="Arial Narrow"/>
          <w:sz w:val="24"/>
          <w:szCs w:val="24"/>
        </w:rPr>
        <w:t>result in negative asset value</w:t>
      </w:r>
      <w:r w:rsidR="00D30EFF">
        <w:rPr>
          <w:rFonts w:ascii="Arial Narrow" w:eastAsia="Times New Roman" w:hAnsi="Arial Narrow"/>
          <w:sz w:val="24"/>
          <w:szCs w:val="24"/>
        </w:rPr>
        <w:t xml:space="preserve">s, which is </w:t>
      </w:r>
      <w:r>
        <w:rPr>
          <w:rFonts w:ascii="Arial Narrow" w:eastAsia="Times New Roman" w:hAnsi="Arial Narrow"/>
          <w:sz w:val="24"/>
          <w:szCs w:val="24"/>
        </w:rPr>
        <w:t xml:space="preserve">inconsistent with normal accounting practice. </w:t>
      </w:r>
      <w:r w:rsidR="00127DA4">
        <w:rPr>
          <w:rFonts w:ascii="Arial Narrow" w:eastAsia="Times New Roman" w:hAnsi="Arial Narrow"/>
          <w:sz w:val="24"/>
          <w:szCs w:val="24"/>
        </w:rPr>
        <w:t>Incorporating negative RAB values is contrary to section 24(2) of the National Gas Law</w:t>
      </w:r>
      <w:r w:rsidR="000370EB">
        <w:rPr>
          <w:rFonts w:ascii="Arial Narrow" w:eastAsia="Times New Roman" w:hAnsi="Arial Narrow"/>
          <w:sz w:val="24"/>
          <w:szCs w:val="24"/>
        </w:rPr>
        <w:t xml:space="preserve"> (NGL)</w:t>
      </w:r>
      <w:r w:rsidR="00127DA4">
        <w:rPr>
          <w:rFonts w:ascii="Arial Narrow" w:eastAsia="Times New Roman" w:hAnsi="Arial Narrow"/>
          <w:sz w:val="24"/>
          <w:szCs w:val="24"/>
        </w:rPr>
        <w:t xml:space="preserve">, which section states that Envestra must be provided with a reasonable opportunity to recover its efficient costs. Including negative asset values is contrary to this requirement. </w:t>
      </w:r>
    </w:p>
    <w:p w:rsidR="00D30EFF" w:rsidRDefault="00D30EFF" w:rsidP="001E0CE3">
      <w:pPr>
        <w:spacing w:after="0"/>
        <w:rPr>
          <w:rFonts w:ascii="Arial Narrow" w:eastAsia="Times New Roman" w:hAnsi="Arial Narrow"/>
          <w:sz w:val="24"/>
          <w:szCs w:val="24"/>
        </w:rPr>
      </w:pPr>
    </w:p>
    <w:p w:rsidR="00332C83" w:rsidRPr="00490F79" w:rsidRDefault="00332C83" w:rsidP="00332C83">
      <w:pPr>
        <w:pStyle w:val="AERbodytext"/>
        <w:numPr>
          <w:ilvl w:val="1"/>
          <w:numId w:val="8"/>
        </w:numPr>
        <w:tabs>
          <w:tab w:val="clear" w:pos="576"/>
          <w:tab w:val="left" w:pos="567"/>
        </w:tabs>
        <w:spacing w:after="0"/>
        <w:jc w:val="both"/>
        <w:rPr>
          <w:rFonts w:ascii="Arial Narrow" w:hAnsi="Arial Narrow"/>
          <w:b/>
        </w:rPr>
      </w:pPr>
      <w:r>
        <w:rPr>
          <w:rFonts w:ascii="Arial Narrow" w:hAnsi="Arial Narrow"/>
          <w:b/>
        </w:rPr>
        <w:t>Concluding Remarks</w:t>
      </w:r>
    </w:p>
    <w:p w:rsidR="00215BC0" w:rsidRDefault="00215BC0" w:rsidP="003D5A59">
      <w:pPr>
        <w:spacing w:after="0"/>
        <w:rPr>
          <w:rFonts w:ascii="Arial Narrow" w:eastAsia="Times New Roman" w:hAnsi="Arial Narrow"/>
          <w:sz w:val="24"/>
          <w:szCs w:val="24"/>
        </w:rPr>
      </w:pPr>
    </w:p>
    <w:p w:rsidR="00127DA4" w:rsidRDefault="00127DA4" w:rsidP="003D5A59">
      <w:pPr>
        <w:spacing w:after="0"/>
        <w:rPr>
          <w:rFonts w:ascii="Arial Narrow" w:eastAsia="Times New Roman" w:hAnsi="Arial Narrow"/>
          <w:sz w:val="24"/>
          <w:szCs w:val="24"/>
        </w:rPr>
      </w:pPr>
      <w:r w:rsidRPr="003D5A59">
        <w:rPr>
          <w:rFonts w:ascii="Arial Narrow" w:eastAsia="Times New Roman" w:hAnsi="Arial Narrow"/>
          <w:sz w:val="24"/>
          <w:szCs w:val="24"/>
        </w:rPr>
        <w:t xml:space="preserve">Envestra notes that r. 90(2) of the </w:t>
      </w:r>
      <w:r w:rsidR="006758CF">
        <w:rPr>
          <w:rFonts w:ascii="Arial Narrow" w:eastAsia="Times New Roman" w:hAnsi="Arial Narrow"/>
          <w:sz w:val="24"/>
          <w:szCs w:val="24"/>
        </w:rPr>
        <w:t>National Gas Rules (</w:t>
      </w:r>
      <w:r w:rsidRPr="003D5A59">
        <w:rPr>
          <w:rFonts w:ascii="Arial Narrow" w:eastAsia="Times New Roman" w:hAnsi="Arial Narrow"/>
          <w:sz w:val="24"/>
          <w:szCs w:val="24"/>
        </w:rPr>
        <w:t>NGR</w:t>
      </w:r>
      <w:r w:rsidR="006758CF">
        <w:rPr>
          <w:rFonts w:ascii="Arial Narrow" w:eastAsia="Times New Roman" w:hAnsi="Arial Narrow"/>
          <w:sz w:val="24"/>
          <w:szCs w:val="24"/>
        </w:rPr>
        <w:t>)</w:t>
      </w:r>
      <w:r w:rsidRPr="003D5A59">
        <w:rPr>
          <w:rFonts w:ascii="Arial Narrow" w:eastAsia="Times New Roman" w:hAnsi="Arial Narrow"/>
          <w:sz w:val="24"/>
          <w:szCs w:val="24"/>
        </w:rPr>
        <w:t xml:space="preserve"> requires that</w:t>
      </w:r>
      <w:r w:rsidR="006758CF">
        <w:rPr>
          <w:rFonts w:ascii="Arial Narrow" w:eastAsia="Times New Roman" w:hAnsi="Arial Narrow"/>
          <w:sz w:val="24"/>
          <w:szCs w:val="24"/>
        </w:rPr>
        <w:t>,</w:t>
      </w:r>
      <w:r w:rsidRPr="003D5A59">
        <w:rPr>
          <w:rFonts w:ascii="Arial Narrow" w:eastAsia="Times New Roman" w:hAnsi="Arial Narrow"/>
          <w:sz w:val="24"/>
          <w:szCs w:val="24"/>
        </w:rPr>
        <w:t xml:space="preserve"> in calculating depreciation for rolling forward the opening asset base from one access arrangement period to the next</w:t>
      </w:r>
      <w:r w:rsidR="006758CF">
        <w:rPr>
          <w:rFonts w:ascii="Arial Narrow" w:eastAsia="Times New Roman" w:hAnsi="Arial Narrow"/>
          <w:sz w:val="24"/>
          <w:szCs w:val="24"/>
        </w:rPr>
        <w:t>,</w:t>
      </w:r>
      <w:r w:rsidRPr="003D5A59">
        <w:rPr>
          <w:rFonts w:ascii="Arial Narrow" w:eastAsia="Times New Roman" w:hAnsi="Arial Narrow"/>
          <w:sz w:val="24"/>
          <w:szCs w:val="24"/>
        </w:rPr>
        <w:t xml:space="preserve"> ‘the provisions must resolve whether depreciation of the capital base is to be based on forecast or</w:t>
      </w:r>
      <w:r>
        <w:rPr>
          <w:rFonts w:ascii="Arial Narrow" w:eastAsia="Times New Roman" w:hAnsi="Arial Narrow"/>
          <w:sz w:val="24"/>
          <w:szCs w:val="24"/>
        </w:rPr>
        <w:t xml:space="preserve"> actual capital expenditure’. Envestra has elected to apply actual depreciation to adjust the RAB from 1 July 2011. </w:t>
      </w:r>
    </w:p>
    <w:p w:rsidR="00127DA4" w:rsidRDefault="00127DA4" w:rsidP="003D5A59">
      <w:pPr>
        <w:spacing w:after="0"/>
        <w:rPr>
          <w:rFonts w:ascii="Arial Narrow" w:eastAsia="Times New Roman" w:hAnsi="Arial Narrow"/>
          <w:sz w:val="24"/>
          <w:szCs w:val="24"/>
        </w:rPr>
      </w:pPr>
    </w:p>
    <w:p w:rsidR="000370EB" w:rsidRDefault="00127DA4" w:rsidP="003D5A59">
      <w:pPr>
        <w:spacing w:after="0"/>
        <w:rPr>
          <w:rFonts w:ascii="Arial Narrow" w:eastAsia="Times New Roman" w:hAnsi="Arial Narrow"/>
          <w:sz w:val="24"/>
          <w:szCs w:val="24"/>
        </w:rPr>
      </w:pPr>
      <w:r>
        <w:rPr>
          <w:rFonts w:ascii="Arial Narrow" w:eastAsia="Times New Roman" w:hAnsi="Arial Narrow"/>
          <w:sz w:val="24"/>
          <w:szCs w:val="24"/>
        </w:rPr>
        <w:t>The primary reason for adopting actual depreciation is that it strengthens the incentives on Envestra to incur efficien</w:t>
      </w:r>
      <w:r w:rsidR="006758CF">
        <w:rPr>
          <w:rFonts w:ascii="Arial Narrow" w:eastAsia="Times New Roman" w:hAnsi="Arial Narrow"/>
          <w:sz w:val="24"/>
          <w:szCs w:val="24"/>
        </w:rPr>
        <w:t xml:space="preserve">t </w:t>
      </w:r>
      <w:r>
        <w:rPr>
          <w:rFonts w:ascii="Arial Narrow" w:eastAsia="Times New Roman" w:hAnsi="Arial Narrow"/>
          <w:sz w:val="24"/>
          <w:szCs w:val="24"/>
        </w:rPr>
        <w:t xml:space="preserve">expenditure, particularly </w:t>
      </w:r>
      <w:r w:rsidR="000370EB">
        <w:rPr>
          <w:rFonts w:ascii="Arial Narrow" w:eastAsia="Times New Roman" w:hAnsi="Arial Narrow"/>
          <w:sz w:val="24"/>
          <w:szCs w:val="24"/>
        </w:rPr>
        <w:t xml:space="preserve">where capex is not included in the efficiency carryover mechanism. Envestra considers that the arguments to apply forecast depreciation do not outweigh the benefits of applying actual depreciation. </w:t>
      </w:r>
    </w:p>
    <w:p w:rsidR="000370EB" w:rsidRDefault="000370EB" w:rsidP="003D5A59">
      <w:pPr>
        <w:spacing w:after="0"/>
        <w:rPr>
          <w:rFonts w:ascii="Arial Narrow" w:eastAsia="Times New Roman" w:hAnsi="Arial Narrow"/>
          <w:sz w:val="24"/>
          <w:szCs w:val="24"/>
        </w:rPr>
      </w:pPr>
    </w:p>
    <w:p w:rsidR="00D30EFF" w:rsidRDefault="000370EB" w:rsidP="003D5A59">
      <w:pPr>
        <w:spacing w:after="0"/>
        <w:rPr>
          <w:rFonts w:ascii="Arial Narrow" w:eastAsia="Times New Roman" w:hAnsi="Arial Narrow"/>
          <w:sz w:val="24"/>
          <w:szCs w:val="24"/>
        </w:rPr>
      </w:pPr>
      <w:r>
        <w:rPr>
          <w:rFonts w:ascii="Arial Narrow" w:eastAsia="Times New Roman" w:hAnsi="Arial Narrow"/>
          <w:sz w:val="24"/>
          <w:szCs w:val="24"/>
        </w:rPr>
        <w:t>Envestra therefore considers that applying actual inflation is more likely</w:t>
      </w:r>
      <w:r w:rsidR="00BB07F1">
        <w:rPr>
          <w:rFonts w:ascii="Arial Narrow" w:eastAsia="Times New Roman" w:hAnsi="Arial Narrow"/>
          <w:sz w:val="24"/>
          <w:szCs w:val="24"/>
        </w:rPr>
        <w:t xml:space="preserve"> to be consistent with the N</w:t>
      </w:r>
      <w:r>
        <w:rPr>
          <w:rFonts w:ascii="Arial Narrow" w:eastAsia="Times New Roman" w:hAnsi="Arial Narrow"/>
          <w:sz w:val="24"/>
          <w:szCs w:val="24"/>
        </w:rPr>
        <w:t xml:space="preserve">ational Gas Objective </w:t>
      </w:r>
      <w:r w:rsidR="00BB07F1">
        <w:rPr>
          <w:rFonts w:ascii="Arial Narrow" w:eastAsia="Times New Roman" w:hAnsi="Arial Narrow"/>
          <w:sz w:val="24"/>
          <w:szCs w:val="24"/>
        </w:rPr>
        <w:t xml:space="preserve">(section 23 of the NGL) in promoting efficient investment in the network that is in the long term interests of consumers. Envestra also notes that actual depreciation is more consistent with an approach that allows Envestra to recover its efficient costs, as required by section 24(2) of the NGL. </w:t>
      </w:r>
      <w:r w:rsidR="00127DA4">
        <w:rPr>
          <w:rFonts w:ascii="Arial Narrow" w:eastAsia="Times New Roman" w:hAnsi="Arial Narrow"/>
          <w:sz w:val="24"/>
          <w:szCs w:val="24"/>
        </w:rPr>
        <w:t xml:space="preserve"> </w:t>
      </w:r>
    </w:p>
    <w:p w:rsidR="00D30EFF" w:rsidRDefault="00D30EFF" w:rsidP="003D5A59">
      <w:pPr>
        <w:spacing w:after="0"/>
        <w:rPr>
          <w:rFonts w:ascii="Arial Narrow" w:eastAsia="Times New Roman" w:hAnsi="Arial Narrow"/>
          <w:sz w:val="24"/>
          <w:szCs w:val="24"/>
        </w:rPr>
      </w:pPr>
    </w:p>
    <w:p w:rsidR="00B7171C" w:rsidRPr="00425F4E" w:rsidRDefault="00B7171C" w:rsidP="00425F4E">
      <w:pPr>
        <w:pStyle w:val="AERbodytext"/>
        <w:spacing w:after="0"/>
        <w:ind w:left="576"/>
        <w:jc w:val="both"/>
        <w:rPr>
          <w:rFonts w:ascii="Arial Narrow" w:hAnsi="Arial Narrow"/>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rsidR="00451D0B" w:rsidRPr="00B40438" w:rsidRDefault="00BB07F1" w:rsidP="00451D0B">
      <w:pPr>
        <w:pStyle w:val="AERbodytext"/>
        <w:numPr>
          <w:ilvl w:val="0"/>
          <w:numId w:val="8"/>
        </w:numPr>
        <w:tabs>
          <w:tab w:val="left" w:pos="567"/>
        </w:tabs>
        <w:spacing w:after="0"/>
        <w:ind w:left="567" w:hanging="567"/>
        <w:jc w:val="both"/>
        <w:rPr>
          <w:rFonts w:ascii="Arial Narrow" w:hAnsi="Arial Narrow"/>
          <w:b/>
        </w:rPr>
      </w:pPr>
      <w:r>
        <w:rPr>
          <w:rFonts w:ascii="Arial Narrow" w:hAnsi="Arial Narrow"/>
          <w:b/>
        </w:rPr>
        <w:t>Summary: O</w:t>
      </w:r>
      <w:r w:rsidR="00AA22EB">
        <w:rPr>
          <w:rFonts w:ascii="Arial Narrow" w:hAnsi="Arial Narrow"/>
          <w:b/>
        </w:rPr>
        <w:t xml:space="preserve">pening </w:t>
      </w:r>
      <w:r w:rsidR="00451D0B">
        <w:rPr>
          <w:rFonts w:ascii="Arial Narrow" w:hAnsi="Arial Narrow"/>
          <w:b/>
        </w:rPr>
        <w:t xml:space="preserve">Asset </w:t>
      </w:r>
      <w:r w:rsidR="00AA22EB">
        <w:rPr>
          <w:rFonts w:ascii="Arial Narrow" w:hAnsi="Arial Narrow"/>
          <w:b/>
        </w:rPr>
        <w:t>Base as at 1 July 2011</w:t>
      </w:r>
    </w:p>
    <w:p w:rsidR="00451D0B" w:rsidRDefault="00451D0B" w:rsidP="006A21F6">
      <w:pPr>
        <w:spacing w:after="0"/>
        <w:rPr>
          <w:rFonts w:ascii="Arial Narrow" w:eastAsia="Times New Roman" w:hAnsi="Arial Narrow"/>
          <w:sz w:val="24"/>
          <w:szCs w:val="24"/>
        </w:rPr>
      </w:pPr>
    </w:p>
    <w:p w:rsidR="00523BC9" w:rsidRPr="00523BC9" w:rsidRDefault="00AA22EB" w:rsidP="006A21F6">
      <w:pPr>
        <w:spacing w:after="0"/>
        <w:rPr>
          <w:rFonts w:ascii="Arial Narrow" w:eastAsia="Times New Roman" w:hAnsi="Arial Narrow"/>
          <w:sz w:val="24"/>
          <w:szCs w:val="24"/>
        </w:rPr>
      </w:pPr>
      <w:r>
        <w:rPr>
          <w:rFonts w:ascii="Arial Narrow" w:eastAsia="Times New Roman" w:hAnsi="Arial Narrow"/>
          <w:sz w:val="24"/>
          <w:szCs w:val="24"/>
        </w:rPr>
        <w:t>The table below details the opening asset base as at 1 July 2011.</w:t>
      </w:r>
      <w:r w:rsidR="002A6E92">
        <w:rPr>
          <w:rFonts w:ascii="Arial Narrow" w:eastAsia="Times New Roman" w:hAnsi="Arial Narrow"/>
          <w:sz w:val="24"/>
          <w:szCs w:val="24"/>
        </w:rPr>
        <w:t xml:space="preserve">  </w:t>
      </w:r>
    </w:p>
    <w:p w:rsidR="001C22D0" w:rsidRDefault="001C22D0" w:rsidP="006A21F6">
      <w:pPr>
        <w:spacing w:after="0"/>
        <w:rPr>
          <w:rFonts w:ascii="Arial Narrow" w:eastAsia="Times New Roman" w:hAnsi="Arial Narrow"/>
          <w:sz w:val="24"/>
          <w:szCs w:val="24"/>
        </w:rPr>
      </w:pPr>
    </w:p>
    <w:p w:rsidR="005262CA" w:rsidRPr="00162B8D" w:rsidRDefault="00AA22EB" w:rsidP="00523BC9">
      <w:pPr>
        <w:pStyle w:val="AERbodytext"/>
        <w:spacing w:after="0"/>
        <w:jc w:val="center"/>
        <w:rPr>
          <w:rFonts w:ascii="Arial Narrow" w:hAnsi="Arial Narrow"/>
        </w:rPr>
      </w:pPr>
      <w:r>
        <w:rPr>
          <w:rFonts w:ascii="Arial Narrow" w:hAnsi="Arial Narrow"/>
        </w:rPr>
        <w:t>Table 8.1</w:t>
      </w:r>
      <w:r w:rsidR="005262CA">
        <w:rPr>
          <w:rFonts w:ascii="Arial Narrow" w:hAnsi="Arial Narrow"/>
        </w:rPr>
        <w:t xml:space="preserve"> </w:t>
      </w:r>
      <w:r>
        <w:rPr>
          <w:rFonts w:ascii="Arial Narrow" w:hAnsi="Arial Narrow"/>
        </w:rPr>
        <w:t>Roll Forward of the Capital Base 2006-07 to 2010-11</w:t>
      </w:r>
    </w:p>
    <w:tbl>
      <w:tblPr>
        <w:tblStyle w:val="TableGrid"/>
        <w:tblW w:w="8895" w:type="dxa"/>
        <w:jc w:val="right"/>
        <w:tblLayout w:type="fixed"/>
        <w:tblLook w:val="04A0"/>
      </w:tblPr>
      <w:tblGrid>
        <w:gridCol w:w="3445"/>
        <w:gridCol w:w="1090"/>
        <w:gridCol w:w="1090"/>
        <w:gridCol w:w="1090"/>
        <w:gridCol w:w="1090"/>
        <w:gridCol w:w="1090"/>
      </w:tblGrid>
      <w:tr w:rsidR="00AA22EB" w:rsidRPr="005654A3" w:rsidTr="005C7601">
        <w:trPr>
          <w:trHeight w:val="416"/>
          <w:jc w:val="right"/>
        </w:trPr>
        <w:tc>
          <w:tcPr>
            <w:tcW w:w="3445" w:type="dxa"/>
            <w:tcBorders>
              <w:bottom w:val="single" w:sz="4" w:space="0" w:color="548DD4" w:themeColor="text2" w:themeTint="99"/>
            </w:tcBorders>
            <w:shd w:val="clear" w:color="auto" w:fill="548DD4" w:themeFill="text2" w:themeFillTint="99"/>
          </w:tcPr>
          <w:p w:rsidR="00AA22EB" w:rsidRPr="005654A3" w:rsidRDefault="00AA22EB" w:rsidP="001413F4">
            <w:pPr>
              <w:spacing w:before="60" w:after="60" w:line="240" w:lineRule="auto"/>
              <w:rPr>
                <w:rFonts w:ascii="Arial Narrow" w:hAnsi="Arial Narrow"/>
              </w:rPr>
            </w:pPr>
            <w:r w:rsidRPr="00AA22EB">
              <w:rPr>
                <w:rFonts w:ascii="Arial Narrow" w:hAnsi="Arial Narrow"/>
                <w:b/>
                <w:bCs/>
                <w:color w:val="FFFFFF"/>
                <w:sz w:val="24"/>
                <w:szCs w:val="24"/>
              </w:rPr>
              <w:t xml:space="preserve">$m </w:t>
            </w:r>
            <w:r w:rsidR="001413F4">
              <w:rPr>
                <w:rFonts w:ascii="Arial Narrow" w:hAnsi="Arial Narrow"/>
                <w:b/>
                <w:bCs/>
                <w:color w:val="FFFFFF"/>
                <w:sz w:val="24"/>
                <w:szCs w:val="24"/>
              </w:rPr>
              <w:t>Dec 2005</w:t>
            </w:r>
          </w:p>
        </w:tc>
        <w:tc>
          <w:tcPr>
            <w:tcW w:w="1090" w:type="dxa"/>
            <w:tcBorders>
              <w:bottom w:val="single" w:sz="4" w:space="0" w:color="548DD4" w:themeColor="text2" w:themeTint="99"/>
            </w:tcBorders>
            <w:shd w:val="clear" w:color="auto" w:fill="548DD4" w:themeFill="text2" w:themeFillTint="99"/>
          </w:tcPr>
          <w:p w:rsidR="00AA22EB" w:rsidRPr="00C61E20" w:rsidRDefault="00AA22EB" w:rsidP="00560182">
            <w:pPr>
              <w:spacing w:before="60" w:after="60" w:line="240" w:lineRule="auto"/>
              <w:jc w:val="right"/>
              <w:rPr>
                <w:rFonts w:ascii="Arial Narrow" w:hAnsi="Arial Narrow"/>
                <w:b/>
                <w:bCs/>
                <w:color w:val="FFFFFF"/>
                <w:sz w:val="24"/>
                <w:szCs w:val="24"/>
              </w:rPr>
            </w:pPr>
            <w:r w:rsidRPr="00C61E20">
              <w:rPr>
                <w:rFonts w:ascii="Arial Narrow" w:hAnsi="Arial Narrow"/>
                <w:b/>
                <w:bCs/>
                <w:color w:val="FFFFFF"/>
                <w:sz w:val="24"/>
                <w:szCs w:val="24"/>
              </w:rPr>
              <w:t>20</w:t>
            </w:r>
            <w:r w:rsidR="00560182">
              <w:rPr>
                <w:rFonts w:ascii="Arial Narrow" w:hAnsi="Arial Narrow"/>
                <w:b/>
                <w:bCs/>
                <w:color w:val="FFFFFF"/>
                <w:sz w:val="24"/>
                <w:szCs w:val="24"/>
              </w:rPr>
              <w:t>06</w:t>
            </w:r>
            <w:r w:rsidRPr="00C61E20">
              <w:rPr>
                <w:rFonts w:ascii="Arial Narrow" w:hAnsi="Arial Narrow"/>
                <w:b/>
                <w:bCs/>
                <w:color w:val="FFFFFF"/>
                <w:sz w:val="24"/>
                <w:szCs w:val="24"/>
              </w:rPr>
              <w:t>-</w:t>
            </w:r>
            <w:r w:rsidR="00560182">
              <w:rPr>
                <w:rFonts w:ascii="Arial Narrow" w:hAnsi="Arial Narrow"/>
                <w:b/>
                <w:bCs/>
                <w:color w:val="FFFFFF"/>
                <w:sz w:val="24"/>
                <w:szCs w:val="24"/>
              </w:rPr>
              <w:t>07</w:t>
            </w:r>
          </w:p>
        </w:tc>
        <w:tc>
          <w:tcPr>
            <w:tcW w:w="1090" w:type="dxa"/>
            <w:tcBorders>
              <w:bottom w:val="single" w:sz="4" w:space="0" w:color="548DD4" w:themeColor="text2" w:themeTint="99"/>
            </w:tcBorders>
            <w:shd w:val="clear" w:color="auto" w:fill="548DD4" w:themeFill="text2" w:themeFillTint="99"/>
          </w:tcPr>
          <w:p w:rsidR="00AA22EB" w:rsidRPr="00C61E20" w:rsidRDefault="00560182" w:rsidP="00560182">
            <w:pPr>
              <w:spacing w:before="60" w:after="60" w:line="240" w:lineRule="auto"/>
              <w:jc w:val="right"/>
              <w:rPr>
                <w:rFonts w:ascii="Arial Narrow" w:hAnsi="Arial Narrow"/>
                <w:b/>
                <w:bCs/>
                <w:color w:val="FFFFFF"/>
                <w:sz w:val="24"/>
                <w:szCs w:val="24"/>
              </w:rPr>
            </w:pPr>
            <w:r>
              <w:rPr>
                <w:rFonts w:ascii="Arial Narrow" w:hAnsi="Arial Narrow"/>
                <w:b/>
                <w:bCs/>
                <w:color w:val="FFFFFF"/>
                <w:sz w:val="24"/>
                <w:szCs w:val="24"/>
              </w:rPr>
              <w:t>2007-08</w:t>
            </w:r>
          </w:p>
        </w:tc>
        <w:tc>
          <w:tcPr>
            <w:tcW w:w="1090" w:type="dxa"/>
            <w:tcBorders>
              <w:bottom w:val="single" w:sz="4" w:space="0" w:color="548DD4" w:themeColor="text2" w:themeTint="99"/>
            </w:tcBorders>
            <w:shd w:val="clear" w:color="auto" w:fill="548DD4" w:themeFill="text2" w:themeFillTint="99"/>
          </w:tcPr>
          <w:p w:rsidR="00AA22EB" w:rsidRPr="00C61E20" w:rsidRDefault="00AA22EB" w:rsidP="00560182">
            <w:pPr>
              <w:spacing w:before="60" w:after="60" w:line="240" w:lineRule="auto"/>
              <w:jc w:val="right"/>
              <w:rPr>
                <w:rFonts w:ascii="Arial Narrow" w:hAnsi="Arial Narrow"/>
                <w:b/>
                <w:bCs/>
                <w:color w:val="FFFFFF"/>
                <w:sz w:val="24"/>
                <w:szCs w:val="24"/>
              </w:rPr>
            </w:pPr>
            <w:r w:rsidRPr="00C61E20">
              <w:rPr>
                <w:rFonts w:ascii="Arial Narrow" w:hAnsi="Arial Narrow"/>
                <w:b/>
                <w:bCs/>
                <w:color w:val="FFFFFF"/>
                <w:sz w:val="24"/>
                <w:szCs w:val="24"/>
              </w:rPr>
              <w:t>20</w:t>
            </w:r>
            <w:r w:rsidR="00560182">
              <w:rPr>
                <w:rFonts w:ascii="Arial Narrow" w:hAnsi="Arial Narrow"/>
                <w:b/>
                <w:bCs/>
                <w:color w:val="FFFFFF"/>
                <w:sz w:val="24"/>
                <w:szCs w:val="24"/>
              </w:rPr>
              <w:t>08</w:t>
            </w:r>
            <w:r w:rsidRPr="00C61E20">
              <w:rPr>
                <w:rFonts w:ascii="Arial Narrow" w:hAnsi="Arial Narrow"/>
                <w:b/>
                <w:bCs/>
                <w:color w:val="FFFFFF"/>
                <w:sz w:val="24"/>
                <w:szCs w:val="24"/>
              </w:rPr>
              <w:t>-</w:t>
            </w:r>
            <w:r w:rsidR="00560182">
              <w:rPr>
                <w:rFonts w:ascii="Arial Narrow" w:hAnsi="Arial Narrow"/>
                <w:b/>
                <w:bCs/>
                <w:color w:val="FFFFFF"/>
                <w:sz w:val="24"/>
                <w:szCs w:val="24"/>
              </w:rPr>
              <w:t>09</w:t>
            </w:r>
          </w:p>
        </w:tc>
        <w:tc>
          <w:tcPr>
            <w:tcW w:w="1090" w:type="dxa"/>
            <w:tcBorders>
              <w:bottom w:val="single" w:sz="4" w:space="0" w:color="548DD4" w:themeColor="text2" w:themeTint="99"/>
            </w:tcBorders>
            <w:shd w:val="clear" w:color="auto" w:fill="548DD4" w:themeFill="text2" w:themeFillTint="99"/>
          </w:tcPr>
          <w:p w:rsidR="00AA22EB" w:rsidRPr="00C61E20" w:rsidRDefault="00AA22EB" w:rsidP="00560182">
            <w:pPr>
              <w:spacing w:before="60" w:after="60" w:line="240" w:lineRule="auto"/>
              <w:jc w:val="right"/>
              <w:rPr>
                <w:rFonts w:ascii="Arial Narrow" w:hAnsi="Arial Narrow"/>
                <w:b/>
                <w:bCs/>
                <w:color w:val="FFFFFF"/>
                <w:sz w:val="24"/>
                <w:szCs w:val="24"/>
              </w:rPr>
            </w:pPr>
            <w:r w:rsidRPr="00C61E20">
              <w:rPr>
                <w:rFonts w:ascii="Arial Narrow" w:hAnsi="Arial Narrow"/>
                <w:b/>
                <w:bCs/>
                <w:color w:val="FFFFFF"/>
                <w:sz w:val="24"/>
                <w:szCs w:val="24"/>
              </w:rPr>
              <w:t>20</w:t>
            </w:r>
            <w:r w:rsidR="00560182">
              <w:rPr>
                <w:rFonts w:ascii="Arial Narrow" w:hAnsi="Arial Narrow"/>
                <w:b/>
                <w:bCs/>
                <w:color w:val="FFFFFF"/>
                <w:sz w:val="24"/>
                <w:szCs w:val="24"/>
              </w:rPr>
              <w:t>09</w:t>
            </w:r>
            <w:r w:rsidRPr="00C61E20">
              <w:rPr>
                <w:rFonts w:ascii="Arial Narrow" w:hAnsi="Arial Narrow"/>
                <w:b/>
                <w:bCs/>
                <w:color w:val="FFFFFF"/>
                <w:sz w:val="24"/>
                <w:szCs w:val="24"/>
              </w:rPr>
              <w:t>-</w:t>
            </w:r>
            <w:r w:rsidR="00560182">
              <w:rPr>
                <w:rFonts w:ascii="Arial Narrow" w:hAnsi="Arial Narrow"/>
                <w:b/>
                <w:bCs/>
                <w:color w:val="FFFFFF"/>
                <w:sz w:val="24"/>
                <w:szCs w:val="24"/>
              </w:rPr>
              <w:t>10</w:t>
            </w:r>
          </w:p>
        </w:tc>
        <w:tc>
          <w:tcPr>
            <w:tcW w:w="1090" w:type="dxa"/>
            <w:tcBorders>
              <w:bottom w:val="single" w:sz="4" w:space="0" w:color="548DD4" w:themeColor="text2" w:themeTint="99"/>
            </w:tcBorders>
            <w:shd w:val="clear" w:color="auto" w:fill="548DD4" w:themeFill="text2" w:themeFillTint="99"/>
          </w:tcPr>
          <w:p w:rsidR="00AA22EB" w:rsidRPr="00C61E20" w:rsidRDefault="00560182" w:rsidP="00560182">
            <w:pPr>
              <w:spacing w:before="60" w:after="60" w:line="240" w:lineRule="auto"/>
              <w:jc w:val="right"/>
              <w:rPr>
                <w:rFonts w:ascii="Arial Narrow" w:hAnsi="Arial Narrow"/>
                <w:b/>
                <w:bCs/>
                <w:color w:val="FFFFFF"/>
                <w:sz w:val="24"/>
                <w:szCs w:val="24"/>
              </w:rPr>
            </w:pPr>
            <w:r>
              <w:rPr>
                <w:rFonts w:ascii="Arial Narrow" w:hAnsi="Arial Narrow"/>
                <w:b/>
                <w:bCs/>
                <w:color w:val="FFFFFF"/>
                <w:sz w:val="24"/>
                <w:szCs w:val="24"/>
              </w:rPr>
              <w:t>2010</w:t>
            </w:r>
            <w:r w:rsidR="00AA22EB" w:rsidRPr="00C61E20">
              <w:rPr>
                <w:rFonts w:ascii="Arial Narrow" w:hAnsi="Arial Narrow"/>
                <w:b/>
                <w:bCs/>
                <w:color w:val="FFFFFF"/>
                <w:sz w:val="24"/>
                <w:szCs w:val="24"/>
              </w:rPr>
              <w:t>-1</w:t>
            </w:r>
            <w:r>
              <w:rPr>
                <w:rFonts w:ascii="Arial Narrow" w:hAnsi="Arial Narrow"/>
                <w:b/>
                <w:bCs/>
                <w:color w:val="FFFFFF"/>
                <w:sz w:val="24"/>
                <w:szCs w:val="24"/>
              </w:rPr>
              <w:t>1</w:t>
            </w:r>
          </w:p>
        </w:tc>
      </w:tr>
      <w:tr w:rsidR="00AA22EB" w:rsidRPr="005654A3" w:rsidTr="005C7601">
        <w:trPr>
          <w:trHeight w:val="300"/>
          <w:jc w:val="right"/>
        </w:trPr>
        <w:tc>
          <w:tcPr>
            <w:tcW w:w="344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A22EB" w:rsidRPr="005654A3" w:rsidRDefault="00AA22EB" w:rsidP="00687C18">
            <w:pPr>
              <w:pStyle w:val="AERbodytext"/>
              <w:spacing w:after="0"/>
              <w:jc w:val="both"/>
              <w:rPr>
                <w:rFonts w:ascii="Arial Narrow" w:hAnsi="Arial Narrow"/>
              </w:rPr>
            </w:pPr>
            <w:r>
              <w:rPr>
                <w:rFonts w:ascii="Arial Narrow" w:hAnsi="Arial Narrow"/>
              </w:rPr>
              <w:t>Opening Capital Base</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A22EB" w:rsidRPr="005654A3" w:rsidRDefault="005C7601" w:rsidP="00687C18">
            <w:pPr>
              <w:pStyle w:val="AERbodytext"/>
              <w:spacing w:after="0"/>
              <w:jc w:val="right"/>
              <w:rPr>
                <w:rFonts w:ascii="Arial Narrow" w:hAnsi="Arial Narrow"/>
              </w:rPr>
            </w:pPr>
            <w:r>
              <w:rPr>
                <w:rFonts w:ascii="Arial Narrow" w:hAnsi="Arial Narrow"/>
              </w:rPr>
              <w:t>815.9</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A22EB" w:rsidRPr="005654A3" w:rsidRDefault="005C7601" w:rsidP="00687C18">
            <w:pPr>
              <w:pStyle w:val="AERbodytext"/>
              <w:spacing w:after="0"/>
              <w:jc w:val="right"/>
              <w:rPr>
                <w:rFonts w:ascii="Arial Narrow" w:hAnsi="Arial Narrow"/>
              </w:rPr>
            </w:pPr>
            <w:r>
              <w:rPr>
                <w:rFonts w:ascii="Arial Narrow" w:hAnsi="Arial Narrow"/>
              </w:rPr>
              <w:t>826.5</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A22EB" w:rsidRPr="005654A3" w:rsidRDefault="005C7601" w:rsidP="00687C18">
            <w:pPr>
              <w:pStyle w:val="AERbodytext"/>
              <w:spacing w:after="0"/>
              <w:jc w:val="right"/>
              <w:rPr>
                <w:rFonts w:ascii="Arial Narrow" w:hAnsi="Arial Narrow"/>
              </w:rPr>
            </w:pPr>
            <w:r>
              <w:rPr>
                <w:rFonts w:ascii="Arial Narrow" w:hAnsi="Arial Narrow"/>
              </w:rPr>
              <w:t>839.8</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A22EB" w:rsidRPr="005654A3" w:rsidRDefault="005C7601" w:rsidP="005C7601">
            <w:pPr>
              <w:pStyle w:val="AERbodytext"/>
              <w:spacing w:after="0"/>
              <w:jc w:val="right"/>
              <w:rPr>
                <w:rFonts w:ascii="Arial Narrow" w:hAnsi="Arial Narrow"/>
              </w:rPr>
            </w:pPr>
            <w:r>
              <w:rPr>
                <w:rFonts w:ascii="Arial Narrow" w:hAnsi="Arial Narrow"/>
              </w:rPr>
              <w:t>848.9</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A22EB" w:rsidRPr="005654A3" w:rsidRDefault="005C7601" w:rsidP="00687C18">
            <w:pPr>
              <w:pStyle w:val="AERbodytext"/>
              <w:spacing w:after="0"/>
              <w:jc w:val="right"/>
              <w:rPr>
                <w:rFonts w:ascii="Arial Narrow" w:hAnsi="Arial Narrow"/>
              </w:rPr>
            </w:pPr>
            <w:r>
              <w:rPr>
                <w:rFonts w:ascii="Arial Narrow" w:hAnsi="Arial Narrow"/>
              </w:rPr>
              <w:t>853.5</w:t>
            </w:r>
          </w:p>
        </w:tc>
      </w:tr>
      <w:tr w:rsidR="00AA22EB" w:rsidRPr="005654A3" w:rsidTr="005C7601">
        <w:trPr>
          <w:trHeight w:val="300"/>
          <w:jc w:val="right"/>
        </w:trPr>
        <w:tc>
          <w:tcPr>
            <w:tcW w:w="344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A22EB" w:rsidRPr="00687C18" w:rsidRDefault="00687C18" w:rsidP="00687C18">
            <w:pPr>
              <w:pStyle w:val="AERbodytext"/>
              <w:spacing w:after="0"/>
              <w:jc w:val="both"/>
              <w:rPr>
                <w:rFonts w:ascii="Arial Narrow" w:hAnsi="Arial Narrow"/>
              </w:rPr>
            </w:pPr>
            <w:r>
              <w:rPr>
                <w:rFonts w:ascii="Arial Narrow" w:hAnsi="Arial Narrow"/>
                <w:i/>
              </w:rPr>
              <w:t>Less</w:t>
            </w:r>
            <w:r>
              <w:rPr>
                <w:rFonts w:ascii="Arial Narrow" w:hAnsi="Arial Narrow"/>
              </w:rPr>
              <w:t xml:space="preserve"> Depreciation</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A22EB" w:rsidRPr="005654A3" w:rsidRDefault="005C7601" w:rsidP="00687C18">
            <w:pPr>
              <w:pStyle w:val="AERbodytext"/>
              <w:spacing w:after="0"/>
              <w:jc w:val="right"/>
              <w:rPr>
                <w:rFonts w:ascii="Arial Narrow" w:hAnsi="Arial Narrow"/>
              </w:rPr>
            </w:pPr>
            <w:r>
              <w:rPr>
                <w:rFonts w:ascii="Arial Narrow" w:hAnsi="Arial Narrow"/>
              </w:rPr>
              <w:t>18.7</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A22EB" w:rsidRPr="005654A3" w:rsidRDefault="005C7601" w:rsidP="00687C18">
            <w:pPr>
              <w:pStyle w:val="AERbodytext"/>
              <w:spacing w:after="0"/>
              <w:jc w:val="right"/>
              <w:rPr>
                <w:rFonts w:ascii="Arial Narrow" w:hAnsi="Arial Narrow"/>
              </w:rPr>
            </w:pPr>
            <w:r>
              <w:rPr>
                <w:rFonts w:ascii="Arial Narrow" w:hAnsi="Arial Narrow"/>
              </w:rPr>
              <w:t>20.2</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A22EB" w:rsidRPr="005654A3" w:rsidRDefault="005C7601" w:rsidP="00687C18">
            <w:pPr>
              <w:pStyle w:val="AERbodytext"/>
              <w:spacing w:after="0"/>
              <w:jc w:val="right"/>
              <w:rPr>
                <w:rFonts w:ascii="Arial Narrow" w:hAnsi="Arial Narrow"/>
              </w:rPr>
            </w:pPr>
            <w:r>
              <w:rPr>
                <w:rFonts w:ascii="Arial Narrow" w:hAnsi="Arial Narrow"/>
              </w:rPr>
              <w:t>22.0</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A22EB" w:rsidRPr="005654A3" w:rsidRDefault="005C7601" w:rsidP="00687C18">
            <w:pPr>
              <w:pStyle w:val="AERbodytext"/>
              <w:spacing w:after="0"/>
              <w:jc w:val="right"/>
              <w:rPr>
                <w:rFonts w:ascii="Arial Narrow" w:hAnsi="Arial Narrow"/>
              </w:rPr>
            </w:pPr>
            <w:r>
              <w:rPr>
                <w:rFonts w:ascii="Arial Narrow" w:hAnsi="Arial Narrow"/>
              </w:rPr>
              <w:t>23.2</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A22EB" w:rsidRPr="005654A3" w:rsidRDefault="005C7601" w:rsidP="00687C18">
            <w:pPr>
              <w:pStyle w:val="AERbodytext"/>
              <w:spacing w:after="0"/>
              <w:jc w:val="right"/>
              <w:rPr>
                <w:rFonts w:ascii="Arial Narrow" w:hAnsi="Arial Narrow"/>
              </w:rPr>
            </w:pPr>
            <w:r>
              <w:rPr>
                <w:rFonts w:ascii="Arial Narrow" w:hAnsi="Arial Narrow"/>
              </w:rPr>
              <w:t>24.1</w:t>
            </w:r>
          </w:p>
        </w:tc>
      </w:tr>
      <w:tr w:rsidR="00AA22EB" w:rsidRPr="005654A3" w:rsidTr="005C7601">
        <w:trPr>
          <w:trHeight w:val="300"/>
          <w:jc w:val="right"/>
        </w:trPr>
        <w:tc>
          <w:tcPr>
            <w:tcW w:w="344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A22EB" w:rsidRPr="00687C18" w:rsidRDefault="00687C18" w:rsidP="00687C18">
            <w:pPr>
              <w:pStyle w:val="AERbodytext"/>
              <w:spacing w:after="0"/>
              <w:jc w:val="both"/>
              <w:rPr>
                <w:rFonts w:ascii="Arial Narrow" w:hAnsi="Arial Narrow"/>
              </w:rPr>
            </w:pPr>
            <w:r>
              <w:rPr>
                <w:rFonts w:ascii="Arial Narrow" w:hAnsi="Arial Narrow"/>
                <w:i/>
              </w:rPr>
              <w:t>Plus</w:t>
            </w:r>
            <w:r>
              <w:rPr>
                <w:rFonts w:ascii="Arial Narrow" w:hAnsi="Arial Narrow"/>
              </w:rPr>
              <w:t xml:space="preserve"> Conforming Capital Expenditure</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A22EB" w:rsidRPr="005654A3" w:rsidRDefault="005C7601" w:rsidP="00687C18">
            <w:pPr>
              <w:pStyle w:val="AERbodytext"/>
              <w:spacing w:after="0"/>
              <w:jc w:val="right"/>
              <w:rPr>
                <w:rFonts w:ascii="Arial Narrow" w:hAnsi="Arial Narrow"/>
              </w:rPr>
            </w:pPr>
            <w:r>
              <w:rPr>
                <w:rFonts w:ascii="Arial Narrow" w:hAnsi="Arial Narrow"/>
              </w:rPr>
              <w:t>29.3</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A22EB" w:rsidRPr="005654A3" w:rsidRDefault="005C7601" w:rsidP="00687C18">
            <w:pPr>
              <w:pStyle w:val="AERbodytext"/>
              <w:spacing w:after="0"/>
              <w:jc w:val="right"/>
              <w:rPr>
                <w:rFonts w:ascii="Arial Narrow" w:hAnsi="Arial Narrow"/>
              </w:rPr>
            </w:pPr>
            <w:r>
              <w:rPr>
                <w:rFonts w:ascii="Arial Narrow" w:hAnsi="Arial Narrow"/>
              </w:rPr>
              <w:t>33.6</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A22EB" w:rsidRPr="005654A3" w:rsidRDefault="005C7601" w:rsidP="00687C18">
            <w:pPr>
              <w:pStyle w:val="AERbodytext"/>
              <w:spacing w:after="0"/>
              <w:jc w:val="right"/>
              <w:rPr>
                <w:rFonts w:ascii="Arial Narrow" w:hAnsi="Arial Narrow"/>
              </w:rPr>
            </w:pPr>
            <w:r>
              <w:rPr>
                <w:rFonts w:ascii="Arial Narrow" w:hAnsi="Arial Narrow"/>
              </w:rPr>
              <w:t>31.0</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A22EB" w:rsidRPr="005654A3" w:rsidRDefault="005C7601" w:rsidP="00687C18">
            <w:pPr>
              <w:pStyle w:val="AERbodytext"/>
              <w:spacing w:after="0"/>
              <w:jc w:val="right"/>
              <w:rPr>
                <w:rFonts w:ascii="Arial Narrow" w:hAnsi="Arial Narrow"/>
              </w:rPr>
            </w:pPr>
            <w:r>
              <w:rPr>
                <w:rFonts w:ascii="Arial Narrow" w:hAnsi="Arial Narrow"/>
              </w:rPr>
              <w:t>27.9</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A22EB" w:rsidRPr="005654A3" w:rsidRDefault="005C7601" w:rsidP="00687C18">
            <w:pPr>
              <w:pStyle w:val="AERbodytext"/>
              <w:spacing w:after="0"/>
              <w:jc w:val="right"/>
              <w:rPr>
                <w:rFonts w:ascii="Arial Narrow" w:hAnsi="Arial Narrow"/>
              </w:rPr>
            </w:pPr>
            <w:r>
              <w:rPr>
                <w:rFonts w:ascii="Arial Narrow" w:hAnsi="Arial Narrow"/>
              </w:rPr>
              <w:t>38.0</w:t>
            </w:r>
          </w:p>
        </w:tc>
      </w:tr>
      <w:tr w:rsidR="00AA22EB" w:rsidRPr="005654A3" w:rsidTr="005C7601">
        <w:trPr>
          <w:trHeight w:val="300"/>
          <w:jc w:val="right"/>
        </w:trPr>
        <w:tc>
          <w:tcPr>
            <w:tcW w:w="344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A22EB" w:rsidRPr="00560182" w:rsidRDefault="00560182" w:rsidP="00AA22EB">
            <w:pPr>
              <w:pStyle w:val="AERbodytext"/>
              <w:spacing w:after="0"/>
              <w:jc w:val="both"/>
              <w:rPr>
                <w:rFonts w:ascii="Arial Narrow" w:hAnsi="Arial Narrow"/>
                <w:b/>
              </w:rPr>
            </w:pPr>
            <w:r>
              <w:rPr>
                <w:rFonts w:ascii="Arial Narrow" w:hAnsi="Arial Narrow"/>
                <w:b/>
              </w:rPr>
              <w:t>Closing Value</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A22EB" w:rsidRPr="005654A3" w:rsidRDefault="005C7601" w:rsidP="005262CA">
            <w:pPr>
              <w:pStyle w:val="AERbodytext"/>
              <w:spacing w:after="0"/>
              <w:jc w:val="right"/>
              <w:rPr>
                <w:rFonts w:ascii="Arial Narrow" w:hAnsi="Arial Narrow"/>
              </w:rPr>
            </w:pPr>
            <w:r>
              <w:rPr>
                <w:rFonts w:ascii="Arial Narrow" w:hAnsi="Arial Narrow"/>
              </w:rPr>
              <w:t>826.5</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A22EB" w:rsidRPr="005654A3" w:rsidRDefault="005C7601" w:rsidP="005262CA">
            <w:pPr>
              <w:pStyle w:val="AERbodytext"/>
              <w:spacing w:after="0"/>
              <w:jc w:val="right"/>
              <w:rPr>
                <w:rFonts w:ascii="Arial Narrow" w:hAnsi="Arial Narrow"/>
              </w:rPr>
            </w:pPr>
            <w:r>
              <w:rPr>
                <w:rFonts w:ascii="Arial Narrow" w:hAnsi="Arial Narrow"/>
              </w:rPr>
              <w:t>839.8</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A22EB" w:rsidRPr="005654A3" w:rsidRDefault="005C7601" w:rsidP="005262CA">
            <w:pPr>
              <w:pStyle w:val="AERbodytext"/>
              <w:spacing w:after="0"/>
              <w:jc w:val="right"/>
              <w:rPr>
                <w:rFonts w:ascii="Arial Narrow" w:hAnsi="Arial Narrow"/>
              </w:rPr>
            </w:pPr>
            <w:r>
              <w:rPr>
                <w:rFonts w:ascii="Arial Narrow" w:hAnsi="Arial Narrow"/>
              </w:rPr>
              <w:t>848.9</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A22EB" w:rsidRPr="005654A3" w:rsidRDefault="005C7601" w:rsidP="005262CA">
            <w:pPr>
              <w:pStyle w:val="AERbodytext"/>
              <w:spacing w:after="0"/>
              <w:jc w:val="right"/>
              <w:rPr>
                <w:rFonts w:ascii="Arial Narrow" w:hAnsi="Arial Narrow"/>
              </w:rPr>
            </w:pPr>
            <w:r>
              <w:rPr>
                <w:rFonts w:ascii="Arial Narrow" w:hAnsi="Arial Narrow"/>
              </w:rPr>
              <w:t>853.5</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AA22EB" w:rsidRPr="005654A3" w:rsidRDefault="005C7601" w:rsidP="005262CA">
            <w:pPr>
              <w:pStyle w:val="AERbodytext"/>
              <w:spacing w:after="0"/>
              <w:jc w:val="right"/>
              <w:rPr>
                <w:rFonts w:ascii="Arial Narrow" w:hAnsi="Arial Narrow"/>
              </w:rPr>
            </w:pPr>
            <w:r>
              <w:rPr>
                <w:rFonts w:ascii="Arial Narrow" w:hAnsi="Arial Narrow"/>
              </w:rPr>
              <w:t>867.5</w:t>
            </w:r>
          </w:p>
        </w:tc>
      </w:tr>
    </w:tbl>
    <w:p w:rsidR="005262CA" w:rsidRDefault="005262CA" w:rsidP="006A21F6">
      <w:pPr>
        <w:spacing w:after="0"/>
        <w:rPr>
          <w:rFonts w:ascii="Arial Narrow" w:eastAsia="Times New Roman" w:hAnsi="Arial Narrow"/>
          <w:sz w:val="24"/>
          <w:szCs w:val="24"/>
        </w:rPr>
      </w:pPr>
    </w:p>
    <w:p w:rsidR="00560182" w:rsidRPr="00B40438" w:rsidRDefault="00BB07F1" w:rsidP="00560182">
      <w:pPr>
        <w:pStyle w:val="AERbodytext"/>
        <w:numPr>
          <w:ilvl w:val="0"/>
          <w:numId w:val="8"/>
        </w:numPr>
        <w:tabs>
          <w:tab w:val="left" w:pos="567"/>
        </w:tabs>
        <w:spacing w:after="0"/>
        <w:ind w:left="567" w:hanging="567"/>
        <w:jc w:val="both"/>
        <w:rPr>
          <w:rFonts w:ascii="Arial Narrow" w:hAnsi="Arial Narrow"/>
          <w:b/>
        </w:rPr>
      </w:pPr>
      <w:r>
        <w:rPr>
          <w:rFonts w:ascii="Arial Narrow" w:hAnsi="Arial Narrow"/>
          <w:b/>
        </w:rPr>
        <w:t xml:space="preserve">Summary: </w:t>
      </w:r>
      <w:r w:rsidR="00560182">
        <w:rPr>
          <w:rFonts w:ascii="Arial Narrow" w:hAnsi="Arial Narrow"/>
          <w:b/>
        </w:rPr>
        <w:t>Opening Asset Base as at 1 July 2016</w:t>
      </w:r>
    </w:p>
    <w:p w:rsidR="00560182" w:rsidRDefault="00560182" w:rsidP="00560182">
      <w:pPr>
        <w:spacing w:after="0"/>
        <w:rPr>
          <w:rFonts w:ascii="Arial Narrow" w:eastAsia="Times New Roman" w:hAnsi="Arial Narrow"/>
          <w:sz w:val="24"/>
          <w:szCs w:val="24"/>
        </w:rPr>
      </w:pPr>
    </w:p>
    <w:p w:rsidR="00560182" w:rsidRPr="00523BC9" w:rsidRDefault="00560182" w:rsidP="00560182">
      <w:pPr>
        <w:spacing w:after="0"/>
        <w:rPr>
          <w:rFonts w:ascii="Arial Narrow" w:eastAsia="Times New Roman" w:hAnsi="Arial Narrow"/>
          <w:sz w:val="24"/>
          <w:szCs w:val="24"/>
        </w:rPr>
      </w:pPr>
      <w:r>
        <w:rPr>
          <w:rFonts w:ascii="Arial Narrow" w:eastAsia="Times New Roman" w:hAnsi="Arial Narrow"/>
          <w:sz w:val="24"/>
          <w:szCs w:val="24"/>
        </w:rPr>
        <w:t xml:space="preserve">The table below details the opening asset base as at 1 July 2016.  </w:t>
      </w:r>
    </w:p>
    <w:p w:rsidR="00560182" w:rsidRDefault="00560182" w:rsidP="00560182">
      <w:pPr>
        <w:spacing w:after="0"/>
        <w:rPr>
          <w:rFonts w:ascii="Arial Narrow" w:eastAsia="Times New Roman" w:hAnsi="Arial Narrow"/>
          <w:sz w:val="24"/>
          <w:szCs w:val="24"/>
        </w:rPr>
      </w:pPr>
    </w:p>
    <w:p w:rsidR="00560182" w:rsidRPr="00162B8D" w:rsidRDefault="00560182" w:rsidP="00560182">
      <w:pPr>
        <w:pStyle w:val="AERbodytext"/>
        <w:spacing w:after="0"/>
        <w:jc w:val="center"/>
        <w:rPr>
          <w:rFonts w:ascii="Arial Narrow" w:hAnsi="Arial Narrow"/>
        </w:rPr>
      </w:pPr>
      <w:r>
        <w:rPr>
          <w:rFonts w:ascii="Arial Narrow" w:hAnsi="Arial Narrow"/>
        </w:rPr>
        <w:t>Table 8.2 Roll Forward of the Capital Base 2011-12 to 2015-16</w:t>
      </w:r>
    </w:p>
    <w:tbl>
      <w:tblPr>
        <w:tblStyle w:val="TableGrid"/>
        <w:tblW w:w="8895" w:type="dxa"/>
        <w:jc w:val="right"/>
        <w:tblLayout w:type="fixed"/>
        <w:tblLook w:val="04A0"/>
      </w:tblPr>
      <w:tblGrid>
        <w:gridCol w:w="3445"/>
        <w:gridCol w:w="1090"/>
        <w:gridCol w:w="1090"/>
        <w:gridCol w:w="1090"/>
        <w:gridCol w:w="1090"/>
        <w:gridCol w:w="1090"/>
      </w:tblGrid>
      <w:tr w:rsidR="00560182" w:rsidRPr="005654A3" w:rsidTr="00EA266C">
        <w:trPr>
          <w:trHeight w:val="416"/>
          <w:jc w:val="right"/>
        </w:trPr>
        <w:tc>
          <w:tcPr>
            <w:tcW w:w="3445" w:type="dxa"/>
            <w:tcBorders>
              <w:bottom w:val="single" w:sz="4" w:space="0" w:color="548DD4" w:themeColor="text2" w:themeTint="99"/>
            </w:tcBorders>
            <w:shd w:val="clear" w:color="auto" w:fill="548DD4" w:themeFill="text2" w:themeFillTint="99"/>
          </w:tcPr>
          <w:p w:rsidR="00560182" w:rsidRPr="005654A3" w:rsidRDefault="00560182" w:rsidP="00491474">
            <w:pPr>
              <w:spacing w:before="60" w:after="60" w:line="240" w:lineRule="auto"/>
              <w:rPr>
                <w:rFonts w:ascii="Arial Narrow" w:hAnsi="Arial Narrow"/>
              </w:rPr>
            </w:pPr>
            <w:r w:rsidRPr="00AA22EB">
              <w:rPr>
                <w:rFonts w:ascii="Arial Narrow" w:hAnsi="Arial Narrow"/>
                <w:b/>
                <w:bCs/>
                <w:color w:val="FFFFFF"/>
                <w:sz w:val="24"/>
                <w:szCs w:val="24"/>
              </w:rPr>
              <w:t>$m Nominal</w:t>
            </w:r>
          </w:p>
        </w:tc>
        <w:tc>
          <w:tcPr>
            <w:tcW w:w="1090" w:type="dxa"/>
            <w:tcBorders>
              <w:bottom w:val="single" w:sz="4" w:space="0" w:color="548DD4" w:themeColor="text2" w:themeTint="99"/>
            </w:tcBorders>
            <w:shd w:val="clear" w:color="auto" w:fill="548DD4" w:themeFill="text2" w:themeFillTint="99"/>
          </w:tcPr>
          <w:p w:rsidR="00560182" w:rsidRPr="00C61E20" w:rsidRDefault="00560182" w:rsidP="00491474">
            <w:pPr>
              <w:spacing w:before="60" w:after="60" w:line="240" w:lineRule="auto"/>
              <w:jc w:val="right"/>
              <w:rPr>
                <w:rFonts w:ascii="Arial Narrow" w:hAnsi="Arial Narrow"/>
                <w:b/>
                <w:bCs/>
                <w:color w:val="FFFFFF"/>
                <w:sz w:val="24"/>
                <w:szCs w:val="24"/>
              </w:rPr>
            </w:pPr>
            <w:r w:rsidRPr="00C61E20">
              <w:rPr>
                <w:rFonts w:ascii="Arial Narrow" w:hAnsi="Arial Narrow"/>
                <w:b/>
                <w:bCs/>
                <w:color w:val="FFFFFF"/>
                <w:sz w:val="24"/>
                <w:szCs w:val="24"/>
              </w:rPr>
              <w:t>2011-12</w:t>
            </w:r>
          </w:p>
        </w:tc>
        <w:tc>
          <w:tcPr>
            <w:tcW w:w="1090" w:type="dxa"/>
            <w:tcBorders>
              <w:bottom w:val="single" w:sz="4" w:space="0" w:color="548DD4" w:themeColor="text2" w:themeTint="99"/>
            </w:tcBorders>
            <w:shd w:val="clear" w:color="auto" w:fill="548DD4" w:themeFill="text2" w:themeFillTint="99"/>
          </w:tcPr>
          <w:p w:rsidR="00560182" w:rsidRPr="00C61E20" w:rsidRDefault="00560182" w:rsidP="00491474">
            <w:pPr>
              <w:spacing w:before="60" w:after="60" w:line="240" w:lineRule="auto"/>
              <w:jc w:val="right"/>
              <w:rPr>
                <w:rFonts w:ascii="Arial Narrow" w:hAnsi="Arial Narrow"/>
                <w:b/>
                <w:bCs/>
                <w:color w:val="FFFFFF"/>
                <w:sz w:val="24"/>
                <w:szCs w:val="24"/>
              </w:rPr>
            </w:pPr>
            <w:r w:rsidRPr="00C61E20">
              <w:rPr>
                <w:rFonts w:ascii="Arial Narrow" w:hAnsi="Arial Narrow"/>
                <w:b/>
                <w:bCs/>
                <w:color w:val="FFFFFF"/>
                <w:sz w:val="24"/>
                <w:szCs w:val="24"/>
              </w:rPr>
              <w:t>2012-13</w:t>
            </w:r>
          </w:p>
        </w:tc>
        <w:tc>
          <w:tcPr>
            <w:tcW w:w="1090" w:type="dxa"/>
            <w:tcBorders>
              <w:bottom w:val="single" w:sz="4" w:space="0" w:color="548DD4" w:themeColor="text2" w:themeTint="99"/>
            </w:tcBorders>
            <w:shd w:val="clear" w:color="auto" w:fill="548DD4" w:themeFill="text2" w:themeFillTint="99"/>
          </w:tcPr>
          <w:p w:rsidR="00560182" w:rsidRPr="00C61E20" w:rsidRDefault="00560182" w:rsidP="00491474">
            <w:pPr>
              <w:spacing w:before="60" w:after="60" w:line="240" w:lineRule="auto"/>
              <w:jc w:val="right"/>
              <w:rPr>
                <w:rFonts w:ascii="Arial Narrow" w:hAnsi="Arial Narrow"/>
                <w:b/>
                <w:bCs/>
                <w:color w:val="FFFFFF"/>
                <w:sz w:val="24"/>
                <w:szCs w:val="24"/>
              </w:rPr>
            </w:pPr>
            <w:r w:rsidRPr="00C61E20">
              <w:rPr>
                <w:rFonts w:ascii="Arial Narrow" w:hAnsi="Arial Narrow"/>
                <w:b/>
                <w:bCs/>
                <w:color w:val="FFFFFF"/>
                <w:sz w:val="24"/>
                <w:szCs w:val="24"/>
              </w:rPr>
              <w:t>2013-14</w:t>
            </w:r>
          </w:p>
        </w:tc>
        <w:tc>
          <w:tcPr>
            <w:tcW w:w="1090" w:type="dxa"/>
            <w:tcBorders>
              <w:bottom w:val="single" w:sz="4" w:space="0" w:color="548DD4" w:themeColor="text2" w:themeTint="99"/>
            </w:tcBorders>
            <w:shd w:val="clear" w:color="auto" w:fill="548DD4" w:themeFill="text2" w:themeFillTint="99"/>
          </w:tcPr>
          <w:p w:rsidR="00560182" w:rsidRPr="00C61E20" w:rsidRDefault="00560182" w:rsidP="00491474">
            <w:pPr>
              <w:spacing w:before="60" w:after="60" w:line="240" w:lineRule="auto"/>
              <w:jc w:val="right"/>
              <w:rPr>
                <w:rFonts w:ascii="Arial Narrow" w:hAnsi="Arial Narrow"/>
                <w:b/>
                <w:bCs/>
                <w:color w:val="FFFFFF"/>
                <w:sz w:val="24"/>
                <w:szCs w:val="24"/>
              </w:rPr>
            </w:pPr>
            <w:r w:rsidRPr="00C61E20">
              <w:rPr>
                <w:rFonts w:ascii="Arial Narrow" w:hAnsi="Arial Narrow"/>
                <w:b/>
                <w:bCs/>
                <w:color w:val="FFFFFF"/>
                <w:sz w:val="24"/>
                <w:szCs w:val="24"/>
              </w:rPr>
              <w:t>2014-15</w:t>
            </w:r>
          </w:p>
        </w:tc>
        <w:tc>
          <w:tcPr>
            <w:tcW w:w="1090" w:type="dxa"/>
            <w:tcBorders>
              <w:bottom w:val="single" w:sz="4" w:space="0" w:color="548DD4" w:themeColor="text2" w:themeTint="99"/>
            </w:tcBorders>
            <w:shd w:val="clear" w:color="auto" w:fill="548DD4" w:themeFill="text2" w:themeFillTint="99"/>
          </w:tcPr>
          <w:p w:rsidR="00560182" w:rsidRPr="00C61E20" w:rsidRDefault="00560182" w:rsidP="00491474">
            <w:pPr>
              <w:spacing w:before="60" w:after="60" w:line="240" w:lineRule="auto"/>
              <w:jc w:val="right"/>
              <w:rPr>
                <w:rFonts w:ascii="Arial Narrow" w:hAnsi="Arial Narrow"/>
                <w:b/>
                <w:bCs/>
                <w:color w:val="FFFFFF"/>
                <w:sz w:val="24"/>
                <w:szCs w:val="24"/>
              </w:rPr>
            </w:pPr>
            <w:r w:rsidRPr="00C61E20">
              <w:rPr>
                <w:rFonts w:ascii="Arial Narrow" w:hAnsi="Arial Narrow"/>
                <w:b/>
                <w:bCs/>
                <w:color w:val="FFFFFF"/>
                <w:sz w:val="24"/>
                <w:szCs w:val="24"/>
              </w:rPr>
              <w:t>2015-16</w:t>
            </w:r>
          </w:p>
        </w:tc>
      </w:tr>
      <w:tr w:rsidR="001413F4" w:rsidRPr="005654A3" w:rsidTr="00EA266C">
        <w:trPr>
          <w:trHeight w:val="300"/>
          <w:jc w:val="right"/>
        </w:trPr>
        <w:tc>
          <w:tcPr>
            <w:tcW w:w="344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1413F4" w:rsidRPr="005654A3" w:rsidRDefault="001413F4" w:rsidP="00491474">
            <w:pPr>
              <w:pStyle w:val="AERbodytext"/>
              <w:spacing w:after="0"/>
              <w:jc w:val="both"/>
              <w:rPr>
                <w:rFonts w:ascii="Arial Narrow" w:hAnsi="Arial Narrow"/>
              </w:rPr>
            </w:pPr>
            <w:r>
              <w:rPr>
                <w:rFonts w:ascii="Arial Narrow" w:hAnsi="Arial Narrow"/>
              </w:rPr>
              <w:t>Opening Capital Base</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1413F4" w:rsidRPr="005654A3" w:rsidRDefault="001413F4" w:rsidP="00EF5E19">
            <w:pPr>
              <w:pStyle w:val="AERbodytext"/>
              <w:spacing w:after="0"/>
              <w:jc w:val="right"/>
              <w:rPr>
                <w:rFonts w:ascii="Arial Narrow" w:hAnsi="Arial Narrow"/>
              </w:rPr>
            </w:pPr>
            <w:r>
              <w:rPr>
                <w:rFonts w:ascii="Arial Narrow" w:hAnsi="Arial Narrow"/>
              </w:rPr>
              <w:t>1,031.1</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1413F4" w:rsidRPr="005654A3" w:rsidRDefault="001413F4" w:rsidP="00EF5E19">
            <w:pPr>
              <w:pStyle w:val="AERbodytext"/>
              <w:spacing w:after="0"/>
              <w:jc w:val="right"/>
              <w:rPr>
                <w:rFonts w:ascii="Arial Narrow" w:hAnsi="Arial Narrow"/>
              </w:rPr>
            </w:pPr>
            <w:r>
              <w:rPr>
                <w:rFonts w:ascii="Arial Narrow" w:hAnsi="Arial Narrow"/>
              </w:rPr>
              <w:t>1,144.9</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1413F4" w:rsidRPr="005654A3" w:rsidRDefault="001413F4" w:rsidP="00EF5E19">
            <w:pPr>
              <w:pStyle w:val="AERbodytext"/>
              <w:spacing w:after="0"/>
              <w:jc w:val="right"/>
              <w:rPr>
                <w:rFonts w:ascii="Arial Narrow" w:hAnsi="Arial Narrow"/>
              </w:rPr>
            </w:pPr>
            <w:r>
              <w:rPr>
                <w:rFonts w:ascii="Arial Narrow" w:hAnsi="Arial Narrow"/>
              </w:rPr>
              <w:t>1,258.3</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1413F4" w:rsidRPr="005654A3" w:rsidRDefault="001413F4" w:rsidP="00EF5E19">
            <w:pPr>
              <w:pStyle w:val="AERbodytext"/>
              <w:spacing w:after="0"/>
              <w:jc w:val="right"/>
              <w:rPr>
                <w:rFonts w:ascii="Arial Narrow" w:hAnsi="Arial Narrow"/>
              </w:rPr>
            </w:pPr>
            <w:r>
              <w:rPr>
                <w:rFonts w:ascii="Arial Narrow" w:hAnsi="Arial Narrow"/>
              </w:rPr>
              <w:t>1,369.2</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1413F4" w:rsidRPr="005654A3" w:rsidRDefault="001413F4" w:rsidP="00EF5E19">
            <w:pPr>
              <w:pStyle w:val="AERbodytext"/>
              <w:spacing w:after="0"/>
              <w:jc w:val="right"/>
              <w:rPr>
                <w:rFonts w:ascii="Arial Narrow" w:hAnsi="Arial Narrow"/>
              </w:rPr>
            </w:pPr>
            <w:r>
              <w:rPr>
                <w:rFonts w:ascii="Arial Narrow" w:hAnsi="Arial Narrow"/>
              </w:rPr>
              <w:t>1,490.4</w:t>
            </w:r>
          </w:p>
        </w:tc>
      </w:tr>
      <w:tr w:rsidR="001413F4" w:rsidRPr="005654A3" w:rsidTr="00EA266C">
        <w:trPr>
          <w:trHeight w:val="300"/>
          <w:jc w:val="right"/>
        </w:trPr>
        <w:tc>
          <w:tcPr>
            <w:tcW w:w="344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1413F4" w:rsidRPr="00687C18" w:rsidRDefault="001413F4" w:rsidP="00491474">
            <w:pPr>
              <w:pStyle w:val="AERbodytext"/>
              <w:spacing w:after="0"/>
              <w:jc w:val="both"/>
              <w:rPr>
                <w:rFonts w:ascii="Arial Narrow" w:hAnsi="Arial Narrow"/>
              </w:rPr>
            </w:pPr>
            <w:r>
              <w:rPr>
                <w:rFonts w:ascii="Arial Narrow" w:hAnsi="Arial Narrow"/>
                <w:i/>
              </w:rPr>
              <w:t>Less</w:t>
            </w:r>
            <w:r>
              <w:rPr>
                <w:rFonts w:ascii="Arial Narrow" w:hAnsi="Arial Narrow"/>
              </w:rPr>
              <w:t xml:space="preserve"> Depreciation</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1413F4" w:rsidRPr="005654A3" w:rsidRDefault="001413F4" w:rsidP="00EF5E19">
            <w:pPr>
              <w:pStyle w:val="AERbodytext"/>
              <w:spacing w:after="0"/>
              <w:jc w:val="right"/>
              <w:rPr>
                <w:rFonts w:ascii="Arial Narrow" w:hAnsi="Arial Narrow"/>
              </w:rPr>
            </w:pPr>
            <w:r>
              <w:rPr>
                <w:rFonts w:ascii="Arial Narrow" w:hAnsi="Arial Narrow"/>
              </w:rPr>
              <w:t>27.5</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1413F4" w:rsidRPr="005654A3" w:rsidRDefault="001413F4" w:rsidP="00EF5E19">
            <w:pPr>
              <w:pStyle w:val="AERbodytext"/>
              <w:spacing w:after="0"/>
              <w:jc w:val="right"/>
              <w:rPr>
                <w:rFonts w:ascii="Arial Narrow" w:hAnsi="Arial Narrow"/>
              </w:rPr>
            </w:pPr>
            <w:r>
              <w:rPr>
                <w:rFonts w:ascii="Arial Narrow" w:hAnsi="Arial Narrow"/>
              </w:rPr>
              <w:t>42.1</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1413F4" w:rsidRPr="005654A3" w:rsidRDefault="001413F4" w:rsidP="00EF5E19">
            <w:pPr>
              <w:pStyle w:val="AERbodytext"/>
              <w:spacing w:after="0"/>
              <w:jc w:val="right"/>
              <w:rPr>
                <w:rFonts w:ascii="Arial Narrow" w:hAnsi="Arial Narrow"/>
              </w:rPr>
            </w:pPr>
            <w:r>
              <w:rPr>
                <w:rFonts w:ascii="Arial Narrow" w:hAnsi="Arial Narrow"/>
              </w:rPr>
              <w:t>46.5</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1413F4" w:rsidRPr="005654A3" w:rsidRDefault="001413F4" w:rsidP="00EF5E19">
            <w:pPr>
              <w:pStyle w:val="AERbodytext"/>
              <w:spacing w:after="0"/>
              <w:jc w:val="right"/>
              <w:rPr>
                <w:rFonts w:ascii="Arial Narrow" w:hAnsi="Arial Narrow"/>
              </w:rPr>
            </w:pPr>
            <w:r>
              <w:rPr>
                <w:rFonts w:ascii="Arial Narrow" w:hAnsi="Arial Narrow"/>
              </w:rPr>
              <w:t>51.3</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1413F4" w:rsidRPr="005654A3" w:rsidRDefault="001413F4" w:rsidP="00EF5E19">
            <w:pPr>
              <w:pStyle w:val="AERbodytext"/>
              <w:spacing w:after="0"/>
              <w:jc w:val="right"/>
              <w:rPr>
                <w:rFonts w:ascii="Arial Narrow" w:hAnsi="Arial Narrow"/>
              </w:rPr>
            </w:pPr>
            <w:r>
              <w:rPr>
                <w:rFonts w:ascii="Arial Narrow" w:hAnsi="Arial Narrow"/>
              </w:rPr>
              <w:t>54.4</w:t>
            </w:r>
          </w:p>
        </w:tc>
      </w:tr>
      <w:tr w:rsidR="001413F4" w:rsidRPr="005654A3" w:rsidTr="00EA266C">
        <w:trPr>
          <w:trHeight w:val="300"/>
          <w:jc w:val="right"/>
        </w:trPr>
        <w:tc>
          <w:tcPr>
            <w:tcW w:w="344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1413F4" w:rsidRPr="00687C18" w:rsidRDefault="001413F4" w:rsidP="00491474">
            <w:pPr>
              <w:pStyle w:val="AERbodytext"/>
              <w:spacing w:after="0"/>
              <w:jc w:val="both"/>
              <w:rPr>
                <w:rFonts w:ascii="Arial Narrow" w:hAnsi="Arial Narrow"/>
              </w:rPr>
            </w:pPr>
            <w:r>
              <w:rPr>
                <w:rFonts w:ascii="Arial Narrow" w:hAnsi="Arial Narrow"/>
                <w:i/>
              </w:rPr>
              <w:t>Plus</w:t>
            </w:r>
            <w:r>
              <w:rPr>
                <w:rFonts w:ascii="Arial Narrow" w:hAnsi="Arial Narrow"/>
              </w:rPr>
              <w:t xml:space="preserve"> Conforming Capital Expenditure</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1413F4" w:rsidRPr="005654A3" w:rsidRDefault="001413F4" w:rsidP="00EF5E19">
            <w:pPr>
              <w:pStyle w:val="AERbodytext"/>
              <w:spacing w:after="0"/>
              <w:jc w:val="right"/>
              <w:rPr>
                <w:rFonts w:ascii="Arial Narrow" w:hAnsi="Arial Narrow"/>
              </w:rPr>
            </w:pPr>
            <w:r>
              <w:rPr>
                <w:rFonts w:ascii="Arial Narrow" w:hAnsi="Arial Narrow"/>
              </w:rPr>
              <w:t>115.3</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1413F4" w:rsidRPr="005654A3" w:rsidRDefault="001413F4" w:rsidP="00EF5E19">
            <w:pPr>
              <w:pStyle w:val="AERbodytext"/>
              <w:spacing w:after="0"/>
              <w:jc w:val="right"/>
              <w:rPr>
                <w:rFonts w:ascii="Arial Narrow" w:hAnsi="Arial Narrow"/>
              </w:rPr>
            </w:pPr>
            <w:r>
              <w:rPr>
                <w:rFonts w:ascii="Arial Narrow" w:hAnsi="Arial Narrow"/>
              </w:rPr>
              <w:t>126.6</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1413F4" w:rsidRPr="005654A3" w:rsidRDefault="001413F4" w:rsidP="00EF5E19">
            <w:pPr>
              <w:pStyle w:val="AERbodytext"/>
              <w:spacing w:after="0"/>
              <w:jc w:val="right"/>
              <w:rPr>
                <w:rFonts w:ascii="Arial Narrow" w:hAnsi="Arial Narrow"/>
              </w:rPr>
            </w:pPr>
            <w:r>
              <w:rPr>
                <w:rFonts w:ascii="Arial Narrow" w:hAnsi="Arial Narrow"/>
              </w:rPr>
              <w:t>125.7</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1413F4" w:rsidRPr="005654A3" w:rsidRDefault="001413F4" w:rsidP="00EF5E19">
            <w:pPr>
              <w:pStyle w:val="AERbodytext"/>
              <w:spacing w:after="0"/>
              <w:jc w:val="right"/>
              <w:rPr>
                <w:rFonts w:ascii="Arial Narrow" w:hAnsi="Arial Narrow"/>
              </w:rPr>
            </w:pPr>
            <w:r>
              <w:rPr>
                <w:rFonts w:ascii="Arial Narrow" w:hAnsi="Arial Narrow"/>
              </w:rPr>
              <w:t>138.0</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1413F4" w:rsidRPr="005654A3" w:rsidRDefault="001413F4" w:rsidP="00EF5E19">
            <w:pPr>
              <w:pStyle w:val="AERbodytext"/>
              <w:spacing w:after="0"/>
              <w:jc w:val="right"/>
              <w:rPr>
                <w:rFonts w:ascii="Arial Narrow" w:hAnsi="Arial Narrow"/>
              </w:rPr>
            </w:pPr>
            <w:r>
              <w:rPr>
                <w:rFonts w:ascii="Arial Narrow" w:hAnsi="Arial Narrow"/>
              </w:rPr>
              <w:t>141.0</w:t>
            </w:r>
          </w:p>
        </w:tc>
      </w:tr>
      <w:tr w:rsidR="001413F4" w:rsidRPr="005654A3" w:rsidTr="00EA266C">
        <w:trPr>
          <w:trHeight w:val="300"/>
          <w:jc w:val="right"/>
        </w:trPr>
        <w:tc>
          <w:tcPr>
            <w:tcW w:w="344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1413F4" w:rsidRPr="005654A3" w:rsidRDefault="001413F4" w:rsidP="00491474">
            <w:pPr>
              <w:pStyle w:val="AERbodytext"/>
              <w:spacing w:after="0"/>
              <w:jc w:val="both"/>
              <w:rPr>
                <w:rFonts w:ascii="Arial Narrow" w:hAnsi="Arial Narrow"/>
              </w:rPr>
            </w:pPr>
            <w:r w:rsidRPr="00560182">
              <w:rPr>
                <w:rFonts w:ascii="Arial Narrow" w:hAnsi="Arial Narrow"/>
                <w:i/>
              </w:rPr>
              <w:t>Plus</w:t>
            </w:r>
            <w:r>
              <w:rPr>
                <w:rFonts w:ascii="Arial Narrow" w:hAnsi="Arial Narrow"/>
              </w:rPr>
              <w:t xml:space="preserve"> Indexation</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1413F4" w:rsidRPr="005654A3" w:rsidRDefault="001413F4" w:rsidP="00EF5E19">
            <w:pPr>
              <w:pStyle w:val="AERbodytext"/>
              <w:spacing w:after="0"/>
              <w:jc w:val="right"/>
              <w:rPr>
                <w:rFonts w:ascii="Arial Narrow" w:hAnsi="Arial Narrow"/>
              </w:rPr>
            </w:pPr>
            <w:r>
              <w:rPr>
                <w:rFonts w:ascii="Arial Narrow" w:hAnsi="Arial Narrow"/>
              </w:rPr>
              <w:t>26.0</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1413F4" w:rsidRPr="005654A3" w:rsidRDefault="001413F4" w:rsidP="00EF5E19">
            <w:pPr>
              <w:pStyle w:val="AERbodytext"/>
              <w:spacing w:after="0"/>
              <w:jc w:val="right"/>
              <w:rPr>
                <w:rFonts w:ascii="Arial Narrow" w:hAnsi="Arial Narrow"/>
              </w:rPr>
            </w:pPr>
            <w:r>
              <w:rPr>
                <w:rFonts w:ascii="Arial Narrow" w:hAnsi="Arial Narrow"/>
              </w:rPr>
              <w:t>28.9</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1413F4" w:rsidRPr="005654A3" w:rsidRDefault="001413F4" w:rsidP="00EF5E19">
            <w:pPr>
              <w:pStyle w:val="AERbodytext"/>
              <w:spacing w:after="0"/>
              <w:jc w:val="right"/>
              <w:rPr>
                <w:rFonts w:ascii="Arial Narrow" w:hAnsi="Arial Narrow"/>
              </w:rPr>
            </w:pPr>
            <w:r>
              <w:rPr>
                <w:rFonts w:ascii="Arial Narrow" w:hAnsi="Arial Narrow"/>
              </w:rPr>
              <w:t>31.7</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1413F4" w:rsidRPr="005654A3" w:rsidRDefault="001413F4" w:rsidP="00EF5E19">
            <w:pPr>
              <w:pStyle w:val="AERbodytext"/>
              <w:spacing w:after="0"/>
              <w:jc w:val="right"/>
              <w:rPr>
                <w:rFonts w:ascii="Arial Narrow" w:hAnsi="Arial Narrow"/>
              </w:rPr>
            </w:pPr>
            <w:r>
              <w:rPr>
                <w:rFonts w:ascii="Arial Narrow" w:hAnsi="Arial Narrow"/>
              </w:rPr>
              <w:t>34.5</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1413F4" w:rsidRPr="005654A3" w:rsidRDefault="001413F4" w:rsidP="00EF5E19">
            <w:pPr>
              <w:pStyle w:val="AERbodytext"/>
              <w:spacing w:after="0"/>
              <w:jc w:val="right"/>
              <w:rPr>
                <w:rFonts w:ascii="Arial Narrow" w:hAnsi="Arial Narrow"/>
              </w:rPr>
            </w:pPr>
            <w:r>
              <w:rPr>
                <w:rFonts w:ascii="Arial Narrow" w:hAnsi="Arial Narrow"/>
              </w:rPr>
              <w:t>37.6</w:t>
            </w:r>
          </w:p>
        </w:tc>
      </w:tr>
      <w:tr w:rsidR="001413F4" w:rsidRPr="005654A3" w:rsidTr="00EA266C">
        <w:trPr>
          <w:trHeight w:val="300"/>
          <w:jc w:val="right"/>
        </w:trPr>
        <w:tc>
          <w:tcPr>
            <w:tcW w:w="344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1413F4" w:rsidRPr="00560182" w:rsidRDefault="001413F4" w:rsidP="00491474">
            <w:pPr>
              <w:pStyle w:val="AERbodytext"/>
              <w:spacing w:after="0"/>
              <w:jc w:val="both"/>
              <w:rPr>
                <w:rFonts w:ascii="Arial Narrow" w:hAnsi="Arial Narrow"/>
                <w:b/>
              </w:rPr>
            </w:pPr>
            <w:r>
              <w:rPr>
                <w:rFonts w:ascii="Arial Narrow" w:hAnsi="Arial Narrow"/>
                <w:b/>
              </w:rPr>
              <w:t>Closing Value</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1413F4" w:rsidRPr="005654A3" w:rsidRDefault="001413F4" w:rsidP="00EF5E19">
            <w:pPr>
              <w:pStyle w:val="AERbodytext"/>
              <w:spacing w:after="0"/>
              <w:jc w:val="right"/>
              <w:rPr>
                <w:rFonts w:ascii="Arial Narrow" w:hAnsi="Arial Narrow"/>
              </w:rPr>
            </w:pPr>
            <w:r>
              <w:rPr>
                <w:rFonts w:ascii="Arial Narrow" w:hAnsi="Arial Narrow"/>
              </w:rPr>
              <w:t>1,144.9</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1413F4" w:rsidRPr="005654A3" w:rsidRDefault="001413F4" w:rsidP="00EF5E19">
            <w:pPr>
              <w:pStyle w:val="AERbodytext"/>
              <w:spacing w:after="0"/>
              <w:jc w:val="right"/>
              <w:rPr>
                <w:rFonts w:ascii="Arial Narrow" w:hAnsi="Arial Narrow"/>
              </w:rPr>
            </w:pPr>
            <w:r>
              <w:rPr>
                <w:rFonts w:ascii="Arial Narrow" w:hAnsi="Arial Narrow"/>
              </w:rPr>
              <w:t>1,258.3</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1413F4" w:rsidRPr="005654A3" w:rsidRDefault="001413F4" w:rsidP="00EF5E19">
            <w:pPr>
              <w:pStyle w:val="AERbodytext"/>
              <w:spacing w:after="0"/>
              <w:jc w:val="right"/>
              <w:rPr>
                <w:rFonts w:ascii="Arial Narrow" w:hAnsi="Arial Narrow"/>
              </w:rPr>
            </w:pPr>
            <w:r>
              <w:rPr>
                <w:rFonts w:ascii="Arial Narrow" w:hAnsi="Arial Narrow"/>
              </w:rPr>
              <w:t>1,369.2</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1413F4" w:rsidRPr="005654A3" w:rsidRDefault="001413F4" w:rsidP="00EF5E19">
            <w:pPr>
              <w:pStyle w:val="AERbodytext"/>
              <w:spacing w:after="0"/>
              <w:jc w:val="right"/>
              <w:rPr>
                <w:rFonts w:ascii="Arial Narrow" w:hAnsi="Arial Narrow"/>
              </w:rPr>
            </w:pPr>
            <w:r>
              <w:rPr>
                <w:rFonts w:ascii="Arial Narrow" w:hAnsi="Arial Narrow"/>
              </w:rPr>
              <w:t>1,490.4</w:t>
            </w:r>
          </w:p>
        </w:tc>
        <w:tc>
          <w:tcPr>
            <w:tcW w:w="10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1413F4" w:rsidRPr="005654A3" w:rsidRDefault="001413F4" w:rsidP="00EF5E19">
            <w:pPr>
              <w:pStyle w:val="AERbodytext"/>
              <w:spacing w:after="0"/>
              <w:jc w:val="right"/>
              <w:rPr>
                <w:rFonts w:ascii="Arial Narrow" w:hAnsi="Arial Narrow"/>
              </w:rPr>
            </w:pPr>
            <w:r>
              <w:rPr>
                <w:rFonts w:ascii="Arial Narrow" w:hAnsi="Arial Narrow"/>
              </w:rPr>
              <w:t>1,614.6</w:t>
            </w:r>
          </w:p>
        </w:tc>
      </w:tr>
    </w:tbl>
    <w:p w:rsidR="00560182" w:rsidRDefault="00560182" w:rsidP="00560182">
      <w:pPr>
        <w:spacing w:after="0"/>
        <w:rPr>
          <w:rFonts w:ascii="Arial Narrow" w:eastAsia="Times New Roman" w:hAnsi="Arial Narrow"/>
          <w:sz w:val="24"/>
          <w:szCs w:val="24"/>
        </w:rPr>
      </w:pPr>
    </w:p>
    <w:sectPr w:rsidR="00560182" w:rsidSect="00E97D0F">
      <w:footerReference w:type="default" r:id="rId8"/>
      <w:pgSz w:w="11906" w:h="16838"/>
      <w:pgMar w:top="1134" w:right="1418"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5DF" w:rsidRDefault="001D65DF" w:rsidP="007C1649">
      <w:pPr>
        <w:spacing w:after="0" w:line="240" w:lineRule="auto"/>
      </w:pPr>
      <w:r>
        <w:separator/>
      </w:r>
    </w:p>
  </w:endnote>
  <w:endnote w:type="continuationSeparator" w:id="0">
    <w:p w:rsidR="001D65DF" w:rsidRDefault="001D65DF" w:rsidP="007C16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0EB" w:rsidRPr="007C1649" w:rsidRDefault="000370EB" w:rsidP="007C1649">
    <w:pPr>
      <w:pStyle w:val="Footer"/>
      <w:spacing w:after="0" w:line="240" w:lineRule="auto"/>
      <w:rPr>
        <w:rFonts w:ascii="Arial Narrow" w:hAnsi="Arial Narrow"/>
        <w:sz w:val="20"/>
        <w:szCs w:val="20"/>
      </w:rPr>
    </w:pPr>
    <w:r w:rsidRPr="007C1649">
      <w:rPr>
        <w:rFonts w:ascii="Arial Narrow" w:hAnsi="Arial Narrow"/>
        <w:sz w:val="20"/>
        <w:szCs w:val="20"/>
      </w:rPr>
      <w:t>SA Access Arrangement Information</w:t>
    </w:r>
    <w:r>
      <w:rPr>
        <w:rFonts w:ascii="Arial Narrow" w:hAnsi="Arial Narrow"/>
        <w:sz w:val="20"/>
        <w:szCs w:val="20"/>
      </w:rPr>
      <w:t xml:space="preserve"> – March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5DF" w:rsidRDefault="001D65DF" w:rsidP="007C1649">
      <w:pPr>
        <w:spacing w:after="0" w:line="240" w:lineRule="auto"/>
      </w:pPr>
      <w:r>
        <w:separator/>
      </w:r>
    </w:p>
  </w:footnote>
  <w:footnote w:type="continuationSeparator" w:id="0">
    <w:p w:rsidR="001D65DF" w:rsidRDefault="001D65DF" w:rsidP="007C16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632A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9651DE2"/>
    <w:multiLevelType w:val="hybridMultilevel"/>
    <w:tmpl w:val="1F707492"/>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10A40A67"/>
    <w:multiLevelType w:val="hybridMultilevel"/>
    <w:tmpl w:val="8A52D01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11691770"/>
    <w:multiLevelType w:val="hybridMultilevel"/>
    <w:tmpl w:val="B0A89CA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nsid w:val="17681AF1"/>
    <w:multiLevelType w:val="hybridMultilevel"/>
    <w:tmpl w:val="ABB6E9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7C5260B"/>
    <w:multiLevelType w:val="hybridMultilevel"/>
    <w:tmpl w:val="549EBBF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7D158EA"/>
    <w:multiLevelType w:val="hybridMultilevel"/>
    <w:tmpl w:val="8078E5D0"/>
    <w:lvl w:ilvl="0" w:tplc="F800E36C">
      <w:start w:val="2"/>
      <w:numFmt w:val="decimal"/>
      <w:lvlText w:val="1.1%1"/>
      <w:lvlJc w:val="left"/>
      <w:pPr>
        <w:ind w:left="1575" w:hanging="360"/>
      </w:pPr>
      <w:rPr>
        <w:rFonts w:ascii="Arial Narrow" w:hAnsi="Arial Narrow" w:hint="default"/>
      </w:rPr>
    </w:lvl>
    <w:lvl w:ilvl="1" w:tplc="0C090019" w:tentative="1">
      <w:start w:val="1"/>
      <w:numFmt w:val="lowerLetter"/>
      <w:lvlText w:val="%2."/>
      <w:lvlJc w:val="left"/>
      <w:pPr>
        <w:ind w:left="2295" w:hanging="360"/>
      </w:pPr>
    </w:lvl>
    <w:lvl w:ilvl="2" w:tplc="0C09001B" w:tentative="1">
      <w:start w:val="1"/>
      <w:numFmt w:val="lowerRoman"/>
      <w:lvlText w:val="%3."/>
      <w:lvlJc w:val="right"/>
      <w:pPr>
        <w:ind w:left="3015" w:hanging="180"/>
      </w:pPr>
    </w:lvl>
    <w:lvl w:ilvl="3" w:tplc="0C09000F" w:tentative="1">
      <w:start w:val="1"/>
      <w:numFmt w:val="decimal"/>
      <w:lvlText w:val="%4."/>
      <w:lvlJc w:val="left"/>
      <w:pPr>
        <w:ind w:left="3735" w:hanging="360"/>
      </w:pPr>
    </w:lvl>
    <w:lvl w:ilvl="4" w:tplc="0C090019" w:tentative="1">
      <w:start w:val="1"/>
      <w:numFmt w:val="lowerLetter"/>
      <w:lvlText w:val="%5."/>
      <w:lvlJc w:val="left"/>
      <w:pPr>
        <w:ind w:left="4455" w:hanging="360"/>
      </w:pPr>
    </w:lvl>
    <w:lvl w:ilvl="5" w:tplc="0C09001B" w:tentative="1">
      <w:start w:val="1"/>
      <w:numFmt w:val="lowerRoman"/>
      <w:lvlText w:val="%6."/>
      <w:lvlJc w:val="right"/>
      <w:pPr>
        <w:ind w:left="5175" w:hanging="180"/>
      </w:pPr>
    </w:lvl>
    <w:lvl w:ilvl="6" w:tplc="0C09000F" w:tentative="1">
      <w:start w:val="1"/>
      <w:numFmt w:val="decimal"/>
      <w:lvlText w:val="%7."/>
      <w:lvlJc w:val="left"/>
      <w:pPr>
        <w:ind w:left="5895" w:hanging="360"/>
      </w:pPr>
    </w:lvl>
    <w:lvl w:ilvl="7" w:tplc="0C090019" w:tentative="1">
      <w:start w:val="1"/>
      <w:numFmt w:val="lowerLetter"/>
      <w:lvlText w:val="%8."/>
      <w:lvlJc w:val="left"/>
      <w:pPr>
        <w:ind w:left="6615" w:hanging="360"/>
      </w:pPr>
    </w:lvl>
    <w:lvl w:ilvl="8" w:tplc="0C09001B" w:tentative="1">
      <w:start w:val="1"/>
      <w:numFmt w:val="lowerRoman"/>
      <w:lvlText w:val="%9."/>
      <w:lvlJc w:val="right"/>
      <w:pPr>
        <w:ind w:left="7335" w:hanging="180"/>
      </w:pPr>
    </w:lvl>
  </w:abstractNum>
  <w:abstractNum w:abstractNumId="7">
    <w:nsid w:val="1A502FF2"/>
    <w:multiLevelType w:val="hybridMultilevel"/>
    <w:tmpl w:val="5BD80B3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B0D6745"/>
    <w:multiLevelType w:val="singleLevel"/>
    <w:tmpl w:val="3C669C7E"/>
    <w:lvl w:ilvl="0">
      <w:start w:val="1"/>
      <w:numFmt w:val="lowerLetter"/>
      <w:lvlText w:val="(%1)"/>
      <w:lvlJc w:val="left"/>
      <w:pPr>
        <w:tabs>
          <w:tab w:val="num" w:pos="795"/>
        </w:tabs>
        <w:ind w:left="795" w:hanging="795"/>
      </w:pPr>
      <w:rPr>
        <w:rFonts w:hint="default"/>
      </w:rPr>
    </w:lvl>
  </w:abstractNum>
  <w:abstractNum w:abstractNumId="9">
    <w:nsid w:val="1EDA5465"/>
    <w:multiLevelType w:val="hybridMultilevel"/>
    <w:tmpl w:val="0292F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F8A212A"/>
    <w:multiLevelType w:val="hybridMultilevel"/>
    <w:tmpl w:val="F56E420C"/>
    <w:lvl w:ilvl="0" w:tplc="0C090019">
      <w:start w:val="1"/>
      <w:numFmt w:val="lowerLetter"/>
      <w:lvlText w:val="%1."/>
      <w:lvlJc w:val="left"/>
      <w:pPr>
        <w:ind w:left="1296" w:hanging="360"/>
      </w:pPr>
    </w:lvl>
    <w:lvl w:ilvl="1" w:tplc="0C090019" w:tentative="1">
      <w:start w:val="1"/>
      <w:numFmt w:val="lowerLetter"/>
      <w:lvlText w:val="%2."/>
      <w:lvlJc w:val="left"/>
      <w:pPr>
        <w:ind w:left="2016" w:hanging="360"/>
      </w:pPr>
    </w:lvl>
    <w:lvl w:ilvl="2" w:tplc="0C09001B" w:tentative="1">
      <w:start w:val="1"/>
      <w:numFmt w:val="lowerRoman"/>
      <w:lvlText w:val="%3."/>
      <w:lvlJc w:val="right"/>
      <w:pPr>
        <w:ind w:left="2736" w:hanging="180"/>
      </w:pPr>
    </w:lvl>
    <w:lvl w:ilvl="3" w:tplc="0C09000F" w:tentative="1">
      <w:start w:val="1"/>
      <w:numFmt w:val="decimal"/>
      <w:lvlText w:val="%4."/>
      <w:lvlJc w:val="left"/>
      <w:pPr>
        <w:ind w:left="3456" w:hanging="360"/>
      </w:pPr>
    </w:lvl>
    <w:lvl w:ilvl="4" w:tplc="0C090019" w:tentative="1">
      <w:start w:val="1"/>
      <w:numFmt w:val="lowerLetter"/>
      <w:lvlText w:val="%5."/>
      <w:lvlJc w:val="left"/>
      <w:pPr>
        <w:ind w:left="4176" w:hanging="360"/>
      </w:pPr>
    </w:lvl>
    <w:lvl w:ilvl="5" w:tplc="0C09001B" w:tentative="1">
      <w:start w:val="1"/>
      <w:numFmt w:val="lowerRoman"/>
      <w:lvlText w:val="%6."/>
      <w:lvlJc w:val="right"/>
      <w:pPr>
        <w:ind w:left="4896" w:hanging="180"/>
      </w:pPr>
    </w:lvl>
    <w:lvl w:ilvl="6" w:tplc="0C09000F" w:tentative="1">
      <w:start w:val="1"/>
      <w:numFmt w:val="decimal"/>
      <w:lvlText w:val="%7."/>
      <w:lvlJc w:val="left"/>
      <w:pPr>
        <w:ind w:left="5616" w:hanging="360"/>
      </w:pPr>
    </w:lvl>
    <w:lvl w:ilvl="7" w:tplc="0C090019" w:tentative="1">
      <w:start w:val="1"/>
      <w:numFmt w:val="lowerLetter"/>
      <w:lvlText w:val="%8."/>
      <w:lvlJc w:val="left"/>
      <w:pPr>
        <w:ind w:left="6336" w:hanging="360"/>
      </w:pPr>
    </w:lvl>
    <w:lvl w:ilvl="8" w:tplc="0C09001B" w:tentative="1">
      <w:start w:val="1"/>
      <w:numFmt w:val="lowerRoman"/>
      <w:lvlText w:val="%9."/>
      <w:lvlJc w:val="right"/>
      <w:pPr>
        <w:ind w:left="7056" w:hanging="180"/>
      </w:pPr>
    </w:lvl>
  </w:abstractNum>
  <w:abstractNum w:abstractNumId="11">
    <w:nsid w:val="244D5C72"/>
    <w:multiLevelType w:val="hybridMultilevel"/>
    <w:tmpl w:val="8A0EA7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4725F21"/>
    <w:multiLevelType w:val="multilevel"/>
    <w:tmpl w:val="71DA3B56"/>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5B542C2"/>
    <w:multiLevelType w:val="hybridMultilevel"/>
    <w:tmpl w:val="B3FE91E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4">
    <w:nsid w:val="2C57382C"/>
    <w:multiLevelType w:val="multilevel"/>
    <w:tmpl w:val="941C805E"/>
    <w:lvl w:ilvl="0">
      <w:start w:val="1"/>
      <w:numFmt w:val="none"/>
      <w:pStyle w:val="AERheading1"/>
      <w:lvlText w:val=""/>
      <w:lvlJc w:val="left"/>
      <w:pPr>
        <w:tabs>
          <w:tab w:val="num" w:pos="720"/>
        </w:tabs>
        <w:ind w:left="720" w:hanging="720"/>
      </w:pPr>
      <w:rPr>
        <w:rFonts w:hint="default"/>
      </w:rPr>
    </w:lvl>
    <w:lvl w:ilvl="1">
      <w:start w:val="1"/>
      <w:numFmt w:val="decimal"/>
      <w:pStyle w:val="AERheading2"/>
      <w:lvlText w:val="%11.%2"/>
      <w:lvlJc w:val="left"/>
      <w:pPr>
        <w:tabs>
          <w:tab w:val="num" w:pos="720"/>
        </w:tabs>
        <w:ind w:left="720" w:hanging="720"/>
      </w:pPr>
      <w:rPr>
        <w:rFonts w:hint="default"/>
      </w:rPr>
    </w:lvl>
    <w:lvl w:ilvl="2">
      <w:start w:val="1"/>
      <w:numFmt w:val="decimal"/>
      <w:pStyle w:val="AERheading3"/>
      <w:lvlText w:val="%11.%2.%3"/>
      <w:lvlJc w:val="left"/>
      <w:pPr>
        <w:tabs>
          <w:tab w:val="num" w:pos="720"/>
        </w:tabs>
        <w:ind w:left="720" w:hanging="720"/>
      </w:pPr>
      <w:rPr>
        <w:rFonts w:hint="default"/>
        <w:strike w:val="0"/>
      </w:rPr>
    </w:lvl>
    <w:lvl w:ilvl="3">
      <w:start w:val="1"/>
      <w:numFmt w:val="decimal"/>
      <w:pStyle w:val="AERheading4"/>
      <w:lvlText w:val="%11.%2.%3.%4"/>
      <w:lvlJc w:val="left"/>
      <w:pPr>
        <w:tabs>
          <w:tab w:val="num" w:pos="1800"/>
        </w:tabs>
        <w:ind w:left="1440" w:hanging="720"/>
      </w:pPr>
      <w:rPr>
        <w:rFonts w:hint="default"/>
      </w:rPr>
    </w:lvl>
    <w:lvl w:ilvl="4">
      <w:start w:val="1"/>
      <w:numFmt w:val="decimal"/>
      <w:lvlText w:val="%11.%2.%3.%4.%5"/>
      <w:lvlJc w:val="left"/>
      <w:pPr>
        <w:tabs>
          <w:tab w:val="num" w:pos="1440"/>
        </w:tabs>
        <w:ind w:left="1080" w:hanging="1080"/>
      </w:pPr>
      <w:rPr>
        <w:rFonts w:hint="default"/>
      </w:rPr>
    </w:lvl>
    <w:lvl w:ilvl="5">
      <w:start w:val="1"/>
      <w:numFmt w:val="decimal"/>
      <w:isLgl/>
      <w:lvlText w:val="%11.%2.%3.%4.%5.%6"/>
      <w:lvlJc w:val="left"/>
      <w:pPr>
        <w:tabs>
          <w:tab w:val="num" w:pos="1080"/>
        </w:tabs>
        <w:ind w:left="1080" w:hanging="1080"/>
      </w:pPr>
      <w:rPr>
        <w:rFonts w:hint="default"/>
      </w:rPr>
    </w:lvl>
    <w:lvl w:ilvl="6">
      <w:start w:val="1"/>
      <w:numFmt w:val="decimal"/>
      <w:isLgl/>
      <w:lvlText w:val="%1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
    <w:nsid w:val="2C591485"/>
    <w:multiLevelType w:val="hybridMultilevel"/>
    <w:tmpl w:val="E70C758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nsid w:val="2C9C2653"/>
    <w:multiLevelType w:val="multilevel"/>
    <w:tmpl w:val="F6A80F5C"/>
    <w:lvl w:ilvl="0">
      <w:start w:val="2"/>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Arial Narrow" w:hAnsi="Arial Narrow"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2F1F067A"/>
    <w:multiLevelType w:val="hybridMultilevel"/>
    <w:tmpl w:val="2FC020C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3D687090"/>
    <w:multiLevelType w:val="hybridMultilevel"/>
    <w:tmpl w:val="778476E4"/>
    <w:lvl w:ilvl="0" w:tplc="9E3AA0E0">
      <w:start w:val="1"/>
      <w:numFmt w:val="lowerLetter"/>
      <w:lvlText w:val="(%1)"/>
      <w:lvlJc w:val="left"/>
      <w:pPr>
        <w:tabs>
          <w:tab w:val="num" w:pos="2340"/>
        </w:tabs>
        <w:ind w:left="2340" w:hanging="360"/>
      </w:pPr>
      <w:rPr>
        <w:rFonts w:hint="default"/>
        <w:i w:val="0"/>
      </w:rPr>
    </w:lvl>
    <w:lvl w:ilvl="1" w:tplc="0C090019">
      <w:start w:val="1"/>
      <w:numFmt w:val="lowerLetter"/>
      <w:lvlText w:val="%2."/>
      <w:lvlJc w:val="left"/>
      <w:pPr>
        <w:tabs>
          <w:tab w:val="num" w:pos="3060"/>
        </w:tabs>
        <w:ind w:left="3060" w:hanging="360"/>
      </w:pPr>
    </w:lvl>
    <w:lvl w:ilvl="2" w:tplc="0C09001B">
      <w:start w:val="1"/>
      <w:numFmt w:val="lowerRoman"/>
      <w:lvlText w:val="%3."/>
      <w:lvlJc w:val="right"/>
      <w:pPr>
        <w:tabs>
          <w:tab w:val="num" w:pos="3780"/>
        </w:tabs>
        <w:ind w:left="3780" w:hanging="180"/>
      </w:pPr>
    </w:lvl>
    <w:lvl w:ilvl="3" w:tplc="0C09000F" w:tentative="1">
      <w:start w:val="1"/>
      <w:numFmt w:val="decimal"/>
      <w:lvlText w:val="%4."/>
      <w:lvlJc w:val="left"/>
      <w:pPr>
        <w:tabs>
          <w:tab w:val="num" w:pos="4500"/>
        </w:tabs>
        <w:ind w:left="4500" w:hanging="360"/>
      </w:pPr>
    </w:lvl>
    <w:lvl w:ilvl="4" w:tplc="0C090019" w:tentative="1">
      <w:start w:val="1"/>
      <w:numFmt w:val="lowerLetter"/>
      <w:lvlText w:val="%5."/>
      <w:lvlJc w:val="left"/>
      <w:pPr>
        <w:tabs>
          <w:tab w:val="num" w:pos="5220"/>
        </w:tabs>
        <w:ind w:left="5220" w:hanging="360"/>
      </w:pPr>
    </w:lvl>
    <w:lvl w:ilvl="5" w:tplc="0C09001B" w:tentative="1">
      <w:start w:val="1"/>
      <w:numFmt w:val="lowerRoman"/>
      <w:lvlText w:val="%6."/>
      <w:lvlJc w:val="right"/>
      <w:pPr>
        <w:tabs>
          <w:tab w:val="num" w:pos="5940"/>
        </w:tabs>
        <w:ind w:left="5940" w:hanging="180"/>
      </w:pPr>
    </w:lvl>
    <w:lvl w:ilvl="6" w:tplc="0C09000F" w:tentative="1">
      <w:start w:val="1"/>
      <w:numFmt w:val="decimal"/>
      <w:lvlText w:val="%7."/>
      <w:lvlJc w:val="left"/>
      <w:pPr>
        <w:tabs>
          <w:tab w:val="num" w:pos="6660"/>
        </w:tabs>
        <w:ind w:left="6660" w:hanging="360"/>
      </w:pPr>
    </w:lvl>
    <w:lvl w:ilvl="7" w:tplc="0C090019" w:tentative="1">
      <w:start w:val="1"/>
      <w:numFmt w:val="lowerLetter"/>
      <w:lvlText w:val="%8."/>
      <w:lvlJc w:val="left"/>
      <w:pPr>
        <w:tabs>
          <w:tab w:val="num" w:pos="7380"/>
        </w:tabs>
        <w:ind w:left="7380" w:hanging="360"/>
      </w:pPr>
    </w:lvl>
    <w:lvl w:ilvl="8" w:tplc="0C09001B" w:tentative="1">
      <w:start w:val="1"/>
      <w:numFmt w:val="lowerRoman"/>
      <w:lvlText w:val="%9."/>
      <w:lvlJc w:val="right"/>
      <w:pPr>
        <w:tabs>
          <w:tab w:val="num" w:pos="8100"/>
        </w:tabs>
        <w:ind w:left="8100" w:hanging="180"/>
      </w:pPr>
    </w:lvl>
  </w:abstractNum>
  <w:abstractNum w:abstractNumId="19">
    <w:nsid w:val="40397963"/>
    <w:multiLevelType w:val="hybridMultilevel"/>
    <w:tmpl w:val="1D3AB5F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87D29F2"/>
    <w:multiLevelType w:val="hybridMultilevel"/>
    <w:tmpl w:val="A2C6F3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98529C1"/>
    <w:multiLevelType w:val="hybridMultilevel"/>
    <w:tmpl w:val="25FEF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3385B97"/>
    <w:multiLevelType w:val="hybridMultilevel"/>
    <w:tmpl w:val="EA66FC56"/>
    <w:lvl w:ilvl="0" w:tplc="0C090001">
      <w:start w:val="1"/>
      <w:numFmt w:val="bullet"/>
      <w:lvlText w:val=""/>
      <w:lvlJc w:val="left"/>
      <w:pPr>
        <w:ind w:left="1296" w:hanging="360"/>
      </w:pPr>
      <w:rPr>
        <w:rFonts w:ascii="Symbol" w:hAnsi="Symbol" w:hint="default"/>
      </w:rPr>
    </w:lvl>
    <w:lvl w:ilvl="1" w:tplc="0C090003">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23">
    <w:nsid w:val="54BE3B1D"/>
    <w:multiLevelType w:val="hybridMultilevel"/>
    <w:tmpl w:val="084EEF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55B00486"/>
    <w:multiLevelType w:val="hybridMultilevel"/>
    <w:tmpl w:val="9880D00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nsid w:val="57FC2C8F"/>
    <w:multiLevelType w:val="hybridMultilevel"/>
    <w:tmpl w:val="0756F116"/>
    <w:lvl w:ilvl="0" w:tplc="055A9EA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nsid w:val="66A75814"/>
    <w:multiLevelType w:val="multilevel"/>
    <w:tmpl w:val="3A149E74"/>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9C0465E"/>
    <w:multiLevelType w:val="hybridMultilevel"/>
    <w:tmpl w:val="BDF4D2E8"/>
    <w:lvl w:ilvl="0" w:tplc="0C090001">
      <w:start w:val="1"/>
      <w:numFmt w:val="bullet"/>
      <w:lvlText w:val=""/>
      <w:lvlJc w:val="left"/>
      <w:pPr>
        <w:ind w:left="1335" w:hanging="360"/>
      </w:pPr>
      <w:rPr>
        <w:rFonts w:ascii="Symbol" w:hAnsi="Symbol" w:hint="default"/>
      </w:rPr>
    </w:lvl>
    <w:lvl w:ilvl="1" w:tplc="0C090003" w:tentative="1">
      <w:start w:val="1"/>
      <w:numFmt w:val="bullet"/>
      <w:lvlText w:val="o"/>
      <w:lvlJc w:val="left"/>
      <w:pPr>
        <w:ind w:left="2055" w:hanging="360"/>
      </w:pPr>
      <w:rPr>
        <w:rFonts w:ascii="Courier New" w:hAnsi="Courier New" w:cs="Courier New" w:hint="default"/>
      </w:rPr>
    </w:lvl>
    <w:lvl w:ilvl="2" w:tplc="0C090005" w:tentative="1">
      <w:start w:val="1"/>
      <w:numFmt w:val="bullet"/>
      <w:lvlText w:val=""/>
      <w:lvlJc w:val="left"/>
      <w:pPr>
        <w:ind w:left="2775" w:hanging="360"/>
      </w:pPr>
      <w:rPr>
        <w:rFonts w:ascii="Wingdings" w:hAnsi="Wingdings" w:hint="default"/>
      </w:rPr>
    </w:lvl>
    <w:lvl w:ilvl="3" w:tplc="0C090001" w:tentative="1">
      <w:start w:val="1"/>
      <w:numFmt w:val="bullet"/>
      <w:lvlText w:val=""/>
      <w:lvlJc w:val="left"/>
      <w:pPr>
        <w:ind w:left="3495" w:hanging="360"/>
      </w:pPr>
      <w:rPr>
        <w:rFonts w:ascii="Symbol" w:hAnsi="Symbol" w:hint="default"/>
      </w:rPr>
    </w:lvl>
    <w:lvl w:ilvl="4" w:tplc="0C090003" w:tentative="1">
      <w:start w:val="1"/>
      <w:numFmt w:val="bullet"/>
      <w:lvlText w:val="o"/>
      <w:lvlJc w:val="left"/>
      <w:pPr>
        <w:ind w:left="4215" w:hanging="360"/>
      </w:pPr>
      <w:rPr>
        <w:rFonts w:ascii="Courier New" w:hAnsi="Courier New" w:cs="Courier New" w:hint="default"/>
      </w:rPr>
    </w:lvl>
    <w:lvl w:ilvl="5" w:tplc="0C090005" w:tentative="1">
      <w:start w:val="1"/>
      <w:numFmt w:val="bullet"/>
      <w:lvlText w:val=""/>
      <w:lvlJc w:val="left"/>
      <w:pPr>
        <w:ind w:left="4935" w:hanging="360"/>
      </w:pPr>
      <w:rPr>
        <w:rFonts w:ascii="Wingdings" w:hAnsi="Wingdings" w:hint="default"/>
      </w:rPr>
    </w:lvl>
    <w:lvl w:ilvl="6" w:tplc="0C090001" w:tentative="1">
      <w:start w:val="1"/>
      <w:numFmt w:val="bullet"/>
      <w:lvlText w:val=""/>
      <w:lvlJc w:val="left"/>
      <w:pPr>
        <w:ind w:left="5655" w:hanging="360"/>
      </w:pPr>
      <w:rPr>
        <w:rFonts w:ascii="Symbol" w:hAnsi="Symbol" w:hint="default"/>
      </w:rPr>
    </w:lvl>
    <w:lvl w:ilvl="7" w:tplc="0C090003" w:tentative="1">
      <w:start w:val="1"/>
      <w:numFmt w:val="bullet"/>
      <w:lvlText w:val="o"/>
      <w:lvlJc w:val="left"/>
      <w:pPr>
        <w:ind w:left="6375" w:hanging="360"/>
      </w:pPr>
      <w:rPr>
        <w:rFonts w:ascii="Courier New" w:hAnsi="Courier New" w:cs="Courier New" w:hint="default"/>
      </w:rPr>
    </w:lvl>
    <w:lvl w:ilvl="8" w:tplc="0C090005" w:tentative="1">
      <w:start w:val="1"/>
      <w:numFmt w:val="bullet"/>
      <w:lvlText w:val=""/>
      <w:lvlJc w:val="left"/>
      <w:pPr>
        <w:ind w:left="7095" w:hanging="360"/>
      </w:pPr>
      <w:rPr>
        <w:rFonts w:ascii="Wingdings" w:hAnsi="Wingdings" w:hint="default"/>
      </w:rPr>
    </w:lvl>
  </w:abstractNum>
  <w:abstractNum w:abstractNumId="28">
    <w:nsid w:val="6C6E02A6"/>
    <w:multiLevelType w:val="hybridMultilevel"/>
    <w:tmpl w:val="86A03BF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nsid w:val="775C60DC"/>
    <w:multiLevelType w:val="hybridMultilevel"/>
    <w:tmpl w:val="EC8A2EDE"/>
    <w:lvl w:ilvl="0" w:tplc="0C090001">
      <w:start w:val="1"/>
      <w:numFmt w:val="bullet"/>
      <w:lvlText w:val=""/>
      <w:lvlJc w:val="left"/>
      <w:pPr>
        <w:ind w:left="1296" w:hanging="360"/>
      </w:pPr>
      <w:rPr>
        <w:rFonts w:ascii="Symbol" w:hAnsi="Symbol" w:hint="default"/>
      </w:rPr>
    </w:lvl>
    <w:lvl w:ilvl="1" w:tplc="0C090003" w:tentative="1">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30">
    <w:nsid w:val="795B75E7"/>
    <w:multiLevelType w:val="multilevel"/>
    <w:tmpl w:val="8DF21B4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Narrow" w:hAnsi="Arial Narrow"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B2C2787"/>
    <w:multiLevelType w:val="hybridMultilevel"/>
    <w:tmpl w:val="36966A0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4"/>
  </w:num>
  <w:num w:numId="2">
    <w:abstractNumId w:val="18"/>
  </w:num>
  <w:num w:numId="3">
    <w:abstractNumId w:val="14"/>
    <w:lvlOverride w:ilvl="0">
      <w:lvl w:ilvl="0">
        <w:start w:val="1"/>
        <w:numFmt w:val="none"/>
        <w:pStyle w:val="AERheading1"/>
        <w:lvlText w:val=""/>
        <w:lvlJc w:val="left"/>
        <w:pPr>
          <w:tabs>
            <w:tab w:val="num" w:pos="720"/>
          </w:tabs>
          <w:ind w:left="720" w:hanging="720"/>
        </w:pPr>
        <w:rPr>
          <w:rFonts w:hint="default"/>
        </w:rPr>
      </w:lvl>
    </w:lvlOverride>
    <w:lvlOverride w:ilvl="1">
      <w:lvl w:ilvl="1">
        <w:start w:val="1"/>
        <w:numFmt w:val="decimal"/>
        <w:pStyle w:val="AERheading2"/>
        <w:lvlText w:val="%12.%2"/>
        <w:lvlJc w:val="left"/>
        <w:pPr>
          <w:tabs>
            <w:tab w:val="num" w:pos="720"/>
          </w:tabs>
          <w:ind w:left="720" w:hanging="720"/>
        </w:pPr>
        <w:rPr>
          <w:rFonts w:hint="default"/>
        </w:rPr>
      </w:lvl>
    </w:lvlOverride>
    <w:lvlOverride w:ilvl="2">
      <w:lvl w:ilvl="2">
        <w:start w:val="1"/>
        <w:numFmt w:val="decimal"/>
        <w:pStyle w:val="AERheading3"/>
        <w:lvlText w:val="%12.%2.%3"/>
        <w:lvlJc w:val="left"/>
        <w:pPr>
          <w:tabs>
            <w:tab w:val="num" w:pos="720"/>
          </w:tabs>
          <w:ind w:left="720" w:hanging="720"/>
        </w:pPr>
        <w:rPr>
          <w:rFonts w:hint="default"/>
          <w:strike w:val="0"/>
        </w:rPr>
      </w:lvl>
    </w:lvlOverride>
    <w:lvlOverride w:ilvl="3">
      <w:lvl w:ilvl="3">
        <w:start w:val="1"/>
        <w:numFmt w:val="decimal"/>
        <w:pStyle w:val="AERheading4"/>
        <w:lvlText w:val="%12.%2.%3.%4"/>
        <w:lvlJc w:val="left"/>
        <w:pPr>
          <w:tabs>
            <w:tab w:val="num" w:pos="1800"/>
          </w:tabs>
          <w:ind w:left="1440" w:hanging="720"/>
        </w:pPr>
        <w:rPr>
          <w:rFonts w:hint="default"/>
        </w:rPr>
      </w:lvl>
    </w:lvlOverride>
    <w:lvlOverride w:ilvl="4">
      <w:lvl w:ilvl="4">
        <w:start w:val="1"/>
        <w:numFmt w:val="decimal"/>
        <w:lvlText w:val="%12.%2.%3.%4.%5"/>
        <w:lvlJc w:val="left"/>
        <w:pPr>
          <w:tabs>
            <w:tab w:val="num" w:pos="1440"/>
          </w:tabs>
          <w:ind w:left="1080" w:hanging="1080"/>
        </w:pPr>
        <w:rPr>
          <w:rFonts w:hint="default"/>
        </w:rPr>
      </w:lvl>
    </w:lvlOverride>
    <w:lvlOverride w:ilvl="5">
      <w:lvl w:ilvl="5">
        <w:start w:val="1"/>
        <w:numFmt w:val="decimal"/>
        <w:isLgl/>
        <w:lvlText w:val="%12.%2.%3.%4.%5.%6"/>
        <w:lvlJc w:val="left"/>
        <w:pPr>
          <w:tabs>
            <w:tab w:val="num" w:pos="1080"/>
          </w:tabs>
          <w:ind w:left="1080" w:hanging="1080"/>
        </w:pPr>
        <w:rPr>
          <w:rFonts w:hint="default"/>
        </w:rPr>
      </w:lvl>
    </w:lvlOverride>
    <w:lvlOverride w:ilvl="6">
      <w:lvl w:ilvl="6">
        <w:start w:val="1"/>
        <w:numFmt w:val="decimal"/>
        <w:isLgl/>
        <w:lvlText w:val="%12.%2.%3.%4.%5.%6.%7"/>
        <w:lvlJc w:val="left"/>
        <w:pPr>
          <w:tabs>
            <w:tab w:val="num" w:pos="1440"/>
          </w:tabs>
          <w:ind w:left="1440" w:hanging="1440"/>
        </w:pPr>
        <w:rPr>
          <w:rFonts w:hint="default"/>
        </w:rPr>
      </w:lvl>
    </w:lvlOverride>
    <w:lvlOverride w:ilvl="7">
      <w:lvl w:ilvl="7">
        <w:start w:val="1"/>
        <w:numFmt w:val="decimal"/>
        <w:isLgl/>
        <w:lvlText w:val="%1.%2.%3.%4.%5.%6.%7.%8"/>
        <w:lvlJc w:val="left"/>
        <w:pPr>
          <w:tabs>
            <w:tab w:val="num" w:pos="1440"/>
          </w:tabs>
          <w:ind w:left="1440" w:hanging="1440"/>
        </w:pPr>
        <w:rPr>
          <w:rFonts w:hint="default"/>
        </w:rPr>
      </w:lvl>
    </w:lvlOverride>
    <w:lvlOverride w:ilvl="8">
      <w:lvl w:ilvl="8">
        <w:start w:val="1"/>
        <w:numFmt w:val="decimal"/>
        <w:isLgl/>
        <w:lvlText w:val="%1.%2.%3.%4.%5.%6.%7.%8.%9"/>
        <w:lvlJc w:val="left"/>
        <w:pPr>
          <w:tabs>
            <w:tab w:val="num" w:pos="1440"/>
          </w:tabs>
          <w:ind w:left="1440" w:hanging="1440"/>
        </w:pPr>
        <w:rPr>
          <w:rFonts w:hint="default"/>
        </w:rPr>
      </w:lvl>
    </w:lvlOverride>
  </w:num>
  <w:num w:numId="4">
    <w:abstractNumId w:val="4"/>
  </w:num>
  <w:num w:numId="5">
    <w:abstractNumId w:val="20"/>
  </w:num>
  <w:num w:numId="6">
    <w:abstractNumId w:val="5"/>
  </w:num>
  <w:num w:numId="7">
    <w:abstractNumId w:val="19"/>
  </w:num>
  <w:num w:numId="8">
    <w:abstractNumId w:val="30"/>
  </w:num>
  <w:num w:numId="9">
    <w:abstractNumId w:val="0"/>
  </w:num>
  <w:num w:numId="10">
    <w:abstractNumId w:val="6"/>
  </w:num>
  <w:num w:numId="11">
    <w:abstractNumId w:val="16"/>
  </w:num>
  <w:num w:numId="12">
    <w:abstractNumId w:val="16"/>
  </w:num>
  <w:num w:numId="13">
    <w:abstractNumId w:val="8"/>
  </w:num>
  <w:num w:numId="14">
    <w:abstractNumId w:val="16"/>
  </w:num>
  <w:num w:numId="15">
    <w:abstractNumId w:val="16"/>
  </w:num>
  <w:num w:numId="16">
    <w:abstractNumId w:val="16"/>
  </w:num>
  <w:num w:numId="17">
    <w:abstractNumId w:val="16"/>
  </w:num>
  <w:num w:numId="18">
    <w:abstractNumId w:val="16"/>
  </w:num>
  <w:num w:numId="19">
    <w:abstractNumId w:val="7"/>
  </w:num>
  <w:num w:numId="20">
    <w:abstractNumId w:val="25"/>
  </w:num>
  <w:num w:numId="21">
    <w:abstractNumId w:val="13"/>
  </w:num>
  <w:num w:numId="22">
    <w:abstractNumId w:val="28"/>
  </w:num>
  <w:num w:numId="23">
    <w:abstractNumId w:val="22"/>
  </w:num>
  <w:num w:numId="24">
    <w:abstractNumId w:val="2"/>
  </w:num>
  <w:num w:numId="25">
    <w:abstractNumId w:val="29"/>
  </w:num>
  <w:num w:numId="26">
    <w:abstractNumId w:val="24"/>
  </w:num>
  <w:num w:numId="27">
    <w:abstractNumId w:val="31"/>
  </w:num>
  <w:num w:numId="28">
    <w:abstractNumId w:val="17"/>
  </w:num>
  <w:num w:numId="29">
    <w:abstractNumId w:val="16"/>
  </w:num>
  <w:num w:numId="30">
    <w:abstractNumId w:val="1"/>
  </w:num>
  <w:num w:numId="31">
    <w:abstractNumId w:val="15"/>
  </w:num>
  <w:num w:numId="32">
    <w:abstractNumId w:val="16"/>
  </w:num>
  <w:num w:numId="33">
    <w:abstractNumId w:val="3"/>
  </w:num>
  <w:num w:numId="34">
    <w:abstractNumId w:val="27"/>
  </w:num>
  <w:num w:numId="35">
    <w:abstractNumId w:val="10"/>
  </w:num>
  <w:num w:numId="36">
    <w:abstractNumId w:val="16"/>
  </w:num>
  <w:num w:numId="37">
    <w:abstractNumId w:val="11"/>
  </w:num>
  <w:num w:numId="38">
    <w:abstractNumId w:val="12"/>
  </w:num>
  <w:num w:numId="39">
    <w:abstractNumId w:val="23"/>
  </w:num>
  <w:num w:numId="40">
    <w:abstractNumId w:val="26"/>
  </w:num>
  <w:num w:numId="41">
    <w:abstractNumId w:val="9"/>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F4231C"/>
    <w:rsid w:val="00007129"/>
    <w:rsid w:val="00007AC4"/>
    <w:rsid w:val="0001351F"/>
    <w:rsid w:val="00015F08"/>
    <w:rsid w:val="00017456"/>
    <w:rsid w:val="00033920"/>
    <w:rsid w:val="000357D1"/>
    <w:rsid w:val="000370EB"/>
    <w:rsid w:val="00044D3C"/>
    <w:rsid w:val="0005481B"/>
    <w:rsid w:val="00054B05"/>
    <w:rsid w:val="000555E3"/>
    <w:rsid w:val="00071EC7"/>
    <w:rsid w:val="000963AC"/>
    <w:rsid w:val="000976AB"/>
    <w:rsid w:val="000A34A2"/>
    <w:rsid w:val="000A3EA6"/>
    <w:rsid w:val="000E4F9B"/>
    <w:rsid w:val="000F2E59"/>
    <w:rsid w:val="000F7AD0"/>
    <w:rsid w:val="00110BBC"/>
    <w:rsid w:val="00114776"/>
    <w:rsid w:val="00127DA4"/>
    <w:rsid w:val="00130E6C"/>
    <w:rsid w:val="001352B4"/>
    <w:rsid w:val="001374B6"/>
    <w:rsid w:val="001413F4"/>
    <w:rsid w:val="001446A0"/>
    <w:rsid w:val="00150C6A"/>
    <w:rsid w:val="00155C03"/>
    <w:rsid w:val="00162B8D"/>
    <w:rsid w:val="001729E9"/>
    <w:rsid w:val="001804E1"/>
    <w:rsid w:val="001837ED"/>
    <w:rsid w:val="00184533"/>
    <w:rsid w:val="00184B4C"/>
    <w:rsid w:val="001960F3"/>
    <w:rsid w:val="001B0A11"/>
    <w:rsid w:val="001B6EB3"/>
    <w:rsid w:val="001C22D0"/>
    <w:rsid w:val="001C42E7"/>
    <w:rsid w:val="001C7E50"/>
    <w:rsid w:val="001D65DF"/>
    <w:rsid w:val="001E0CE3"/>
    <w:rsid w:val="001E7ABA"/>
    <w:rsid w:val="0020710F"/>
    <w:rsid w:val="002104EE"/>
    <w:rsid w:val="002122D0"/>
    <w:rsid w:val="00215BC0"/>
    <w:rsid w:val="002209A2"/>
    <w:rsid w:val="00221B42"/>
    <w:rsid w:val="00223DDC"/>
    <w:rsid w:val="00224A54"/>
    <w:rsid w:val="0024362E"/>
    <w:rsid w:val="0025412C"/>
    <w:rsid w:val="002541EA"/>
    <w:rsid w:val="0025758B"/>
    <w:rsid w:val="00262866"/>
    <w:rsid w:val="002805FE"/>
    <w:rsid w:val="00281429"/>
    <w:rsid w:val="002A19D5"/>
    <w:rsid w:val="002A6E92"/>
    <w:rsid w:val="002B0929"/>
    <w:rsid w:val="002B74C2"/>
    <w:rsid w:val="002E3156"/>
    <w:rsid w:val="002F4443"/>
    <w:rsid w:val="00301060"/>
    <w:rsid w:val="00304700"/>
    <w:rsid w:val="00321111"/>
    <w:rsid w:val="00332C83"/>
    <w:rsid w:val="00334C7A"/>
    <w:rsid w:val="003435AD"/>
    <w:rsid w:val="00351D9D"/>
    <w:rsid w:val="0035357E"/>
    <w:rsid w:val="0035590C"/>
    <w:rsid w:val="0035717C"/>
    <w:rsid w:val="00370066"/>
    <w:rsid w:val="00374D41"/>
    <w:rsid w:val="00381577"/>
    <w:rsid w:val="00384AAE"/>
    <w:rsid w:val="003B618C"/>
    <w:rsid w:val="003C2A3D"/>
    <w:rsid w:val="003C4E0D"/>
    <w:rsid w:val="003D10D7"/>
    <w:rsid w:val="003D42BD"/>
    <w:rsid w:val="003D5A59"/>
    <w:rsid w:val="003D6780"/>
    <w:rsid w:val="003F3C62"/>
    <w:rsid w:val="004062A5"/>
    <w:rsid w:val="004141AD"/>
    <w:rsid w:val="0041736B"/>
    <w:rsid w:val="004230A2"/>
    <w:rsid w:val="00425F4E"/>
    <w:rsid w:val="00427DF0"/>
    <w:rsid w:val="004324F5"/>
    <w:rsid w:val="00451D0B"/>
    <w:rsid w:val="00463AF2"/>
    <w:rsid w:val="00474E05"/>
    <w:rsid w:val="00475FF4"/>
    <w:rsid w:val="00487F08"/>
    <w:rsid w:val="00490F79"/>
    <w:rsid w:val="00491474"/>
    <w:rsid w:val="004968AE"/>
    <w:rsid w:val="004A6F5B"/>
    <w:rsid w:val="004B1A4F"/>
    <w:rsid w:val="004B4115"/>
    <w:rsid w:val="004B5B28"/>
    <w:rsid w:val="004B6C45"/>
    <w:rsid w:val="004C47E5"/>
    <w:rsid w:val="004E2668"/>
    <w:rsid w:val="004E2FA0"/>
    <w:rsid w:val="004F0587"/>
    <w:rsid w:val="004F0A19"/>
    <w:rsid w:val="00511954"/>
    <w:rsid w:val="00522359"/>
    <w:rsid w:val="00523BC9"/>
    <w:rsid w:val="005262CA"/>
    <w:rsid w:val="00535A4E"/>
    <w:rsid w:val="00545D7F"/>
    <w:rsid w:val="00554F69"/>
    <w:rsid w:val="005554CB"/>
    <w:rsid w:val="00560182"/>
    <w:rsid w:val="005654A3"/>
    <w:rsid w:val="00580BA9"/>
    <w:rsid w:val="00592F7F"/>
    <w:rsid w:val="005C1DE0"/>
    <w:rsid w:val="005C2474"/>
    <w:rsid w:val="005C4A0E"/>
    <w:rsid w:val="005C555A"/>
    <w:rsid w:val="005C7601"/>
    <w:rsid w:val="005D0E0A"/>
    <w:rsid w:val="005D4388"/>
    <w:rsid w:val="005E1BB0"/>
    <w:rsid w:val="005E7BFB"/>
    <w:rsid w:val="005E7C33"/>
    <w:rsid w:val="005F2721"/>
    <w:rsid w:val="005F2CA6"/>
    <w:rsid w:val="005F5B52"/>
    <w:rsid w:val="005F734A"/>
    <w:rsid w:val="006041AC"/>
    <w:rsid w:val="0062579D"/>
    <w:rsid w:val="00634F22"/>
    <w:rsid w:val="006416DC"/>
    <w:rsid w:val="006468F1"/>
    <w:rsid w:val="00646A7D"/>
    <w:rsid w:val="00655470"/>
    <w:rsid w:val="00655EE4"/>
    <w:rsid w:val="00662D9B"/>
    <w:rsid w:val="006758CF"/>
    <w:rsid w:val="006809BA"/>
    <w:rsid w:val="00684226"/>
    <w:rsid w:val="00687C18"/>
    <w:rsid w:val="00694303"/>
    <w:rsid w:val="006A21F6"/>
    <w:rsid w:val="006A32E2"/>
    <w:rsid w:val="006A505C"/>
    <w:rsid w:val="006A61B4"/>
    <w:rsid w:val="006A7F6C"/>
    <w:rsid w:val="006B2FED"/>
    <w:rsid w:val="006C677E"/>
    <w:rsid w:val="006D71D2"/>
    <w:rsid w:val="006E090A"/>
    <w:rsid w:val="006E2DD0"/>
    <w:rsid w:val="0070160C"/>
    <w:rsid w:val="007142CE"/>
    <w:rsid w:val="007224BD"/>
    <w:rsid w:val="007345B6"/>
    <w:rsid w:val="00740661"/>
    <w:rsid w:val="00747002"/>
    <w:rsid w:val="00757E66"/>
    <w:rsid w:val="00761D72"/>
    <w:rsid w:val="00777CAA"/>
    <w:rsid w:val="0078082F"/>
    <w:rsid w:val="00780CF8"/>
    <w:rsid w:val="00787B1A"/>
    <w:rsid w:val="00792476"/>
    <w:rsid w:val="00793FFD"/>
    <w:rsid w:val="007B21E7"/>
    <w:rsid w:val="007C1649"/>
    <w:rsid w:val="007C17E5"/>
    <w:rsid w:val="007F01F5"/>
    <w:rsid w:val="00803C3C"/>
    <w:rsid w:val="0081216B"/>
    <w:rsid w:val="0082129B"/>
    <w:rsid w:val="0082158C"/>
    <w:rsid w:val="00845B0E"/>
    <w:rsid w:val="008808B0"/>
    <w:rsid w:val="00880DD6"/>
    <w:rsid w:val="008B1524"/>
    <w:rsid w:val="008C5D45"/>
    <w:rsid w:val="008C6E9E"/>
    <w:rsid w:val="008D2393"/>
    <w:rsid w:val="008F19AA"/>
    <w:rsid w:val="008F50CB"/>
    <w:rsid w:val="008F5E4B"/>
    <w:rsid w:val="009035BE"/>
    <w:rsid w:val="0091166D"/>
    <w:rsid w:val="00912278"/>
    <w:rsid w:val="009142CE"/>
    <w:rsid w:val="00914A7F"/>
    <w:rsid w:val="00917819"/>
    <w:rsid w:val="00940628"/>
    <w:rsid w:val="009435B7"/>
    <w:rsid w:val="00951426"/>
    <w:rsid w:val="00963A32"/>
    <w:rsid w:val="0097364A"/>
    <w:rsid w:val="009839D4"/>
    <w:rsid w:val="00993680"/>
    <w:rsid w:val="009A0C85"/>
    <w:rsid w:val="009B3FB6"/>
    <w:rsid w:val="009B6AA9"/>
    <w:rsid w:val="009F0241"/>
    <w:rsid w:val="009F0437"/>
    <w:rsid w:val="009F66EB"/>
    <w:rsid w:val="00A13B75"/>
    <w:rsid w:val="00A42A67"/>
    <w:rsid w:val="00A45CF5"/>
    <w:rsid w:val="00A476C0"/>
    <w:rsid w:val="00A53607"/>
    <w:rsid w:val="00AA193C"/>
    <w:rsid w:val="00AA22EB"/>
    <w:rsid w:val="00AC1A13"/>
    <w:rsid w:val="00AC4E43"/>
    <w:rsid w:val="00AD1D4C"/>
    <w:rsid w:val="00AD6EDC"/>
    <w:rsid w:val="00B05F26"/>
    <w:rsid w:val="00B20581"/>
    <w:rsid w:val="00B24063"/>
    <w:rsid w:val="00B30C90"/>
    <w:rsid w:val="00B35A49"/>
    <w:rsid w:val="00B40438"/>
    <w:rsid w:val="00B420B7"/>
    <w:rsid w:val="00B4418A"/>
    <w:rsid w:val="00B5638F"/>
    <w:rsid w:val="00B603C4"/>
    <w:rsid w:val="00B65AD0"/>
    <w:rsid w:val="00B7171C"/>
    <w:rsid w:val="00B76975"/>
    <w:rsid w:val="00B8609F"/>
    <w:rsid w:val="00BA3A3D"/>
    <w:rsid w:val="00BB07F1"/>
    <w:rsid w:val="00BC7AE1"/>
    <w:rsid w:val="00BD438F"/>
    <w:rsid w:val="00BF1305"/>
    <w:rsid w:val="00BF2300"/>
    <w:rsid w:val="00C066FE"/>
    <w:rsid w:val="00C102BB"/>
    <w:rsid w:val="00C1196D"/>
    <w:rsid w:val="00C129D6"/>
    <w:rsid w:val="00C169D6"/>
    <w:rsid w:val="00C239A0"/>
    <w:rsid w:val="00C27F0F"/>
    <w:rsid w:val="00C45E58"/>
    <w:rsid w:val="00C61E20"/>
    <w:rsid w:val="00C64A2D"/>
    <w:rsid w:val="00C66D0D"/>
    <w:rsid w:val="00C75926"/>
    <w:rsid w:val="00C92252"/>
    <w:rsid w:val="00CA538B"/>
    <w:rsid w:val="00CC2524"/>
    <w:rsid w:val="00CD3F0C"/>
    <w:rsid w:val="00CD6A5C"/>
    <w:rsid w:val="00CD79AE"/>
    <w:rsid w:val="00CE75D6"/>
    <w:rsid w:val="00CF0425"/>
    <w:rsid w:val="00D21EC4"/>
    <w:rsid w:val="00D221C6"/>
    <w:rsid w:val="00D30EFF"/>
    <w:rsid w:val="00D46313"/>
    <w:rsid w:val="00D55CFB"/>
    <w:rsid w:val="00D64A71"/>
    <w:rsid w:val="00D933BB"/>
    <w:rsid w:val="00DA0E3A"/>
    <w:rsid w:val="00DB0E21"/>
    <w:rsid w:val="00DB2C5D"/>
    <w:rsid w:val="00DD42FD"/>
    <w:rsid w:val="00DE4CC7"/>
    <w:rsid w:val="00E00933"/>
    <w:rsid w:val="00E21F1F"/>
    <w:rsid w:val="00E23EF1"/>
    <w:rsid w:val="00E30299"/>
    <w:rsid w:val="00E35B50"/>
    <w:rsid w:val="00E36291"/>
    <w:rsid w:val="00E3799B"/>
    <w:rsid w:val="00E67B26"/>
    <w:rsid w:val="00E72A35"/>
    <w:rsid w:val="00E90F5B"/>
    <w:rsid w:val="00E967E5"/>
    <w:rsid w:val="00E97D0F"/>
    <w:rsid w:val="00EA266C"/>
    <w:rsid w:val="00EB296D"/>
    <w:rsid w:val="00EC64E2"/>
    <w:rsid w:val="00ED0255"/>
    <w:rsid w:val="00EF4EC2"/>
    <w:rsid w:val="00EF58CB"/>
    <w:rsid w:val="00EF7C97"/>
    <w:rsid w:val="00F015B9"/>
    <w:rsid w:val="00F03150"/>
    <w:rsid w:val="00F04438"/>
    <w:rsid w:val="00F12C81"/>
    <w:rsid w:val="00F17B1E"/>
    <w:rsid w:val="00F20153"/>
    <w:rsid w:val="00F25261"/>
    <w:rsid w:val="00F31284"/>
    <w:rsid w:val="00F34FBE"/>
    <w:rsid w:val="00F4231C"/>
    <w:rsid w:val="00F4494D"/>
    <w:rsid w:val="00F454FA"/>
    <w:rsid w:val="00F5327D"/>
    <w:rsid w:val="00F558FF"/>
    <w:rsid w:val="00F62401"/>
    <w:rsid w:val="00F7213F"/>
    <w:rsid w:val="00F7220C"/>
    <w:rsid w:val="00F77AE1"/>
    <w:rsid w:val="00FA0397"/>
    <w:rsid w:val="00FD505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F5B"/>
    <w:pPr>
      <w:spacing w:after="200" w:line="276" w:lineRule="auto"/>
    </w:pPr>
    <w:rPr>
      <w:sz w:val="22"/>
      <w:szCs w:val="22"/>
      <w:lang w:eastAsia="en-US"/>
    </w:rPr>
  </w:style>
  <w:style w:type="paragraph" w:styleId="Heading1">
    <w:name w:val="heading 1"/>
    <w:aliases w:val="CGEY,h1"/>
    <w:basedOn w:val="Normal"/>
    <w:next w:val="Normal"/>
    <w:link w:val="Heading1Char"/>
    <w:qFormat/>
    <w:rsid w:val="004B1A4F"/>
    <w:pPr>
      <w:keepNext/>
      <w:keepLines/>
      <w:numPr>
        <w:numId w:val="11"/>
      </w:numPr>
      <w:spacing w:before="480" w:after="0"/>
      <w:outlineLvl w:val="0"/>
    </w:pPr>
    <w:rPr>
      <w:rFonts w:ascii="Arial Narrow" w:eastAsia="Times New Roman" w:hAnsi="Arial Narrow"/>
      <w:b/>
      <w:bCs/>
      <w:sz w:val="24"/>
      <w:szCs w:val="28"/>
    </w:rPr>
  </w:style>
  <w:style w:type="paragraph" w:styleId="Heading2">
    <w:name w:val="heading 2"/>
    <w:aliases w:val="h2,CGEY Heading 2,Style 2,Second level,T2,H2,2nd level,Major Heading,2,Titre 2,h21"/>
    <w:basedOn w:val="Normal"/>
    <w:next w:val="Normal"/>
    <w:link w:val="Heading2Char"/>
    <w:autoRedefine/>
    <w:qFormat/>
    <w:rsid w:val="00A13B75"/>
    <w:pPr>
      <w:keepNext/>
      <w:numPr>
        <w:ilvl w:val="1"/>
        <w:numId w:val="11"/>
      </w:numPr>
      <w:spacing w:after="0" w:line="240" w:lineRule="auto"/>
      <w:outlineLvl w:val="1"/>
    </w:pPr>
    <w:rPr>
      <w:rFonts w:ascii="Arial Narrow" w:eastAsia="Times New Roman" w:hAnsi="Arial Narrow"/>
      <w:b/>
      <w:sz w:val="24"/>
      <w:szCs w:val="20"/>
    </w:rPr>
  </w:style>
  <w:style w:type="paragraph" w:styleId="Heading3">
    <w:name w:val="heading 3"/>
    <w:aliases w:val="h3,h31,3,Titre 3,Sub"/>
    <w:basedOn w:val="Normal"/>
    <w:next w:val="Normal"/>
    <w:link w:val="Heading3Char"/>
    <w:qFormat/>
    <w:rsid w:val="00E30299"/>
    <w:pPr>
      <w:keepNext/>
      <w:widowControl w:val="0"/>
      <w:tabs>
        <w:tab w:val="num" w:pos="720"/>
      </w:tabs>
      <w:spacing w:after="0" w:line="240" w:lineRule="auto"/>
      <w:ind w:left="720" w:hanging="720"/>
      <w:jc w:val="both"/>
      <w:outlineLvl w:val="2"/>
    </w:pPr>
    <w:rPr>
      <w:rFonts w:ascii="Arial Narrow" w:eastAsia="Times New Roman" w:hAnsi="Arial Narrow"/>
      <w:b/>
      <w:sz w:val="24"/>
      <w:szCs w:val="20"/>
    </w:rPr>
  </w:style>
  <w:style w:type="paragraph" w:styleId="Heading4">
    <w:name w:val="heading 4"/>
    <w:basedOn w:val="Normal"/>
    <w:next w:val="Normal"/>
    <w:link w:val="Heading4Char"/>
    <w:uiPriority w:val="9"/>
    <w:semiHidden/>
    <w:unhideWhenUsed/>
    <w:qFormat/>
    <w:rsid w:val="00F4231C"/>
    <w:pPr>
      <w:keepNext/>
      <w:keepLines/>
      <w:spacing w:before="200" w:after="0"/>
      <w:outlineLvl w:val="3"/>
    </w:pPr>
    <w:rPr>
      <w:rFonts w:ascii="Cambria" w:eastAsia="Times New Roman" w:hAnsi="Cambria"/>
      <w:b/>
      <w:bCs/>
      <w:i/>
      <w:iCs/>
      <w:color w:val="4F81BD"/>
    </w:rPr>
  </w:style>
  <w:style w:type="paragraph" w:styleId="Heading5">
    <w:name w:val="heading 5"/>
    <w:basedOn w:val="Heading4"/>
    <w:next w:val="Normal"/>
    <w:link w:val="Heading5Char"/>
    <w:qFormat/>
    <w:rsid w:val="00E30299"/>
    <w:pPr>
      <w:keepLines w:val="0"/>
      <w:widowControl w:val="0"/>
      <w:tabs>
        <w:tab w:val="num" w:pos="1008"/>
      </w:tabs>
      <w:spacing w:before="0" w:line="240" w:lineRule="auto"/>
      <w:ind w:left="1008" w:hanging="1008"/>
      <w:outlineLvl w:val="4"/>
    </w:pPr>
    <w:rPr>
      <w:rFonts w:ascii="Arial Narrow" w:hAnsi="Arial Narrow"/>
      <w:b w:val="0"/>
      <w:bCs w:val="0"/>
      <w:i w:val="0"/>
      <w:iCs w:val="0"/>
      <w:snapToGrid w:val="0"/>
      <w:color w:val="auto"/>
      <w:szCs w:val="20"/>
    </w:rPr>
  </w:style>
  <w:style w:type="paragraph" w:styleId="Heading6">
    <w:name w:val="heading 6"/>
    <w:basedOn w:val="Heading5"/>
    <w:next w:val="Normal"/>
    <w:link w:val="Heading6Char"/>
    <w:qFormat/>
    <w:rsid w:val="00E30299"/>
    <w:pPr>
      <w:tabs>
        <w:tab w:val="clear" w:pos="1008"/>
        <w:tab w:val="num" w:pos="1152"/>
      </w:tabs>
      <w:ind w:left="1152" w:hanging="1152"/>
      <w:outlineLvl w:val="5"/>
    </w:pPr>
  </w:style>
  <w:style w:type="paragraph" w:styleId="Heading7">
    <w:name w:val="heading 7"/>
    <w:basedOn w:val="Heading6"/>
    <w:next w:val="Normal"/>
    <w:link w:val="Heading7Char"/>
    <w:qFormat/>
    <w:rsid w:val="00E30299"/>
    <w:pPr>
      <w:tabs>
        <w:tab w:val="clear" w:pos="1152"/>
        <w:tab w:val="num" w:pos="1296"/>
      </w:tabs>
      <w:ind w:left="1296" w:hanging="1296"/>
      <w:outlineLvl w:val="6"/>
    </w:pPr>
  </w:style>
  <w:style w:type="paragraph" w:styleId="Heading8">
    <w:name w:val="heading 8"/>
    <w:basedOn w:val="Heading7"/>
    <w:next w:val="Normal"/>
    <w:link w:val="Heading8Char"/>
    <w:qFormat/>
    <w:rsid w:val="00E30299"/>
    <w:pPr>
      <w:tabs>
        <w:tab w:val="clear" w:pos="1296"/>
        <w:tab w:val="num" w:pos="1440"/>
      </w:tabs>
      <w:ind w:left="1440" w:hanging="1440"/>
      <w:outlineLvl w:val="7"/>
    </w:pPr>
  </w:style>
  <w:style w:type="paragraph" w:styleId="Heading9">
    <w:name w:val="heading 9"/>
    <w:basedOn w:val="Heading8"/>
    <w:next w:val="Normal"/>
    <w:link w:val="Heading9Char"/>
    <w:qFormat/>
    <w:rsid w:val="00E30299"/>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rsid w:val="00F4231C"/>
    <w:pPr>
      <w:spacing w:after="240"/>
    </w:pPr>
    <w:rPr>
      <w:rFonts w:ascii="Times New Roman" w:eastAsia="Times New Roman" w:hAnsi="Times New Roman"/>
      <w:sz w:val="24"/>
      <w:szCs w:val="24"/>
      <w:lang w:eastAsia="en-US"/>
    </w:rPr>
  </w:style>
  <w:style w:type="paragraph" w:customStyle="1" w:styleId="AERheading1">
    <w:name w:val="AER heading 1"/>
    <w:basedOn w:val="Heading1"/>
    <w:rsid w:val="00F4231C"/>
    <w:pPr>
      <w:keepNext w:val="0"/>
      <w:keepLines w:val="0"/>
      <w:pageBreakBefore/>
      <w:widowControl w:val="0"/>
      <w:numPr>
        <w:numId w:val="1"/>
      </w:numPr>
      <w:spacing w:before="240" w:after="120" w:line="240" w:lineRule="auto"/>
    </w:pPr>
    <w:rPr>
      <w:rFonts w:ascii="Arial Bold" w:hAnsi="Arial Bold"/>
      <w:spacing w:val="5"/>
      <w:kern w:val="36"/>
      <w:sz w:val="36"/>
      <w:szCs w:val="27"/>
    </w:rPr>
  </w:style>
  <w:style w:type="paragraph" w:customStyle="1" w:styleId="AERheading2">
    <w:name w:val="AER heading 2"/>
    <w:basedOn w:val="Normal"/>
    <w:next w:val="AERbodytext"/>
    <w:rsid w:val="00F4231C"/>
    <w:pPr>
      <w:keepNext/>
      <w:numPr>
        <w:ilvl w:val="1"/>
        <w:numId w:val="1"/>
      </w:numPr>
      <w:spacing w:before="360" w:after="120" w:line="240" w:lineRule="auto"/>
    </w:pPr>
    <w:rPr>
      <w:rFonts w:ascii="Arial Bold" w:eastAsia="Times New Roman" w:hAnsi="Arial Bold"/>
      <w:sz w:val="30"/>
      <w:szCs w:val="24"/>
    </w:rPr>
  </w:style>
  <w:style w:type="paragraph" w:customStyle="1" w:styleId="AERheading3">
    <w:name w:val="AER heading 3"/>
    <w:basedOn w:val="Normal"/>
    <w:next w:val="AERbodytext"/>
    <w:rsid w:val="00F4231C"/>
    <w:pPr>
      <w:keepNext/>
      <w:numPr>
        <w:ilvl w:val="2"/>
        <w:numId w:val="1"/>
      </w:numPr>
      <w:spacing w:before="240" w:after="120" w:line="240" w:lineRule="auto"/>
    </w:pPr>
    <w:rPr>
      <w:rFonts w:ascii="Arial Bold" w:eastAsia="Times New Roman" w:hAnsi="Arial Bold"/>
      <w:sz w:val="24"/>
      <w:szCs w:val="24"/>
    </w:rPr>
  </w:style>
  <w:style w:type="paragraph" w:customStyle="1" w:styleId="AERheading4">
    <w:name w:val="AER heading 4"/>
    <w:basedOn w:val="Heading4"/>
    <w:next w:val="AERbodytext"/>
    <w:rsid w:val="00F4231C"/>
    <w:pPr>
      <w:keepLines w:val="0"/>
      <w:numPr>
        <w:ilvl w:val="3"/>
        <w:numId w:val="1"/>
      </w:numPr>
      <w:spacing w:before="240" w:after="120" w:line="240" w:lineRule="auto"/>
    </w:pPr>
    <w:rPr>
      <w:rFonts w:ascii="Times New Roman" w:hAnsi="Times New Roman"/>
      <w:bCs w:val="0"/>
      <w:i w:val="0"/>
      <w:iCs w:val="0"/>
      <w:color w:val="auto"/>
      <w:szCs w:val="24"/>
    </w:rPr>
  </w:style>
  <w:style w:type="character" w:customStyle="1" w:styleId="AERbodytextChar">
    <w:name w:val="AER body text Char"/>
    <w:basedOn w:val="DefaultParagraphFont"/>
    <w:link w:val="AERbodytext"/>
    <w:rsid w:val="00F4231C"/>
    <w:rPr>
      <w:rFonts w:ascii="Times New Roman" w:eastAsia="Times New Roman" w:hAnsi="Times New Roman"/>
      <w:sz w:val="24"/>
      <w:szCs w:val="24"/>
      <w:lang w:val="en-AU" w:eastAsia="en-US" w:bidi="ar-SA"/>
    </w:rPr>
  </w:style>
  <w:style w:type="character" w:customStyle="1" w:styleId="Heading1Char">
    <w:name w:val="Heading 1 Char"/>
    <w:aliases w:val="CGEY Char,h1 Char"/>
    <w:basedOn w:val="DefaultParagraphFont"/>
    <w:link w:val="Heading1"/>
    <w:rsid w:val="004B1A4F"/>
    <w:rPr>
      <w:rFonts w:ascii="Arial Narrow" w:eastAsia="Times New Roman" w:hAnsi="Arial Narrow"/>
      <w:b/>
      <w:bCs/>
      <w:sz w:val="24"/>
      <w:szCs w:val="28"/>
      <w:lang w:eastAsia="en-US"/>
    </w:rPr>
  </w:style>
  <w:style w:type="character" w:customStyle="1" w:styleId="Heading4Char">
    <w:name w:val="Heading 4 Char"/>
    <w:basedOn w:val="DefaultParagraphFont"/>
    <w:link w:val="Heading4"/>
    <w:uiPriority w:val="9"/>
    <w:semiHidden/>
    <w:rsid w:val="00F4231C"/>
    <w:rPr>
      <w:rFonts w:ascii="Cambria" w:eastAsia="Times New Roman" w:hAnsi="Cambria" w:cs="Times New Roman"/>
      <w:b/>
      <w:bCs/>
      <w:i/>
      <w:iCs/>
      <w:color w:val="4F81BD"/>
    </w:rPr>
  </w:style>
  <w:style w:type="table" w:styleId="TableGrid">
    <w:name w:val="Table Grid"/>
    <w:basedOn w:val="TableNormal"/>
    <w:uiPriority w:val="59"/>
    <w:rsid w:val="001E7A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142CE"/>
    <w:pPr>
      <w:ind w:left="720"/>
    </w:pPr>
  </w:style>
  <w:style w:type="paragraph" w:styleId="Header">
    <w:name w:val="header"/>
    <w:basedOn w:val="Normal"/>
    <w:link w:val="HeaderChar"/>
    <w:uiPriority w:val="99"/>
    <w:semiHidden/>
    <w:unhideWhenUsed/>
    <w:rsid w:val="007C1649"/>
    <w:pPr>
      <w:tabs>
        <w:tab w:val="center" w:pos="4513"/>
        <w:tab w:val="right" w:pos="9026"/>
      </w:tabs>
    </w:pPr>
  </w:style>
  <w:style w:type="character" w:customStyle="1" w:styleId="HeaderChar">
    <w:name w:val="Header Char"/>
    <w:basedOn w:val="DefaultParagraphFont"/>
    <w:link w:val="Header"/>
    <w:uiPriority w:val="99"/>
    <w:semiHidden/>
    <w:rsid w:val="007C1649"/>
    <w:rPr>
      <w:sz w:val="22"/>
      <w:szCs w:val="22"/>
      <w:lang w:eastAsia="en-US"/>
    </w:rPr>
  </w:style>
  <w:style w:type="paragraph" w:styleId="Footer">
    <w:name w:val="footer"/>
    <w:basedOn w:val="Normal"/>
    <w:link w:val="FooterChar"/>
    <w:uiPriority w:val="99"/>
    <w:semiHidden/>
    <w:unhideWhenUsed/>
    <w:rsid w:val="007C1649"/>
    <w:pPr>
      <w:tabs>
        <w:tab w:val="center" w:pos="4513"/>
        <w:tab w:val="right" w:pos="9026"/>
      </w:tabs>
    </w:pPr>
  </w:style>
  <w:style w:type="character" w:customStyle="1" w:styleId="FooterChar">
    <w:name w:val="Footer Char"/>
    <w:basedOn w:val="DefaultParagraphFont"/>
    <w:link w:val="Footer"/>
    <w:uiPriority w:val="99"/>
    <w:semiHidden/>
    <w:rsid w:val="007C1649"/>
    <w:rPr>
      <w:sz w:val="22"/>
      <w:szCs w:val="22"/>
      <w:lang w:eastAsia="en-US"/>
    </w:rPr>
  </w:style>
  <w:style w:type="character" w:customStyle="1" w:styleId="Heading2Char">
    <w:name w:val="Heading 2 Char"/>
    <w:aliases w:val="h2 Char,CGEY Heading 2 Char,Style 2 Char,Second level Char,T2 Char,H2 Char,2nd level Char,Major Heading Char,2 Char,Titre 2 Char,h21 Char"/>
    <w:basedOn w:val="DefaultParagraphFont"/>
    <w:link w:val="Heading2"/>
    <w:rsid w:val="00A13B75"/>
    <w:rPr>
      <w:rFonts w:ascii="Arial Narrow" w:eastAsia="Times New Roman" w:hAnsi="Arial Narrow"/>
      <w:b/>
      <w:sz w:val="24"/>
      <w:lang w:eastAsia="en-US"/>
    </w:rPr>
  </w:style>
  <w:style w:type="character" w:customStyle="1" w:styleId="Heading3Char">
    <w:name w:val="Heading 3 Char"/>
    <w:aliases w:val="h3 Char,h31 Char,3 Char,Titre 3 Char,Sub Char"/>
    <w:basedOn w:val="DefaultParagraphFont"/>
    <w:link w:val="Heading3"/>
    <w:rsid w:val="00E30299"/>
    <w:rPr>
      <w:rFonts w:ascii="Arial Narrow" w:eastAsia="Times New Roman" w:hAnsi="Arial Narrow"/>
      <w:b/>
      <w:sz w:val="24"/>
      <w:lang w:eastAsia="en-US"/>
    </w:rPr>
  </w:style>
  <w:style w:type="character" w:customStyle="1" w:styleId="Heading5Char">
    <w:name w:val="Heading 5 Char"/>
    <w:basedOn w:val="DefaultParagraphFont"/>
    <w:link w:val="Heading5"/>
    <w:rsid w:val="00E30299"/>
    <w:rPr>
      <w:rFonts w:ascii="Arial Narrow" w:eastAsia="Times New Roman" w:hAnsi="Arial Narrow"/>
      <w:snapToGrid w:val="0"/>
      <w:sz w:val="22"/>
      <w:lang w:eastAsia="en-US"/>
    </w:rPr>
  </w:style>
  <w:style w:type="character" w:customStyle="1" w:styleId="Heading6Char">
    <w:name w:val="Heading 6 Char"/>
    <w:basedOn w:val="DefaultParagraphFont"/>
    <w:link w:val="Heading6"/>
    <w:rsid w:val="00E30299"/>
    <w:rPr>
      <w:rFonts w:ascii="Arial Narrow" w:eastAsia="Times New Roman" w:hAnsi="Arial Narrow"/>
      <w:snapToGrid w:val="0"/>
      <w:sz w:val="22"/>
      <w:lang w:eastAsia="en-US"/>
    </w:rPr>
  </w:style>
  <w:style w:type="character" w:customStyle="1" w:styleId="Heading7Char">
    <w:name w:val="Heading 7 Char"/>
    <w:basedOn w:val="DefaultParagraphFont"/>
    <w:link w:val="Heading7"/>
    <w:rsid w:val="00E30299"/>
    <w:rPr>
      <w:rFonts w:ascii="Arial Narrow" w:eastAsia="Times New Roman" w:hAnsi="Arial Narrow"/>
      <w:snapToGrid w:val="0"/>
      <w:sz w:val="22"/>
      <w:lang w:eastAsia="en-US"/>
    </w:rPr>
  </w:style>
  <w:style w:type="character" w:customStyle="1" w:styleId="Heading8Char">
    <w:name w:val="Heading 8 Char"/>
    <w:basedOn w:val="DefaultParagraphFont"/>
    <w:link w:val="Heading8"/>
    <w:rsid w:val="00E30299"/>
    <w:rPr>
      <w:rFonts w:ascii="Arial Narrow" w:eastAsia="Times New Roman" w:hAnsi="Arial Narrow"/>
      <w:snapToGrid w:val="0"/>
      <w:sz w:val="22"/>
      <w:lang w:eastAsia="en-US"/>
    </w:rPr>
  </w:style>
  <w:style w:type="character" w:customStyle="1" w:styleId="Heading9Char">
    <w:name w:val="Heading 9 Char"/>
    <w:basedOn w:val="DefaultParagraphFont"/>
    <w:link w:val="Heading9"/>
    <w:rsid w:val="00E30299"/>
    <w:rPr>
      <w:rFonts w:ascii="Arial Narrow" w:eastAsia="Times New Roman" w:hAnsi="Arial Narrow"/>
      <w:snapToGrid w:val="0"/>
      <w:sz w:val="22"/>
      <w:lang w:eastAsia="en-US"/>
    </w:rPr>
  </w:style>
  <w:style w:type="paragraph" w:styleId="FootnoteText">
    <w:name w:val="footnote text"/>
    <w:basedOn w:val="Normal"/>
    <w:link w:val="FootnoteTextChar"/>
    <w:uiPriority w:val="99"/>
    <w:semiHidden/>
    <w:unhideWhenUsed/>
    <w:rsid w:val="00F12C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2C81"/>
    <w:rPr>
      <w:rFonts w:ascii="Calibri" w:eastAsia="Calibri" w:hAnsi="Calibri" w:cs="Times New Roman"/>
      <w:lang w:eastAsia="en-US"/>
    </w:rPr>
  </w:style>
  <w:style w:type="character" w:styleId="FootnoteReference">
    <w:name w:val="footnote reference"/>
    <w:basedOn w:val="DefaultParagraphFont"/>
    <w:uiPriority w:val="99"/>
    <w:semiHidden/>
    <w:unhideWhenUsed/>
    <w:rsid w:val="00F12C81"/>
    <w:rPr>
      <w:vertAlign w:val="superscript"/>
    </w:rPr>
  </w:style>
  <w:style w:type="character" w:styleId="Hyperlink">
    <w:name w:val="Hyperlink"/>
    <w:basedOn w:val="DefaultParagraphFont"/>
    <w:uiPriority w:val="99"/>
    <w:unhideWhenUsed/>
    <w:rsid w:val="007345B6"/>
    <w:rPr>
      <w:color w:val="0000FF" w:themeColor="hyperlink"/>
      <w:u w:val="single"/>
    </w:rPr>
  </w:style>
  <w:style w:type="paragraph" w:styleId="BalloonText">
    <w:name w:val="Balloon Text"/>
    <w:basedOn w:val="Normal"/>
    <w:link w:val="BalloonTextChar"/>
    <w:uiPriority w:val="99"/>
    <w:semiHidden/>
    <w:unhideWhenUsed/>
    <w:rsid w:val="00522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35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405542572">
      <w:bodyDiv w:val="1"/>
      <w:marLeft w:val="0"/>
      <w:marRight w:val="0"/>
      <w:marTop w:val="0"/>
      <w:marBottom w:val="0"/>
      <w:divBdr>
        <w:top w:val="none" w:sz="0" w:space="0" w:color="auto"/>
        <w:left w:val="none" w:sz="0" w:space="0" w:color="auto"/>
        <w:bottom w:val="none" w:sz="0" w:space="0" w:color="auto"/>
        <w:right w:val="none" w:sz="0" w:space="0" w:color="auto"/>
      </w:divBdr>
    </w:div>
    <w:div w:id="980109626">
      <w:bodyDiv w:val="1"/>
      <w:marLeft w:val="0"/>
      <w:marRight w:val="0"/>
      <w:marTop w:val="0"/>
      <w:marBottom w:val="0"/>
      <w:divBdr>
        <w:top w:val="none" w:sz="0" w:space="0" w:color="auto"/>
        <w:left w:val="none" w:sz="0" w:space="0" w:color="auto"/>
        <w:bottom w:val="none" w:sz="0" w:space="0" w:color="auto"/>
        <w:right w:val="none" w:sz="0" w:space="0" w:color="auto"/>
      </w:divBdr>
    </w:div>
    <w:div w:id="1037587422">
      <w:bodyDiv w:val="1"/>
      <w:marLeft w:val="0"/>
      <w:marRight w:val="0"/>
      <w:marTop w:val="0"/>
      <w:marBottom w:val="0"/>
      <w:divBdr>
        <w:top w:val="none" w:sz="0" w:space="0" w:color="auto"/>
        <w:left w:val="none" w:sz="0" w:space="0" w:color="auto"/>
        <w:bottom w:val="none" w:sz="0" w:space="0" w:color="auto"/>
        <w:right w:val="none" w:sz="0" w:space="0" w:color="auto"/>
      </w:divBdr>
    </w:div>
    <w:div w:id="212010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3114A-B0BE-4A6B-9B49-05C936715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1462</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Envestra Limited</Company>
  <LinksUpToDate>false</LinksUpToDate>
  <CharactersWithSpaces>9777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delainec</dc:creator>
  <cp:keywords/>
  <dc:description/>
  <cp:lastModifiedBy>buckip</cp:lastModifiedBy>
  <cp:revision>2</cp:revision>
  <cp:lastPrinted>2011-03-22T10:57:00Z</cp:lastPrinted>
  <dcterms:created xsi:type="dcterms:W3CDTF">2011-04-01T02:11:00Z</dcterms:created>
  <dcterms:modified xsi:type="dcterms:W3CDTF">2011-04-01T02:11:00Z</dcterms:modified>
</cp:coreProperties>
</file>