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BD" w:rsidRDefault="001A44FA" w:rsidP="004543A3">
      <w:pPr>
        <w:tabs>
          <w:tab w:val="left" w:pos="2410"/>
        </w:tabs>
        <w:spacing w:before="0" w:after="0"/>
        <w:ind w:firstLine="0"/>
        <w:rPr>
          <w:rFonts w:ascii="Arial Narrow" w:hAnsi="Arial Narrow"/>
          <w:b/>
          <w:sz w:val="32"/>
          <w:szCs w:val="32"/>
        </w:rPr>
      </w:pPr>
      <w:r w:rsidRPr="00203FB0">
        <w:rPr>
          <w:rFonts w:ascii="Arial Narrow" w:hAnsi="Arial Narrow"/>
          <w:b/>
          <w:sz w:val="32"/>
          <w:szCs w:val="32"/>
        </w:rPr>
        <w:t xml:space="preserve">Attachment </w:t>
      </w:r>
      <w:r w:rsidR="00CD4BE1" w:rsidRPr="00203FB0">
        <w:rPr>
          <w:rFonts w:ascii="Arial Narrow" w:hAnsi="Arial Narrow"/>
          <w:b/>
          <w:sz w:val="32"/>
          <w:szCs w:val="32"/>
        </w:rPr>
        <w:t>9-</w:t>
      </w:r>
      <w:r w:rsidR="00AD1C63" w:rsidRPr="00203FB0">
        <w:rPr>
          <w:rFonts w:ascii="Arial Narrow" w:hAnsi="Arial Narrow"/>
          <w:b/>
          <w:sz w:val="32"/>
          <w:szCs w:val="32"/>
        </w:rPr>
        <w:t>7</w:t>
      </w:r>
      <w:r w:rsidRPr="00203FB0">
        <w:rPr>
          <w:rFonts w:ascii="Arial Narrow" w:hAnsi="Arial Narrow"/>
          <w:b/>
          <w:sz w:val="32"/>
          <w:szCs w:val="32"/>
        </w:rPr>
        <w:t>:</w:t>
      </w:r>
      <w:r w:rsidR="00203FB0">
        <w:rPr>
          <w:rFonts w:ascii="Arial Narrow" w:hAnsi="Arial Narrow"/>
          <w:b/>
          <w:sz w:val="32"/>
          <w:szCs w:val="32"/>
        </w:rPr>
        <w:tab/>
      </w:r>
      <w:r w:rsidR="003F1C16" w:rsidRPr="00203FB0">
        <w:rPr>
          <w:rFonts w:ascii="Arial Narrow" w:hAnsi="Arial Narrow"/>
          <w:b/>
          <w:sz w:val="32"/>
          <w:szCs w:val="32"/>
        </w:rPr>
        <w:t xml:space="preserve">Response to AER Draft Decision on </w:t>
      </w:r>
      <w:r w:rsidR="00CD4BE1" w:rsidRPr="00203FB0">
        <w:rPr>
          <w:rFonts w:ascii="Arial Narrow" w:hAnsi="Arial Narrow"/>
          <w:b/>
          <w:sz w:val="32"/>
          <w:szCs w:val="32"/>
        </w:rPr>
        <w:t xml:space="preserve">Debt Risk </w:t>
      </w:r>
      <w:r w:rsidR="00203FB0">
        <w:rPr>
          <w:rFonts w:ascii="Arial Narrow" w:hAnsi="Arial Narrow"/>
          <w:b/>
          <w:sz w:val="32"/>
          <w:szCs w:val="32"/>
        </w:rPr>
        <w:tab/>
      </w:r>
      <w:r w:rsidR="00CD4BE1" w:rsidRPr="00203FB0">
        <w:rPr>
          <w:rFonts w:ascii="Arial Narrow" w:hAnsi="Arial Narrow"/>
          <w:b/>
          <w:sz w:val="32"/>
          <w:szCs w:val="32"/>
        </w:rPr>
        <w:t>Premium</w:t>
      </w:r>
    </w:p>
    <w:p w:rsidR="004543A3" w:rsidRPr="00203FB0" w:rsidRDefault="004543A3" w:rsidP="004543A3">
      <w:pPr>
        <w:tabs>
          <w:tab w:val="left" w:pos="2410"/>
        </w:tabs>
        <w:spacing w:before="0" w:after="0"/>
        <w:ind w:firstLine="0"/>
        <w:rPr>
          <w:rFonts w:ascii="Arial Narrow" w:hAnsi="Arial Narrow"/>
          <w:b/>
          <w:sz w:val="32"/>
          <w:szCs w:val="32"/>
        </w:rPr>
      </w:pPr>
    </w:p>
    <w:p w:rsidR="00484ABD" w:rsidRPr="004543A3" w:rsidRDefault="009B2400" w:rsidP="004543A3">
      <w:pPr>
        <w:tabs>
          <w:tab w:val="left" w:pos="567"/>
        </w:tabs>
        <w:spacing w:before="0" w:after="0"/>
        <w:ind w:left="567" w:hanging="567"/>
        <w:rPr>
          <w:rFonts w:ascii="Arial Narrow" w:hAnsi="Arial Narrow"/>
          <w:b/>
          <w:sz w:val="24"/>
          <w:szCs w:val="24"/>
        </w:rPr>
      </w:pPr>
      <w:r w:rsidRPr="004543A3">
        <w:rPr>
          <w:rFonts w:ascii="Arial Narrow" w:hAnsi="Arial Narrow"/>
          <w:b/>
          <w:sz w:val="24"/>
          <w:szCs w:val="24"/>
        </w:rPr>
        <w:t>9.</w:t>
      </w:r>
      <w:r w:rsidR="00AD1C63" w:rsidRPr="004543A3">
        <w:rPr>
          <w:rFonts w:ascii="Arial Narrow" w:hAnsi="Arial Narrow"/>
          <w:b/>
          <w:sz w:val="24"/>
          <w:szCs w:val="24"/>
        </w:rPr>
        <w:t>1</w:t>
      </w:r>
      <w:r w:rsidRPr="004543A3">
        <w:rPr>
          <w:rFonts w:ascii="Arial Narrow" w:hAnsi="Arial Narrow"/>
          <w:b/>
          <w:sz w:val="24"/>
          <w:szCs w:val="24"/>
        </w:rPr>
        <w:tab/>
      </w:r>
      <w:r w:rsidR="00484ABD" w:rsidRPr="004543A3">
        <w:rPr>
          <w:rFonts w:ascii="Arial Narrow" w:hAnsi="Arial Narrow"/>
          <w:b/>
          <w:sz w:val="24"/>
          <w:szCs w:val="24"/>
        </w:rPr>
        <w:t xml:space="preserve">Introduction </w:t>
      </w:r>
    </w:p>
    <w:p w:rsidR="00C97B54" w:rsidRPr="00203FB0" w:rsidRDefault="00C97B54" w:rsidP="004543A3">
      <w:pPr>
        <w:spacing w:before="0" w:after="0"/>
        <w:ind w:firstLine="0"/>
        <w:rPr>
          <w:rFonts w:ascii="Arial Narrow" w:hAnsi="Arial Narrow" w:cs="Arial Narrow"/>
          <w:sz w:val="24"/>
          <w:szCs w:val="24"/>
        </w:rPr>
      </w:pPr>
    </w:p>
    <w:p w:rsidR="00941DCE" w:rsidRPr="00203FB0" w:rsidRDefault="009B2400" w:rsidP="004543A3">
      <w:pPr>
        <w:spacing w:before="0" w:after="0"/>
        <w:ind w:firstLine="0"/>
        <w:rPr>
          <w:rFonts w:ascii="Arial Narrow" w:hAnsi="Arial Narrow" w:cs="Arial Narrow"/>
          <w:sz w:val="24"/>
          <w:szCs w:val="24"/>
        </w:rPr>
      </w:pPr>
      <w:r w:rsidRPr="00203FB0">
        <w:rPr>
          <w:rFonts w:ascii="Arial Narrow" w:hAnsi="Arial Narrow" w:cs="Arial Narrow"/>
          <w:sz w:val="24"/>
          <w:szCs w:val="24"/>
        </w:rPr>
        <w:t xml:space="preserve">The Debt Risk Premium (‘DRP’) is the margin between the annualised yield on the 10 year commonwealth government bond (proxy for the nominal risk-free rate) and the annualised yield on Australian corporate bonds with a term to maturity of 10 years at the benchmark credit rating level.  </w:t>
      </w:r>
    </w:p>
    <w:p w:rsidR="00941DCE" w:rsidRPr="00203FB0" w:rsidRDefault="00941DCE" w:rsidP="004543A3">
      <w:pPr>
        <w:spacing w:before="0" w:after="0"/>
        <w:ind w:firstLine="0"/>
        <w:rPr>
          <w:rFonts w:ascii="Arial Narrow" w:hAnsi="Arial Narrow" w:cs="Arial Narrow"/>
          <w:sz w:val="24"/>
          <w:szCs w:val="24"/>
        </w:rPr>
      </w:pPr>
    </w:p>
    <w:p w:rsidR="00941DCE" w:rsidRPr="00203FB0" w:rsidRDefault="00941DCE" w:rsidP="004543A3">
      <w:pPr>
        <w:spacing w:before="0" w:after="0"/>
        <w:ind w:firstLine="0"/>
        <w:rPr>
          <w:rFonts w:ascii="Arial Narrow" w:hAnsi="Arial Narrow" w:cs="Arial Narrow"/>
          <w:sz w:val="24"/>
          <w:szCs w:val="24"/>
        </w:rPr>
      </w:pPr>
      <w:r w:rsidRPr="00203FB0">
        <w:rPr>
          <w:rFonts w:ascii="Arial Narrow" w:hAnsi="Arial Narrow" w:cs="Arial Narrow"/>
          <w:sz w:val="24"/>
          <w:szCs w:val="24"/>
        </w:rPr>
        <w:t>Envestra’s pr</w:t>
      </w:r>
      <w:r w:rsidR="001819C8" w:rsidRPr="00203FB0">
        <w:rPr>
          <w:rFonts w:ascii="Arial Narrow" w:hAnsi="Arial Narrow" w:cs="Arial Narrow"/>
          <w:sz w:val="24"/>
          <w:szCs w:val="24"/>
        </w:rPr>
        <w:t xml:space="preserve">eferred method </w:t>
      </w:r>
      <w:r w:rsidRPr="00203FB0">
        <w:rPr>
          <w:rFonts w:ascii="Arial Narrow" w:hAnsi="Arial Narrow" w:cs="Arial Narrow"/>
          <w:sz w:val="24"/>
          <w:szCs w:val="24"/>
        </w:rPr>
        <w:t xml:space="preserve">to estimate the DRP </w:t>
      </w:r>
      <w:r w:rsidR="001819C8" w:rsidRPr="00203FB0">
        <w:rPr>
          <w:rFonts w:ascii="Arial Narrow" w:hAnsi="Arial Narrow" w:cs="Arial Narrow"/>
          <w:sz w:val="24"/>
          <w:szCs w:val="24"/>
        </w:rPr>
        <w:t>is</w:t>
      </w:r>
      <w:r w:rsidRPr="00203FB0">
        <w:rPr>
          <w:rFonts w:ascii="Arial Narrow" w:hAnsi="Arial Narrow" w:cs="Arial Narrow"/>
          <w:sz w:val="24"/>
          <w:szCs w:val="24"/>
        </w:rPr>
        <w:t xml:space="preserve"> for sole reliance to be placed on Bloomberg’s BBB fair value estimates extrapolated out to the 10 year benchmark term.  Envestra considers this will ensure that the benchmark DRP will be based on current data </w:t>
      </w:r>
      <w:r w:rsidR="001819C8" w:rsidRPr="00203FB0">
        <w:rPr>
          <w:rFonts w:ascii="Arial Narrow" w:hAnsi="Arial Narrow" w:cs="Arial Narrow"/>
          <w:sz w:val="24"/>
          <w:szCs w:val="24"/>
        </w:rPr>
        <w:t xml:space="preserve">sourced </w:t>
      </w:r>
      <w:r w:rsidRPr="00203FB0">
        <w:rPr>
          <w:rFonts w:ascii="Arial Narrow" w:hAnsi="Arial Narrow" w:cs="Arial Narrow"/>
          <w:sz w:val="24"/>
          <w:szCs w:val="24"/>
        </w:rPr>
        <w:t xml:space="preserve">from an independent market participant and </w:t>
      </w:r>
      <w:r w:rsidR="001819C8" w:rsidRPr="00203FB0">
        <w:rPr>
          <w:rFonts w:ascii="Arial Narrow" w:hAnsi="Arial Narrow" w:cs="Arial Narrow"/>
          <w:sz w:val="24"/>
          <w:szCs w:val="24"/>
        </w:rPr>
        <w:t xml:space="preserve">will </w:t>
      </w:r>
      <w:r w:rsidRPr="00203FB0">
        <w:rPr>
          <w:rFonts w:ascii="Arial Narrow" w:hAnsi="Arial Narrow" w:cs="Arial Narrow"/>
          <w:sz w:val="24"/>
          <w:szCs w:val="24"/>
        </w:rPr>
        <w:t xml:space="preserve">therefore comply with the requirements of </w:t>
      </w:r>
      <w:r w:rsidR="002A2AA5" w:rsidRPr="00203FB0">
        <w:rPr>
          <w:rFonts w:ascii="Arial Narrow" w:hAnsi="Arial Narrow" w:cs="Arial Narrow"/>
          <w:sz w:val="24"/>
          <w:szCs w:val="24"/>
        </w:rPr>
        <w:t xml:space="preserve">rules </w:t>
      </w:r>
      <w:r w:rsidRPr="00203FB0">
        <w:rPr>
          <w:rFonts w:ascii="Arial Narrow" w:hAnsi="Arial Narrow" w:cs="Arial Narrow"/>
          <w:sz w:val="24"/>
          <w:szCs w:val="24"/>
        </w:rPr>
        <w:t>74 and 87</w:t>
      </w:r>
      <w:r w:rsidR="002A2AA5" w:rsidRPr="00203FB0">
        <w:rPr>
          <w:rFonts w:ascii="Arial Narrow" w:hAnsi="Arial Narrow" w:cs="Arial Narrow"/>
          <w:sz w:val="24"/>
          <w:szCs w:val="24"/>
        </w:rPr>
        <w:t xml:space="preserve"> of the National Gas Rules (NGR)</w:t>
      </w:r>
      <w:r w:rsidRPr="00203FB0">
        <w:rPr>
          <w:rFonts w:ascii="Arial Narrow" w:hAnsi="Arial Narrow" w:cs="Arial Narrow"/>
          <w:sz w:val="24"/>
          <w:szCs w:val="24"/>
        </w:rPr>
        <w:t>.</w:t>
      </w:r>
    </w:p>
    <w:p w:rsidR="00941DCE" w:rsidRPr="00203FB0" w:rsidRDefault="00941DCE" w:rsidP="004543A3">
      <w:pPr>
        <w:spacing w:before="0" w:after="0"/>
        <w:ind w:firstLine="0"/>
        <w:rPr>
          <w:rFonts w:ascii="Arial Narrow" w:hAnsi="Arial Narrow" w:cs="Arial Narrow"/>
          <w:sz w:val="24"/>
          <w:szCs w:val="24"/>
        </w:rPr>
      </w:pPr>
    </w:p>
    <w:p w:rsidR="009B2400" w:rsidRPr="00203FB0" w:rsidRDefault="009B2400" w:rsidP="004543A3">
      <w:pPr>
        <w:spacing w:before="0" w:after="0"/>
        <w:ind w:firstLine="0"/>
        <w:rPr>
          <w:rFonts w:ascii="Arial Narrow" w:hAnsi="Arial Narrow" w:cs="Arial Narrow"/>
          <w:sz w:val="24"/>
          <w:szCs w:val="24"/>
        </w:rPr>
      </w:pPr>
      <w:r w:rsidRPr="00203FB0">
        <w:rPr>
          <w:rFonts w:ascii="Arial Narrow" w:hAnsi="Arial Narrow" w:cs="Arial Narrow"/>
          <w:sz w:val="24"/>
          <w:szCs w:val="24"/>
        </w:rPr>
        <w:t xml:space="preserve">In </w:t>
      </w:r>
      <w:r w:rsidR="002A2AA5" w:rsidRPr="00203FB0">
        <w:rPr>
          <w:rFonts w:ascii="Arial Narrow" w:hAnsi="Arial Narrow" w:cs="Arial Narrow"/>
          <w:sz w:val="24"/>
          <w:szCs w:val="24"/>
        </w:rPr>
        <w:t xml:space="preserve">its </w:t>
      </w:r>
      <w:r w:rsidRPr="00203FB0">
        <w:rPr>
          <w:rFonts w:ascii="Arial Narrow" w:hAnsi="Arial Narrow" w:cs="Arial Narrow"/>
          <w:sz w:val="24"/>
          <w:szCs w:val="24"/>
        </w:rPr>
        <w:t xml:space="preserve">Draft Decision the AER determined Envestra’s DRP by taking an average of Bloomberg's 10 year, BBB fair estimate curve and the inferred yield on the APT bond and deducting the risk free rate.  This produced a DRP of 3.93 percent and the AER considered this to represent the best DRP estimate possible in the circumstances of Envestra.  </w:t>
      </w:r>
    </w:p>
    <w:p w:rsidR="00941DCE" w:rsidRPr="00203FB0" w:rsidRDefault="00941DCE" w:rsidP="004543A3">
      <w:pPr>
        <w:spacing w:before="0" w:after="0"/>
        <w:ind w:firstLine="0"/>
        <w:rPr>
          <w:rFonts w:ascii="Arial Narrow" w:hAnsi="Arial Narrow" w:cs="Arial Narrow"/>
          <w:sz w:val="24"/>
          <w:szCs w:val="24"/>
        </w:rPr>
      </w:pPr>
    </w:p>
    <w:p w:rsidR="009B2400" w:rsidRPr="00203FB0" w:rsidRDefault="009B2400" w:rsidP="004543A3">
      <w:pPr>
        <w:spacing w:before="0" w:after="0"/>
        <w:ind w:firstLine="0"/>
        <w:rPr>
          <w:rFonts w:ascii="Arial Narrow" w:hAnsi="Arial Narrow" w:cs="Arial Narrow"/>
          <w:sz w:val="24"/>
          <w:szCs w:val="24"/>
        </w:rPr>
      </w:pPr>
      <w:r w:rsidRPr="00203FB0">
        <w:rPr>
          <w:rFonts w:ascii="Arial Narrow" w:hAnsi="Arial Narrow" w:cs="Arial Narrow"/>
          <w:sz w:val="24"/>
          <w:szCs w:val="24"/>
        </w:rPr>
        <w:t xml:space="preserve">There are some aspects of the DRP decision that Envestra finds reasonable and accepts.  However there are some issues that Envestra disagrees with and proposes an alternative method and/or value to be used in the Final Decision.  </w:t>
      </w:r>
      <w:r w:rsidRPr="00203FB0">
        <w:rPr>
          <w:rFonts w:ascii="Arial Narrow" w:hAnsi="Arial Narrow"/>
          <w:sz w:val="24"/>
          <w:szCs w:val="24"/>
        </w:rPr>
        <w:t>Accompanying this attachment</w:t>
      </w:r>
      <w:r w:rsidR="0053728B" w:rsidRPr="00203FB0">
        <w:rPr>
          <w:rFonts w:ascii="Arial Narrow" w:hAnsi="Arial Narrow"/>
          <w:sz w:val="24"/>
          <w:szCs w:val="24"/>
        </w:rPr>
        <w:t xml:space="preserve"> is an</w:t>
      </w:r>
      <w:r w:rsidRPr="00203FB0">
        <w:rPr>
          <w:rFonts w:ascii="Arial Narrow" w:hAnsi="Arial Narrow"/>
          <w:sz w:val="24"/>
          <w:szCs w:val="24"/>
        </w:rPr>
        <w:t xml:space="preserve"> expert repor</w:t>
      </w:r>
      <w:r w:rsidR="003C4187" w:rsidRPr="00203FB0">
        <w:rPr>
          <w:rFonts w:ascii="Arial Narrow" w:hAnsi="Arial Narrow"/>
          <w:sz w:val="24"/>
          <w:szCs w:val="24"/>
        </w:rPr>
        <w:t>t from CEG</w:t>
      </w:r>
      <w:r w:rsidRPr="00203FB0">
        <w:rPr>
          <w:rFonts w:ascii="Arial Narrow" w:hAnsi="Arial Narrow"/>
          <w:sz w:val="24"/>
          <w:szCs w:val="24"/>
        </w:rPr>
        <w:t xml:space="preserve"> which Envestra has used to support its position.  </w:t>
      </w:r>
      <w:r w:rsidR="0053728B" w:rsidRPr="00203FB0">
        <w:rPr>
          <w:rFonts w:ascii="Arial Narrow" w:hAnsi="Arial Narrow"/>
          <w:sz w:val="24"/>
          <w:szCs w:val="24"/>
        </w:rPr>
        <w:t xml:space="preserve">This </w:t>
      </w:r>
      <w:r w:rsidRPr="00203FB0">
        <w:rPr>
          <w:rFonts w:ascii="Arial Narrow" w:hAnsi="Arial Narrow"/>
          <w:sz w:val="24"/>
          <w:szCs w:val="24"/>
        </w:rPr>
        <w:t>report form</w:t>
      </w:r>
      <w:r w:rsidR="00FB096F" w:rsidRPr="00203FB0">
        <w:rPr>
          <w:rFonts w:ascii="Arial Narrow" w:hAnsi="Arial Narrow"/>
          <w:sz w:val="24"/>
          <w:szCs w:val="24"/>
        </w:rPr>
        <w:t>s</w:t>
      </w:r>
      <w:r w:rsidRPr="00203FB0">
        <w:rPr>
          <w:rFonts w:ascii="Arial Narrow" w:hAnsi="Arial Narrow"/>
          <w:sz w:val="24"/>
          <w:szCs w:val="24"/>
        </w:rPr>
        <w:t xml:space="preserve"> part of Envestra’s submission, and the submission should be read</w:t>
      </w:r>
      <w:r w:rsidR="0053728B" w:rsidRPr="00203FB0">
        <w:rPr>
          <w:rFonts w:ascii="Arial Narrow" w:hAnsi="Arial Narrow"/>
          <w:sz w:val="24"/>
          <w:szCs w:val="24"/>
        </w:rPr>
        <w:t xml:space="preserve"> in the context of that report</w:t>
      </w:r>
      <w:r w:rsidRPr="00203FB0">
        <w:rPr>
          <w:rFonts w:ascii="Arial Narrow" w:hAnsi="Arial Narrow"/>
          <w:sz w:val="24"/>
          <w:szCs w:val="24"/>
        </w:rPr>
        <w:t xml:space="preserve">.  </w:t>
      </w:r>
    </w:p>
    <w:p w:rsidR="009B2400" w:rsidRPr="00203FB0" w:rsidRDefault="009B2400" w:rsidP="004543A3">
      <w:pPr>
        <w:spacing w:before="0" w:after="0"/>
        <w:ind w:firstLine="0"/>
        <w:rPr>
          <w:rFonts w:ascii="Arial Narrow" w:hAnsi="Arial Narrow" w:cs="Arial Narrow"/>
          <w:sz w:val="24"/>
          <w:szCs w:val="24"/>
        </w:rPr>
      </w:pPr>
    </w:p>
    <w:p w:rsidR="00484ABD" w:rsidRDefault="00484ABD" w:rsidP="004543A3">
      <w:pPr>
        <w:numPr>
          <w:ilvl w:val="1"/>
          <w:numId w:val="39"/>
        </w:numPr>
        <w:spacing w:before="0" w:after="0"/>
        <w:ind w:left="567" w:hanging="567"/>
        <w:rPr>
          <w:rFonts w:ascii="Arial Narrow" w:hAnsi="Arial Narrow"/>
          <w:b/>
          <w:sz w:val="24"/>
          <w:szCs w:val="24"/>
        </w:rPr>
      </w:pPr>
      <w:r w:rsidRPr="00203FB0">
        <w:rPr>
          <w:rFonts w:ascii="Arial Narrow" w:hAnsi="Arial Narrow"/>
          <w:b/>
          <w:sz w:val="24"/>
          <w:szCs w:val="24"/>
        </w:rPr>
        <w:t xml:space="preserve">Summary of the AER Draft Decision </w:t>
      </w:r>
    </w:p>
    <w:p w:rsidR="004543A3" w:rsidRPr="00203FB0" w:rsidRDefault="004543A3" w:rsidP="004543A3">
      <w:pPr>
        <w:spacing w:before="0" w:after="0"/>
        <w:ind w:left="1080" w:firstLine="0"/>
        <w:rPr>
          <w:rFonts w:ascii="Arial Narrow" w:hAnsi="Arial Narrow"/>
          <w:b/>
          <w:sz w:val="24"/>
          <w:szCs w:val="24"/>
        </w:rPr>
      </w:pPr>
    </w:p>
    <w:p w:rsidR="002853D1" w:rsidRDefault="00670206" w:rsidP="004543A3">
      <w:pPr>
        <w:spacing w:before="0" w:after="0"/>
        <w:ind w:firstLine="0"/>
        <w:rPr>
          <w:rFonts w:ascii="Arial Narrow" w:hAnsi="Arial Narrow"/>
          <w:sz w:val="24"/>
          <w:szCs w:val="24"/>
        </w:rPr>
      </w:pPr>
      <w:r w:rsidRPr="00203FB0">
        <w:rPr>
          <w:rFonts w:ascii="Arial Narrow" w:hAnsi="Arial Narrow"/>
          <w:sz w:val="24"/>
          <w:szCs w:val="24"/>
        </w:rPr>
        <w:t>In the Draft Decision the AER has determined that the DRP should be based on an Australian corporate bond issuance with a term to maturity of 10 years and a BBB+ credit rating.</w:t>
      </w:r>
      <w:r w:rsidR="0048385B" w:rsidRPr="00203FB0">
        <w:rPr>
          <w:rFonts w:ascii="Arial Narrow" w:hAnsi="Arial Narrow"/>
          <w:sz w:val="24"/>
          <w:szCs w:val="24"/>
        </w:rPr>
        <w:t xml:space="preserve">  </w:t>
      </w:r>
      <w:r w:rsidR="00B728C8" w:rsidRPr="00203FB0">
        <w:rPr>
          <w:rFonts w:ascii="Arial Narrow" w:hAnsi="Arial Narrow"/>
          <w:sz w:val="24"/>
          <w:szCs w:val="24"/>
        </w:rPr>
        <w:t>Envestra provided to the AER, pursuant to a notice issued by the AER under section 24(2) of the National Gas Law (NGL), certain information regarding its actual cost of deb</w:t>
      </w:r>
      <w:r w:rsidR="00BD2376" w:rsidRPr="00203FB0">
        <w:rPr>
          <w:rFonts w:ascii="Arial Narrow" w:hAnsi="Arial Narrow"/>
          <w:sz w:val="24"/>
          <w:szCs w:val="24"/>
        </w:rPr>
        <w:t>t</w:t>
      </w:r>
      <w:r w:rsidR="00B728C8" w:rsidRPr="00203FB0">
        <w:rPr>
          <w:rFonts w:ascii="Arial Narrow" w:hAnsi="Arial Narrow"/>
          <w:sz w:val="24"/>
          <w:szCs w:val="24"/>
        </w:rPr>
        <w:t>.</w:t>
      </w:r>
      <w:r w:rsidR="002853D1" w:rsidRPr="00203FB0">
        <w:rPr>
          <w:rFonts w:ascii="Arial Narrow" w:hAnsi="Arial Narrow"/>
          <w:sz w:val="24"/>
          <w:szCs w:val="24"/>
        </w:rPr>
        <w:t xml:space="preserve">  The AER stated that it has not based its DRP decision on the actual cost of debt data provided by Envestra</w:t>
      </w:r>
      <w:r w:rsidR="00B728C8" w:rsidRPr="00203FB0">
        <w:rPr>
          <w:rFonts w:ascii="Arial Narrow" w:hAnsi="Arial Narrow"/>
          <w:sz w:val="24"/>
          <w:szCs w:val="24"/>
        </w:rPr>
        <w:t>,</w:t>
      </w:r>
      <w:r w:rsidR="002853D1" w:rsidRPr="00203FB0">
        <w:rPr>
          <w:rFonts w:ascii="Arial Narrow" w:hAnsi="Arial Narrow"/>
          <w:sz w:val="24"/>
          <w:szCs w:val="24"/>
        </w:rPr>
        <w:t xml:space="preserve"> and </w:t>
      </w:r>
      <w:r w:rsidR="00B728C8" w:rsidRPr="00203FB0">
        <w:rPr>
          <w:rFonts w:ascii="Arial Narrow" w:hAnsi="Arial Narrow"/>
          <w:sz w:val="24"/>
          <w:szCs w:val="24"/>
        </w:rPr>
        <w:t xml:space="preserve">as such, </w:t>
      </w:r>
      <w:r w:rsidR="002853D1" w:rsidRPr="00203FB0">
        <w:rPr>
          <w:rFonts w:ascii="Arial Narrow" w:hAnsi="Arial Narrow"/>
          <w:sz w:val="24"/>
          <w:szCs w:val="24"/>
        </w:rPr>
        <w:t xml:space="preserve">it has maintained the incentive to achieve efficiencies in its cost of capital by using a benchmark </w:t>
      </w:r>
      <w:r w:rsidR="00B728C8" w:rsidRPr="00203FB0">
        <w:rPr>
          <w:rFonts w:ascii="Arial Narrow" w:hAnsi="Arial Narrow"/>
          <w:sz w:val="24"/>
          <w:szCs w:val="24"/>
        </w:rPr>
        <w:t xml:space="preserve">DRP. </w:t>
      </w:r>
    </w:p>
    <w:p w:rsidR="000D0210" w:rsidRPr="00203FB0" w:rsidRDefault="000D0210" w:rsidP="004543A3">
      <w:pPr>
        <w:spacing w:before="0" w:after="0"/>
        <w:ind w:firstLine="0"/>
        <w:rPr>
          <w:rFonts w:ascii="Arial Narrow" w:hAnsi="Arial Narrow"/>
          <w:sz w:val="24"/>
          <w:szCs w:val="24"/>
        </w:rPr>
      </w:pPr>
    </w:p>
    <w:p w:rsidR="0048385B" w:rsidRDefault="00670206" w:rsidP="004543A3">
      <w:pPr>
        <w:spacing w:before="0" w:after="0"/>
        <w:ind w:firstLine="0"/>
        <w:rPr>
          <w:rFonts w:ascii="Arial Narrow" w:hAnsi="Arial Narrow"/>
          <w:sz w:val="24"/>
          <w:szCs w:val="24"/>
        </w:rPr>
      </w:pPr>
      <w:r w:rsidRPr="00203FB0">
        <w:rPr>
          <w:rFonts w:ascii="Arial Narrow" w:hAnsi="Arial Narrow"/>
          <w:sz w:val="24"/>
          <w:szCs w:val="24"/>
        </w:rPr>
        <w:t>T</w:t>
      </w:r>
      <w:r w:rsidR="002853D1" w:rsidRPr="00203FB0">
        <w:rPr>
          <w:rFonts w:ascii="Arial Narrow" w:hAnsi="Arial Narrow"/>
          <w:sz w:val="24"/>
          <w:szCs w:val="24"/>
        </w:rPr>
        <w:t>o determine the DRP t</w:t>
      </w:r>
      <w:r w:rsidR="00484ABD" w:rsidRPr="00203FB0">
        <w:rPr>
          <w:rFonts w:ascii="Arial Narrow" w:hAnsi="Arial Narrow"/>
          <w:sz w:val="24"/>
          <w:szCs w:val="24"/>
        </w:rPr>
        <w:t xml:space="preserve">he AER </w:t>
      </w:r>
      <w:r w:rsidR="00137979" w:rsidRPr="00203FB0">
        <w:rPr>
          <w:rFonts w:ascii="Arial Narrow" w:hAnsi="Arial Narrow"/>
          <w:sz w:val="24"/>
          <w:szCs w:val="24"/>
        </w:rPr>
        <w:t>has used the</w:t>
      </w:r>
      <w:r w:rsidRPr="00203FB0">
        <w:rPr>
          <w:rFonts w:ascii="Arial Narrow" w:hAnsi="Arial Narrow"/>
          <w:sz w:val="24"/>
          <w:szCs w:val="24"/>
        </w:rPr>
        <w:t xml:space="preserve"> APT bond</w:t>
      </w:r>
      <w:r w:rsidR="00137979" w:rsidRPr="00203FB0">
        <w:rPr>
          <w:rFonts w:ascii="Arial Narrow" w:hAnsi="Arial Narrow"/>
          <w:sz w:val="24"/>
          <w:szCs w:val="24"/>
        </w:rPr>
        <w:t xml:space="preserve"> </w:t>
      </w:r>
      <w:r w:rsidR="002853D1" w:rsidRPr="00203FB0">
        <w:rPr>
          <w:rFonts w:ascii="Arial Narrow" w:hAnsi="Arial Narrow"/>
          <w:sz w:val="24"/>
          <w:szCs w:val="24"/>
        </w:rPr>
        <w:t>maturing in 2020</w:t>
      </w:r>
      <w:r w:rsidR="002853D1" w:rsidRPr="00203FB0">
        <w:rPr>
          <w:rStyle w:val="FootnoteReference"/>
          <w:rFonts w:ascii="Arial Narrow" w:hAnsi="Arial Narrow"/>
          <w:sz w:val="24"/>
          <w:szCs w:val="24"/>
        </w:rPr>
        <w:footnoteReference w:id="1"/>
      </w:r>
      <w:r w:rsidRPr="00203FB0">
        <w:rPr>
          <w:rFonts w:ascii="Arial Narrow" w:hAnsi="Arial Narrow"/>
          <w:sz w:val="24"/>
          <w:szCs w:val="24"/>
        </w:rPr>
        <w:t xml:space="preserve">) and the </w:t>
      </w:r>
      <w:r w:rsidR="00137979" w:rsidRPr="00203FB0">
        <w:rPr>
          <w:rFonts w:ascii="Arial Narrow" w:hAnsi="Arial Narrow"/>
          <w:sz w:val="24"/>
          <w:szCs w:val="24"/>
        </w:rPr>
        <w:t xml:space="preserve">Bloomberg BBB 7 year fair value </w:t>
      </w:r>
      <w:r w:rsidRPr="00203FB0">
        <w:rPr>
          <w:rFonts w:ascii="Arial Narrow" w:hAnsi="Arial Narrow"/>
          <w:sz w:val="24"/>
          <w:szCs w:val="24"/>
        </w:rPr>
        <w:t xml:space="preserve">yield </w:t>
      </w:r>
      <w:r w:rsidR="00137979" w:rsidRPr="00203FB0">
        <w:rPr>
          <w:rFonts w:ascii="Arial Narrow" w:hAnsi="Arial Narrow"/>
          <w:sz w:val="24"/>
          <w:szCs w:val="24"/>
        </w:rPr>
        <w:t>estimates</w:t>
      </w:r>
      <w:r w:rsidRPr="00203FB0">
        <w:rPr>
          <w:rFonts w:ascii="Arial Narrow" w:hAnsi="Arial Narrow"/>
          <w:sz w:val="24"/>
          <w:szCs w:val="24"/>
        </w:rPr>
        <w:t>,</w:t>
      </w:r>
      <w:r w:rsidR="00137979" w:rsidRPr="00203FB0">
        <w:rPr>
          <w:rFonts w:ascii="Arial Narrow" w:hAnsi="Arial Narrow"/>
          <w:sz w:val="24"/>
          <w:szCs w:val="24"/>
        </w:rPr>
        <w:t xml:space="preserve"> extrapolated to the benchmark 10 year term</w:t>
      </w:r>
      <w:r w:rsidR="00B728C8" w:rsidRPr="00203FB0">
        <w:rPr>
          <w:rFonts w:ascii="Arial Narrow" w:hAnsi="Arial Narrow"/>
          <w:sz w:val="24"/>
          <w:szCs w:val="24"/>
        </w:rPr>
        <w:t>,</w:t>
      </w:r>
      <w:r w:rsidRPr="00203FB0">
        <w:rPr>
          <w:rFonts w:ascii="Arial Narrow" w:hAnsi="Arial Narrow"/>
          <w:sz w:val="24"/>
          <w:szCs w:val="24"/>
        </w:rPr>
        <w:t xml:space="preserve"> to form its views on the DRP</w:t>
      </w:r>
      <w:r w:rsidR="00137979" w:rsidRPr="00203FB0">
        <w:rPr>
          <w:rFonts w:ascii="Arial Narrow" w:hAnsi="Arial Narrow"/>
          <w:sz w:val="24"/>
          <w:szCs w:val="24"/>
        </w:rPr>
        <w:t xml:space="preserve">.  The reason </w:t>
      </w:r>
      <w:r w:rsidR="0048385B" w:rsidRPr="00203FB0">
        <w:rPr>
          <w:rFonts w:ascii="Arial Narrow" w:hAnsi="Arial Narrow"/>
          <w:sz w:val="24"/>
          <w:szCs w:val="24"/>
        </w:rPr>
        <w:t xml:space="preserve">for extrapolating the </w:t>
      </w:r>
      <w:r w:rsidR="00137979" w:rsidRPr="00203FB0">
        <w:rPr>
          <w:rFonts w:ascii="Arial Narrow" w:hAnsi="Arial Narrow"/>
          <w:sz w:val="24"/>
          <w:szCs w:val="24"/>
        </w:rPr>
        <w:t xml:space="preserve">Bloomberg </w:t>
      </w:r>
      <w:r w:rsidR="0048385B" w:rsidRPr="00203FB0">
        <w:rPr>
          <w:rFonts w:ascii="Arial Narrow" w:hAnsi="Arial Narrow"/>
          <w:sz w:val="24"/>
          <w:szCs w:val="24"/>
        </w:rPr>
        <w:t xml:space="preserve">estimates is that they </w:t>
      </w:r>
      <w:r w:rsidR="00137979" w:rsidRPr="00203FB0">
        <w:rPr>
          <w:rFonts w:ascii="Arial Narrow" w:hAnsi="Arial Narrow"/>
          <w:sz w:val="24"/>
          <w:szCs w:val="24"/>
        </w:rPr>
        <w:t xml:space="preserve">only publish BBB fair value estimates to a term of 7 years, </w:t>
      </w:r>
      <w:r w:rsidR="0048385B" w:rsidRPr="00203FB0">
        <w:rPr>
          <w:rFonts w:ascii="Arial Narrow" w:hAnsi="Arial Narrow"/>
          <w:sz w:val="24"/>
          <w:szCs w:val="24"/>
        </w:rPr>
        <w:t xml:space="preserve">and </w:t>
      </w:r>
      <w:r w:rsidR="00137979" w:rsidRPr="00203FB0">
        <w:rPr>
          <w:rFonts w:ascii="Arial Narrow" w:hAnsi="Arial Narrow"/>
          <w:sz w:val="24"/>
          <w:szCs w:val="24"/>
        </w:rPr>
        <w:t xml:space="preserve">the AER </w:t>
      </w:r>
      <w:r w:rsidR="00B728C8" w:rsidRPr="00203FB0">
        <w:rPr>
          <w:rFonts w:ascii="Arial Narrow" w:hAnsi="Arial Narrow"/>
          <w:sz w:val="24"/>
          <w:szCs w:val="24"/>
        </w:rPr>
        <w:t xml:space="preserve">assumes </w:t>
      </w:r>
      <w:r w:rsidR="00137979" w:rsidRPr="00203FB0">
        <w:rPr>
          <w:rFonts w:ascii="Arial Narrow" w:hAnsi="Arial Narrow"/>
          <w:sz w:val="24"/>
          <w:szCs w:val="24"/>
        </w:rPr>
        <w:t xml:space="preserve">a 10 year tenor for the purposes of setting the DRP. </w:t>
      </w:r>
      <w:r w:rsidR="0048385B" w:rsidRPr="00203FB0">
        <w:rPr>
          <w:rFonts w:ascii="Arial Narrow" w:hAnsi="Arial Narrow"/>
          <w:sz w:val="24"/>
          <w:szCs w:val="24"/>
        </w:rPr>
        <w:t xml:space="preserve"> </w:t>
      </w:r>
    </w:p>
    <w:p w:rsidR="000D0210" w:rsidRPr="00203FB0" w:rsidRDefault="000D0210" w:rsidP="004543A3">
      <w:pPr>
        <w:spacing w:before="0" w:after="0"/>
        <w:ind w:firstLine="0"/>
        <w:rPr>
          <w:rFonts w:ascii="Arial Narrow" w:hAnsi="Arial Narrow"/>
          <w:sz w:val="24"/>
          <w:szCs w:val="24"/>
        </w:rPr>
      </w:pPr>
    </w:p>
    <w:p w:rsidR="0048385B" w:rsidRDefault="00137979" w:rsidP="004543A3">
      <w:pPr>
        <w:spacing w:before="0" w:after="0"/>
        <w:ind w:firstLine="0"/>
        <w:rPr>
          <w:rFonts w:ascii="Arial Narrow" w:hAnsi="Arial Narrow"/>
          <w:sz w:val="24"/>
          <w:szCs w:val="24"/>
        </w:rPr>
      </w:pPr>
      <w:r w:rsidRPr="00203FB0">
        <w:rPr>
          <w:rFonts w:ascii="Arial Narrow" w:hAnsi="Arial Narrow"/>
          <w:sz w:val="24"/>
          <w:szCs w:val="24"/>
        </w:rPr>
        <w:t>The AER considered that in lieu of Bloomberg publishing a 10 year BBB rated fair value estimate, the spread on Bloomberg's AAA rated estimates from 7 to 10 years should be added to Bloomberg’s 7 year, BBB rated fair value curve.  The AER considers that the most reasonable extrapolation approach is to add the spread on Bloomberg's AAA rated estimates from 7 to 10 years</w:t>
      </w:r>
      <w:r w:rsidR="00B728C8" w:rsidRPr="00203FB0">
        <w:rPr>
          <w:rFonts w:ascii="Arial Narrow" w:hAnsi="Arial Narrow"/>
          <w:sz w:val="24"/>
          <w:szCs w:val="24"/>
        </w:rPr>
        <w:t xml:space="preserve"> </w:t>
      </w:r>
      <w:r w:rsidRPr="00203FB0">
        <w:rPr>
          <w:rFonts w:ascii="Arial Narrow" w:hAnsi="Arial Narrow"/>
          <w:sz w:val="24"/>
          <w:szCs w:val="24"/>
        </w:rPr>
        <w:t>—</w:t>
      </w:r>
      <w:r w:rsidR="00B728C8" w:rsidRPr="00203FB0">
        <w:rPr>
          <w:rFonts w:ascii="Arial Narrow" w:hAnsi="Arial Narrow"/>
          <w:sz w:val="24"/>
          <w:szCs w:val="24"/>
        </w:rPr>
        <w:t xml:space="preserve"> </w:t>
      </w:r>
      <w:r w:rsidRPr="00203FB0">
        <w:rPr>
          <w:rFonts w:ascii="Arial Narrow" w:hAnsi="Arial Narrow"/>
          <w:sz w:val="24"/>
          <w:szCs w:val="24"/>
        </w:rPr>
        <w:t>as averaged over the last 20 trading days when these estimates were available, ending 22 June 2010</w:t>
      </w:r>
      <w:r w:rsidR="00B728C8" w:rsidRPr="00203FB0">
        <w:rPr>
          <w:rFonts w:ascii="Arial Narrow" w:hAnsi="Arial Narrow"/>
          <w:sz w:val="24"/>
          <w:szCs w:val="24"/>
        </w:rPr>
        <w:t xml:space="preserve"> </w:t>
      </w:r>
      <w:r w:rsidRPr="00203FB0">
        <w:rPr>
          <w:rFonts w:ascii="Arial Narrow" w:hAnsi="Arial Narrow"/>
          <w:sz w:val="24"/>
          <w:szCs w:val="24"/>
        </w:rPr>
        <w:t>—</w:t>
      </w:r>
      <w:r w:rsidR="00B728C8" w:rsidRPr="00203FB0">
        <w:rPr>
          <w:rFonts w:ascii="Arial Narrow" w:hAnsi="Arial Narrow"/>
          <w:sz w:val="24"/>
          <w:szCs w:val="24"/>
        </w:rPr>
        <w:t xml:space="preserve"> </w:t>
      </w:r>
      <w:r w:rsidRPr="00203FB0">
        <w:rPr>
          <w:rFonts w:ascii="Arial Narrow" w:hAnsi="Arial Narrow"/>
          <w:sz w:val="24"/>
          <w:szCs w:val="24"/>
        </w:rPr>
        <w:t xml:space="preserve">to the most recent estimates of Bloomberg’s 7 year, BBB rated fair value curve. </w:t>
      </w:r>
    </w:p>
    <w:p w:rsidR="000D0210" w:rsidRPr="00203FB0" w:rsidRDefault="000D0210" w:rsidP="004543A3">
      <w:pPr>
        <w:spacing w:before="0" w:after="0"/>
        <w:ind w:firstLine="0"/>
        <w:rPr>
          <w:rFonts w:ascii="Arial Narrow" w:hAnsi="Arial Narrow"/>
          <w:sz w:val="24"/>
          <w:szCs w:val="24"/>
        </w:rPr>
      </w:pPr>
    </w:p>
    <w:p w:rsidR="00E721FE" w:rsidRDefault="002853D1" w:rsidP="004543A3">
      <w:pPr>
        <w:spacing w:before="0" w:after="0"/>
        <w:ind w:firstLine="0"/>
        <w:rPr>
          <w:rFonts w:ascii="Arial Narrow" w:hAnsi="Arial Narrow"/>
          <w:sz w:val="24"/>
          <w:szCs w:val="24"/>
        </w:rPr>
      </w:pPr>
      <w:r w:rsidRPr="00203FB0">
        <w:rPr>
          <w:rFonts w:ascii="Arial Narrow" w:hAnsi="Arial Narrow"/>
          <w:sz w:val="24"/>
          <w:szCs w:val="24"/>
        </w:rPr>
        <w:lastRenderedPageBreak/>
        <w:t>In addition</w:t>
      </w:r>
      <w:r w:rsidR="00B728C8" w:rsidRPr="00203FB0">
        <w:rPr>
          <w:rFonts w:ascii="Arial Narrow" w:hAnsi="Arial Narrow"/>
          <w:sz w:val="24"/>
          <w:szCs w:val="24"/>
        </w:rPr>
        <w:t>,</w:t>
      </w:r>
      <w:r w:rsidRPr="00203FB0">
        <w:rPr>
          <w:rFonts w:ascii="Arial Narrow" w:hAnsi="Arial Narrow"/>
          <w:sz w:val="24"/>
          <w:szCs w:val="24"/>
        </w:rPr>
        <w:t xml:space="preserve"> the AER has departed from previous practice of placing sole reliance on the Bloomberg fair value yield estimate for t</w:t>
      </w:r>
      <w:r w:rsidR="0048385B" w:rsidRPr="00203FB0">
        <w:rPr>
          <w:rFonts w:ascii="Arial Narrow" w:hAnsi="Arial Narrow"/>
          <w:sz w:val="24"/>
          <w:szCs w:val="24"/>
        </w:rPr>
        <w:t xml:space="preserve">he </w:t>
      </w:r>
      <w:r w:rsidRPr="00203FB0">
        <w:rPr>
          <w:rFonts w:ascii="Arial Narrow" w:hAnsi="Arial Narrow"/>
          <w:sz w:val="24"/>
          <w:szCs w:val="24"/>
        </w:rPr>
        <w:t xml:space="preserve">following </w:t>
      </w:r>
      <w:r w:rsidR="0048385B" w:rsidRPr="00203FB0">
        <w:rPr>
          <w:rFonts w:ascii="Arial Narrow" w:hAnsi="Arial Narrow"/>
          <w:sz w:val="24"/>
          <w:szCs w:val="24"/>
        </w:rPr>
        <w:t>reasons</w:t>
      </w:r>
      <w:r w:rsidR="00102040">
        <w:rPr>
          <w:rFonts w:ascii="Arial Narrow" w:hAnsi="Arial Narrow"/>
          <w:sz w:val="24"/>
          <w:szCs w:val="24"/>
        </w:rPr>
        <w:t>:</w:t>
      </w:r>
    </w:p>
    <w:p w:rsidR="00102040" w:rsidRPr="00203FB0" w:rsidRDefault="00102040" w:rsidP="004543A3">
      <w:pPr>
        <w:spacing w:before="0" w:after="0"/>
        <w:ind w:firstLine="0"/>
        <w:rPr>
          <w:rFonts w:ascii="Arial Narrow" w:hAnsi="Arial Narrow"/>
          <w:sz w:val="24"/>
          <w:szCs w:val="24"/>
        </w:rPr>
      </w:pPr>
    </w:p>
    <w:p w:rsidR="00E721FE" w:rsidRPr="00203FB0" w:rsidRDefault="00E721FE" w:rsidP="00102040">
      <w:pPr>
        <w:numPr>
          <w:ilvl w:val="0"/>
          <w:numId w:val="40"/>
        </w:numPr>
        <w:tabs>
          <w:tab w:val="left" w:pos="426"/>
        </w:tabs>
        <w:spacing w:before="0" w:after="0"/>
        <w:ind w:left="426" w:hanging="426"/>
        <w:rPr>
          <w:rFonts w:ascii="Arial Narrow" w:hAnsi="Arial Narrow"/>
          <w:sz w:val="24"/>
          <w:szCs w:val="24"/>
        </w:rPr>
      </w:pPr>
      <w:r w:rsidRPr="00203FB0">
        <w:rPr>
          <w:rFonts w:ascii="Arial Narrow" w:hAnsi="Arial Narrow"/>
          <w:sz w:val="24"/>
          <w:szCs w:val="24"/>
        </w:rPr>
        <w:t xml:space="preserve">there is some evidence to suggest that the behaviour of the Bloomberg curve since the onset of the GFC is somewhat counter intuitive, including </w:t>
      </w:r>
      <w:r w:rsidR="00B728C8" w:rsidRPr="00203FB0">
        <w:rPr>
          <w:rFonts w:ascii="Arial Narrow" w:hAnsi="Arial Narrow"/>
          <w:sz w:val="24"/>
          <w:szCs w:val="24"/>
        </w:rPr>
        <w:t xml:space="preserve">that </w:t>
      </w:r>
      <w:r w:rsidRPr="00203FB0">
        <w:rPr>
          <w:rFonts w:ascii="Arial Narrow" w:hAnsi="Arial Narrow"/>
          <w:sz w:val="24"/>
          <w:szCs w:val="24"/>
        </w:rPr>
        <w:t>the extrapolated 10 year DRP derived from Bloomberg curr</w:t>
      </w:r>
      <w:r w:rsidR="0048385B" w:rsidRPr="00203FB0">
        <w:rPr>
          <w:rFonts w:ascii="Arial Narrow" w:hAnsi="Arial Narrow"/>
          <w:sz w:val="24"/>
          <w:szCs w:val="24"/>
        </w:rPr>
        <w:t xml:space="preserve">ently </w:t>
      </w:r>
      <w:r w:rsidR="00B728C8" w:rsidRPr="00203FB0">
        <w:rPr>
          <w:rFonts w:ascii="Arial Narrow" w:hAnsi="Arial Narrow"/>
          <w:sz w:val="24"/>
          <w:szCs w:val="24"/>
        </w:rPr>
        <w:t xml:space="preserve">observed </w:t>
      </w:r>
      <w:r w:rsidR="0048385B" w:rsidRPr="00203FB0">
        <w:rPr>
          <w:rFonts w:ascii="Arial Narrow" w:hAnsi="Arial Narrow"/>
          <w:sz w:val="24"/>
          <w:szCs w:val="24"/>
        </w:rPr>
        <w:t>being at an all time high;</w:t>
      </w:r>
    </w:p>
    <w:p w:rsidR="00E721FE" w:rsidRPr="00203FB0" w:rsidRDefault="00E721FE" w:rsidP="00102040">
      <w:pPr>
        <w:numPr>
          <w:ilvl w:val="0"/>
          <w:numId w:val="40"/>
        </w:numPr>
        <w:tabs>
          <w:tab w:val="left" w:pos="426"/>
        </w:tabs>
        <w:spacing w:before="0" w:after="0"/>
        <w:ind w:left="426" w:hanging="426"/>
        <w:rPr>
          <w:rFonts w:ascii="Arial Narrow" w:hAnsi="Arial Narrow"/>
          <w:sz w:val="24"/>
          <w:szCs w:val="24"/>
        </w:rPr>
      </w:pPr>
      <w:r w:rsidRPr="00203FB0">
        <w:rPr>
          <w:rFonts w:ascii="Arial Narrow" w:hAnsi="Arial Narrow"/>
          <w:sz w:val="24"/>
          <w:szCs w:val="24"/>
        </w:rPr>
        <w:t xml:space="preserve">the characteristics of the APT bond closely match those of the benchmark corporate bond set by the AER, namely BBB rated and approximately 10 year maturity. </w:t>
      </w:r>
      <w:r w:rsidR="007F6CB9" w:rsidRPr="00203FB0">
        <w:rPr>
          <w:rFonts w:ascii="Arial Narrow" w:hAnsi="Arial Narrow"/>
          <w:sz w:val="24"/>
          <w:szCs w:val="24"/>
        </w:rPr>
        <w:t xml:space="preserve"> </w:t>
      </w:r>
      <w:r w:rsidRPr="00203FB0">
        <w:rPr>
          <w:rFonts w:ascii="Arial Narrow" w:hAnsi="Arial Narrow"/>
          <w:sz w:val="24"/>
          <w:szCs w:val="24"/>
        </w:rPr>
        <w:t>As this bond has a lower credit rating than the BBB+ benchmark, its use would be expected to result in a DRP that overstates the benchmark cost of debt</w:t>
      </w:r>
      <w:r w:rsidR="00B728C8" w:rsidRPr="00203FB0">
        <w:rPr>
          <w:rFonts w:ascii="Arial Narrow" w:hAnsi="Arial Narrow"/>
          <w:sz w:val="24"/>
          <w:szCs w:val="24"/>
        </w:rPr>
        <w:t xml:space="preserve">. </w:t>
      </w:r>
      <w:r w:rsidRPr="00203FB0">
        <w:rPr>
          <w:rFonts w:ascii="Arial Narrow" w:hAnsi="Arial Narrow"/>
          <w:sz w:val="24"/>
          <w:szCs w:val="24"/>
        </w:rPr>
        <w:t xml:space="preserve">The nature of the underlying risk and markets in which the APA Group operates resemble those of the benchmark gas pipeline service provider. To the extent that credit ratings are an imperfect indicator of default risk, the APT bond is suitable for deriving a DRP that reflects the risks involved in providing </w:t>
      </w:r>
      <w:r w:rsidR="0048385B" w:rsidRPr="00203FB0">
        <w:rPr>
          <w:rFonts w:ascii="Arial Narrow" w:hAnsi="Arial Narrow"/>
          <w:sz w:val="24"/>
          <w:szCs w:val="24"/>
        </w:rPr>
        <w:t>reference services;</w:t>
      </w:r>
    </w:p>
    <w:p w:rsidR="00E721FE" w:rsidRPr="00203FB0" w:rsidRDefault="00E721FE" w:rsidP="00102040">
      <w:pPr>
        <w:numPr>
          <w:ilvl w:val="0"/>
          <w:numId w:val="40"/>
        </w:numPr>
        <w:tabs>
          <w:tab w:val="left" w:pos="426"/>
        </w:tabs>
        <w:spacing w:before="0" w:after="0"/>
        <w:ind w:left="426" w:hanging="426"/>
        <w:rPr>
          <w:rFonts w:ascii="Arial Narrow" w:hAnsi="Arial Narrow"/>
          <w:sz w:val="24"/>
          <w:szCs w:val="24"/>
        </w:rPr>
      </w:pPr>
      <w:r w:rsidRPr="00203FB0">
        <w:rPr>
          <w:rFonts w:ascii="Arial Narrow" w:hAnsi="Arial Narrow"/>
          <w:sz w:val="24"/>
          <w:szCs w:val="24"/>
        </w:rPr>
        <w:t xml:space="preserve">a recently issued A- rated, 10 year bond by </w:t>
      </w:r>
      <w:proofErr w:type="spellStart"/>
      <w:r w:rsidRPr="00203FB0">
        <w:rPr>
          <w:rFonts w:ascii="Arial Narrow" w:hAnsi="Arial Narrow"/>
          <w:sz w:val="24"/>
          <w:szCs w:val="24"/>
        </w:rPr>
        <w:t>Stockland</w:t>
      </w:r>
      <w:proofErr w:type="spellEnd"/>
      <w:r w:rsidRPr="00203FB0">
        <w:rPr>
          <w:rFonts w:ascii="Arial Narrow" w:hAnsi="Arial Narrow"/>
          <w:sz w:val="24"/>
          <w:szCs w:val="24"/>
        </w:rPr>
        <w:t xml:space="preserve"> displays yields that are closer to the APT bond, and significantly below the extrapolated Bloomberg 10 year estimates. This gives further support for relying on the APT bond over </w:t>
      </w:r>
      <w:r w:rsidR="0048385B" w:rsidRPr="00203FB0">
        <w:rPr>
          <w:rFonts w:ascii="Arial Narrow" w:hAnsi="Arial Narrow"/>
          <w:sz w:val="24"/>
          <w:szCs w:val="24"/>
        </w:rPr>
        <w:t>Bloomberg; and</w:t>
      </w:r>
    </w:p>
    <w:p w:rsidR="009B2400" w:rsidRPr="00203FB0" w:rsidRDefault="00E721FE" w:rsidP="00102040">
      <w:pPr>
        <w:numPr>
          <w:ilvl w:val="0"/>
          <w:numId w:val="40"/>
        </w:numPr>
        <w:tabs>
          <w:tab w:val="left" w:pos="426"/>
        </w:tabs>
        <w:spacing w:before="0" w:after="0"/>
        <w:ind w:left="426" w:hanging="426"/>
        <w:rPr>
          <w:rFonts w:ascii="Arial Narrow" w:hAnsi="Arial Narrow"/>
          <w:sz w:val="24"/>
          <w:szCs w:val="24"/>
        </w:rPr>
      </w:pPr>
      <w:r w:rsidRPr="00203FB0">
        <w:rPr>
          <w:rFonts w:ascii="Arial Narrow" w:hAnsi="Arial Narrow"/>
          <w:sz w:val="24"/>
          <w:szCs w:val="24"/>
        </w:rPr>
        <w:t>a further 10 year BBB+ rated DBCT bond has yields that are higher than Bloomberg’s BBB fair values, however the AER has discounted this observation for the purposes of comparison given previous issues with its owner and credit wrapper.</w:t>
      </w:r>
    </w:p>
    <w:p w:rsidR="009B2400" w:rsidRPr="00203FB0" w:rsidRDefault="009B2400" w:rsidP="004543A3">
      <w:pPr>
        <w:spacing w:before="0" w:after="0"/>
        <w:ind w:firstLine="0"/>
        <w:rPr>
          <w:rFonts w:ascii="Arial Narrow" w:hAnsi="Arial Narrow"/>
          <w:sz w:val="24"/>
          <w:szCs w:val="24"/>
        </w:rPr>
      </w:pPr>
    </w:p>
    <w:p w:rsidR="00137979" w:rsidRPr="00203FB0" w:rsidRDefault="009A7243" w:rsidP="004543A3">
      <w:pPr>
        <w:spacing w:before="0" w:after="0"/>
        <w:ind w:firstLine="0"/>
        <w:rPr>
          <w:rFonts w:ascii="Arial Narrow" w:hAnsi="Arial Narrow"/>
          <w:sz w:val="24"/>
          <w:szCs w:val="24"/>
        </w:rPr>
      </w:pPr>
      <w:r w:rsidRPr="00203FB0">
        <w:rPr>
          <w:rFonts w:ascii="Arial Narrow" w:hAnsi="Arial Narrow"/>
          <w:sz w:val="24"/>
          <w:szCs w:val="24"/>
        </w:rPr>
        <w:t>Given the above</w:t>
      </w:r>
      <w:r w:rsidR="00747272" w:rsidRPr="00203FB0">
        <w:rPr>
          <w:rFonts w:ascii="Arial Narrow" w:hAnsi="Arial Narrow"/>
          <w:sz w:val="24"/>
          <w:szCs w:val="24"/>
        </w:rPr>
        <w:t xml:space="preserve"> the AER consider</w:t>
      </w:r>
      <w:r w:rsidR="00B233BF" w:rsidRPr="00203FB0">
        <w:rPr>
          <w:rFonts w:ascii="Arial Narrow" w:hAnsi="Arial Narrow"/>
          <w:sz w:val="24"/>
          <w:szCs w:val="24"/>
        </w:rPr>
        <w:t>ed</w:t>
      </w:r>
      <w:r w:rsidR="00747272" w:rsidRPr="00203FB0">
        <w:rPr>
          <w:rFonts w:ascii="Arial Narrow" w:hAnsi="Arial Narrow"/>
          <w:sz w:val="24"/>
          <w:szCs w:val="24"/>
        </w:rPr>
        <w:t xml:space="preserve"> it prudent to adopt an approach </w:t>
      </w:r>
      <w:r w:rsidR="00B233BF" w:rsidRPr="00203FB0">
        <w:rPr>
          <w:rFonts w:ascii="Arial Narrow" w:hAnsi="Arial Narrow"/>
          <w:sz w:val="24"/>
          <w:szCs w:val="24"/>
        </w:rPr>
        <w:t xml:space="preserve">where it did </w:t>
      </w:r>
      <w:r w:rsidR="00747272" w:rsidRPr="00203FB0">
        <w:rPr>
          <w:rFonts w:ascii="Arial Narrow" w:hAnsi="Arial Narrow"/>
          <w:sz w:val="24"/>
          <w:szCs w:val="24"/>
        </w:rPr>
        <w:t xml:space="preserve">not place complete reliance on either Bloomberg or the APT bond. </w:t>
      </w:r>
      <w:r w:rsidR="00B233BF" w:rsidRPr="00203FB0">
        <w:rPr>
          <w:rFonts w:ascii="Arial Narrow" w:hAnsi="Arial Narrow"/>
          <w:sz w:val="24"/>
          <w:szCs w:val="24"/>
        </w:rPr>
        <w:t xml:space="preserve"> </w:t>
      </w:r>
      <w:r w:rsidR="00747272" w:rsidRPr="00203FB0">
        <w:rPr>
          <w:rFonts w:ascii="Arial Narrow" w:hAnsi="Arial Narrow"/>
          <w:sz w:val="24"/>
          <w:szCs w:val="24"/>
        </w:rPr>
        <w:t xml:space="preserve">Accordingly the AER has set the DRP as an average of the spreads of the extrapolated Bloomberg 10 year, BBB fair value estimate and of the APT bond maturing in 2020. </w:t>
      </w:r>
      <w:r w:rsidRPr="00203FB0">
        <w:rPr>
          <w:rFonts w:ascii="Arial Narrow" w:hAnsi="Arial Narrow"/>
          <w:sz w:val="24"/>
          <w:szCs w:val="24"/>
        </w:rPr>
        <w:t xml:space="preserve"> </w:t>
      </w:r>
      <w:r w:rsidR="00747272" w:rsidRPr="00203FB0">
        <w:rPr>
          <w:rFonts w:ascii="Arial Narrow" w:hAnsi="Arial Narrow"/>
          <w:sz w:val="24"/>
          <w:szCs w:val="24"/>
        </w:rPr>
        <w:t xml:space="preserve">Based on the </w:t>
      </w:r>
      <w:r w:rsidRPr="00203FB0">
        <w:rPr>
          <w:rFonts w:ascii="Arial Narrow" w:hAnsi="Arial Narrow"/>
          <w:sz w:val="24"/>
          <w:szCs w:val="24"/>
        </w:rPr>
        <w:t>5.68 percent risk free rate used in the D</w:t>
      </w:r>
      <w:r w:rsidR="00747272" w:rsidRPr="00203FB0">
        <w:rPr>
          <w:rFonts w:ascii="Arial Narrow" w:hAnsi="Arial Narrow"/>
          <w:sz w:val="24"/>
          <w:szCs w:val="24"/>
        </w:rPr>
        <w:t xml:space="preserve">raft </w:t>
      </w:r>
      <w:r w:rsidRPr="00203FB0">
        <w:rPr>
          <w:rFonts w:ascii="Arial Narrow" w:hAnsi="Arial Narrow"/>
          <w:sz w:val="24"/>
          <w:szCs w:val="24"/>
        </w:rPr>
        <w:t>D</w:t>
      </w:r>
      <w:r w:rsidR="00747272" w:rsidRPr="00203FB0">
        <w:rPr>
          <w:rFonts w:ascii="Arial Narrow" w:hAnsi="Arial Narrow"/>
          <w:sz w:val="24"/>
          <w:szCs w:val="24"/>
        </w:rPr>
        <w:t>ecision</w:t>
      </w:r>
      <w:r w:rsidR="00C97B54" w:rsidRPr="00203FB0">
        <w:rPr>
          <w:rFonts w:ascii="Arial Narrow" w:hAnsi="Arial Narrow"/>
          <w:sz w:val="24"/>
          <w:szCs w:val="24"/>
        </w:rPr>
        <w:t>, the</w:t>
      </w:r>
      <w:r w:rsidR="00747272" w:rsidRPr="00203FB0">
        <w:rPr>
          <w:rFonts w:ascii="Arial Narrow" w:hAnsi="Arial Narrow"/>
          <w:sz w:val="24"/>
          <w:szCs w:val="24"/>
        </w:rPr>
        <w:t xml:space="preserve"> AER </w:t>
      </w:r>
      <w:r w:rsidRPr="00203FB0">
        <w:rPr>
          <w:rFonts w:ascii="Arial Narrow" w:hAnsi="Arial Narrow"/>
          <w:sz w:val="24"/>
          <w:szCs w:val="24"/>
        </w:rPr>
        <w:t xml:space="preserve">determined </w:t>
      </w:r>
      <w:r w:rsidR="00747272" w:rsidRPr="00203FB0">
        <w:rPr>
          <w:rFonts w:ascii="Arial Narrow" w:hAnsi="Arial Narrow"/>
          <w:sz w:val="24"/>
          <w:szCs w:val="24"/>
        </w:rPr>
        <w:t xml:space="preserve">a DRP of 3.93 percent.  </w:t>
      </w:r>
      <w:r w:rsidR="002853D1" w:rsidRPr="00203FB0">
        <w:rPr>
          <w:rFonts w:ascii="Arial Narrow" w:hAnsi="Arial Narrow"/>
          <w:sz w:val="24"/>
          <w:szCs w:val="24"/>
        </w:rPr>
        <w:t>The AER considers that prevailing conditions have been reflected in the use of data on the APT bond and Bloomberg fair value estimates over the indicative averaging period used for this decision. This data will be updated to reflect prevailing market conditions at the time of the final decision</w:t>
      </w:r>
    </w:p>
    <w:p w:rsidR="00137979" w:rsidRPr="00203FB0" w:rsidRDefault="00137979" w:rsidP="004543A3">
      <w:pPr>
        <w:spacing w:before="0" w:after="0"/>
        <w:ind w:firstLine="0"/>
        <w:rPr>
          <w:rFonts w:ascii="Arial Narrow" w:hAnsi="Arial Narrow"/>
          <w:sz w:val="24"/>
          <w:szCs w:val="24"/>
        </w:rPr>
      </w:pPr>
    </w:p>
    <w:p w:rsidR="00484ABD" w:rsidRDefault="00726B4F" w:rsidP="00664482">
      <w:pPr>
        <w:numPr>
          <w:ilvl w:val="1"/>
          <w:numId w:val="39"/>
        </w:numPr>
        <w:tabs>
          <w:tab w:val="left" w:pos="567"/>
        </w:tabs>
        <w:spacing w:before="0" w:after="0"/>
        <w:ind w:left="567" w:hanging="567"/>
        <w:rPr>
          <w:rFonts w:ascii="Arial Narrow" w:hAnsi="Arial Narrow"/>
          <w:b/>
          <w:sz w:val="24"/>
          <w:szCs w:val="24"/>
        </w:rPr>
      </w:pPr>
      <w:r w:rsidRPr="00203FB0">
        <w:rPr>
          <w:rFonts w:ascii="Arial Narrow" w:hAnsi="Arial Narrow"/>
          <w:b/>
          <w:sz w:val="24"/>
          <w:szCs w:val="24"/>
        </w:rPr>
        <w:t xml:space="preserve">Envestra </w:t>
      </w:r>
      <w:r w:rsidR="00C97B54" w:rsidRPr="00203FB0">
        <w:rPr>
          <w:rFonts w:ascii="Arial Narrow" w:hAnsi="Arial Narrow"/>
          <w:b/>
          <w:sz w:val="24"/>
          <w:szCs w:val="24"/>
        </w:rPr>
        <w:t>Response</w:t>
      </w:r>
    </w:p>
    <w:p w:rsidR="00664482" w:rsidRPr="00203FB0" w:rsidRDefault="00664482" w:rsidP="00664482">
      <w:pPr>
        <w:tabs>
          <w:tab w:val="left" w:pos="567"/>
        </w:tabs>
        <w:spacing w:before="0" w:after="0"/>
        <w:ind w:left="567" w:firstLine="0"/>
        <w:rPr>
          <w:rFonts w:ascii="Arial Narrow" w:hAnsi="Arial Narrow"/>
          <w:b/>
          <w:sz w:val="24"/>
          <w:szCs w:val="24"/>
        </w:rPr>
      </w:pPr>
    </w:p>
    <w:p w:rsidR="00726B4F" w:rsidRPr="00203FB0" w:rsidRDefault="00726B4F" w:rsidP="00664482">
      <w:pPr>
        <w:numPr>
          <w:ilvl w:val="3"/>
          <w:numId w:val="39"/>
        </w:numPr>
        <w:spacing w:before="0" w:after="0"/>
        <w:ind w:left="851" w:hanging="851"/>
        <w:rPr>
          <w:rFonts w:ascii="Arial Narrow" w:hAnsi="Arial Narrow"/>
          <w:b/>
          <w:sz w:val="24"/>
          <w:szCs w:val="24"/>
        </w:rPr>
      </w:pPr>
      <w:r w:rsidRPr="00203FB0">
        <w:rPr>
          <w:rFonts w:ascii="Arial Narrow" w:hAnsi="Arial Narrow"/>
          <w:b/>
          <w:sz w:val="24"/>
          <w:szCs w:val="24"/>
        </w:rPr>
        <w:t>Benchmark for Setting the DRP</w:t>
      </w:r>
    </w:p>
    <w:p w:rsidR="00C97B54" w:rsidRPr="00203FB0" w:rsidRDefault="00C97B54" w:rsidP="004543A3">
      <w:pPr>
        <w:spacing w:before="0" w:after="0"/>
        <w:ind w:left="720" w:firstLine="0"/>
        <w:rPr>
          <w:rFonts w:ascii="Arial Narrow" w:hAnsi="Arial Narrow"/>
          <w:sz w:val="24"/>
          <w:szCs w:val="24"/>
        </w:rPr>
      </w:pPr>
    </w:p>
    <w:p w:rsidR="00726B4F" w:rsidRPr="00203FB0" w:rsidRDefault="00726B4F" w:rsidP="00664482">
      <w:pPr>
        <w:spacing w:before="0" w:after="0"/>
        <w:ind w:firstLine="0"/>
        <w:rPr>
          <w:rFonts w:ascii="Arial Narrow" w:hAnsi="Arial Narrow"/>
          <w:sz w:val="24"/>
          <w:szCs w:val="24"/>
        </w:rPr>
      </w:pPr>
      <w:r w:rsidRPr="00203FB0">
        <w:rPr>
          <w:rFonts w:ascii="Arial Narrow" w:hAnsi="Arial Narrow"/>
          <w:sz w:val="24"/>
          <w:szCs w:val="24"/>
        </w:rPr>
        <w:t xml:space="preserve">Envestra agrees </w:t>
      </w:r>
      <w:r w:rsidR="00CF1747" w:rsidRPr="00203FB0">
        <w:rPr>
          <w:rFonts w:ascii="Arial Narrow" w:hAnsi="Arial Narrow"/>
          <w:sz w:val="24"/>
          <w:szCs w:val="24"/>
        </w:rPr>
        <w:t xml:space="preserve">with, and accepts, </w:t>
      </w:r>
      <w:r w:rsidRPr="00203FB0">
        <w:rPr>
          <w:rFonts w:ascii="Arial Narrow" w:hAnsi="Arial Narrow"/>
          <w:sz w:val="24"/>
          <w:szCs w:val="24"/>
        </w:rPr>
        <w:t xml:space="preserve">the AERs decision to estimate the DRP </w:t>
      </w:r>
      <w:r w:rsidR="00CF1747" w:rsidRPr="00203FB0">
        <w:rPr>
          <w:rFonts w:ascii="Arial Narrow" w:hAnsi="Arial Narrow"/>
          <w:sz w:val="24"/>
          <w:szCs w:val="24"/>
        </w:rPr>
        <w:t xml:space="preserve">by using the benchmark of </w:t>
      </w:r>
      <w:r w:rsidRPr="00203FB0">
        <w:rPr>
          <w:rFonts w:ascii="Arial Narrow" w:hAnsi="Arial Narrow"/>
          <w:sz w:val="24"/>
          <w:szCs w:val="24"/>
        </w:rPr>
        <w:t>an Australian corporate bond with a term to maturity of 10 years and a BBB+ credit rating</w:t>
      </w:r>
      <w:r w:rsidR="00CF1747" w:rsidRPr="00203FB0">
        <w:rPr>
          <w:rFonts w:ascii="Arial Narrow" w:hAnsi="Arial Narrow"/>
          <w:sz w:val="24"/>
          <w:szCs w:val="24"/>
        </w:rPr>
        <w:t>.</w:t>
      </w:r>
      <w:r w:rsidR="00EF3B57" w:rsidRPr="00203FB0">
        <w:rPr>
          <w:rFonts w:ascii="Arial Narrow" w:hAnsi="Arial Narrow"/>
          <w:sz w:val="24"/>
          <w:szCs w:val="24"/>
        </w:rPr>
        <w:t xml:space="preserve">  </w:t>
      </w:r>
    </w:p>
    <w:p w:rsidR="00726B4F" w:rsidRPr="00203FB0" w:rsidRDefault="00726B4F" w:rsidP="004543A3">
      <w:pPr>
        <w:spacing w:before="0" w:after="0"/>
        <w:ind w:left="720" w:firstLine="0"/>
        <w:rPr>
          <w:rFonts w:ascii="Arial Narrow" w:hAnsi="Arial Narrow"/>
          <w:sz w:val="24"/>
          <w:szCs w:val="24"/>
        </w:rPr>
      </w:pPr>
    </w:p>
    <w:p w:rsidR="00941DCE" w:rsidRPr="00203FB0" w:rsidRDefault="00C97B54" w:rsidP="00664482">
      <w:pPr>
        <w:numPr>
          <w:ilvl w:val="3"/>
          <w:numId w:val="39"/>
        </w:numPr>
        <w:tabs>
          <w:tab w:val="left" w:pos="851"/>
        </w:tabs>
        <w:spacing w:before="0" w:after="0"/>
        <w:ind w:left="851" w:hanging="851"/>
        <w:rPr>
          <w:rFonts w:ascii="Arial Narrow" w:hAnsi="Arial Narrow"/>
          <w:b/>
          <w:sz w:val="24"/>
          <w:szCs w:val="24"/>
        </w:rPr>
      </w:pPr>
      <w:r w:rsidRPr="00203FB0">
        <w:rPr>
          <w:rFonts w:ascii="Arial Narrow" w:hAnsi="Arial Narrow"/>
          <w:b/>
          <w:sz w:val="24"/>
          <w:szCs w:val="24"/>
        </w:rPr>
        <w:t>Methodology</w:t>
      </w:r>
      <w:r w:rsidR="00726B4F" w:rsidRPr="00203FB0">
        <w:rPr>
          <w:rFonts w:ascii="Arial Narrow" w:hAnsi="Arial Narrow"/>
          <w:b/>
          <w:sz w:val="24"/>
          <w:szCs w:val="24"/>
        </w:rPr>
        <w:t xml:space="preserve"> to </w:t>
      </w:r>
      <w:r w:rsidR="00CF1747" w:rsidRPr="00203FB0">
        <w:rPr>
          <w:rFonts w:ascii="Arial Narrow" w:hAnsi="Arial Narrow"/>
          <w:b/>
          <w:sz w:val="24"/>
          <w:szCs w:val="24"/>
        </w:rPr>
        <w:t xml:space="preserve">extrapolate </w:t>
      </w:r>
      <w:r w:rsidR="00726B4F" w:rsidRPr="00203FB0">
        <w:rPr>
          <w:rFonts w:ascii="Arial Narrow" w:hAnsi="Arial Narrow"/>
          <w:b/>
          <w:sz w:val="24"/>
          <w:szCs w:val="24"/>
        </w:rPr>
        <w:t xml:space="preserve">the </w:t>
      </w:r>
      <w:r w:rsidR="00CF1747" w:rsidRPr="00203FB0">
        <w:rPr>
          <w:rFonts w:ascii="Arial Narrow" w:hAnsi="Arial Narrow"/>
          <w:b/>
          <w:sz w:val="24"/>
          <w:szCs w:val="24"/>
        </w:rPr>
        <w:t xml:space="preserve">7 year </w:t>
      </w:r>
      <w:r w:rsidR="00726B4F" w:rsidRPr="00203FB0">
        <w:rPr>
          <w:rFonts w:ascii="Arial Narrow" w:hAnsi="Arial Narrow"/>
          <w:b/>
          <w:sz w:val="24"/>
          <w:szCs w:val="24"/>
        </w:rPr>
        <w:t xml:space="preserve">BBB Bloomberg fair value yield estimate to </w:t>
      </w:r>
      <w:r w:rsidR="00CF1747" w:rsidRPr="00203FB0">
        <w:rPr>
          <w:rFonts w:ascii="Arial Narrow" w:hAnsi="Arial Narrow"/>
          <w:b/>
          <w:sz w:val="24"/>
          <w:szCs w:val="24"/>
        </w:rPr>
        <w:t xml:space="preserve">the </w:t>
      </w:r>
      <w:r w:rsidR="00726B4F" w:rsidRPr="00203FB0">
        <w:rPr>
          <w:rFonts w:ascii="Arial Narrow" w:hAnsi="Arial Narrow"/>
          <w:b/>
          <w:sz w:val="24"/>
          <w:szCs w:val="24"/>
        </w:rPr>
        <w:t xml:space="preserve">10 </w:t>
      </w:r>
      <w:r w:rsidR="00CF1747" w:rsidRPr="00203FB0">
        <w:rPr>
          <w:rFonts w:ascii="Arial Narrow" w:hAnsi="Arial Narrow"/>
          <w:b/>
          <w:sz w:val="24"/>
          <w:szCs w:val="24"/>
        </w:rPr>
        <w:t>year benchmark</w:t>
      </w:r>
    </w:p>
    <w:p w:rsidR="00C97B54" w:rsidRPr="00203FB0" w:rsidRDefault="00C97B54" w:rsidP="004543A3">
      <w:pPr>
        <w:spacing w:before="0" w:after="0"/>
        <w:ind w:left="720" w:firstLine="0"/>
        <w:rPr>
          <w:rFonts w:ascii="Arial Narrow" w:hAnsi="Arial Narrow"/>
          <w:sz w:val="24"/>
          <w:szCs w:val="24"/>
        </w:rPr>
      </w:pPr>
    </w:p>
    <w:p w:rsidR="00CF1747" w:rsidRPr="00203FB0" w:rsidRDefault="00CF1747" w:rsidP="00664482">
      <w:pPr>
        <w:spacing w:before="0" w:after="0"/>
        <w:ind w:firstLine="0"/>
        <w:rPr>
          <w:rFonts w:ascii="Arial Narrow" w:hAnsi="Arial Narrow"/>
          <w:sz w:val="24"/>
          <w:szCs w:val="24"/>
        </w:rPr>
      </w:pPr>
      <w:r w:rsidRPr="00203FB0">
        <w:rPr>
          <w:rFonts w:ascii="Arial Narrow" w:hAnsi="Arial Narrow"/>
          <w:sz w:val="24"/>
          <w:szCs w:val="24"/>
        </w:rPr>
        <w:t xml:space="preserve">Envestra accepts the AERs methodology </w:t>
      </w:r>
      <w:r w:rsidR="00EF3B57" w:rsidRPr="00203FB0">
        <w:rPr>
          <w:rFonts w:ascii="Arial Narrow" w:hAnsi="Arial Narrow"/>
          <w:sz w:val="24"/>
          <w:szCs w:val="24"/>
        </w:rPr>
        <w:t>for extrapolating the Bloomberg 7 year BBB fair value curve to the 10 year benchmark.  That is, the spread on Bloomberg's AAA rated estimates from 7 to 10 years</w:t>
      </w:r>
      <w:r w:rsidR="00C97B54" w:rsidRPr="00203FB0">
        <w:rPr>
          <w:rFonts w:ascii="Arial Narrow" w:hAnsi="Arial Narrow"/>
          <w:sz w:val="24"/>
          <w:szCs w:val="24"/>
        </w:rPr>
        <w:t xml:space="preserve"> </w:t>
      </w:r>
      <w:r w:rsidR="005C6F4D">
        <w:rPr>
          <w:rFonts w:ascii="Arial Narrow" w:hAnsi="Arial Narrow"/>
          <w:sz w:val="24"/>
          <w:szCs w:val="24"/>
        </w:rPr>
        <w:t>(</w:t>
      </w:r>
      <w:r w:rsidR="00EF3B57" w:rsidRPr="00203FB0">
        <w:rPr>
          <w:rFonts w:ascii="Arial Narrow" w:hAnsi="Arial Narrow"/>
          <w:sz w:val="24"/>
          <w:szCs w:val="24"/>
        </w:rPr>
        <w:t>as averaged over the last 20 trading days when these estimates were available</w:t>
      </w:r>
      <w:r w:rsidR="005C6F4D">
        <w:rPr>
          <w:rFonts w:ascii="Arial Narrow" w:hAnsi="Arial Narrow"/>
          <w:sz w:val="24"/>
          <w:szCs w:val="24"/>
        </w:rPr>
        <w:t>)</w:t>
      </w:r>
      <w:r w:rsidR="00EF3B57" w:rsidRPr="00203FB0">
        <w:rPr>
          <w:rFonts w:ascii="Arial Narrow" w:hAnsi="Arial Narrow"/>
          <w:sz w:val="24"/>
          <w:szCs w:val="24"/>
        </w:rPr>
        <w:t xml:space="preserve"> is to be added to the most recent estimates of Bloomberg’s 7 year, BBB rated fair value curve.  </w:t>
      </w:r>
    </w:p>
    <w:p w:rsidR="00CF1747" w:rsidRPr="00203FB0" w:rsidRDefault="00CF1747" w:rsidP="004543A3">
      <w:pPr>
        <w:spacing w:before="0" w:after="0"/>
        <w:ind w:left="720" w:firstLine="0"/>
        <w:rPr>
          <w:rFonts w:ascii="Arial Narrow" w:hAnsi="Arial Narrow"/>
          <w:sz w:val="24"/>
          <w:szCs w:val="24"/>
        </w:rPr>
      </w:pPr>
    </w:p>
    <w:p w:rsidR="00CF1747" w:rsidRPr="00203FB0" w:rsidRDefault="00A15E7C" w:rsidP="00664482">
      <w:pPr>
        <w:numPr>
          <w:ilvl w:val="3"/>
          <w:numId w:val="39"/>
        </w:numPr>
        <w:tabs>
          <w:tab w:val="left" w:pos="851"/>
        </w:tabs>
        <w:spacing w:before="0" w:after="0"/>
        <w:ind w:left="851" w:hanging="851"/>
        <w:rPr>
          <w:rFonts w:ascii="Arial Narrow" w:hAnsi="Arial Narrow"/>
          <w:b/>
          <w:sz w:val="24"/>
          <w:szCs w:val="24"/>
        </w:rPr>
      </w:pPr>
      <w:r w:rsidRPr="00203FB0">
        <w:rPr>
          <w:rFonts w:ascii="Arial Narrow" w:hAnsi="Arial Narrow"/>
          <w:b/>
          <w:sz w:val="24"/>
          <w:szCs w:val="24"/>
        </w:rPr>
        <w:t>Actual Cost of Debt Information</w:t>
      </w:r>
    </w:p>
    <w:p w:rsidR="00C97B54" w:rsidRPr="00203FB0" w:rsidRDefault="00C97B54" w:rsidP="004543A3">
      <w:pPr>
        <w:spacing w:before="0" w:after="0"/>
        <w:ind w:left="720" w:firstLine="0"/>
        <w:rPr>
          <w:rFonts w:ascii="Arial Narrow" w:hAnsi="Arial Narrow"/>
          <w:sz w:val="24"/>
          <w:szCs w:val="24"/>
        </w:rPr>
      </w:pPr>
    </w:p>
    <w:p w:rsidR="00A15E7C" w:rsidRPr="00203FB0" w:rsidRDefault="00A15E7C" w:rsidP="00664482">
      <w:pPr>
        <w:spacing w:before="0" w:after="0"/>
        <w:ind w:firstLine="0"/>
        <w:rPr>
          <w:rFonts w:ascii="Arial Narrow" w:hAnsi="Arial Narrow"/>
          <w:sz w:val="24"/>
          <w:szCs w:val="24"/>
        </w:rPr>
      </w:pPr>
      <w:r w:rsidRPr="00203FB0">
        <w:rPr>
          <w:rFonts w:ascii="Arial Narrow" w:hAnsi="Arial Narrow"/>
          <w:sz w:val="24"/>
          <w:szCs w:val="24"/>
        </w:rPr>
        <w:t xml:space="preserve">Envestra agrees with the AER that </w:t>
      </w:r>
      <w:r w:rsidR="000658A2" w:rsidRPr="00203FB0">
        <w:rPr>
          <w:rFonts w:ascii="Arial Narrow" w:hAnsi="Arial Narrow"/>
          <w:sz w:val="24"/>
          <w:szCs w:val="24"/>
        </w:rPr>
        <w:t xml:space="preserve">a </w:t>
      </w:r>
      <w:r w:rsidRPr="00203FB0">
        <w:rPr>
          <w:rFonts w:ascii="Arial Narrow" w:hAnsi="Arial Narrow"/>
          <w:sz w:val="24"/>
          <w:szCs w:val="24"/>
        </w:rPr>
        <w:t>regulated entities</w:t>
      </w:r>
      <w:r w:rsidR="00C97B54" w:rsidRPr="00203FB0">
        <w:rPr>
          <w:rFonts w:ascii="Arial Narrow" w:hAnsi="Arial Narrow"/>
          <w:sz w:val="24"/>
          <w:szCs w:val="24"/>
        </w:rPr>
        <w:t>’</w:t>
      </w:r>
      <w:r w:rsidRPr="00203FB0">
        <w:rPr>
          <w:rFonts w:ascii="Arial Narrow" w:hAnsi="Arial Narrow"/>
          <w:sz w:val="24"/>
          <w:szCs w:val="24"/>
        </w:rPr>
        <w:t xml:space="preserve"> actual debt financing</w:t>
      </w:r>
      <w:r w:rsidR="008722EA" w:rsidRPr="00203FB0">
        <w:rPr>
          <w:rFonts w:ascii="Arial Narrow" w:hAnsi="Arial Narrow"/>
          <w:sz w:val="24"/>
          <w:szCs w:val="24"/>
        </w:rPr>
        <w:t xml:space="preserve"> costs,</w:t>
      </w:r>
      <w:r w:rsidRPr="00203FB0">
        <w:rPr>
          <w:rFonts w:ascii="Arial Narrow" w:hAnsi="Arial Narrow"/>
          <w:sz w:val="24"/>
          <w:szCs w:val="24"/>
        </w:rPr>
        <w:t xml:space="preserve"> structures and risk management practices are not relevant, and should not be used by the AER in </w:t>
      </w:r>
      <w:r w:rsidR="000658A2" w:rsidRPr="00203FB0">
        <w:rPr>
          <w:rFonts w:ascii="Arial Narrow" w:hAnsi="Arial Narrow"/>
          <w:sz w:val="24"/>
          <w:szCs w:val="24"/>
        </w:rPr>
        <w:t>its</w:t>
      </w:r>
      <w:r w:rsidRPr="00203FB0">
        <w:rPr>
          <w:rFonts w:ascii="Arial Narrow" w:hAnsi="Arial Narrow"/>
          <w:sz w:val="24"/>
          <w:szCs w:val="24"/>
        </w:rPr>
        <w:t xml:space="preserve"> task of determining the </w:t>
      </w:r>
      <w:r w:rsidR="000658A2" w:rsidRPr="00203FB0">
        <w:rPr>
          <w:rFonts w:ascii="Arial Narrow" w:hAnsi="Arial Narrow"/>
          <w:sz w:val="24"/>
          <w:szCs w:val="24"/>
        </w:rPr>
        <w:t xml:space="preserve">benchmark </w:t>
      </w:r>
      <w:r w:rsidRPr="00203FB0">
        <w:rPr>
          <w:rFonts w:ascii="Arial Narrow" w:hAnsi="Arial Narrow"/>
          <w:sz w:val="24"/>
          <w:szCs w:val="24"/>
        </w:rPr>
        <w:t xml:space="preserve">DRP in accordance with the </w:t>
      </w:r>
      <w:r w:rsidR="00C97B54" w:rsidRPr="00203FB0">
        <w:rPr>
          <w:rFonts w:ascii="Arial Narrow" w:hAnsi="Arial Narrow"/>
          <w:sz w:val="24"/>
          <w:szCs w:val="24"/>
        </w:rPr>
        <w:t>NGR</w:t>
      </w:r>
      <w:r w:rsidRPr="00203FB0">
        <w:rPr>
          <w:rFonts w:ascii="Arial Narrow" w:hAnsi="Arial Narrow"/>
          <w:sz w:val="24"/>
          <w:szCs w:val="24"/>
        </w:rPr>
        <w:t xml:space="preserve">.  </w:t>
      </w:r>
    </w:p>
    <w:p w:rsidR="00FC6E1B" w:rsidRPr="00203FB0" w:rsidRDefault="00FC6E1B" w:rsidP="004543A3">
      <w:pPr>
        <w:spacing w:before="0" w:after="0"/>
        <w:ind w:left="720" w:firstLine="0"/>
        <w:rPr>
          <w:rFonts w:ascii="Arial Narrow" w:hAnsi="Arial Narrow"/>
          <w:sz w:val="24"/>
          <w:szCs w:val="24"/>
        </w:rPr>
      </w:pPr>
    </w:p>
    <w:p w:rsidR="00BA659A" w:rsidRPr="00203FB0" w:rsidRDefault="00BA659A" w:rsidP="00664482">
      <w:pPr>
        <w:numPr>
          <w:ilvl w:val="3"/>
          <w:numId w:val="39"/>
        </w:numPr>
        <w:tabs>
          <w:tab w:val="left" w:pos="851"/>
        </w:tabs>
        <w:spacing w:before="0" w:after="0"/>
        <w:ind w:left="851" w:hanging="851"/>
        <w:rPr>
          <w:rFonts w:ascii="Arial Narrow" w:hAnsi="Arial Narrow"/>
          <w:b/>
          <w:sz w:val="24"/>
          <w:szCs w:val="24"/>
        </w:rPr>
      </w:pPr>
      <w:proofErr w:type="spellStart"/>
      <w:r w:rsidRPr="00203FB0">
        <w:rPr>
          <w:rFonts w:ascii="Arial Narrow" w:hAnsi="Arial Narrow"/>
          <w:b/>
          <w:sz w:val="24"/>
          <w:szCs w:val="24"/>
        </w:rPr>
        <w:t>Stockland</w:t>
      </w:r>
      <w:proofErr w:type="spellEnd"/>
      <w:r w:rsidRPr="00203FB0">
        <w:rPr>
          <w:rFonts w:ascii="Arial Narrow" w:hAnsi="Arial Narrow"/>
          <w:b/>
          <w:sz w:val="24"/>
          <w:szCs w:val="24"/>
        </w:rPr>
        <w:t xml:space="preserve"> A- bond </w:t>
      </w:r>
    </w:p>
    <w:p w:rsidR="00C97B54" w:rsidRPr="00203FB0" w:rsidRDefault="00C97B54" w:rsidP="004543A3">
      <w:pPr>
        <w:spacing w:before="0" w:after="0"/>
        <w:ind w:left="720" w:firstLine="0"/>
        <w:rPr>
          <w:rFonts w:ascii="Arial Narrow" w:hAnsi="Arial Narrow"/>
          <w:sz w:val="24"/>
          <w:szCs w:val="24"/>
        </w:rPr>
      </w:pPr>
    </w:p>
    <w:p w:rsidR="00BA659A" w:rsidRPr="00203FB0" w:rsidRDefault="00BA659A" w:rsidP="00664482">
      <w:pPr>
        <w:spacing w:before="0" w:after="0"/>
        <w:ind w:firstLine="0"/>
        <w:rPr>
          <w:rFonts w:ascii="Arial Narrow" w:hAnsi="Arial Narrow"/>
          <w:sz w:val="24"/>
          <w:szCs w:val="24"/>
        </w:rPr>
      </w:pPr>
      <w:proofErr w:type="spellStart"/>
      <w:r w:rsidRPr="00203FB0">
        <w:rPr>
          <w:rFonts w:ascii="Arial Narrow" w:hAnsi="Arial Narrow"/>
          <w:sz w:val="24"/>
          <w:szCs w:val="24"/>
        </w:rPr>
        <w:lastRenderedPageBreak/>
        <w:t>Stockland</w:t>
      </w:r>
      <w:proofErr w:type="spellEnd"/>
      <w:r w:rsidRPr="00203FB0">
        <w:rPr>
          <w:rFonts w:ascii="Arial Narrow" w:hAnsi="Arial Narrow"/>
          <w:sz w:val="24"/>
          <w:szCs w:val="24"/>
        </w:rPr>
        <w:t xml:space="preserve"> is an ASX listed property owner and developer.  It has interests in commercial, residential and retirement living property throughout Australia.  Its operating characteristics and credit rating differ substantially from the benchmark regulated energy distribution business.  The observations made by the AER in relation to the </w:t>
      </w:r>
      <w:proofErr w:type="spellStart"/>
      <w:r w:rsidRPr="00203FB0">
        <w:rPr>
          <w:rFonts w:ascii="Arial Narrow" w:hAnsi="Arial Narrow"/>
          <w:sz w:val="24"/>
          <w:szCs w:val="24"/>
        </w:rPr>
        <w:t>Stockland</w:t>
      </w:r>
      <w:proofErr w:type="spellEnd"/>
      <w:r w:rsidRPr="00203FB0">
        <w:rPr>
          <w:rFonts w:ascii="Arial Narrow" w:hAnsi="Arial Narrow"/>
          <w:sz w:val="24"/>
          <w:szCs w:val="24"/>
        </w:rPr>
        <w:t xml:space="preserve"> A- bond are not relevant in determining the DRP in accordance with the NGR.  </w:t>
      </w:r>
    </w:p>
    <w:p w:rsidR="00BA659A" w:rsidRPr="00203FB0" w:rsidRDefault="00BA659A" w:rsidP="004543A3">
      <w:pPr>
        <w:spacing w:before="0" w:after="0"/>
        <w:ind w:left="720" w:firstLine="0"/>
        <w:rPr>
          <w:rFonts w:ascii="Arial Narrow" w:hAnsi="Arial Narrow"/>
          <w:sz w:val="24"/>
          <w:szCs w:val="24"/>
        </w:rPr>
      </w:pPr>
    </w:p>
    <w:p w:rsidR="008D7D6E" w:rsidRPr="00203FB0" w:rsidRDefault="008D7D6E" w:rsidP="005B79CD">
      <w:pPr>
        <w:numPr>
          <w:ilvl w:val="3"/>
          <w:numId w:val="39"/>
        </w:numPr>
        <w:tabs>
          <w:tab w:val="left" w:pos="851"/>
        </w:tabs>
        <w:spacing w:before="0" w:after="0"/>
        <w:ind w:left="851" w:hanging="851"/>
        <w:rPr>
          <w:rFonts w:ascii="Arial Narrow" w:hAnsi="Arial Narrow"/>
          <w:b/>
          <w:sz w:val="24"/>
          <w:szCs w:val="24"/>
        </w:rPr>
      </w:pPr>
      <w:r w:rsidRPr="00203FB0">
        <w:rPr>
          <w:rFonts w:ascii="Arial Narrow" w:hAnsi="Arial Narrow"/>
          <w:b/>
          <w:sz w:val="24"/>
          <w:szCs w:val="24"/>
        </w:rPr>
        <w:t>Reliance on the APT bond</w:t>
      </w:r>
    </w:p>
    <w:p w:rsidR="00C97B54" w:rsidRPr="00203FB0" w:rsidRDefault="00C97B54" w:rsidP="004543A3">
      <w:pPr>
        <w:spacing w:before="0" w:after="0"/>
        <w:ind w:left="720" w:firstLine="0"/>
        <w:rPr>
          <w:rFonts w:ascii="Arial Narrow" w:hAnsi="Arial Narrow"/>
          <w:sz w:val="24"/>
          <w:szCs w:val="24"/>
        </w:rPr>
      </w:pPr>
    </w:p>
    <w:p w:rsidR="00191978" w:rsidRDefault="008D7D6E" w:rsidP="005B79CD">
      <w:pPr>
        <w:spacing w:before="0" w:after="0"/>
        <w:ind w:firstLine="0"/>
        <w:rPr>
          <w:rFonts w:ascii="Arial Narrow" w:hAnsi="Arial Narrow"/>
          <w:sz w:val="24"/>
          <w:szCs w:val="24"/>
        </w:rPr>
      </w:pPr>
      <w:r w:rsidRPr="00203FB0">
        <w:rPr>
          <w:rFonts w:ascii="Arial Narrow" w:hAnsi="Arial Narrow"/>
          <w:sz w:val="24"/>
          <w:szCs w:val="24"/>
        </w:rPr>
        <w:t xml:space="preserve">Envestra does not agree with the AER using a 50 percent weighting on the APT bond in determining the DRP.  It is unreasonable </w:t>
      </w:r>
      <w:r w:rsidR="008722EA" w:rsidRPr="00203FB0">
        <w:rPr>
          <w:rFonts w:ascii="Arial Narrow" w:hAnsi="Arial Narrow"/>
          <w:sz w:val="24"/>
          <w:szCs w:val="24"/>
        </w:rPr>
        <w:t xml:space="preserve">for the AER </w:t>
      </w:r>
      <w:r w:rsidRPr="00203FB0">
        <w:rPr>
          <w:rFonts w:ascii="Arial Narrow" w:hAnsi="Arial Narrow"/>
          <w:sz w:val="24"/>
          <w:szCs w:val="24"/>
        </w:rPr>
        <w:t>to place such significant weight on a single observation</w:t>
      </w:r>
      <w:r w:rsidR="00AD1C63" w:rsidRPr="00203FB0">
        <w:rPr>
          <w:rFonts w:ascii="Arial Narrow" w:hAnsi="Arial Narrow"/>
          <w:sz w:val="24"/>
          <w:szCs w:val="24"/>
        </w:rPr>
        <w:t xml:space="preserve"> as it infers that the entire RAB and capital expenditure debt funding requirement can be priced at that level</w:t>
      </w:r>
      <w:r w:rsidR="00BD2376" w:rsidRPr="00203FB0">
        <w:rPr>
          <w:rFonts w:ascii="Arial Narrow" w:hAnsi="Arial Narrow"/>
          <w:sz w:val="24"/>
          <w:szCs w:val="24"/>
        </w:rPr>
        <w:t>, which is simply unachievable</w:t>
      </w:r>
      <w:r w:rsidRPr="00203FB0">
        <w:rPr>
          <w:rFonts w:ascii="Arial Narrow" w:hAnsi="Arial Narrow"/>
          <w:sz w:val="24"/>
          <w:szCs w:val="24"/>
        </w:rPr>
        <w:t xml:space="preserve">.  </w:t>
      </w:r>
      <w:r w:rsidR="00191978">
        <w:rPr>
          <w:rFonts w:ascii="Arial Narrow" w:hAnsi="Arial Narrow"/>
          <w:sz w:val="24"/>
          <w:szCs w:val="24"/>
        </w:rPr>
        <w:t xml:space="preserve">CEG comment on this issue in their report titled </w:t>
      </w:r>
      <w:r w:rsidR="00191978" w:rsidRPr="00191978">
        <w:rPr>
          <w:rFonts w:ascii="Arial Narrow" w:hAnsi="Arial Narrow"/>
          <w:i/>
          <w:sz w:val="24"/>
          <w:szCs w:val="24"/>
        </w:rPr>
        <w:t>WACC Estimation</w:t>
      </w:r>
      <w:r w:rsidR="00191978">
        <w:rPr>
          <w:rFonts w:ascii="Arial Narrow" w:hAnsi="Arial Narrow"/>
          <w:sz w:val="24"/>
          <w:szCs w:val="24"/>
        </w:rPr>
        <w:t>:</w:t>
      </w:r>
    </w:p>
    <w:p w:rsidR="00191978" w:rsidRPr="00191978" w:rsidRDefault="00191978" w:rsidP="00191978">
      <w:pPr>
        <w:pStyle w:val="BodyText"/>
        <w:numPr>
          <w:ilvl w:val="0"/>
          <w:numId w:val="0"/>
        </w:numPr>
        <w:ind w:left="720"/>
        <w:rPr>
          <w:rFonts w:ascii="Arial Narrow" w:hAnsi="Arial Narrow"/>
          <w:i/>
          <w:sz w:val="24"/>
          <w:szCs w:val="24"/>
        </w:rPr>
      </w:pPr>
      <w:r w:rsidRPr="00191978">
        <w:rPr>
          <w:rFonts w:ascii="Arial Narrow" w:hAnsi="Arial Narrow"/>
          <w:i/>
          <w:sz w:val="24"/>
          <w:szCs w:val="24"/>
        </w:rPr>
        <w:t>This methodology places extreme weight on bonds issued by two issuers above the guidance provided by the wider population of 105 bonds and 49 issuers.  It relies further upon the exclusion of the relevance of yields on bonds issued by DBCT.  In my opinion, neither basis to the AER’s conclusion can be reasonably sustained, and the best estimate of the debt premium is the Bloomberg BBB fair value curve, extrapolated forward to 10 years</w:t>
      </w:r>
      <w:r w:rsidRPr="00191978">
        <w:rPr>
          <w:rFonts w:ascii="Arial Narrow" w:hAnsi="Arial Narrow"/>
          <w:sz w:val="24"/>
          <w:szCs w:val="24"/>
        </w:rPr>
        <w:t>.(page 2)</w:t>
      </w:r>
    </w:p>
    <w:p w:rsidR="0046031C" w:rsidRPr="00203FB0" w:rsidRDefault="008D7D6E" w:rsidP="005B79CD">
      <w:pPr>
        <w:spacing w:before="0" w:after="0"/>
        <w:ind w:firstLine="0"/>
        <w:rPr>
          <w:rFonts w:ascii="Arial Narrow" w:hAnsi="Arial Narrow"/>
          <w:sz w:val="24"/>
          <w:szCs w:val="24"/>
        </w:rPr>
      </w:pPr>
      <w:r w:rsidRPr="00203FB0">
        <w:rPr>
          <w:rFonts w:ascii="Arial Narrow" w:hAnsi="Arial Narrow"/>
          <w:sz w:val="24"/>
          <w:szCs w:val="24"/>
        </w:rPr>
        <w:t xml:space="preserve">The fact that </w:t>
      </w:r>
      <w:r w:rsidR="008722EA" w:rsidRPr="00203FB0">
        <w:rPr>
          <w:rFonts w:ascii="Arial Narrow" w:hAnsi="Arial Narrow"/>
          <w:sz w:val="24"/>
          <w:szCs w:val="24"/>
        </w:rPr>
        <w:t xml:space="preserve">the tenor and pricing for a BBB </w:t>
      </w:r>
      <w:r w:rsidRPr="00203FB0">
        <w:rPr>
          <w:rFonts w:ascii="Arial Narrow" w:hAnsi="Arial Narrow"/>
          <w:sz w:val="24"/>
          <w:szCs w:val="24"/>
        </w:rPr>
        <w:t xml:space="preserve">energy infrastructure business </w:t>
      </w:r>
      <w:r w:rsidR="008722EA" w:rsidRPr="00203FB0">
        <w:rPr>
          <w:rFonts w:ascii="Arial Narrow" w:hAnsi="Arial Narrow"/>
          <w:sz w:val="24"/>
          <w:szCs w:val="24"/>
        </w:rPr>
        <w:t xml:space="preserve">has not been replicated </w:t>
      </w:r>
      <w:r w:rsidRPr="00203FB0">
        <w:rPr>
          <w:rFonts w:ascii="Arial Narrow" w:hAnsi="Arial Narrow"/>
          <w:sz w:val="24"/>
          <w:szCs w:val="24"/>
        </w:rPr>
        <w:t>in the Australian bond market since the APT</w:t>
      </w:r>
      <w:r w:rsidR="008722EA" w:rsidRPr="00203FB0">
        <w:rPr>
          <w:rFonts w:ascii="Arial Narrow" w:hAnsi="Arial Narrow"/>
          <w:sz w:val="24"/>
          <w:szCs w:val="24"/>
        </w:rPr>
        <w:t xml:space="preserve"> transaction</w:t>
      </w:r>
      <w:r w:rsidRPr="00203FB0">
        <w:rPr>
          <w:rFonts w:ascii="Arial Narrow" w:hAnsi="Arial Narrow"/>
          <w:sz w:val="24"/>
          <w:szCs w:val="24"/>
        </w:rPr>
        <w:t xml:space="preserve"> issue </w:t>
      </w:r>
      <w:r w:rsidR="008722EA" w:rsidRPr="00203FB0">
        <w:rPr>
          <w:rFonts w:ascii="Arial Narrow" w:hAnsi="Arial Narrow"/>
          <w:sz w:val="24"/>
          <w:szCs w:val="24"/>
        </w:rPr>
        <w:t xml:space="preserve">indicates that </w:t>
      </w:r>
      <w:r w:rsidR="0097408A" w:rsidRPr="00203FB0">
        <w:rPr>
          <w:rFonts w:ascii="Arial Narrow" w:hAnsi="Arial Narrow"/>
          <w:sz w:val="24"/>
          <w:szCs w:val="24"/>
        </w:rPr>
        <w:t xml:space="preserve">the yield paid on the APT bond </w:t>
      </w:r>
      <w:r w:rsidR="008722EA" w:rsidRPr="00203FB0">
        <w:rPr>
          <w:rFonts w:ascii="Arial Narrow" w:hAnsi="Arial Narrow"/>
          <w:sz w:val="24"/>
          <w:szCs w:val="24"/>
        </w:rPr>
        <w:t xml:space="preserve">is not representative of market </w:t>
      </w:r>
      <w:r w:rsidR="0097408A" w:rsidRPr="00203FB0">
        <w:rPr>
          <w:rFonts w:ascii="Arial Narrow" w:hAnsi="Arial Narrow"/>
          <w:sz w:val="24"/>
          <w:szCs w:val="24"/>
        </w:rPr>
        <w:t>pricing</w:t>
      </w:r>
      <w:r w:rsidR="008722EA" w:rsidRPr="00203FB0">
        <w:rPr>
          <w:rFonts w:ascii="Arial Narrow" w:hAnsi="Arial Narrow"/>
          <w:sz w:val="24"/>
          <w:szCs w:val="24"/>
        </w:rPr>
        <w:t>.  In support of this observation is</w:t>
      </w:r>
      <w:r w:rsidR="0046031C" w:rsidRPr="00203FB0">
        <w:rPr>
          <w:rFonts w:ascii="Arial Narrow" w:hAnsi="Arial Narrow"/>
          <w:sz w:val="24"/>
          <w:szCs w:val="24"/>
        </w:rPr>
        <w:t>:</w:t>
      </w:r>
    </w:p>
    <w:p w:rsidR="00C97B54" w:rsidRPr="00203FB0" w:rsidRDefault="00C97B54" w:rsidP="004543A3">
      <w:pPr>
        <w:spacing w:before="0" w:after="0"/>
        <w:ind w:left="720" w:firstLine="0"/>
        <w:rPr>
          <w:rFonts w:ascii="Arial Narrow" w:hAnsi="Arial Narrow"/>
          <w:sz w:val="24"/>
          <w:szCs w:val="24"/>
        </w:rPr>
      </w:pPr>
    </w:p>
    <w:p w:rsidR="0097408A" w:rsidRPr="00203FB0" w:rsidRDefault="008722EA" w:rsidP="005B79CD">
      <w:pPr>
        <w:numPr>
          <w:ilvl w:val="0"/>
          <w:numId w:val="41"/>
        </w:numPr>
        <w:tabs>
          <w:tab w:val="left" w:pos="426"/>
        </w:tabs>
        <w:spacing w:before="0" w:after="0"/>
        <w:ind w:left="426" w:hanging="426"/>
        <w:rPr>
          <w:rFonts w:ascii="Arial Narrow" w:hAnsi="Arial Narrow"/>
          <w:sz w:val="24"/>
          <w:szCs w:val="24"/>
        </w:rPr>
      </w:pPr>
      <w:r w:rsidRPr="00203FB0">
        <w:rPr>
          <w:rFonts w:ascii="Arial Narrow" w:hAnsi="Arial Narrow"/>
          <w:sz w:val="24"/>
          <w:szCs w:val="24"/>
        </w:rPr>
        <w:t xml:space="preserve">the AERs </w:t>
      </w:r>
      <w:r w:rsidR="0097408A" w:rsidRPr="00203FB0">
        <w:rPr>
          <w:rFonts w:ascii="Arial Narrow" w:hAnsi="Arial Narrow"/>
          <w:sz w:val="24"/>
          <w:szCs w:val="24"/>
        </w:rPr>
        <w:t xml:space="preserve">Draft Decision analysis where it has been stated that </w:t>
      </w:r>
      <w:r w:rsidR="008D7D6E" w:rsidRPr="00203FB0">
        <w:rPr>
          <w:rFonts w:ascii="Arial Narrow" w:hAnsi="Arial Narrow"/>
          <w:sz w:val="24"/>
          <w:szCs w:val="24"/>
        </w:rPr>
        <w:t xml:space="preserve">the </w:t>
      </w:r>
      <w:proofErr w:type="spellStart"/>
      <w:r w:rsidR="0097408A" w:rsidRPr="00203FB0">
        <w:rPr>
          <w:rFonts w:ascii="Arial Narrow" w:hAnsi="Arial Narrow"/>
          <w:sz w:val="24"/>
          <w:szCs w:val="24"/>
        </w:rPr>
        <w:t>Stockland</w:t>
      </w:r>
      <w:proofErr w:type="spellEnd"/>
      <w:r w:rsidR="0097408A" w:rsidRPr="00203FB0">
        <w:rPr>
          <w:rFonts w:ascii="Arial Narrow" w:hAnsi="Arial Narrow"/>
          <w:sz w:val="24"/>
          <w:szCs w:val="24"/>
        </w:rPr>
        <w:t xml:space="preserve"> A- rated</w:t>
      </w:r>
      <w:r w:rsidR="008D7D6E" w:rsidRPr="00203FB0">
        <w:rPr>
          <w:rFonts w:ascii="Arial Narrow" w:hAnsi="Arial Narrow"/>
          <w:sz w:val="24"/>
          <w:szCs w:val="24"/>
        </w:rPr>
        <w:t xml:space="preserve"> 10 year bond displays yields that are close to the APT bond yield</w:t>
      </w:r>
      <w:r w:rsidR="0097408A" w:rsidRPr="00203FB0">
        <w:rPr>
          <w:rFonts w:ascii="Arial Narrow" w:hAnsi="Arial Narrow"/>
          <w:sz w:val="24"/>
          <w:szCs w:val="24"/>
        </w:rPr>
        <w:t>, which</w:t>
      </w:r>
      <w:r w:rsidR="008D7D6E" w:rsidRPr="00203FB0">
        <w:rPr>
          <w:rFonts w:ascii="Arial Narrow" w:hAnsi="Arial Narrow"/>
          <w:sz w:val="24"/>
          <w:szCs w:val="24"/>
        </w:rPr>
        <w:t xml:space="preserve"> indicate</w:t>
      </w:r>
      <w:r w:rsidR="0097408A" w:rsidRPr="00203FB0">
        <w:rPr>
          <w:rFonts w:ascii="Arial Narrow" w:hAnsi="Arial Narrow"/>
          <w:sz w:val="24"/>
          <w:szCs w:val="24"/>
        </w:rPr>
        <w:t>s</w:t>
      </w:r>
      <w:r w:rsidR="008D7D6E" w:rsidRPr="00203FB0">
        <w:rPr>
          <w:rFonts w:ascii="Arial Narrow" w:hAnsi="Arial Narrow"/>
          <w:sz w:val="24"/>
          <w:szCs w:val="24"/>
        </w:rPr>
        <w:t xml:space="preserve"> that the APT </w:t>
      </w:r>
      <w:r w:rsidR="00836329" w:rsidRPr="00203FB0">
        <w:rPr>
          <w:rFonts w:ascii="Arial Narrow" w:hAnsi="Arial Narrow"/>
          <w:sz w:val="24"/>
          <w:szCs w:val="24"/>
        </w:rPr>
        <w:t xml:space="preserve">bond has been </w:t>
      </w:r>
      <w:proofErr w:type="spellStart"/>
      <w:r w:rsidR="00836329" w:rsidRPr="00203FB0">
        <w:rPr>
          <w:rFonts w:ascii="Arial Narrow" w:hAnsi="Arial Narrow"/>
          <w:sz w:val="24"/>
          <w:szCs w:val="24"/>
        </w:rPr>
        <w:t>m</w:t>
      </w:r>
      <w:r w:rsidR="008D7D6E" w:rsidRPr="00203FB0">
        <w:rPr>
          <w:rFonts w:ascii="Arial Narrow" w:hAnsi="Arial Narrow"/>
          <w:sz w:val="24"/>
          <w:szCs w:val="24"/>
        </w:rPr>
        <w:t>is</w:t>
      </w:r>
      <w:proofErr w:type="spellEnd"/>
      <w:r w:rsidR="00836329" w:rsidRPr="00203FB0">
        <w:rPr>
          <w:rFonts w:ascii="Arial Narrow" w:hAnsi="Arial Narrow"/>
          <w:sz w:val="24"/>
          <w:szCs w:val="24"/>
        </w:rPr>
        <w:t>-priced</w:t>
      </w:r>
      <w:r w:rsidR="008D7D6E" w:rsidRPr="00203FB0">
        <w:rPr>
          <w:rFonts w:ascii="Arial Narrow" w:hAnsi="Arial Narrow"/>
          <w:sz w:val="24"/>
          <w:szCs w:val="24"/>
          <w:vertAlign w:val="superscript"/>
        </w:rPr>
        <w:footnoteReference w:id="2"/>
      </w:r>
      <w:r w:rsidR="00836329" w:rsidRPr="00203FB0">
        <w:rPr>
          <w:rFonts w:ascii="Arial Narrow" w:hAnsi="Arial Narrow"/>
          <w:sz w:val="24"/>
          <w:szCs w:val="24"/>
        </w:rPr>
        <w:t xml:space="preserve">; </w:t>
      </w:r>
    </w:p>
    <w:p w:rsidR="0046031C" w:rsidRPr="00203FB0" w:rsidRDefault="0046031C" w:rsidP="005B79CD">
      <w:pPr>
        <w:numPr>
          <w:ilvl w:val="0"/>
          <w:numId w:val="41"/>
        </w:numPr>
        <w:tabs>
          <w:tab w:val="left" w:pos="426"/>
        </w:tabs>
        <w:spacing w:before="0" w:after="0"/>
        <w:ind w:left="426" w:hanging="426"/>
        <w:rPr>
          <w:rFonts w:ascii="Arial Narrow" w:hAnsi="Arial Narrow"/>
          <w:sz w:val="24"/>
          <w:szCs w:val="24"/>
        </w:rPr>
      </w:pPr>
      <w:r w:rsidRPr="00203FB0">
        <w:rPr>
          <w:rFonts w:ascii="Arial Narrow" w:hAnsi="Arial Narrow"/>
          <w:sz w:val="24"/>
          <w:szCs w:val="24"/>
        </w:rPr>
        <w:t xml:space="preserve">CEGs analysis that shows </w:t>
      </w:r>
      <w:r w:rsidR="00FF791D" w:rsidRPr="00203FB0">
        <w:rPr>
          <w:rFonts w:ascii="Arial Narrow" w:hAnsi="Arial Narrow"/>
          <w:sz w:val="24"/>
          <w:szCs w:val="24"/>
        </w:rPr>
        <w:t xml:space="preserve">75% of the bonds </w:t>
      </w:r>
      <w:r w:rsidRPr="00203FB0">
        <w:rPr>
          <w:rFonts w:ascii="Arial Narrow" w:hAnsi="Arial Narrow"/>
          <w:sz w:val="24"/>
          <w:szCs w:val="24"/>
        </w:rPr>
        <w:t xml:space="preserve">with greater than 5 years to maturity </w:t>
      </w:r>
      <w:r w:rsidR="00FF791D" w:rsidRPr="00203FB0">
        <w:rPr>
          <w:rFonts w:ascii="Arial Narrow" w:hAnsi="Arial Narrow"/>
          <w:sz w:val="24"/>
          <w:szCs w:val="24"/>
        </w:rPr>
        <w:t xml:space="preserve">have a higher spread to CGS than </w:t>
      </w:r>
      <w:r w:rsidRPr="00203FB0">
        <w:rPr>
          <w:rFonts w:ascii="Arial Narrow" w:hAnsi="Arial Narrow"/>
          <w:sz w:val="24"/>
          <w:szCs w:val="24"/>
        </w:rPr>
        <w:t xml:space="preserve">the </w:t>
      </w:r>
      <w:r w:rsidR="00FF791D" w:rsidRPr="00203FB0">
        <w:rPr>
          <w:rFonts w:ascii="Arial Narrow" w:hAnsi="Arial Narrow"/>
          <w:sz w:val="24"/>
          <w:szCs w:val="24"/>
        </w:rPr>
        <w:t>AP</w:t>
      </w:r>
      <w:r w:rsidRPr="00203FB0">
        <w:rPr>
          <w:rFonts w:ascii="Arial Narrow" w:hAnsi="Arial Narrow"/>
          <w:sz w:val="24"/>
          <w:szCs w:val="24"/>
        </w:rPr>
        <w:t>T bond;</w:t>
      </w:r>
      <w:r w:rsidR="00C97B54" w:rsidRPr="00203FB0">
        <w:rPr>
          <w:rFonts w:ascii="Arial Narrow" w:hAnsi="Arial Narrow"/>
          <w:sz w:val="24"/>
          <w:szCs w:val="24"/>
        </w:rPr>
        <w:t xml:space="preserve"> and</w:t>
      </w:r>
    </w:p>
    <w:p w:rsidR="0046031C" w:rsidRPr="00203FB0" w:rsidRDefault="0046031C" w:rsidP="005B79CD">
      <w:pPr>
        <w:numPr>
          <w:ilvl w:val="0"/>
          <w:numId w:val="41"/>
        </w:numPr>
        <w:tabs>
          <w:tab w:val="left" w:pos="426"/>
        </w:tabs>
        <w:spacing w:before="0" w:after="0"/>
        <w:ind w:left="426" w:hanging="426"/>
        <w:rPr>
          <w:rFonts w:ascii="Arial Narrow" w:hAnsi="Arial Narrow"/>
          <w:sz w:val="24"/>
          <w:szCs w:val="24"/>
        </w:rPr>
      </w:pPr>
      <w:r w:rsidRPr="00203FB0">
        <w:rPr>
          <w:rFonts w:ascii="Arial Narrow" w:hAnsi="Arial Narrow"/>
          <w:sz w:val="24"/>
          <w:szCs w:val="24"/>
        </w:rPr>
        <w:t>CEGs view is that the Bloomberg fair value curve is a better fit to the data than the AP</w:t>
      </w:r>
      <w:r w:rsidR="00C97B54" w:rsidRPr="00203FB0">
        <w:rPr>
          <w:rFonts w:ascii="Arial Narrow" w:hAnsi="Arial Narrow"/>
          <w:sz w:val="24"/>
          <w:szCs w:val="24"/>
        </w:rPr>
        <w:t>T</w:t>
      </w:r>
      <w:r w:rsidRPr="00203FB0">
        <w:rPr>
          <w:rFonts w:ascii="Arial Narrow" w:hAnsi="Arial Narrow"/>
          <w:sz w:val="24"/>
          <w:szCs w:val="24"/>
        </w:rPr>
        <w:t xml:space="preserve"> fair value curve for infrastructure issuers with ratings of between BBB and A-</w:t>
      </w:r>
      <w:r w:rsidR="00C97B54" w:rsidRPr="00203FB0">
        <w:rPr>
          <w:rFonts w:ascii="Arial Narrow" w:hAnsi="Arial Narrow"/>
          <w:sz w:val="24"/>
          <w:szCs w:val="24"/>
        </w:rPr>
        <w:t xml:space="preserve">. </w:t>
      </w:r>
    </w:p>
    <w:p w:rsidR="00836329" w:rsidRPr="00203FB0" w:rsidRDefault="00836329" w:rsidP="004543A3">
      <w:pPr>
        <w:spacing w:before="0" w:after="0"/>
        <w:ind w:left="709" w:firstLine="11"/>
        <w:rPr>
          <w:rFonts w:ascii="Arial Narrow" w:hAnsi="Arial Narrow"/>
          <w:sz w:val="24"/>
          <w:szCs w:val="24"/>
        </w:rPr>
      </w:pPr>
    </w:p>
    <w:p w:rsidR="00FF791D" w:rsidRPr="00203FB0" w:rsidRDefault="00836329" w:rsidP="005B79CD">
      <w:pPr>
        <w:spacing w:before="0" w:after="0"/>
        <w:ind w:firstLine="0"/>
        <w:rPr>
          <w:rFonts w:ascii="Arial Narrow" w:hAnsi="Arial Narrow"/>
          <w:sz w:val="24"/>
          <w:szCs w:val="24"/>
        </w:rPr>
      </w:pPr>
      <w:r w:rsidRPr="00203FB0">
        <w:rPr>
          <w:rFonts w:ascii="Arial Narrow" w:hAnsi="Arial Narrow"/>
          <w:sz w:val="24"/>
          <w:szCs w:val="24"/>
        </w:rPr>
        <w:t xml:space="preserve">The AERs </w:t>
      </w:r>
      <w:r w:rsidR="00C6447F" w:rsidRPr="00203FB0">
        <w:rPr>
          <w:rFonts w:ascii="Arial Narrow" w:hAnsi="Arial Narrow"/>
          <w:sz w:val="24"/>
          <w:szCs w:val="24"/>
        </w:rPr>
        <w:t xml:space="preserve">low reliance, or </w:t>
      </w:r>
      <w:r w:rsidRPr="00203FB0">
        <w:rPr>
          <w:rFonts w:ascii="Arial Narrow" w:hAnsi="Arial Narrow"/>
          <w:sz w:val="24"/>
          <w:szCs w:val="24"/>
        </w:rPr>
        <w:t>e</w:t>
      </w:r>
      <w:r w:rsidR="008D7D6E" w:rsidRPr="00203FB0">
        <w:rPr>
          <w:rFonts w:ascii="Arial Narrow" w:hAnsi="Arial Narrow"/>
          <w:sz w:val="24"/>
          <w:szCs w:val="24"/>
        </w:rPr>
        <w:t>xclusion</w:t>
      </w:r>
      <w:r w:rsidR="00C6447F" w:rsidRPr="00203FB0">
        <w:rPr>
          <w:rFonts w:ascii="Arial Narrow" w:hAnsi="Arial Narrow"/>
          <w:sz w:val="24"/>
          <w:szCs w:val="24"/>
        </w:rPr>
        <w:t>,</w:t>
      </w:r>
      <w:r w:rsidR="008D7D6E" w:rsidRPr="00203FB0">
        <w:rPr>
          <w:rFonts w:ascii="Arial Narrow" w:hAnsi="Arial Narrow"/>
          <w:sz w:val="24"/>
          <w:szCs w:val="24"/>
        </w:rPr>
        <w:t xml:space="preserve"> of the DBCT 10 year BBB+ rated infrastructure bond </w:t>
      </w:r>
      <w:r w:rsidRPr="00203FB0">
        <w:rPr>
          <w:rFonts w:ascii="Arial Narrow" w:hAnsi="Arial Narrow"/>
          <w:sz w:val="24"/>
          <w:szCs w:val="24"/>
        </w:rPr>
        <w:t xml:space="preserve">from its </w:t>
      </w:r>
      <w:r w:rsidR="008D7D6E" w:rsidRPr="00203FB0">
        <w:rPr>
          <w:rFonts w:ascii="Arial Narrow" w:hAnsi="Arial Narrow"/>
          <w:sz w:val="24"/>
          <w:szCs w:val="24"/>
        </w:rPr>
        <w:t xml:space="preserve">DRP weighting process </w:t>
      </w:r>
      <w:r w:rsidR="00C6447F" w:rsidRPr="00203FB0">
        <w:rPr>
          <w:rFonts w:ascii="Arial Narrow" w:hAnsi="Arial Narrow"/>
          <w:sz w:val="24"/>
          <w:szCs w:val="24"/>
        </w:rPr>
        <w:t>is not well justified</w:t>
      </w:r>
      <w:r w:rsidR="00C6447F" w:rsidRPr="00203FB0">
        <w:rPr>
          <w:rStyle w:val="FootnoteReference"/>
          <w:rFonts w:ascii="Arial Narrow" w:hAnsi="Arial Narrow"/>
          <w:sz w:val="24"/>
          <w:szCs w:val="24"/>
        </w:rPr>
        <w:footnoteReference w:id="3"/>
      </w:r>
      <w:r w:rsidR="00C6447F" w:rsidRPr="00203FB0">
        <w:rPr>
          <w:rFonts w:ascii="Arial Narrow" w:hAnsi="Arial Narrow"/>
          <w:sz w:val="24"/>
          <w:szCs w:val="24"/>
        </w:rPr>
        <w:t xml:space="preserve"> and </w:t>
      </w:r>
      <w:r w:rsidR="008D7D6E" w:rsidRPr="00203FB0">
        <w:rPr>
          <w:rFonts w:ascii="Arial Narrow" w:hAnsi="Arial Narrow"/>
          <w:sz w:val="24"/>
          <w:szCs w:val="24"/>
        </w:rPr>
        <w:t xml:space="preserve">increases the subjectivity and potential bias in the DRP.  </w:t>
      </w:r>
      <w:r w:rsidR="00330039" w:rsidRPr="00203FB0">
        <w:rPr>
          <w:rFonts w:ascii="Arial Narrow" w:hAnsi="Arial Narrow"/>
          <w:sz w:val="24"/>
          <w:szCs w:val="24"/>
        </w:rPr>
        <w:t xml:space="preserve">In removing bonds from the sample </w:t>
      </w:r>
      <w:r w:rsidR="000D609B" w:rsidRPr="00203FB0">
        <w:rPr>
          <w:rFonts w:ascii="Arial Narrow" w:hAnsi="Arial Narrow"/>
          <w:sz w:val="24"/>
          <w:szCs w:val="24"/>
        </w:rPr>
        <w:t>that the</w:t>
      </w:r>
      <w:r w:rsidR="00330039" w:rsidRPr="00203FB0">
        <w:rPr>
          <w:rFonts w:ascii="Arial Narrow" w:hAnsi="Arial Narrow"/>
          <w:sz w:val="24"/>
          <w:szCs w:val="24"/>
        </w:rPr>
        <w:t xml:space="preserve"> AER perceives to be </w:t>
      </w:r>
      <w:r w:rsidR="000D609B" w:rsidRPr="00203FB0">
        <w:rPr>
          <w:rFonts w:ascii="Arial Narrow" w:hAnsi="Arial Narrow"/>
          <w:sz w:val="24"/>
          <w:szCs w:val="24"/>
        </w:rPr>
        <w:t>trading with</w:t>
      </w:r>
      <w:r w:rsidR="00330039" w:rsidRPr="00203FB0">
        <w:rPr>
          <w:rFonts w:ascii="Arial Narrow" w:hAnsi="Arial Narrow"/>
          <w:sz w:val="24"/>
          <w:szCs w:val="24"/>
        </w:rPr>
        <w:t xml:space="preserve"> high default risk</w:t>
      </w:r>
      <w:r w:rsidR="000D609B" w:rsidRPr="00203FB0">
        <w:rPr>
          <w:rStyle w:val="FootnoteReference"/>
          <w:rFonts w:ascii="Arial Narrow" w:hAnsi="Arial Narrow"/>
          <w:sz w:val="24"/>
          <w:szCs w:val="24"/>
        </w:rPr>
        <w:footnoteReference w:id="4"/>
      </w:r>
      <w:r w:rsidR="00330039" w:rsidRPr="00203FB0">
        <w:rPr>
          <w:rFonts w:ascii="Arial Narrow" w:hAnsi="Arial Narrow"/>
          <w:sz w:val="24"/>
          <w:szCs w:val="24"/>
        </w:rPr>
        <w:t xml:space="preserve">, such as the DCBT bond, then the AER is artificially downwardly biasing its estimate of the DRP.  Corporate bond defaults do occur and must be compensated for in the DRP.  </w:t>
      </w:r>
      <w:r w:rsidRPr="00203FB0">
        <w:rPr>
          <w:rFonts w:ascii="Arial Narrow" w:hAnsi="Arial Narrow"/>
          <w:sz w:val="24"/>
          <w:szCs w:val="24"/>
        </w:rPr>
        <w:t>If reliance is placed on the APT bond then equal weight must be applied to the DCBT bond for the purposes</w:t>
      </w:r>
      <w:r w:rsidR="00C6447F" w:rsidRPr="00203FB0">
        <w:rPr>
          <w:rFonts w:ascii="Arial Narrow" w:hAnsi="Arial Narrow"/>
          <w:sz w:val="24"/>
          <w:szCs w:val="24"/>
        </w:rPr>
        <w:t xml:space="preserve"> o</w:t>
      </w:r>
      <w:r w:rsidRPr="00203FB0">
        <w:rPr>
          <w:rFonts w:ascii="Arial Narrow" w:hAnsi="Arial Narrow"/>
          <w:sz w:val="24"/>
          <w:szCs w:val="24"/>
        </w:rPr>
        <w:t xml:space="preserve">f determining the DRP.  </w:t>
      </w:r>
    </w:p>
    <w:p w:rsidR="00FF791D" w:rsidRDefault="00FF791D" w:rsidP="005B79CD">
      <w:pPr>
        <w:spacing w:before="0" w:after="0"/>
        <w:ind w:firstLine="0"/>
        <w:rPr>
          <w:rFonts w:ascii="Arial Narrow" w:hAnsi="Arial Narrow"/>
          <w:sz w:val="24"/>
          <w:szCs w:val="24"/>
        </w:rPr>
      </w:pPr>
    </w:p>
    <w:p w:rsidR="008D7D6E" w:rsidRPr="00203FB0" w:rsidRDefault="00F6078E" w:rsidP="005B79CD">
      <w:pPr>
        <w:spacing w:before="0" w:after="0"/>
        <w:ind w:firstLine="0"/>
        <w:rPr>
          <w:rFonts w:ascii="Arial Narrow" w:hAnsi="Arial Narrow"/>
          <w:sz w:val="24"/>
          <w:szCs w:val="24"/>
        </w:rPr>
      </w:pPr>
      <w:r w:rsidRPr="00203FB0">
        <w:rPr>
          <w:rFonts w:ascii="Arial Narrow" w:hAnsi="Arial Narrow"/>
          <w:sz w:val="24"/>
          <w:szCs w:val="24"/>
        </w:rPr>
        <w:t xml:space="preserve">For the purposes of </w:t>
      </w:r>
      <w:r w:rsidR="0076798D" w:rsidRPr="00203FB0">
        <w:rPr>
          <w:rFonts w:ascii="Arial Narrow" w:hAnsi="Arial Narrow"/>
          <w:sz w:val="24"/>
          <w:szCs w:val="24"/>
        </w:rPr>
        <w:t>setting</w:t>
      </w:r>
      <w:r w:rsidRPr="00203FB0">
        <w:rPr>
          <w:rFonts w:ascii="Arial Narrow" w:hAnsi="Arial Narrow"/>
          <w:sz w:val="24"/>
          <w:szCs w:val="24"/>
        </w:rPr>
        <w:t xml:space="preserve"> the DRP in the Final Decision Envestra is of the view that it is appropriate to apply zero weight to the APT bond yield</w:t>
      </w:r>
      <w:r w:rsidR="00AD1C63" w:rsidRPr="00203FB0">
        <w:rPr>
          <w:rStyle w:val="FootnoteReference"/>
          <w:rFonts w:ascii="Arial Narrow" w:hAnsi="Arial Narrow"/>
          <w:sz w:val="24"/>
          <w:szCs w:val="24"/>
        </w:rPr>
        <w:footnoteReference w:id="5"/>
      </w:r>
      <w:r w:rsidRPr="00203FB0">
        <w:rPr>
          <w:rFonts w:ascii="Arial Narrow" w:hAnsi="Arial Narrow"/>
          <w:sz w:val="24"/>
          <w:szCs w:val="24"/>
        </w:rPr>
        <w:t xml:space="preserve">.  </w:t>
      </w:r>
    </w:p>
    <w:p w:rsidR="008D7D6E" w:rsidRPr="00203FB0" w:rsidRDefault="008D7D6E" w:rsidP="004543A3">
      <w:pPr>
        <w:spacing w:before="0" w:after="0"/>
        <w:ind w:left="720" w:firstLine="0"/>
        <w:rPr>
          <w:rFonts w:ascii="Arial Narrow" w:hAnsi="Arial Narrow"/>
          <w:sz w:val="24"/>
          <w:szCs w:val="24"/>
        </w:rPr>
      </w:pPr>
    </w:p>
    <w:p w:rsidR="00114C79" w:rsidRPr="00203FB0" w:rsidRDefault="00114C79" w:rsidP="005B79CD">
      <w:pPr>
        <w:numPr>
          <w:ilvl w:val="3"/>
          <w:numId w:val="39"/>
        </w:numPr>
        <w:tabs>
          <w:tab w:val="left" w:pos="851"/>
        </w:tabs>
        <w:spacing w:before="0" w:after="0"/>
        <w:ind w:left="851" w:hanging="851"/>
        <w:rPr>
          <w:rFonts w:ascii="Arial Narrow" w:hAnsi="Arial Narrow"/>
          <w:b/>
          <w:sz w:val="24"/>
          <w:szCs w:val="24"/>
        </w:rPr>
      </w:pPr>
      <w:r w:rsidRPr="00203FB0">
        <w:rPr>
          <w:rFonts w:ascii="Arial Narrow" w:hAnsi="Arial Narrow"/>
          <w:b/>
          <w:sz w:val="24"/>
          <w:szCs w:val="24"/>
        </w:rPr>
        <w:t xml:space="preserve">Bloomberg Fair Value Purportedly Counter-Intuitive </w:t>
      </w:r>
    </w:p>
    <w:p w:rsidR="00C97B54" w:rsidRPr="00203FB0" w:rsidRDefault="00C97B54" w:rsidP="004543A3">
      <w:pPr>
        <w:spacing w:before="0" w:after="0"/>
        <w:ind w:left="720" w:firstLine="0"/>
        <w:rPr>
          <w:rFonts w:ascii="Arial Narrow" w:hAnsi="Arial Narrow"/>
          <w:sz w:val="24"/>
          <w:szCs w:val="24"/>
        </w:rPr>
      </w:pPr>
    </w:p>
    <w:p w:rsidR="00114C79" w:rsidRPr="00203FB0" w:rsidRDefault="00114C79" w:rsidP="00167F85">
      <w:pPr>
        <w:spacing w:before="0" w:after="0"/>
        <w:ind w:firstLine="0"/>
        <w:rPr>
          <w:rFonts w:ascii="Arial Narrow" w:hAnsi="Arial Narrow"/>
          <w:sz w:val="24"/>
          <w:szCs w:val="24"/>
        </w:rPr>
      </w:pPr>
      <w:r w:rsidRPr="00203FB0">
        <w:rPr>
          <w:rFonts w:ascii="Arial Narrow" w:hAnsi="Arial Narrow"/>
          <w:sz w:val="24"/>
          <w:szCs w:val="24"/>
        </w:rPr>
        <w:t>The AER ha</w:t>
      </w:r>
      <w:r w:rsidR="00C97B54" w:rsidRPr="00203FB0">
        <w:rPr>
          <w:rFonts w:ascii="Arial Narrow" w:hAnsi="Arial Narrow"/>
          <w:sz w:val="24"/>
          <w:szCs w:val="24"/>
        </w:rPr>
        <w:t>s</w:t>
      </w:r>
      <w:r w:rsidRPr="00203FB0">
        <w:rPr>
          <w:rFonts w:ascii="Arial Narrow" w:hAnsi="Arial Narrow"/>
          <w:sz w:val="24"/>
          <w:szCs w:val="24"/>
        </w:rPr>
        <w:t xml:space="preserve"> the view that the Bloomberg fair value curve is somewhat counter intuitive, including the extrapolated 10 year DRP derived from Bloomberg currently being at an all time high.  </w:t>
      </w:r>
      <w:r w:rsidR="008A7707" w:rsidRPr="00203FB0">
        <w:rPr>
          <w:rFonts w:ascii="Arial Narrow" w:hAnsi="Arial Narrow"/>
          <w:sz w:val="24"/>
          <w:szCs w:val="24"/>
        </w:rPr>
        <w:t>Since the onset of the GFC there have been a number of changes in investor</w:t>
      </w:r>
      <w:r w:rsidR="00C97B54" w:rsidRPr="00203FB0">
        <w:rPr>
          <w:rFonts w:ascii="Arial Narrow" w:hAnsi="Arial Narrow"/>
          <w:sz w:val="24"/>
          <w:szCs w:val="24"/>
        </w:rPr>
        <w:t>’</w:t>
      </w:r>
      <w:r w:rsidR="008A7707" w:rsidRPr="00203FB0">
        <w:rPr>
          <w:rFonts w:ascii="Arial Narrow" w:hAnsi="Arial Narrow"/>
          <w:sz w:val="24"/>
          <w:szCs w:val="24"/>
        </w:rPr>
        <w:t>s views about the appropriate level of compensation for risk, regulatory</w:t>
      </w:r>
      <w:r w:rsidR="00AC17B7" w:rsidRPr="00203FB0">
        <w:rPr>
          <w:rFonts w:ascii="Arial Narrow" w:hAnsi="Arial Narrow"/>
          <w:sz w:val="24"/>
          <w:szCs w:val="24"/>
        </w:rPr>
        <w:t xml:space="preserve"> changes </w:t>
      </w:r>
      <w:r w:rsidR="008A7707" w:rsidRPr="00203FB0">
        <w:rPr>
          <w:rFonts w:ascii="Arial Narrow" w:hAnsi="Arial Narrow"/>
          <w:sz w:val="24"/>
          <w:szCs w:val="24"/>
        </w:rPr>
        <w:t>that have and/or will increase the cost of capital (e.g. Basel III) and the supply and demand for capital</w:t>
      </w:r>
      <w:r w:rsidR="00AC17B7" w:rsidRPr="00203FB0">
        <w:rPr>
          <w:rFonts w:ascii="Arial Narrow" w:hAnsi="Arial Narrow"/>
          <w:sz w:val="24"/>
          <w:szCs w:val="24"/>
        </w:rPr>
        <w:t xml:space="preserve">.  All of these factors will increase the cost of capital into the future.  These issues are discussed in depth in the McKinsey Global Institute publication </w:t>
      </w:r>
      <w:r w:rsidR="00AC17B7" w:rsidRPr="00203FB0">
        <w:rPr>
          <w:rFonts w:ascii="Arial Narrow" w:hAnsi="Arial Narrow"/>
          <w:i/>
          <w:sz w:val="24"/>
          <w:szCs w:val="24"/>
        </w:rPr>
        <w:t>Farewell to cheap capital?  The implications of long-term shifts in global investment and saving</w:t>
      </w:r>
      <w:r w:rsidR="00AC17B7" w:rsidRPr="00203FB0">
        <w:rPr>
          <w:rFonts w:ascii="Arial Narrow" w:hAnsi="Arial Narrow"/>
          <w:sz w:val="24"/>
          <w:szCs w:val="24"/>
        </w:rPr>
        <w:t>, December 2010.</w:t>
      </w:r>
      <w:r w:rsidR="008A7707" w:rsidRPr="00203FB0">
        <w:rPr>
          <w:rFonts w:ascii="Arial Narrow" w:hAnsi="Arial Narrow"/>
          <w:sz w:val="24"/>
          <w:szCs w:val="24"/>
        </w:rPr>
        <w:t xml:space="preserve"> </w:t>
      </w:r>
      <w:r w:rsidR="00AC17B7" w:rsidRPr="00203FB0">
        <w:rPr>
          <w:rFonts w:ascii="Arial Narrow" w:hAnsi="Arial Narrow"/>
          <w:sz w:val="24"/>
          <w:szCs w:val="24"/>
        </w:rPr>
        <w:t xml:space="preserve"> </w:t>
      </w:r>
      <w:r w:rsidRPr="00203FB0">
        <w:rPr>
          <w:rFonts w:ascii="Arial Narrow" w:hAnsi="Arial Narrow" w:cs="Arial Narrow"/>
          <w:sz w:val="24"/>
          <w:szCs w:val="24"/>
          <w:lang w:eastAsia="en-AU"/>
        </w:rPr>
        <w:t>Bond investors take a forward looking view about risks and required rates of return</w:t>
      </w:r>
      <w:r w:rsidR="00AC17B7" w:rsidRPr="00203FB0">
        <w:rPr>
          <w:rFonts w:ascii="Arial Narrow" w:hAnsi="Arial Narrow" w:cs="Arial Narrow"/>
          <w:sz w:val="24"/>
          <w:szCs w:val="24"/>
          <w:lang w:eastAsia="en-AU"/>
        </w:rPr>
        <w:t xml:space="preserve"> and these appear to have been reflected in the Bloomberg fair value yield curves, which do not seem counter-intuitive at all.</w:t>
      </w:r>
    </w:p>
    <w:p w:rsidR="00114C79" w:rsidRPr="00203FB0" w:rsidRDefault="00114C79" w:rsidP="004543A3">
      <w:pPr>
        <w:spacing w:before="0" w:after="0"/>
        <w:ind w:left="720" w:firstLine="0"/>
        <w:rPr>
          <w:rFonts w:ascii="Arial Narrow" w:hAnsi="Arial Narrow"/>
          <w:sz w:val="24"/>
          <w:szCs w:val="24"/>
        </w:rPr>
      </w:pPr>
    </w:p>
    <w:p w:rsidR="00CF1747" w:rsidRPr="00203FB0" w:rsidRDefault="00A218B9" w:rsidP="009C6A21">
      <w:pPr>
        <w:numPr>
          <w:ilvl w:val="3"/>
          <w:numId w:val="39"/>
        </w:numPr>
        <w:tabs>
          <w:tab w:val="left" w:pos="851"/>
        </w:tabs>
        <w:spacing w:before="0" w:after="0"/>
        <w:ind w:left="851" w:hanging="851"/>
        <w:rPr>
          <w:rFonts w:ascii="Arial Narrow" w:hAnsi="Arial Narrow"/>
          <w:b/>
          <w:sz w:val="24"/>
          <w:szCs w:val="24"/>
        </w:rPr>
      </w:pPr>
      <w:r w:rsidRPr="00203FB0">
        <w:rPr>
          <w:rFonts w:ascii="Arial Narrow" w:hAnsi="Arial Narrow"/>
          <w:b/>
          <w:sz w:val="24"/>
          <w:szCs w:val="24"/>
        </w:rPr>
        <w:t xml:space="preserve">Reliance on Bloomberg Fair Value </w:t>
      </w:r>
    </w:p>
    <w:p w:rsidR="00C97B54" w:rsidRPr="00203FB0" w:rsidRDefault="00C97B54" w:rsidP="004543A3">
      <w:pPr>
        <w:spacing w:before="0" w:after="0"/>
        <w:ind w:left="720" w:firstLine="0"/>
        <w:rPr>
          <w:rFonts w:ascii="Arial Narrow" w:hAnsi="Arial Narrow" w:cs="Arial Narrow"/>
          <w:sz w:val="24"/>
          <w:szCs w:val="24"/>
          <w:lang w:eastAsia="en-AU"/>
        </w:rPr>
      </w:pPr>
    </w:p>
    <w:p w:rsidR="00B34871" w:rsidRPr="00203FB0" w:rsidRDefault="00114C79" w:rsidP="009C6A21">
      <w:pPr>
        <w:spacing w:before="0" w:after="0"/>
        <w:ind w:firstLine="0"/>
        <w:rPr>
          <w:rFonts w:ascii="Arial Narrow" w:hAnsi="Arial Narrow" w:cs="Arial Narrow"/>
          <w:sz w:val="24"/>
          <w:szCs w:val="24"/>
          <w:lang w:eastAsia="en-AU"/>
        </w:rPr>
      </w:pPr>
      <w:r w:rsidRPr="00203FB0">
        <w:rPr>
          <w:rFonts w:ascii="Arial Narrow" w:hAnsi="Arial Narrow" w:cs="Arial Narrow"/>
          <w:sz w:val="24"/>
          <w:szCs w:val="24"/>
          <w:lang w:eastAsia="en-AU"/>
        </w:rPr>
        <w:t xml:space="preserve">Bloomberg provides </w:t>
      </w:r>
      <w:r w:rsidR="00B34871" w:rsidRPr="00203FB0">
        <w:rPr>
          <w:rFonts w:ascii="Arial Narrow" w:hAnsi="Arial Narrow" w:cs="Arial Narrow"/>
          <w:sz w:val="24"/>
          <w:szCs w:val="24"/>
          <w:lang w:eastAsia="en-AU"/>
        </w:rPr>
        <w:t xml:space="preserve">independent and </w:t>
      </w:r>
      <w:r w:rsidRPr="00203FB0">
        <w:rPr>
          <w:rFonts w:ascii="Arial Narrow" w:hAnsi="Arial Narrow" w:cs="Arial Narrow"/>
          <w:sz w:val="24"/>
          <w:szCs w:val="24"/>
          <w:lang w:eastAsia="en-AU"/>
        </w:rPr>
        <w:t xml:space="preserve">‘fair value’ estimates of the yields on various corporate bonds.  </w:t>
      </w:r>
      <w:r w:rsidR="0076798D" w:rsidRPr="00203FB0">
        <w:rPr>
          <w:rFonts w:ascii="Arial Narrow" w:hAnsi="Arial Narrow" w:cs="Arial Narrow"/>
          <w:sz w:val="24"/>
          <w:szCs w:val="24"/>
          <w:lang w:eastAsia="en-AU"/>
        </w:rPr>
        <w:t xml:space="preserve">These yield/cost of debt estimates are not the lowest, or the highest, cost of debt attainable.  But rather these are estimates of what it would cost to issue, and/or trade, a corporate bond with sufficient volume, liquidity and marketability in the domestic market place at the stated credit rating level.  </w:t>
      </w:r>
      <w:r w:rsidR="00AD1C63" w:rsidRPr="00203FB0">
        <w:rPr>
          <w:rFonts w:ascii="Arial Narrow" w:hAnsi="Arial Narrow" w:cs="Arial Narrow"/>
          <w:sz w:val="24"/>
          <w:szCs w:val="24"/>
          <w:lang w:eastAsia="en-AU"/>
        </w:rPr>
        <w:t xml:space="preserve">  The AER’s view that placing sole reliance on Bloomberg estimates would result on a rate of return that is excessive is based on an incorrect finding that the Bloomberg estimates do not reflect prevailing conditions and that financial market conditions have “substantially improved” since the GFC.</w:t>
      </w:r>
      <w:r w:rsidR="00AD1C63" w:rsidRPr="00203FB0">
        <w:rPr>
          <w:rStyle w:val="FootnoteReference"/>
          <w:rFonts w:ascii="Arial Narrow" w:hAnsi="Arial Narrow" w:cs="Arial Narrow"/>
          <w:sz w:val="24"/>
          <w:szCs w:val="24"/>
          <w:lang w:eastAsia="en-AU"/>
        </w:rPr>
        <w:footnoteReference w:id="6"/>
      </w:r>
    </w:p>
    <w:p w:rsidR="00B34871" w:rsidRPr="00203FB0" w:rsidRDefault="00B34871" w:rsidP="009C6A21">
      <w:pPr>
        <w:spacing w:before="0" w:after="0"/>
        <w:ind w:firstLine="0"/>
        <w:rPr>
          <w:rFonts w:ascii="Arial Narrow" w:hAnsi="Arial Narrow" w:cs="Arial Narrow"/>
          <w:sz w:val="24"/>
          <w:szCs w:val="24"/>
          <w:lang w:eastAsia="en-AU"/>
        </w:rPr>
      </w:pPr>
    </w:p>
    <w:p w:rsidR="00B34871" w:rsidRPr="00203FB0" w:rsidRDefault="00AD1C63" w:rsidP="009C6A21">
      <w:pPr>
        <w:spacing w:before="0" w:after="0"/>
        <w:ind w:firstLine="0"/>
        <w:rPr>
          <w:rFonts w:ascii="Arial Narrow" w:hAnsi="Arial Narrow" w:cs="Arial Narrow"/>
          <w:sz w:val="24"/>
          <w:szCs w:val="24"/>
        </w:rPr>
      </w:pPr>
      <w:r w:rsidRPr="00203FB0">
        <w:rPr>
          <w:rFonts w:ascii="Arial Narrow" w:hAnsi="Arial Narrow" w:cs="Arial Narrow"/>
          <w:sz w:val="24"/>
          <w:szCs w:val="24"/>
          <w:lang w:eastAsia="en-AU"/>
        </w:rPr>
        <w:t xml:space="preserve">For the reasons set out above, </w:t>
      </w:r>
      <w:r w:rsidR="0076798D" w:rsidRPr="00203FB0">
        <w:rPr>
          <w:rFonts w:ascii="Arial Narrow" w:hAnsi="Arial Narrow" w:cs="Arial Narrow"/>
          <w:sz w:val="24"/>
          <w:szCs w:val="24"/>
          <w:lang w:eastAsia="en-AU"/>
        </w:rPr>
        <w:t xml:space="preserve">Envestra’s view is that Bloomberg provides </w:t>
      </w:r>
      <w:r w:rsidR="00B34871" w:rsidRPr="00203FB0">
        <w:rPr>
          <w:rFonts w:ascii="Arial Narrow" w:hAnsi="Arial Narrow" w:cs="Arial Narrow"/>
          <w:sz w:val="24"/>
          <w:szCs w:val="24"/>
          <w:lang w:eastAsia="en-AU"/>
        </w:rPr>
        <w:t xml:space="preserve">independent and </w:t>
      </w:r>
      <w:r w:rsidR="0076798D" w:rsidRPr="00203FB0">
        <w:rPr>
          <w:rFonts w:ascii="Arial Narrow" w:hAnsi="Arial Narrow" w:cs="Arial Narrow"/>
          <w:sz w:val="24"/>
          <w:szCs w:val="24"/>
          <w:lang w:eastAsia="en-AU"/>
        </w:rPr>
        <w:t xml:space="preserve">‘fair value’ yield estimates </w:t>
      </w:r>
      <w:r w:rsidR="00B34871" w:rsidRPr="00203FB0">
        <w:rPr>
          <w:rFonts w:ascii="Arial Narrow" w:hAnsi="Arial Narrow" w:cs="Arial Narrow"/>
          <w:sz w:val="24"/>
          <w:szCs w:val="24"/>
          <w:lang w:eastAsia="en-AU"/>
        </w:rPr>
        <w:t xml:space="preserve">and </w:t>
      </w:r>
      <w:r w:rsidRPr="00203FB0">
        <w:rPr>
          <w:rFonts w:ascii="Arial Narrow" w:hAnsi="Arial Narrow" w:cs="Arial Narrow"/>
          <w:sz w:val="24"/>
          <w:szCs w:val="24"/>
          <w:lang w:eastAsia="en-AU"/>
        </w:rPr>
        <w:t xml:space="preserve">they </w:t>
      </w:r>
      <w:r w:rsidR="0076798D" w:rsidRPr="00203FB0">
        <w:rPr>
          <w:rFonts w:ascii="Arial Narrow" w:hAnsi="Arial Narrow" w:cs="Arial Narrow"/>
          <w:sz w:val="24"/>
          <w:szCs w:val="24"/>
          <w:lang w:eastAsia="en-AU"/>
        </w:rPr>
        <w:t xml:space="preserve">are </w:t>
      </w:r>
      <w:r w:rsidR="00B34871" w:rsidRPr="00203FB0">
        <w:rPr>
          <w:rFonts w:ascii="Arial Narrow" w:hAnsi="Arial Narrow" w:cs="Arial Narrow"/>
          <w:sz w:val="24"/>
          <w:szCs w:val="24"/>
          <w:lang w:eastAsia="en-AU"/>
        </w:rPr>
        <w:t xml:space="preserve">an </w:t>
      </w:r>
      <w:r w:rsidR="0076798D" w:rsidRPr="00203FB0">
        <w:rPr>
          <w:rFonts w:ascii="Arial Narrow" w:hAnsi="Arial Narrow" w:cs="Arial Narrow"/>
          <w:sz w:val="24"/>
          <w:szCs w:val="24"/>
          <w:lang w:eastAsia="en-AU"/>
        </w:rPr>
        <w:t xml:space="preserve">appropriate basis for determining the benchmark cost of debt and DRP in accordance with </w:t>
      </w:r>
      <w:r w:rsidR="0076798D" w:rsidRPr="00203FB0">
        <w:rPr>
          <w:rFonts w:ascii="Arial Narrow" w:hAnsi="Arial Narrow" w:cs="Arial Narrow"/>
          <w:sz w:val="24"/>
          <w:szCs w:val="24"/>
        </w:rPr>
        <w:t xml:space="preserve">the requirements of the NGR and NGL.  </w:t>
      </w:r>
      <w:r w:rsidR="00B34871" w:rsidRPr="00203FB0">
        <w:rPr>
          <w:rFonts w:ascii="Arial Narrow" w:hAnsi="Arial Narrow" w:cs="Arial Narrow"/>
          <w:sz w:val="24"/>
          <w:szCs w:val="24"/>
        </w:rPr>
        <w:t xml:space="preserve">This is particularly the case given concerns over the relevance of the APT bond issuance for setting the DRP. </w:t>
      </w:r>
    </w:p>
    <w:p w:rsidR="00B34871" w:rsidRPr="00203FB0" w:rsidRDefault="00B34871" w:rsidP="009C6A21">
      <w:pPr>
        <w:spacing w:before="0" w:after="0"/>
        <w:ind w:firstLine="0"/>
        <w:rPr>
          <w:rFonts w:ascii="Arial Narrow" w:hAnsi="Arial Narrow" w:cs="Arial Narrow"/>
          <w:sz w:val="24"/>
          <w:szCs w:val="24"/>
        </w:rPr>
      </w:pPr>
    </w:p>
    <w:p w:rsidR="00BA659A" w:rsidRPr="00203FB0" w:rsidRDefault="00147718" w:rsidP="009C6A21">
      <w:pPr>
        <w:spacing w:before="0" w:after="0"/>
        <w:ind w:firstLine="0"/>
        <w:rPr>
          <w:rFonts w:ascii="Arial Narrow" w:hAnsi="Arial Narrow"/>
          <w:sz w:val="24"/>
          <w:szCs w:val="24"/>
        </w:rPr>
      </w:pPr>
      <w:r w:rsidRPr="00203FB0">
        <w:rPr>
          <w:rFonts w:ascii="Arial Narrow" w:hAnsi="Arial Narrow" w:cs="Arial Narrow"/>
          <w:sz w:val="24"/>
          <w:szCs w:val="24"/>
        </w:rPr>
        <w:t>Therefore</w:t>
      </w:r>
      <w:r w:rsidR="001F6090" w:rsidRPr="00203FB0">
        <w:rPr>
          <w:rFonts w:ascii="Arial Narrow" w:hAnsi="Arial Narrow"/>
          <w:sz w:val="24"/>
          <w:szCs w:val="24"/>
        </w:rPr>
        <w:t xml:space="preserve">, using the nominated 10 day risk free rate averaging period ending 10 March 2011, </w:t>
      </w:r>
      <w:r w:rsidR="00BA659A" w:rsidRPr="00203FB0">
        <w:rPr>
          <w:rFonts w:ascii="Arial Narrow" w:hAnsi="Arial Narrow"/>
          <w:sz w:val="24"/>
          <w:szCs w:val="24"/>
        </w:rPr>
        <w:t xml:space="preserve">the DRP </w:t>
      </w:r>
      <w:r w:rsidR="001F6090" w:rsidRPr="00203FB0">
        <w:rPr>
          <w:rFonts w:ascii="Arial Narrow" w:hAnsi="Arial Narrow"/>
          <w:sz w:val="24"/>
          <w:szCs w:val="24"/>
        </w:rPr>
        <w:t xml:space="preserve">to be used in Envestra’s </w:t>
      </w:r>
      <w:r w:rsidR="00BA659A" w:rsidRPr="00203FB0">
        <w:rPr>
          <w:rFonts w:ascii="Arial Narrow" w:hAnsi="Arial Narrow"/>
          <w:sz w:val="24"/>
          <w:szCs w:val="24"/>
        </w:rPr>
        <w:t xml:space="preserve">in the Final Decision </w:t>
      </w:r>
      <w:r w:rsidR="001F6090" w:rsidRPr="00203FB0">
        <w:rPr>
          <w:rFonts w:ascii="Arial Narrow" w:hAnsi="Arial Narrow"/>
          <w:sz w:val="24"/>
          <w:szCs w:val="24"/>
        </w:rPr>
        <w:t xml:space="preserve">is 4.67%.  </w:t>
      </w:r>
      <w:r w:rsidR="00D67D6C" w:rsidRPr="00203FB0">
        <w:rPr>
          <w:rFonts w:ascii="Arial Narrow" w:hAnsi="Arial Narrow"/>
          <w:sz w:val="24"/>
          <w:szCs w:val="24"/>
        </w:rPr>
        <w:t>Details of the calculations are set out below:</w:t>
      </w:r>
    </w:p>
    <w:p w:rsidR="00D67D6C" w:rsidRPr="00203FB0" w:rsidRDefault="00D67D6C" w:rsidP="004543A3">
      <w:pPr>
        <w:spacing w:before="0" w:after="0"/>
        <w:ind w:left="720" w:firstLine="0"/>
        <w:rPr>
          <w:rFonts w:ascii="Arial Narrow" w:hAnsi="Arial Narrow"/>
          <w:sz w:val="24"/>
          <w:szCs w:val="24"/>
        </w:rPr>
      </w:pPr>
    </w:p>
    <w:tbl>
      <w:tblPr>
        <w:tblW w:w="0" w:type="auto"/>
        <w:tblBorders>
          <w:top w:val="single" w:sz="6" w:space="0" w:color="548DD4"/>
          <w:left w:val="single" w:sz="6" w:space="0" w:color="548DD4"/>
          <w:bottom w:val="single" w:sz="6" w:space="0" w:color="548DD4"/>
          <w:right w:val="single" w:sz="6" w:space="0" w:color="548DD4"/>
          <w:insideH w:val="single" w:sz="6" w:space="0" w:color="548DD4"/>
          <w:insideV w:val="single" w:sz="6" w:space="0" w:color="548DD4"/>
        </w:tblBorders>
        <w:tblLayout w:type="fixed"/>
        <w:tblCellMar>
          <w:left w:w="30" w:type="dxa"/>
          <w:right w:w="30" w:type="dxa"/>
        </w:tblCellMar>
        <w:tblLook w:val="0000"/>
      </w:tblPr>
      <w:tblGrid>
        <w:gridCol w:w="1745"/>
        <w:gridCol w:w="2551"/>
        <w:gridCol w:w="2551"/>
        <w:gridCol w:w="1974"/>
      </w:tblGrid>
      <w:tr w:rsidR="00C80F00" w:rsidRPr="004A01BA" w:rsidTr="00A301F6">
        <w:trPr>
          <w:trHeight w:val="826"/>
        </w:trPr>
        <w:tc>
          <w:tcPr>
            <w:tcW w:w="1745" w:type="dxa"/>
            <w:shd w:val="clear" w:color="auto" w:fill="548DD4"/>
          </w:tcPr>
          <w:p w:rsidR="00C80F00" w:rsidRPr="004A01BA" w:rsidRDefault="00C80F00" w:rsidP="004A01BA">
            <w:pPr>
              <w:autoSpaceDE w:val="0"/>
              <w:autoSpaceDN w:val="0"/>
              <w:adjustRightInd w:val="0"/>
              <w:spacing w:before="60" w:after="60"/>
              <w:ind w:firstLine="0"/>
              <w:jc w:val="center"/>
              <w:rPr>
                <w:rFonts w:ascii="Arial Narrow" w:hAnsi="Arial Narrow" w:cs="Arial Narrow"/>
                <w:b/>
                <w:bCs/>
                <w:color w:val="FFFFFF"/>
                <w:sz w:val="24"/>
                <w:szCs w:val="24"/>
                <w:lang w:eastAsia="en-AU"/>
              </w:rPr>
            </w:pPr>
            <w:r w:rsidRPr="004A01BA">
              <w:rPr>
                <w:rFonts w:ascii="Arial Narrow" w:hAnsi="Arial Narrow" w:cs="Arial Narrow"/>
                <w:b/>
                <w:bCs/>
                <w:color w:val="FFFFFF"/>
                <w:sz w:val="24"/>
                <w:szCs w:val="24"/>
                <w:lang w:eastAsia="en-AU"/>
              </w:rPr>
              <w:t>Date</w:t>
            </w:r>
          </w:p>
        </w:tc>
        <w:tc>
          <w:tcPr>
            <w:tcW w:w="2551" w:type="dxa"/>
            <w:shd w:val="clear" w:color="auto" w:fill="548DD4"/>
          </w:tcPr>
          <w:p w:rsidR="003340BB" w:rsidRPr="004A01BA" w:rsidRDefault="00C80F00" w:rsidP="004A01BA">
            <w:pPr>
              <w:autoSpaceDE w:val="0"/>
              <w:autoSpaceDN w:val="0"/>
              <w:adjustRightInd w:val="0"/>
              <w:spacing w:before="60" w:after="60"/>
              <w:ind w:firstLine="0"/>
              <w:jc w:val="center"/>
              <w:rPr>
                <w:rFonts w:ascii="Arial Narrow" w:hAnsi="Arial Narrow" w:cs="Arial Narrow"/>
                <w:b/>
                <w:bCs/>
                <w:color w:val="FFFFFF"/>
                <w:sz w:val="24"/>
                <w:szCs w:val="24"/>
                <w:lang w:eastAsia="en-AU"/>
              </w:rPr>
            </w:pPr>
            <w:r w:rsidRPr="004A01BA">
              <w:rPr>
                <w:rFonts w:ascii="Arial Narrow" w:hAnsi="Arial Narrow" w:cs="Arial Narrow"/>
                <w:b/>
                <w:bCs/>
                <w:color w:val="FFFFFF"/>
                <w:sz w:val="24"/>
                <w:szCs w:val="24"/>
                <w:lang w:eastAsia="en-AU"/>
              </w:rPr>
              <w:t>Risk free Rate</w:t>
            </w:r>
          </w:p>
          <w:p w:rsidR="00C80F00" w:rsidRPr="004A01BA" w:rsidRDefault="00C80F00" w:rsidP="004A01BA">
            <w:pPr>
              <w:autoSpaceDE w:val="0"/>
              <w:autoSpaceDN w:val="0"/>
              <w:adjustRightInd w:val="0"/>
              <w:spacing w:before="60" w:after="60"/>
              <w:ind w:firstLine="0"/>
              <w:jc w:val="center"/>
              <w:rPr>
                <w:rFonts w:ascii="Arial Narrow" w:hAnsi="Arial Narrow" w:cs="Arial Narrow"/>
                <w:b/>
                <w:bCs/>
                <w:color w:val="FFFFFF"/>
                <w:sz w:val="24"/>
                <w:szCs w:val="24"/>
                <w:lang w:eastAsia="en-AU"/>
              </w:rPr>
            </w:pPr>
            <w:r w:rsidRPr="004A01BA">
              <w:rPr>
                <w:rFonts w:ascii="Arial Narrow" w:hAnsi="Arial Narrow" w:cs="Arial Narrow"/>
                <w:b/>
                <w:bCs/>
                <w:color w:val="FFFFFF"/>
                <w:sz w:val="24"/>
                <w:szCs w:val="24"/>
                <w:lang w:eastAsia="en-AU"/>
              </w:rPr>
              <w:t xml:space="preserve">(10 Year CGS annualised yield) </w:t>
            </w:r>
          </w:p>
        </w:tc>
        <w:tc>
          <w:tcPr>
            <w:tcW w:w="2551" w:type="dxa"/>
            <w:shd w:val="clear" w:color="auto" w:fill="548DD4"/>
          </w:tcPr>
          <w:p w:rsidR="00C80F00" w:rsidRPr="004A01BA" w:rsidRDefault="00C80F00" w:rsidP="004A01BA">
            <w:pPr>
              <w:autoSpaceDE w:val="0"/>
              <w:autoSpaceDN w:val="0"/>
              <w:adjustRightInd w:val="0"/>
              <w:spacing w:before="60" w:after="60"/>
              <w:ind w:firstLine="0"/>
              <w:jc w:val="center"/>
              <w:rPr>
                <w:rFonts w:ascii="Arial Narrow" w:hAnsi="Arial Narrow" w:cs="Arial Narrow"/>
                <w:b/>
                <w:bCs/>
                <w:color w:val="FFFFFF"/>
                <w:sz w:val="24"/>
                <w:szCs w:val="24"/>
                <w:lang w:eastAsia="en-AU"/>
              </w:rPr>
            </w:pPr>
            <w:r w:rsidRPr="004A01BA">
              <w:rPr>
                <w:rFonts w:ascii="Arial Narrow" w:hAnsi="Arial Narrow" w:cs="Arial Narrow"/>
                <w:b/>
                <w:bCs/>
                <w:color w:val="FFFFFF"/>
                <w:sz w:val="24"/>
                <w:szCs w:val="24"/>
                <w:lang w:eastAsia="en-AU"/>
              </w:rPr>
              <w:t xml:space="preserve">Bloomberg BBB 10 Year fair value yield (annualised) </w:t>
            </w:r>
          </w:p>
        </w:tc>
        <w:tc>
          <w:tcPr>
            <w:tcW w:w="1974" w:type="dxa"/>
            <w:shd w:val="clear" w:color="auto" w:fill="548DD4"/>
          </w:tcPr>
          <w:p w:rsidR="00C80F00" w:rsidRPr="004A01BA" w:rsidRDefault="00C80F00" w:rsidP="004A01BA">
            <w:pPr>
              <w:autoSpaceDE w:val="0"/>
              <w:autoSpaceDN w:val="0"/>
              <w:adjustRightInd w:val="0"/>
              <w:spacing w:before="60" w:after="60"/>
              <w:ind w:firstLine="0"/>
              <w:jc w:val="center"/>
              <w:rPr>
                <w:rFonts w:ascii="Arial Narrow" w:hAnsi="Arial Narrow" w:cs="Arial Narrow"/>
                <w:b/>
                <w:bCs/>
                <w:color w:val="FFFFFF"/>
                <w:sz w:val="24"/>
                <w:szCs w:val="24"/>
                <w:lang w:eastAsia="en-AU"/>
              </w:rPr>
            </w:pPr>
            <w:r w:rsidRPr="004A01BA">
              <w:rPr>
                <w:rFonts w:ascii="Arial Narrow" w:hAnsi="Arial Narrow" w:cs="Arial Narrow"/>
                <w:b/>
                <w:bCs/>
                <w:color w:val="FFFFFF"/>
                <w:sz w:val="24"/>
                <w:szCs w:val="24"/>
                <w:lang w:eastAsia="en-AU"/>
              </w:rPr>
              <w:t>Debt Risk Premium</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25-February-2011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5.60%</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10.29 %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4.69 %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28-February-2011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5.56%</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10.24 %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4.68 %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01-March-2011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5.59%</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10.27 %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4.68 %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02-March-2011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5.55%</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10.22 %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4.67 %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03-March-2011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5.60%</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10.30 %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4.71 %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04-March-2011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5.65%</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10.30 %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4.65 %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07-March-2011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5.59%</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10.24 %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4.65 %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08-March-2011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5.62%</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10.27 %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4.65 %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lastRenderedPageBreak/>
              <w:t>09-March-2011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5.63%</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10.28 %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4.65 %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10-March-2011</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5.57%</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10.22 %</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color w:val="000000"/>
                <w:sz w:val="24"/>
                <w:szCs w:val="24"/>
                <w:lang w:eastAsia="en-AU"/>
              </w:rPr>
            </w:pPr>
            <w:r w:rsidRPr="00203FB0">
              <w:rPr>
                <w:rFonts w:ascii="Arial Narrow" w:hAnsi="Arial Narrow" w:cs="Arial Narrow"/>
                <w:color w:val="000000"/>
                <w:sz w:val="24"/>
                <w:szCs w:val="24"/>
                <w:lang w:eastAsia="en-AU"/>
              </w:rPr>
              <w:t>4.65 %</w:t>
            </w:r>
          </w:p>
        </w:tc>
      </w:tr>
      <w:tr w:rsidR="00C80F00" w:rsidRPr="00203FB0" w:rsidTr="00A301F6">
        <w:trPr>
          <w:trHeight w:val="348"/>
        </w:trPr>
        <w:tc>
          <w:tcPr>
            <w:tcW w:w="1745"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b/>
                <w:bCs/>
                <w:color w:val="000000"/>
                <w:sz w:val="24"/>
                <w:szCs w:val="24"/>
                <w:lang w:eastAsia="en-AU"/>
              </w:rPr>
            </w:pPr>
            <w:r w:rsidRPr="00203FB0">
              <w:rPr>
                <w:rFonts w:ascii="Arial Narrow" w:hAnsi="Arial Narrow" w:cs="Arial Narrow"/>
                <w:b/>
                <w:bCs/>
                <w:color w:val="000000"/>
                <w:sz w:val="24"/>
                <w:szCs w:val="24"/>
                <w:lang w:eastAsia="en-AU"/>
              </w:rPr>
              <w:t>10 Day Average</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b/>
                <w:bCs/>
                <w:color w:val="000000"/>
                <w:sz w:val="24"/>
                <w:szCs w:val="24"/>
                <w:lang w:eastAsia="en-AU"/>
              </w:rPr>
            </w:pPr>
            <w:r w:rsidRPr="00203FB0">
              <w:rPr>
                <w:rFonts w:ascii="Arial Narrow" w:hAnsi="Arial Narrow" w:cs="Arial Narrow"/>
                <w:b/>
                <w:bCs/>
                <w:color w:val="000000"/>
                <w:sz w:val="24"/>
                <w:szCs w:val="24"/>
                <w:lang w:eastAsia="en-AU"/>
              </w:rPr>
              <w:t>5.60%</w:t>
            </w:r>
          </w:p>
        </w:tc>
        <w:tc>
          <w:tcPr>
            <w:tcW w:w="2551"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b/>
                <w:bCs/>
                <w:color w:val="000000"/>
                <w:sz w:val="24"/>
                <w:szCs w:val="24"/>
                <w:lang w:eastAsia="en-AU"/>
              </w:rPr>
            </w:pPr>
            <w:r w:rsidRPr="00203FB0">
              <w:rPr>
                <w:rFonts w:ascii="Arial Narrow" w:hAnsi="Arial Narrow" w:cs="Arial Narrow"/>
                <w:b/>
                <w:bCs/>
                <w:color w:val="000000"/>
                <w:sz w:val="24"/>
                <w:szCs w:val="24"/>
                <w:lang w:eastAsia="en-AU"/>
              </w:rPr>
              <w:t>10.27%</w:t>
            </w:r>
          </w:p>
        </w:tc>
        <w:tc>
          <w:tcPr>
            <w:tcW w:w="1974" w:type="dxa"/>
            <w:vAlign w:val="center"/>
          </w:tcPr>
          <w:p w:rsidR="00C80F00" w:rsidRPr="00203FB0" w:rsidRDefault="00C80F00" w:rsidP="004A01BA">
            <w:pPr>
              <w:autoSpaceDE w:val="0"/>
              <w:autoSpaceDN w:val="0"/>
              <w:adjustRightInd w:val="0"/>
              <w:spacing w:before="60" w:after="60"/>
              <w:ind w:firstLine="0"/>
              <w:jc w:val="center"/>
              <w:rPr>
                <w:rFonts w:ascii="Arial Narrow" w:hAnsi="Arial Narrow" w:cs="Arial Narrow"/>
                <w:b/>
                <w:bCs/>
                <w:color w:val="000000"/>
                <w:sz w:val="24"/>
                <w:szCs w:val="24"/>
                <w:lang w:eastAsia="en-AU"/>
              </w:rPr>
            </w:pPr>
            <w:r w:rsidRPr="00203FB0">
              <w:rPr>
                <w:rFonts w:ascii="Arial Narrow" w:hAnsi="Arial Narrow" w:cs="Arial Narrow"/>
                <w:b/>
                <w:bCs/>
                <w:color w:val="000000"/>
                <w:sz w:val="24"/>
                <w:szCs w:val="24"/>
                <w:lang w:eastAsia="en-AU"/>
              </w:rPr>
              <w:t>4.67%</w:t>
            </w:r>
          </w:p>
        </w:tc>
      </w:tr>
    </w:tbl>
    <w:p w:rsidR="00D67D6C" w:rsidRPr="00203FB0" w:rsidRDefault="00D67D6C" w:rsidP="004543A3">
      <w:pPr>
        <w:spacing w:before="0" w:after="0"/>
        <w:ind w:left="720" w:firstLine="0"/>
        <w:rPr>
          <w:rFonts w:ascii="Arial Narrow" w:hAnsi="Arial Narrow"/>
          <w:sz w:val="24"/>
          <w:szCs w:val="24"/>
        </w:rPr>
      </w:pPr>
    </w:p>
    <w:p w:rsidR="00D67D6C" w:rsidRPr="00203FB0" w:rsidRDefault="00D67D6C" w:rsidP="004543A3">
      <w:pPr>
        <w:spacing w:before="0" w:after="0"/>
        <w:ind w:left="720" w:firstLine="0"/>
        <w:rPr>
          <w:rFonts w:ascii="Arial Narrow" w:hAnsi="Arial Narrow"/>
          <w:sz w:val="24"/>
          <w:szCs w:val="24"/>
        </w:rPr>
      </w:pPr>
    </w:p>
    <w:sectPr w:rsidR="00D67D6C" w:rsidRPr="00203FB0" w:rsidSect="004A01BA">
      <w:headerReference w:type="even" r:id="rId8"/>
      <w:pgSz w:w="11906" w:h="16838"/>
      <w:pgMar w:top="1134" w:right="1418"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404" w:rsidRDefault="00EC6404" w:rsidP="00484ABD">
      <w:pPr>
        <w:spacing w:before="0" w:after="0"/>
      </w:pPr>
      <w:r>
        <w:separator/>
      </w:r>
    </w:p>
  </w:endnote>
  <w:endnote w:type="continuationSeparator" w:id="0">
    <w:p w:rsidR="00EC6404" w:rsidRDefault="00EC6404" w:rsidP="00484AB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404" w:rsidRDefault="00EC6404" w:rsidP="00484ABD">
      <w:pPr>
        <w:spacing w:before="0" w:after="0"/>
      </w:pPr>
      <w:r>
        <w:separator/>
      </w:r>
    </w:p>
  </w:footnote>
  <w:footnote w:type="continuationSeparator" w:id="0">
    <w:p w:rsidR="00EC6404" w:rsidRDefault="00EC6404" w:rsidP="00484ABD">
      <w:pPr>
        <w:spacing w:before="0" w:after="0"/>
      </w:pPr>
      <w:r>
        <w:continuationSeparator/>
      </w:r>
    </w:p>
  </w:footnote>
  <w:footnote w:id="1">
    <w:p w:rsidR="002853D1" w:rsidRPr="000D0210" w:rsidRDefault="002853D1" w:rsidP="000D0210">
      <w:pPr>
        <w:pStyle w:val="FootnoteText"/>
        <w:tabs>
          <w:tab w:val="left" w:pos="284"/>
        </w:tabs>
        <w:spacing w:before="0" w:after="0"/>
        <w:ind w:left="284" w:hanging="284"/>
        <w:rPr>
          <w:rFonts w:ascii="Arial Narrow" w:hAnsi="Arial Narrow"/>
        </w:rPr>
      </w:pPr>
      <w:r w:rsidRPr="000D0210">
        <w:rPr>
          <w:rStyle w:val="FootnoteReference"/>
          <w:rFonts w:ascii="Arial Narrow" w:hAnsi="Arial Narrow"/>
        </w:rPr>
        <w:footnoteRef/>
      </w:r>
      <w:r w:rsidR="000D0210">
        <w:rPr>
          <w:rFonts w:ascii="Arial Narrow" w:hAnsi="Arial Narrow"/>
        </w:rPr>
        <w:tab/>
      </w:r>
      <w:r w:rsidRPr="000D0210">
        <w:rPr>
          <w:rFonts w:ascii="Arial Narrow" w:hAnsi="Arial Narrow"/>
        </w:rPr>
        <w:t xml:space="preserve">The APT bond </w:t>
      </w:r>
      <w:r w:rsidR="00F74531" w:rsidRPr="000D0210">
        <w:rPr>
          <w:rFonts w:ascii="Arial Narrow" w:hAnsi="Arial Narrow"/>
        </w:rPr>
        <w:t xml:space="preserve">is rated BBB and </w:t>
      </w:r>
      <w:r w:rsidRPr="000D0210">
        <w:rPr>
          <w:rFonts w:ascii="Arial Narrow" w:hAnsi="Arial Narrow"/>
        </w:rPr>
        <w:t xml:space="preserve">will have a remaining term to maturity of 9 years when the Final Decision is implemented in July 2011.  This </w:t>
      </w:r>
      <w:r w:rsidR="00F74531" w:rsidRPr="000D0210">
        <w:rPr>
          <w:rFonts w:ascii="Arial Narrow" w:hAnsi="Arial Narrow"/>
        </w:rPr>
        <w:t xml:space="preserve">credit rating and </w:t>
      </w:r>
      <w:r w:rsidRPr="000D0210">
        <w:rPr>
          <w:rFonts w:ascii="Arial Narrow" w:hAnsi="Arial Narrow"/>
        </w:rPr>
        <w:t>term to maturity is not consistent with the 10 year benchmark.</w:t>
      </w:r>
    </w:p>
  </w:footnote>
  <w:footnote w:id="2">
    <w:p w:rsidR="008D7D6E" w:rsidRPr="005B79CD" w:rsidRDefault="008D7D6E" w:rsidP="005B79CD">
      <w:pPr>
        <w:pStyle w:val="FootnoteText"/>
        <w:tabs>
          <w:tab w:val="left" w:pos="284"/>
        </w:tabs>
        <w:spacing w:before="0" w:after="0"/>
        <w:ind w:left="284" w:hanging="284"/>
        <w:rPr>
          <w:rFonts w:ascii="Arial Narrow" w:hAnsi="Arial Narrow"/>
        </w:rPr>
      </w:pPr>
      <w:r w:rsidRPr="005B79CD">
        <w:rPr>
          <w:rStyle w:val="FootnoteReference"/>
          <w:rFonts w:ascii="Arial Narrow" w:hAnsi="Arial Narrow"/>
        </w:rPr>
        <w:footnoteRef/>
      </w:r>
      <w:r w:rsidR="005717CB">
        <w:rPr>
          <w:rFonts w:ascii="Arial Narrow" w:hAnsi="Arial Narrow"/>
        </w:rPr>
        <w:tab/>
      </w:r>
      <w:r w:rsidRPr="005B79CD">
        <w:rPr>
          <w:rFonts w:ascii="Arial Narrow" w:hAnsi="Arial Narrow"/>
          <w:i/>
        </w:rPr>
        <w:t>Prima facie</w:t>
      </w:r>
      <w:r w:rsidRPr="005B79CD">
        <w:rPr>
          <w:rFonts w:ascii="Arial Narrow" w:hAnsi="Arial Narrow"/>
        </w:rPr>
        <w:t xml:space="preserve"> the </w:t>
      </w:r>
      <w:r w:rsidR="0097408A" w:rsidRPr="005B79CD">
        <w:rPr>
          <w:rFonts w:ascii="Arial Narrow" w:hAnsi="Arial Narrow"/>
        </w:rPr>
        <w:t xml:space="preserve">APT bond </w:t>
      </w:r>
      <w:r w:rsidRPr="005B79CD">
        <w:rPr>
          <w:rFonts w:ascii="Arial Narrow" w:hAnsi="Arial Narrow"/>
        </w:rPr>
        <w:t xml:space="preserve">should have a substantially </w:t>
      </w:r>
      <w:r w:rsidR="0097408A" w:rsidRPr="005B79CD">
        <w:rPr>
          <w:rFonts w:ascii="Arial Narrow" w:hAnsi="Arial Narrow"/>
        </w:rPr>
        <w:t>high</w:t>
      </w:r>
      <w:r w:rsidRPr="005B79CD">
        <w:rPr>
          <w:rFonts w:ascii="Arial Narrow" w:hAnsi="Arial Narrow"/>
        </w:rPr>
        <w:t>er yield than the</w:t>
      </w:r>
      <w:r w:rsidR="0097408A" w:rsidRPr="005B79CD">
        <w:rPr>
          <w:rFonts w:ascii="Arial Narrow" w:hAnsi="Arial Narrow"/>
        </w:rPr>
        <w:t xml:space="preserve"> A- </w:t>
      </w:r>
      <w:proofErr w:type="spellStart"/>
      <w:r w:rsidR="0097408A" w:rsidRPr="005B79CD">
        <w:rPr>
          <w:rFonts w:ascii="Arial Narrow" w:hAnsi="Arial Narrow"/>
        </w:rPr>
        <w:t>Stockland</w:t>
      </w:r>
      <w:proofErr w:type="spellEnd"/>
      <w:r w:rsidR="0097408A" w:rsidRPr="005B79CD">
        <w:rPr>
          <w:rFonts w:ascii="Arial Narrow" w:hAnsi="Arial Narrow"/>
        </w:rPr>
        <w:t xml:space="preserve"> bond</w:t>
      </w:r>
      <w:r w:rsidRPr="005B79CD">
        <w:rPr>
          <w:rFonts w:ascii="Arial Narrow" w:hAnsi="Arial Narrow"/>
        </w:rPr>
        <w:t xml:space="preserve"> given its two notch higher credit rating</w:t>
      </w:r>
      <w:r w:rsidR="0097408A" w:rsidRPr="005B79CD">
        <w:rPr>
          <w:rFonts w:ascii="Arial Narrow" w:hAnsi="Arial Narrow"/>
        </w:rPr>
        <w:t xml:space="preserve"> differential</w:t>
      </w:r>
      <w:r w:rsidRPr="005B79CD">
        <w:rPr>
          <w:rFonts w:ascii="Arial Narrow" w:hAnsi="Arial Narrow"/>
        </w:rPr>
        <w:t>.</w:t>
      </w:r>
    </w:p>
  </w:footnote>
  <w:footnote w:id="3">
    <w:p w:rsidR="00C6447F" w:rsidRPr="005B79CD" w:rsidRDefault="00C6447F" w:rsidP="005B79CD">
      <w:pPr>
        <w:pStyle w:val="FootnoteText"/>
        <w:tabs>
          <w:tab w:val="left" w:pos="284"/>
        </w:tabs>
        <w:spacing w:before="0" w:after="0"/>
        <w:ind w:left="284" w:hanging="284"/>
        <w:rPr>
          <w:rFonts w:ascii="Arial Narrow" w:hAnsi="Arial Narrow"/>
        </w:rPr>
      </w:pPr>
      <w:r w:rsidRPr="005B79CD">
        <w:rPr>
          <w:rStyle w:val="FootnoteReference"/>
          <w:rFonts w:ascii="Arial Narrow" w:hAnsi="Arial Narrow"/>
        </w:rPr>
        <w:footnoteRef/>
      </w:r>
      <w:r w:rsidR="005717CB">
        <w:rPr>
          <w:rFonts w:ascii="Arial Narrow" w:hAnsi="Arial Narrow"/>
        </w:rPr>
        <w:tab/>
      </w:r>
      <w:r w:rsidRPr="005B79CD">
        <w:rPr>
          <w:rFonts w:ascii="Arial Narrow" w:hAnsi="Arial Narrow"/>
        </w:rPr>
        <w:t>In removing bonds from the sample with what is perceived to be a high default risk, such as the DCBT bonds, then the AER is artificially downwardly biasing its estimate of the DRP. Corporate bond defaults occur and must be compensated for in the DRP.</w:t>
      </w:r>
    </w:p>
  </w:footnote>
  <w:footnote w:id="4">
    <w:p w:rsidR="000D609B" w:rsidRPr="005B79CD" w:rsidRDefault="000D609B" w:rsidP="005B79CD">
      <w:pPr>
        <w:pStyle w:val="FootnoteText"/>
        <w:tabs>
          <w:tab w:val="left" w:pos="284"/>
        </w:tabs>
        <w:spacing w:before="0" w:after="0"/>
        <w:ind w:left="284" w:hanging="284"/>
        <w:rPr>
          <w:rFonts w:ascii="Arial Narrow" w:hAnsi="Arial Narrow"/>
        </w:rPr>
      </w:pPr>
      <w:r w:rsidRPr="005B79CD">
        <w:rPr>
          <w:rStyle w:val="FootnoteReference"/>
          <w:rFonts w:ascii="Arial Narrow" w:hAnsi="Arial Narrow"/>
        </w:rPr>
        <w:footnoteRef/>
      </w:r>
      <w:r w:rsidR="005717CB">
        <w:rPr>
          <w:rFonts w:ascii="Arial Narrow" w:hAnsi="Arial Narrow"/>
        </w:rPr>
        <w:tab/>
      </w:r>
      <w:r w:rsidRPr="005B79CD">
        <w:rPr>
          <w:rFonts w:ascii="Arial Narrow" w:hAnsi="Arial Narrow"/>
        </w:rPr>
        <w:t>This includes some other type of negative credit event from the investors perspective</w:t>
      </w:r>
    </w:p>
  </w:footnote>
  <w:footnote w:id="5">
    <w:p w:rsidR="00AD1C63" w:rsidRPr="005B79CD" w:rsidRDefault="00AD1C63" w:rsidP="005717CB">
      <w:pPr>
        <w:pStyle w:val="FootnoteText"/>
        <w:tabs>
          <w:tab w:val="left" w:pos="284"/>
        </w:tabs>
        <w:spacing w:before="0" w:after="0"/>
        <w:ind w:left="284" w:hanging="284"/>
        <w:rPr>
          <w:rFonts w:ascii="Arial Narrow" w:hAnsi="Arial Narrow"/>
        </w:rPr>
      </w:pPr>
      <w:r w:rsidRPr="005B79CD">
        <w:rPr>
          <w:rStyle w:val="FootnoteReference"/>
          <w:rFonts w:ascii="Arial Narrow" w:hAnsi="Arial Narrow"/>
        </w:rPr>
        <w:footnoteRef/>
      </w:r>
      <w:r w:rsidR="005717CB">
        <w:rPr>
          <w:rFonts w:ascii="Arial Narrow" w:hAnsi="Arial Narrow"/>
        </w:rPr>
        <w:tab/>
      </w:r>
      <w:r w:rsidRPr="005B79CD">
        <w:rPr>
          <w:rFonts w:ascii="Arial Narrow" w:hAnsi="Arial Narrow"/>
        </w:rPr>
        <w:t xml:space="preserve">Envestra notes that the use of the APT bond in setting the DRP for </w:t>
      </w:r>
      <w:proofErr w:type="spellStart"/>
      <w:r w:rsidRPr="005B79CD">
        <w:rPr>
          <w:rFonts w:ascii="Arial Narrow" w:hAnsi="Arial Narrow"/>
        </w:rPr>
        <w:t>Jemena</w:t>
      </w:r>
      <w:proofErr w:type="spellEnd"/>
      <w:r w:rsidRPr="005B79CD">
        <w:rPr>
          <w:rFonts w:ascii="Arial Narrow" w:hAnsi="Arial Narrow"/>
        </w:rPr>
        <w:t xml:space="preserve"> Electricity Networks in the Victorian Electricity Price Determination 2011-2015 is the subject of an application for review before the Australian Competition Tribunal.  The AER has noted this and indicates it will consider the outcome of the merits review and the implications for the DRP as appropriate (page 94, Draft Decision (SA).</w:t>
      </w:r>
    </w:p>
  </w:footnote>
  <w:footnote w:id="6">
    <w:p w:rsidR="00AD1C63" w:rsidRPr="009C6A21" w:rsidRDefault="00AD1C63" w:rsidP="009C6A21">
      <w:pPr>
        <w:pStyle w:val="FootnoteText"/>
        <w:tabs>
          <w:tab w:val="left" w:pos="284"/>
        </w:tabs>
        <w:spacing w:before="0" w:after="0"/>
        <w:ind w:left="284" w:hanging="284"/>
        <w:rPr>
          <w:rFonts w:ascii="Arial Narrow" w:hAnsi="Arial Narrow"/>
          <w:lang w:val="en-US"/>
        </w:rPr>
      </w:pPr>
      <w:r w:rsidRPr="009C6A21">
        <w:rPr>
          <w:rStyle w:val="FootnoteReference"/>
          <w:rFonts w:ascii="Arial Narrow" w:hAnsi="Arial Narrow"/>
        </w:rPr>
        <w:footnoteRef/>
      </w:r>
      <w:r w:rsidR="009C6A21">
        <w:rPr>
          <w:rFonts w:ascii="Arial Narrow" w:hAnsi="Arial Narrow"/>
        </w:rPr>
        <w:tab/>
      </w:r>
      <w:r w:rsidRPr="009C6A21">
        <w:rPr>
          <w:rFonts w:ascii="Arial Narrow" w:hAnsi="Arial Narrow"/>
          <w:lang w:val="en-US"/>
        </w:rPr>
        <w:t>Draft Decision (SA) page 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827" w:rsidRDefault="00245FCD" w:rsidP="00484ABD">
    <w:pPr>
      <w:pStyle w:val="Header"/>
      <w:framePr w:wrap="around" w:vAnchor="text" w:hAnchor="margin" w:xAlign="center" w:y="1"/>
      <w:rPr>
        <w:rStyle w:val="PageNumber"/>
      </w:rPr>
    </w:pPr>
    <w:r>
      <w:rPr>
        <w:rStyle w:val="PageNumber"/>
      </w:rPr>
      <w:fldChar w:fldCharType="begin"/>
    </w:r>
    <w:r w:rsidR="002E3827">
      <w:rPr>
        <w:rStyle w:val="PageNumber"/>
      </w:rPr>
      <w:instrText xml:space="preserve">PAGE  </w:instrText>
    </w:r>
    <w:r>
      <w:rPr>
        <w:rStyle w:val="PageNumber"/>
      </w:rPr>
      <w:fldChar w:fldCharType="end"/>
    </w:r>
  </w:p>
  <w:p w:rsidR="002E3827" w:rsidRDefault="002E3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C10"/>
    <w:multiLevelType w:val="hybridMultilevel"/>
    <w:tmpl w:val="350087A8"/>
    <w:lvl w:ilvl="0" w:tplc="062C1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8A73B8"/>
    <w:multiLevelType w:val="multilevel"/>
    <w:tmpl w:val="350087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905955"/>
    <w:multiLevelType w:val="multilevel"/>
    <w:tmpl w:val="91F4EA16"/>
    <w:lvl w:ilvl="0">
      <w:start w:val="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C25971"/>
    <w:multiLevelType w:val="hybridMultilevel"/>
    <w:tmpl w:val="1D72F636"/>
    <w:lvl w:ilvl="0" w:tplc="2D02EAEC">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C676AD5"/>
    <w:multiLevelType w:val="hybridMultilevel"/>
    <w:tmpl w:val="6D608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EA57CDE"/>
    <w:multiLevelType w:val="hybridMultilevel"/>
    <w:tmpl w:val="412CC76E"/>
    <w:lvl w:ilvl="0" w:tplc="410A7E8C">
      <w:start w:val="1"/>
      <w:numFmt w:val="lowerLetter"/>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26F11"/>
    <w:multiLevelType w:val="hybridMultilevel"/>
    <w:tmpl w:val="B06CCD88"/>
    <w:lvl w:ilvl="0" w:tplc="4D9A6F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27089D"/>
    <w:multiLevelType w:val="hybridMultilevel"/>
    <w:tmpl w:val="373432C0"/>
    <w:lvl w:ilvl="0" w:tplc="410A7E8C">
      <w:start w:val="1"/>
      <w:numFmt w:val="lowerLetter"/>
      <w:lvlText w:val="(%1)"/>
      <w:lvlJc w:val="left"/>
      <w:pPr>
        <w:tabs>
          <w:tab w:val="num" w:pos="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7CF19AA"/>
    <w:multiLevelType w:val="hybridMultilevel"/>
    <w:tmpl w:val="010ED096"/>
    <w:lvl w:ilvl="0" w:tplc="6394B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4078C8"/>
    <w:multiLevelType w:val="hybridMultilevel"/>
    <w:tmpl w:val="C06A54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A0848D7"/>
    <w:multiLevelType w:val="multilevel"/>
    <w:tmpl w:val="350087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9315DE"/>
    <w:multiLevelType w:val="hybridMultilevel"/>
    <w:tmpl w:val="17462CA2"/>
    <w:lvl w:ilvl="0" w:tplc="410A7E8C">
      <w:start w:val="1"/>
      <w:numFmt w:val="lowerLetter"/>
      <w:lvlText w:val="(%1)"/>
      <w:lvlJc w:val="left"/>
      <w:pPr>
        <w:tabs>
          <w:tab w:val="num" w:pos="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F397649"/>
    <w:multiLevelType w:val="multilevel"/>
    <w:tmpl w:val="F25EB70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F832A38"/>
    <w:multiLevelType w:val="hybridMultilevel"/>
    <w:tmpl w:val="BC9A064E"/>
    <w:lvl w:ilvl="0" w:tplc="FFA60714">
      <w:start w:val="1"/>
      <w:numFmt w:val="decimal"/>
      <w:lvlText w:val="%1."/>
      <w:lvlJc w:val="left"/>
      <w:pPr>
        <w:ind w:left="216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E3BE7"/>
    <w:multiLevelType w:val="hybridMultilevel"/>
    <w:tmpl w:val="E0F225C0"/>
    <w:lvl w:ilvl="0" w:tplc="405EB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2E27906"/>
    <w:multiLevelType w:val="hybridMultilevel"/>
    <w:tmpl w:val="72825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Narro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Narro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Narro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63D21B0"/>
    <w:multiLevelType w:val="multilevel"/>
    <w:tmpl w:val="48E4CBF2"/>
    <w:lvl w:ilvl="0">
      <w:start w:val="1"/>
      <w:numFmt w:val="decimal"/>
      <w:pStyle w:val="BodyText"/>
      <w:lvlText w:val="%1."/>
      <w:lvlJc w:val="left"/>
      <w:pPr>
        <w:ind w:left="567" w:hanging="567"/>
      </w:pPr>
      <w:rPr>
        <w:rFonts w:hint="default"/>
      </w:rPr>
    </w:lvl>
    <w:lvl w:ilvl="1">
      <w:start w:val="1"/>
      <w:numFmt w:val="bullet"/>
      <w:pStyle w:val="ListBullet"/>
      <w:lvlText w:val=""/>
      <w:lvlJc w:val="left"/>
      <w:pPr>
        <w:ind w:left="992" w:hanging="425"/>
      </w:pPr>
      <w:rPr>
        <w:rFonts w:ascii="Wingdings" w:hAnsi="Wingdings" w:hint="default"/>
      </w:rPr>
    </w:lvl>
    <w:lvl w:ilvl="2">
      <w:start w:val="1"/>
      <w:numFmt w:val="none"/>
      <w:pStyle w:val="ListBullet2"/>
      <w:lvlText w:val="-"/>
      <w:lvlJc w:val="left"/>
      <w:pPr>
        <w:ind w:left="1418" w:hanging="426"/>
      </w:pPr>
      <w:rPr>
        <w:rFonts w:hint="default"/>
      </w:rPr>
    </w:lvl>
    <w:lvl w:ilvl="3">
      <w:start w:val="1"/>
      <w:numFmt w:val="lowerRoman"/>
      <w:lvlRestart w:val="1"/>
      <w:pStyle w:val="ListBullet3"/>
      <w:lvlText w:val="%4."/>
      <w:lvlJc w:val="left"/>
      <w:pPr>
        <w:ind w:left="992" w:hanging="425"/>
      </w:pPr>
      <w:rPr>
        <w:rFonts w:hint="default"/>
      </w:rPr>
    </w:lvl>
    <w:lvl w:ilvl="4">
      <w:start w:val="1"/>
      <w:numFmt w:val="lowerLetter"/>
      <w:lvlRestart w:val="1"/>
      <w:pStyle w:val="ListBullet4"/>
      <w:lvlText w:val="%5."/>
      <w:lvlJc w:val="left"/>
      <w:pPr>
        <w:ind w:left="992" w:hanging="425"/>
      </w:pPr>
      <w:rPr>
        <w:rFonts w:hint="default"/>
      </w:rPr>
    </w:lvl>
    <w:lvl w:ilvl="5">
      <w:start w:val="1"/>
      <w:numFmt w:val="lowerRoman"/>
      <w:pStyle w:val="ListBullet5"/>
      <w:lvlText w:val="%6."/>
      <w:lvlJc w:val="left"/>
      <w:pPr>
        <w:ind w:left="1418" w:hanging="426"/>
      </w:pPr>
      <w:rPr>
        <w:rFonts w:hint="default"/>
      </w:rPr>
    </w:lvl>
    <w:lvl w:ilvl="6">
      <w:start w:val="1"/>
      <w:numFmt w:val="decimal"/>
      <w:lvlRestart w:val="5"/>
      <w:pStyle w:val="ListBullet6"/>
      <w:lvlText w:val="%7."/>
      <w:lvlJc w:val="left"/>
      <w:pPr>
        <w:ind w:left="1418"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E007528"/>
    <w:multiLevelType w:val="hybridMultilevel"/>
    <w:tmpl w:val="A46671F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F1A4508"/>
    <w:multiLevelType w:val="hybridMultilevel"/>
    <w:tmpl w:val="07127CE2"/>
    <w:lvl w:ilvl="0" w:tplc="062C1EDC">
      <w:start w:val="1"/>
      <w:numFmt w:val="lowerLetter"/>
      <w:lvlText w:val="(%1)"/>
      <w:lvlJc w:val="left"/>
      <w:pPr>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FF620A9"/>
    <w:multiLevelType w:val="multilevel"/>
    <w:tmpl w:val="6BD8A374"/>
    <w:lvl w:ilvl="0">
      <w:start w:val="5"/>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A59312B"/>
    <w:multiLevelType w:val="multilevel"/>
    <w:tmpl w:val="6E400432"/>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DE830D1"/>
    <w:multiLevelType w:val="hybridMultilevel"/>
    <w:tmpl w:val="DF5AFD38"/>
    <w:lvl w:ilvl="0" w:tplc="410A7E8C">
      <w:start w:val="1"/>
      <w:numFmt w:val="low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EF2B08"/>
    <w:multiLevelType w:val="multilevel"/>
    <w:tmpl w:val="17462CA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C511F4"/>
    <w:multiLevelType w:val="multilevel"/>
    <w:tmpl w:val="BC9A064E"/>
    <w:lvl w:ilvl="0">
      <w:start w:val="1"/>
      <w:numFmt w:val="decimal"/>
      <w:lvlText w:val="%1."/>
      <w:lvlJc w:val="left"/>
      <w:pPr>
        <w:ind w:left="2169"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4F4096"/>
    <w:multiLevelType w:val="multilevel"/>
    <w:tmpl w:val="373432C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9DD6FB7"/>
    <w:multiLevelType w:val="multilevel"/>
    <w:tmpl w:val="FF6C727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4EDC1E3F"/>
    <w:multiLevelType w:val="hybridMultilevel"/>
    <w:tmpl w:val="B37E7D6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7">
    <w:nsid w:val="55851449"/>
    <w:multiLevelType w:val="hybridMultilevel"/>
    <w:tmpl w:val="F7FAD7D2"/>
    <w:lvl w:ilvl="0" w:tplc="A7EA3C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5F67823"/>
    <w:multiLevelType w:val="hybridMultilevel"/>
    <w:tmpl w:val="3520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790E8D"/>
    <w:multiLevelType w:val="hybridMultilevel"/>
    <w:tmpl w:val="C5CCB2C0"/>
    <w:lvl w:ilvl="0" w:tplc="0C090001">
      <w:start w:val="1"/>
      <w:numFmt w:val="bullet"/>
      <w:lvlText w:val=""/>
      <w:lvlJc w:val="left"/>
      <w:pPr>
        <w:ind w:left="107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nsid w:val="5F796A98"/>
    <w:multiLevelType w:val="hybridMultilevel"/>
    <w:tmpl w:val="0972C8FE"/>
    <w:lvl w:ilvl="0" w:tplc="09CE73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463E39"/>
    <w:multiLevelType w:val="hybridMultilevel"/>
    <w:tmpl w:val="C3F2D0A4"/>
    <w:lvl w:ilvl="0" w:tplc="4E12A1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F7F8D"/>
    <w:multiLevelType w:val="multilevel"/>
    <w:tmpl w:val="B372D20A"/>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BD803F8"/>
    <w:multiLevelType w:val="hybridMultilevel"/>
    <w:tmpl w:val="E71E1B72"/>
    <w:lvl w:ilvl="0" w:tplc="B0346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8C4B66"/>
    <w:multiLevelType w:val="multilevel"/>
    <w:tmpl w:val="17462CA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164BFD"/>
    <w:multiLevelType w:val="hybridMultilevel"/>
    <w:tmpl w:val="D772C80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08F5EE6"/>
    <w:multiLevelType w:val="hybridMultilevel"/>
    <w:tmpl w:val="CDBAE8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59D660B"/>
    <w:multiLevelType w:val="multilevel"/>
    <w:tmpl w:val="95BE1366"/>
    <w:lvl w:ilvl="0">
      <w:start w:val="1"/>
      <w:numFmt w:val="lowerLetter"/>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E82467"/>
    <w:multiLevelType w:val="hybridMultilevel"/>
    <w:tmpl w:val="87CE4E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A21B9D"/>
    <w:multiLevelType w:val="multilevel"/>
    <w:tmpl w:val="01B01B0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E125E27"/>
    <w:multiLevelType w:val="hybridMultilevel"/>
    <w:tmpl w:val="B372D20A"/>
    <w:lvl w:ilvl="0" w:tplc="410A7E8C">
      <w:start w:val="1"/>
      <w:numFmt w:val="lowerLetter"/>
      <w:lvlText w:val="(%1)"/>
      <w:lvlJc w:val="left"/>
      <w:pPr>
        <w:tabs>
          <w:tab w:val="num" w:pos="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FD1376F"/>
    <w:multiLevelType w:val="hybridMultilevel"/>
    <w:tmpl w:val="95BE1366"/>
    <w:lvl w:ilvl="0" w:tplc="410A7E8C">
      <w:start w:val="1"/>
      <w:numFmt w:val="lowerLetter"/>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7"/>
  </w:num>
  <w:num w:numId="4">
    <w:abstractNumId w:val="6"/>
  </w:num>
  <w:num w:numId="5">
    <w:abstractNumId w:val="3"/>
  </w:num>
  <w:num w:numId="6">
    <w:abstractNumId w:val="33"/>
  </w:num>
  <w:num w:numId="7">
    <w:abstractNumId w:val="30"/>
  </w:num>
  <w:num w:numId="8">
    <w:abstractNumId w:val="14"/>
  </w:num>
  <w:num w:numId="9">
    <w:abstractNumId w:val="13"/>
  </w:num>
  <w:num w:numId="10">
    <w:abstractNumId w:val="23"/>
  </w:num>
  <w:num w:numId="11">
    <w:abstractNumId w:val="31"/>
  </w:num>
  <w:num w:numId="12">
    <w:abstractNumId w:val="36"/>
  </w:num>
  <w:num w:numId="13">
    <w:abstractNumId w:val="39"/>
  </w:num>
  <w:num w:numId="14">
    <w:abstractNumId w:val="1"/>
  </w:num>
  <w:num w:numId="15">
    <w:abstractNumId w:val="18"/>
  </w:num>
  <w:num w:numId="16">
    <w:abstractNumId w:val="10"/>
  </w:num>
  <w:num w:numId="17">
    <w:abstractNumId w:val="7"/>
  </w:num>
  <w:num w:numId="18">
    <w:abstractNumId w:val="24"/>
  </w:num>
  <w:num w:numId="19">
    <w:abstractNumId w:val="40"/>
  </w:num>
  <w:num w:numId="20">
    <w:abstractNumId w:val="20"/>
  </w:num>
  <w:num w:numId="21">
    <w:abstractNumId w:val="19"/>
  </w:num>
  <w:num w:numId="22">
    <w:abstractNumId w:val="32"/>
  </w:num>
  <w:num w:numId="23">
    <w:abstractNumId w:val="11"/>
  </w:num>
  <w:num w:numId="24">
    <w:abstractNumId w:val="12"/>
  </w:num>
  <w:num w:numId="25">
    <w:abstractNumId w:val="34"/>
  </w:num>
  <w:num w:numId="26">
    <w:abstractNumId w:val="21"/>
  </w:num>
  <w:num w:numId="27">
    <w:abstractNumId w:val="15"/>
  </w:num>
  <w:num w:numId="28">
    <w:abstractNumId w:val="22"/>
  </w:num>
  <w:num w:numId="29">
    <w:abstractNumId w:val="41"/>
  </w:num>
  <w:num w:numId="30">
    <w:abstractNumId w:val="37"/>
  </w:num>
  <w:num w:numId="31">
    <w:abstractNumId w:val="5"/>
  </w:num>
  <w:num w:numId="32">
    <w:abstractNumId w:val="4"/>
  </w:num>
  <w:num w:numId="33">
    <w:abstractNumId w:val="35"/>
  </w:num>
  <w:num w:numId="34">
    <w:abstractNumId w:val="2"/>
  </w:num>
  <w:num w:numId="35">
    <w:abstractNumId w:val="28"/>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5"/>
  </w:num>
  <w:num w:numId="40">
    <w:abstractNumId w:val="38"/>
  </w:num>
  <w:num w:numId="41">
    <w:abstractNumId w:val="17"/>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838EA"/>
    <w:rsid w:val="000147BA"/>
    <w:rsid w:val="000658A2"/>
    <w:rsid w:val="000A6C74"/>
    <w:rsid w:val="000D0210"/>
    <w:rsid w:val="000D609B"/>
    <w:rsid w:val="000F1818"/>
    <w:rsid w:val="000F6253"/>
    <w:rsid w:val="00102040"/>
    <w:rsid w:val="00114C79"/>
    <w:rsid w:val="0012578A"/>
    <w:rsid w:val="001331B1"/>
    <w:rsid w:val="00137979"/>
    <w:rsid w:val="00147718"/>
    <w:rsid w:val="0015097D"/>
    <w:rsid w:val="00152A6C"/>
    <w:rsid w:val="00167F85"/>
    <w:rsid w:val="001819C8"/>
    <w:rsid w:val="00191978"/>
    <w:rsid w:val="001A44FA"/>
    <w:rsid w:val="001F6090"/>
    <w:rsid w:val="00203FB0"/>
    <w:rsid w:val="00245FCD"/>
    <w:rsid w:val="002478D1"/>
    <w:rsid w:val="0025479C"/>
    <w:rsid w:val="002853D1"/>
    <w:rsid w:val="0029114F"/>
    <w:rsid w:val="00297D3E"/>
    <w:rsid w:val="002A2AA5"/>
    <w:rsid w:val="002B2208"/>
    <w:rsid w:val="002B4A49"/>
    <w:rsid w:val="002B60CA"/>
    <w:rsid w:val="002E3827"/>
    <w:rsid w:val="002E72E1"/>
    <w:rsid w:val="00330039"/>
    <w:rsid w:val="003340BB"/>
    <w:rsid w:val="00341C3C"/>
    <w:rsid w:val="003701CE"/>
    <w:rsid w:val="00372E6B"/>
    <w:rsid w:val="003838EA"/>
    <w:rsid w:val="003957B6"/>
    <w:rsid w:val="003A3546"/>
    <w:rsid w:val="003C4187"/>
    <w:rsid w:val="003D430D"/>
    <w:rsid w:val="003D7310"/>
    <w:rsid w:val="003F1C16"/>
    <w:rsid w:val="004255F5"/>
    <w:rsid w:val="004543A3"/>
    <w:rsid w:val="0045517F"/>
    <w:rsid w:val="0046031C"/>
    <w:rsid w:val="00476F1D"/>
    <w:rsid w:val="0048385B"/>
    <w:rsid w:val="00484ABD"/>
    <w:rsid w:val="0048543C"/>
    <w:rsid w:val="004A01BA"/>
    <w:rsid w:val="004C54D1"/>
    <w:rsid w:val="004E03B3"/>
    <w:rsid w:val="00511B78"/>
    <w:rsid w:val="00531A99"/>
    <w:rsid w:val="0053728B"/>
    <w:rsid w:val="00551CCA"/>
    <w:rsid w:val="005717CB"/>
    <w:rsid w:val="005779BC"/>
    <w:rsid w:val="005B79CD"/>
    <w:rsid w:val="005C6F4D"/>
    <w:rsid w:val="005F0832"/>
    <w:rsid w:val="00664482"/>
    <w:rsid w:val="00670206"/>
    <w:rsid w:val="00680316"/>
    <w:rsid w:val="00692F2A"/>
    <w:rsid w:val="00693AC1"/>
    <w:rsid w:val="006B1F29"/>
    <w:rsid w:val="006B21C0"/>
    <w:rsid w:val="006E0280"/>
    <w:rsid w:val="00722C88"/>
    <w:rsid w:val="00726B4F"/>
    <w:rsid w:val="00747272"/>
    <w:rsid w:val="0076798D"/>
    <w:rsid w:val="007A2D5B"/>
    <w:rsid w:val="007F3FA4"/>
    <w:rsid w:val="007F6CB9"/>
    <w:rsid w:val="00807745"/>
    <w:rsid w:val="008320C5"/>
    <w:rsid w:val="00836329"/>
    <w:rsid w:val="008722EA"/>
    <w:rsid w:val="00874F95"/>
    <w:rsid w:val="00897C19"/>
    <w:rsid w:val="008A7707"/>
    <w:rsid w:val="008B13E4"/>
    <w:rsid w:val="008D7D6E"/>
    <w:rsid w:val="00912AE7"/>
    <w:rsid w:val="00935311"/>
    <w:rsid w:val="00941DCE"/>
    <w:rsid w:val="00945621"/>
    <w:rsid w:val="009549D7"/>
    <w:rsid w:val="0096293E"/>
    <w:rsid w:val="0097408A"/>
    <w:rsid w:val="009812CD"/>
    <w:rsid w:val="009919D1"/>
    <w:rsid w:val="009A7243"/>
    <w:rsid w:val="009B2400"/>
    <w:rsid w:val="009C6A21"/>
    <w:rsid w:val="009D37C4"/>
    <w:rsid w:val="009E3BE7"/>
    <w:rsid w:val="00A15E7C"/>
    <w:rsid w:val="00A218B9"/>
    <w:rsid w:val="00A301F6"/>
    <w:rsid w:val="00A440E4"/>
    <w:rsid w:val="00A93DB7"/>
    <w:rsid w:val="00A962DE"/>
    <w:rsid w:val="00AC17B7"/>
    <w:rsid w:val="00AD1C63"/>
    <w:rsid w:val="00AF1681"/>
    <w:rsid w:val="00B233BF"/>
    <w:rsid w:val="00B34871"/>
    <w:rsid w:val="00B728C8"/>
    <w:rsid w:val="00BA55AB"/>
    <w:rsid w:val="00BA659A"/>
    <w:rsid w:val="00BD2376"/>
    <w:rsid w:val="00BD44BB"/>
    <w:rsid w:val="00BE0533"/>
    <w:rsid w:val="00C12474"/>
    <w:rsid w:val="00C6447F"/>
    <w:rsid w:val="00C80F00"/>
    <w:rsid w:val="00C97B54"/>
    <w:rsid w:val="00CA61BA"/>
    <w:rsid w:val="00CC20CB"/>
    <w:rsid w:val="00CD4BE1"/>
    <w:rsid w:val="00CF1747"/>
    <w:rsid w:val="00D36B72"/>
    <w:rsid w:val="00D67D6C"/>
    <w:rsid w:val="00D70E73"/>
    <w:rsid w:val="00D91017"/>
    <w:rsid w:val="00DE63F9"/>
    <w:rsid w:val="00E37965"/>
    <w:rsid w:val="00E41221"/>
    <w:rsid w:val="00E721FE"/>
    <w:rsid w:val="00E75A38"/>
    <w:rsid w:val="00EB35C5"/>
    <w:rsid w:val="00EC1404"/>
    <w:rsid w:val="00EC6404"/>
    <w:rsid w:val="00EF3B57"/>
    <w:rsid w:val="00F0662E"/>
    <w:rsid w:val="00F0762B"/>
    <w:rsid w:val="00F21378"/>
    <w:rsid w:val="00F22484"/>
    <w:rsid w:val="00F6078E"/>
    <w:rsid w:val="00F74531"/>
    <w:rsid w:val="00FB096F"/>
    <w:rsid w:val="00FC54A0"/>
    <w:rsid w:val="00FC6E1B"/>
    <w:rsid w:val="00FF155B"/>
    <w:rsid w:val="00FF79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572"/>
    <w:pPr>
      <w:spacing w:before="240" w:after="200"/>
      <w:ind w:hanging="73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NECG) Footnote Text"/>
    <w:basedOn w:val="Normal"/>
    <w:link w:val="FootnoteTextChar"/>
    <w:uiPriority w:val="99"/>
    <w:unhideWhenUsed/>
    <w:rsid w:val="00C7038F"/>
    <w:rPr>
      <w:sz w:val="20"/>
      <w:szCs w:val="20"/>
    </w:rPr>
  </w:style>
  <w:style w:type="character" w:customStyle="1" w:styleId="FootnoteTextChar">
    <w:name w:val="Footnote Text Char"/>
    <w:aliases w:val="Footnote Text Char1 Char Char1,Footnote Text Char Char Char Char1,Footnote Text Char2 Char Char Char Char1,ALTS FOOTNOTE Char2 Char Char Char Char1,Footnote Text Char1 Char1 Char Char Char Char1,(NECG) Footnote Text Char1"/>
    <w:basedOn w:val="DefaultParagraphFont"/>
    <w:link w:val="FootnoteText"/>
    <w:uiPriority w:val="99"/>
    <w:semiHidden/>
    <w:rsid w:val="00C7038F"/>
    <w:rPr>
      <w:lang w:eastAsia="en-US"/>
    </w:rPr>
  </w:style>
  <w:style w:type="character" w:styleId="FootnoteReference">
    <w:name w:val="footnote reference"/>
    <w:aliases w:val="(NECG) Footnote Reference"/>
    <w:basedOn w:val="DefaultParagraphFont"/>
    <w:uiPriority w:val="99"/>
    <w:semiHidden/>
    <w:unhideWhenUsed/>
    <w:rsid w:val="00C7038F"/>
    <w:rPr>
      <w:vertAlign w:val="superscript"/>
    </w:rPr>
  </w:style>
  <w:style w:type="paragraph" w:styleId="BalloonText">
    <w:name w:val="Balloon Text"/>
    <w:basedOn w:val="Normal"/>
    <w:link w:val="BalloonTextChar"/>
    <w:rsid w:val="009F4F03"/>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4F03"/>
    <w:rPr>
      <w:rFonts w:ascii="Tahoma" w:hAnsi="Tahoma" w:cs="Tahoma"/>
      <w:sz w:val="16"/>
      <w:szCs w:val="16"/>
      <w:lang w:eastAsia="en-US"/>
    </w:rPr>
  </w:style>
  <w:style w:type="paragraph" w:styleId="Header">
    <w:name w:val="header"/>
    <w:basedOn w:val="Normal"/>
    <w:link w:val="HeaderChar"/>
    <w:rsid w:val="00264CA4"/>
    <w:pPr>
      <w:tabs>
        <w:tab w:val="center" w:pos="4320"/>
        <w:tab w:val="right" w:pos="8640"/>
      </w:tabs>
    </w:pPr>
  </w:style>
  <w:style w:type="character" w:customStyle="1" w:styleId="HeaderChar">
    <w:name w:val="Header Char"/>
    <w:basedOn w:val="DefaultParagraphFont"/>
    <w:link w:val="Header"/>
    <w:rsid w:val="00264CA4"/>
    <w:rPr>
      <w:sz w:val="22"/>
      <w:szCs w:val="22"/>
    </w:rPr>
  </w:style>
  <w:style w:type="character" w:styleId="PageNumber">
    <w:name w:val="page number"/>
    <w:basedOn w:val="DefaultParagraphFont"/>
    <w:rsid w:val="00264CA4"/>
  </w:style>
  <w:style w:type="character" w:customStyle="1" w:styleId="FootnoteTextChar1">
    <w:name w:val="Footnote Text Char1"/>
    <w:aliases w:val="Footnote Text Char1 Char Char,Footnote Text Char Char Char Char,Footnote Text Char2 Char Char Char Char,ALTS FOOTNOTE Char2 Char Char Char Char,Footnote Text Char1 Char1 Char Char Char Char,(NECG) Footnote Text Char"/>
    <w:basedOn w:val="DefaultParagraphFont"/>
    <w:rsid w:val="009812CD"/>
    <w:rPr>
      <w:rFonts w:eastAsia="MS Mincho"/>
      <w:sz w:val="18"/>
      <w:lang w:val="en-AU" w:eastAsia="ja-JP" w:bidi="ar-SA"/>
    </w:rPr>
  </w:style>
  <w:style w:type="paragraph" w:styleId="ListParagraph">
    <w:name w:val="List Paragraph"/>
    <w:basedOn w:val="Normal"/>
    <w:uiPriority w:val="34"/>
    <w:qFormat/>
    <w:rsid w:val="00941DCE"/>
    <w:pPr>
      <w:spacing w:before="0" w:after="0"/>
      <w:ind w:left="720" w:firstLine="0"/>
      <w:jc w:val="left"/>
    </w:pPr>
    <w:rPr>
      <w:rFonts w:ascii="Times New Roman" w:hAnsi="Times New Roman"/>
      <w:sz w:val="24"/>
      <w:szCs w:val="24"/>
      <w:lang w:eastAsia="en-AU"/>
    </w:rPr>
  </w:style>
  <w:style w:type="paragraph" w:styleId="Footer">
    <w:name w:val="footer"/>
    <w:basedOn w:val="Normal"/>
    <w:link w:val="FooterChar"/>
    <w:rsid w:val="00203FB0"/>
    <w:pPr>
      <w:tabs>
        <w:tab w:val="center" w:pos="4513"/>
        <w:tab w:val="right" w:pos="9026"/>
      </w:tabs>
      <w:spacing w:before="0" w:after="0"/>
    </w:pPr>
  </w:style>
  <w:style w:type="character" w:customStyle="1" w:styleId="FooterChar">
    <w:name w:val="Footer Char"/>
    <w:basedOn w:val="DefaultParagraphFont"/>
    <w:link w:val="Footer"/>
    <w:rsid w:val="00203FB0"/>
    <w:rPr>
      <w:sz w:val="22"/>
      <w:szCs w:val="22"/>
      <w:lang w:eastAsia="en-US"/>
    </w:rPr>
  </w:style>
  <w:style w:type="paragraph" w:styleId="BodyText">
    <w:name w:val="Body Text"/>
    <w:basedOn w:val="Normal"/>
    <w:link w:val="BodyTextChar"/>
    <w:uiPriority w:val="99"/>
    <w:unhideWhenUsed/>
    <w:qFormat/>
    <w:rsid w:val="00191978"/>
    <w:pPr>
      <w:numPr>
        <w:numId w:val="42"/>
      </w:numPr>
      <w:spacing w:before="300" w:after="300"/>
    </w:pPr>
    <w:rPr>
      <w:rFonts w:ascii="Arial" w:eastAsia="Times New Roman" w:hAnsi="Arial"/>
      <w:lang w:eastAsia="en-AU"/>
    </w:rPr>
  </w:style>
  <w:style w:type="character" w:customStyle="1" w:styleId="BodyTextChar">
    <w:name w:val="Body Text Char"/>
    <w:basedOn w:val="DefaultParagraphFont"/>
    <w:link w:val="BodyText"/>
    <w:uiPriority w:val="99"/>
    <w:rsid w:val="00191978"/>
    <w:rPr>
      <w:rFonts w:ascii="Arial" w:eastAsia="Times New Roman" w:hAnsi="Arial"/>
      <w:sz w:val="22"/>
      <w:szCs w:val="22"/>
    </w:rPr>
  </w:style>
  <w:style w:type="paragraph" w:styleId="ListBullet">
    <w:name w:val="List Bullet"/>
    <w:basedOn w:val="BodyText"/>
    <w:unhideWhenUsed/>
    <w:rsid w:val="00191978"/>
    <w:pPr>
      <w:numPr>
        <w:ilvl w:val="1"/>
      </w:numPr>
      <w:tabs>
        <w:tab w:val="left" w:pos="992"/>
      </w:tabs>
      <w:spacing w:before="0" w:after="120"/>
    </w:pPr>
  </w:style>
  <w:style w:type="paragraph" w:styleId="ListBullet2">
    <w:name w:val="List Bullet 2"/>
    <w:basedOn w:val="ListBullet"/>
    <w:uiPriority w:val="99"/>
    <w:unhideWhenUsed/>
    <w:rsid w:val="00191978"/>
    <w:pPr>
      <w:numPr>
        <w:ilvl w:val="2"/>
      </w:numPr>
      <w:tabs>
        <w:tab w:val="clear" w:pos="992"/>
        <w:tab w:val="left" w:pos="1418"/>
      </w:tabs>
      <w:ind w:left="1417" w:hanging="425"/>
    </w:pPr>
  </w:style>
  <w:style w:type="paragraph" w:styleId="ListBullet3">
    <w:name w:val="List Bullet 3"/>
    <w:basedOn w:val="ListBullet"/>
    <w:uiPriority w:val="99"/>
    <w:unhideWhenUsed/>
    <w:rsid w:val="00191978"/>
    <w:pPr>
      <w:numPr>
        <w:ilvl w:val="3"/>
      </w:numPr>
    </w:pPr>
  </w:style>
  <w:style w:type="paragraph" w:styleId="ListBullet4">
    <w:name w:val="List Bullet 4"/>
    <w:basedOn w:val="ListBullet"/>
    <w:uiPriority w:val="99"/>
    <w:unhideWhenUsed/>
    <w:rsid w:val="00191978"/>
    <w:pPr>
      <w:numPr>
        <w:ilvl w:val="4"/>
      </w:numPr>
    </w:pPr>
  </w:style>
  <w:style w:type="paragraph" w:styleId="ListBullet5">
    <w:name w:val="List Bullet 5"/>
    <w:basedOn w:val="ListBullet2"/>
    <w:uiPriority w:val="99"/>
    <w:unhideWhenUsed/>
    <w:rsid w:val="00191978"/>
    <w:pPr>
      <w:numPr>
        <w:ilvl w:val="5"/>
      </w:numPr>
    </w:pPr>
  </w:style>
  <w:style w:type="paragraph" w:customStyle="1" w:styleId="ListBullet6">
    <w:name w:val="List Bullet 6"/>
    <w:basedOn w:val="ListBullet2"/>
    <w:rsid w:val="00191978"/>
    <w:pPr>
      <w:numPr>
        <w:ilvl w:val="6"/>
      </w:numPr>
    </w:pPr>
  </w:style>
</w:styles>
</file>

<file path=word/webSettings.xml><?xml version="1.0" encoding="utf-8"?>
<w:webSettings xmlns:r="http://schemas.openxmlformats.org/officeDocument/2006/relationships" xmlns:w="http://schemas.openxmlformats.org/wordprocessingml/2006/main">
  <w:divs>
    <w:div w:id="660816151">
      <w:bodyDiv w:val="1"/>
      <w:marLeft w:val="0"/>
      <w:marRight w:val="0"/>
      <w:marTop w:val="0"/>
      <w:marBottom w:val="0"/>
      <w:divBdr>
        <w:top w:val="none" w:sz="0" w:space="0" w:color="auto"/>
        <w:left w:val="none" w:sz="0" w:space="0" w:color="auto"/>
        <w:bottom w:val="none" w:sz="0" w:space="0" w:color="auto"/>
        <w:right w:val="none" w:sz="0" w:space="0" w:color="auto"/>
      </w:divBdr>
    </w:div>
    <w:div w:id="724910457">
      <w:bodyDiv w:val="1"/>
      <w:marLeft w:val="0"/>
      <w:marRight w:val="0"/>
      <w:marTop w:val="0"/>
      <w:marBottom w:val="0"/>
      <w:divBdr>
        <w:top w:val="none" w:sz="0" w:space="0" w:color="auto"/>
        <w:left w:val="none" w:sz="0" w:space="0" w:color="auto"/>
        <w:bottom w:val="none" w:sz="0" w:space="0" w:color="auto"/>
        <w:right w:val="none" w:sz="0" w:space="0" w:color="auto"/>
      </w:divBdr>
    </w:div>
    <w:div w:id="10572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35DF-FA22-41F9-AF73-3206107F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Groom</dc:creator>
  <cp:keywords/>
  <cp:lastModifiedBy>mereditg</cp:lastModifiedBy>
  <cp:revision>4</cp:revision>
  <cp:lastPrinted>2011-03-17T00:34:00Z</cp:lastPrinted>
  <dcterms:created xsi:type="dcterms:W3CDTF">2011-03-21T07:00:00Z</dcterms:created>
  <dcterms:modified xsi:type="dcterms:W3CDTF">2011-03-23T02:44:00Z</dcterms:modified>
</cp:coreProperties>
</file>