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D" w:rsidRDefault="001A44FA" w:rsidP="008A2467">
      <w:pPr>
        <w:tabs>
          <w:tab w:val="left" w:pos="2410"/>
        </w:tabs>
        <w:spacing w:before="0" w:after="0"/>
        <w:ind w:firstLine="0"/>
        <w:rPr>
          <w:rFonts w:ascii="Arial Narrow" w:hAnsi="Arial Narrow"/>
          <w:b/>
          <w:sz w:val="32"/>
          <w:szCs w:val="32"/>
        </w:rPr>
      </w:pPr>
      <w:r>
        <w:rPr>
          <w:rFonts w:ascii="Arial Narrow" w:hAnsi="Arial Narrow"/>
          <w:b/>
          <w:sz w:val="32"/>
          <w:szCs w:val="32"/>
        </w:rPr>
        <w:t xml:space="preserve">Attachment </w:t>
      </w:r>
      <w:r w:rsidR="00CD4BE1">
        <w:rPr>
          <w:rFonts w:ascii="Arial Narrow" w:hAnsi="Arial Narrow"/>
          <w:b/>
          <w:sz w:val="32"/>
          <w:szCs w:val="32"/>
        </w:rPr>
        <w:t>9-</w:t>
      </w:r>
      <w:r w:rsidR="00A27F7E">
        <w:rPr>
          <w:rFonts w:ascii="Arial Narrow" w:hAnsi="Arial Narrow"/>
          <w:b/>
          <w:sz w:val="32"/>
          <w:szCs w:val="32"/>
        </w:rPr>
        <w:t>9</w:t>
      </w:r>
      <w:r w:rsidR="008A2467">
        <w:rPr>
          <w:rFonts w:ascii="Arial Narrow" w:hAnsi="Arial Narrow"/>
          <w:b/>
          <w:sz w:val="32"/>
          <w:szCs w:val="32"/>
        </w:rPr>
        <w:t>:</w:t>
      </w:r>
      <w:r w:rsidR="008A2467">
        <w:rPr>
          <w:rFonts w:ascii="Arial Narrow" w:hAnsi="Arial Narrow"/>
          <w:b/>
          <w:sz w:val="32"/>
          <w:szCs w:val="32"/>
        </w:rPr>
        <w:tab/>
      </w:r>
      <w:r w:rsidR="003F1C16">
        <w:rPr>
          <w:rFonts w:ascii="Arial Narrow" w:hAnsi="Arial Narrow"/>
          <w:b/>
          <w:sz w:val="32"/>
          <w:szCs w:val="32"/>
        </w:rPr>
        <w:t xml:space="preserve">Response to AER Draft Decision on </w:t>
      </w:r>
      <w:r w:rsidR="00802A70">
        <w:rPr>
          <w:rFonts w:ascii="Arial Narrow" w:hAnsi="Arial Narrow"/>
          <w:b/>
          <w:sz w:val="32"/>
          <w:szCs w:val="32"/>
        </w:rPr>
        <w:t xml:space="preserve">Market </w:t>
      </w:r>
      <w:r w:rsidR="00CD4BE1">
        <w:rPr>
          <w:rFonts w:ascii="Arial Narrow" w:hAnsi="Arial Narrow"/>
          <w:b/>
          <w:sz w:val="32"/>
          <w:szCs w:val="32"/>
        </w:rPr>
        <w:t xml:space="preserve">Risk </w:t>
      </w:r>
      <w:r w:rsidR="008A2467">
        <w:rPr>
          <w:rFonts w:ascii="Arial Narrow" w:hAnsi="Arial Narrow"/>
          <w:b/>
          <w:sz w:val="32"/>
          <w:szCs w:val="32"/>
        </w:rPr>
        <w:tab/>
      </w:r>
      <w:r w:rsidR="00CD4BE1">
        <w:rPr>
          <w:rFonts w:ascii="Arial Narrow" w:hAnsi="Arial Narrow"/>
          <w:b/>
          <w:sz w:val="32"/>
          <w:szCs w:val="32"/>
        </w:rPr>
        <w:t>Premium</w:t>
      </w:r>
    </w:p>
    <w:p w:rsidR="008A2467" w:rsidRPr="00B947FF" w:rsidRDefault="008A2467" w:rsidP="008A2467">
      <w:pPr>
        <w:tabs>
          <w:tab w:val="left" w:pos="2410"/>
        </w:tabs>
        <w:spacing w:before="0" w:after="0"/>
        <w:ind w:firstLine="0"/>
        <w:rPr>
          <w:rFonts w:ascii="Arial Narrow" w:hAnsi="Arial Narrow"/>
          <w:b/>
          <w:sz w:val="32"/>
          <w:szCs w:val="32"/>
        </w:rPr>
      </w:pPr>
    </w:p>
    <w:p w:rsidR="00484ABD" w:rsidRPr="008A2467" w:rsidRDefault="009B2400" w:rsidP="008A2467">
      <w:pPr>
        <w:tabs>
          <w:tab w:val="left" w:pos="567"/>
        </w:tabs>
        <w:spacing w:before="0" w:after="0"/>
        <w:ind w:firstLine="0"/>
        <w:rPr>
          <w:rFonts w:ascii="Arial Narrow" w:hAnsi="Arial Narrow"/>
          <w:b/>
          <w:sz w:val="24"/>
          <w:szCs w:val="24"/>
        </w:rPr>
      </w:pPr>
      <w:r w:rsidRPr="008A2467">
        <w:rPr>
          <w:rFonts w:ascii="Arial Narrow" w:hAnsi="Arial Narrow"/>
          <w:b/>
          <w:sz w:val="24"/>
          <w:szCs w:val="24"/>
        </w:rPr>
        <w:t>9</w:t>
      </w:r>
      <w:r w:rsidR="00AA288D" w:rsidRPr="008A2467">
        <w:rPr>
          <w:rFonts w:ascii="Arial Narrow" w:hAnsi="Arial Narrow"/>
          <w:b/>
          <w:sz w:val="24"/>
          <w:szCs w:val="24"/>
        </w:rPr>
        <w:t>.1</w:t>
      </w:r>
      <w:r w:rsidR="00AA288D" w:rsidRPr="008A2467">
        <w:rPr>
          <w:rFonts w:ascii="Arial Narrow" w:hAnsi="Arial Narrow"/>
          <w:b/>
          <w:sz w:val="24"/>
          <w:szCs w:val="24"/>
        </w:rPr>
        <w:tab/>
      </w:r>
      <w:r w:rsidR="00484ABD" w:rsidRPr="008A2467">
        <w:rPr>
          <w:rFonts w:ascii="Arial Narrow" w:hAnsi="Arial Narrow"/>
          <w:b/>
          <w:sz w:val="24"/>
          <w:szCs w:val="24"/>
        </w:rPr>
        <w:t xml:space="preserve">Introduction </w:t>
      </w:r>
    </w:p>
    <w:p w:rsidR="008A2467" w:rsidRDefault="008A2467" w:rsidP="008A2467">
      <w:pPr>
        <w:spacing w:before="0" w:after="0"/>
        <w:ind w:firstLine="0"/>
        <w:rPr>
          <w:rFonts w:ascii="Arial Narrow" w:hAnsi="Arial Narrow" w:cs="Arial Narrow"/>
          <w:sz w:val="24"/>
          <w:szCs w:val="24"/>
        </w:rPr>
      </w:pPr>
    </w:p>
    <w:p w:rsidR="00A33BE7" w:rsidRDefault="009B2400" w:rsidP="008A2467">
      <w:pPr>
        <w:spacing w:before="0" w:after="0"/>
        <w:ind w:firstLine="0"/>
        <w:rPr>
          <w:rFonts w:ascii="Arial Narrow" w:hAnsi="Arial Narrow" w:cs="Arial Narrow"/>
          <w:sz w:val="24"/>
          <w:szCs w:val="24"/>
        </w:rPr>
      </w:pPr>
      <w:r w:rsidRPr="00C02A37">
        <w:rPr>
          <w:rFonts w:ascii="Arial Narrow" w:hAnsi="Arial Narrow" w:cs="Arial Narrow"/>
          <w:sz w:val="24"/>
          <w:szCs w:val="24"/>
        </w:rPr>
        <w:t xml:space="preserve">The </w:t>
      </w:r>
      <w:r w:rsidR="002630B7">
        <w:rPr>
          <w:rFonts w:ascii="Arial Narrow" w:hAnsi="Arial Narrow" w:cs="Arial Narrow"/>
          <w:sz w:val="24"/>
          <w:szCs w:val="24"/>
        </w:rPr>
        <w:t>Market</w:t>
      </w:r>
      <w:r w:rsidRPr="009B2400">
        <w:rPr>
          <w:rFonts w:ascii="Arial Narrow" w:hAnsi="Arial Narrow" w:cs="Arial Narrow"/>
          <w:sz w:val="24"/>
          <w:szCs w:val="24"/>
        </w:rPr>
        <w:t xml:space="preserve"> Risk Premium </w:t>
      </w:r>
      <w:r>
        <w:rPr>
          <w:rFonts w:ascii="Arial Narrow" w:hAnsi="Arial Narrow" w:cs="Arial Narrow"/>
          <w:sz w:val="24"/>
          <w:szCs w:val="24"/>
        </w:rPr>
        <w:t>(‘</w:t>
      </w:r>
      <w:r w:rsidR="00B0077B">
        <w:rPr>
          <w:rFonts w:ascii="Arial Narrow" w:hAnsi="Arial Narrow" w:cs="Arial Narrow"/>
          <w:sz w:val="24"/>
          <w:szCs w:val="24"/>
        </w:rPr>
        <w:t>M</w:t>
      </w:r>
      <w:r w:rsidRPr="00C02A37">
        <w:rPr>
          <w:rFonts w:ascii="Arial Narrow" w:hAnsi="Arial Narrow" w:cs="Arial Narrow"/>
          <w:sz w:val="24"/>
          <w:szCs w:val="24"/>
        </w:rPr>
        <w:t>RP</w:t>
      </w:r>
      <w:r>
        <w:rPr>
          <w:rFonts w:ascii="Arial Narrow" w:hAnsi="Arial Narrow" w:cs="Arial Narrow"/>
          <w:sz w:val="24"/>
          <w:szCs w:val="24"/>
        </w:rPr>
        <w:t>’)</w:t>
      </w:r>
      <w:r w:rsidR="00B0077B">
        <w:rPr>
          <w:rFonts w:ascii="Arial Narrow" w:hAnsi="Arial Narrow" w:cs="Arial Narrow"/>
          <w:sz w:val="24"/>
          <w:szCs w:val="24"/>
        </w:rPr>
        <w:t xml:space="preserve"> is</w:t>
      </w:r>
      <w:r w:rsidR="00B0077B" w:rsidRPr="002630B7">
        <w:rPr>
          <w:rFonts w:ascii="Arial Narrow" w:hAnsi="Arial Narrow" w:cs="Arial Narrow"/>
          <w:sz w:val="24"/>
          <w:szCs w:val="24"/>
        </w:rPr>
        <w:t xml:space="preserve"> the </w:t>
      </w:r>
      <w:r w:rsidR="00B0077B" w:rsidRPr="00B0077B">
        <w:rPr>
          <w:rFonts w:ascii="Arial Narrow" w:hAnsi="Arial Narrow" w:cs="Arial Narrow"/>
          <w:sz w:val="24"/>
          <w:szCs w:val="24"/>
        </w:rPr>
        <w:t>difference between the expected return on a market portfolio and the risk-free rate</w:t>
      </w:r>
      <w:r w:rsidR="00151CC8">
        <w:rPr>
          <w:rFonts w:ascii="Arial Narrow" w:hAnsi="Arial Narrow" w:cs="Arial Narrow"/>
          <w:sz w:val="24"/>
          <w:szCs w:val="24"/>
        </w:rPr>
        <w:t>, in the context of the CAPM</w:t>
      </w:r>
      <w:r w:rsidR="00B0077B">
        <w:rPr>
          <w:rFonts w:ascii="Arial Narrow" w:hAnsi="Arial Narrow" w:cs="Arial Narrow"/>
          <w:sz w:val="24"/>
          <w:szCs w:val="24"/>
        </w:rPr>
        <w:t xml:space="preserve">.  </w:t>
      </w:r>
      <w:proofErr w:type="spellStart"/>
      <w:r w:rsidR="00B0077B" w:rsidRPr="008C6960">
        <w:rPr>
          <w:rFonts w:ascii="Arial Narrow" w:hAnsi="Arial Narrow" w:cs="Arial Narrow"/>
          <w:sz w:val="24"/>
          <w:szCs w:val="24"/>
        </w:rPr>
        <w:t>Envestra</w:t>
      </w:r>
      <w:r w:rsidR="00A33BE7">
        <w:rPr>
          <w:rFonts w:ascii="Arial Narrow" w:hAnsi="Arial Narrow" w:cs="Arial Narrow"/>
          <w:sz w:val="24"/>
          <w:szCs w:val="24"/>
        </w:rPr>
        <w:t>’s</w:t>
      </w:r>
      <w:proofErr w:type="spellEnd"/>
      <w:r w:rsidR="00B0077B" w:rsidRPr="008C6960">
        <w:rPr>
          <w:rFonts w:ascii="Arial Narrow" w:hAnsi="Arial Narrow" w:cs="Arial Narrow"/>
          <w:sz w:val="24"/>
          <w:szCs w:val="24"/>
        </w:rPr>
        <w:t xml:space="preserve"> </w:t>
      </w:r>
      <w:r w:rsidR="00B0077B">
        <w:rPr>
          <w:rFonts w:ascii="Arial Narrow" w:hAnsi="Arial Narrow" w:cs="Arial Narrow"/>
          <w:sz w:val="24"/>
          <w:szCs w:val="24"/>
        </w:rPr>
        <w:t xml:space="preserve">initial </w:t>
      </w:r>
      <w:r w:rsidR="00B0077B" w:rsidRPr="008C6960">
        <w:rPr>
          <w:rFonts w:ascii="Arial Narrow" w:hAnsi="Arial Narrow" w:cs="Arial Narrow"/>
          <w:sz w:val="24"/>
          <w:szCs w:val="24"/>
        </w:rPr>
        <w:t>submi</w:t>
      </w:r>
      <w:r w:rsidR="00B0077B">
        <w:rPr>
          <w:rFonts w:ascii="Arial Narrow" w:hAnsi="Arial Narrow" w:cs="Arial Narrow"/>
          <w:sz w:val="24"/>
          <w:szCs w:val="24"/>
        </w:rPr>
        <w:t xml:space="preserve">ssion was </w:t>
      </w:r>
      <w:r w:rsidR="00B0077B" w:rsidRPr="008C6960">
        <w:rPr>
          <w:rFonts w:ascii="Arial Narrow" w:hAnsi="Arial Narrow" w:cs="Arial Narrow"/>
          <w:sz w:val="24"/>
          <w:szCs w:val="24"/>
        </w:rPr>
        <w:t>that a</w:t>
      </w:r>
      <w:r w:rsidR="00A33BE7">
        <w:rPr>
          <w:rFonts w:ascii="Arial Narrow" w:hAnsi="Arial Narrow" w:cs="Arial Narrow"/>
          <w:sz w:val="24"/>
          <w:szCs w:val="24"/>
        </w:rPr>
        <w:t xml:space="preserve">n MRP </w:t>
      </w:r>
      <w:r w:rsidR="00B0077B" w:rsidRPr="008C6960">
        <w:rPr>
          <w:rFonts w:ascii="Arial Narrow" w:hAnsi="Arial Narrow" w:cs="Arial Narrow"/>
          <w:sz w:val="24"/>
          <w:szCs w:val="24"/>
        </w:rPr>
        <w:t xml:space="preserve">of </w:t>
      </w:r>
      <w:r w:rsidR="00B0077B">
        <w:rPr>
          <w:rFonts w:ascii="Arial Narrow" w:hAnsi="Arial Narrow" w:cs="Arial Narrow"/>
          <w:sz w:val="24"/>
          <w:szCs w:val="24"/>
        </w:rPr>
        <w:t xml:space="preserve">between </w:t>
      </w:r>
      <w:r w:rsidR="00B0077B" w:rsidRPr="008C6960">
        <w:rPr>
          <w:rFonts w:ascii="Arial Narrow" w:hAnsi="Arial Narrow" w:cs="Arial Narrow"/>
          <w:sz w:val="24"/>
          <w:szCs w:val="24"/>
        </w:rPr>
        <w:t xml:space="preserve">6.5% </w:t>
      </w:r>
      <w:r w:rsidR="00B0077B">
        <w:rPr>
          <w:rFonts w:ascii="Arial Narrow" w:hAnsi="Arial Narrow" w:cs="Arial Narrow"/>
          <w:sz w:val="24"/>
          <w:szCs w:val="24"/>
        </w:rPr>
        <w:t xml:space="preserve">and 8% </w:t>
      </w:r>
      <w:r w:rsidR="00B0077B" w:rsidRPr="008C6960">
        <w:rPr>
          <w:rFonts w:ascii="Arial Narrow" w:hAnsi="Arial Narrow" w:cs="Arial Narrow"/>
          <w:sz w:val="24"/>
          <w:szCs w:val="24"/>
        </w:rPr>
        <w:t xml:space="preserve">is </w:t>
      </w:r>
      <w:r w:rsidR="00B0077B">
        <w:rPr>
          <w:rFonts w:ascii="Arial Narrow" w:hAnsi="Arial Narrow" w:cs="Arial Narrow"/>
          <w:sz w:val="24"/>
          <w:szCs w:val="24"/>
        </w:rPr>
        <w:t xml:space="preserve">consistent with the </w:t>
      </w:r>
      <w:r w:rsidR="00A33BE7">
        <w:rPr>
          <w:rFonts w:ascii="Arial Narrow" w:hAnsi="Arial Narrow" w:cs="Arial Narrow"/>
          <w:sz w:val="24"/>
          <w:szCs w:val="24"/>
        </w:rPr>
        <w:t xml:space="preserve">available evidence and </w:t>
      </w:r>
      <w:r w:rsidR="00B0077B">
        <w:rPr>
          <w:rFonts w:ascii="Arial Narrow" w:hAnsi="Arial Narrow" w:cs="Arial Narrow"/>
          <w:sz w:val="24"/>
          <w:szCs w:val="24"/>
        </w:rPr>
        <w:t>current market conditions</w:t>
      </w:r>
      <w:r w:rsidR="00B0077B" w:rsidRPr="008C6960">
        <w:rPr>
          <w:rFonts w:ascii="Arial Narrow" w:hAnsi="Arial Narrow" w:cs="Arial Narrow"/>
          <w:sz w:val="24"/>
          <w:szCs w:val="24"/>
        </w:rPr>
        <w:t>.</w:t>
      </w:r>
      <w:r w:rsidR="00B0077B">
        <w:rPr>
          <w:rFonts w:ascii="Arial Narrow" w:hAnsi="Arial Narrow" w:cs="Arial Narrow"/>
          <w:sz w:val="24"/>
          <w:szCs w:val="24"/>
        </w:rPr>
        <w:t xml:space="preserve">  </w:t>
      </w:r>
      <w:r w:rsidR="00A33BE7">
        <w:rPr>
          <w:rFonts w:ascii="Arial Narrow" w:hAnsi="Arial Narrow" w:cs="Arial Narrow"/>
          <w:sz w:val="24"/>
          <w:szCs w:val="24"/>
        </w:rPr>
        <w:t>In the Draft Decision t</w:t>
      </w:r>
      <w:r w:rsidR="00A33BE7" w:rsidRPr="009B2400">
        <w:rPr>
          <w:rFonts w:ascii="Arial Narrow" w:hAnsi="Arial Narrow" w:cs="Arial Narrow"/>
          <w:sz w:val="24"/>
          <w:szCs w:val="24"/>
        </w:rPr>
        <w:t xml:space="preserve">he AER </w:t>
      </w:r>
      <w:r w:rsidR="00A33BE7">
        <w:rPr>
          <w:rFonts w:ascii="Arial Narrow" w:hAnsi="Arial Narrow" w:cs="Arial Narrow"/>
          <w:sz w:val="24"/>
          <w:szCs w:val="24"/>
        </w:rPr>
        <w:t xml:space="preserve">determined that an MRP of 6% best </w:t>
      </w:r>
      <w:r w:rsidR="00A33BE7" w:rsidRPr="00A33BE7">
        <w:rPr>
          <w:rFonts w:ascii="Arial Narrow" w:hAnsi="Arial Narrow" w:cs="Arial Narrow"/>
          <w:sz w:val="24"/>
          <w:szCs w:val="24"/>
        </w:rPr>
        <w:t>me</w:t>
      </w:r>
      <w:r w:rsidR="00A33BE7">
        <w:rPr>
          <w:rFonts w:ascii="Arial Narrow" w:hAnsi="Arial Narrow" w:cs="Arial Narrow"/>
          <w:sz w:val="24"/>
          <w:szCs w:val="24"/>
        </w:rPr>
        <w:t>t</w:t>
      </w:r>
      <w:r w:rsidR="00A33BE7" w:rsidRPr="00A33BE7">
        <w:rPr>
          <w:rFonts w:ascii="Arial Narrow" w:hAnsi="Arial Narrow" w:cs="Arial Narrow"/>
          <w:sz w:val="24"/>
          <w:szCs w:val="24"/>
        </w:rPr>
        <w:t xml:space="preserve"> the requirements under the NGR</w:t>
      </w:r>
      <w:r w:rsidR="00A33BE7">
        <w:rPr>
          <w:rFonts w:ascii="Arial Narrow" w:hAnsi="Arial Narrow" w:cs="Arial Narrow"/>
          <w:sz w:val="24"/>
          <w:szCs w:val="24"/>
        </w:rPr>
        <w:t xml:space="preserve">, based on empirical analysis, survey results and a view that investors forward looking expectations about market </w:t>
      </w:r>
      <w:r w:rsidR="00DD00D8">
        <w:rPr>
          <w:rFonts w:ascii="Arial Narrow" w:hAnsi="Arial Narrow" w:cs="Arial Narrow"/>
          <w:sz w:val="24"/>
          <w:szCs w:val="24"/>
        </w:rPr>
        <w:t xml:space="preserve">risk </w:t>
      </w:r>
      <w:r w:rsidR="00A33BE7">
        <w:rPr>
          <w:rFonts w:ascii="Arial Narrow" w:hAnsi="Arial Narrow" w:cs="Arial Narrow"/>
          <w:sz w:val="24"/>
          <w:szCs w:val="24"/>
        </w:rPr>
        <w:t>had substantially diminished</w:t>
      </w:r>
      <w:r w:rsidR="00D94F52">
        <w:rPr>
          <w:rFonts w:ascii="Arial Narrow" w:hAnsi="Arial Narrow" w:cs="Arial Narrow"/>
          <w:sz w:val="24"/>
          <w:szCs w:val="24"/>
        </w:rPr>
        <w:t xml:space="preserve"> since 29 October 2010, wh</w:t>
      </w:r>
      <w:r w:rsidR="00B271B1">
        <w:rPr>
          <w:rFonts w:ascii="Arial Narrow" w:hAnsi="Arial Narrow" w:cs="Arial Narrow"/>
          <w:sz w:val="24"/>
          <w:szCs w:val="24"/>
        </w:rPr>
        <w:t>ich wa</w:t>
      </w:r>
      <w:r w:rsidR="00D94F52">
        <w:rPr>
          <w:rFonts w:ascii="Arial Narrow" w:hAnsi="Arial Narrow" w:cs="Arial Narrow"/>
          <w:sz w:val="24"/>
          <w:szCs w:val="24"/>
        </w:rPr>
        <w:t>s when the AER last allowed a 6.5% MRP</w:t>
      </w:r>
      <w:r w:rsidR="00D94F52">
        <w:rPr>
          <w:rStyle w:val="FootnoteReference"/>
          <w:rFonts w:ascii="Arial Narrow" w:hAnsi="Arial Narrow" w:cs="Arial Narrow"/>
          <w:sz w:val="24"/>
          <w:szCs w:val="24"/>
        </w:rPr>
        <w:footnoteReference w:id="1"/>
      </w:r>
      <w:r w:rsidR="00A33BE7">
        <w:rPr>
          <w:rFonts w:ascii="Arial Narrow" w:hAnsi="Arial Narrow" w:cs="Arial Narrow"/>
          <w:sz w:val="24"/>
          <w:szCs w:val="24"/>
        </w:rPr>
        <w:t xml:space="preserve">. </w:t>
      </w:r>
      <w:r w:rsidR="00B42750">
        <w:rPr>
          <w:rFonts w:ascii="Arial Narrow" w:hAnsi="Arial Narrow" w:cs="Arial Narrow"/>
          <w:sz w:val="24"/>
          <w:szCs w:val="24"/>
        </w:rPr>
        <w:t xml:space="preserve"> The AER appears to have formed the view that the GFC did not have any effect on investors’ perceptions of market risk and required levels of comp</w:t>
      </w:r>
      <w:r w:rsidR="00873E45">
        <w:rPr>
          <w:rFonts w:ascii="Arial Narrow" w:hAnsi="Arial Narrow" w:cs="Arial Narrow"/>
          <w:sz w:val="24"/>
          <w:szCs w:val="24"/>
        </w:rPr>
        <w:t>ensation for nearing that risk.</w:t>
      </w:r>
    </w:p>
    <w:p w:rsidR="00A33BE7" w:rsidRPr="00D72CE7" w:rsidRDefault="00A33BE7" w:rsidP="008A2467">
      <w:pPr>
        <w:spacing w:before="0" w:after="0"/>
        <w:ind w:firstLine="0"/>
        <w:rPr>
          <w:rFonts w:ascii="Arial Narrow" w:hAnsi="Arial Narrow" w:cs="Arial Narrow"/>
          <w:color w:val="000000"/>
          <w:sz w:val="24"/>
          <w:szCs w:val="24"/>
          <w:lang w:eastAsia="en-AU"/>
        </w:rPr>
      </w:pPr>
    </w:p>
    <w:p w:rsidR="009B2400" w:rsidRPr="00D40766" w:rsidRDefault="00A33BE7" w:rsidP="008A2467">
      <w:pPr>
        <w:pStyle w:val="Title"/>
        <w:spacing w:after="0"/>
        <w:rPr>
          <w:rFonts w:ascii="Arial Narrow" w:eastAsia="Calibri" w:hAnsi="Arial Narrow" w:cs="Arial Narrow"/>
          <w:b w:val="0"/>
          <w:bCs w:val="0"/>
          <w:color w:val="000000"/>
          <w:kern w:val="0"/>
          <w:sz w:val="24"/>
          <w:szCs w:val="24"/>
          <w:lang w:eastAsia="en-AU"/>
        </w:rPr>
      </w:pPr>
      <w:proofErr w:type="spellStart"/>
      <w:r w:rsidRPr="00D72CE7">
        <w:rPr>
          <w:rFonts w:ascii="Arial Narrow" w:eastAsia="Calibri" w:hAnsi="Arial Narrow" w:cs="Arial Narrow"/>
          <w:b w:val="0"/>
          <w:bCs w:val="0"/>
          <w:color w:val="000000"/>
          <w:kern w:val="0"/>
          <w:sz w:val="24"/>
          <w:szCs w:val="24"/>
          <w:lang w:eastAsia="en-AU"/>
        </w:rPr>
        <w:t>Envestra</w:t>
      </w:r>
      <w:proofErr w:type="spellEnd"/>
      <w:r w:rsidRPr="00D72CE7">
        <w:rPr>
          <w:rFonts w:ascii="Arial Narrow" w:eastAsia="Calibri" w:hAnsi="Arial Narrow" w:cs="Arial Narrow"/>
          <w:b w:val="0"/>
          <w:bCs w:val="0"/>
          <w:color w:val="000000"/>
          <w:kern w:val="0"/>
          <w:sz w:val="24"/>
          <w:szCs w:val="24"/>
          <w:lang w:eastAsia="en-AU"/>
        </w:rPr>
        <w:t xml:space="preserve"> rejects the AER</w:t>
      </w:r>
      <w:r w:rsidR="001C3154">
        <w:rPr>
          <w:rFonts w:ascii="Arial Narrow" w:eastAsia="Calibri" w:hAnsi="Arial Narrow" w:cs="Arial Narrow"/>
          <w:b w:val="0"/>
          <w:bCs w:val="0"/>
          <w:color w:val="000000"/>
          <w:kern w:val="0"/>
          <w:sz w:val="24"/>
          <w:szCs w:val="24"/>
          <w:lang w:eastAsia="en-AU"/>
        </w:rPr>
        <w:t>’</w:t>
      </w:r>
      <w:r w:rsidRPr="00D72CE7">
        <w:rPr>
          <w:rFonts w:ascii="Arial Narrow" w:eastAsia="Calibri" w:hAnsi="Arial Narrow" w:cs="Arial Narrow"/>
          <w:b w:val="0"/>
          <w:bCs w:val="0"/>
          <w:color w:val="000000"/>
          <w:kern w:val="0"/>
          <w:sz w:val="24"/>
          <w:szCs w:val="24"/>
          <w:lang w:eastAsia="en-AU"/>
        </w:rPr>
        <w:t>s decision that an MRP of 6% i</w:t>
      </w:r>
      <w:r w:rsidR="001C3154">
        <w:rPr>
          <w:rFonts w:ascii="Arial Narrow" w:eastAsia="Calibri" w:hAnsi="Arial Narrow" w:cs="Arial Narrow"/>
          <w:b w:val="0"/>
          <w:bCs w:val="0"/>
          <w:color w:val="000000"/>
          <w:kern w:val="0"/>
          <w:sz w:val="24"/>
          <w:szCs w:val="24"/>
          <w:lang w:eastAsia="en-AU"/>
        </w:rPr>
        <w:t>s</w:t>
      </w:r>
      <w:r w:rsidRPr="00D72CE7">
        <w:rPr>
          <w:rFonts w:ascii="Arial Narrow" w:eastAsia="Calibri" w:hAnsi="Arial Narrow" w:cs="Arial Narrow"/>
          <w:b w:val="0"/>
          <w:bCs w:val="0"/>
          <w:color w:val="000000"/>
          <w:kern w:val="0"/>
          <w:sz w:val="24"/>
          <w:szCs w:val="24"/>
          <w:lang w:eastAsia="en-AU"/>
        </w:rPr>
        <w:t xml:space="preserve"> appropriate</w:t>
      </w:r>
      <w:r w:rsidR="00B271B1" w:rsidRPr="00D72CE7">
        <w:rPr>
          <w:rFonts w:ascii="Arial Narrow" w:eastAsia="Calibri" w:hAnsi="Arial Narrow" w:cs="Arial Narrow"/>
          <w:b w:val="0"/>
          <w:bCs w:val="0"/>
          <w:color w:val="000000"/>
          <w:kern w:val="0"/>
          <w:sz w:val="24"/>
          <w:szCs w:val="24"/>
          <w:lang w:eastAsia="en-AU"/>
        </w:rPr>
        <w:t xml:space="preserve"> for the 1 July 2011 to 30 June 2016 regulatory period</w:t>
      </w:r>
      <w:r w:rsidR="00D40766">
        <w:rPr>
          <w:rFonts w:ascii="Arial Narrow" w:eastAsia="Calibri" w:hAnsi="Arial Narrow" w:cs="Arial Narrow"/>
          <w:b w:val="0"/>
          <w:bCs w:val="0"/>
          <w:color w:val="000000"/>
          <w:kern w:val="0"/>
          <w:sz w:val="24"/>
          <w:szCs w:val="24"/>
          <w:lang w:eastAsia="en-AU"/>
        </w:rPr>
        <w:t xml:space="preserve"> based on expert</w:t>
      </w:r>
      <w:r w:rsidR="009021C2">
        <w:rPr>
          <w:rFonts w:ascii="Arial Narrow" w:eastAsia="Calibri" w:hAnsi="Arial Narrow" w:cs="Arial Narrow"/>
          <w:b w:val="0"/>
          <w:bCs w:val="0"/>
          <w:color w:val="000000"/>
          <w:kern w:val="0"/>
          <w:sz w:val="24"/>
          <w:szCs w:val="24"/>
          <w:lang w:eastAsia="en-AU"/>
        </w:rPr>
        <w:t xml:space="preserve"> opinion and</w:t>
      </w:r>
      <w:r w:rsidR="00D40766">
        <w:rPr>
          <w:rFonts w:ascii="Arial Narrow" w:eastAsia="Calibri" w:hAnsi="Arial Narrow" w:cs="Arial Narrow"/>
          <w:b w:val="0"/>
          <w:bCs w:val="0"/>
          <w:color w:val="000000"/>
          <w:kern w:val="0"/>
          <w:sz w:val="24"/>
          <w:szCs w:val="24"/>
          <w:lang w:eastAsia="en-AU"/>
        </w:rPr>
        <w:t xml:space="preserve"> analysis</w:t>
      </w:r>
      <w:r w:rsidR="00B271B1" w:rsidRPr="00D72CE7">
        <w:rPr>
          <w:rFonts w:ascii="Arial Narrow" w:eastAsia="Calibri" w:hAnsi="Arial Narrow" w:cs="Arial Narrow"/>
          <w:b w:val="0"/>
          <w:bCs w:val="0"/>
          <w:color w:val="000000"/>
          <w:kern w:val="0"/>
          <w:sz w:val="24"/>
          <w:szCs w:val="24"/>
          <w:lang w:eastAsia="en-AU"/>
        </w:rPr>
        <w:t>.</w:t>
      </w:r>
      <w:r w:rsidR="009B2400" w:rsidRPr="00D72CE7">
        <w:rPr>
          <w:rFonts w:ascii="Arial Narrow" w:eastAsia="Calibri" w:hAnsi="Arial Narrow" w:cs="Arial Narrow"/>
          <w:b w:val="0"/>
          <w:bCs w:val="0"/>
          <w:color w:val="000000"/>
          <w:kern w:val="0"/>
          <w:sz w:val="24"/>
          <w:szCs w:val="24"/>
          <w:lang w:eastAsia="en-AU"/>
        </w:rPr>
        <w:t xml:space="preserve">  Accompanying this attachment</w:t>
      </w:r>
      <w:r w:rsidR="0053728B" w:rsidRPr="00D72CE7">
        <w:rPr>
          <w:rFonts w:ascii="Arial Narrow" w:eastAsia="Calibri" w:hAnsi="Arial Narrow" w:cs="Arial Narrow"/>
          <w:b w:val="0"/>
          <w:bCs w:val="0"/>
          <w:color w:val="000000"/>
          <w:kern w:val="0"/>
          <w:sz w:val="24"/>
          <w:szCs w:val="24"/>
          <w:lang w:eastAsia="en-AU"/>
        </w:rPr>
        <w:t xml:space="preserve"> </w:t>
      </w:r>
      <w:r w:rsidR="00B271B1" w:rsidRPr="00D72CE7">
        <w:rPr>
          <w:rFonts w:ascii="Arial Narrow" w:eastAsia="Calibri" w:hAnsi="Arial Narrow" w:cs="Arial Narrow"/>
          <w:b w:val="0"/>
          <w:bCs w:val="0"/>
          <w:color w:val="000000"/>
          <w:kern w:val="0"/>
          <w:sz w:val="24"/>
          <w:szCs w:val="24"/>
          <w:lang w:eastAsia="en-AU"/>
        </w:rPr>
        <w:t>are</w:t>
      </w:r>
      <w:r w:rsidR="0053728B" w:rsidRPr="00D72CE7">
        <w:rPr>
          <w:rFonts w:ascii="Arial Narrow" w:eastAsia="Calibri" w:hAnsi="Arial Narrow" w:cs="Arial Narrow"/>
          <w:b w:val="0"/>
          <w:bCs w:val="0"/>
          <w:color w:val="000000"/>
          <w:kern w:val="0"/>
          <w:sz w:val="24"/>
          <w:szCs w:val="24"/>
          <w:lang w:eastAsia="en-AU"/>
        </w:rPr>
        <w:t xml:space="preserve"> </w:t>
      </w:r>
      <w:r w:rsidR="00B271B1" w:rsidRPr="00D72CE7">
        <w:rPr>
          <w:rFonts w:ascii="Arial Narrow" w:eastAsia="Calibri" w:hAnsi="Arial Narrow" w:cs="Arial Narrow"/>
          <w:b w:val="0"/>
          <w:bCs w:val="0"/>
          <w:color w:val="000000"/>
          <w:kern w:val="0"/>
          <w:sz w:val="24"/>
          <w:szCs w:val="24"/>
          <w:lang w:eastAsia="en-AU"/>
        </w:rPr>
        <w:t xml:space="preserve">three </w:t>
      </w:r>
      <w:r w:rsidR="009B2400" w:rsidRPr="00D72CE7">
        <w:rPr>
          <w:rFonts w:ascii="Arial Narrow" w:eastAsia="Calibri" w:hAnsi="Arial Narrow" w:cs="Arial Narrow"/>
          <w:b w:val="0"/>
          <w:bCs w:val="0"/>
          <w:color w:val="000000"/>
          <w:kern w:val="0"/>
          <w:sz w:val="24"/>
          <w:szCs w:val="24"/>
          <w:lang w:eastAsia="en-AU"/>
        </w:rPr>
        <w:t>expert repor</w:t>
      </w:r>
      <w:r w:rsidR="003C4187" w:rsidRPr="00D72CE7">
        <w:rPr>
          <w:rFonts w:ascii="Arial Narrow" w:eastAsia="Calibri" w:hAnsi="Arial Narrow" w:cs="Arial Narrow"/>
          <w:b w:val="0"/>
          <w:bCs w:val="0"/>
          <w:color w:val="000000"/>
          <w:kern w:val="0"/>
          <w:sz w:val="24"/>
          <w:szCs w:val="24"/>
          <w:lang w:eastAsia="en-AU"/>
        </w:rPr>
        <w:t>t</w:t>
      </w:r>
      <w:r w:rsidR="00B271B1" w:rsidRPr="00D72CE7">
        <w:rPr>
          <w:rFonts w:ascii="Arial Narrow" w:eastAsia="Calibri" w:hAnsi="Arial Narrow" w:cs="Arial Narrow"/>
          <w:b w:val="0"/>
          <w:bCs w:val="0"/>
          <w:color w:val="000000"/>
          <w:kern w:val="0"/>
          <w:sz w:val="24"/>
          <w:szCs w:val="24"/>
          <w:lang w:eastAsia="en-AU"/>
        </w:rPr>
        <w:t>s (</w:t>
      </w:r>
      <w:proofErr w:type="spellStart"/>
      <w:r w:rsidR="00B271B1" w:rsidRPr="00D72CE7">
        <w:rPr>
          <w:rFonts w:ascii="Arial Narrow" w:eastAsia="Calibri" w:hAnsi="Arial Narrow" w:cs="Arial Narrow"/>
          <w:b w:val="0"/>
          <w:bCs w:val="0"/>
          <w:color w:val="000000"/>
          <w:kern w:val="0"/>
          <w:sz w:val="24"/>
          <w:szCs w:val="24"/>
          <w:lang w:eastAsia="en-AU"/>
        </w:rPr>
        <w:t>i</w:t>
      </w:r>
      <w:proofErr w:type="spellEnd"/>
      <w:r w:rsidR="00B271B1" w:rsidRPr="00D72CE7">
        <w:rPr>
          <w:rFonts w:ascii="Arial Narrow" w:eastAsia="Calibri" w:hAnsi="Arial Narrow" w:cs="Arial Narrow"/>
          <w:b w:val="0"/>
          <w:bCs w:val="0"/>
          <w:color w:val="000000"/>
          <w:kern w:val="0"/>
          <w:sz w:val="24"/>
          <w:szCs w:val="24"/>
          <w:lang w:eastAsia="en-AU"/>
        </w:rPr>
        <w:t xml:space="preserve">) SFG’s </w:t>
      </w:r>
      <w:r w:rsidR="00B271B1" w:rsidRPr="00D72CE7">
        <w:rPr>
          <w:rFonts w:ascii="Arial Narrow" w:eastAsia="Calibri" w:hAnsi="Arial Narrow" w:cs="Arial Narrow"/>
          <w:b w:val="0"/>
          <w:bCs w:val="0"/>
          <w:i/>
          <w:color w:val="000000"/>
          <w:kern w:val="0"/>
          <w:sz w:val="24"/>
          <w:szCs w:val="24"/>
          <w:lang w:eastAsia="en-AU"/>
        </w:rPr>
        <w:t xml:space="preserve">Issues affecting the estimation of </w:t>
      </w:r>
      <w:r w:rsidR="00B271B1" w:rsidRPr="00F61335">
        <w:rPr>
          <w:rFonts w:ascii="Arial Narrow" w:eastAsia="Calibri" w:hAnsi="Arial Narrow" w:cs="Arial Narrow"/>
          <w:b w:val="0"/>
          <w:bCs w:val="0"/>
          <w:i/>
          <w:color w:val="000000"/>
          <w:kern w:val="0"/>
          <w:sz w:val="24"/>
          <w:szCs w:val="24"/>
          <w:lang w:eastAsia="en-AU"/>
        </w:rPr>
        <w:t>MRP</w:t>
      </w:r>
      <w:r w:rsidR="00B271B1" w:rsidRPr="00F61335">
        <w:rPr>
          <w:rFonts w:ascii="Arial Narrow" w:eastAsia="Calibri" w:hAnsi="Arial Narrow" w:cs="Arial Narrow"/>
          <w:b w:val="0"/>
          <w:bCs w:val="0"/>
          <w:color w:val="000000"/>
          <w:kern w:val="0"/>
          <w:sz w:val="24"/>
          <w:szCs w:val="24"/>
          <w:lang w:eastAsia="en-AU"/>
        </w:rPr>
        <w:t xml:space="preserve"> (ii) </w:t>
      </w:r>
      <w:r w:rsidR="00B060CB" w:rsidRPr="00F61335">
        <w:rPr>
          <w:rFonts w:ascii="Arial Narrow" w:eastAsia="Calibri" w:hAnsi="Arial Narrow" w:cs="Arial Narrow"/>
          <w:b w:val="0"/>
          <w:bCs w:val="0"/>
          <w:i/>
          <w:color w:val="000000"/>
          <w:kern w:val="0"/>
          <w:sz w:val="24"/>
          <w:szCs w:val="24"/>
          <w:lang w:eastAsia="en-AU"/>
        </w:rPr>
        <w:t>WACC Estimation</w:t>
      </w:r>
      <w:r w:rsidR="00B060CB" w:rsidRPr="00F61335">
        <w:rPr>
          <w:rFonts w:ascii="Arial Narrow" w:eastAsia="Calibri" w:hAnsi="Arial Narrow" w:cs="Arial Narrow"/>
          <w:b w:val="0"/>
          <w:bCs w:val="0"/>
          <w:color w:val="000000"/>
          <w:kern w:val="0"/>
          <w:sz w:val="24"/>
          <w:szCs w:val="24"/>
          <w:lang w:eastAsia="en-AU"/>
        </w:rPr>
        <w:t xml:space="preserve"> by </w:t>
      </w:r>
      <w:r w:rsidR="003C4187" w:rsidRPr="00F61335">
        <w:rPr>
          <w:rFonts w:ascii="Arial Narrow" w:eastAsia="Calibri" w:hAnsi="Arial Narrow" w:cs="Arial Narrow"/>
          <w:b w:val="0"/>
          <w:bCs w:val="0"/>
          <w:color w:val="000000"/>
          <w:kern w:val="0"/>
          <w:sz w:val="24"/>
          <w:szCs w:val="24"/>
          <w:lang w:eastAsia="en-AU"/>
        </w:rPr>
        <w:t>CEG</w:t>
      </w:r>
      <w:r w:rsidR="009B2400" w:rsidRPr="00D72CE7">
        <w:rPr>
          <w:rFonts w:ascii="Arial Narrow" w:eastAsia="Calibri" w:hAnsi="Arial Narrow" w:cs="Arial Narrow"/>
          <w:b w:val="0"/>
          <w:bCs w:val="0"/>
          <w:color w:val="000000"/>
          <w:kern w:val="0"/>
          <w:sz w:val="24"/>
          <w:szCs w:val="24"/>
          <w:lang w:eastAsia="en-AU"/>
        </w:rPr>
        <w:t xml:space="preserve"> </w:t>
      </w:r>
      <w:r w:rsidR="00B060CB" w:rsidRPr="00D72CE7">
        <w:rPr>
          <w:rFonts w:ascii="Arial Narrow" w:eastAsia="Calibri" w:hAnsi="Arial Narrow" w:cs="Arial Narrow"/>
          <w:b w:val="0"/>
          <w:bCs w:val="0"/>
          <w:color w:val="000000"/>
          <w:kern w:val="0"/>
          <w:sz w:val="24"/>
          <w:szCs w:val="24"/>
          <w:lang w:eastAsia="en-AU"/>
        </w:rPr>
        <w:t xml:space="preserve">and (iii) </w:t>
      </w:r>
      <w:r w:rsidR="00D72CE7" w:rsidRPr="00D40766">
        <w:rPr>
          <w:rFonts w:ascii="Arial Narrow" w:eastAsia="Calibri" w:hAnsi="Arial Narrow" w:cs="Arial Narrow"/>
          <w:b w:val="0"/>
          <w:bCs w:val="0"/>
          <w:i/>
          <w:color w:val="000000"/>
          <w:kern w:val="0"/>
          <w:sz w:val="24"/>
          <w:szCs w:val="24"/>
          <w:lang w:eastAsia="en-AU"/>
        </w:rPr>
        <w:t xml:space="preserve">Comments on Market Risk Premium in Draft Decision by AER for </w:t>
      </w:r>
      <w:proofErr w:type="spellStart"/>
      <w:r w:rsidR="00D72CE7" w:rsidRPr="00D40766">
        <w:rPr>
          <w:rFonts w:ascii="Arial Narrow" w:eastAsia="Calibri" w:hAnsi="Arial Narrow" w:cs="Arial Narrow"/>
          <w:b w:val="0"/>
          <w:bCs w:val="0"/>
          <w:i/>
          <w:color w:val="000000"/>
          <w:kern w:val="0"/>
          <w:sz w:val="24"/>
          <w:szCs w:val="24"/>
          <w:lang w:eastAsia="en-AU"/>
        </w:rPr>
        <w:t>Envestra</w:t>
      </w:r>
      <w:proofErr w:type="spellEnd"/>
      <w:r w:rsidR="00D72CE7" w:rsidRPr="00D40766">
        <w:rPr>
          <w:rFonts w:ascii="Arial Narrow" w:eastAsia="Calibri" w:hAnsi="Arial Narrow" w:cs="Arial Narrow"/>
          <w:b w:val="0"/>
          <w:bCs w:val="0"/>
          <w:i/>
          <w:color w:val="000000"/>
          <w:kern w:val="0"/>
          <w:sz w:val="24"/>
          <w:szCs w:val="24"/>
          <w:lang w:eastAsia="en-AU"/>
        </w:rPr>
        <w:t xml:space="preserve"> February 2011</w:t>
      </w:r>
      <w:r w:rsidR="00D72CE7" w:rsidRPr="00D72CE7">
        <w:rPr>
          <w:rFonts w:ascii="Arial Narrow" w:eastAsia="Calibri" w:hAnsi="Arial Narrow" w:cs="Arial Narrow"/>
          <w:b w:val="0"/>
          <w:bCs w:val="0"/>
          <w:color w:val="000000"/>
          <w:kern w:val="0"/>
          <w:sz w:val="24"/>
          <w:szCs w:val="24"/>
          <w:lang w:eastAsia="en-AU"/>
        </w:rPr>
        <w:t xml:space="preserve"> by </w:t>
      </w:r>
      <w:r w:rsidR="00D72CE7">
        <w:rPr>
          <w:rFonts w:ascii="Arial Narrow" w:eastAsia="Calibri" w:hAnsi="Arial Narrow" w:cs="Arial Narrow"/>
          <w:b w:val="0"/>
          <w:bCs w:val="0"/>
          <w:color w:val="000000"/>
          <w:kern w:val="0"/>
          <w:sz w:val="24"/>
          <w:szCs w:val="24"/>
          <w:lang w:eastAsia="en-AU"/>
        </w:rPr>
        <w:t>Value Adviser Associates</w:t>
      </w:r>
      <w:r w:rsidR="00DD00D8">
        <w:rPr>
          <w:rFonts w:ascii="Arial Narrow" w:eastAsia="Calibri" w:hAnsi="Arial Narrow" w:cs="Arial Narrow"/>
          <w:b w:val="0"/>
          <w:bCs w:val="0"/>
          <w:color w:val="000000"/>
          <w:kern w:val="0"/>
          <w:sz w:val="24"/>
          <w:szCs w:val="24"/>
          <w:lang w:eastAsia="en-AU"/>
        </w:rPr>
        <w:t xml:space="preserve">. </w:t>
      </w:r>
      <w:r w:rsidR="009B2400" w:rsidRPr="00D40766">
        <w:rPr>
          <w:rFonts w:ascii="Arial Narrow" w:eastAsia="Calibri" w:hAnsi="Arial Narrow" w:cs="Arial Narrow"/>
          <w:b w:val="0"/>
          <w:bCs w:val="0"/>
          <w:color w:val="000000"/>
          <w:kern w:val="0"/>
          <w:sz w:val="24"/>
          <w:szCs w:val="24"/>
          <w:lang w:eastAsia="en-AU"/>
        </w:rPr>
        <w:t xml:space="preserve"> </w:t>
      </w:r>
      <w:proofErr w:type="spellStart"/>
      <w:r w:rsidR="009B2400" w:rsidRPr="00D40766">
        <w:rPr>
          <w:rFonts w:ascii="Arial Narrow" w:eastAsia="Calibri" w:hAnsi="Arial Narrow" w:cs="Arial Narrow"/>
          <w:b w:val="0"/>
          <w:bCs w:val="0"/>
          <w:color w:val="000000"/>
          <w:kern w:val="0"/>
          <w:sz w:val="24"/>
          <w:szCs w:val="24"/>
          <w:lang w:eastAsia="en-AU"/>
        </w:rPr>
        <w:t>Envestra</w:t>
      </w:r>
      <w:proofErr w:type="spellEnd"/>
      <w:r w:rsidR="009B2400" w:rsidRPr="00D40766">
        <w:rPr>
          <w:rFonts w:ascii="Arial Narrow" w:eastAsia="Calibri" w:hAnsi="Arial Narrow" w:cs="Arial Narrow"/>
          <w:b w:val="0"/>
          <w:bCs w:val="0"/>
          <w:color w:val="000000"/>
          <w:kern w:val="0"/>
          <w:sz w:val="24"/>
          <w:szCs w:val="24"/>
          <w:lang w:eastAsia="en-AU"/>
        </w:rPr>
        <w:t xml:space="preserve"> has used </w:t>
      </w:r>
      <w:r w:rsidR="00DD00D8">
        <w:rPr>
          <w:rFonts w:ascii="Arial Narrow" w:eastAsia="Calibri" w:hAnsi="Arial Narrow" w:cs="Arial Narrow"/>
          <w:b w:val="0"/>
          <w:bCs w:val="0"/>
          <w:color w:val="000000"/>
          <w:kern w:val="0"/>
          <w:sz w:val="24"/>
          <w:szCs w:val="24"/>
          <w:lang w:eastAsia="en-AU"/>
        </w:rPr>
        <w:t xml:space="preserve">the advice contained in these reports </w:t>
      </w:r>
      <w:r w:rsidR="001C3154">
        <w:rPr>
          <w:rFonts w:ascii="Arial Narrow" w:eastAsia="Calibri" w:hAnsi="Arial Narrow" w:cs="Arial Narrow"/>
          <w:b w:val="0"/>
          <w:bCs w:val="0"/>
          <w:color w:val="000000"/>
          <w:kern w:val="0"/>
          <w:sz w:val="24"/>
          <w:szCs w:val="24"/>
          <w:lang w:eastAsia="en-AU"/>
        </w:rPr>
        <w:t xml:space="preserve">to </w:t>
      </w:r>
      <w:r w:rsidR="00DD00D8">
        <w:rPr>
          <w:rFonts w:ascii="Arial Narrow" w:eastAsia="Calibri" w:hAnsi="Arial Narrow" w:cs="Arial Narrow"/>
          <w:b w:val="0"/>
          <w:bCs w:val="0"/>
          <w:color w:val="000000"/>
          <w:kern w:val="0"/>
          <w:sz w:val="24"/>
          <w:szCs w:val="24"/>
          <w:lang w:eastAsia="en-AU"/>
        </w:rPr>
        <w:t>evaluate and propose an appropriate value for MRP for use in the Final Decision</w:t>
      </w:r>
      <w:r w:rsidR="009B2400" w:rsidRPr="00D40766">
        <w:rPr>
          <w:rFonts w:ascii="Arial Narrow" w:eastAsia="Calibri" w:hAnsi="Arial Narrow" w:cs="Arial Narrow"/>
          <w:b w:val="0"/>
          <w:bCs w:val="0"/>
          <w:color w:val="000000"/>
          <w:kern w:val="0"/>
          <w:sz w:val="24"/>
          <w:szCs w:val="24"/>
          <w:lang w:eastAsia="en-AU"/>
        </w:rPr>
        <w:t xml:space="preserve">.  </w:t>
      </w:r>
      <w:r w:rsidR="0053728B" w:rsidRPr="00D40766">
        <w:rPr>
          <w:rFonts w:ascii="Arial Narrow" w:eastAsia="Calibri" w:hAnsi="Arial Narrow" w:cs="Arial Narrow"/>
          <w:b w:val="0"/>
          <w:bCs w:val="0"/>
          <w:color w:val="000000"/>
          <w:kern w:val="0"/>
          <w:sz w:val="24"/>
          <w:szCs w:val="24"/>
          <w:lang w:eastAsia="en-AU"/>
        </w:rPr>
        <w:t>Th</w:t>
      </w:r>
      <w:r w:rsidR="001C3154">
        <w:rPr>
          <w:rFonts w:ascii="Arial Narrow" w:eastAsia="Calibri" w:hAnsi="Arial Narrow" w:cs="Arial Narrow"/>
          <w:b w:val="0"/>
          <w:bCs w:val="0"/>
          <w:color w:val="000000"/>
          <w:kern w:val="0"/>
          <w:sz w:val="24"/>
          <w:szCs w:val="24"/>
          <w:lang w:eastAsia="en-AU"/>
        </w:rPr>
        <w:t>ese</w:t>
      </w:r>
      <w:r w:rsidR="0053728B" w:rsidRPr="00D40766">
        <w:rPr>
          <w:rFonts w:ascii="Arial Narrow" w:eastAsia="Calibri" w:hAnsi="Arial Narrow" w:cs="Arial Narrow"/>
          <w:b w:val="0"/>
          <w:bCs w:val="0"/>
          <w:color w:val="000000"/>
          <w:kern w:val="0"/>
          <w:sz w:val="24"/>
          <w:szCs w:val="24"/>
          <w:lang w:eastAsia="en-AU"/>
        </w:rPr>
        <w:t xml:space="preserve"> </w:t>
      </w:r>
      <w:r w:rsidR="009B2400" w:rsidRPr="00D40766">
        <w:rPr>
          <w:rFonts w:ascii="Arial Narrow" w:eastAsia="Calibri" w:hAnsi="Arial Narrow" w:cs="Arial Narrow"/>
          <w:b w:val="0"/>
          <w:bCs w:val="0"/>
          <w:color w:val="000000"/>
          <w:kern w:val="0"/>
          <w:sz w:val="24"/>
          <w:szCs w:val="24"/>
          <w:lang w:eastAsia="en-AU"/>
        </w:rPr>
        <w:t>report</w:t>
      </w:r>
      <w:r w:rsidR="001C3154">
        <w:rPr>
          <w:rFonts w:ascii="Arial Narrow" w:eastAsia="Calibri" w:hAnsi="Arial Narrow" w:cs="Arial Narrow"/>
          <w:b w:val="0"/>
          <w:bCs w:val="0"/>
          <w:color w:val="000000"/>
          <w:kern w:val="0"/>
          <w:sz w:val="24"/>
          <w:szCs w:val="24"/>
          <w:lang w:eastAsia="en-AU"/>
        </w:rPr>
        <w:t>s</w:t>
      </w:r>
      <w:r w:rsidR="009B2400" w:rsidRPr="00D40766">
        <w:rPr>
          <w:rFonts w:ascii="Arial Narrow" w:eastAsia="Calibri" w:hAnsi="Arial Narrow" w:cs="Arial Narrow"/>
          <w:b w:val="0"/>
          <w:bCs w:val="0"/>
          <w:color w:val="000000"/>
          <w:kern w:val="0"/>
          <w:sz w:val="24"/>
          <w:szCs w:val="24"/>
          <w:lang w:eastAsia="en-AU"/>
        </w:rPr>
        <w:t xml:space="preserve"> form part of </w:t>
      </w:r>
      <w:proofErr w:type="spellStart"/>
      <w:r w:rsidR="009B2400" w:rsidRPr="00D40766">
        <w:rPr>
          <w:rFonts w:ascii="Arial Narrow" w:eastAsia="Calibri" w:hAnsi="Arial Narrow" w:cs="Arial Narrow"/>
          <w:b w:val="0"/>
          <w:bCs w:val="0"/>
          <w:color w:val="000000"/>
          <w:kern w:val="0"/>
          <w:sz w:val="24"/>
          <w:szCs w:val="24"/>
          <w:lang w:eastAsia="en-AU"/>
        </w:rPr>
        <w:t>Envestra’s</w:t>
      </w:r>
      <w:proofErr w:type="spellEnd"/>
      <w:r w:rsidR="009B2400" w:rsidRPr="00D40766">
        <w:rPr>
          <w:rFonts w:ascii="Arial Narrow" w:eastAsia="Calibri" w:hAnsi="Arial Narrow" w:cs="Arial Narrow"/>
          <w:b w:val="0"/>
          <w:bCs w:val="0"/>
          <w:color w:val="000000"/>
          <w:kern w:val="0"/>
          <w:sz w:val="24"/>
          <w:szCs w:val="24"/>
          <w:lang w:eastAsia="en-AU"/>
        </w:rPr>
        <w:t xml:space="preserve"> submission, and the submission should be read</w:t>
      </w:r>
      <w:r w:rsidR="0053728B" w:rsidRPr="00D40766">
        <w:rPr>
          <w:rFonts w:ascii="Arial Narrow" w:eastAsia="Calibri" w:hAnsi="Arial Narrow" w:cs="Arial Narrow"/>
          <w:b w:val="0"/>
          <w:bCs w:val="0"/>
          <w:color w:val="000000"/>
          <w:kern w:val="0"/>
          <w:sz w:val="24"/>
          <w:szCs w:val="24"/>
          <w:lang w:eastAsia="en-AU"/>
        </w:rPr>
        <w:t xml:space="preserve"> in the context of </w:t>
      </w:r>
      <w:r w:rsidR="001C3154">
        <w:rPr>
          <w:rFonts w:ascii="Arial Narrow" w:eastAsia="Calibri" w:hAnsi="Arial Narrow" w:cs="Arial Narrow"/>
          <w:b w:val="0"/>
          <w:bCs w:val="0"/>
          <w:color w:val="000000"/>
          <w:kern w:val="0"/>
          <w:sz w:val="24"/>
          <w:szCs w:val="24"/>
          <w:lang w:eastAsia="en-AU"/>
        </w:rPr>
        <w:t xml:space="preserve">these </w:t>
      </w:r>
      <w:r w:rsidR="0053728B" w:rsidRPr="00D40766">
        <w:rPr>
          <w:rFonts w:ascii="Arial Narrow" w:eastAsia="Calibri" w:hAnsi="Arial Narrow" w:cs="Arial Narrow"/>
          <w:b w:val="0"/>
          <w:bCs w:val="0"/>
          <w:color w:val="000000"/>
          <w:kern w:val="0"/>
          <w:sz w:val="24"/>
          <w:szCs w:val="24"/>
          <w:lang w:eastAsia="en-AU"/>
        </w:rPr>
        <w:t>report</w:t>
      </w:r>
      <w:r w:rsidR="001C3154">
        <w:rPr>
          <w:rFonts w:ascii="Arial Narrow" w:eastAsia="Calibri" w:hAnsi="Arial Narrow" w:cs="Arial Narrow"/>
          <w:b w:val="0"/>
          <w:bCs w:val="0"/>
          <w:color w:val="000000"/>
          <w:kern w:val="0"/>
          <w:sz w:val="24"/>
          <w:szCs w:val="24"/>
          <w:lang w:eastAsia="en-AU"/>
        </w:rPr>
        <w:t>s</w:t>
      </w:r>
      <w:r w:rsidR="00873E45">
        <w:rPr>
          <w:rFonts w:ascii="Arial Narrow" w:eastAsia="Calibri" w:hAnsi="Arial Narrow" w:cs="Arial Narrow"/>
          <w:b w:val="0"/>
          <w:bCs w:val="0"/>
          <w:color w:val="000000"/>
          <w:kern w:val="0"/>
          <w:sz w:val="24"/>
          <w:szCs w:val="24"/>
          <w:lang w:eastAsia="en-AU"/>
        </w:rPr>
        <w:t>.</w:t>
      </w:r>
    </w:p>
    <w:p w:rsidR="009B2400" w:rsidRPr="00B271B1" w:rsidRDefault="009B2400" w:rsidP="008A2467">
      <w:pPr>
        <w:spacing w:before="0" w:after="0"/>
        <w:ind w:firstLine="0"/>
        <w:rPr>
          <w:rFonts w:ascii="Arial Narrow" w:hAnsi="Arial Narrow" w:cs="Arial Narrow"/>
          <w:color w:val="000000"/>
          <w:sz w:val="24"/>
          <w:szCs w:val="24"/>
          <w:lang w:eastAsia="en-AU"/>
        </w:rPr>
      </w:pPr>
    </w:p>
    <w:p w:rsidR="00484ABD" w:rsidRPr="00873E45" w:rsidRDefault="00484ABD" w:rsidP="00EB743F">
      <w:pPr>
        <w:numPr>
          <w:ilvl w:val="1"/>
          <w:numId w:val="1"/>
        </w:numPr>
        <w:tabs>
          <w:tab w:val="left" w:pos="567"/>
        </w:tabs>
        <w:spacing w:before="0" w:after="0"/>
        <w:ind w:left="567" w:hanging="567"/>
        <w:rPr>
          <w:rFonts w:ascii="Arial Narrow" w:hAnsi="Arial Narrow"/>
          <w:b/>
          <w:sz w:val="24"/>
          <w:szCs w:val="24"/>
        </w:rPr>
      </w:pPr>
      <w:r w:rsidRPr="00873E45">
        <w:rPr>
          <w:rFonts w:ascii="Arial Narrow" w:hAnsi="Arial Narrow"/>
          <w:b/>
          <w:sz w:val="24"/>
          <w:szCs w:val="24"/>
        </w:rPr>
        <w:t xml:space="preserve">Summary of the AER Draft Decision </w:t>
      </w:r>
    </w:p>
    <w:p w:rsidR="00873E45" w:rsidRDefault="00873E45" w:rsidP="008A2467">
      <w:pPr>
        <w:autoSpaceDE w:val="0"/>
        <w:autoSpaceDN w:val="0"/>
        <w:adjustRightInd w:val="0"/>
        <w:spacing w:before="0" w:after="0"/>
        <w:ind w:firstLine="0"/>
        <w:rPr>
          <w:rFonts w:ascii="Arial Narrow" w:hAnsi="Arial Narrow"/>
          <w:sz w:val="24"/>
        </w:rPr>
      </w:pPr>
    </w:p>
    <w:p w:rsidR="009021C2" w:rsidRDefault="009021C2" w:rsidP="008A2467">
      <w:pPr>
        <w:autoSpaceDE w:val="0"/>
        <w:autoSpaceDN w:val="0"/>
        <w:adjustRightInd w:val="0"/>
        <w:spacing w:before="0" w:after="0"/>
        <w:ind w:firstLine="0"/>
        <w:rPr>
          <w:rFonts w:ascii="Arial Narrow" w:hAnsi="Arial Narrow"/>
          <w:sz w:val="24"/>
        </w:rPr>
      </w:pPr>
      <w:r w:rsidRPr="00670206">
        <w:rPr>
          <w:rFonts w:ascii="Arial Narrow" w:hAnsi="Arial Narrow"/>
          <w:sz w:val="24"/>
        </w:rPr>
        <w:t>In the Draft Decision the AER</w:t>
      </w:r>
      <w:r>
        <w:rPr>
          <w:rFonts w:ascii="Arial Narrow" w:hAnsi="Arial Narrow"/>
          <w:sz w:val="24"/>
        </w:rPr>
        <w:t xml:space="preserve"> </w:t>
      </w:r>
      <w:r w:rsidR="0074716A">
        <w:rPr>
          <w:rFonts w:ascii="Arial Narrow" w:hAnsi="Arial Narrow"/>
          <w:sz w:val="24"/>
        </w:rPr>
        <w:t xml:space="preserve">considered a range of information that included </w:t>
      </w:r>
      <w:r w:rsidRPr="009021C2">
        <w:rPr>
          <w:rFonts w:ascii="Arial Narrow" w:hAnsi="Arial Narrow"/>
          <w:sz w:val="24"/>
        </w:rPr>
        <w:t>survey based estimates</w:t>
      </w:r>
      <w:r w:rsidR="0074716A">
        <w:rPr>
          <w:rFonts w:ascii="Arial Narrow" w:hAnsi="Arial Narrow"/>
          <w:sz w:val="24"/>
        </w:rPr>
        <w:t xml:space="preserve">, </w:t>
      </w:r>
      <w:r w:rsidR="00B42B3C">
        <w:rPr>
          <w:rFonts w:ascii="Arial Narrow" w:hAnsi="Arial Narrow"/>
          <w:sz w:val="24"/>
        </w:rPr>
        <w:t>c</w:t>
      </w:r>
      <w:r w:rsidR="00B42B3C" w:rsidRPr="009021C2">
        <w:rPr>
          <w:rFonts w:ascii="Arial Narrow" w:hAnsi="Arial Narrow"/>
          <w:sz w:val="24"/>
        </w:rPr>
        <w:t>omments from the OECD, the IMF and the RBA</w:t>
      </w:r>
      <w:r w:rsidR="00B42B3C">
        <w:rPr>
          <w:rFonts w:ascii="Arial Narrow" w:hAnsi="Arial Narrow"/>
          <w:sz w:val="24"/>
        </w:rPr>
        <w:t>,</w:t>
      </w:r>
      <w:r w:rsidR="00B42B3C" w:rsidRPr="009021C2">
        <w:rPr>
          <w:rFonts w:ascii="Arial Narrow" w:hAnsi="Arial Narrow"/>
          <w:sz w:val="24"/>
        </w:rPr>
        <w:t xml:space="preserve"> </w:t>
      </w:r>
      <w:r w:rsidR="0074716A" w:rsidRPr="009021C2">
        <w:rPr>
          <w:rFonts w:ascii="Arial Narrow" w:hAnsi="Arial Narrow"/>
          <w:sz w:val="24"/>
        </w:rPr>
        <w:t>independent</w:t>
      </w:r>
      <w:r w:rsidR="0074716A">
        <w:rPr>
          <w:rFonts w:ascii="Arial Narrow" w:hAnsi="Arial Narrow"/>
          <w:sz w:val="24"/>
        </w:rPr>
        <w:t xml:space="preserve"> </w:t>
      </w:r>
      <w:r w:rsidR="0074716A" w:rsidRPr="009021C2">
        <w:rPr>
          <w:rFonts w:ascii="Arial Narrow" w:hAnsi="Arial Narrow"/>
          <w:sz w:val="24"/>
        </w:rPr>
        <w:t>valuation reports</w:t>
      </w:r>
      <w:r w:rsidR="0074716A">
        <w:rPr>
          <w:rFonts w:ascii="Arial Narrow" w:hAnsi="Arial Narrow"/>
          <w:sz w:val="24"/>
        </w:rPr>
        <w:t>,</w:t>
      </w:r>
      <w:r w:rsidRPr="009021C2">
        <w:rPr>
          <w:rFonts w:ascii="Arial Narrow" w:hAnsi="Arial Narrow"/>
          <w:sz w:val="24"/>
        </w:rPr>
        <w:t xml:space="preserve"> </w:t>
      </w:r>
      <w:r w:rsidR="0074716A">
        <w:rPr>
          <w:rFonts w:ascii="Arial Narrow" w:hAnsi="Arial Narrow"/>
          <w:sz w:val="24"/>
        </w:rPr>
        <w:t>pas</w:t>
      </w:r>
      <w:r w:rsidRPr="009021C2">
        <w:rPr>
          <w:rFonts w:ascii="Arial Narrow" w:hAnsi="Arial Narrow"/>
          <w:sz w:val="24"/>
        </w:rPr>
        <w:t>t regulatory practice</w:t>
      </w:r>
      <w:r w:rsidR="0074716A">
        <w:rPr>
          <w:rFonts w:ascii="Arial Narrow" w:hAnsi="Arial Narrow"/>
          <w:sz w:val="24"/>
        </w:rPr>
        <w:t xml:space="preserve"> and its own judgement </w:t>
      </w:r>
      <w:r w:rsidR="00B42B3C">
        <w:rPr>
          <w:rFonts w:ascii="Arial Narrow" w:hAnsi="Arial Narrow"/>
          <w:sz w:val="24"/>
        </w:rPr>
        <w:t xml:space="preserve">to </w:t>
      </w:r>
      <w:r w:rsidR="00A62B4A">
        <w:rPr>
          <w:rFonts w:ascii="Arial Narrow" w:hAnsi="Arial Narrow"/>
          <w:sz w:val="24"/>
        </w:rPr>
        <w:t xml:space="preserve">inform its view </w:t>
      </w:r>
      <w:r w:rsidR="00B42B3C">
        <w:rPr>
          <w:rFonts w:ascii="Arial Narrow" w:hAnsi="Arial Narrow"/>
          <w:sz w:val="24"/>
        </w:rPr>
        <w:t>that:</w:t>
      </w:r>
    </w:p>
    <w:p w:rsidR="00B42B3C" w:rsidRDefault="00B42B3C" w:rsidP="008A2467">
      <w:pPr>
        <w:autoSpaceDE w:val="0"/>
        <w:autoSpaceDN w:val="0"/>
        <w:adjustRightInd w:val="0"/>
        <w:spacing w:before="0" w:after="0"/>
        <w:ind w:firstLine="0"/>
        <w:rPr>
          <w:rFonts w:ascii="Arial Narrow" w:hAnsi="Arial Narrow"/>
          <w:sz w:val="24"/>
        </w:rPr>
      </w:pPr>
    </w:p>
    <w:p w:rsidR="00B42B3C" w:rsidRPr="00374CA5" w:rsidRDefault="00B42B3C"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 xml:space="preserve">The empirical estimates of MRP </w:t>
      </w:r>
      <w:r w:rsidR="00DA0C58" w:rsidRPr="00374CA5">
        <w:rPr>
          <w:rFonts w:ascii="Arial Narrow" w:hAnsi="Arial Narrow"/>
          <w:sz w:val="24"/>
        </w:rPr>
        <w:t xml:space="preserve">are accompanied by very wide confidence intervals and </w:t>
      </w:r>
      <w:r w:rsidRPr="00374CA5">
        <w:rPr>
          <w:rFonts w:ascii="Arial Narrow" w:hAnsi="Arial Narrow"/>
          <w:sz w:val="24"/>
        </w:rPr>
        <w:t xml:space="preserve">are </w:t>
      </w:r>
      <w:r w:rsidR="00DA0C58" w:rsidRPr="00374CA5">
        <w:rPr>
          <w:rFonts w:ascii="Arial Narrow" w:hAnsi="Arial Narrow"/>
          <w:sz w:val="24"/>
        </w:rPr>
        <w:t xml:space="preserve">therefore </w:t>
      </w:r>
      <w:r w:rsidRPr="00374CA5">
        <w:rPr>
          <w:rFonts w:ascii="Arial Narrow" w:hAnsi="Arial Narrow"/>
          <w:sz w:val="24"/>
        </w:rPr>
        <w:t>inherently imprecise;</w:t>
      </w:r>
    </w:p>
    <w:p w:rsidR="00B42B3C" w:rsidRPr="00374CA5" w:rsidRDefault="00B42B3C"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The latest long term historical estimates of the MRP fall within a range of 6.1–6.6 per cent (assuming an imputation credit utilisation rate of 0.65);</w:t>
      </w:r>
    </w:p>
    <w:p w:rsidR="00944B3E" w:rsidRPr="00374CA5" w:rsidRDefault="00944B3E"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 xml:space="preserve">MRP estimates based on arithmetic averages should be interpreted with the understanding that they may overstate the expected forward looking 10 year MRP; </w:t>
      </w:r>
    </w:p>
    <w:p w:rsidR="00265CA0" w:rsidRPr="00374CA5" w:rsidRDefault="00B42B3C"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Survey based estimates of the MRP indicate that the forward looking MRP expected</w:t>
      </w:r>
      <w:r w:rsidR="00265CA0" w:rsidRPr="00374CA5">
        <w:rPr>
          <w:rFonts w:ascii="Arial Narrow" w:hAnsi="Arial Narrow"/>
          <w:sz w:val="24"/>
        </w:rPr>
        <w:t xml:space="preserve"> </w:t>
      </w:r>
      <w:r w:rsidRPr="00374CA5">
        <w:rPr>
          <w:rFonts w:ascii="Arial Narrow" w:hAnsi="Arial Narrow"/>
          <w:sz w:val="24"/>
        </w:rPr>
        <w:t xml:space="preserve">to prevail in the future has not </w:t>
      </w:r>
      <w:r w:rsidR="00265CA0" w:rsidRPr="00374CA5">
        <w:rPr>
          <w:rFonts w:ascii="Arial Narrow" w:hAnsi="Arial Narrow"/>
          <w:sz w:val="24"/>
        </w:rPr>
        <w:t>changed as a result of the GFC;</w:t>
      </w:r>
    </w:p>
    <w:p w:rsidR="00B42B3C" w:rsidRPr="00374CA5" w:rsidRDefault="00B42B3C"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Survey based estimates</w:t>
      </w:r>
      <w:r w:rsidR="00265CA0" w:rsidRPr="00374CA5">
        <w:rPr>
          <w:rFonts w:ascii="Arial Narrow" w:hAnsi="Arial Narrow"/>
          <w:sz w:val="24"/>
        </w:rPr>
        <w:t xml:space="preserve"> </w:t>
      </w:r>
      <w:r w:rsidRPr="00374CA5">
        <w:rPr>
          <w:rFonts w:ascii="Arial Narrow" w:hAnsi="Arial Narrow"/>
          <w:sz w:val="24"/>
        </w:rPr>
        <w:t>of the MRP both before and following the GFC suggests a value of 6</w:t>
      </w:r>
      <w:r w:rsidR="00A926A7" w:rsidRPr="00374CA5">
        <w:rPr>
          <w:rFonts w:ascii="Arial Narrow" w:hAnsi="Arial Narrow"/>
          <w:sz w:val="24"/>
        </w:rPr>
        <w:t xml:space="preserve">% </w:t>
      </w:r>
      <w:r w:rsidRPr="00374CA5">
        <w:rPr>
          <w:rFonts w:ascii="Arial Narrow" w:hAnsi="Arial Narrow"/>
          <w:sz w:val="24"/>
        </w:rPr>
        <w:t>is</w:t>
      </w:r>
      <w:r w:rsidR="00265CA0" w:rsidRPr="00374CA5">
        <w:rPr>
          <w:rFonts w:ascii="Arial Narrow" w:hAnsi="Arial Narrow"/>
          <w:sz w:val="24"/>
        </w:rPr>
        <w:t xml:space="preserve"> </w:t>
      </w:r>
      <w:r w:rsidRPr="00374CA5">
        <w:rPr>
          <w:rFonts w:ascii="Arial Narrow" w:hAnsi="Arial Narrow"/>
          <w:sz w:val="24"/>
        </w:rPr>
        <w:t>consistent with the views of market practitioners, academics and independent</w:t>
      </w:r>
      <w:r w:rsidR="00265CA0" w:rsidRPr="00374CA5">
        <w:rPr>
          <w:rFonts w:ascii="Arial Narrow" w:hAnsi="Arial Narrow"/>
          <w:sz w:val="24"/>
        </w:rPr>
        <w:t xml:space="preserve"> </w:t>
      </w:r>
      <w:r w:rsidR="00C41689" w:rsidRPr="00374CA5">
        <w:rPr>
          <w:rFonts w:ascii="Arial Narrow" w:hAnsi="Arial Narrow"/>
          <w:sz w:val="24"/>
        </w:rPr>
        <w:t>valuation reports;</w:t>
      </w:r>
    </w:p>
    <w:p w:rsidR="00FC1ACE" w:rsidRPr="00374CA5" w:rsidRDefault="00FC1ACE"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 xml:space="preserve">A range of pre-GFC empirical analysis dating back to 1998 supports a 6% value for MRP in the </w:t>
      </w:r>
      <w:r w:rsidR="00B42750">
        <w:rPr>
          <w:rFonts w:ascii="Arial Narrow" w:hAnsi="Arial Narrow"/>
          <w:sz w:val="24"/>
        </w:rPr>
        <w:t xml:space="preserve">current </w:t>
      </w:r>
      <w:proofErr w:type="spellStart"/>
      <w:r w:rsidRPr="00374CA5">
        <w:rPr>
          <w:rFonts w:ascii="Arial Narrow" w:hAnsi="Arial Narrow"/>
          <w:sz w:val="24"/>
        </w:rPr>
        <w:t>Envestra</w:t>
      </w:r>
      <w:proofErr w:type="spellEnd"/>
      <w:r w:rsidRPr="00374CA5">
        <w:rPr>
          <w:rFonts w:ascii="Arial Narrow" w:hAnsi="Arial Narrow"/>
          <w:sz w:val="24"/>
        </w:rPr>
        <w:t xml:space="preserve"> Access Arrangement Period;</w:t>
      </w:r>
    </w:p>
    <w:p w:rsidR="00C41689" w:rsidRPr="00374CA5" w:rsidRDefault="00C41689"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 xml:space="preserve">The Officer and Bishop method of using implied volatility and a ‘glide path’ approach is </w:t>
      </w:r>
      <w:r w:rsidR="00097FAE" w:rsidRPr="00374CA5">
        <w:rPr>
          <w:rFonts w:ascii="Arial Narrow" w:hAnsi="Arial Narrow"/>
          <w:sz w:val="24"/>
        </w:rPr>
        <w:t xml:space="preserve">not </w:t>
      </w:r>
      <w:r w:rsidRPr="00374CA5">
        <w:rPr>
          <w:rFonts w:ascii="Arial Narrow" w:hAnsi="Arial Narrow"/>
          <w:sz w:val="24"/>
        </w:rPr>
        <w:t xml:space="preserve">a reliable method </w:t>
      </w:r>
      <w:r w:rsidR="00097FAE" w:rsidRPr="00374CA5">
        <w:rPr>
          <w:rFonts w:ascii="Arial Narrow" w:hAnsi="Arial Narrow"/>
          <w:sz w:val="24"/>
        </w:rPr>
        <w:t>for</w:t>
      </w:r>
      <w:r w:rsidRPr="00374CA5">
        <w:rPr>
          <w:rFonts w:ascii="Arial Narrow" w:hAnsi="Arial Narrow"/>
          <w:sz w:val="24"/>
        </w:rPr>
        <w:t xml:space="preserve"> estimating </w:t>
      </w:r>
      <w:r w:rsidR="00097FAE" w:rsidRPr="00374CA5">
        <w:rPr>
          <w:rFonts w:ascii="Arial Narrow" w:hAnsi="Arial Narrow"/>
          <w:sz w:val="24"/>
        </w:rPr>
        <w:t>the</w:t>
      </w:r>
      <w:r w:rsidRPr="00374CA5">
        <w:rPr>
          <w:rFonts w:ascii="Arial Narrow" w:hAnsi="Arial Narrow"/>
          <w:sz w:val="24"/>
        </w:rPr>
        <w:t xml:space="preserve"> forward looking 10 year MRP;</w:t>
      </w:r>
    </w:p>
    <w:p w:rsidR="00F1206C" w:rsidRDefault="00F1206C" w:rsidP="00EB743F">
      <w:pPr>
        <w:numPr>
          <w:ilvl w:val="0"/>
          <w:numId w:val="3"/>
        </w:numPr>
        <w:tabs>
          <w:tab w:val="left" w:pos="426"/>
        </w:tabs>
        <w:autoSpaceDE w:val="0"/>
        <w:autoSpaceDN w:val="0"/>
        <w:adjustRightInd w:val="0"/>
        <w:spacing w:before="0" w:after="0"/>
        <w:ind w:left="426" w:hanging="426"/>
        <w:rPr>
          <w:rFonts w:ascii="Arial Narrow" w:hAnsi="Arial Narrow"/>
          <w:sz w:val="24"/>
        </w:rPr>
      </w:pPr>
      <w:r w:rsidRPr="00374CA5">
        <w:rPr>
          <w:rFonts w:ascii="Arial Narrow" w:hAnsi="Arial Narrow"/>
          <w:sz w:val="24"/>
        </w:rPr>
        <w:t>The AER considers that D</w:t>
      </w:r>
      <w:r w:rsidR="00097FAE" w:rsidRPr="00374CA5">
        <w:rPr>
          <w:rFonts w:ascii="Arial Narrow" w:hAnsi="Arial Narrow"/>
          <w:sz w:val="24"/>
        </w:rPr>
        <w:t xml:space="preserve">ividend </w:t>
      </w:r>
      <w:r w:rsidRPr="00374CA5">
        <w:rPr>
          <w:rFonts w:ascii="Arial Narrow" w:hAnsi="Arial Narrow"/>
          <w:sz w:val="24"/>
        </w:rPr>
        <w:t>G</w:t>
      </w:r>
      <w:r w:rsidR="00097FAE" w:rsidRPr="00374CA5">
        <w:rPr>
          <w:rFonts w:ascii="Arial Narrow" w:hAnsi="Arial Narrow"/>
          <w:sz w:val="24"/>
        </w:rPr>
        <w:t xml:space="preserve">rowth </w:t>
      </w:r>
      <w:r w:rsidRPr="00374CA5">
        <w:rPr>
          <w:rFonts w:ascii="Arial Narrow" w:hAnsi="Arial Narrow"/>
          <w:sz w:val="24"/>
        </w:rPr>
        <w:t>M</w:t>
      </w:r>
      <w:r w:rsidR="00097FAE" w:rsidRPr="00374CA5">
        <w:rPr>
          <w:rFonts w:ascii="Arial Narrow" w:hAnsi="Arial Narrow"/>
          <w:sz w:val="24"/>
        </w:rPr>
        <w:t>odel (‘DGM’)</w:t>
      </w:r>
      <w:r w:rsidRPr="00374CA5">
        <w:rPr>
          <w:rFonts w:ascii="Arial Narrow" w:hAnsi="Arial Narrow"/>
          <w:sz w:val="24"/>
        </w:rPr>
        <w:t xml:space="preserve"> based estimates of the MRP can provide some information on the expected MRP. However due to the variability in the estimates over time, and due to the sensitivity of results to input assumptions, they should be limited to providing a general point of reference for assessing the reasonableness of estima</w:t>
      </w:r>
      <w:r w:rsidR="00DF02E0">
        <w:rPr>
          <w:rFonts w:ascii="Arial Narrow" w:hAnsi="Arial Narrow"/>
          <w:sz w:val="24"/>
        </w:rPr>
        <w:t>tes derived from other sources;</w:t>
      </w:r>
    </w:p>
    <w:p w:rsidR="00DF02E0" w:rsidRPr="00374CA5" w:rsidRDefault="00DF02E0" w:rsidP="00DF02E0">
      <w:pPr>
        <w:tabs>
          <w:tab w:val="left" w:pos="426"/>
        </w:tabs>
        <w:autoSpaceDE w:val="0"/>
        <w:autoSpaceDN w:val="0"/>
        <w:adjustRightInd w:val="0"/>
        <w:spacing w:before="0" w:after="0"/>
        <w:ind w:left="426" w:firstLine="0"/>
        <w:rPr>
          <w:rFonts w:ascii="Arial Narrow" w:hAnsi="Arial Narrow"/>
          <w:sz w:val="24"/>
        </w:rPr>
      </w:pPr>
    </w:p>
    <w:p w:rsidR="00B42B3C" w:rsidRPr="00374CA5" w:rsidRDefault="00D27D93" w:rsidP="00EB743F">
      <w:pPr>
        <w:numPr>
          <w:ilvl w:val="0"/>
          <w:numId w:val="4"/>
        </w:numPr>
        <w:tabs>
          <w:tab w:val="left" w:pos="851"/>
        </w:tabs>
        <w:autoSpaceDE w:val="0"/>
        <w:autoSpaceDN w:val="0"/>
        <w:adjustRightInd w:val="0"/>
        <w:spacing w:before="0" w:after="0"/>
        <w:ind w:left="851" w:hanging="425"/>
        <w:rPr>
          <w:rFonts w:ascii="Arial Narrow" w:hAnsi="Arial Narrow"/>
          <w:sz w:val="24"/>
        </w:rPr>
      </w:pPr>
      <w:r w:rsidRPr="00374CA5">
        <w:rPr>
          <w:rFonts w:ascii="Arial Narrow" w:hAnsi="Arial Narrow"/>
          <w:sz w:val="24"/>
        </w:rPr>
        <w:t>S</w:t>
      </w:r>
      <w:r w:rsidR="00265CA0" w:rsidRPr="00374CA5">
        <w:rPr>
          <w:rFonts w:ascii="Arial Narrow" w:hAnsi="Arial Narrow"/>
          <w:sz w:val="24"/>
        </w:rPr>
        <w:t xml:space="preserve">tatements from the IMF, the OECD and the RBA </w:t>
      </w:r>
      <w:r w:rsidRPr="00374CA5">
        <w:rPr>
          <w:rFonts w:ascii="Arial Narrow" w:hAnsi="Arial Narrow"/>
          <w:sz w:val="24"/>
        </w:rPr>
        <w:t xml:space="preserve">about the macroeconomic performance </w:t>
      </w:r>
      <w:r w:rsidR="00004203" w:rsidRPr="00374CA5">
        <w:rPr>
          <w:rFonts w:ascii="Arial Narrow" w:hAnsi="Arial Narrow"/>
          <w:sz w:val="24"/>
        </w:rPr>
        <w:t xml:space="preserve">and capital investment outlook </w:t>
      </w:r>
      <w:r w:rsidRPr="00374CA5">
        <w:rPr>
          <w:rFonts w:ascii="Arial Narrow" w:hAnsi="Arial Narrow"/>
          <w:sz w:val="24"/>
        </w:rPr>
        <w:t>f</w:t>
      </w:r>
      <w:r w:rsidR="00004203" w:rsidRPr="00374CA5">
        <w:rPr>
          <w:rFonts w:ascii="Arial Narrow" w:hAnsi="Arial Narrow"/>
          <w:sz w:val="24"/>
        </w:rPr>
        <w:t>or the</w:t>
      </w:r>
      <w:r w:rsidRPr="00374CA5">
        <w:rPr>
          <w:rFonts w:ascii="Arial Narrow" w:hAnsi="Arial Narrow"/>
          <w:sz w:val="24"/>
        </w:rPr>
        <w:t xml:space="preserve"> Australia</w:t>
      </w:r>
      <w:r w:rsidR="00004203" w:rsidRPr="00374CA5">
        <w:rPr>
          <w:rFonts w:ascii="Arial Narrow" w:hAnsi="Arial Narrow"/>
          <w:sz w:val="24"/>
        </w:rPr>
        <w:t xml:space="preserve">n economy </w:t>
      </w:r>
      <w:r w:rsidRPr="00374CA5">
        <w:rPr>
          <w:rFonts w:ascii="Arial Narrow" w:hAnsi="Arial Narrow"/>
          <w:sz w:val="24"/>
        </w:rPr>
        <w:t xml:space="preserve">to infer </w:t>
      </w:r>
      <w:r w:rsidR="00265CA0" w:rsidRPr="00374CA5">
        <w:rPr>
          <w:rFonts w:ascii="Arial Narrow" w:hAnsi="Arial Narrow"/>
          <w:sz w:val="24"/>
        </w:rPr>
        <w:t xml:space="preserve">that </w:t>
      </w:r>
      <w:r w:rsidR="00004203" w:rsidRPr="00374CA5">
        <w:rPr>
          <w:rFonts w:ascii="Arial Narrow" w:hAnsi="Arial Narrow"/>
          <w:sz w:val="24"/>
        </w:rPr>
        <w:t xml:space="preserve">equity </w:t>
      </w:r>
      <w:r w:rsidR="00265CA0" w:rsidRPr="00374CA5">
        <w:rPr>
          <w:rFonts w:ascii="Arial Narrow" w:hAnsi="Arial Narrow"/>
          <w:sz w:val="24"/>
        </w:rPr>
        <w:t xml:space="preserve">market conditions have stabilised </w:t>
      </w:r>
      <w:r w:rsidRPr="00374CA5">
        <w:rPr>
          <w:rFonts w:ascii="Arial Narrow" w:hAnsi="Arial Narrow"/>
          <w:sz w:val="24"/>
        </w:rPr>
        <w:t xml:space="preserve">and </w:t>
      </w:r>
      <w:r w:rsidR="00265CA0" w:rsidRPr="00374CA5">
        <w:rPr>
          <w:rFonts w:ascii="Arial Narrow" w:hAnsi="Arial Narrow"/>
          <w:sz w:val="24"/>
        </w:rPr>
        <w:t xml:space="preserve">that investors are no longer factoring the substantial volatility experienced at the height of the GFC into their </w:t>
      </w:r>
      <w:r w:rsidRPr="00374CA5">
        <w:rPr>
          <w:rFonts w:ascii="Arial Narrow" w:hAnsi="Arial Narrow"/>
          <w:sz w:val="24"/>
        </w:rPr>
        <w:t xml:space="preserve">MRP </w:t>
      </w:r>
      <w:r w:rsidR="00265CA0" w:rsidRPr="00374CA5">
        <w:rPr>
          <w:rFonts w:ascii="Arial Narrow" w:hAnsi="Arial Narrow"/>
          <w:sz w:val="24"/>
        </w:rPr>
        <w:t>expectations</w:t>
      </w:r>
      <w:r w:rsidR="00F1206C" w:rsidRPr="00374CA5">
        <w:rPr>
          <w:rFonts w:ascii="Arial Narrow" w:hAnsi="Arial Narrow"/>
          <w:sz w:val="24"/>
        </w:rPr>
        <w:t>.</w:t>
      </w:r>
    </w:p>
    <w:p w:rsidR="00A62B4A" w:rsidRDefault="00A62B4A" w:rsidP="00EB743F">
      <w:pPr>
        <w:numPr>
          <w:ilvl w:val="0"/>
          <w:numId w:val="4"/>
        </w:numPr>
        <w:tabs>
          <w:tab w:val="left" w:pos="851"/>
        </w:tabs>
        <w:autoSpaceDE w:val="0"/>
        <w:autoSpaceDN w:val="0"/>
        <w:adjustRightInd w:val="0"/>
        <w:spacing w:before="0" w:after="0"/>
        <w:ind w:left="851" w:hanging="425"/>
        <w:rPr>
          <w:rFonts w:ascii="Arial Narrow" w:hAnsi="Arial Narrow"/>
          <w:sz w:val="24"/>
        </w:rPr>
      </w:pPr>
      <w:r>
        <w:rPr>
          <w:rFonts w:ascii="Arial Narrow" w:hAnsi="Arial Narrow"/>
          <w:sz w:val="24"/>
        </w:rPr>
        <w:t>A</w:t>
      </w:r>
      <w:r w:rsidRPr="009021C2">
        <w:rPr>
          <w:rFonts w:ascii="Arial Narrow" w:hAnsi="Arial Narrow"/>
          <w:sz w:val="24"/>
        </w:rPr>
        <w:t>n MRP</w:t>
      </w:r>
      <w:r>
        <w:rPr>
          <w:rFonts w:ascii="Arial Narrow" w:hAnsi="Arial Narrow"/>
          <w:sz w:val="24"/>
        </w:rPr>
        <w:t xml:space="preserve"> </w:t>
      </w:r>
      <w:r w:rsidRPr="009021C2">
        <w:rPr>
          <w:rFonts w:ascii="Arial Narrow" w:hAnsi="Arial Narrow"/>
          <w:sz w:val="24"/>
        </w:rPr>
        <w:t xml:space="preserve">within the range of 6.5 to 8 per cent proposed by </w:t>
      </w:r>
      <w:proofErr w:type="spellStart"/>
      <w:r w:rsidRPr="009021C2">
        <w:rPr>
          <w:rFonts w:ascii="Arial Narrow" w:hAnsi="Arial Narrow"/>
          <w:sz w:val="24"/>
        </w:rPr>
        <w:t>Envestra</w:t>
      </w:r>
      <w:proofErr w:type="spellEnd"/>
      <w:r w:rsidRPr="009021C2">
        <w:rPr>
          <w:rFonts w:ascii="Arial Narrow" w:hAnsi="Arial Narrow"/>
          <w:sz w:val="24"/>
        </w:rPr>
        <w:t xml:space="preserve"> is not the best estimate</w:t>
      </w:r>
      <w:r>
        <w:rPr>
          <w:rFonts w:ascii="Arial Narrow" w:hAnsi="Arial Narrow"/>
          <w:sz w:val="24"/>
        </w:rPr>
        <w:t xml:space="preserve"> </w:t>
      </w:r>
      <w:r w:rsidRPr="009021C2">
        <w:rPr>
          <w:rFonts w:ascii="Arial Narrow" w:hAnsi="Arial Narrow"/>
          <w:sz w:val="24"/>
        </w:rPr>
        <w:t>possible in the circumstances (rule 74(2) of the NGR) and is not consistent with the</w:t>
      </w:r>
      <w:r>
        <w:rPr>
          <w:rFonts w:ascii="Arial Narrow" w:hAnsi="Arial Narrow"/>
          <w:sz w:val="24"/>
        </w:rPr>
        <w:t xml:space="preserve"> </w:t>
      </w:r>
      <w:r w:rsidRPr="009021C2">
        <w:rPr>
          <w:rFonts w:ascii="Arial Narrow" w:hAnsi="Arial Narrow"/>
          <w:sz w:val="24"/>
        </w:rPr>
        <w:t>requirement that the rate of return is to be commensurate with prevailing conditions in</w:t>
      </w:r>
      <w:r>
        <w:rPr>
          <w:rFonts w:ascii="Arial Narrow" w:hAnsi="Arial Narrow"/>
          <w:sz w:val="24"/>
        </w:rPr>
        <w:t xml:space="preserve"> </w:t>
      </w:r>
      <w:r w:rsidRPr="009021C2">
        <w:rPr>
          <w:rFonts w:ascii="Arial Narrow" w:hAnsi="Arial Narrow"/>
          <w:sz w:val="24"/>
        </w:rPr>
        <w:t>the market for funds (rule 87(1) of the NGR).</w:t>
      </w:r>
    </w:p>
    <w:p w:rsidR="00865083" w:rsidRDefault="00865083" w:rsidP="008A2467">
      <w:pPr>
        <w:autoSpaceDE w:val="0"/>
        <w:autoSpaceDN w:val="0"/>
        <w:adjustRightInd w:val="0"/>
        <w:spacing w:before="0" w:after="0"/>
        <w:ind w:firstLine="0"/>
        <w:rPr>
          <w:rFonts w:ascii="Arial Narrow" w:hAnsi="Arial Narrow"/>
          <w:sz w:val="24"/>
        </w:rPr>
      </w:pPr>
    </w:p>
    <w:p w:rsidR="00B42B3C" w:rsidRDefault="00865083" w:rsidP="008A2467">
      <w:pPr>
        <w:autoSpaceDE w:val="0"/>
        <w:autoSpaceDN w:val="0"/>
        <w:adjustRightInd w:val="0"/>
        <w:spacing w:before="0" w:after="0"/>
        <w:ind w:firstLine="0"/>
        <w:rPr>
          <w:rFonts w:ascii="Arial Narrow" w:hAnsi="Arial Narrow"/>
          <w:sz w:val="24"/>
        </w:rPr>
      </w:pPr>
      <w:r>
        <w:rPr>
          <w:rFonts w:ascii="Arial Narrow" w:hAnsi="Arial Narrow"/>
          <w:sz w:val="24"/>
        </w:rPr>
        <w:t>Each of these issues is examined in the following section.</w:t>
      </w:r>
    </w:p>
    <w:p w:rsidR="00865083" w:rsidRDefault="00865083" w:rsidP="008A2467">
      <w:pPr>
        <w:autoSpaceDE w:val="0"/>
        <w:autoSpaceDN w:val="0"/>
        <w:adjustRightInd w:val="0"/>
        <w:spacing w:before="0" w:after="0"/>
        <w:ind w:firstLine="0"/>
        <w:rPr>
          <w:rFonts w:ascii="Arial Narrow" w:hAnsi="Arial Narrow"/>
          <w:sz w:val="24"/>
        </w:rPr>
      </w:pPr>
    </w:p>
    <w:p w:rsidR="004B3142" w:rsidRDefault="003E3B45" w:rsidP="00EB743F">
      <w:pPr>
        <w:pStyle w:val="ListParagraph"/>
        <w:numPr>
          <w:ilvl w:val="2"/>
          <w:numId w:val="1"/>
        </w:numPr>
        <w:tabs>
          <w:tab w:val="left" w:pos="709"/>
        </w:tabs>
        <w:ind w:left="709" w:hanging="709"/>
        <w:rPr>
          <w:rFonts w:ascii="Arial Narrow" w:hAnsi="Arial Narrow"/>
          <w:b/>
        </w:rPr>
      </w:pPr>
      <w:proofErr w:type="spellStart"/>
      <w:r w:rsidRPr="004B3142">
        <w:rPr>
          <w:rFonts w:ascii="Arial Narrow" w:hAnsi="Arial Narrow"/>
          <w:b/>
        </w:rPr>
        <w:t>Envestra</w:t>
      </w:r>
      <w:proofErr w:type="spellEnd"/>
      <w:r w:rsidRPr="004B3142">
        <w:rPr>
          <w:rFonts w:ascii="Arial Narrow" w:hAnsi="Arial Narrow"/>
          <w:b/>
        </w:rPr>
        <w:t xml:space="preserve"> Position &amp; Proposal</w:t>
      </w:r>
    </w:p>
    <w:p w:rsidR="003E3B45" w:rsidRPr="004B3142" w:rsidRDefault="003E3B45" w:rsidP="004B3142">
      <w:pPr>
        <w:pStyle w:val="ListParagraph"/>
        <w:tabs>
          <w:tab w:val="left" w:pos="709"/>
        </w:tabs>
        <w:ind w:left="709"/>
        <w:rPr>
          <w:rFonts w:ascii="Arial Narrow" w:hAnsi="Arial Narrow"/>
          <w:b/>
        </w:rPr>
      </w:pPr>
      <w:r w:rsidRPr="004B3142">
        <w:rPr>
          <w:rFonts w:ascii="Arial Narrow" w:hAnsi="Arial Narrow"/>
          <w:b/>
        </w:rPr>
        <w:t xml:space="preserve"> </w:t>
      </w:r>
    </w:p>
    <w:p w:rsidR="003E3B45" w:rsidRDefault="00865083" w:rsidP="00EB743F">
      <w:pPr>
        <w:pStyle w:val="ListParagraph"/>
        <w:numPr>
          <w:ilvl w:val="2"/>
          <w:numId w:val="2"/>
        </w:numPr>
        <w:tabs>
          <w:tab w:val="left" w:pos="709"/>
        </w:tabs>
        <w:ind w:left="709" w:hanging="709"/>
        <w:rPr>
          <w:rFonts w:ascii="Arial Narrow" w:hAnsi="Arial Narrow"/>
          <w:b/>
        </w:rPr>
      </w:pPr>
      <w:r w:rsidRPr="00CD0DC4">
        <w:rPr>
          <w:rFonts w:ascii="Arial Narrow" w:hAnsi="Arial Narrow"/>
          <w:b/>
        </w:rPr>
        <w:t>Statistical Imprecision of</w:t>
      </w:r>
      <w:r w:rsidR="003E3B45" w:rsidRPr="00CD0DC4">
        <w:rPr>
          <w:rFonts w:ascii="Arial Narrow" w:hAnsi="Arial Narrow"/>
          <w:b/>
        </w:rPr>
        <w:t xml:space="preserve"> </w:t>
      </w:r>
      <w:r w:rsidRPr="00CD0DC4">
        <w:rPr>
          <w:rFonts w:ascii="Arial Narrow" w:hAnsi="Arial Narrow"/>
          <w:b/>
        </w:rPr>
        <w:t>M</w:t>
      </w:r>
      <w:r w:rsidR="003E3B45" w:rsidRPr="00CD0DC4">
        <w:rPr>
          <w:rFonts w:ascii="Arial Narrow" w:hAnsi="Arial Narrow"/>
          <w:b/>
        </w:rPr>
        <w:t>RP</w:t>
      </w:r>
      <w:r w:rsidRPr="00CD0DC4">
        <w:rPr>
          <w:rFonts w:ascii="Arial Narrow" w:hAnsi="Arial Narrow"/>
          <w:b/>
        </w:rPr>
        <w:t xml:space="preserve"> Estimates</w:t>
      </w:r>
    </w:p>
    <w:p w:rsidR="004B3142" w:rsidRPr="00CD0DC4" w:rsidRDefault="004B3142" w:rsidP="004B3142">
      <w:pPr>
        <w:pStyle w:val="ListParagraph"/>
        <w:ind w:left="2880"/>
        <w:rPr>
          <w:rFonts w:ascii="Arial Narrow" w:hAnsi="Arial Narrow"/>
          <w:b/>
        </w:rPr>
      </w:pPr>
    </w:p>
    <w:p w:rsidR="00F8193F" w:rsidRDefault="00B23CCF" w:rsidP="004B3142">
      <w:pPr>
        <w:autoSpaceDE w:val="0"/>
        <w:autoSpaceDN w:val="0"/>
        <w:adjustRightInd w:val="0"/>
        <w:spacing w:before="0" w:after="0"/>
        <w:ind w:firstLine="0"/>
        <w:rPr>
          <w:rFonts w:ascii="Arial Narrow" w:hAnsi="Arial Narrow"/>
          <w:sz w:val="24"/>
        </w:rPr>
      </w:pPr>
      <w:r>
        <w:rPr>
          <w:rFonts w:ascii="Arial Narrow" w:hAnsi="Arial Narrow"/>
          <w:sz w:val="24"/>
        </w:rPr>
        <w:t>Handley</w:t>
      </w:r>
      <w:r>
        <w:rPr>
          <w:rStyle w:val="FootnoteReference"/>
          <w:rFonts w:ascii="Arial Narrow" w:hAnsi="Arial Narrow"/>
          <w:sz w:val="24"/>
        </w:rPr>
        <w:footnoteReference w:id="2"/>
      </w:r>
      <w:r>
        <w:rPr>
          <w:rFonts w:ascii="Arial Narrow" w:hAnsi="Arial Narrow"/>
          <w:sz w:val="24"/>
        </w:rPr>
        <w:t xml:space="preserve"> has reported MRP estimates (</w:t>
      </w:r>
      <w:r w:rsidR="00F8193F">
        <w:rPr>
          <w:rFonts w:ascii="Arial Narrow" w:hAnsi="Arial Narrow"/>
          <w:sz w:val="24"/>
        </w:rPr>
        <w:t xml:space="preserve">and confidence interval and </w:t>
      </w:r>
      <w:r>
        <w:rPr>
          <w:rFonts w:ascii="Arial Narrow" w:hAnsi="Arial Narrow"/>
          <w:sz w:val="24"/>
        </w:rPr>
        <w:t>stand</w:t>
      </w:r>
      <w:r w:rsidR="003563CE">
        <w:rPr>
          <w:rFonts w:ascii="Arial Narrow" w:hAnsi="Arial Narrow"/>
          <w:sz w:val="24"/>
        </w:rPr>
        <w:t>ard</w:t>
      </w:r>
      <w:r>
        <w:rPr>
          <w:rFonts w:ascii="Arial Narrow" w:hAnsi="Arial Narrow"/>
          <w:sz w:val="24"/>
        </w:rPr>
        <w:t xml:space="preserve"> error</w:t>
      </w:r>
      <w:r w:rsidR="00F8193F">
        <w:rPr>
          <w:rFonts w:ascii="Arial Narrow" w:hAnsi="Arial Narrow"/>
          <w:sz w:val="24"/>
        </w:rPr>
        <w:t xml:space="preserve"> information</w:t>
      </w:r>
      <w:r>
        <w:rPr>
          <w:rFonts w:ascii="Arial Narrow" w:hAnsi="Arial Narrow"/>
          <w:sz w:val="24"/>
        </w:rPr>
        <w:t xml:space="preserve">) </w:t>
      </w:r>
      <w:r w:rsidR="00F8193F">
        <w:rPr>
          <w:rFonts w:ascii="Arial Narrow" w:hAnsi="Arial Narrow"/>
          <w:sz w:val="24"/>
        </w:rPr>
        <w:t>adjusted for various estimates of the value of imputation credits (</w:t>
      </w:r>
      <w:r w:rsidR="00F8193F" w:rsidRPr="00F8193F">
        <w:rPr>
          <w:rFonts w:ascii="Symbol" w:hAnsi="Symbol"/>
          <w:sz w:val="24"/>
        </w:rPr>
        <w:t></w:t>
      </w:r>
      <w:r w:rsidR="00F8193F">
        <w:rPr>
          <w:rFonts w:ascii="Arial Narrow" w:hAnsi="Arial Narrow"/>
          <w:sz w:val="24"/>
        </w:rPr>
        <w:t xml:space="preserve">) </w:t>
      </w:r>
      <w:r>
        <w:rPr>
          <w:rFonts w:ascii="Arial Narrow" w:hAnsi="Arial Narrow"/>
          <w:sz w:val="24"/>
        </w:rPr>
        <w:t xml:space="preserve">using data </w:t>
      </w:r>
      <w:r w:rsidRPr="00B23CCF">
        <w:rPr>
          <w:rFonts w:ascii="Arial Narrow" w:hAnsi="Arial Narrow"/>
          <w:sz w:val="24"/>
        </w:rPr>
        <w:t>over the period 1883 to 20</w:t>
      </w:r>
      <w:r>
        <w:rPr>
          <w:rFonts w:ascii="Arial Narrow" w:hAnsi="Arial Narrow"/>
          <w:sz w:val="24"/>
        </w:rPr>
        <w:t>1</w:t>
      </w:r>
      <w:r w:rsidRPr="00B23CCF">
        <w:rPr>
          <w:rFonts w:ascii="Arial Narrow" w:hAnsi="Arial Narrow"/>
          <w:sz w:val="24"/>
        </w:rPr>
        <w:t>0</w:t>
      </w:r>
      <w:r w:rsidR="00F8193F">
        <w:rPr>
          <w:rFonts w:ascii="Arial Narrow" w:hAnsi="Arial Narrow"/>
          <w:sz w:val="24"/>
        </w:rPr>
        <w:t>.  MRP estimates have been reported using both</w:t>
      </w:r>
      <w:r>
        <w:rPr>
          <w:rFonts w:ascii="Arial Narrow" w:hAnsi="Arial Narrow"/>
          <w:sz w:val="24"/>
        </w:rPr>
        <w:t xml:space="preserve"> arithmetic </w:t>
      </w:r>
      <w:r w:rsidR="00F8193F">
        <w:rPr>
          <w:rFonts w:ascii="Arial Narrow" w:hAnsi="Arial Narrow"/>
          <w:sz w:val="24"/>
        </w:rPr>
        <w:t xml:space="preserve">and geometric </w:t>
      </w:r>
      <w:r>
        <w:rPr>
          <w:rFonts w:ascii="Arial Narrow" w:hAnsi="Arial Narrow"/>
          <w:sz w:val="24"/>
        </w:rPr>
        <w:t>average</w:t>
      </w:r>
      <w:r w:rsidR="00F8193F">
        <w:rPr>
          <w:rFonts w:ascii="Arial Narrow" w:hAnsi="Arial Narrow"/>
          <w:sz w:val="24"/>
        </w:rPr>
        <w:t xml:space="preserve">s.  </w:t>
      </w:r>
      <w:r w:rsidR="000A1B0E">
        <w:rPr>
          <w:rFonts w:ascii="Arial Narrow" w:hAnsi="Arial Narrow"/>
          <w:sz w:val="24"/>
        </w:rPr>
        <w:t xml:space="preserve">As discussed in the SFG report, MRP estimates based on geometric averages are not consistent with </w:t>
      </w:r>
      <w:r w:rsidR="00CE75E4" w:rsidRPr="000A1B0E">
        <w:rPr>
          <w:rFonts w:ascii="Arial Narrow" w:hAnsi="Arial Narrow"/>
          <w:sz w:val="24"/>
        </w:rPr>
        <w:t>standard valuation practice</w:t>
      </w:r>
      <w:r w:rsidR="00CE75E4">
        <w:rPr>
          <w:rFonts w:ascii="Arial Narrow" w:hAnsi="Arial Narrow"/>
          <w:sz w:val="24"/>
        </w:rPr>
        <w:t xml:space="preserve"> and </w:t>
      </w:r>
      <w:r w:rsidR="000A1B0E">
        <w:rPr>
          <w:rFonts w:ascii="Arial Narrow" w:hAnsi="Arial Narrow"/>
          <w:sz w:val="24"/>
        </w:rPr>
        <w:t xml:space="preserve">the AERs application of the CAPM.  Therefore, </w:t>
      </w:r>
      <w:r w:rsidR="00CE75E4">
        <w:rPr>
          <w:rFonts w:ascii="Arial Narrow" w:hAnsi="Arial Narrow"/>
          <w:sz w:val="24"/>
        </w:rPr>
        <w:t xml:space="preserve">for the purposes of this Access Arrangement </w:t>
      </w:r>
      <w:r w:rsidR="000A1B0E">
        <w:rPr>
          <w:rFonts w:ascii="Arial Narrow" w:hAnsi="Arial Narrow"/>
          <w:sz w:val="24"/>
        </w:rPr>
        <w:t xml:space="preserve">it is </w:t>
      </w:r>
      <w:r w:rsidR="008518C9">
        <w:rPr>
          <w:rFonts w:ascii="Arial Narrow" w:hAnsi="Arial Narrow"/>
          <w:sz w:val="24"/>
        </w:rPr>
        <w:t xml:space="preserve">not </w:t>
      </w:r>
      <w:r w:rsidR="000A1B0E">
        <w:rPr>
          <w:rFonts w:ascii="Arial Narrow" w:hAnsi="Arial Narrow"/>
          <w:sz w:val="24"/>
        </w:rPr>
        <w:t xml:space="preserve">appropriate to afford </w:t>
      </w:r>
      <w:r w:rsidR="008518C9">
        <w:rPr>
          <w:rFonts w:ascii="Arial Narrow" w:hAnsi="Arial Narrow"/>
          <w:sz w:val="24"/>
        </w:rPr>
        <w:t>any</w:t>
      </w:r>
      <w:r w:rsidR="000A1B0E">
        <w:rPr>
          <w:rFonts w:ascii="Arial Narrow" w:hAnsi="Arial Narrow"/>
          <w:sz w:val="24"/>
        </w:rPr>
        <w:t xml:space="preserve"> weight to the MRP estimates derived from geometric averages.  </w:t>
      </w:r>
    </w:p>
    <w:p w:rsidR="00CE75E4" w:rsidRDefault="00CE75E4" w:rsidP="004B3142">
      <w:pPr>
        <w:autoSpaceDE w:val="0"/>
        <w:autoSpaceDN w:val="0"/>
        <w:adjustRightInd w:val="0"/>
        <w:spacing w:before="0" w:after="0"/>
        <w:ind w:firstLine="0"/>
        <w:rPr>
          <w:rFonts w:ascii="Arial Narrow" w:hAnsi="Arial Narrow"/>
          <w:sz w:val="24"/>
        </w:rPr>
      </w:pPr>
    </w:p>
    <w:p w:rsidR="00160864" w:rsidRDefault="00CE75E4" w:rsidP="004B3142">
      <w:pPr>
        <w:pStyle w:val="Default"/>
        <w:jc w:val="both"/>
        <w:rPr>
          <w:rFonts w:ascii="Arial Narrow" w:hAnsi="Arial Narrow"/>
        </w:rPr>
      </w:pPr>
      <w:r>
        <w:rPr>
          <w:rFonts w:ascii="Arial Narrow" w:hAnsi="Arial Narrow"/>
        </w:rPr>
        <w:t>The table below reproduces the Handley arithmetic mean MRP estimates over the 1958-2010 period and the associated 95% confidence levels for various assumed value</w:t>
      </w:r>
      <w:r w:rsidR="00DC295D">
        <w:rPr>
          <w:rFonts w:ascii="Arial Narrow" w:hAnsi="Arial Narrow"/>
        </w:rPr>
        <w:t>s</w:t>
      </w:r>
      <w:r>
        <w:rPr>
          <w:rFonts w:ascii="Arial Narrow" w:hAnsi="Arial Narrow"/>
        </w:rPr>
        <w:t xml:space="preserve"> of imputation credits</w:t>
      </w:r>
      <w:r w:rsidR="00B6716F">
        <w:rPr>
          <w:rStyle w:val="FootnoteReference"/>
          <w:rFonts w:ascii="Arial Narrow" w:hAnsi="Arial Narrow"/>
        </w:rPr>
        <w:footnoteReference w:id="3"/>
      </w:r>
      <w:r>
        <w:rPr>
          <w:rFonts w:ascii="Arial Narrow" w:hAnsi="Arial Narrow"/>
        </w:rPr>
        <w:t>.</w:t>
      </w:r>
      <w:r w:rsidR="008518C9">
        <w:rPr>
          <w:rFonts w:ascii="Arial Narrow" w:hAnsi="Arial Narrow"/>
        </w:rPr>
        <w:t xml:space="preserve">  Th</w:t>
      </w:r>
      <w:r w:rsidR="00DC295D">
        <w:rPr>
          <w:rFonts w:ascii="Arial Narrow" w:hAnsi="Arial Narrow"/>
        </w:rPr>
        <w:t xml:space="preserve">e 1958-2010 </w:t>
      </w:r>
      <w:r w:rsidR="008518C9">
        <w:rPr>
          <w:rFonts w:ascii="Arial Narrow" w:hAnsi="Arial Narrow"/>
        </w:rPr>
        <w:t xml:space="preserve">period was considered by Handley to contain the most reliable data.  We do note though that this is a subjective assessment </w:t>
      </w:r>
      <w:r w:rsidR="00DC295D">
        <w:rPr>
          <w:rFonts w:ascii="Arial Narrow" w:hAnsi="Arial Narrow"/>
        </w:rPr>
        <w:t>of the data quality and other experts may not agree</w:t>
      </w:r>
      <w:r w:rsidR="008518C9">
        <w:rPr>
          <w:rFonts w:ascii="Arial Narrow" w:hAnsi="Arial Narrow"/>
        </w:rPr>
        <w:t xml:space="preserve">.  </w:t>
      </w:r>
      <w:r w:rsidR="00DC295D">
        <w:rPr>
          <w:rFonts w:ascii="Arial Narrow" w:hAnsi="Arial Narrow"/>
        </w:rPr>
        <w:t xml:space="preserve">Furthermore, </w:t>
      </w:r>
      <w:r w:rsidR="008518C9">
        <w:rPr>
          <w:rFonts w:ascii="Arial Narrow" w:hAnsi="Arial Narrow"/>
        </w:rPr>
        <w:t xml:space="preserve">SFG have advised that </w:t>
      </w:r>
      <w:r w:rsidR="00160864">
        <w:rPr>
          <w:rFonts w:ascii="Arial Narrow" w:hAnsi="Arial Narrow"/>
        </w:rPr>
        <w:t xml:space="preserve">shifting the </w:t>
      </w:r>
      <w:r w:rsidR="00160864" w:rsidRPr="00160864">
        <w:rPr>
          <w:rFonts w:ascii="Arial Narrow" w:hAnsi="Arial Narrow"/>
        </w:rPr>
        <w:t>sampl</w:t>
      </w:r>
      <w:r w:rsidR="00160864">
        <w:rPr>
          <w:rFonts w:ascii="Arial Narrow" w:hAnsi="Arial Narrow"/>
        </w:rPr>
        <w:t>ing</w:t>
      </w:r>
      <w:r w:rsidR="00160864" w:rsidRPr="00160864">
        <w:rPr>
          <w:rFonts w:ascii="Arial Narrow" w:hAnsi="Arial Narrow"/>
        </w:rPr>
        <w:t xml:space="preserve"> periods </w:t>
      </w:r>
      <w:r w:rsidR="00DC295D">
        <w:rPr>
          <w:rFonts w:ascii="Arial Narrow" w:hAnsi="Arial Narrow"/>
        </w:rPr>
        <w:t xml:space="preserve">used by Handley </w:t>
      </w:r>
      <w:r w:rsidR="00160864">
        <w:rPr>
          <w:rFonts w:ascii="Arial Narrow" w:hAnsi="Arial Narrow"/>
        </w:rPr>
        <w:t xml:space="preserve">backwards </w:t>
      </w:r>
      <w:r w:rsidR="00160864" w:rsidRPr="00160864">
        <w:rPr>
          <w:rFonts w:ascii="Arial Narrow" w:hAnsi="Arial Narrow"/>
        </w:rPr>
        <w:t xml:space="preserve">five years </w:t>
      </w:r>
      <w:r w:rsidR="00160864">
        <w:rPr>
          <w:rFonts w:ascii="Arial Narrow" w:hAnsi="Arial Narrow"/>
        </w:rPr>
        <w:t xml:space="preserve">would substantially </w:t>
      </w:r>
      <w:r w:rsidR="00160864" w:rsidRPr="00160864">
        <w:rPr>
          <w:rFonts w:ascii="Arial Narrow" w:hAnsi="Arial Narrow"/>
        </w:rPr>
        <w:t>increase the estimate of MRP</w:t>
      </w:r>
      <w:r w:rsidR="00A27F7E">
        <w:rPr>
          <w:rStyle w:val="FootnoteReference"/>
          <w:rFonts w:ascii="Arial Narrow" w:hAnsi="Arial Narrow"/>
        </w:rPr>
        <w:footnoteReference w:id="4"/>
      </w:r>
      <w:r w:rsidR="00160864">
        <w:rPr>
          <w:rFonts w:ascii="Arial Narrow" w:hAnsi="Arial Narrow"/>
        </w:rPr>
        <w:t>.  Consequently, Handley’s reported MRP values should be considered as conservative estimates of MRP.</w:t>
      </w:r>
    </w:p>
    <w:p w:rsidR="00F8193F" w:rsidRDefault="00F8193F" w:rsidP="008A2467">
      <w:pPr>
        <w:autoSpaceDE w:val="0"/>
        <w:autoSpaceDN w:val="0"/>
        <w:adjustRightInd w:val="0"/>
        <w:spacing w:before="0" w:after="0"/>
        <w:ind w:firstLine="0"/>
        <w:jc w:val="left"/>
        <w:rPr>
          <w:rFonts w:ascii="Arial Narrow" w:hAnsi="Arial Narrow"/>
          <w:sz w:val="24"/>
        </w:rPr>
      </w:pPr>
    </w:p>
    <w:tbl>
      <w:tblPr>
        <w:tblW w:w="8844" w:type="dxa"/>
        <w:tblInd w:w="30" w:type="dxa"/>
        <w:tblLayout w:type="fixed"/>
        <w:tblCellMar>
          <w:left w:w="30" w:type="dxa"/>
          <w:right w:w="30" w:type="dxa"/>
        </w:tblCellMar>
        <w:tblLook w:val="0000"/>
      </w:tblPr>
      <w:tblGrid>
        <w:gridCol w:w="2211"/>
        <w:gridCol w:w="2211"/>
        <w:gridCol w:w="2211"/>
        <w:gridCol w:w="2211"/>
      </w:tblGrid>
      <w:tr w:rsidR="000A1B0E" w:rsidRPr="00AF1A9A" w:rsidTr="00483B1E">
        <w:trPr>
          <w:trHeight w:val="449"/>
        </w:trPr>
        <w:tc>
          <w:tcPr>
            <w:tcW w:w="2211" w:type="dxa"/>
            <w:tcBorders>
              <w:top w:val="single" w:sz="6" w:space="0" w:color="auto"/>
              <w:left w:val="single" w:sz="6" w:space="0" w:color="auto"/>
              <w:right w:val="single" w:sz="6" w:space="0" w:color="auto"/>
            </w:tcBorders>
            <w:shd w:val="clear" w:color="auto" w:fill="548DD4"/>
            <w:vAlign w:val="center"/>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AF1A9A">
              <w:rPr>
                <w:rFonts w:ascii="Arial Narrow" w:hAnsi="Arial Narrow" w:cs="Arial Narrow"/>
                <w:b/>
                <w:bCs/>
                <w:color w:val="FFFFFF"/>
                <w:sz w:val="24"/>
                <w:szCs w:val="24"/>
                <w:lang w:eastAsia="en-AU"/>
              </w:rPr>
              <w:t>MRP</w:t>
            </w:r>
          </w:p>
        </w:tc>
        <w:tc>
          <w:tcPr>
            <w:tcW w:w="2211" w:type="dxa"/>
            <w:tcBorders>
              <w:top w:val="single" w:sz="6" w:space="0" w:color="auto"/>
              <w:left w:val="single" w:sz="6" w:space="0" w:color="auto"/>
              <w:right w:val="single" w:sz="6" w:space="0" w:color="auto"/>
            </w:tcBorders>
            <w:shd w:val="clear" w:color="auto" w:fill="548DD4"/>
            <w:vAlign w:val="center"/>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AF1A9A">
              <w:rPr>
                <w:rFonts w:ascii="Arial Narrow" w:hAnsi="Arial Narrow" w:cs="Arial Narrow"/>
                <w:b/>
                <w:bCs/>
                <w:color w:val="FFFFFF"/>
                <w:sz w:val="24"/>
                <w:szCs w:val="24"/>
                <w:lang w:eastAsia="en-AU"/>
              </w:rPr>
              <w:t>Standard</w:t>
            </w:r>
          </w:p>
        </w:tc>
        <w:tc>
          <w:tcPr>
            <w:tcW w:w="2211" w:type="dxa"/>
            <w:tcBorders>
              <w:top w:val="single" w:sz="6" w:space="0" w:color="auto"/>
              <w:left w:val="single" w:sz="6" w:space="0" w:color="auto"/>
              <w:bottom w:val="single" w:sz="6" w:space="0" w:color="auto"/>
              <w:right w:val="nil"/>
            </w:tcBorders>
            <w:shd w:val="clear" w:color="auto" w:fill="548DD4"/>
            <w:vAlign w:val="center"/>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FFFFFF"/>
                <w:sz w:val="24"/>
                <w:szCs w:val="24"/>
                <w:lang w:eastAsia="en-AU"/>
              </w:rPr>
            </w:pPr>
            <w:r w:rsidRPr="00AF1A9A">
              <w:rPr>
                <w:rFonts w:ascii="Arial Narrow" w:hAnsi="Arial Narrow" w:cs="Arial Narrow"/>
                <w:b/>
                <w:bCs/>
                <w:color w:val="FFFFFF"/>
                <w:sz w:val="24"/>
                <w:szCs w:val="24"/>
                <w:lang w:eastAsia="en-AU"/>
              </w:rPr>
              <w:t>95% Confidence</w:t>
            </w:r>
          </w:p>
        </w:tc>
        <w:tc>
          <w:tcPr>
            <w:tcW w:w="2211" w:type="dxa"/>
            <w:tcBorders>
              <w:top w:val="single" w:sz="6" w:space="0" w:color="auto"/>
              <w:left w:val="nil"/>
              <w:bottom w:val="single" w:sz="6" w:space="0" w:color="auto"/>
              <w:right w:val="single" w:sz="6" w:space="0" w:color="auto"/>
            </w:tcBorders>
            <w:shd w:val="clear" w:color="auto" w:fill="548DD4"/>
            <w:vAlign w:val="center"/>
          </w:tcPr>
          <w:p w:rsidR="000A1B0E" w:rsidRPr="00AF1A9A" w:rsidRDefault="000A1B0E" w:rsidP="00B26A10">
            <w:pPr>
              <w:autoSpaceDE w:val="0"/>
              <w:autoSpaceDN w:val="0"/>
              <w:adjustRightInd w:val="0"/>
              <w:spacing w:before="60" w:after="60"/>
              <w:ind w:firstLine="0"/>
              <w:jc w:val="center"/>
              <w:rPr>
                <w:rFonts w:ascii="Arial Narrow" w:hAnsi="Arial Narrow" w:cs="Arial Narrow"/>
                <w:b/>
                <w:bCs/>
                <w:color w:val="FFFFFF"/>
                <w:sz w:val="24"/>
                <w:szCs w:val="24"/>
                <w:lang w:eastAsia="en-AU"/>
              </w:rPr>
            </w:pPr>
          </w:p>
        </w:tc>
      </w:tr>
      <w:tr w:rsidR="000A1B0E" w:rsidRPr="00AF1A9A" w:rsidTr="00483B1E">
        <w:trPr>
          <w:trHeight w:val="305"/>
        </w:trPr>
        <w:tc>
          <w:tcPr>
            <w:tcW w:w="2211" w:type="dxa"/>
            <w:tcBorders>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AF1A9A">
              <w:rPr>
                <w:rFonts w:ascii="Arial Narrow" w:hAnsi="Arial Narrow" w:cs="Arial Narrow"/>
                <w:b/>
                <w:bCs/>
                <w:color w:val="000000"/>
                <w:sz w:val="24"/>
                <w:szCs w:val="24"/>
                <w:lang w:eastAsia="en-AU"/>
              </w:rPr>
              <w:t>(1958-2010)</w:t>
            </w:r>
          </w:p>
        </w:tc>
        <w:tc>
          <w:tcPr>
            <w:tcW w:w="2211" w:type="dxa"/>
            <w:tcBorders>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AF1A9A">
              <w:rPr>
                <w:rFonts w:ascii="Arial Narrow" w:hAnsi="Arial Narrow" w:cs="Arial Narrow"/>
                <w:b/>
                <w:bCs/>
                <w:color w:val="000000"/>
                <w:sz w:val="24"/>
                <w:szCs w:val="24"/>
                <w:lang w:eastAsia="en-AU"/>
              </w:rPr>
              <w:t>Error</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AF1A9A">
              <w:rPr>
                <w:rFonts w:ascii="Arial Narrow" w:hAnsi="Arial Narrow" w:cs="Arial Narrow"/>
                <w:b/>
                <w:bCs/>
                <w:color w:val="000000"/>
                <w:sz w:val="24"/>
                <w:szCs w:val="24"/>
                <w:lang w:eastAsia="en-AU"/>
              </w:rPr>
              <w:t>MRP - Low</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AF1A9A">
              <w:rPr>
                <w:rFonts w:ascii="Arial Narrow" w:hAnsi="Arial Narrow" w:cs="Arial Narrow"/>
                <w:b/>
                <w:bCs/>
                <w:color w:val="000000"/>
                <w:sz w:val="24"/>
                <w:szCs w:val="24"/>
                <w:lang w:eastAsia="en-AU"/>
              </w:rPr>
              <w:t xml:space="preserve">MRP </w:t>
            </w:r>
            <w:r w:rsidR="00CE75E4" w:rsidRPr="00AF1A9A">
              <w:rPr>
                <w:rFonts w:ascii="Arial Narrow" w:hAnsi="Arial Narrow" w:cs="Arial Narrow"/>
                <w:b/>
                <w:bCs/>
                <w:color w:val="000000"/>
                <w:sz w:val="24"/>
                <w:szCs w:val="24"/>
                <w:lang w:eastAsia="en-AU"/>
              </w:rPr>
              <w:t>–</w:t>
            </w:r>
            <w:r w:rsidRPr="00AF1A9A">
              <w:rPr>
                <w:rFonts w:ascii="Arial Narrow" w:hAnsi="Arial Narrow" w:cs="Arial Narrow"/>
                <w:b/>
                <w:bCs/>
                <w:color w:val="000000"/>
                <w:sz w:val="24"/>
                <w:szCs w:val="24"/>
                <w:lang w:eastAsia="en-AU"/>
              </w:rPr>
              <w:t xml:space="preserve"> High</w:t>
            </w:r>
          </w:p>
        </w:tc>
      </w:tr>
      <w:tr w:rsidR="000A1B0E" w:rsidRPr="00AF1A9A" w:rsidTr="00483B1E">
        <w:trPr>
          <w:trHeight w:val="305"/>
        </w:trPr>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6.3% (</w:t>
            </w:r>
            <w:r w:rsidRPr="00F87808">
              <w:rPr>
                <w:rFonts w:ascii="Symbol" w:hAnsi="Symbol" w:cs="Symbol"/>
                <w:color w:val="000000"/>
                <w:sz w:val="24"/>
                <w:szCs w:val="24"/>
                <w:lang w:eastAsia="en-AU"/>
              </w:rPr>
              <w:t></w:t>
            </w:r>
            <w:r w:rsidRPr="00AF1A9A">
              <w:rPr>
                <w:rFonts w:ascii="Arial Narrow" w:hAnsi="Arial Narrow" w:cs="Arial Narrow"/>
                <w:color w:val="000000"/>
                <w:sz w:val="24"/>
                <w:szCs w:val="24"/>
                <w:lang w:eastAsia="en-AU"/>
              </w:rPr>
              <w:t>=0.2)</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3.1%</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0.0%</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12.5%</w:t>
            </w:r>
          </w:p>
        </w:tc>
      </w:tr>
      <w:tr w:rsidR="000A1B0E" w:rsidRPr="00AF1A9A" w:rsidTr="00483B1E">
        <w:trPr>
          <w:trHeight w:val="305"/>
        </w:trPr>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6.4% (</w:t>
            </w:r>
            <w:r w:rsidRPr="00F87808">
              <w:rPr>
                <w:rFonts w:ascii="Symbol" w:hAnsi="Symbol" w:cs="Symbol"/>
                <w:color w:val="000000"/>
                <w:sz w:val="24"/>
                <w:szCs w:val="24"/>
                <w:lang w:eastAsia="en-AU"/>
              </w:rPr>
              <w:t></w:t>
            </w:r>
            <w:r w:rsidRPr="00AF1A9A">
              <w:rPr>
                <w:rFonts w:ascii="Arial Narrow" w:hAnsi="Arial Narrow" w:cs="Arial Narrow"/>
                <w:color w:val="000000"/>
                <w:sz w:val="24"/>
                <w:szCs w:val="24"/>
                <w:lang w:eastAsia="en-AU"/>
              </w:rPr>
              <w:t>=0.3)</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3.1%</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0.1%</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12.6%</w:t>
            </w:r>
          </w:p>
        </w:tc>
      </w:tr>
      <w:tr w:rsidR="000A1B0E" w:rsidRPr="00AF1A9A" w:rsidTr="00483B1E">
        <w:trPr>
          <w:trHeight w:val="305"/>
        </w:trPr>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6.5% (</w:t>
            </w:r>
            <w:r w:rsidRPr="00F87808">
              <w:rPr>
                <w:rFonts w:ascii="Symbol" w:hAnsi="Symbol" w:cs="Symbol"/>
                <w:color w:val="000000"/>
                <w:sz w:val="24"/>
                <w:szCs w:val="24"/>
                <w:lang w:eastAsia="en-AU"/>
              </w:rPr>
              <w:t></w:t>
            </w:r>
            <w:r w:rsidRPr="00AF1A9A">
              <w:rPr>
                <w:rFonts w:ascii="Arial Narrow" w:hAnsi="Arial Narrow" w:cs="Arial Narrow"/>
                <w:color w:val="000000"/>
                <w:sz w:val="24"/>
                <w:szCs w:val="24"/>
                <w:lang w:eastAsia="en-AU"/>
              </w:rPr>
              <w:t>=0.5)</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3.1%</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0.3%</w:t>
            </w:r>
          </w:p>
        </w:tc>
        <w:tc>
          <w:tcPr>
            <w:tcW w:w="2211" w:type="dxa"/>
            <w:tcBorders>
              <w:top w:val="single" w:sz="6" w:space="0" w:color="auto"/>
              <w:left w:val="single" w:sz="6" w:space="0" w:color="auto"/>
              <w:bottom w:val="single" w:sz="6" w:space="0" w:color="auto"/>
              <w:right w:val="single" w:sz="6" w:space="0" w:color="auto"/>
            </w:tcBorders>
          </w:tcPr>
          <w:p w:rsidR="000A1B0E" w:rsidRPr="00AF1A9A" w:rsidRDefault="000A1B0E" w:rsidP="00483B1E">
            <w:pPr>
              <w:autoSpaceDE w:val="0"/>
              <w:autoSpaceDN w:val="0"/>
              <w:adjustRightInd w:val="0"/>
              <w:spacing w:before="60" w:after="60"/>
              <w:ind w:firstLine="0"/>
              <w:jc w:val="center"/>
              <w:rPr>
                <w:rFonts w:ascii="Arial Narrow" w:hAnsi="Arial Narrow" w:cs="Arial Narrow"/>
                <w:color w:val="000000"/>
                <w:sz w:val="24"/>
                <w:szCs w:val="24"/>
                <w:lang w:eastAsia="en-AU"/>
              </w:rPr>
            </w:pPr>
            <w:r w:rsidRPr="00AF1A9A">
              <w:rPr>
                <w:rFonts w:ascii="Arial Narrow" w:hAnsi="Arial Narrow" w:cs="Arial Narrow"/>
                <w:color w:val="000000"/>
                <w:sz w:val="24"/>
                <w:szCs w:val="24"/>
                <w:lang w:eastAsia="en-AU"/>
              </w:rPr>
              <w:t>12.8%</w:t>
            </w:r>
          </w:p>
        </w:tc>
      </w:tr>
    </w:tbl>
    <w:p w:rsidR="00F8193F" w:rsidRDefault="00F8193F" w:rsidP="008A2467">
      <w:pPr>
        <w:autoSpaceDE w:val="0"/>
        <w:autoSpaceDN w:val="0"/>
        <w:adjustRightInd w:val="0"/>
        <w:spacing w:before="0" w:after="0"/>
        <w:ind w:firstLine="0"/>
        <w:jc w:val="left"/>
        <w:rPr>
          <w:rFonts w:ascii="Arial Narrow" w:hAnsi="Arial Narrow"/>
          <w:sz w:val="24"/>
        </w:rPr>
      </w:pPr>
    </w:p>
    <w:p w:rsidR="00F60B7C" w:rsidRDefault="00282FD3" w:rsidP="008A2467">
      <w:pPr>
        <w:autoSpaceDE w:val="0"/>
        <w:autoSpaceDN w:val="0"/>
        <w:adjustRightInd w:val="0"/>
        <w:spacing w:before="0" w:after="0"/>
        <w:ind w:firstLine="0"/>
        <w:jc w:val="left"/>
        <w:rPr>
          <w:rFonts w:ascii="Arial Narrow" w:hAnsi="Arial Narrow"/>
          <w:sz w:val="24"/>
        </w:rPr>
      </w:pPr>
      <w:r>
        <w:rPr>
          <w:rFonts w:ascii="Arial Narrow" w:hAnsi="Arial Narrow"/>
          <w:sz w:val="24"/>
        </w:rPr>
        <w:t>The standard errors</w:t>
      </w:r>
      <w:r w:rsidR="00F23A54">
        <w:rPr>
          <w:rFonts w:ascii="Arial Narrow" w:hAnsi="Arial Narrow"/>
          <w:sz w:val="24"/>
        </w:rPr>
        <w:t xml:space="preserve"> highlight the imprecision of the MRP estimates, as there is a 95% probability that the true value of the MRP lies between 0% and 12.5%, using </w:t>
      </w:r>
      <w:proofErr w:type="spellStart"/>
      <w:r w:rsidR="00F23A54">
        <w:rPr>
          <w:rFonts w:ascii="Arial Narrow" w:hAnsi="Arial Narrow"/>
          <w:sz w:val="24"/>
        </w:rPr>
        <w:t>Envestra’s</w:t>
      </w:r>
      <w:proofErr w:type="spellEnd"/>
      <w:r w:rsidR="00F23A54">
        <w:rPr>
          <w:rFonts w:ascii="Arial Narrow" w:hAnsi="Arial Narrow"/>
          <w:sz w:val="24"/>
        </w:rPr>
        <w:t xml:space="preserve"> 0.2 estimate of gamma.  </w:t>
      </w:r>
    </w:p>
    <w:p w:rsidR="00F60B7C" w:rsidRDefault="00F60B7C" w:rsidP="008A2467">
      <w:pPr>
        <w:autoSpaceDE w:val="0"/>
        <w:autoSpaceDN w:val="0"/>
        <w:adjustRightInd w:val="0"/>
        <w:spacing w:before="0" w:after="0"/>
        <w:ind w:firstLine="0"/>
        <w:jc w:val="left"/>
        <w:rPr>
          <w:rFonts w:ascii="Arial Narrow" w:hAnsi="Arial Narrow"/>
          <w:sz w:val="24"/>
        </w:rPr>
      </w:pPr>
    </w:p>
    <w:p w:rsidR="00F23A54" w:rsidRDefault="00F23A54" w:rsidP="008A2467">
      <w:pPr>
        <w:autoSpaceDE w:val="0"/>
        <w:autoSpaceDN w:val="0"/>
        <w:adjustRightInd w:val="0"/>
        <w:spacing w:before="0" w:after="0"/>
        <w:ind w:firstLine="0"/>
        <w:jc w:val="left"/>
        <w:rPr>
          <w:rFonts w:ascii="Arial Narrow" w:hAnsi="Arial Narrow"/>
          <w:sz w:val="24"/>
        </w:rPr>
      </w:pPr>
      <w:r>
        <w:rPr>
          <w:rFonts w:ascii="Arial Narrow" w:hAnsi="Arial Narrow"/>
          <w:sz w:val="24"/>
        </w:rPr>
        <w:t xml:space="preserve">Moreover, as the value of gamma increases the mean MRP moves closer to 6.5%, albeit it could be between 0.3% and 12.8% at the 95% probability </w:t>
      </w:r>
      <w:r w:rsidR="00E7315F">
        <w:rPr>
          <w:rFonts w:ascii="Arial Narrow" w:hAnsi="Arial Narrow"/>
          <w:sz w:val="24"/>
        </w:rPr>
        <w:t>level</w:t>
      </w:r>
      <w:r w:rsidR="00282FD3">
        <w:rPr>
          <w:rFonts w:ascii="Arial Narrow" w:hAnsi="Arial Narrow"/>
          <w:sz w:val="24"/>
        </w:rPr>
        <w:t xml:space="preserve"> for a gamma of 0.5</w:t>
      </w:r>
      <w:r w:rsidR="00E7315F">
        <w:rPr>
          <w:rFonts w:ascii="Arial Narrow" w:hAnsi="Arial Narrow"/>
          <w:sz w:val="24"/>
        </w:rPr>
        <w:t xml:space="preserve">.  </w:t>
      </w:r>
      <w:r w:rsidR="00D73B21">
        <w:rPr>
          <w:rFonts w:ascii="Arial Narrow" w:hAnsi="Arial Narrow"/>
          <w:sz w:val="24"/>
        </w:rPr>
        <w:t xml:space="preserve">This is consistent with the SFG advice that: </w:t>
      </w:r>
    </w:p>
    <w:p w:rsidR="00F23A54" w:rsidRPr="00F23A54" w:rsidRDefault="00F23A54" w:rsidP="00EB743F">
      <w:pPr>
        <w:numPr>
          <w:ilvl w:val="0"/>
          <w:numId w:val="5"/>
        </w:numPr>
        <w:tabs>
          <w:tab w:val="left" w:pos="426"/>
        </w:tabs>
        <w:autoSpaceDE w:val="0"/>
        <w:autoSpaceDN w:val="0"/>
        <w:adjustRightInd w:val="0"/>
        <w:spacing w:before="0" w:after="0"/>
        <w:ind w:left="426" w:hanging="426"/>
        <w:rPr>
          <w:rFonts w:ascii="Arial Narrow" w:hAnsi="Arial Narrow"/>
          <w:sz w:val="24"/>
        </w:rPr>
      </w:pPr>
      <w:r w:rsidRPr="00F23A54">
        <w:rPr>
          <w:rFonts w:ascii="Arial Narrow" w:hAnsi="Arial Narrow"/>
          <w:sz w:val="24"/>
        </w:rPr>
        <w:lastRenderedPageBreak/>
        <w:t>Any potential decrease in the estimate of MRP flowing from a decrease in the estimate of theta</w:t>
      </w:r>
      <w:r w:rsidR="00D73B21">
        <w:rPr>
          <w:rFonts w:ascii="Arial Narrow" w:hAnsi="Arial Narrow"/>
          <w:sz w:val="24"/>
        </w:rPr>
        <w:t xml:space="preserve"> (</w:t>
      </w:r>
      <w:r w:rsidR="00AA288D">
        <w:rPr>
          <w:rFonts w:ascii="Arial Narrow" w:hAnsi="Arial Narrow"/>
          <w:sz w:val="24"/>
        </w:rPr>
        <w:t xml:space="preserve">pay out ratio x theta = </w:t>
      </w:r>
      <w:r w:rsidR="00D73B21">
        <w:rPr>
          <w:rFonts w:ascii="Arial Narrow" w:hAnsi="Arial Narrow"/>
          <w:sz w:val="24"/>
        </w:rPr>
        <w:t>gamma)</w:t>
      </w:r>
      <w:r w:rsidRPr="00F23A54">
        <w:rPr>
          <w:rFonts w:ascii="Arial Narrow" w:hAnsi="Arial Narrow"/>
          <w:sz w:val="24"/>
        </w:rPr>
        <w:t xml:space="preserve"> is tiny compared with the increase in the estimate of MRP that would flow from beginning the historical sample periods five years earlier. </w:t>
      </w:r>
      <w:r w:rsidR="00C56B48">
        <w:rPr>
          <w:rFonts w:ascii="Arial Narrow" w:hAnsi="Arial Narrow"/>
          <w:sz w:val="24"/>
        </w:rPr>
        <w:t xml:space="preserve"> </w:t>
      </w:r>
      <w:r w:rsidRPr="00F23A54">
        <w:rPr>
          <w:rFonts w:ascii="Arial Narrow" w:hAnsi="Arial Narrow"/>
          <w:sz w:val="24"/>
        </w:rPr>
        <w:t xml:space="preserve">Changes in the estimate of theta should have no effect on the AER‘s estimate of MRP, regardless of whether that estimate is 6% or 6.5%, and regardless of whether the economy is suffering GFC effects or not; </w:t>
      </w:r>
    </w:p>
    <w:p w:rsidR="00210C2D" w:rsidRDefault="00210C2D" w:rsidP="00EB743F">
      <w:pPr>
        <w:numPr>
          <w:ilvl w:val="0"/>
          <w:numId w:val="6"/>
        </w:numPr>
        <w:tabs>
          <w:tab w:val="left" w:pos="426"/>
        </w:tabs>
        <w:autoSpaceDE w:val="0"/>
        <w:autoSpaceDN w:val="0"/>
        <w:adjustRightInd w:val="0"/>
        <w:spacing w:before="0" w:after="0"/>
        <w:ind w:left="426" w:hanging="426"/>
        <w:jc w:val="left"/>
        <w:rPr>
          <w:rFonts w:ascii="Arial Narrow" w:hAnsi="Arial Narrow"/>
          <w:sz w:val="24"/>
        </w:rPr>
      </w:pPr>
      <w:r w:rsidRPr="00210C2D">
        <w:rPr>
          <w:rFonts w:ascii="Arial Narrow" w:hAnsi="Arial Narrow"/>
          <w:sz w:val="24"/>
        </w:rPr>
        <w:t xml:space="preserve">The figure </w:t>
      </w:r>
      <w:r>
        <w:rPr>
          <w:rFonts w:ascii="Arial Narrow" w:hAnsi="Arial Narrow"/>
          <w:sz w:val="24"/>
        </w:rPr>
        <w:t xml:space="preserve">below </w:t>
      </w:r>
      <w:r w:rsidRPr="00210C2D">
        <w:rPr>
          <w:rFonts w:ascii="Arial Narrow" w:hAnsi="Arial Narrow"/>
          <w:sz w:val="24"/>
        </w:rPr>
        <w:t>plots long-term average estimates</w:t>
      </w:r>
      <w:r w:rsidR="00DE31FE">
        <w:rPr>
          <w:rFonts w:ascii="Arial Narrow" w:hAnsi="Arial Narrow"/>
          <w:sz w:val="24"/>
        </w:rPr>
        <w:t xml:space="preserve"> of</w:t>
      </w:r>
      <w:r w:rsidRPr="00210C2D">
        <w:rPr>
          <w:rFonts w:ascii="Arial Narrow" w:hAnsi="Arial Narrow"/>
          <w:sz w:val="24"/>
        </w:rPr>
        <w:t xml:space="preserve"> MRP over the economic cycle.  </w:t>
      </w:r>
      <w:r>
        <w:rPr>
          <w:rFonts w:ascii="Arial Narrow" w:hAnsi="Arial Narrow"/>
          <w:sz w:val="24"/>
        </w:rPr>
        <w:t>I</w:t>
      </w:r>
      <w:r w:rsidRPr="00210C2D">
        <w:rPr>
          <w:rFonts w:ascii="Arial Narrow" w:hAnsi="Arial Narrow"/>
          <w:sz w:val="24"/>
        </w:rPr>
        <w:t xml:space="preserve">n this context, 6.5% is a reasonable estimate in that: </w:t>
      </w:r>
    </w:p>
    <w:p w:rsidR="00B26A10" w:rsidRPr="00210C2D" w:rsidRDefault="00B26A10" w:rsidP="00B26A10">
      <w:pPr>
        <w:tabs>
          <w:tab w:val="left" w:pos="426"/>
        </w:tabs>
        <w:autoSpaceDE w:val="0"/>
        <w:autoSpaceDN w:val="0"/>
        <w:adjustRightInd w:val="0"/>
        <w:spacing w:before="0" w:after="0"/>
        <w:ind w:left="426" w:firstLine="0"/>
        <w:jc w:val="left"/>
        <w:rPr>
          <w:rFonts w:ascii="Arial Narrow" w:hAnsi="Arial Narrow"/>
          <w:sz w:val="24"/>
        </w:rPr>
      </w:pPr>
    </w:p>
    <w:p w:rsidR="00210C2D" w:rsidRPr="00210C2D" w:rsidRDefault="00210C2D" w:rsidP="00EB743F">
      <w:pPr>
        <w:numPr>
          <w:ilvl w:val="0"/>
          <w:numId w:val="7"/>
        </w:numPr>
        <w:tabs>
          <w:tab w:val="left" w:pos="851"/>
        </w:tabs>
        <w:autoSpaceDE w:val="0"/>
        <w:autoSpaceDN w:val="0"/>
        <w:adjustRightInd w:val="0"/>
        <w:spacing w:before="0" w:after="0"/>
        <w:jc w:val="left"/>
        <w:rPr>
          <w:rFonts w:ascii="Arial Narrow" w:hAnsi="Arial Narrow"/>
          <w:sz w:val="24"/>
        </w:rPr>
      </w:pPr>
      <w:r w:rsidRPr="00210C2D">
        <w:rPr>
          <w:rFonts w:ascii="Arial Narrow" w:hAnsi="Arial Narrow"/>
          <w:sz w:val="24"/>
        </w:rPr>
        <w:t xml:space="preserve">It certainly cannot be statistically rejected; </w:t>
      </w:r>
    </w:p>
    <w:p w:rsidR="00210C2D" w:rsidRPr="00210C2D" w:rsidRDefault="00210C2D" w:rsidP="00EB743F">
      <w:pPr>
        <w:numPr>
          <w:ilvl w:val="0"/>
          <w:numId w:val="7"/>
        </w:numPr>
        <w:tabs>
          <w:tab w:val="left" w:pos="851"/>
        </w:tabs>
        <w:autoSpaceDE w:val="0"/>
        <w:autoSpaceDN w:val="0"/>
        <w:adjustRightInd w:val="0"/>
        <w:spacing w:before="0" w:after="0"/>
        <w:ind w:left="851" w:hanging="425"/>
        <w:jc w:val="left"/>
        <w:rPr>
          <w:rFonts w:ascii="Arial Narrow" w:hAnsi="Arial Narrow"/>
          <w:sz w:val="24"/>
        </w:rPr>
      </w:pPr>
      <w:r w:rsidRPr="00210C2D">
        <w:rPr>
          <w:rFonts w:ascii="Arial Narrow" w:hAnsi="Arial Narrow"/>
          <w:sz w:val="24"/>
        </w:rPr>
        <w:t xml:space="preserve">The point estimates using data from 1958 (which is when the higher-quality data begins) are 6.4% and 6.6% for theta set to 0.65 and 0.3 respectively; and </w:t>
      </w:r>
    </w:p>
    <w:p w:rsidR="00210C2D" w:rsidRPr="00210C2D" w:rsidRDefault="00B26A10" w:rsidP="00B26A10">
      <w:pPr>
        <w:tabs>
          <w:tab w:val="left" w:pos="851"/>
        </w:tabs>
        <w:autoSpaceDE w:val="0"/>
        <w:autoSpaceDN w:val="0"/>
        <w:adjustRightInd w:val="0"/>
        <w:spacing w:before="0" w:after="0"/>
        <w:ind w:left="851" w:hanging="425"/>
        <w:jc w:val="left"/>
        <w:rPr>
          <w:rFonts w:ascii="Arial Narrow" w:hAnsi="Arial Narrow"/>
          <w:sz w:val="24"/>
        </w:rPr>
      </w:pPr>
      <w:r>
        <w:rPr>
          <w:rFonts w:ascii="Arial Narrow" w:hAnsi="Arial Narrow"/>
          <w:sz w:val="24"/>
        </w:rPr>
        <w:t>iii.</w:t>
      </w:r>
      <w:r>
        <w:rPr>
          <w:rFonts w:ascii="Arial Narrow" w:hAnsi="Arial Narrow"/>
          <w:sz w:val="24"/>
        </w:rPr>
        <w:tab/>
      </w:r>
      <w:r w:rsidR="00210C2D" w:rsidRPr="00210C2D">
        <w:rPr>
          <w:rFonts w:ascii="Arial Narrow" w:hAnsi="Arial Narrow"/>
          <w:sz w:val="24"/>
        </w:rPr>
        <w:t xml:space="preserve">Those point estimates would be even higher if data from the few years prior to 1958 were also included. </w:t>
      </w:r>
    </w:p>
    <w:p w:rsidR="00210C2D" w:rsidRDefault="00D10BCA" w:rsidP="008A2467">
      <w:pPr>
        <w:autoSpaceDE w:val="0"/>
        <w:autoSpaceDN w:val="0"/>
        <w:adjustRightInd w:val="0"/>
        <w:spacing w:before="0" w:after="0"/>
        <w:ind w:left="525" w:firstLine="0"/>
        <w:jc w:val="left"/>
        <w:rPr>
          <w:rFonts w:ascii="Arial Narrow" w:hAnsi="Arial Narrow"/>
          <w:sz w:val="24"/>
        </w:rPr>
      </w:pPr>
      <w:r>
        <w:rPr>
          <w:noProof/>
          <w:lang w:eastAsia="en-AU"/>
        </w:rPr>
        <w:drawing>
          <wp:inline distT="0" distB="0" distL="0" distR="0">
            <wp:extent cx="5495925" cy="4000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95925" cy="4000500"/>
                    </a:xfrm>
                    <a:prstGeom prst="rect">
                      <a:avLst/>
                    </a:prstGeom>
                    <a:noFill/>
                    <a:ln w="9525">
                      <a:noFill/>
                      <a:miter lim="800000"/>
                      <a:headEnd/>
                      <a:tailEnd/>
                    </a:ln>
                  </pic:spPr>
                </pic:pic>
              </a:graphicData>
            </a:graphic>
          </wp:inline>
        </w:drawing>
      </w:r>
    </w:p>
    <w:p w:rsidR="00210C2D" w:rsidRDefault="00210C2D" w:rsidP="008A2467">
      <w:pPr>
        <w:autoSpaceDE w:val="0"/>
        <w:autoSpaceDN w:val="0"/>
        <w:adjustRightInd w:val="0"/>
        <w:spacing w:before="0" w:after="0"/>
        <w:ind w:left="525" w:firstLine="0"/>
        <w:jc w:val="left"/>
        <w:rPr>
          <w:rFonts w:ascii="Arial Narrow" w:hAnsi="Arial Narrow"/>
          <w:sz w:val="24"/>
        </w:rPr>
      </w:pPr>
    </w:p>
    <w:p w:rsidR="00F23A54" w:rsidRDefault="00F23A54" w:rsidP="00EB743F">
      <w:pPr>
        <w:numPr>
          <w:ilvl w:val="0"/>
          <w:numId w:val="5"/>
        </w:numPr>
        <w:tabs>
          <w:tab w:val="left" w:pos="426"/>
        </w:tabs>
        <w:autoSpaceDE w:val="0"/>
        <w:autoSpaceDN w:val="0"/>
        <w:adjustRightInd w:val="0"/>
        <w:spacing w:before="0" w:after="0"/>
        <w:ind w:left="426" w:hanging="426"/>
        <w:rPr>
          <w:rFonts w:ascii="Arial Narrow" w:hAnsi="Arial Narrow"/>
          <w:sz w:val="24"/>
        </w:rPr>
      </w:pPr>
      <w:r w:rsidRPr="00F23A54">
        <w:rPr>
          <w:rFonts w:ascii="Arial Narrow" w:hAnsi="Arial Narrow"/>
          <w:sz w:val="24"/>
        </w:rPr>
        <w:t>The turmoil in financial markets surrounding the GFC continues to have some effect on risk</w:t>
      </w:r>
      <w:r w:rsidR="003F0BA7">
        <w:rPr>
          <w:rFonts w:ascii="Arial Narrow" w:hAnsi="Arial Narrow"/>
          <w:sz w:val="24"/>
        </w:rPr>
        <w:t xml:space="preserve"> premiums in financial markets:</w:t>
      </w:r>
    </w:p>
    <w:p w:rsidR="003F0BA7" w:rsidRPr="00F23A54" w:rsidRDefault="003F0BA7" w:rsidP="003F0BA7">
      <w:pPr>
        <w:tabs>
          <w:tab w:val="left" w:pos="426"/>
        </w:tabs>
        <w:autoSpaceDE w:val="0"/>
        <w:autoSpaceDN w:val="0"/>
        <w:adjustRightInd w:val="0"/>
        <w:spacing w:before="0" w:after="0"/>
        <w:ind w:left="426" w:firstLine="0"/>
        <w:rPr>
          <w:rFonts w:ascii="Arial Narrow" w:hAnsi="Arial Narrow"/>
          <w:sz w:val="24"/>
        </w:rPr>
      </w:pPr>
    </w:p>
    <w:p w:rsidR="00F23A54" w:rsidRPr="00F23A54" w:rsidRDefault="00F23A54" w:rsidP="00EB743F">
      <w:pPr>
        <w:numPr>
          <w:ilvl w:val="0"/>
          <w:numId w:val="8"/>
        </w:numPr>
        <w:tabs>
          <w:tab w:val="left" w:pos="851"/>
        </w:tabs>
        <w:autoSpaceDE w:val="0"/>
        <w:autoSpaceDN w:val="0"/>
        <w:adjustRightInd w:val="0"/>
        <w:spacing w:before="0" w:after="0"/>
        <w:ind w:left="851" w:hanging="425"/>
        <w:jc w:val="left"/>
        <w:rPr>
          <w:rFonts w:ascii="Arial Narrow" w:hAnsi="Arial Narrow"/>
          <w:sz w:val="24"/>
        </w:rPr>
      </w:pPr>
      <w:r w:rsidRPr="00F23A54">
        <w:rPr>
          <w:rFonts w:ascii="Arial Narrow" w:hAnsi="Arial Narrow"/>
          <w:sz w:val="24"/>
        </w:rPr>
        <w:t xml:space="preserve">The GFC had a pronounced effect on market risk premiums during the height of the crisis; </w:t>
      </w:r>
    </w:p>
    <w:p w:rsidR="00F23A54" w:rsidRPr="00F23A54" w:rsidRDefault="00AA288D" w:rsidP="00EB743F">
      <w:pPr>
        <w:numPr>
          <w:ilvl w:val="0"/>
          <w:numId w:val="8"/>
        </w:numPr>
        <w:tabs>
          <w:tab w:val="left" w:pos="851"/>
        </w:tabs>
        <w:autoSpaceDE w:val="0"/>
        <w:autoSpaceDN w:val="0"/>
        <w:adjustRightInd w:val="0"/>
        <w:spacing w:before="0" w:after="0"/>
        <w:jc w:val="left"/>
        <w:rPr>
          <w:rFonts w:ascii="Arial Narrow" w:hAnsi="Arial Narrow"/>
          <w:sz w:val="24"/>
        </w:rPr>
      </w:pPr>
      <w:r w:rsidRPr="00AA288D">
        <w:rPr>
          <w:rFonts w:ascii="Arial Narrow" w:hAnsi="Arial Narrow"/>
          <w:sz w:val="24"/>
        </w:rPr>
        <w:t>I</w:t>
      </w:r>
      <w:r w:rsidR="00F23A54" w:rsidRPr="00AA288D">
        <w:rPr>
          <w:rFonts w:ascii="Arial Narrow" w:hAnsi="Arial Narrow"/>
          <w:sz w:val="24"/>
        </w:rPr>
        <w:t xml:space="preserve">ndicators suggest that this effect has </w:t>
      </w:r>
      <w:r w:rsidRPr="00AA288D">
        <w:rPr>
          <w:rFonts w:ascii="Arial Narrow" w:hAnsi="Arial Narrow"/>
          <w:sz w:val="24"/>
        </w:rPr>
        <w:t xml:space="preserve">reduced </w:t>
      </w:r>
      <w:r w:rsidR="00F23A54" w:rsidRPr="00AA288D">
        <w:rPr>
          <w:rFonts w:ascii="Arial Narrow" w:hAnsi="Arial Narrow"/>
          <w:sz w:val="24"/>
        </w:rPr>
        <w:t xml:space="preserve">since the </w:t>
      </w:r>
      <w:r w:rsidR="00A27F7E">
        <w:rPr>
          <w:rFonts w:ascii="Arial Narrow" w:hAnsi="Arial Narrow"/>
          <w:sz w:val="24"/>
          <w:u w:val="single"/>
        </w:rPr>
        <w:t>peak</w:t>
      </w:r>
      <w:r w:rsidR="00F23A54" w:rsidRPr="00AA288D">
        <w:rPr>
          <w:rFonts w:ascii="Arial Narrow" w:hAnsi="Arial Narrow"/>
          <w:sz w:val="24"/>
        </w:rPr>
        <w:t xml:space="preserve"> of the GFC; and</w:t>
      </w:r>
      <w:r w:rsidR="00F23A54" w:rsidRPr="00F23A54">
        <w:rPr>
          <w:rFonts w:ascii="Arial Narrow" w:hAnsi="Arial Narrow"/>
          <w:sz w:val="24"/>
        </w:rPr>
        <w:t xml:space="preserve"> </w:t>
      </w:r>
    </w:p>
    <w:p w:rsidR="00F23A54" w:rsidRDefault="00F23A54" w:rsidP="00EB743F">
      <w:pPr>
        <w:numPr>
          <w:ilvl w:val="0"/>
          <w:numId w:val="8"/>
        </w:numPr>
        <w:tabs>
          <w:tab w:val="left" w:pos="851"/>
        </w:tabs>
        <w:autoSpaceDE w:val="0"/>
        <w:autoSpaceDN w:val="0"/>
        <w:adjustRightInd w:val="0"/>
        <w:spacing w:before="0" w:after="0"/>
        <w:jc w:val="left"/>
        <w:rPr>
          <w:rFonts w:ascii="Arial Narrow" w:hAnsi="Arial Narrow"/>
          <w:sz w:val="24"/>
        </w:rPr>
      </w:pPr>
      <w:r w:rsidRPr="00F23A54">
        <w:rPr>
          <w:rFonts w:ascii="Arial Narrow" w:hAnsi="Arial Narrow"/>
          <w:sz w:val="24"/>
        </w:rPr>
        <w:t xml:space="preserve">Some indicators remain materially above their pre-GFC levels. </w:t>
      </w:r>
    </w:p>
    <w:p w:rsidR="003F0BA7" w:rsidRPr="00F23A54" w:rsidRDefault="003F0BA7" w:rsidP="008A2467">
      <w:pPr>
        <w:autoSpaceDE w:val="0"/>
        <w:autoSpaceDN w:val="0"/>
        <w:adjustRightInd w:val="0"/>
        <w:spacing w:before="0" w:after="0"/>
        <w:ind w:left="720" w:firstLine="0"/>
        <w:jc w:val="left"/>
        <w:rPr>
          <w:rFonts w:ascii="Arial Narrow" w:hAnsi="Arial Narrow"/>
          <w:sz w:val="24"/>
        </w:rPr>
      </w:pPr>
    </w:p>
    <w:p w:rsidR="00210C2D" w:rsidRPr="00210C2D" w:rsidRDefault="00210C2D" w:rsidP="00EB743F">
      <w:pPr>
        <w:numPr>
          <w:ilvl w:val="0"/>
          <w:numId w:val="5"/>
        </w:numPr>
        <w:tabs>
          <w:tab w:val="left" w:pos="426"/>
        </w:tabs>
        <w:autoSpaceDE w:val="0"/>
        <w:autoSpaceDN w:val="0"/>
        <w:adjustRightInd w:val="0"/>
        <w:spacing w:before="0" w:after="0"/>
        <w:ind w:left="426" w:hanging="426"/>
        <w:rPr>
          <w:rFonts w:ascii="Arial Narrow" w:hAnsi="Arial Narrow"/>
          <w:sz w:val="24"/>
        </w:rPr>
      </w:pPr>
      <w:r w:rsidRPr="00210C2D">
        <w:rPr>
          <w:rFonts w:ascii="Arial Narrow" w:hAnsi="Arial Narrow"/>
          <w:sz w:val="24"/>
        </w:rPr>
        <w:t>The Handley point estimates of MRP using historical data from 1958 to 2010 (the period for which the most reliable data is available) are 6.6% and 6.4% using theta estimates of 0.65 and 0.3 respectively.  These are long-run estimates of MRP over the economic cycle and indicate that 6.5% would be a reasonable estimate of MRP on a long-run average basis – even if one were to conclude that risk premiums in financial markets are currently in line with the long-run average</w:t>
      </w:r>
      <w:r>
        <w:rPr>
          <w:rFonts w:ascii="Arial Narrow" w:hAnsi="Arial Narrow"/>
          <w:sz w:val="24"/>
        </w:rPr>
        <w:t>;</w:t>
      </w:r>
    </w:p>
    <w:p w:rsidR="00A27F7E" w:rsidRPr="00A27F7E" w:rsidRDefault="00A27F7E" w:rsidP="00EB743F">
      <w:pPr>
        <w:numPr>
          <w:ilvl w:val="0"/>
          <w:numId w:val="5"/>
        </w:numPr>
        <w:tabs>
          <w:tab w:val="left" w:pos="426"/>
        </w:tabs>
        <w:autoSpaceDE w:val="0"/>
        <w:autoSpaceDN w:val="0"/>
        <w:adjustRightInd w:val="0"/>
        <w:spacing w:before="0" w:after="0"/>
        <w:ind w:left="426" w:hanging="426"/>
        <w:rPr>
          <w:rFonts w:ascii="Arial Narrow" w:hAnsi="Arial Narrow"/>
          <w:sz w:val="24"/>
        </w:rPr>
      </w:pPr>
      <w:r>
        <w:rPr>
          <w:rFonts w:ascii="Arial Narrow" w:hAnsi="Arial Narrow"/>
          <w:sz w:val="24"/>
        </w:rPr>
        <w:t>A</w:t>
      </w:r>
      <w:r w:rsidRPr="00A27F7E">
        <w:rPr>
          <w:rFonts w:ascii="Arial Narrow" w:hAnsi="Arial Narrow"/>
          <w:sz w:val="24"/>
        </w:rPr>
        <w:t>n MRP estimate of 6.5% is a reasonable lower bound for poi</w:t>
      </w:r>
      <w:r>
        <w:rPr>
          <w:rFonts w:ascii="Arial Narrow" w:hAnsi="Arial Narrow"/>
          <w:sz w:val="24"/>
        </w:rPr>
        <w:t xml:space="preserve">nt estimates in the prevailing </w:t>
      </w:r>
      <w:r w:rsidRPr="00A27F7E">
        <w:rPr>
          <w:rFonts w:ascii="Arial Narrow" w:hAnsi="Arial Narrow"/>
          <w:sz w:val="24"/>
        </w:rPr>
        <w:t>conditions in the marke</w:t>
      </w:r>
      <w:r>
        <w:rPr>
          <w:rFonts w:ascii="Arial Narrow" w:hAnsi="Arial Narrow"/>
          <w:sz w:val="24"/>
        </w:rPr>
        <w:t>t.</w:t>
      </w:r>
    </w:p>
    <w:p w:rsidR="00F8193F" w:rsidRDefault="00B25A86" w:rsidP="00F25B95">
      <w:pPr>
        <w:autoSpaceDE w:val="0"/>
        <w:autoSpaceDN w:val="0"/>
        <w:adjustRightInd w:val="0"/>
        <w:spacing w:before="0" w:after="0"/>
        <w:ind w:firstLine="0"/>
        <w:rPr>
          <w:rFonts w:ascii="Arial Narrow" w:hAnsi="Arial Narrow"/>
          <w:sz w:val="24"/>
        </w:rPr>
      </w:pPr>
      <w:r>
        <w:rPr>
          <w:rFonts w:ascii="Arial Narrow" w:hAnsi="Arial Narrow"/>
          <w:sz w:val="24"/>
        </w:rPr>
        <w:lastRenderedPageBreak/>
        <w:t xml:space="preserve">The Handley analysis provides no basis to reject the 2009 WACC Review MRP of 6.5%.  </w:t>
      </w:r>
      <w:r w:rsidR="00E66F6F">
        <w:rPr>
          <w:rFonts w:ascii="Arial Narrow" w:hAnsi="Arial Narrow" w:cs="Arial Narrow"/>
          <w:sz w:val="24"/>
          <w:szCs w:val="24"/>
        </w:rPr>
        <w:t xml:space="preserve">Further, the Handley analysis and the SFG advice are consistent with </w:t>
      </w:r>
      <w:r w:rsidR="00AA288D">
        <w:rPr>
          <w:rFonts w:ascii="Arial Narrow" w:hAnsi="Arial Narrow" w:cs="Arial Narrow"/>
          <w:sz w:val="24"/>
          <w:szCs w:val="24"/>
        </w:rPr>
        <w:t xml:space="preserve">the lower end of </w:t>
      </w:r>
      <w:proofErr w:type="spellStart"/>
      <w:r w:rsidR="00E66F6F" w:rsidRPr="008C6960">
        <w:rPr>
          <w:rFonts w:ascii="Arial Narrow" w:hAnsi="Arial Narrow" w:cs="Arial Narrow"/>
          <w:sz w:val="24"/>
          <w:szCs w:val="24"/>
        </w:rPr>
        <w:t>Envestra</w:t>
      </w:r>
      <w:r w:rsidR="00E66F6F">
        <w:rPr>
          <w:rFonts w:ascii="Arial Narrow" w:hAnsi="Arial Narrow" w:cs="Arial Narrow"/>
          <w:sz w:val="24"/>
          <w:szCs w:val="24"/>
        </w:rPr>
        <w:t>’s</w:t>
      </w:r>
      <w:proofErr w:type="spellEnd"/>
      <w:r w:rsidR="00E66F6F" w:rsidRPr="008C6960">
        <w:rPr>
          <w:rFonts w:ascii="Arial Narrow" w:hAnsi="Arial Narrow" w:cs="Arial Narrow"/>
          <w:sz w:val="24"/>
          <w:szCs w:val="24"/>
        </w:rPr>
        <w:t xml:space="preserve"> </w:t>
      </w:r>
      <w:r w:rsidR="00E66F6F">
        <w:rPr>
          <w:rFonts w:ascii="Arial Narrow" w:hAnsi="Arial Narrow" w:cs="Arial Narrow"/>
          <w:sz w:val="24"/>
          <w:szCs w:val="24"/>
        </w:rPr>
        <w:t>propos</w:t>
      </w:r>
      <w:r w:rsidR="00AA288D">
        <w:rPr>
          <w:rFonts w:ascii="Arial Narrow" w:hAnsi="Arial Narrow" w:cs="Arial Narrow"/>
          <w:sz w:val="24"/>
          <w:szCs w:val="24"/>
        </w:rPr>
        <w:t xml:space="preserve">ed </w:t>
      </w:r>
      <w:r w:rsidR="00E66F6F">
        <w:rPr>
          <w:rFonts w:ascii="Arial Narrow" w:hAnsi="Arial Narrow" w:cs="Arial Narrow"/>
          <w:sz w:val="24"/>
          <w:szCs w:val="24"/>
        </w:rPr>
        <w:t xml:space="preserve">MRP </w:t>
      </w:r>
      <w:r w:rsidR="00E66F6F" w:rsidRPr="008C6960">
        <w:rPr>
          <w:rFonts w:ascii="Arial Narrow" w:hAnsi="Arial Narrow" w:cs="Arial Narrow"/>
          <w:sz w:val="24"/>
          <w:szCs w:val="24"/>
        </w:rPr>
        <w:t xml:space="preserve">of </w:t>
      </w:r>
      <w:r w:rsidR="00E66F6F">
        <w:rPr>
          <w:rFonts w:ascii="Arial Narrow" w:hAnsi="Arial Narrow" w:cs="Arial Narrow"/>
          <w:sz w:val="24"/>
          <w:szCs w:val="24"/>
        </w:rPr>
        <w:t xml:space="preserve">between </w:t>
      </w:r>
      <w:r w:rsidR="00E66F6F" w:rsidRPr="008C6960">
        <w:rPr>
          <w:rFonts w:ascii="Arial Narrow" w:hAnsi="Arial Narrow" w:cs="Arial Narrow"/>
          <w:sz w:val="24"/>
          <w:szCs w:val="24"/>
        </w:rPr>
        <w:t xml:space="preserve">6.5% </w:t>
      </w:r>
      <w:r w:rsidR="00E66F6F">
        <w:rPr>
          <w:rFonts w:ascii="Arial Narrow" w:hAnsi="Arial Narrow" w:cs="Arial Narrow"/>
          <w:sz w:val="24"/>
          <w:szCs w:val="24"/>
        </w:rPr>
        <w:t>and 8%</w:t>
      </w:r>
      <w:r w:rsidR="00AA288D">
        <w:rPr>
          <w:rFonts w:ascii="Arial Narrow" w:hAnsi="Arial Narrow" w:cs="Arial Narrow"/>
          <w:sz w:val="24"/>
          <w:szCs w:val="24"/>
        </w:rPr>
        <w:t>.</w:t>
      </w:r>
    </w:p>
    <w:p w:rsidR="00F8193F" w:rsidRDefault="00F8193F" w:rsidP="008A2467">
      <w:pPr>
        <w:autoSpaceDE w:val="0"/>
        <w:autoSpaceDN w:val="0"/>
        <w:adjustRightInd w:val="0"/>
        <w:spacing w:before="0" w:after="0"/>
        <w:ind w:firstLine="0"/>
        <w:jc w:val="left"/>
        <w:rPr>
          <w:rFonts w:ascii="Arial Narrow" w:hAnsi="Arial Narrow"/>
          <w:sz w:val="24"/>
        </w:rPr>
      </w:pPr>
    </w:p>
    <w:p w:rsidR="00665727" w:rsidRPr="00CD0DC4" w:rsidRDefault="009012B6" w:rsidP="00EB743F">
      <w:pPr>
        <w:pStyle w:val="ListParagraph"/>
        <w:numPr>
          <w:ilvl w:val="2"/>
          <w:numId w:val="2"/>
        </w:numPr>
        <w:tabs>
          <w:tab w:val="left" w:pos="709"/>
        </w:tabs>
        <w:ind w:left="709" w:hanging="709"/>
        <w:rPr>
          <w:rFonts w:ascii="Arial Narrow" w:hAnsi="Arial Narrow"/>
          <w:b/>
        </w:rPr>
      </w:pPr>
      <w:r w:rsidRPr="00CD0DC4">
        <w:rPr>
          <w:rFonts w:ascii="Arial Narrow" w:hAnsi="Arial Narrow"/>
          <w:b/>
        </w:rPr>
        <w:t>Survey Based Estimates of the MRP</w:t>
      </w:r>
    </w:p>
    <w:p w:rsidR="00F25B95" w:rsidRDefault="00F25B95" w:rsidP="008A2467">
      <w:pPr>
        <w:spacing w:before="0" w:after="0"/>
        <w:ind w:firstLine="0"/>
        <w:rPr>
          <w:rFonts w:ascii="Arial Narrow" w:hAnsi="Arial Narrow" w:cs="Arial Narrow"/>
          <w:sz w:val="24"/>
          <w:szCs w:val="24"/>
        </w:rPr>
      </w:pPr>
    </w:p>
    <w:p w:rsidR="00752B35" w:rsidRDefault="00B46AC5" w:rsidP="00E01D7E">
      <w:pPr>
        <w:spacing w:before="0" w:after="0"/>
        <w:ind w:firstLine="0"/>
        <w:rPr>
          <w:rFonts w:ascii="Arial Narrow" w:hAnsi="Arial Narrow" w:cs="Arial Narrow"/>
          <w:sz w:val="24"/>
          <w:szCs w:val="24"/>
        </w:rPr>
      </w:pPr>
      <w:r w:rsidRPr="00B46AC5">
        <w:rPr>
          <w:rFonts w:ascii="Arial Narrow" w:hAnsi="Arial Narrow" w:cs="Arial Narrow"/>
          <w:sz w:val="24"/>
          <w:szCs w:val="24"/>
        </w:rPr>
        <w:t xml:space="preserve">The AERs survey evidence included pre-GFC MRP estimates from Truong, </w:t>
      </w:r>
      <w:proofErr w:type="spellStart"/>
      <w:r w:rsidRPr="00B46AC5">
        <w:rPr>
          <w:rFonts w:ascii="Arial Narrow" w:hAnsi="Arial Narrow" w:cs="Arial Narrow"/>
          <w:sz w:val="24"/>
          <w:szCs w:val="24"/>
        </w:rPr>
        <w:t>Partington</w:t>
      </w:r>
      <w:proofErr w:type="spellEnd"/>
      <w:r w:rsidRPr="00B46AC5">
        <w:rPr>
          <w:rFonts w:ascii="Arial Narrow" w:hAnsi="Arial Narrow" w:cs="Arial Narrow"/>
          <w:sz w:val="24"/>
          <w:szCs w:val="24"/>
        </w:rPr>
        <w:t xml:space="preserve"> and Peat (2008), Capital Research (2006) and KPMG (2005)</w:t>
      </w:r>
      <w:r>
        <w:rPr>
          <w:rFonts w:ascii="Arial Narrow" w:hAnsi="Arial Narrow" w:cs="Arial Narrow"/>
          <w:sz w:val="24"/>
          <w:szCs w:val="24"/>
        </w:rPr>
        <w:t xml:space="preserve">. </w:t>
      </w:r>
      <w:r w:rsidRPr="00B46AC5">
        <w:rPr>
          <w:rFonts w:ascii="Arial Narrow" w:hAnsi="Arial Narrow" w:cs="Arial Narrow"/>
          <w:sz w:val="24"/>
          <w:szCs w:val="24"/>
        </w:rPr>
        <w:t xml:space="preserve"> </w:t>
      </w:r>
      <w:r w:rsidR="00752B35">
        <w:rPr>
          <w:rFonts w:ascii="Arial Narrow" w:hAnsi="Arial Narrow" w:cs="Arial Narrow"/>
          <w:sz w:val="24"/>
          <w:szCs w:val="24"/>
        </w:rPr>
        <w:t>Both SFG and VAA find that market volatility has not reverted to pre-GFC levels and that this higher volatility will be reflected in the compensation sought for market risk by equity investors</w:t>
      </w:r>
      <w:r w:rsidR="00752B35">
        <w:rPr>
          <w:rStyle w:val="FootnoteReference"/>
          <w:rFonts w:ascii="Arial Narrow" w:hAnsi="Arial Narrow" w:cs="Arial Narrow"/>
          <w:sz w:val="24"/>
          <w:szCs w:val="24"/>
        </w:rPr>
        <w:footnoteReference w:id="5"/>
      </w:r>
      <w:r w:rsidR="00752B35">
        <w:rPr>
          <w:rFonts w:ascii="Arial Narrow" w:hAnsi="Arial Narrow" w:cs="Arial Narrow"/>
          <w:sz w:val="24"/>
          <w:szCs w:val="24"/>
        </w:rPr>
        <w:t xml:space="preserve">.  </w:t>
      </w:r>
      <w:r w:rsidR="008957D8">
        <w:rPr>
          <w:rFonts w:ascii="Arial Narrow" w:hAnsi="Arial Narrow" w:cs="Arial Narrow"/>
          <w:sz w:val="24"/>
          <w:szCs w:val="24"/>
        </w:rPr>
        <w:t>In addition, the McKinsey paper</w:t>
      </w:r>
      <w:r w:rsidR="008957D8">
        <w:rPr>
          <w:rStyle w:val="FootnoteReference"/>
          <w:rFonts w:ascii="Arial Narrow" w:hAnsi="Arial Narrow" w:cs="Arial Narrow"/>
          <w:sz w:val="24"/>
          <w:szCs w:val="24"/>
        </w:rPr>
        <w:footnoteReference w:id="6"/>
      </w:r>
      <w:r w:rsidR="008957D8">
        <w:rPr>
          <w:rFonts w:ascii="Arial Narrow" w:hAnsi="Arial Narrow" w:cs="Arial Narrow"/>
          <w:sz w:val="24"/>
          <w:szCs w:val="24"/>
        </w:rPr>
        <w:t xml:space="preserve"> shows that the global demand and supply of capital to finance infrastructure is shifting and prior expectations about returns and risk </w:t>
      </w:r>
      <w:proofErr w:type="spellStart"/>
      <w:r w:rsidR="008957D8">
        <w:rPr>
          <w:rFonts w:ascii="Arial Narrow" w:hAnsi="Arial Narrow" w:cs="Arial Narrow"/>
          <w:sz w:val="24"/>
          <w:szCs w:val="24"/>
        </w:rPr>
        <w:t>premia</w:t>
      </w:r>
      <w:proofErr w:type="spellEnd"/>
      <w:r w:rsidR="008957D8">
        <w:rPr>
          <w:rFonts w:ascii="Arial Narrow" w:hAnsi="Arial Narrow" w:cs="Arial Narrow"/>
          <w:sz w:val="24"/>
          <w:szCs w:val="24"/>
        </w:rPr>
        <w:t xml:space="preserve"> need to be re-set at higher levels.</w:t>
      </w:r>
      <w:r w:rsidR="00AA288D">
        <w:rPr>
          <w:rFonts w:ascii="Arial Narrow" w:hAnsi="Arial Narrow" w:cs="Arial Narrow"/>
          <w:sz w:val="24"/>
          <w:szCs w:val="24"/>
        </w:rPr>
        <w:t xml:space="preserve"> </w:t>
      </w:r>
      <w:r w:rsidR="008957D8">
        <w:rPr>
          <w:rFonts w:ascii="Arial Narrow" w:hAnsi="Arial Narrow" w:cs="Arial Narrow"/>
          <w:sz w:val="24"/>
          <w:szCs w:val="24"/>
        </w:rPr>
        <w:t xml:space="preserve"> For these reasons the pre-GFC empirical </w:t>
      </w:r>
      <w:r w:rsidR="00D5109B">
        <w:rPr>
          <w:rFonts w:ascii="Arial Narrow" w:hAnsi="Arial Narrow" w:cs="Arial Narrow"/>
          <w:sz w:val="24"/>
          <w:szCs w:val="24"/>
        </w:rPr>
        <w:t>analysis of</w:t>
      </w:r>
      <w:r w:rsidR="008957D8">
        <w:rPr>
          <w:rFonts w:ascii="Arial Narrow" w:hAnsi="Arial Narrow" w:cs="Arial Narrow"/>
          <w:sz w:val="24"/>
          <w:szCs w:val="24"/>
        </w:rPr>
        <w:t xml:space="preserve"> MRP is of little relevance in the AERs current task of setting a forward looking MRP for the </w:t>
      </w:r>
      <w:r w:rsidR="00D5109B" w:rsidRPr="00D5109B">
        <w:rPr>
          <w:rFonts w:ascii="Arial Narrow" w:hAnsi="Arial Narrow" w:cs="Arial Narrow"/>
          <w:sz w:val="24"/>
          <w:szCs w:val="24"/>
        </w:rPr>
        <w:t xml:space="preserve">1 July 2011 to 30 June 2016 </w:t>
      </w:r>
      <w:proofErr w:type="spellStart"/>
      <w:r w:rsidR="008957D8">
        <w:rPr>
          <w:rFonts w:ascii="Arial Narrow" w:hAnsi="Arial Narrow" w:cs="Arial Narrow"/>
          <w:sz w:val="24"/>
          <w:szCs w:val="24"/>
        </w:rPr>
        <w:t>Envestra</w:t>
      </w:r>
      <w:proofErr w:type="spellEnd"/>
      <w:r w:rsidR="008957D8">
        <w:rPr>
          <w:rFonts w:ascii="Arial Narrow" w:hAnsi="Arial Narrow" w:cs="Arial Narrow"/>
          <w:sz w:val="24"/>
          <w:szCs w:val="24"/>
        </w:rPr>
        <w:t xml:space="preserve"> Access Arrangement period.  </w:t>
      </w:r>
    </w:p>
    <w:p w:rsidR="00752B35" w:rsidRDefault="00752B35" w:rsidP="00E01D7E">
      <w:pPr>
        <w:autoSpaceDE w:val="0"/>
        <w:autoSpaceDN w:val="0"/>
        <w:adjustRightInd w:val="0"/>
        <w:spacing w:before="0" w:after="0"/>
        <w:ind w:firstLine="0"/>
        <w:rPr>
          <w:rFonts w:ascii="Arial Narrow" w:hAnsi="Arial Narrow" w:cs="Arial Narrow"/>
          <w:sz w:val="24"/>
          <w:szCs w:val="24"/>
        </w:rPr>
      </w:pPr>
    </w:p>
    <w:p w:rsidR="00B96C49" w:rsidRDefault="00B96C49" w:rsidP="00E01D7E">
      <w:pPr>
        <w:autoSpaceDE w:val="0"/>
        <w:autoSpaceDN w:val="0"/>
        <w:adjustRightInd w:val="0"/>
        <w:spacing w:before="0" w:after="0"/>
        <w:ind w:firstLine="0"/>
        <w:rPr>
          <w:rFonts w:ascii="Arial Narrow" w:hAnsi="Arial Narrow" w:cs="Arial Narrow"/>
          <w:sz w:val="24"/>
          <w:szCs w:val="24"/>
        </w:rPr>
      </w:pPr>
      <w:r>
        <w:rPr>
          <w:rFonts w:ascii="Arial Narrow" w:hAnsi="Arial Narrow" w:cs="Arial Narrow"/>
          <w:sz w:val="24"/>
          <w:szCs w:val="24"/>
        </w:rPr>
        <w:t xml:space="preserve">The </w:t>
      </w:r>
      <w:r w:rsidRPr="00B46AC5">
        <w:rPr>
          <w:rFonts w:ascii="Arial Narrow" w:hAnsi="Arial Narrow" w:cs="Arial Narrow"/>
          <w:sz w:val="24"/>
          <w:szCs w:val="24"/>
        </w:rPr>
        <w:t>Fernandez and Del Campo (</w:t>
      </w:r>
      <w:r>
        <w:rPr>
          <w:rFonts w:ascii="Arial Narrow" w:hAnsi="Arial Narrow" w:cs="Arial Narrow"/>
          <w:sz w:val="24"/>
          <w:szCs w:val="24"/>
        </w:rPr>
        <w:t xml:space="preserve">2009 and </w:t>
      </w:r>
      <w:r w:rsidRPr="00B46AC5">
        <w:rPr>
          <w:rFonts w:ascii="Arial Narrow" w:hAnsi="Arial Narrow" w:cs="Arial Narrow"/>
          <w:sz w:val="24"/>
          <w:szCs w:val="24"/>
        </w:rPr>
        <w:t>2010)</w:t>
      </w:r>
      <w:r>
        <w:rPr>
          <w:rFonts w:ascii="Arial Narrow" w:hAnsi="Arial Narrow" w:cs="Arial Narrow"/>
          <w:sz w:val="24"/>
          <w:szCs w:val="24"/>
        </w:rPr>
        <w:t xml:space="preserve"> survey results purport to provide a more </w:t>
      </w:r>
      <w:r w:rsidR="00D11078">
        <w:rPr>
          <w:rFonts w:ascii="Arial Narrow" w:hAnsi="Arial Narrow" w:cs="Arial Narrow"/>
          <w:sz w:val="24"/>
          <w:szCs w:val="24"/>
        </w:rPr>
        <w:t>contemporary</w:t>
      </w:r>
      <w:r>
        <w:rPr>
          <w:rFonts w:ascii="Arial Narrow" w:hAnsi="Arial Narrow" w:cs="Arial Narrow"/>
          <w:sz w:val="24"/>
          <w:szCs w:val="24"/>
        </w:rPr>
        <w:t xml:space="preserve"> view about the </w:t>
      </w:r>
      <w:r w:rsidR="00D11078">
        <w:rPr>
          <w:rFonts w:ascii="Arial Narrow" w:hAnsi="Arial Narrow" w:cs="Arial Narrow"/>
          <w:sz w:val="24"/>
          <w:szCs w:val="24"/>
        </w:rPr>
        <w:t xml:space="preserve">Australian </w:t>
      </w:r>
      <w:r>
        <w:rPr>
          <w:rFonts w:ascii="Arial Narrow" w:hAnsi="Arial Narrow" w:cs="Arial Narrow"/>
          <w:sz w:val="24"/>
          <w:szCs w:val="24"/>
        </w:rPr>
        <w:t>MRP.  However, when the 2010 survey is studied in more detail we find that the conclusions draw</w:t>
      </w:r>
      <w:r w:rsidR="005A294F">
        <w:rPr>
          <w:rFonts w:ascii="Arial Narrow" w:hAnsi="Arial Narrow" w:cs="Arial Narrow"/>
          <w:sz w:val="24"/>
          <w:szCs w:val="24"/>
        </w:rPr>
        <w:t>n</w:t>
      </w:r>
      <w:r>
        <w:rPr>
          <w:rFonts w:ascii="Arial Narrow" w:hAnsi="Arial Narrow" w:cs="Arial Narrow"/>
          <w:sz w:val="24"/>
          <w:szCs w:val="24"/>
        </w:rPr>
        <w:t xml:space="preserve"> about the Australian MRP were based on only 7 anonymous </w:t>
      </w:r>
      <w:r w:rsidR="005A294F">
        <w:rPr>
          <w:rFonts w:ascii="Arial Narrow" w:hAnsi="Arial Narrow" w:cs="Arial Narrow"/>
          <w:sz w:val="24"/>
          <w:szCs w:val="24"/>
        </w:rPr>
        <w:t xml:space="preserve">e-mail </w:t>
      </w:r>
      <w:r>
        <w:rPr>
          <w:rFonts w:ascii="Arial Narrow" w:hAnsi="Arial Narrow" w:cs="Arial Narrow"/>
          <w:sz w:val="24"/>
          <w:szCs w:val="24"/>
        </w:rPr>
        <w:t xml:space="preserve">responses to the </w:t>
      </w:r>
      <w:r w:rsidRPr="00B46AC5">
        <w:rPr>
          <w:rFonts w:ascii="Arial Narrow" w:hAnsi="Arial Narrow" w:cs="Arial Narrow"/>
          <w:sz w:val="24"/>
          <w:szCs w:val="24"/>
        </w:rPr>
        <w:t>Fernandez and Del Campo</w:t>
      </w:r>
      <w:r>
        <w:rPr>
          <w:rFonts w:ascii="Arial Narrow" w:hAnsi="Arial Narrow" w:cs="Arial Narrow"/>
          <w:sz w:val="24"/>
          <w:szCs w:val="24"/>
        </w:rPr>
        <w:t xml:space="preserve"> information request.  This is not a representative sample and therefore the Fernandez and Del Campo survey does not provide </w:t>
      </w:r>
      <w:r w:rsidR="002F3800">
        <w:rPr>
          <w:rFonts w:ascii="Arial Narrow" w:hAnsi="Arial Narrow" w:cs="Arial Narrow"/>
          <w:sz w:val="24"/>
          <w:szCs w:val="24"/>
        </w:rPr>
        <w:t>any robust</w:t>
      </w:r>
      <w:r>
        <w:rPr>
          <w:rFonts w:ascii="Arial Narrow" w:hAnsi="Arial Narrow" w:cs="Arial Narrow"/>
          <w:sz w:val="24"/>
          <w:szCs w:val="24"/>
        </w:rPr>
        <w:t xml:space="preserve"> or persuasive evidence as to </w:t>
      </w:r>
      <w:r w:rsidR="005A294F">
        <w:rPr>
          <w:rFonts w:ascii="Arial Narrow" w:hAnsi="Arial Narrow" w:cs="Arial Narrow"/>
          <w:sz w:val="24"/>
          <w:szCs w:val="24"/>
        </w:rPr>
        <w:t xml:space="preserve">the </w:t>
      </w:r>
      <w:r>
        <w:rPr>
          <w:rFonts w:ascii="Arial Narrow" w:hAnsi="Arial Narrow" w:cs="Arial Narrow"/>
          <w:sz w:val="24"/>
          <w:szCs w:val="24"/>
        </w:rPr>
        <w:t xml:space="preserve">MRP </w:t>
      </w:r>
      <w:r w:rsidR="005A294F">
        <w:rPr>
          <w:rFonts w:ascii="Arial Narrow" w:hAnsi="Arial Narrow" w:cs="Arial Narrow"/>
          <w:sz w:val="24"/>
          <w:szCs w:val="24"/>
        </w:rPr>
        <w:t>for use in accordance with NGR 87</w:t>
      </w:r>
      <w:r>
        <w:rPr>
          <w:rFonts w:ascii="Arial Narrow" w:hAnsi="Arial Narrow" w:cs="Arial Narrow"/>
          <w:sz w:val="24"/>
          <w:szCs w:val="24"/>
        </w:rPr>
        <w:t xml:space="preserve">.  </w:t>
      </w:r>
    </w:p>
    <w:p w:rsidR="00B96C49" w:rsidRDefault="00B96C49" w:rsidP="00E01D7E">
      <w:pPr>
        <w:autoSpaceDE w:val="0"/>
        <w:autoSpaceDN w:val="0"/>
        <w:adjustRightInd w:val="0"/>
        <w:spacing w:before="0" w:after="0"/>
        <w:ind w:firstLine="0"/>
        <w:rPr>
          <w:rFonts w:ascii="Arial Narrow" w:hAnsi="Arial Narrow" w:cs="Arial Narrow"/>
          <w:sz w:val="24"/>
          <w:szCs w:val="24"/>
        </w:rPr>
      </w:pPr>
    </w:p>
    <w:p w:rsidR="00AC0F81" w:rsidRDefault="002F3800" w:rsidP="00E01D7E">
      <w:pPr>
        <w:pStyle w:val="Default"/>
        <w:jc w:val="both"/>
        <w:rPr>
          <w:rFonts w:ascii="Arial Narrow" w:hAnsi="Arial Narrow"/>
        </w:rPr>
      </w:pPr>
      <w:r>
        <w:rPr>
          <w:rFonts w:ascii="Arial Narrow" w:hAnsi="Arial Narrow"/>
        </w:rPr>
        <w:t>The i</w:t>
      </w:r>
      <w:r w:rsidRPr="00B42B3C">
        <w:rPr>
          <w:rFonts w:ascii="Arial Narrow" w:hAnsi="Arial Narrow"/>
        </w:rPr>
        <w:t>ndependent</w:t>
      </w:r>
      <w:r>
        <w:rPr>
          <w:rFonts w:ascii="Arial Narrow" w:hAnsi="Arial Narrow"/>
        </w:rPr>
        <w:t xml:space="preserve"> valuation reports referenced by the AER in the Draft Decision </w:t>
      </w:r>
      <w:r w:rsidR="00AD626D">
        <w:rPr>
          <w:rFonts w:ascii="Arial Narrow" w:hAnsi="Arial Narrow"/>
        </w:rPr>
        <w:t>canvass a range for the MRP of between 5% to 8%.  Indeed</w:t>
      </w:r>
      <w:r w:rsidR="00AC0F81">
        <w:rPr>
          <w:rFonts w:ascii="Arial Narrow" w:hAnsi="Arial Narrow"/>
        </w:rPr>
        <w:t>,</w:t>
      </w:r>
      <w:r w:rsidR="00AD626D">
        <w:rPr>
          <w:rFonts w:ascii="Arial Narrow" w:hAnsi="Arial Narrow"/>
        </w:rPr>
        <w:t xml:space="preserve"> </w:t>
      </w:r>
      <w:r w:rsidR="00AC0F81">
        <w:rPr>
          <w:rFonts w:ascii="Arial Narrow" w:hAnsi="Arial Narrow"/>
        </w:rPr>
        <w:t>the June 2010 Deloitte report for Arrow Energy comments</w:t>
      </w:r>
      <w:r w:rsidR="00AC0F81">
        <w:rPr>
          <w:rStyle w:val="FootnoteReference"/>
          <w:rFonts w:ascii="Arial Narrow" w:hAnsi="Arial Narrow"/>
        </w:rPr>
        <w:footnoteReference w:id="7"/>
      </w:r>
      <w:r w:rsidR="00AC0F81">
        <w:rPr>
          <w:rFonts w:ascii="Arial Narrow" w:hAnsi="Arial Narrow"/>
        </w:rPr>
        <w:t>:</w:t>
      </w:r>
    </w:p>
    <w:p w:rsidR="00AC0F81" w:rsidRDefault="00AC0F81" w:rsidP="008A2467">
      <w:pPr>
        <w:pStyle w:val="Default"/>
        <w:rPr>
          <w:rFonts w:ascii="Arial Narrow" w:hAnsi="Arial Narrow"/>
        </w:rPr>
      </w:pPr>
    </w:p>
    <w:p w:rsidR="00AC0F81" w:rsidRPr="00AC0F81" w:rsidRDefault="00AC0F81" w:rsidP="00E01D7E">
      <w:pPr>
        <w:pStyle w:val="Default"/>
        <w:ind w:left="567" w:right="565"/>
        <w:jc w:val="both"/>
        <w:rPr>
          <w:rFonts w:ascii="Arial Narrow" w:hAnsi="Arial Narrow"/>
          <w:i/>
        </w:rPr>
      </w:pPr>
      <w:r w:rsidRPr="00AC0F81">
        <w:rPr>
          <w:rFonts w:ascii="Arial Narrow" w:hAnsi="Arial Narrow"/>
          <w:i/>
        </w:rPr>
        <w:t>The recent severe decline in worldwide equity values and the difficulty companies are experiencing in raising equity capital may be indicative of investor demanding a greater risk premium.  In addition, current prospective measures appear to indicate an increase in the [E]MRP</w:t>
      </w:r>
      <w:r w:rsidR="00537316">
        <w:rPr>
          <w:rStyle w:val="FootnoteReference"/>
          <w:rFonts w:ascii="Arial Narrow" w:hAnsi="Arial Narrow"/>
          <w:i/>
        </w:rPr>
        <w:footnoteReference w:id="8"/>
      </w:r>
    </w:p>
    <w:p w:rsidR="00AC0F81" w:rsidRDefault="00AC0F81" w:rsidP="008A2467">
      <w:pPr>
        <w:pStyle w:val="Default"/>
        <w:rPr>
          <w:rFonts w:ascii="Arial Narrow" w:hAnsi="Arial Narrow"/>
        </w:rPr>
      </w:pPr>
    </w:p>
    <w:p w:rsidR="00872F30" w:rsidRDefault="00985153" w:rsidP="00D77A5C">
      <w:pPr>
        <w:pStyle w:val="Default"/>
        <w:jc w:val="both"/>
        <w:rPr>
          <w:rFonts w:ascii="Arial Narrow" w:hAnsi="Arial Narrow" w:cs="Arial Narrow"/>
        </w:rPr>
      </w:pPr>
      <w:r>
        <w:rPr>
          <w:rFonts w:ascii="Arial Narrow" w:hAnsi="Arial Narrow"/>
        </w:rPr>
        <w:t xml:space="preserve">Notwithstanding </w:t>
      </w:r>
      <w:r w:rsidR="005A05EB">
        <w:rPr>
          <w:rFonts w:ascii="Arial Narrow" w:hAnsi="Arial Narrow"/>
        </w:rPr>
        <w:t xml:space="preserve">the comments about higher risk </w:t>
      </w:r>
      <w:r>
        <w:rPr>
          <w:rFonts w:ascii="Arial Narrow" w:hAnsi="Arial Narrow"/>
        </w:rPr>
        <w:t>all of the i</w:t>
      </w:r>
      <w:r w:rsidRPr="00B42B3C">
        <w:rPr>
          <w:rFonts w:ascii="Arial Narrow" w:hAnsi="Arial Narrow"/>
        </w:rPr>
        <w:t>ndependent</w:t>
      </w:r>
      <w:r>
        <w:rPr>
          <w:rFonts w:ascii="Arial Narrow" w:hAnsi="Arial Narrow"/>
        </w:rPr>
        <w:t xml:space="preserve"> valuation reports</w:t>
      </w:r>
      <w:r w:rsidR="00AD626D">
        <w:rPr>
          <w:rFonts w:ascii="Arial Narrow" w:hAnsi="Arial Narrow"/>
        </w:rPr>
        <w:t xml:space="preserve"> </w:t>
      </w:r>
      <w:r w:rsidR="00872F30">
        <w:rPr>
          <w:rFonts w:ascii="Arial Narrow" w:hAnsi="Arial Narrow"/>
        </w:rPr>
        <w:t xml:space="preserve">have used an MRP of 6% and </w:t>
      </w:r>
      <w:r>
        <w:rPr>
          <w:rFonts w:ascii="Arial Narrow" w:hAnsi="Arial Narrow"/>
        </w:rPr>
        <w:t xml:space="preserve">not </w:t>
      </w:r>
      <w:r w:rsidR="002F3800">
        <w:rPr>
          <w:rFonts w:ascii="Arial Narrow" w:hAnsi="Arial Narrow"/>
        </w:rPr>
        <w:t>ascribe</w:t>
      </w:r>
      <w:r w:rsidR="00872F30">
        <w:rPr>
          <w:rFonts w:ascii="Arial Narrow" w:hAnsi="Arial Narrow"/>
        </w:rPr>
        <w:t>d</w:t>
      </w:r>
      <w:r w:rsidR="002F3800">
        <w:rPr>
          <w:rFonts w:ascii="Arial Narrow" w:hAnsi="Arial Narrow"/>
        </w:rPr>
        <w:t xml:space="preserve"> </w:t>
      </w:r>
      <w:r w:rsidR="00872F30">
        <w:rPr>
          <w:rFonts w:ascii="Arial Narrow" w:hAnsi="Arial Narrow"/>
        </w:rPr>
        <w:t>a</w:t>
      </w:r>
      <w:r>
        <w:rPr>
          <w:rFonts w:ascii="Arial Narrow" w:hAnsi="Arial Narrow"/>
        </w:rPr>
        <w:t>ny</w:t>
      </w:r>
      <w:r w:rsidR="002F3800">
        <w:rPr>
          <w:rFonts w:ascii="Arial Narrow" w:hAnsi="Arial Narrow"/>
        </w:rPr>
        <w:t xml:space="preserve"> value to imputation credits</w:t>
      </w:r>
      <w:r w:rsidR="005A05EB">
        <w:rPr>
          <w:rFonts w:ascii="Arial Narrow" w:hAnsi="Arial Narrow"/>
        </w:rPr>
        <w:t xml:space="preserve"> (</w:t>
      </w:r>
      <w:r w:rsidR="00AA288D">
        <w:rPr>
          <w:rFonts w:ascii="Arial Narrow" w:hAnsi="Arial Narrow"/>
        </w:rPr>
        <w:t>theta and gamma are zero</w:t>
      </w:r>
      <w:r w:rsidR="005A05EB">
        <w:rPr>
          <w:rFonts w:ascii="Arial Narrow" w:hAnsi="Arial Narrow"/>
        </w:rPr>
        <w:t>)</w:t>
      </w:r>
      <w:r w:rsidR="002F3800">
        <w:rPr>
          <w:rFonts w:ascii="Arial Narrow" w:hAnsi="Arial Narrow"/>
        </w:rPr>
        <w:t xml:space="preserve">. </w:t>
      </w:r>
      <w:r w:rsidR="00AD626D">
        <w:rPr>
          <w:rFonts w:ascii="Arial Narrow" w:hAnsi="Arial Narrow"/>
        </w:rPr>
        <w:t xml:space="preserve"> </w:t>
      </w:r>
      <w:r w:rsidR="008E101C">
        <w:rPr>
          <w:rFonts w:ascii="Arial Narrow" w:hAnsi="Arial Narrow"/>
        </w:rPr>
        <w:t xml:space="preserve">This is different to </w:t>
      </w:r>
      <w:r w:rsidR="00872F30">
        <w:rPr>
          <w:rFonts w:ascii="Arial Narrow" w:hAnsi="Arial Narrow"/>
        </w:rPr>
        <w:t>t</w:t>
      </w:r>
      <w:r w:rsidR="00872F30" w:rsidRPr="00872F30">
        <w:rPr>
          <w:rFonts w:ascii="Arial Narrow" w:hAnsi="Arial Narrow"/>
        </w:rPr>
        <w:t>he AER</w:t>
      </w:r>
      <w:r w:rsidR="00872F30">
        <w:rPr>
          <w:rFonts w:ascii="Arial Narrow" w:hAnsi="Arial Narrow"/>
        </w:rPr>
        <w:t>s</w:t>
      </w:r>
      <w:r w:rsidR="00872F30" w:rsidRPr="00872F30">
        <w:rPr>
          <w:rFonts w:ascii="Arial Narrow" w:hAnsi="Arial Narrow"/>
        </w:rPr>
        <w:t xml:space="preserve"> </w:t>
      </w:r>
      <w:r w:rsidR="008E101C">
        <w:rPr>
          <w:rFonts w:ascii="Arial Narrow" w:hAnsi="Arial Narrow"/>
        </w:rPr>
        <w:t xml:space="preserve">approach where the value of imputation credits </w:t>
      </w:r>
      <w:r w:rsidR="00AA288D">
        <w:rPr>
          <w:rFonts w:ascii="Arial Narrow" w:hAnsi="Arial Narrow"/>
        </w:rPr>
        <w:t xml:space="preserve">has been </w:t>
      </w:r>
      <w:r w:rsidR="008E101C">
        <w:rPr>
          <w:rFonts w:ascii="Arial Narrow" w:hAnsi="Arial Narrow"/>
        </w:rPr>
        <w:t xml:space="preserve">incorporated into its </w:t>
      </w:r>
      <w:r w:rsidR="00AA288D">
        <w:rPr>
          <w:rFonts w:ascii="Arial Narrow" w:hAnsi="Arial Narrow"/>
        </w:rPr>
        <w:t xml:space="preserve">6% </w:t>
      </w:r>
      <w:r w:rsidR="00872F30" w:rsidRPr="00872F30">
        <w:rPr>
          <w:rFonts w:ascii="Arial Narrow" w:hAnsi="Arial Narrow"/>
        </w:rPr>
        <w:t xml:space="preserve">MRP </w:t>
      </w:r>
      <w:r w:rsidR="008E101C">
        <w:rPr>
          <w:rFonts w:ascii="Arial Narrow" w:hAnsi="Arial Narrow"/>
        </w:rPr>
        <w:t>estimate.</w:t>
      </w:r>
      <w:r w:rsidR="00AA288D">
        <w:rPr>
          <w:rFonts w:ascii="Arial Narrow" w:hAnsi="Arial Narrow"/>
        </w:rPr>
        <w:t xml:space="preserve"> </w:t>
      </w:r>
      <w:r w:rsidR="008E101C">
        <w:rPr>
          <w:rFonts w:ascii="Arial Narrow" w:hAnsi="Arial Narrow"/>
        </w:rPr>
        <w:t xml:space="preserve"> </w:t>
      </w:r>
      <w:r w:rsidR="00765306">
        <w:rPr>
          <w:rFonts w:ascii="Arial Narrow" w:hAnsi="Arial Narrow"/>
        </w:rPr>
        <w:t>For the two MRP estimates t</w:t>
      </w:r>
      <w:r w:rsidR="00872F30" w:rsidRPr="00872F30">
        <w:rPr>
          <w:rFonts w:ascii="Arial Narrow" w:hAnsi="Arial Narrow"/>
        </w:rPr>
        <w:t xml:space="preserve">o be comparable, one would have to ―gross-up the </w:t>
      </w:r>
      <w:r w:rsidR="008E101C" w:rsidRPr="00872F30">
        <w:rPr>
          <w:rFonts w:ascii="Arial Narrow" w:hAnsi="Arial Narrow"/>
        </w:rPr>
        <w:t>Grant Samuel</w:t>
      </w:r>
      <w:r w:rsidR="008E101C">
        <w:rPr>
          <w:rFonts w:ascii="Arial Narrow" w:hAnsi="Arial Narrow"/>
        </w:rPr>
        <w:t>/Deloitte</w:t>
      </w:r>
      <w:r w:rsidR="008E101C" w:rsidRPr="00872F30">
        <w:rPr>
          <w:rFonts w:ascii="Arial Narrow" w:hAnsi="Arial Narrow"/>
        </w:rPr>
        <w:t xml:space="preserve"> </w:t>
      </w:r>
      <w:r w:rsidR="008E101C">
        <w:rPr>
          <w:rFonts w:ascii="Arial Narrow" w:hAnsi="Arial Narrow"/>
        </w:rPr>
        <w:t xml:space="preserve">MRP </w:t>
      </w:r>
      <w:r w:rsidR="00872F30" w:rsidRPr="00872F30">
        <w:rPr>
          <w:rFonts w:ascii="Arial Narrow" w:hAnsi="Arial Narrow"/>
        </w:rPr>
        <w:t xml:space="preserve">estimate </w:t>
      </w:r>
      <w:r w:rsidR="008E101C">
        <w:rPr>
          <w:rFonts w:ascii="Arial Narrow" w:hAnsi="Arial Narrow"/>
        </w:rPr>
        <w:t xml:space="preserve">for the value the attribute to imputation credits </w:t>
      </w:r>
      <w:r w:rsidR="00872F30" w:rsidRPr="00872F30">
        <w:rPr>
          <w:rFonts w:ascii="Arial Narrow" w:hAnsi="Arial Narrow"/>
        </w:rPr>
        <w:t xml:space="preserve">in the same way as the AER grosses up its estimate to include the assumed value of theta. </w:t>
      </w:r>
      <w:r w:rsidR="00872F30">
        <w:rPr>
          <w:rFonts w:ascii="Arial Narrow" w:hAnsi="Arial Narrow"/>
        </w:rPr>
        <w:t xml:space="preserve"> Advice from SFG is that when </w:t>
      </w:r>
      <w:r w:rsidR="00B03092">
        <w:rPr>
          <w:rFonts w:ascii="Arial Narrow" w:hAnsi="Arial Narrow"/>
        </w:rPr>
        <w:t xml:space="preserve">the 6% </w:t>
      </w:r>
      <w:r w:rsidR="00872F30">
        <w:rPr>
          <w:rFonts w:ascii="Arial Narrow" w:hAnsi="Arial Narrow"/>
        </w:rPr>
        <w:t xml:space="preserve">corporate valuation professional estimate of MRP is </w:t>
      </w:r>
      <w:r w:rsidR="00872F30" w:rsidRPr="00872F30">
        <w:rPr>
          <w:rFonts w:ascii="Arial Narrow" w:hAnsi="Arial Narrow"/>
        </w:rPr>
        <w:t xml:space="preserve">grossed-up to include the AER‘s valuation of </w:t>
      </w:r>
      <w:r w:rsidR="00B03092">
        <w:rPr>
          <w:rFonts w:ascii="Arial Narrow" w:hAnsi="Arial Narrow"/>
        </w:rPr>
        <w:t xml:space="preserve">imputation </w:t>
      </w:r>
      <w:r w:rsidR="00872F30" w:rsidRPr="00872F30">
        <w:rPr>
          <w:rFonts w:ascii="Arial Narrow" w:hAnsi="Arial Narrow"/>
        </w:rPr>
        <w:t>credits</w:t>
      </w:r>
      <w:r w:rsidR="00872F30">
        <w:rPr>
          <w:rFonts w:ascii="Arial Narrow" w:hAnsi="Arial Narrow"/>
        </w:rPr>
        <w:t xml:space="preserve"> then the comparable MRP</w:t>
      </w:r>
      <w:r w:rsidR="00872F30" w:rsidRPr="00872F30">
        <w:rPr>
          <w:rFonts w:ascii="Arial Narrow" w:hAnsi="Arial Narrow"/>
        </w:rPr>
        <w:t xml:space="preserve"> is 7%</w:t>
      </w:r>
      <w:r w:rsidR="00AA288D">
        <w:rPr>
          <w:rStyle w:val="FootnoteReference"/>
          <w:rFonts w:ascii="Arial Narrow" w:hAnsi="Arial Narrow"/>
        </w:rPr>
        <w:footnoteReference w:id="9"/>
      </w:r>
      <w:r w:rsidR="00AA288D">
        <w:rPr>
          <w:rFonts w:ascii="Arial Narrow" w:hAnsi="Arial Narrow"/>
          <w:b/>
        </w:rPr>
        <w:t xml:space="preserve">  </w:t>
      </w:r>
      <w:r w:rsidR="003D28C4">
        <w:rPr>
          <w:rFonts w:ascii="Arial Narrow" w:hAnsi="Arial Narrow"/>
        </w:rPr>
        <w:t xml:space="preserve">This is well within the </w:t>
      </w:r>
      <w:proofErr w:type="spellStart"/>
      <w:r w:rsidR="003D28C4" w:rsidRPr="008C6960">
        <w:rPr>
          <w:rFonts w:ascii="Arial Narrow" w:hAnsi="Arial Narrow" w:cs="Arial Narrow"/>
        </w:rPr>
        <w:t>Envestra</w:t>
      </w:r>
      <w:r w:rsidR="003D28C4">
        <w:rPr>
          <w:rFonts w:ascii="Arial Narrow" w:hAnsi="Arial Narrow" w:cs="Arial Narrow"/>
        </w:rPr>
        <w:t>’s</w:t>
      </w:r>
      <w:proofErr w:type="spellEnd"/>
      <w:r w:rsidR="003D28C4" w:rsidRPr="008C6960">
        <w:rPr>
          <w:rFonts w:ascii="Arial Narrow" w:hAnsi="Arial Narrow" w:cs="Arial Narrow"/>
        </w:rPr>
        <w:t xml:space="preserve"> </w:t>
      </w:r>
      <w:r w:rsidR="003D28C4">
        <w:rPr>
          <w:rFonts w:ascii="Arial Narrow" w:hAnsi="Arial Narrow" w:cs="Arial Narrow"/>
        </w:rPr>
        <w:t>proposal that the appropriate MRP is</w:t>
      </w:r>
      <w:r w:rsidR="003D28C4" w:rsidRPr="008C6960">
        <w:rPr>
          <w:rFonts w:ascii="Arial Narrow" w:hAnsi="Arial Narrow" w:cs="Arial Narrow"/>
        </w:rPr>
        <w:t xml:space="preserve"> </w:t>
      </w:r>
      <w:r w:rsidR="003D28C4">
        <w:rPr>
          <w:rFonts w:ascii="Arial Narrow" w:hAnsi="Arial Narrow" w:cs="Arial Narrow"/>
        </w:rPr>
        <w:t xml:space="preserve">between </w:t>
      </w:r>
      <w:r w:rsidR="003D28C4" w:rsidRPr="008C6960">
        <w:rPr>
          <w:rFonts w:ascii="Arial Narrow" w:hAnsi="Arial Narrow" w:cs="Arial Narrow"/>
        </w:rPr>
        <w:t xml:space="preserve">6.5% </w:t>
      </w:r>
      <w:r w:rsidR="003D28C4">
        <w:rPr>
          <w:rFonts w:ascii="Arial Narrow" w:hAnsi="Arial Narrow" w:cs="Arial Narrow"/>
        </w:rPr>
        <w:t xml:space="preserve">and 8%.  </w:t>
      </w:r>
    </w:p>
    <w:p w:rsidR="00C76DF7" w:rsidRDefault="00C76DF7" w:rsidP="008A2467">
      <w:pPr>
        <w:pStyle w:val="Default"/>
        <w:rPr>
          <w:rFonts w:ascii="Arial Narrow" w:hAnsi="Arial Narrow" w:cs="Arial Narrow"/>
        </w:rPr>
      </w:pPr>
    </w:p>
    <w:p w:rsidR="00B23CCF" w:rsidRPr="00CD0DC4" w:rsidRDefault="00BB6D0A" w:rsidP="00EB743F">
      <w:pPr>
        <w:pStyle w:val="ListParagraph"/>
        <w:numPr>
          <w:ilvl w:val="2"/>
          <w:numId w:val="2"/>
        </w:numPr>
        <w:ind w:left="709" w:hanging="709"/>
        <w:rPr>
          <w:rFonts w:ascii="Arial Narrow" w:hAnsi="Arial Narrow"/>
          <w:b/>
        </w:rPr>
      </w:pPr>
      <w:r w:rsidRPr="00CD0DC4">
        <w:rPr>
          <w:rFonts w:ascii="Arial Narrow" w:hAnsi="Arial Narrow"/>
          <w:b/>
        </w:rPr>
        <w:t>The Officer and Bishop method of using implied volatility</w:t>
      </w:r>
    </w:p>
    <w:p w:rsidR="0039090A" w:rsidRDefault="0039090A" w:rsidP="008A2467">
      <w:pPr>
        <w:autoSpaceDE w:val="0"/>
        <w:autoSpaceDN w:val="0"/>
        <w:adjustRightInd w:val="0"/>
        <w:spacing w:before="0" w:after="0"/>
        <w:ind w:firstLine="0"/>
        <w:rPr>
          <w:rFonts w:ascii="Arial Narrow" w:hAnsi="Arial Narrow"/>
          <w:sz w:val="24"/>
        </w:rPr>
      </w:pPr>
    </w:p>
    <w:p w:rsidR="008620C9" w:rsidRDefault="00911B48" w:rsidP="008A2467">
      <w:pPr>
        <w:autoSpaceDE w:val="0"/>
        <w:autoSpaceDN w:val="0"/>
        <w:adjustRightInd w:val="0"/>
        <w:spacing w:before="0" w:after="0"/>
        <w:ind w:firstLine="0"/>
        <w:rPr>
          <w:rFonts w:ascii="Arial Narrow" w:hAnsi="Arial Narrow"/>
          <w:sz w:val="24"/>
        </w:rPr>
      </w:pPr>
      <w:r>
        <w:rPr>
          <w:rFonts w:ascii="Arial Narrow" w:hAnsi="Arial Narrow"/>
          <w:sz w:val="24"/>
        </w:rPr>
        <w:t xml:space="preserve">The AER questioned the reliability of the Officer </w:t>
      </w:r>
      <w:r w:rsidR="008620C9">
        <w:rPr>
          <w:rFonts w:ascii="Arial Narrow" w:hAnsi="Arial Narrow"/>
          <w:sz w:val="24"/>
        </w:rPr>
        <w:t>and</w:t>
      </w:r>
      <w:r>
        <w:rPr>
          <w:rFonts w:ascii="Arial Narrow" w:hAnsi="Arial Narrow"/>
          <w:sz w:val="24"/>
        </w:rPr>
        <w:t xml:space="preserve"> Bishop </w:t>
      </w:r>
      <w:r w:rsidRPr="00911B48">
        <w:rPr>
          <w:rFonts w:ascii="Arial Narrow" w:hAnsi="Arial Narrow"/>
          <w:sz w:val="24"/>
        </w:rPr>
        <w:t>implied volatility and their</w:t>
      </w:r>
      <w:r>
        <w:rPr>
          <w:rFonts w:ascii="Arial Narrow" w:hAnsi="Arial Narrow"/>
          <w:sz w:val="24"/>
        </w:rPr>
        <w:t xml:space="preserve"> </w:t>
      </w:r>
      <w:r w:rsidRPr="00911B48">
        <w:rPr>
          <w:rFonts w:ascii="Arial Narrow" w:hAnsi="Arial Narrow"/>
          <w:sz w:val="24"/>
        </w:rPr>
        <w:t xml:space="preserve">‘glide path’ approach </w:t>
      </w:r>
      <w:r w:rsidR="00040131">
        <w:rPr>
          <w:rFonts w:ascii="Arial Narrow" w:hAnsi="Arial Narrow"/>
          <w:sz w:val="24"/>
        </w:rPr>
        <w:t>in</w:t>
      </w:r>
      <w:r w:rsidRPr="00911B48">
        <w:rPr>
          <w:rFonts w:ascii="Arial Narrow" w:hAnsi="Arial Narrow"/>
          <w:sz w:val="24"/>
        </w:rPr>
        <w:t xml:space="preserve"> estimating a forward looking 10 year</w:t>
      </w:r>
      <w:r>
        <w:rPr>
          <w:rFonts w:ascii="Arial Narrow" w:hAnsi="Arial Narrow"/>
          <w:sz w:val="24"/>
        </w:rPr>
        <w:t xml:space="preserve"> </w:t>
      </w:r>
      <w:r w:rsidRPr="00911B48">
        <w:rPr>
          <w:rFonts w:ascii="Arial Narrow" w:hAnsi="Arial Narrow"/>
          <w:sz w:val="24"/>
        </w:rPr>
        <w:t>MRP</w:t>
      </w:r>
      <w:r>
        <w:rPr>
          <w:rFonts w:ascii="Arial Narrow" w:hAnsi="Arial Narrow"/>
          <w:sz w:val="24"/>
        </w:rPr>
        <w:t>.  Intuitively the Officer and Bishop approach makes sense, as one would expect that volatility in the equity market to be positively correlated with the required return on equity and the</w:t>
      </w:r>
      <w:r w:rsidR="00040131">
        <w:rPr>
          <w:rFonts w:ascii="Arial Narrow" w:hAnsi="Arial Narrow"/>
          <w:sz w:val="24"/>
        </w:rPr>
        <w:t>refore</w:t>
      </w:r>
      <w:r>
        <w:rPr>
          <w:rFonts w:ascii="Arial Narrow" w:hAnsi="Arial Narrow"/>
          <w:sz w:val="24"/>
        </w:rPr>
        <w:t xml:space="preserve"> MRP.  </w:t>
      </w:r>
      <w:r w:rsidR="008620C9">
        <w:rPr>
          <w:rFonts w:ascii="Arial Narrow" w:hAnsi="Arial Narrow"/>
          <w:sz w:val="24"/>
        </w:rPr>
        <w:t xml:space="preserve">This view is supported by SFG: </w:t>
      </w:r>
    </w:p>
    <w:p w:rsidR="008620C9" w:rsidRPr="008620C9" w:rsidRDefault="008620C9" w:rsidP="008A2467">
      <w:pPr>
        <w:autoSpaceDE w:val="0"/>
        <w:autoSpaceDN w:val="0"/>
        <w:adjustRightInd w:val="0"/>
        <w:spacing w:before="0" w:after="0"/>
        <w:ind w:firstLine="0"/>
        <w:rPr>
          <w:rFonts w:ascii="Arial Narrow" w:hAnsi="Arial Narrow"/>
          <w:sz w:val="24"/>
        </w:rPr>
      </w:pPr>
    </w:p>
    <w:p w:rsidR="008620C9" w:rsidRPr="008620C9" w:rsidRDefault="008620C9" w:rsidP="004D28C8">
      <w:pPr>
        <w:autoSpaceDE w:val="0"/>
        <w:autoSpaceDN w:val="0"/>
        <w:adjustRightInd w:val="0"/>
        <w:spacing w:before="0" w:after="0"/>
        <w:ind w:left="567" w:right="565" w:firstLine="0"/>
        <w:rPr>
          <w:rFonts w:ascii="Arial Narrow" w:hAnsi="Arial Narrow"/>
          <w:i/>
          <w:sz w:val="24"/>
        </w:rPr>
      </w:pPr>
      <w:r w:rsidRPr="008620C9">
        <w:rPr>
          <w:rFonts w:ascii="Arial Narrow" w:hAnsi="Arial Narrow"/>
          <w:i/>
          <w:sz w:val="24"/>
        </w:rPr>
        <w:t xml:space="preserve">In our view, the available financial market data supports the conclusion that the effects of the GFC have </w:t>
      </w:r>
      <w:r w:rsidR="00CA5E9A">
        <w:rPr>
          <w:rFonts w:ascii="Arial Narrow" w:hAnsi="Arial Narrow"/>
          <w:i/>
          <w:sz w:val="24"/>
        </w:rPr>
        <w:t>reduc</w:t>
      </w:r>
      <w:r w:rsidRPr="008620C9">
        <w:rPr>
          <w:rFonts w:ascii="Arial Narrow" w:hAnsi="Arial Narrow"/>
          <w:i/>
          <w:sz w:val="24"/>
        </w:rPr>
        <w:t>ed, but they have not vanished completely. The available financial market data does not support the conclusion that investors view the amount of risk involved in hold a broad portfolio of equities and the price of risk (the additional return that is required in relation to each unit of risk) as now being the same as before the GFC. In our view, the turmoil in financial markets surrounding the GFC continues to have some effect on risk premiums in financial markets</w:t>
      </w:r>
      <w:r w:rsidR="00CA5E9A">
        <w:rPr>
          <w:rStyle w:val="FootnoteReference"/>
          <w:rFonts w:ascii="Arial Narrow" w:hAnsi="Arial Narrow"/>
          <w:i/>
          <w:sz w:val="24"/>
        </w:rPr>
        <w:footnoteReference w:id="10"/>
      </w:r>
      <w:r w:rsidRPr="008620C9">
        <w:rPr>
          <w:rFonts w:ascii="Arial Narrow" w:hAnsi="Arial Narrow"/>
          <w:i/>
          <w:sz w:val="24"/>
        </w:rPr>
        <w:t xml:space="preserve">. </w:t>
      </w:r>
    </w:p>
    <w:p w:rsidR="008620C9" w:rsidRDefault="008620C9" w:rsidP="008A2467">
      <w:pPr>
        <w:autoSpaceDE w:val="0"/>
        <w:autoSpaceDN w:val="0"/>
        <w:adjustRightInd w:val="0"/>
        <w:spacing w:before="0" w:after="0"/>
        <w:ind w:firstLine="0"/>
        <w:rPr>
          <w:rFonts w:ascii="Arial Narrow" w:hAnsi="Arial Narrow"/>
          <w:sz w:val="24"/>
        </w:rPr>
      </w:pPr>
    </w:p>
    <w:p w:rsidR="00BB6D0A" w:rsidRDefault="00911B48" w:rsidP="008A2467">
      <w:pPr>
        <w:autoSpaceDE w:val="0"/>
        <w:autoSpaceDN w:val="0"/>
        <w:adjustRightInd w:val="0"/>
        <w:spacing w:before="0" w:after="0"/>
        <w:ind w:firstLine="0"/>
        <w:rPr>
          <w:rFonts w:ascii="Arial Narrow" w:hAnsi="Arial Narrow" w:cs="Arial Narrow"/>
          <w:sz w:val="24"/>
          <w:szCs w:val="24"/>
        </w:rPr>
      </w:pPr>
      <w:r>
        <w:rPr>
          <w:rFonts w:ascii="Arial Narrow" w:hAnsi="Arial Narrow"/>
          <w:sz w:val="24"/>
        </w:rPr>
        <w:t xml:space="preserve">Officer and Bishop respond to the AERs criticisms of their approach and address some misrepresentations in the Draft Decision in the Value Adviser Associates report titled </w:t>
      </w:r>
      <w:r w:rsidRPr="00911B48">
        <w:rPr>
          <w:rFonts w:ascii="Arial Narrow" w:hAnsi="Arial Narrow"/>
          <w:i/>
          <w:sz w:val="24"/>
        </w:rPr>
        <w:t xml:space="preserve">Comments on Market Risk Premium in Draft Decision by AER for </w:t>
      </w:r>
      <w:proofErr w:type="spellStart"/>
      <w:r w:rsidRPr="00911B48">
        <w:rPr>
          <w:rFonts w:ascii="Arial Narrow" w:hAnsi="Arial Narrow"/>
          <w:i/>
          <w:sz w:val="24"/>
        </w:rPr>
        <w:t>Envestra</w:t>
      </w:r>
      <w:proofErr w:type="spellEnd"/>
      <w:r w:rsidRPr="00911B48">
        <w:rPr>
          <w:rFonts w:ascii="Arial Narrow" w:hAnsi="Arial Narrow"/>
          <w:i/>
          <w:sz w:val="24"/>
        </w:rPr>
        <w:t xml:space="preserve"> February 2011</w:t>
      </w:r>
      <w:r>
        <w:rPr>
          <w:rFonts w:ascii="Arial Narrow" w:hAnsi="Arial Narrow"/>
          <w:i/>
          <w:sz w:val="24"/>
        </w:rPr>
        <w:t>.</w:t>
      </w:r>
      <w:r w:rsidRPr="00911B48">
        <w:rPr>
          <w:rFonts w:ascii="Arial Narrow" w:hAnsi="Arial Narrow"/>
          <w:sz w:val="24"/>
        </w:rPr>
        <w:t xml:space="preserve">  </w:t>
      </w:r>
      <w:r w:rsidR="008620C9">
        <w:rPr>
          <w:rFonts w:ascii="Arial Narrow" w:hAnsi="Arial Narrow"/>
          <w:sz w:val="24"/>
        </w:rPr>
        <w:t xml:space="preserve">The SFG and Value Adviser Associates advice indicates that market </w:t>
      </w:r>
      <w:r w:rsidR="00040131">
        <w:rPr>
          <w:rFonts w:ascii="Arial Narrow" w:hAnsi="Arial Narrow"/>
          <w:sz w:val="24"/>
        </w:rPr>
        <w:t xml:space="preserve">risk </w:t>
      </w:r>
      <w:r w:rsidR="008620C9">
        <w:rPr>
          <w:rFonts w:ascii="Arial Narrow" w:hAnsi="Arial Narrow"/>
          <w:sz w:val="24"/>
        </w:rPr>
        <w:t xml:space="preserve">conditions </w:t>
      </w:r>
      <w:r w:rsidR="00040131">
        <w:rPr>
          <w:rFonts w:ascii="Arial Narrow" w:hAnsi="Arial Narrow"/>
          <w:sz w:val="24"/>
        </w:rPr>
        <w:t xml:space="preserve">remain </w:t>
      </w:r>
      <w:r w:rsidR="008620C9">
        <w:rPr>
          <w:rFonts w:ascii="Arial Narrow" w:hAnsi="Arial Narrow"/>
          <w:sz w:val="24"/>
        </w:rPr>
        <w:t xml:space="preserve">above average and therefore an above average MRP is necessary to compensate investors for this risk.  </w:t>
      </w:r>
      <w:r w:rsidR="00040131">
        <w:rPr>
          <w:rFonts w:ascii="Arial Narrow" w:hAnsi="Arial Narrow"/>
          <w:sz w:val="24"/>
        </w:rPr>
        <w:t>When combined with the empirical MRP estimates t</w:t>
      </w:r>
      <w:r w:rsidR="008620C9">
        <w:rPr>
          <w:rFonts w:ascii="Arial Narrow" w:hAnsi="Arial Narrow"/>
          <w:sz w:val="24"/>
        </w:rPr>
        <w:t xml:space="preserve">his is consistent with </w:t>
      </w:r>
      <w:proofErr w:type="spellStart"/>
      <w:r w:rsidR="008620C9" w:rsidRPr="008C6960">
        <w:rPr>
          <w:rFonts w:ascii="Arial Narrow" w:hAnsi="Arial Narrow" w:cs="Arial Narrow"/>
          <w:sz w:val="24"/>
          <w:szCs w:val="24"/>
        </w:rPr>
        <w:t>Envestra</w:t>
      </w:r>
      <w:r w:rsidR="008620C9">
        <w:rPr>
          <w:rFonts w:ascii="Arial Narrow" w:hAnsi="Arial Narrow" w:cs="Arial Narrow"/>
          <w:sz w:val="24"/>
          <w:szCs w:val="24"/>
        </w:rPr>
        <w:t>’s</w:t>
      </w:r>
      <w:proofErr w:type="spellEnd"/>
      <w:r w:rsidR="008620C9" w:rsidRPr="008C6960">
        <w:rPr>
          <w:rFonts w:ascii="Arial Narrow" w:hAnsi="Arial Narrow" w:cs="Arial Narrow"/>
          <w:sz w:val="24"/>
          <w:szCs w:val="24"/>
        </w:rPr>
        <w:t xml:space="preserve"> </w:t>
      </w:r>
      <w:r w:rsidR="008620C9">
        <w:rPr>
          <w:rFonts w:ascii="Arial Narrow" w:hAnsi="Arial Narrow" w:cs="Arial Narrow"/>
          <w:sz w:val="24"/>
          <w:szCs w:val="24"/>
        </w:rPr>
        <w:t>proposal that</w:t>
      </w:r>
      <w:r w:rsidR="008620C9" w:rsidRPr="008C6960">
        <w:rPr>
          <w:rFonts w:ascii="Arial Narrow" w:hAnsi="Arial Narrow" w:cs="Arial Narrow"/>
          <w:sz w:val="24"/>
          <w:szCs w:val="24"/>
        </w:rPr>
        <w:t xml:space="preserve"> a</w:t>
      </w:r>
      <w:r w:rsidR="008620C9">
        <w:rPr>
          <w:rFonts w:ascii="Arial Narrow" w:hAnsi="Arial Narrow" w:cs="Arial Narrow"/>
          <w:sz w:val="24"/>
          <w:szCs w:val="24"/>
        </w:rPr>
        <w:t xml:space="preserve">n MRP </w:t>
      </w:r>
      <w:r w:rsidR="008620C9" w:rsidRPr="008C6960">
        <w:rPr>
          <w:rFonts w:ascii="Arial Narrow" w:hAnsi="Arial Narrow" w:cs="Arial Narrow"/>
          <w:sz w:val="24"/>
          <w:szCs w:val="24"/>
        </w:rPr>
        <w:t xml:space="preserve">of </w:t>
      </w:r>
      <w:r w:rsidR="008620C9">
        <w:rPr>
          <w:rFonts w:ascii="Arial Narrow" w:hAnsi="Arial Narrow" w:cs="Arial Narrow"/>
          <w:sz w:val="24"/>
          <w:szCs w:val="24"/>
        </w:rPr>
        <w:t xml:space="preserve">between </w:t>
      </w:r>
      <w:r w:rsidR="008620C9" w:rsidRPr="008C6960">
        <w:rPr>
          <w:rFonts w:ascii="Arial Narrow" w:hAnsi="Arial Narrow" w:cs="Arial Narrow"/>
          <w:sz w:val="24"/>
          <w:szCs w:val="24"/>
        </w:rPr>
        <w:t xml:space="preserve">6.5% </w:t>
      </w:r>
      <w:r w:rsidR="008620C9">
        <w:rPr>
          <w:rFonts w:ascii="Arial Narrow" w:hAnsi="Arial Narrow" w:cs="Arial Narrow"/>
          <w:sz w:val="24"/>
          <w:szCs w:val="24"/>
        </w:rPr>
        <w:t xml:space="preserve">and 8% </w:t>
      </w:r>
      <w:r w:rsidR="008620C9" w:rsidRPr="008C6960">
        <w:rPr>
          <w:rFonts w:ascii="Arial Narrow" w:hAnsi="Arial Narrow" w:cs="Arial Narrow"/>
          <w:sz w:val="24"/>
          <w:szCs w:val="24"/>
        </w:rPr>
        <w:t xml:space="preserve">is </w:t>
      </w:r>
      <w:r w:rsidR="008620C9">
        <w:rPr>
          <w:rFonts w:ascii="Arial Narrow" w:hAnsi="Arial Narrow" w:cs="Arial Narrow"/>
          <w:sz w:val="24"/>
          <w:szCs w:val="24"/>
        </w:rPr>
        <w:t xml:space="preserve">appropriate for use in the CAPM to determine the rate of return under the National Gas Rules.  </w:t>
      </w:r>
    </w:p>
    <w:p w:rsidR="00BB6D0A" w:rsidRPr="00BB6D0A" w:rsidRDefault="00BB6D0A" w:rsidP="008A2467">
      <w:pPr>
        <w:autoSpaceDE w:val="0"/>
        <w:autoSpaceDN w:val="0"/>
        <w:adjustRightInd w:val="0"/>
        <w:spacing w:before="0" w:after="0"/>
        <w:ind w:firstLine="0"/>
        <w:rPr>
          <w:rFonts w:ascii="Arial Narrow" w:hAnsi="Arial Narrow"/>
          <w:sz w:val="24"/>
        </w:rPr>
      </w:pPr>
    </w:p>
    <w:p w:rsidR="00BB6D0A" w:rsidRPr="00CD0DC4" w:rsidRDefault="00BB6D0A" w:rsidP="00EB743F">
      <w:pPr>
        <w:pStyle w:val="ListParagraph"/>
        <w:numPr>
          <w:ilvl w:val="2"/>
          <w:numId w:val="2"/>
        </w:numPr>
        <w:tabs>
          <w:tab w:val="left" w:pos="709"/>
        </w:tabs>
        <w:ind w:left="709" w:hanging="709"/>
        <w:rPr>
          <w:rFonts w:ascii="Arial Narrow" w:hAnsi="Arial Narrow"/>
          <w:b/>
        </w:rPr>
      </w:pPr>
      <w:r w:rsidRPr="00CD0DC4">
        <w:rPr>
          <w:rFonts w:ascii="Arial Narrow" w:hAnsi="Arial Narrow"/>
          <w:b/>
        </w:rPr>
        <w:t>Dividend Growth Model</w:t>
      </w:r>
      <w:r w:rsidR="00A87B5B" w:rsidRPr="00CD0DC4">
        <w:rPr>
          <w:rFonts w:ascii="Arial Narrow" w:hAnsi="Arial Narrow"/>
          <w:b/>
        </w:rPr>
        <w:t xml:space="preserve"> (‘DGM’)</w:t>
      </w:r>
    </w:p>
    <w:p w:rsidR="00A35543" w:rsidRDefault="00A35543" w:rsidP="008A2467">
      <w:pPr>
        <w:autoSpaceDE w:val="0"/>
        <w:autoSpaceDN w:val="0"/>
        <w:adjustRightInd w:val="0"/>
        <w:spacing w:before="0" w:after="0"/>
        <w:ind w:firstLine="0"/>
        <w:rPr>
          <w:rFonts w:ascii="Arial Narrow" w:hAnsi="Arial Narrow"/>
          <w:sz w:val="24"/>
        </w:rPr>
      </w:pPr>
    </w:p>
    <w:p w:rsidR="00A037AF" w:rsidRDefault="00A87B5B" w:rsidP="008A2467">
      <w:pPr>
        <w:autoSpaceDE w:val="0"/>
        <w:autoSpaceDN w:val="0"/>
        <w:adjustRightInd w:val="0"/>
        <w:spacing w:before="0" w:after="0"/>
        <w:ind w:firstLine="0"/>
        <w:rPr>
          <w:rFonts w:ascii="Arial Narrow" w:hAnsi="Arial Narrow"/>
          <w:sz w:val="24"/>
        </w:rPr>
      </w:pPr>
      <w:r w:rsidRPr="00A87B5B">
        <w:rPr>
          <w:rFonts w:ascii="Arial Narrow" w:hAnsi="Arial Narrow"/>
          <w:sz w:val="24"/>
        </w:rPr>
        <w:t>The AER considers that DGM based estimates of the MRP can provide some</w:t>
      </w:r>
      <w:r>
        <w:rPr>
          <w:rFonts w:ascii="Arial Narrow" w:hAnsi="Arial Narrow"/>
          <w:sz w:val="24"/>
        </w:rPr>
        <w:t xml:space="preserve"> </w:t>
      </w:r>
      <w:r w:rsidRPr="00A87B5B">
        <w:rPr>
          <w:rFonts w:ascii="Arial Narrow" w:hAnsi="Arial Narrow"/>
          <w:sz w:val="24"/>
        </w:rPr>
        <w:t>information on the expected MRP</w:t>
      </w:r>
      <w:r w:rsidR="00060062">
        <w:rPr>
          <w:rFonts w:ascii="Arial Narrow" w:hAnsi="Arial Narrow"/>
          <w:sz w:val="24"/>
        </w:rPr>
        <w:t xml:space="preserve">.  </w:t>
      </w:r>
      <w:r w:rsidR="00867E45">
        <w:rPr>
          <w:rFonts w:ascii="Arial Narrow" w:hAnsi="Arial Narrow"/>
          <w:sz w:val="24"/>
        </w:rPr>
        <w:t xml:space="preserve">But had concerns about </w:t>
      </w:r>
      <w:r w:rsidR="000A631A">
        <w:rPr>
          <w:rFonts w:ascii="Arial Narrow" w:hAnsi="Arial Narrow"/>
          <w:sz w:val="24"/>
        </w:rPr>
        <w:t>the sensitivity to assumptions and</w:t>
      </w:r>
      <w:r w:rsidRPr="00A87B5B">
        <w:rPr>
          <w:rFonts w:ascii="Arial Narrow" w:hAnsi="Arial Narrow"/>
          <w:sz w:val="24"/>
        </w:rPr>
        <w:t xml:space="preserve"> variability in the estimates</w:t>
      </w:r>
      <w:r>
        <w:rPr>
          <w:rFonts w:ascii="Arial Narrow" w:hAnsi="Arial Narrow"/>
          <w:sz w:val="24"/>
        </w:rPr>
        <w:t xml:space="preserve"> </w:t>
      </w:r>
      <w:r w:rsidR="000A631A">
        <w:rPr>
          <w:rFonts w:ascii="Arial Narrow" w:hAnsi="Arial Narrow"/>
          <w:sz w:val="24"/>
        </w:rPr>
        <w:t>limit</w:t>
      </w:r>
      <w:r w:rsidR="00867E45">
        <w:rPr>
          <w:rFonts w:ascii="Arial Narrow" w:hAnsi="Arial Narrow"/>
          <w:sz w:val="24"/>
        </w:rPr>
        <w:t>ing</w:t>
      </w:r>
      <w:r w:rsidR="000A631A">
        <w:rPr>
          <w:rFonts w:ascii="Arial Narrow" w:hAnsi="Arial Narrow"/>
          <w:sz w:val="24"/>
        </w:rPr>
        <w:t xml:space="preserve"> its usefulness for regulatory purposes.  </w:t>
      </w:r>
      <w:r w:rsidR="00A037AF">
        <w:rPr>
          <w:rFonts w:ascii="Arial Narrow" w:hAnsi="Arial Narrow"/>
          <w:sz w:val="24"/>
        </w:rPr>
        <w:t xml:space="preserve">The AER states that the 8% MRP derived using the DGM by </w:t>
      </w:r>
      <w:r w:rsidRPr="00A87B5B">
        <w:rPr>
          <w:rFonts w:ascii="Arial Narrow" w:hAnsi="Arial Narrow"/>
          <w:sz w:val="24"/>
        </w:rPr>
        <w:t>CEG</w:t>
      </w:r>
      <w:r w:rsidR="00A037AF">
        <w:rPr>
          <w:rFonts w:ascii="Arial Narrow" w:hAnsi="Arial Narrow"/>
          <w:sz w:val="24"/>
        </w:rPr>
        <w:t xml:space="preserve"> </w:t>
      </w:r>
      <w:r w:rsidRPr="00A87B5B">
        <w:rPr>
          <w:rFonts w:ascii="Arial Narrow" w:hAnsi="Arial Narrow"/>
          <w:sz w:val="24"/>
        </w:rPr>
        <w:t>and</w:t>
      </w:r>
      <w:r w:rsidR="00A037AF">
        <w:rPr>
          <w:rFonts w:ascii="Arial Narrow" w:hAnsi="Arial Narrow"/>
          <w:sz w:val="24"/>
        </w:rPr>
        <w:t xml:space="preserve"> the 9.6% from</w:t>
      </w:r>
      <w:r w:rsidRPr="00A87B5B">
        <w:rPr>
          <w:rFonts w:ascii="Arial Narrow" w:hAnsi="Arial Narrow"/>
          <w:sz w:val="24"/>
        </w:rPr>
        <w:t xml:space="preserve"> Bloomberg (as at January 2011)</w:t>
      </w:r>
      <w:r w:rsidR="00596F20">
        <w:rPr>
          <w:rStyle w:val="FootnoteReference"/>
          <w:rFonts w:ascii="Arial Narrow" w:hAnsi="Arial Narrow"/>
          <w:sz w:val="24"/>
        </w:rPr>
        <w:footnoteReference w:id="11"/>
      </w:r>
      <w:r w:rsidRPr="00A87B5B">
        <w:rPr>
          <w:rFonts w:ascii="Arial Narrow" w:hAnsi="Arial Narrow"/>
          <w:sz w:val="24"/>
        </w:rPr>
        <w:t xml:space="preserve"> provide some conflicting evidence with respect to the</w:t>
      </w:r>
      <w:r>
        <w:rPr>
          <w:rFonts w:ascii="Arial Narrow" w:hAnsi="Arial Narrow"/>
          <w:sz w:val="24"/>
        </w:rPr>
        <w:t xml:space="preserve"> </w:t>
      </w:r>
      <w:r w:rsidRPr="00A87B5B">
        <w:rPr>
          <w:rFonts w:ascii="Arial Narrow" w:hAnsi="Arial Narrow"/>
          <w:sz w:val="24"/>
        </w:rPr>
        <w:t>MRP</w:t>
      </w:r>
      <w:r w:rsidR="00A037AF">
        <w:rPr>
          <w:rFonts w:ascii="Arial Narrow" w:hAnsi="Arial Narrow"/>
          <w:sz w:val="24"/>
        </w:rPr>
        <w:t xml:space="preserve">.  </w:t>
      </w:r>
      <w:r w:rsidR="00060062">
        <w:rPr>
          <w:rFonts w:ascii="Arial Narrow" w:hAnsi="Arial Narrow"/>
          <w:sz w:val="24"/>
        </w:rPr>
        <w:t>That may be the case, but both CEG and Bloomberg are significantly higher than the AERs preferred value of 6%</w:t>
      </w:r>
      <w:r w:rsidR="00867E45">
        <w:rPr>
          <w:rFonts w:ascii="Arial Narrow" w:hAnsi="Arial Narrow"/>
          <w:sz w:val="24"/>
        </w:rPr>
        <w:t xml:space="preserve"> and indicate that market risk remains elevated relative to historical averages</w:t>
      </w:r>
      <w:r w:rsidR="00060062">
        <w:rPr>
          <w:rFonts w:ascii="Arial Narrow" w:hAnsi="Arial Narrow"/>
          <w:sz w:val="24"/>
        </w:rPr>
        <w:t xml:space="preserve">.  Further analysis by CEG using data </w:t>
      </w:r>
      <w:r w:rsidR="004E2490">
        <w:rPr>
          <w:rFonts w:ascii="Arial Narrow" w:hAnsi="Arial Narrow"/>
          <w:sz w:val="24"/>
        </w:rPr>
        <w:t xml:space="preserve">from </w:t>
      </w:r>
      <w:r w:rsidR="00060062" w:rsidRPr="00060062">
        <w:rPr>
          <w:rFonts w:ascii="Arial Narrow" w:hAnsi="Arial Narrow"/>
          <w:sz w:val="24"/>
        </w:rPr>
        <w:t xml:space="preserve">APA Group, DUET Group, </w:t>
      </w:r>
      <w:proofErr w:type="spellStart"/>
      <w:r w:rsidR="00060062" w:rsidRPr="00060062">
        <w:rPr>
          <w:rFonts w:ascii="Arial Narrow" w:hAnsi="Arial Narrow"/>
          <w:sz w:val="24"/>
        </w:rPr>
        <w:t>Envestra</w:t>
      </w:r>
      <w:proofErr w:type="spellEnd"/>
      <w:r w:rsidR="00060062" w:rsidRPr="00060062">
        <w:rPr>
          <w:rFonts w:ascii="Arial Narrow" w:hAnsi="Arial Narrow"/>
          <w:sz w:val="24"/>
        </w:rPr>
        <w:t xml:space="preserve">, Hastings Diversified Utilities Fund, </w:t>
      </w:r>
      <w:proofErr w:type="spellStart"/>
      <w:r w:rsidR="00060062" w:rsidRPr="00060062">
        <w:rPr>
          <w:rFonts w:ascii="Arial Narrow" w:hAnsi="Arial Narrow"/>
          <w:sz w:val="24"/>
        </w:rPr>
        <w:t>SPAusNet</w:t>
      </w:r>
      <w:proofErr w:type="spellEnd"/>
      <w:r w:rsidR="00060062" w:rsidRPr="00060062">
        <w:rPr>
          <w:rFonts w:ascii="Arial Narrow" w:hAnsi="Arial Narrow"/>
          <w:sz w:val="24"/>
        </w:rPr>
        <w:t xml:space="preserve"> and Spark Infrastructure, </w:t>
      </w:r>
      <w:r w:rsidR="00060062">
        <w:rPr>
          <w:rFonts w:ascii="Arial Narrow" w:hAnsi="Arial Narrow"/>
          <w:sz w:val="24"/>
        </w:rPr>
        <w:t xml:space="preserve">supports its previous findings that the MRP is above 6.5% and a value closer to 8% is not unreasonable in the current market.  Details of the analysis are contained in </w:t>
      </w:r>
      <w:r w:rsidR="00F61335">
        <w:rPr>
          <w:rFonts w:ascii="Arial Narrow" w:hAnsi="Arial Narrow"/>
          <w:sz w:val="24"/>
        </w:rPr>
        <w:t xml:space="preserve">section 5 of </w:t>
      </w:r>
      <w:r w:rsidR="00060062">
        <w:rPr>
          <w:rFonts w:ascii="Arial Narrow" w:hAnsi="Arial Narrow"/>
          <w:sz w:val="24"/>
        </w:rPr>
        <w:t xml:space="preserve">the CEG report titled </w:t>
      </w:r>
      <w:r w:rsidR="00060062">
        <w:rPr>
          <w:rFonts w:ascii="Arial Narrow" w:hAnsi="Arial Narrow"/>
          <w:i/>
          <w:sz w:val="24"/>
        </w:rPr>
        <w:t>WACC Estimation</w:t>
      </w:r>
      <w:r w:rsidR="00060062" w:rsidRPr="00060062">
        <w:rPr>
          <w:rFonts w:ascii="Arial Narrow" w:hAnsi="Arial Narrow"/>
          <w:sz w:val="24"/>
        </w:rPr>
        <w:t>,</w:t>
      </w:r>
      <w:r w:rsidR="00060062">
        <w:rPr>
          <w:rFonts w:ascii="Arial Narrow" w:hAnsi="Arial Narrow"/>
          <w:sz w:val="24"/>
        </w:rPr>
        <w:t xml:space="preserve"> dated</w:t>
      </w:r>
      <w:r w:rsidR="00060062" w:rsidRPr="00060062">
        <w:rPr>
          <w:rFonts w:ascii="Arial Narrow" w:hAnsi="Arial Narrow"/>
          <w:sz w:val="24"/>
        </w:rPr>
        <w:t xml:space="preserve"> March 2011</w:t>
      </w:r>
      <w:r w:rsidR="00060062">
        <w:rPr>
          <w:rFonts w:ascii="Arial Narrow" w:hAnsi="Arial Narrow"/>
          <w:i/>
          <w:sz w:val="24"/>
        </w:rPr>
        <w:t>.</w:t>
      </w:r>
      <w:r w:rsidR="00060062" w:rsidRPr="00911B48">
        <w:rPr>
          <w:rFonts w:ascii="Arial Narrow" w:hAnsi="Arial Narrow"/>
          <w:sz w:val="24"/>
        </w:rPr>
        <w:t xml:space="preserve">  </w:t>
      </w:r>
    </w:p>
    <w:p w:rsidR="00B23CCF" w:rsidRDefault="00B23CCF" w:rsidP="008A2467">
      <w:pPr>
        <w:autoSpaceDE w:val="0"/>
        <w:autoSpaceDN w:val="0"/>
        <w:adjustRightInd w:val="0"/>
        <w:spacing w:before="0" w:after="0"/>
        <w:ind w:firstLine="0"/>
        <w:rPr>
          <w:rFonts w:ascii="Arial Narrow" w:hAnsi="Arial Narrow"/>
          <w:sz w:val="24"/>
        </w:rPr>
      </w:pPr>
    </w:p>
    <w:p w:rsidR="00BB6D0A" w:rsidRPr="00CD0DC4" w:rsidRDefault="00BB6D0A" w:rsidP="00EB743F">
      <w:pPr>
        <w:pStyle w:val="ListParagraph"/>
        <w:numPr>
          <w:ilvl w:val="2"/>
          <w:numId w:val="2"/>
        </w:numPr>
        <w:tabs>
          <w:tab w:val="left" w:pos="709"/>
        </w:tabs>
        <w:ind w:left="709" w:hanging="709"/>
        <w:rPr>
          <w:rFonts w:ascii="Arial Narrow" w:hAnsi="Arial Narrow"/>
          <w:b/>
        </w:rPr>
      </w:pPr>
      <w:r w:rsidRPr="00CD0DC4">
        <w:rPr>
          <w:rFonts w:ascii="Arial Narrow" w:hAnsi="Arial Narrow"/>
          <w:b/>
        </w:rPr>
        <w:t>Statements from the IMF, the OECD and the RBA to make inferences about MRP</w:t>
      </w:r>
    </w:p>
    <w:p w:rsidR="00140327" w:rsidRDefault="00140327" w:rsidP="008A2467">
      <w:pPr>
        <w:autoSpaceDE w:val="0"/>
        <w:autoSpaceDN w:val="0"/>
        <w:adjustRightInd w:val="0"/>
        <w:spacing w:before="0" w:after="0"/>
        <w:ind w:firstLine="0"/>
        <w:rPr>
          <w:rFonts w:ascii="Arial Narrow" w:hAnsi="Arial Narrow"/>
          <w:sz w:val="24"/>
        </w:rPr>
      </w:pPr>
    </w:p>
    <w:p w:rsidR="00BB6D0A" w:rsidRDefault="00DC1452" w:rsidP="008A2467">
      <w:pPr>
        <w:autoSpaceDE w:val="0"/>
        <w:autoSpaceDN w:val="0"/>
        <w:adjustRightInd w:val="0"/>
        <w:spacing w:before="0" w:after="0"/>
        <w:ind w:firstLine="0"/>
        <w:rPr>
          <w:rFonts w:ascii="Arial Narrow" w:hAnsi="Arial Narrow"/>
          <w:sz w:val="24"/>
        </w:rPr>
      </w:pPr>
      <w:r>
        <w:rPr>
          <w:rFonts w:ascii="Arial Narrow" w:hAnsi="Arial Narrow"/>
          <w:sz w:val="24"/>
        </w:rPr>
        <w:t>The AER has taken the unusual step of using s</w:t>
      </w:r>
      <w:r w:rsidRPr="00265CA0">
        <w:rPr>
          <w:rFonts w:ascii="Arial Narrow" w:hAnsi="Arial Narrow"/>
          <w:sz w:val="24"/>
        </w:rPr>
        <w:t>tatements from the IMF, the</w:t>
      </w:r>
      <w:r>
        <w:rPr>
          <w:rFonts w:ascii="Arial Narrow" w:hAnsi="Arial Narrow"/>
          <w:sz w:val="24"/>
        </w:rPr>
        <w:t xml:space="preserve"> </w:t>
      </w:r>
      <w:r w:rsidRPr="00265CA0">
        <w:rPr>
          <w:rFonts w:ascii="Arial Narrow" w:hAnsi="Arial Narrow"/>
          <w:sz w:val="24"/>
        </w:rPr>
        <w:t xml:space="preserve">OECD and the RBA </w:t>
      </w:r>
      <w:r>
        <w:rPr>
          <w:rFonts w:ascii="Arial Narrow" w:hAnsi="Arial Narrow"/>
          <w:sz w:val="24"/>
        </w:rPr>
        <w:t xml:space="preserve">about the macroeconomic performance and </w:t>
      </w:r>
      <w:r w:rsidR="00004203">
        <w:rPr>
          <w:rFonts w:ascii="Arial Narrow" w:hAnsi="Arial Narrow"/>
          <w:sz w:val="24"/>
        </w:rPr>
        <w:t xml:space="preserve">capital </w:t>
      </w:r>
      <w:r>
        <w:rPr>
          <w:rFonts w:ascii="Arial Narrow" w:hAnsi="Arial Narrow"/>
          <w:sz w:val="24"/>
        </w:rPr>
        <w:t xml:space="preserve">investment outlook for the Australia economy as evidence to support the proposition that the MRP has reverted to pre-GFC levels.  </w:t>
      </w:r>
      <w:r w:rsidR="00765306">
        <w:rPr>
          <w:rFonts w:ascii="Arial Narrow" w:hAnsi="Arial Narrow"/>
          <w:sz w:val="24"/>
        </w:rPr>
        <w:t>This is approach is (a) extremely subjective</w:t>
      </w:r>
      <w:r w:rsidR="00E51B95">
        <w:rPr>
          <w:rFonts w:ascii="Arial Narrow" w:hAnsi="Arial Narrow"/>
          <w:sz w:val="24"/>
        </w:rPr>
        <w:t xml:space="preserve"> and fails to acknowledge the mining sector boom, its disproportional contribution to the investment outlook, the high returns to equity in that sector (+20%) are driving the unprecedented demand for capital expenditure investment </w:t>
      </w:r>
      <w:r w:rsidR="00765306">
        <w:rPr>
          <w:rFonts w:ascii="Arial Narrow" w:hAnsi="Arial Narrow"/>
          <w:sz w:val="24"/>
        </w:rPr>
        <w:t xml:space="preserve">(b) not supported by the observed volatility indicators for the equity market and (c)  is not supported by economic theory and/or the academic literature.  Indeed Value Adviser Associates comment that: </w:t>
      </w:r>
    </w:p>
    <w:p w:rsidR="00BB6D0A" w:rsidRDefault="00BB6D0A" w:rsidP="008A2467">
      <w:pPr>
        <w:autoSpaceDE w:val="0"/>
        <w:autoSpaceDN w:val="0"/>
        <w:adjustRightInd w:val="0"/>
        <w:spacing w:before="0" w:after="0"/>
        <w:ind w:firstLine="0"/>
        <w:rPr>
          <w:rFonts w:ascii="Arial Narrow" w:hAnsi="Arial Narrow"/>
          <w:sz w:val="24"/>
        </w:rPr>
      </w:pPr>
    </w:p>
    <w:p w:rsidR="00BB6D0A" w:rsidRPr="00BB6D0A" w:rsidRDefault="00BB6D0A" w:rsidP="00E42640">
      <w:pPr>
        <w:autoSpaceDE w:val="0"/>
        <w:autoSpaceDN w:val="0"/>
        <w:adjustRightInd w:val="0"/>
        <w:spacing w:before="0" w:after="0"/>
        <w:ind w:left="567" w:right="565" w:firstLine="0"/>
        <w:rPr>
          <w:rFonts w:ascii="Arial Narrow" w:hAnsi="Arial Narrow"/>
          <w:i/>
          <w:sz w:val="24"/>
        </w:rPr>
      </w:pPr>
      <w:r w:rsidRPr="00BB6D0A">
        <w:rPr>
          <w:rFonts w:ascii="Arial Narrow" w:hAnsi="Arial Narrow"/>
          <w:i/>
          <w:sz w:val="24"/>
        </w:rPr>
        <w:t>We note that the AER quote IMF, OECD and RBA to support the claim that the impact of the GFC on the MRP has passed.  The quotes provided in this regard (p90) from the IMF OECD and RBA relate to investment growth rather than market risk which drives the market risk premium.  It appears that the link to market volatility expectations was made by the AER (p91) rather than by the quotes cited</w:t>
      </w:r>
    </w:p>
    <w:p w:rsidR="00BB6D0A" w:rsidRDefault="00BB6D0A" w:rsidP="008A2467">
      <w:pPr>
        <w:autoSpaceDE w:val="0"/>
        <w:autoSpaceDN w:val="0"/>
        <w:adjustRightInd w:val="0"/>
        <w:spacing w:before="0" w:after="0"/>
        <w:ind w:firstLine="0"/>
        <w:rPr>
          <w:rFonts w:ascii="Arial Narrow" w:hAnsi="Arial Narrow"/>
          <w:sz w:val="24"/>
        </w:rPr>
      </w:pPr>
    </w:p>
    <w:p w:rsidR="00C90B0B" w:rsidRDefault="005A2E97" w:rsidP="00BD1B56">
      <w:pPr>
        <w:autoSpaceDE w:val="0"/>
        <w:autoSpaceDN w:val="0"/>
        <w:adjustRightInd w:val="0"/>
        <w:spacing w:before="0" w:after="0"/>
        <w:ind w:firstLine="0"/>
        <w:rPr>
          <w:rFonts w:ascii="Arial Narrow" w:hAnsi="Arial Narrow"/>
          <w:sz w:val="24"/>
        </w:rPr>
      </w:pPr>
      <w:r>
        <w:rPr>
          <w:rFonts w:ascii="Arial Narrow" w:hAnsi="Arial Narrow"/>
          <w:sz w:val="24"/>
        </w:rPr>
        <w:lastRenderedPageBreak/>
        <w:t xml:space="preserve">Moreover, the fact that the economy is growing provides no information on the risk in equity markets and on the hurdle rates of return required by companies to invest.  </w:t>
      </w:r>
      <w:r w:rsidR="00C90B0B">
        <w:rPr>
          <w:rFonts w:ascii="Arial Narrow" w:hAnsi="Arial Narrow"/>
          <w:sz w:val="24"/>
        </w:rPr>
        <w:t>Consequently, the AER</w:t>
      </w:r>
      <w:r w:rsidR="000B3280">
        <w:rPr>
          <w:rFonts w:ascii="Arial Narrow" w:hAnsi="Arial Narrow"/>
          <w:sz w:val="24"/>
        </w:rPr>
        <w:t>’</w:t>
      </w:r>
      <w:r w:rsidR="00C90B0B">
        <w:rPr>
          <w:rFonts w:ascii="Arial Narrow" w:hAnsi="Arial Narrow"/>
          <w:sz w:val="24"/>
        </w:rPr>
        <w:t xml:space="preserve">s </w:t>
      </w:r>
      <w:r w:rsidR="00737850">
        <w:rPr>
          <w:rFonts w:ascii="Arial Narrow" w:hAnsi="Arial Narrow"/>
          <w:sz w:val="24"/>
        </w:rPr>
        <w:t>reliance on s</w:t>
      </w:r>
      <w:r w:rsidR="00737850" w:rsidRPr="00265CA0">
        <w:rPr>
          <w:rFonts w:ascii="Arial Narrow" w:hAnsi="Arial Narrow"/>
          <w:sz w:val="24"/>
        </w:rPr>
        <w:t>tatements from the IMF, the</w:t>
      </w:r>
      <w:r w:rsidR="00737850">
        <w:rPr>
          <w:rFonts w:ascii="Arial Narrow" w:hAnsi="Arial Narrow"/>
          <w:sz w:val="24"/>
        </w:rPr>
        <w:t xml:space="preserve"> </w:t>
      </w:r>
      <w:r w:rsidR="00737850" w:rsidRPr="00265CA0">
        <w:rPr>
          <w:rFonts w:ascii="Arial Narrow" w:hAnsi="Arial Narrow"/>
          <w:sz w:val="24"/>
        </w:rPr>
        <w:t xml:space="preserve">OECD and the RBA </w:t>
      </w:r>
      <w:r w:rsidR="00C90B0B">
        <w:rPr>
          <w:rFonts w:ascii="Arial Narrow" w:hAnsi="Arial Narrow"/>
          <w:sz w:val="24"/>
        </w:rPr>
        <w:t xml:space="preserve">provides no basis to reject the 2009 WACC Review MRP of 6.5% and </w:t>
      </w:r>
      <w:r w:rsidR="00C90B0B">
        <w:rPr>
          <w:rFonts w:ascii="Arial Narrow" w:hAnsi="Arial Narrow" w:cs="Arial Narrow"/>
          <w:sz w:val="24"/>
          <w:szCs w:val="24"/>
        </w:rPr>
        <w:t xml:space="preserve">does not </w:t>
      </w:r>
      <w:r w:rsidR="00E51B95">
        <w:rPr>
          <w:rFonts w:ascii="Arial Narrow" w:hAnsi="Arial Narrow" w:cs="Arial Narrow"/>
          <w:sz w:val="24"/>
          <w:szCs w:val="24"/>
        </w:rPr>
        <w:t xml:space="preserve">provide any evidence for </w:t>
      </w:r>
      <w:proofErr w:type="spellStart"/>
      <w:r w:rsidR="00C90B0B" w:rsidRPr="008C6960">
        <w:rPr>
          <w:rFonts w:ascii="Arial Narrow" w:hAnsi="Arial Narrow" w:cs="Arial Narrow"/>
          <w:sz w:val="24"/>
          <w:szCs w:val="24"/>
        </w:rPr>
        <w:t>Envestra</w:t>
      </w:r>
      <w:proofErr w:type="spellEnd"/>
      <w:r w:rsidR="00C90B0B">
        <w:rPr>
          <w:rFonts w:ascii="Arial Narrow" w:hAnsi="Arial Narrow" w:cs="Arial Narrow"/>
          <w:sz w:val="24"/>
          <w:szCs w:val="24"/>
        </w:rPr>
        <w:t xml:space="preserve"> </w:t>
      </w:r>
      <w:r w:rsidR="00E51B95">
        <w:rPr>
          <w:rFonts w:ascii="Arial Narrow" w:hAnsi="Arial Narrow" w:cs="Arial Narrow"/>
          <w:sz w:val="24"/>
          <w:szCs w:val="24"/>
        </w:rPr>
        <w:t xml:space="preserve">to change </w:t>
      </w:r>
      <w:r w:rsidR="00C90B0B">
        <w:rPr>
          <w:rFonts w:ascii="Arial Narrow" w:hAnsi="Arial Narrow" w:cs="Arial Narrow"/>
          <w:sz w:val="24"/>
          <w:szCs w:val="24"/>
        </w:rPr>
        <w:t>its proposal that</w:t>
      </w:r>
      <w:r w:rsidR="00C90B0B" w:rsidRPr="008C6960">
        <w:rPr>
          <w:rFonts w:ascii="Arial Narrow" w:hAnsi="Arial Narrow" w:cs="Arial Narrow"/>
          <w:sz w:val="24"/>
          <w:szCs w:val="24"/>
        </w:rPr>
        <w:t xml:space="preserve"> a</w:t>
      </w:r>
      <w:r w:rsidR="00C90B0B">
        <w:rPr>
          <w:rFonts w:ascii="Arial Narrow" w:hAnsi="Arial Narrow" w:cs="Arial Narrow"/>
          <w:sz w:val="24"/>
          <w:szCs w:val="24"/>
        </w:rPr>
        <w:t xml:space="preserve">n MRP </w:t>
      </w:r>
      <w:r w:rsidR="00C90B0B" w:rsidRPr="008C6960">
        <w:rPr>
          <w:rFonts w:ascii="Arial Narrow" w:hAnsi="Arial Narrow" w:cs="Arial Narrow"/>
          <w:sz w:val="24"/>
          <w:szCs w:val="24"/>
        </w:rPr>
        <w:t xml:space="preserve">of </w:t>
      </w:r>
      <w:r w:rsidR="00C90B0B">
        <w:rPr>
          <w:rFonts w:ascii="Arial Narrow" w:hAnsi="Arial Narrow" w:cs="Arial Narrow"/>
          <w:sz w:val="24"/>
          <w:szCs w:val="24"/>
        </w:rPr>
        <w:t xml:space="preserve">between </w:t>
      </w:r>
      <w:r w:rsidR="00C90B0B" w:rsidRPr="008C6960">
        <w:rPr>
          <w:rFonts w:ascii="Arial Narrow" w:hAnsi="Arial Narrow" w:cs="Arial Narrow"/>
          <w:sz w:val="24"/>
          <w:szCs w:val="24"/>
        </w:rPr>
        <w:t xml:space="preserve">6.5% </w:t>
      </w:r>
      <w:r w:rsidR="00C90B0B">
        <w:rPr>
          <w:rFonts w:ascii="Arial Narrow" w:hAnsi="Arial Narrow" w:cs="Arial Narrow"/>
          <w:sz w:val="24"/>
          <w:szCs w:val="24"/>
        </w:rPr>
        <w:t xml:space="preserve">and 8% </w:t>
      </w:r>
      <w:r w:rsidR="00C90B0B" w:rsidRPr="008C6960">
        <w:rPr>
          <w:rFonts w:ascii="Arial Narrow" w:hAnsi="Arial Narrow" w:cs="Arial Narrow"/>
          <w:sz w:val="24"/>
          <w:szCs w:val="24"/>
        </w:rPr>
        <w:t xml:space="preserve">is </w:t>
      </w:r>
      <w:r w:rsidR="00C90B0B">
        <w:rPr>
          <w:rFonts w:ascii="Arial Narrow" w:hAnsi="Arial Narrow" w:cs="Arial Narrow"/>
          <w:sz w:val="24"/>
          <w:szCs w:val="24"/>
        </w:rPr>
        <w:t xml:space="preserve">appropriate for use in the CAPM to determine the rate of return under the National Gas Rules.  </w:t>
      </w:r>
    </w:p>
    <w:p w:rsidR="00765306" w:rsidRDefault="00765306" w:rsidP="008A2467">
      <w:pPr>
        <w:autoSpaceDE w:val="0"/>
        <w:autoSpaceDN w:val="0"/>
        <w:adjustRightInd w:val="0"/>
        <w:spacing w:before="0" w:after="0"/>
        <w:ind w:firstLine="0"/>
        <w:rPr>
          <w:rFonts w:ascii="Arial Narrow" w:hAnsi="Arial Narrow"/>
          <w:sz w:val="24"/>
        </w:rPr>
      </w:pPr>
    </w:p>
    <w:p w:rsidR="00D67D6C" w:rsidRPr="00CD0DC4" w:rsidRDefault="005B79A1" w:rsidP="00EB743F">
      <w:pPr>
        <w:pStyle w:val="ListParagraph"/>
        <w:numPr>
          <w:ilvl w:val="2"/>
          <w:numId w:val="2"/>
        </w:numPr>
        <w:ind w:left="709" w:hanging="709"/>
        <w:rPr>
          <w:rFonts w:ascii="Arial Narrow" w:hAnsi="Arial Narrow"/>
          <w:b/>
        </w:rPr>
      </w:pPr>
      <w:r w:rsidRPr="00CD0DC4">
        <w:rPr>
          <w:rFonts w:ascii="Arial Narrow" w:hAnsi="Arial Narrow"/>
          <w:b/>
        </w:rPr>
        <w:t>Lack of Consistency in AER Decision making</w:t>
      </w:r>
    </w:p>
    <w:p w:rsidR="008A773A" w:rsidRDefault="008A773A" w:rsidP="008A2467">
      <w:pPr>
        <w:pStyle w:val="Default"/>
        <w:jc w:val="both"/>
        <w:rPr>
          <w:rFonts w:ascii="Arial Narrow" w:hAnsi="Arial Narrow"/>
        </w:rPr>
      </w:pPr>
    </w:p>
    <w:p w:rsidR="005B79A1" w:rsidRDefault="00A96991" w:rsidP="008A2467">
      <w:pPr>
        <w:pStyle w:val="Default"/>
        <w:jc w:val="both"/>
        <w:rPr>
          <w:rFonts w:ascii="Arial Narrow" w:hAnsi="Arial Narrow" w:cs="Arial Narrow"/>
        </w:rPr>
      </w:pPr>
      <w:r>
        <w:rPr>
          <w:rFonts w:ascii="Arial Narrow" w:hAnsi="Arial Narrow"/>
        </w:rPr>
        <w:t xml:space="preserve">Prior to the </w:t>
      </w:r>
      <w:proofErr w:type="spellStart"/>
      <w:r>
        <w:rPr>
          <w:rFonts w:ascii="Arial Narrow" w:hAnsi="Arial Narrow"/>
        </w:rPr>
        <w:t>Envestra</w:t>
      </w:r>
      <w:proofErr w:type="spellEnd"/>
      <w:r>
        <w:rPr>
          <w:rFonts w:ascii="Arial Narrow" w:hAnsi="Arial Narrow"/>
        </w:rPr>
        <w:t xml:space="preserve"> Draft Decision released on 17 February 2011, t</w:t>
      </w:r>
      <w:r w:rsidR="005B79A1">
        <w:rPr>
          <w:rFonts w:ascii="Arial Narrow" w:hAnsi="Arial Narrow"/>
        </w:rPr>
        <w:t xml:space="preserve">he most recent AER regulatory decision was made late in </w:t>
      </w:r>
      <w:r w:rsidR="005B79A1" w:rsidRPr="00C76DF7">
        <w:rPr>
          <w:rFonts w:ascii="Arial Narrow" w:hAnsi="Arial Narrow" w:cs="Arial Narrow"/>
        </w:rPr>
        <w:t>Oct</w:t>
      </w:r>
      <w:r w:rsidR="005B79A1">
        <w:rPr>
          <w:rFonts w:ascii="Arial Narrow" w:hAnsi="Arial Narrow" w:cs="Arial Narrow"/>
        </w:rPr>
        <w:t>ober</w:t>
      </w:r>
      <w:r w:rsidR="005B79A1" w:rsidRPr="00C76DF7">
        <w:rPr>
          <w:rFonts w:ascii="Arial Narrow" w:hAnsi="Arial Narrow" w:cs="Arial Narrow"/>
        </w:rPr>
        <w:t xml:space="preserve"> </w:t>
      </w:r>
      <w:r w:rsidR="005B79A1">
        <w:rPr>
          <w:rFonts w:ascii="Arial Narrow" w:hAnsi="Arial Narrow" w:cs="Arial Narrow"/>
        </w:rPr>
        <w:t>2010</w:t>
      </w:r>
      <w:r w:rsidR="005B79A1">
        <w:rPr>
          <w:rStyle w:val="FootnoteReference"/>
          <w:rFonts w:ascii="Arial Narrow" w:hAnsi="Arial Narrow" w:cs="Arial Narrow"/>
        </w:rPr>
        <w:footnoteReference w:id="12"/>
      </w:r>
      <w:r w:rsidR="005B79A1">
        <w:rPr>
          <w:rFonts w:ascii="Arial Narrow" w:hAnsi="Arial Narrow" w:cs="Arial Narrow"/>
        </w:rPr>
        <w:t xml:space="preserve"> and this provided an MRP of </w:t>
      </w:r>
      <w:r w:rsidR="005B79A1" w:rsidRPr="00C76DF7">
        <w:rPr>
          <w:rFonts w:ascii="Arial Narrow" w:hAnsi="Arial Narrow" w:cs="Arial Narrow"/>
        </w:rPr>
        <w:t>6.5%</w:t>
      </w:r>
      <w:r w:rsidR="005B79A1">
        <w:rPr>
          <w:rFonts w:ascii="Arial Narrow" w:hAnsi="Arial Narrow" w:cs="Arial Narrow"/>
        </w:rPr>
        <w:t xml:space="preserve"> for the regulatory period 1 January 2011 to 31 December 2015.  There is substantial </w:t>
      </w:r>
      <w:r w:rsidR="005B79A1" w:rsidRPr="00C76DF7">
        <w:rPr>
          <w:rFonts w:ascii="Arial Narrow" w:hAnsi="Arial Narrow" w:cs="Arial Narrow"/>
        </w:rPr>
        <w:t xml:space="preserve">overlap </w:t>
      </w:r>
      <w:r w:rsidR="005B79A1">
        <w:rPr>
          <w:rFonts w:ascii="Arial Narrow" w:hAnsi="Arial Narrow" w:cs="Arial Narrow"/>
        </w:rPr>
        <w:t xml:space="preserve">(90%) </w:t>
      </w:r>
      <w:r w:rsidR="005B79A1" w:rsidRPr="00C76DF7">
        <w:rPr>
          <w:rFonts w:ascii="Arial Narrow" w:hAnsi="Arial Narrow" w:cs="Arial Narrow"/>
        </w:rPr>
        <w:t xml:space="preserve">between </w:t>
      </w:r>
      <w:r w:rsidR="005B79A1">
        <w:rPr>
          <w:rFonts w:ascii="Arial Narrow" w:hAnsi="Arial Narrow" w:cs="Arial Narrow"/>
        </w:rPr>
        <w:t xml:space="preserve">the 1 January 2011 to 31 December 2015 and the </w:t>
      </w:r>
      <w:proofErr w:type="spellStart"/>
      <w:r w:rsidR="005B79A1">
        <w:rPr>
          <w:rFonts w:ascii="Arial Narrow" w:hAnsi="Arial Narrow" w:cs="Arial Narrow"/>
        </w:rPr>
        <w:t>Envestra</w:t>
      </w:r>
      <w:proofErr w:type="spellEnd"/>
      <w:r w:rsidR="005B79A1">
        <w:rPr>
          <w:rFonts w:ascii="Arial Narrow" w:hAnsi="Arial Narrow" w:cs="Arial Narrow"/>
        </w:rPr>
        <w:t xml:space="preserve"> regulatory period of 1 July 2011 to 30 June 2016.  </w:t>
      </w:r>
      <w:r w:rsidR="00C26622">
        <w:rPr>
          <w:rFonts w:ascii="Arial Narrow" w:hAnsi="Arial Narrow" w:cs="Arial Narrow"/>
        </w:rPr>
        <w:t xml:space="preserve">By reducing the MRP from 6.5% for the period 1 January 2011 to 31 December 2015 to 6% for the period of 1 July 2011 to 30 June 2016 it implies </w:t>
      </w:r>
      <w:r>
        <w:rPr>
          <w:rFonts w:ascii="Arial Narrow" w:hAnsi="Arial Narrow" w:cs="Arial Narrow"/>
        </w:rPr>
        <w:t xml:space="preserve">the </w:t>
      </w:r>
      <w:r w:rsidR="00C26622">
        <w:rPr>
          <w:rFonts w:ascii="Arial Narrow" w:hAnsi="Arial Narrow" w:cs="Arial Narrow"/>
        </w:rPr>
        <w:t xml:space="preserve">MRP </w:t>
      </w:r>
      <w:r>
        <w:rPr>
          <w:rFonts w:ascii="Arial Narrow" w:hAnsi="Arial Narrow" w:cs="Arial Narrow"/>
        </w:rPr>
        <w:t xml:space="preserve">will need to be </w:t>
      </w:r>
      <w:r w:rsidR="00C26622">
        <w:rPr>
          <w:rFonts w:ascii="Arial Narrow" w:hAnsi="Arial Narrow" w:cs="Arial Narrow"/>
        </w:rPr>
        <w:t>0.5% for the 6 months between 1 January 2016 and 30 June 2016</w:t>
      </w:r>
      <w:r w:rsidR="0061573B">
        <w:rPr>
          <w:rFonts w:ascii="Arial Narrow" w:hAnsi="Arial Narrow" w:cs="Arial Narrow"/>
        </w:rPr>
        <w:t xml:space="preserve">, </w:t>
      </w:r>
      <w:r>
        <w:rPr>
          <w:rFonts w:ascii="Arial Narrow" w:hAnsi="Arial Narrow" w:cs="Arial Narrow"/>
        </w:rPr>
        <w:t xml:space="preserve">for it to average 6% over the </w:t>
      </w:r>
      <w:proofErr w:type="spellStart"/>
      <w:r>
        <w:rPr>
          <w:rFonts w:ascii="Arial Narrow" w:hAnsi="Arial Narrow" w:cs="Arial Narrow"/>
        </w:rPr>
        <w:t>Envestra</w:t>
      </w:r>
      <w:proofErr w:type="spellEnd"/>
      <w:r>
        <w:rPr>
          <w:rFonts w:ascii="Arial Narrow" w:hAnsi="Arial Narrow" w:cs="Arial Narrow"/>
        </w:rPr>
        <w:t xml:space="preserve"> Access Arrangement Period, </w:t>
      </w:r>
      <w:r w:rsidR="0061573B">
        <w:rPr>
          <w:rFonts w:ascii="Arial Narrow" w:hAnsi="Arial Narrow" w:cs="Arial Narrow"/>
        </w:rPr>
        <w:t>which is unrealistic and unreasonable</w:t>
      </w:r>
      <w:r>
        <w:rPr>
          <w:rFonts w:ascii="Arial Narrow" w:hAnsi="Arial Narrow" w:cs="Arial Narrow"/>
        </w:rPr>
        <w:t xml:space="preserve"> (see table below)</w:t>
      </w:r>
      <w:r w:rsidR="00C26622">
        <w:rPr>
          <w:rFonts w:ascii="Arial Narrow" w:hAnsi="Arial Narrow" w:cs="Arial Narrow"/>
        </w:rPr>
        <w:t xml:space="preserve">.  </w:t>
      </w:r>
      <w:r w:rsidR="004A7909">
        <w:rPr>
          <w:rFonts w:ascii="Arial Narrow" w:hAnsi="Arial Narrow" w:cs="Arial Narrow"/>
        </w:rPr>
        <w:t xml:space="preserve">There is no reason </w:t>
      </w:r>
      <w:r w:rsidR="005B79A1">
        <w:rPr>
          <w:rFonts w:ascii="Arial Narrow" w:hAnsi="Arial Narrow" w:cs="Arial Narrow"/>
        </w:rPr>
        <w:t>why the MRP should</w:t>
      </w:r>
      <w:r w:rsidR="00EA238A">
        <w:rPr>
          <w:rFonts w:ascii="Arial Narrow" w:hAnsi="Arial Narrow" w:cs="Arial Narrow"/>
        </w:rPr>
        <w:t xml:space="preserve"> be so</w:t>
      </w:r>
      <w:r w:rsidR="005B79A1">
        <w:rPr>
          <w:rFonts w:ascii="Arial Narrow" w:hAnsi="Arial Narrow" w:cs="Arial Narrow"/>
        </w:rPr>
        <w:t xml:space="preserve"> different for those two decisions given the same capital market conditions will apply for 90% of the time.</w:t>
      </w:r>
      <w:r w:rsidR="00334C3D">
        <w:rPr>
          <w:rFonts w:ascii="Arial Narrow" w:hAnsi="Arial Narrow" w:cs="Arial Narrow"/>
        </w:rPr>
        <w:t xml:space="preserve">  </w:t>
      </w:r>
      <w:r w:rsidR="00EA68C8">
        <w:rPr>
          <w:rFonts w:ascii="Arial Narrow" w:hAnsi="Arial Narrow" w:cs="Arial Narrow"/>
        </w:rPr>
        <w:t>For the reasons noted above, the AER’s justification for such a departure is flawed and not consistent with the evidence.</w:t>
      </w:r>
    </w:p>
    <w:p w:rsidR="00E474DA" w:rsidRDefault="00E474DA" w:rsidP="008A2467">
      <w:pPr>
        <w:pStyle w:val="Default"/>
        <w:jc w:val="both"/>
        <w:rPr>
          <w:rFonts w:ascii="Arial Narrow" w:hAnsi="Arial Narrow" w:cs="Arial Narrow"/>
        </w:rPr>
      </w:pPr>
    </w:p>
    <w:p w:rsidR="00E474DA" w:rsidRDefault="00E474DA" w:rsidP="008A2467">
      <w:pPr>
        <w:pStyle w:val="Default"/>
        <w:jc w:val="both"/>
        <w:rPr>
          <w:rFonts w:ascii="Arial Narrow" w:hAnsi="Arial Narrow" w:cs="Arial Narrow"/>
        </w:rPr>
      </w:pPr>
      <w:r>
        <w:rPr>
          <w:rFonts w:ascii="Arial Narrow" w:hAnsi="Arial Narrow" w:cs="Arial Narrow"/>
        </w:rPr>
        <w:t xml:space="preserve">Equally importantly, is the fact that </w:t>
      </w:r>
      <w:proofErr w:type="spellStart"/>
      <w:r>
        <w:rPr>
          <w:rFonts w:ascii="Arial Narrow" w:hAnsi="Arial Narrow" w:cs="Arial Narrow"/>
        </w:rPr>
        <w:t>Envestra</w:t>
      </w:r>
      <w:proofErr w:type="spellEnd"/>
      <w:r>
        <w:rPr>
          <w:rFonts w:ascii="Arial Narrow" w:hAnsi="Arial Narrow" w:cs="Arial Narrow"/>
        </w:rPr>
        <w:t xml:space="preserve"> is treated differently in this regard versus the other major gas distribution businesses in Australia.  This is manifestly unfair given all must compete for the same scarce pool of capital and all have substantially overlapping regulatory review periods.  </w:t>
      </w:r>
    </w:p>
    <w:p w:rsidR="005B79A1" w:rsidRDefault="005B79A1" w:rsidP="008A2467">
      <w:pPr>
        <w:spacing w:before="0" w:after="0"/>
        <w:ind w:firstLine="0"/>
        <w:rPr>
          <w:rFonts w:ascii="Arial Narrow" w:hAnsi="Arial Narrow"/>
          <w:sz w:val="24"/>
        </w:rPr>
      </w:pPr>
    </w:p>
    <w:tbl>
      <w:tblPr>
        <w:tblW w:w="0" w:type="auto"/>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Layout w:type="fixed"/>
        <w:tblCellMar>
          <w:left w:w="30" w:type="dxa"/>
          <w:right w:w="30" w:type="dxa"/>
        </w:tblCellMar>
        <w:tblLook w:val="0000"/>
      </w:tblPr>
      <w:tblGrid>
        <w:gridCol w:w="1822"/>
        <w:gridCol w:w="1015"/>
        <w:gridCol w:w="1015"/>
        <w:gridCol w:w="1015"/>
        <w:gridCol w:w="1015"/>
        <w:gridCol w:w="1016"/>
        <w:gridCol w:w="1015"/>
        <w:gridCol w:w="1015"/>
      </w:tblGrid>
      <w:tr w:rsidR="00B42750" w:rsidRPr="00F13AEA" w:rsidTr="00F13AEA">
        <w:trPr>
          <w:trHeight w:val="552"/>
        </w:trPr>
        <w:tc>
          <w:tcPr>
            <w:tcW w:w="1822" w:type="dxa"/>
            <w:shd w:val="clear" w:color="auto" w:fill="548DD4"/>
            <w:vAlign w:val="center"/>
          </w:tcPr>
          <w:p w:rsidR="00B42750" w:rsidRPr="00F13AEA" w:rsidRDefault="00B42750" w:rsidP="00086834">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Time Period</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6 months</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12 months</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12 months</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12 months</w:t>
            </w:r>
          </w:p>
        </w:tc>
        <w:tc>
          <w:tcPr>
            <w:tcW w:w="1016"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12 months</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6 months</w:t>
            </w:r>
          </w:p>
        </w:tc>
        <w:tc>
          <w:tcPr>
            <w:tcW w:w="1015" w:type="dxa"/>
            <w:shd w:val="clear" w:color="auto" w:fill="548DD4"/>
            <w:vAlign w:val="center"/>
          </w:tcPr>
          <w:p w:rsidR="00B42750" w:rsidRPr="00F13AEA" w:rsidRDefault="00B42750" w:rsidP="00F13AEA">
            <w:pPr>
              <w:autoSpaceDE w:val="0"/>
              <w:autoSpaceDN w:val="0"/>
              <w:adjustRightInd w:val="0"/>
              <w:spacing w:before="0" w:after="0"/>
              <w:ind w:firstLine="0"/>
              <w:jc w:val="center"/>
              <w:rPr>
                <w:rFonts w:ascii="Arial Narrow" w:hAnsi="Arial Narrow" w:cs="Arial Narrow"/>
                <w:b/>
                <w:color w:val="FFFFFF"/>
                <w:lang w:eastAsia="en-AU"/>
              </w:rPr>
            </w:pPr>
            <w:r w:rsidRPr="00F13AEA">
              <w:rPr>
                <w:rFonts w:ascii="Arial Narrow" w:hAnsi="Arial Narrow" w:cs="Arial Narrow"/>
                <w:b/>
                <w:color w:val="FFFFFF"/>
                <w:lang w:eastAsia="en-AU"/>
              </w:rPr>
              <w:t>6 months</w:t>
            </w:r>
          </w:p>
        </w:tc>
      </w:tr>
      <w:tr w:rsidR="00B42750" w:rsidTr="00086834">
        <w:trPr>
          <w:trHeight w:val="552"/>
        </w:trPr>
        <w:tc>
          <w:tcPr>
            <w:tcW w:w="1822" w:type="dxa"/>
            <w:vAlign w:val="center"/>
          </w:tcPr>
          <w:p w:rsidR="00B42750" w:rsidRPr="00086834" w:rsidRDefault="00716828" w:rsidP="00716828">
            <w:pPr>
              <w:tabs>
                <w:tab w:val="left" w:pos="57"/>
              </w:tabs>
              <w:autoSpaceDE w:val="0"/>
              <w:autoSpaceDN w:val="0"/>
              <w:adjustRightInd w:val="0"/>
              <w:spacing w:before="60" w:after="60"/>
              <w:ind w:firstLine="0"/>
              <w:jc w:val="left"/>
              <w:rPr>
                <w:rFonts w:ascii="Arial Narrow" w:hAnsi="Arial Narrow" w:cs="Arial Narrow"/>
                <w:color w:val="000000"/>
                <w:sz w:val="24"/>
                <w:szCs w:val="24"/>
                <w:lang w:eastAsia="en-AU"/>
              </w:rPr>
            </w:pPr>
            <w:r>
              <w:rPr>
                <w:rFonts w:ascii="Arial Narrow" w:hAnsi="Arial Narrow" w:cs="Arial Narrow"/>
                <w:color w:val="000000"/>
                <w:sz w:val="24"/>
                <w:szCs w:val="24"/>
                <w:lang w:eastAsia="en-AU"/>
              </w:rPr>
              <w:tab/>
            </w:r>
            <w:r w:rsidR="00B42750" w:rsidRPr="00086834">
              <w:rPr>
                <w:rFonts w:ascii="Arial Narrow" w:hAnsi="Arial Narrow" w:cs="Arial Narrow"/>
                <w:color w:val="000000"/>
                <w:sz w:val="24"/>
                <w:szCs w:val="24"/>
                <w:lang w:eastAsia="en-AU"/>
              </w:rPr>
              <w:t>Dates</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Jan 2011-June 2011</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July 2011-Jun 2012</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July 2012-Jun 2013</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July 2013-Jun 2014</w:t>
            </w:r>
          </w:p>
        </w:tc>
        <w:tc>
          <w:tcPr>
            <w:tcW w:w="1016"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July 2014-Jun 2015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July 2015-Dec 2015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Jan 2016 - Jun 2016</w:t>
            </w:r>
          </w:p>
        </w:tc>
      </w:tr>
      <w:tr w:rsidR="00B42750" w:rsidTr="00086834">
        <w:trPr>
          <w:trHeight w:val="552"/>
        </w:trPr>
        <w:tc>
          <w:tcPr>
            <w:tcW w:w="1822" w:type="dxa"/>
            <w:vAlign w:val="center"/>
          </w:tcPr>
          <w:p w:rsidR="00B42750" w:rsidRPr="00086834" w:rsidRDefault="00716828" w:rsidP="00716828">
            <w:pPr>
              <w:tabs>
                <w:tab w:val="left" w:pos="57"/>
                <w:tab w:val="left" w:pos="142"/>
              </w:tabs>
              <w:autoSpaceDE w:val="0"/>
              <w:autoSpaceDN w:val="0"/>
              <w:adjustRightInd w:val="0"/>
              <w:spacing w:before="60" w:after="60"/>
              <w:ind w:firstLine="0"/>
              <w:jc w:val="left"/>
              <w:rPr>
                <w:rFonts w:ascii="Arial Narrow" w:hAnsi="Arial Narrow" w:cs="Arial Narrow"/>
                <w:b/>
                <w:bCs/>
                <w:color w:val="000000"/>
                <w:sz w:val="24"/>
                <w:szCs w:val="24"/>
                <w:lang w:eastAsia="en-AU"/>
              </w:rPr>
            </w:pPr>
            <w:r>
              <w:rPr>
                <w:rFonts w:ascii="Arial Narrow" w:hAnsi="Arial Narrow" w:cs="Arial Narrow"/>
                <w:b/>
                <w:bCs/>
                <w:color w:val="000000"/>
                <w:sz w:val="24"/>
                <w:szCs w:val="24"/>
                <w:lang w:eastAsia="en-AU"/>
              </w:rPr>
              <w:tab/>
            </w:r>
            <w:r w:rsidR="00B42750" w:rsidRPr="00086834">
              <w:rPr>
                <w:rFonts w:ascii="Arial Narrow" w:hAnsi="Arial Narrow" w:cs="Arial Narrow"/>
                <w:b/>
                <w:bCs/>
                <w:color w:val="000000"/>
                <w:sz w:val="24"/>
                <w:szCs w:val="24"/>
                <w:lang w:eastAsia="en-AU"/>
              </w:rPr>
              <w:t>Annualised MRP</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6"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color w:val="000000"/>
                <w:sz w:val="24"/>
                <w:szCs w:val="24"/>
                <w:lang w:eastAsia="en-AU"/>
              </w:rPr>
            </w:pPr>
            <w:r w:rsidRPr="00086834">
              <w:rPr>
                <w:rFonts w:ascii="Arial Narrow" w:hAnsi="Arial Narrow" w:cs="Arial Narrow"/>
                <w:color w:val="000000"/>
                <w:sz w:val="24"/>
                <w:szCs w:val="24"/>
                <w:lang w:eastAsia="en-AU"/>
              </w:rPr>
              <w:t>6.5%</w:t>
            </w:r>
          </w:p>
        </w:tc>
        <w:tc>
          <w:tcPr>
            <w:tcW w:w="1015" w:type="dxa"/>
            <w:vAlign w:val="center"/>
          </w:tcPr>
          <w:p w:rsidR="00B42750" w:rsidRPr="00086834" w:rsidRDefault="00B42750" w:rsidP="00086834">
            <w:pPr>
              <w:autoSpaceDE w:val="0"/>
              <w:autoSpaceDN w:val="0"/>
              <w:adjustRightInd w:val="0"/>
              <w:spacing w:before="60" w:after="60"/>
              <w:ind w:firstLine="0"/>
              <w:jc w:val="center"/>
              <w:rPr>
                <w:rFonts w:ascii="Arial Narrow" w:hAnsi="Arial Narrow" w:cs="Arial Narrow"/>
                <w:b/>
                <w:bCs/>
                <w:color w:val="000000"/>
                <w:sz w:val="24"/>
                <w:szCs w:val="24"/>
                <w:lang w:eastAsia="en-AU"/>
              </w:rPr>
            </w:pPr>
            <w:r w:rsidRPr="00086834">
              <w:rPr>
                <w:rFonts w:ascii="Arial Narrow" w:hAnsi="Arial Narrow" w:cs="Arial Narrow"/>
                <w:b/>
                <w:bCs/>
                <w:color w:val="000000"/>
                <w:sz w:val="24"/>
                <w:szCs w:val="24"/>
                <w:lang w:eastAsia="en-AU"/>
              </w:rPr>
              <w:t>0.5%</w:t>
            </w:r>
          </w:p>
        </w:tc>
      </w:tr>
    </w:tbl>
    <w:p w:rsidR="005B79A1" w:rsidRDefault="005B79A1" w:rsidP="008A2467">
      <w:pPr>
        <w:spacing w:before="0" w:after="0"/>
        <w:ind w:firstLine="0"/>
        <w:rPr>
          <w:rFonts w:ascii="Arial Narrow" w:hAnsi="Arial Narrow"/>
          <w:sz w:val="24"/>
        </w:rPr>
      </w:pPr>
    </w:p>
    <w:p w:rsidR="005A2E97" w:rsidRPr="00CD0DC4" w:rsidRDefault="005A2E97" w:rsidP="00EB743F">
      <w:pPr>
        <w:pStyle w:val="ListParagraph"/>
        <w:numPr>
          <w:ilvl w:val="2"/>
          <w:numId w:val="2"/>
        </w:numPr>
        <w:tabs>
          <w:tab w:val="left" w:pos="567"/>
        </w:tabs>
        <w:ind w:left="567" w:hanging="567"/>
        <w:rPr>
          <w:rFonts w:ascii="Arial Narrow" w:hAnsi="Arial Narrow"/>
          <w:b/>
        </w:rPr>
      </w:pPr>
      <w:r w:rsidRPr="00CD0DC4">
        <w:rPr>
          <w:rFonts w:ascii="Arial Narrow" w:hAnsi="Arial Narrow"/>
          <w:b/>
        </w:rPr>
        <w:t>Conclusion</w:t>
      </w:r>
    </w:p>
    <w:p w:rsidR="005A2E97" w:rsidRDefault="005A2E97" w:rsidP="008A2467">
      <w:pPr>
        <w:spacing w:before="0" w:after="0"/>
        <w:ind w:firstLine="0"/>
        <w:rPr>
          <w:rFonts w:ascii="Arial Narrow" w:hAnsi="Arial Narrow"/>
          <w:sz w:val="24"/>
        </w:rPr>
      </w:pPr>
    </w:p>
    <w:p w:rsidR="00596F20" w:rsidRDefault="00596F20" w:rsidP="008A2467">
      <w:pPr>
        <w:spacing w:before="0" w:after="0"/>
        <w:ind w:firstLine="0"/>
        <w:rPr>
          <w:rFonts w:ascii="Arial Narrow" w:hAnsi="Arial Narrow" w:cs="Arial Narrow"/>
          <w:sz w:val="24"/>
          <w:szCs w:val="24"/>
        </w:rPr>
      </w:pPr>
      <w:r>
        <w:rPr>
          <w:rFonts w:ascii="Arial Narrow" w:hAnsi="Arial Narrow" w:cs="Arial Narrow"/>
          <w:sz w:val="24"/>
          <w:szCs w:val="24"/>
        </w:rPr>
        <w:t xml:space="preserve">Risk </w:t>
      </w:r>
      <w:proofErr w:type="spellStart"/>
      <w:r>
        <w:rPr>
          <w:rFonts w:ascii="Arial Narrow" w:hAnsi="Arial Narrow" w:cs="Arial Narrow"/>
          <w:sz w:val="24"/>
          <w:szCs w:val="24"/>
        </w:rPr>
        <w:t>premia</w:t>
      </w:r>
      <w:proofErr w:type="spellEnd"/>
      <w:r>
        <w:rPr>
          <w:rFonts w:ascii="Arial Narrow" w:hAnsi="Arial Narrow" w:cs="Arial Narrow"/>
          <w:sz w:val="24"/>
          <w:szCs w:val="24"/>
        </w:rPr>
        <w:t xml:space="preserve"> have reduced since the height of the GFC, however volatility levels remain above pre-GFC levels indicating it is appropriate for the MRP to be set above the pre-GFC average.  The 2009 and 2010 </w:t>
      </w:r>
      <w:r w:rsidRPr="00B46AC5">
        <w:rPr>
          <w:rFonts w:ascii="Arial Narrow" w:hAnsi="Arial Narrow" w:cs="Arial Narrow"/>
          <w:sz w:val="24"/>
          <w:szCs w:val="24"/>
        </w:rPr>
        <w:t>Fernandez and Del Campo</w:t>
      </w:r>
      <w:r>
        <w:rPr>
          <w:rFonts w:ascii="Arial Narrow" w:hAnsi="Arial Narrow" w:cs="Arial Narrow"/>
          <w:sz w:val="24"/>
          <w:szCs w:val="24"/>
        </w:rPr>
        <w:t xml:space="preserve"> MRP survey results do not provide any reliable evidence as to appropriate MRP in Australia and should not be afforded any weight in the AERs decision making processes.  </w:t>
      </w:r>
      <w:r>
        <w:rPr>
          <w:rFonts w:ascii="Arial Narrow" w:hAnsi="Arial Narrow"/>
          <w:sz w:val="24"/>
        </w:rPr>
        <w:t>S</w:t>
      </w:r>
      <w:r w:rsidRPr="00265CA0">
        <w:rPr>
          <w:rFonts w:ascii="Arial Narrow" w:hAnsi="Arial Narrow"/>
          <w:sz w:val="24"/>
        </w:rPr>
        <w:t>tatements from the IMF, the</w:t>
      </w:r>
      <w:r>
        <w:rPr>
          <w:rFonts w:ascii="Arial Narrow" w:hAnsi="Arial Narrow"/>
          <w:sz w:val="24"/>
        </w:rPr>
        <w:t xml:space="preserve"> </w:t>
      </w:r>
      <w:r w:rsidRPr="00265CA0">
        <w:rPr>
          <w:rFonts w:ascii="Arial Narrow" w:hAnsi="Arial Narrow"/>
          <w:sz w:val="24"/>
        </w:rPr>
        <w:t xml:space="preserve">OECD and the RBA </w:t>
      </w:r>
      <w:r>
        <w:rPr>
          <w:rFonts w:ascii="Arial Narrow" w:hAnsi="Arial Narrow"/>
          <w:sz w:val="24"/>
        </w:rPr>
        <w:t>provide no information on either the risk in equity markets or investors rate of return requirements.  Consequently, the</w:t>
      </w:r>
      <w:r w:rsidRPr="00265CA0">
        <w:rPr>
          <w:rFonts w:ascii="Arial Narrow" w:hAnsi="Arial Narrow"/>
          <w:sz w:val="24"/>
        </w:rPr>
        <w:t xml:space="preserve"> IMF, the</w:t>
      </w:r>
      <w:r>
        <w:rPr>
          <w:rFonts w:ascii="Arial Narrow" w:hAnsi="Arial Narrow"/>
          <w:sz w:val="24"/>
        </w:rPr>
        <w:t xml:space="preserve"> </w:t>
      </w:r>
      <w:r w:rsidRPr="00265CA0">
        <w:rPr>
          <w:rFonts w:ascii="Arial Narrow" w:hAnsi="Arial Narrow"/>
          <w:sz w:val="24"/>
        </w:rPr>
        <w:t>OECD and the RBA</w:t>
      </w:r>
      <w:r>
        <w:rPr>
          <w:rFonts w:ascii="Arial Narrow" w:hAnsi="Arial Narrow"/>
          <w:sz w:val="24"/>
        </w:rPr>
        <w:t xml:space="preserve"> statements provide no basis to downwardly revise the 2009 WACC Review MRP of 6.5%.</w:t>
      </w:r>
    </w:p>
    <w:p w:rsidR="00596F20" w:rsidRDefault="00596F20" w:rsidP="008A2467">
      <w:pPr>
        <w:spacing w:before="0" w:after="0"/>
        <w:ind w:firstLine="0"/>
        <w:rPr>
          <w:rFonts w:ascii="Arial Narrow" w:hAnsi="Arial Narrow" w:cs="Arial Narrow"/>
          <w:sz w:val="24"/>
          <w:szCs w:val="24"/>
        </w:rPr>
      </w:pPr>
    </w:p>
    <w:p w:rsidR="005B79A1" w:rsidRDefault="00596F20" w:rsidP="008A2467">
      <w:pPr>
        <w:spacing w:before="0" w:after="0"/>
        <w:ind w:firstLine="0"/>
        <w:rPr>
          <w:rFonts w:ascii="Arial Narrow" w:hAnsi="Arial Narrow"/>
          <w:sz w:val="24"/>
        </w:rPr>
      </w:pPr>
      <w:r>
        <w:rPr>
          <w:rFonts w:ascii="Arial Narrow" w:hAnsi="Arial Narrow" w:cs="Arial Narrow"/>
          <w:sz w:val="24"/>
          <w:szCs w:val="24"/>
        </w:rPr>
        <w:t xml:space="preserve">MRP estimates from the DGM indicate that the market is currently ascribing a value for the MRP significantly higher than the 6% determined by the AER, with </w:t>
      </w:r>
      <w:r>
        <w:rPr>
          <w:rFonts w:ascii="Arial Narrow" w:hAnsi="Arial Narrow"/>
          <w:sz w:val="24"/>
        </w:rPr>
        <w:t>from</w:t>
      </w:r>
      <w:r w:rsidRPr="00A87B5B">
        <w:rPr>
          <w:rFonts w:ascii="Arial Narrow" w:hAnsi="Arial Narrow"/>
          <w:sz w:val="24"/>
        </w:rPr>
        <w:t xml:space="preserve"> Bloomberg </w:t>
      </w:r>
      <w:r>
        <w:rPr>
          <w:rFonts w:ascii="Arial Narrow" w:hAnsi="Arial Narrow"/>
          <w:sz w:val="24"/>
        </w:rPr>
        <w:t xml:space="preserve">indicating an MRP of 9.6% </w:t>
      </w:r>
      <w:r w:rsidRPr="00A87B5B">
        <w:rPr>
          <w:rFonts w:ascii="Arial Narrow" w:hAnsi="Arial Narrow"/>
          <w:sz w:val="24"/>
        </w:rPr>
        <w:t>as at January 2011</w:t>
      </w:r>
      <w:r>
        <w:rPr>
          <w:rFonts w:ascii="Arial Narrow" w:hAnsi="Arial Narrow"/>
          <w:sz w:val="24"/>
        </w:rPr>
        <w:t xml:space="preserve">. </w:t>
      </w:r>
      <w:r>
        <w:rPr>
          <w:rFonts w:ascii="Arial Narrow" w:hAnsi="Arial Narrow" w:cs="Arial Narrow"/>
          <w:sz w:val="24"/>
          <w:szCs w:val="24"/>
        </w:rPr>
        <w:t xml:space="preserve"> The Handley empirical analysis (taking into account the stand</w:t>
      </w:r>
      <w:r w:rsidR="00E474DA">
        <w:rPr>
          <w:rFonts w:ascii="Arial Narrow" w:hAnsi="Arial Narrow" w:cs="Arial Narrow"/>
          <w:sz w:val="24"/>
          <w:szCs w:val="24"/>
        </w:rPr>
        <w:t>ard</w:t>
      </w:r>
      <w:r>
        <w:rPr>
          <w:rFonts w:ascii="Arial Narrow" w:hAnsi="Arial Narrow" w:cs="Arial Narrow"/>
          <w:sz w:val="24"/>
          <w:szCs w:val="24"/>
        </w:rPr>
        <w:t xml:space="preserve"> errors) supports an MRP within the bounds originally proposed in </w:t>
      </w:r>
      <w:proofErr w:type="spellStart"/>
      <w:r w:rsidRPr="008C6960">
        <w:rPr>
          <w:rFonts w:ascii="Arial Narrow" w:hAnsi="Arial Narrow" w:cs="Arial Narrow"/>
          <w:sz w:val="24"/>
          <w:szCs w:val="24"/>
        </w:rPr>
        <w:t>Envestra</w:t>
      </w:r>
      <w:r>
        <w:rPr>
          <w:rFonts w:ascii="Arial Narrow" w:hAnsi="Arial Narrow" w:cs="Arial Narrow"/>
          <w:sz w:val="24"/>
          <w:szCs w:val="24"/>
        </w:rPr>
        <w:t>’s</w:t>
      </w:r>
      <w:proofErr w:type="spellEnd"/>
      <w:r w:rsidRPr="008C6960">
        <w:rPr>
          <w:rFonts w:ascii="Arial Narrow" w:hAnsi="Arial Narrow" w:cs="Arial Narrow"/>
          <w:sz w:val="24"/>
          <w:szCs w:val="24"/>
        </w:rPr>
        <w:t xml:space="preserve"> </w:t>
      </w:r>
      <w:r>
        <w:rPr>
          <w:rFonts w:ascii="Arial Narrow" w:hAnsi="Arial Narrow" w:cs="Arial Narrow"/>
          <w:sz w:val="24"/>
          <w:szCs w:val="24"/>
        </w:rPr>
        <w:t xml:space="preserve">Access Arrangement </w:t>
      </w:r>
      <w:r w:rsidRPr="008C6960">
        <w:rPr>
          <w:rFonts w:ascii="Arial Narrow" w:hAnsi="Arial Narrow" w:cs="Arial Narrow"/>
          <w:sz w:val="24"/>
          <w:szCs w:val="24"/>
        </w:rPr>
        <w:t>submi</w:t>
      </w:r>
      <w:r>
        <w:rPr>
          <w:rFonts w:ascii="Arial Narrow" w:hAnsi="Arial Narrow" w:cs="Arial Narrow"/>
          <w:sz w:val="24"/>
          <w:szCs w:val="24"/>
        </w:rPr>
        <w:t xml:space="preserve">ssion.  As a result of the updated information and reviewing the AERs Draft Determination </w:t>
      </w:r>
      <w:proofErr w:type="spellStart"/>
      <w:r>
        <w:rPr>
          <w:rFonts w:ascii="Arial Narrow" w:hAnsi="Arial Narrow" w:cs="Arial Narrow"/>
          <w:sz w:val="24"/>
          <w:szCs w:val="24"/>
        </w:rPr>
        <w:lastRenderedPageBreak/>
        <w:t>Envestra</w:t>
      </w:r>
      <w:proofErr w:type="spellEnd"/>
      <w:r>
        <w:rPr>
          <w:rFonts w:ascii="Arial Narrow" w:hAnsi="Arial Narrow" w:cs="Arial Narrow"/>
          <w:sz w:val="24"/>
          <w:szCs w:val="24"/>
        </w:rPr>
        <w:t xml:space="preserve"> continues to believe that </w:t>
      </w:r>
      <w:r w:rsidR="00AA288D" w:rsidRPr="008C6960">
        <w:rPr>
          <w:rFonts w:ascii="Arial Narrow" w:hAnsi="Arial Narrow" w:cs="Arial Narrow"/>
          <w:sz w:val="24"/>
          <w:szCs w:val="24"/>
        </w:rPr>
        <w:t>a</w:t>
      </w:r>
      <w:r w:rsidR="00AA288D">
        <w:rPr>
          <w:rFonts w:ascii="Arial Narrow" w:hAnsi="Arial Narrow" w:cs="Arial Narrow"/>
          <w:sz w:val="24"/>
          <w:szCs w:val="24"/>
        </w:rPr>
        <w:t xml:space="preserve">n MRP </w:t>
      </w:r>
      <w:r w:rsidR="00AA288D" w:rsidRPr="008C6960">
        <w:rPr>
          <w:rFonts w:ascii="Arial Narrow" w:hAnsi="Arial Narrow" w:cs="Arial Narrow"/>
          <w:sz w:val="24"/>
          <w:szCs w:val="24"/>
        </w:rPr>
        <w:t xml:space="preserve">of </w:t>
      </w:r>
      <w:r w:rsidR="00AA288D">
        <w:rPr>
          <w:rFonts w:ascii="Arial Narrow" w:hAnsi="Arial Narrow" w:cs="Arial Narrow"/>
          <w:sz w:val="24"/>
          <w:szCs w:val="24"/>
        </w:rPr>
        <w:t xml:space="preserve">between </w:t>
      </w:r>
      <w:r w:rsidR="00AA288D" w:rsidRPr="008C6960">
        <w:rPr>
          <w:rFonts w:ascii="Arial Narrow" w:hAnsi="Arial Narrow" w:cs="Arial Narrow"/>
          <w:sz w:val="24"/>
          <w:szCs w:val="24"/>
        </w:rPr>
        <w:t xml:space="preserve">6.5% </w:t>
      </w:r>
      <w:r w:rsidR="00AA288D">
        <w:rPr>
          <w:rFonts w:ascii="Arial Narrow" w:hAnsi="Arial Narrow" w:cs="Arial Narrow"/>
          <w:sz w:val="24"/>
          <w:szCs w:val="24"/>
        </w:rPr>
        <w:t xml:space="preserve">and 8% </w:t>
      </w:r>
      <w:r w:rsidR="00AA288D" w:rsidRPr="008C6960">
        <w:rPr>
          <w:rFonts w:ascii="Arial Narrow" w:hAnsi="Arial Narrow" w:cs="Arial Narrow"/>
          <w:sz w:val="24"/>
          <w:szCs w:val="24"/>
        </w:rPr>
        <w:t xml:space="preserve">is </w:t>
      </w:r>
      <w:r w:rsidR="00AA288D">
        <w:rPr>
          <w:rFonts w:ascii="Arial Narrow" w:hAnsi="Arial Narrow" w:cs="Arial Narrow"/>
          <w:sz w:val="24"/>
          <w:szCs w:val="24"/>
        </w:rPr>
        <w:t>consistent with the available evidence</w:t>
      </w:r>
      <w:r w:rsidR="008063B4">
        <w:rPr>
          <w:rFonts w:ascii="Arial Narrow" w:hAnsi="Arial Narrow" w:cs="Arial Narrow"/>
          <w:sz w:val="24"/>
          <w:szCs w:val="24"/>
        </w:rPr>
        <w:t xml:space="preserve">, consistent with </w:t>
      </w:r>
      <w:r w:rsidR="00AA288D">
        <w:rPr>
          <w:rFonts w:ascii="Arial Narrow" w:hAnsi="Arial Narrow" w:cs="Arial Narrow"/>
          <w:sz w:val="24"/>
          <w:szCs w:val="24"/>
        </w:rPr>
        <w:t>current market conditions</w:t>
      </w:r>
      <w:r w:rsidR="008063B4">
        <w:rPr>
          <w:rFonts w:ascii="Arial Narrow" w:hAnsi="Arial Narrow" w:cs="Arial Narrow"/>
          <w:sz w:val="24"/>
          <w:szCs w:val="24"/>
        </w:rPr>
        <w:t xml:space="preserve"> and is in accordance with the NGR</w:t>
      </w:r>
      <w:r w:rsidR="00AA288D" w:rsidRPr="008C6960">
        <w:rPr>
          <w:rFonts w:ascii="Arial Narrow" w:hAnsi="Arial Narrow" w:cs="Arial Narrow"/>
          <w:sz w:val="24"/>
          <w:szCs w:val="24"/>
        </w:rPr>
        <w:t>.</w:t>
      </w:r>
      <w:r w:rsidR="00AA288D">
        <w:rPr>
          <w:rFonts w:ascii="Arial Narrow" w:hAnsi="Arial Narrow" w:cs="Arial Narrow"/>
          <w:sz w:val="24"/>
          <w:szCs w:val="24"/>
        </w:rPr>
        <w:t xml:space="preserve">  </w:t>
      </w:r>
    </w:p>
    <w:sectPr w:rsidR="005B79A1" w:rsidSect="008A2467">
      <w:headerReference w:type="even" r:id="rId9"/>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5EC" w:rsidRDefault="006F25EC" w:rsidP="00484ABD">
      <w:pPr>
        <w:spacing w:before="0" w:after="0"/>
      </w:pPr>
      <w:r>
        <w:separator/>
      </w:r>
    </w:p>
  </w:endnote>
  <w:endnote w:type="continuationSeparator" w:id="0">
    <w:p w:rsidR="006F25EC" w:rsidRDefault="006F25EC"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5EC" w:rsidRDefault="006F25EC" w:rsidP="00484ABD">
      <w:pPr>
        <w:spacing w:before="0" w:after="0"/>
      </w:pPr>
      <w:r>
        <w:separator/>
      </w:r>
    </w:p>
  </w:footnote>
  <w:footnote w:type="continuationSeparator" w:id="0">
    <w:p w:rsidR="006F25EC" w:rsidRDefault="006F25EC" w:rsidP="00484ABD">
      <w:pPr>
        <w:spacing w:before="0" w:after="0"/>
      </w:pPr>
      <w:r>
        <w:continuationSeparator/>
      </w:r>
    </w:p>
  </w:footnote>
  <w:footnote w:id="1">
    <w:p w:rsidR="00F25B95" w:rsidRPr="00DF02E0" w:rsidRDefault="00F25B95" w:rsidP="004B112E">
      <w:pPr>
        <w:pStyle w:val="FootnoteText"/>
        <w:tabs>
          <w:tab w:val="left" w:pos="284"/>
        </w:tabs>
        <w:spacing w:before="0" w:after="0"/>
        <w:ind w:left="284" w:hanging="284"/>
      </w:pPr>
      <w:r w:rsidRPr="00DF02E0">
        <w:rPr>
          <w:rStyle w:val="FootnoteReference"/>
          <w:rFonts w:ascii="Arial Narrow" w:hAnsi="Arial Narrow"/>
        </w:rPr>
        <w:footnoteRef/>
      </w:r>
      <w:r w:rsidRPr="00DF02E0">
        <w:tab/>
      </w:r>
      <w:r w:rsidRPr="00DF02E0">
        <w:rPr>
          <w:rFonts w:ascii="Arial Narrow" w:hAnsi="Arial Narrow" w:cs="Arial Narrow"/>
        </w:rPr>
        <w:t xml:space="preserve">The AER final decisions for </w:t>
      </w:r>
      <w:proofErr w:type="spellStart"/>
      <w:r w:rsidRPr="00DF02E0">
        <w:rPr>
          <w:rFonts w:ascii="Arial Narrow" w:hAnsi="Arial Narrow" w:cs="Arial Narrow"/>
        </w:rPr>
        <w:t>CitiPower</w:t>
      </w:r>
      <w:proofErr w:type="spellEnd"/>
      <w:r w:rsidRPr="00DF02E0">
        <w:rPr>
          <w:rFonts w:ascii="Arial Narrow" w:hAnsi="Arial Narrow" w:cs="Arial Narrow"/>
        </w:rPr>
        <w:t xml:space="preserve">, </w:t>
      </w:r>
      <w:proofErr w:type="spellStart"/>
      <w:r w:rsidRPr="00DF02E0">
        <w:rPr>
          <w:rFonts w:ascii="Arial Narrow" w:hAnsi="Arial Narrow" w:cs="Arial Narrow"/>
        </w:rPr>
        <w:t>Powercor</w:t>
      </w:r>
      <w:proofErr w:type="spellEnd"/>
      <w:r w:rsidRPr="00DF02E0">
        <w:rPr>
          <w:rFonts w:ascii="Arial Narrow" w:hAnsi="Arial Narrow" w:cs="Arial Narrow"/>
        </w:rPr>
        <w:t xml:space="preserve">, JEN, SP </w:t>
      </w:r>
      <w:proofErr w:type="spellStart"/>
      <w:r w:rsidRPr="00DF02E0">
        <w:rPr>
          <w:rFonts w:ascii="Arial Narrow" w:hAnsi="Arial Narrow" w:cs="Arial Narrow"/>
        </w:rPr>
        <w:t>AusNet</w:t>
      </w:r>
      <w:proofErr w:type="spellEnd"/>
      <w:r w:rsidRPr="00DF02E0">
        <w:rPr>
          <w:rFonts w:ascii="Arial Narrow" w:hAnsi="Arial Narrow" w:cs="Arial Narrow"/>
        </w:rPr>
        <w:t xml:space="preserve"> and United Energy for the period from 1 January 2011 to 31 December 2015</w:t>
      </w:r>
    </w:p>
  </w:footnote>
  <w:footnote w:id="2">
    <w:p w:rsidR="00F25B95" w:rsidRPr="001673ED" w:rsidRDefault="00F25B95" w:rsidP="001673ED">
      <w:pPr>
        <w:tabs>
          <w:tab w:val="left" w:pos="284"/>
        </w:tabs>
        <w:spacing w:before="0" w:after="0" w:line="276" w:lineRule="auto"/>
        <w:ind w:left="284" w:hanging="284"/>
        <w:rPr>
          <w:rFonts w:ascii="Arial Narrow" w:hAnsi="Arial Narrow"/>
          <w:sz w:val="20"/>
          <w:szCs w:val="20"/>
        </w:rPr>
      </w:pPr>
      <w:r w:rsidRPr="001673ED">
        <w:rPr>
          <w:rStyle w:val="FootnoteReference"/>
          <w:rFonts w:ascii="Arial Narrow" w:hAnsi="Arial Narrow"/>
          <w:sz w:val="20"/>
          <w:szCs w:val="20"/>
        </w:rPr>
        <w:footnoteRef/>
      </w:r>
      <w:r>
        <w:rPr>
          <w:rFonts w:ascii="Arial Narrow" w:hAnsi="Arial Narrow"/>
          <w:sz w:val="20"/>
          <w:szCs w:val="20"/>
        </w:rPr>
        <w:tab/>
      </w:r>
      <w:r w:rsidRPr="001673ED">
        <w:rPr>
          <w:rFonts w:ascii="Arial Narrow" w:hAnsi="Arial Narrow" w:cs="Arial Narrow"/>
          <w:sz w:val="20"/>
          <w:szCs w:val="20"/>
        </w:rPr>
        <w:t xml:space="preserve">John C. Handley, </w:t>
      </w:r>
      <w:r w:rsidRPr="001673ED">
        <w:rPr>
          <w:rFonts w:ascii="Arial Narrow" w:hAnsi="Arial Narrow" w:cs="Arial Narrow"/>
          <w:i/>
          <w:sz w:val="20"/>
          <w:szCs w:val="20"/>
        </w:rPr>
        <w:t>An Estimate of the Historical Equity Risk Premium for the Period 1883 to 2010</w:t>
      </w:r>
      <w:r w:rsidRPr="001673ED">
        <w:rPr>
          <w:rFonts w:ascii="Arial Narrow" w:hAnsi="Arial Narrow" w:cs="Arial Narrow"/>
          <w:sz w:val="20"/>
          <w:szCs w:val="20"/>
        </w:rPr>
        <w:t>, 25 January 2011.</w:t>
      </w:r>
    </w:p>
  </w:footnote>
  <w:footnote w:id="3">
    <w:p w:rsidR="00F25B95" w:rsidRPr="001673ED" w:rsidRDefault="00F25B95" w:rsidP="001673ED">
      <w:pPr>
        <w:pStyle w:val="FootnoteText"/>
        <w:tabs>
          <w:tab w:val="left" w:pos="284"/>
        </w:tabs>
        <w:spacing w:before="0" w:after="0"/>
        <w:ind w:left="284" w:hanging="284"/>
        <w:rPr>
          <w:rFonts w:ascii="Arial Narrow" w:hAnsi="Arial Narrow"/>
        </w:rPr>
      </w:pPr>
      <w:r w:rsidRPr="001673ED">
        <w:rPr>
          <w:rStyle w:val="FootnoteReference"/>
          <w:rFonts w:ascii="Arial Narrow" w:hAnsi="Arial Narrow"/>
        </w:rPr>
        <w:footnoteRef/>
      </w:r>
      <w:r>
        <w:rPr>
          <w:rFonts w:ascii="Arial Narrow" w:hAnsi="Arial Narrow"/>
        </w:rPr>
        <w:tab/>
      </w:r>
      <w:proofErr w:type="spellStart"/>
      <w:r w:rsidRPr="001673ED">
        <w:rPr>
          <w:rFonts w:ascii="Arial Narrow" w:hAnsi="Arial Narrow" w:cs="Arial Narrow"/>
        </w:rPr>
        <w:t>Envestra</w:t>
      </w:r>
      <w:proofErr w:type="spellEnd"/>
      <w:r w:rsidRPr="001673ED">
        <w:rPr>
          <w:rFonts w:ascii="Arial Narrow" w:hAnsi="Arial Narrow" w:cs="Arial Narrow"/>
        </w:rPr>
        <w:t xml:space="preserve"> requested the data used by Handley to estimate the MRPs contained in his January 2011 report.  The data was not provided and </w:t>
      </w:r>
      <w:proofErr w:type="spellStart"/>
      <w:r w:rsidRPr="001673ED">
        <w:rPr>
          <w:rFonts w:ascii="Arial Narrow" w:hAnsi="Arial Narrow" w:cs="Arial Narrow"/>
        </w:rPr>
        <w:t>Envestra</w:t>
      </w:r>
      <w:proofErr w:type="spellEnd"/>
      <w:r w:rsidRPr="001673ED">
        <w:rPr>
          <w:rFonts w:ascii="Arial Narrow" w:hAnsi="Arial Narrow" w:cs="Arial Narrow"/>
        </w:rPr>
        <w:t xml:space="preserve"> was unable to verify the accuracy of the information contained in the Handley report.  </w:t>
      </w:r>
    </w:p>
  </w:footnote>
  <w:footnote w:id="4">
    <w:p w:rsidR="00F25B95" w:rsidRPr="001673ED" w:rsidRDefault="00F25B95" w:rsidP="001673ED">
      <w:pPr>
        <w:pStyle w:val="FootnoteText"/>
        <w:tabs>
          <w:tab w:val="left" w:pos="284"/>
        </w:tabs>
        <w:spacing w:before="0" w:after="0"/>
        <w:ind w:left="284" w:hanging="284"/>
        <w:rPr>
          <w:rFonts w:ascii="Arial Narrow" w:hAnsi="Arial Narrow"/>
        </w:rPr>
      </w:pPr>
      <w:r w:rsidRPr="001673ED">
        <w:rPr>
          <w:rStyle w:val="FootnoteReference"/>
          <w:rFonts w:ascii="Arial Narrow" w:hAnsi="Arial Narrow"/>
        </w:rPr>
        <w:footnoteRef/>
      </w:r>
      <w:r>
        <w:rPr>
          <w:rFonts w:ascii="Arial Narrow" w:hAnsi="Arial Narrow"/>
        </w:rPr>
        <w:tab/>
      </w:r>
      <w:r w:rsidRPr="001673ED">
        <w:rPr>
          <w:rFonts w:ascii="Arial Narrow" w:hAnsi="Arial Narrow"/>
        </w:rPr>
        <w:t>SFG report section 6</w:t>
      </w:r>
    </w:p>
  </w:footnote>
  <w:footnote w:id="5">
    <w:p w:rsidR="00F25B95" w:rsidRPr="0024056E" w:rsidRDefault="00F25B95" w:rsidP="0024056E">
      <w:pPr>
        <w:pStyle w:val="FootnoteText"/>
        <w:tabs>
          <w:tab w:val="left" w:pos="284"/>
        </w:tabs>
        <w:spacing w:before="0" w:after="0"/>
        <w:ind w:left="284" w:hanging="284"/>
        <w:rPr>
          <w:rFonts w:ascii="Arial Narrow" w:hAnsi="Arial Narrow"/>
        </w:rPr>
      </w:pPr>
      <w:r w:rsidRPr="0024056E">
        <w:rPr>
          <w:rStyle w:val="FootnoteReference"/>
          <w:rFonts w:ascii="Arial Narrow" w:hAnsi="Arial Narrow"/>
        </w:rPr>
        <w:footnoteRef/>
      </w:r>
      <w:r w:rsidR="0024056E">
        <w:rPr>
          <w:rFonts w:ascii="Arial Narrow" w:hAnsi="Arial Narrow"/>
        </w:rPr>
        <w:tab/>
      </w:r>
      <w:r w:rsidRPr="0024056E">
        <w:rPr>
          <w:rFonts w:ascii="Arial Narrow" w:hAnsi="Arial Narrow"/>
        </w:rPr>
        <w:t xml:space="preserve">Debt investors are continuing to require higher risk </w:t>
      </w:r>
      <w:proofErr w:type="spellStart"/>
      <w:r w:rsidRPr="0024056E">
        <w:rPr>
          <w:rFonts w:ascii="Arial Narrow" w:hAnsi="Arial Narrow"/>
        </w:rPr>
        <w:t>premia</w:t>
      </w:r>
      <w:proofErr w:type="spellEnd"/>
      <w:r w:rsidRPr="0024056E">
        <w:rPr>
          <w:rFonts w:ascii="Arial Narrow" w:hAnsi="Arial Narrow"/>
        </w:rPr>
        <w:t xml:space="preserve"> for debt investments and it necessarily follows that equity investors would require a higher rate of return as well.</w:t>
      </w:r>
    </w:p>
  </w:footnote>
  <w:footnote w:id="6">
    <w:p w:rsidR="00F25B95" w:rsidRPr="0024056E" w:rsidRDefault="00F25B95" w:rsidP="0024056E">
      <w:pPr>
        <w:pStyle w:val="FootnoteText"/>
        <w:tabs>
          <w:tab w:val="left" w:pos="284"/>
        </w:tabs>
        <w:spacing w:before="0" w:after="0"/>
        <w:ind w:left="284" w:hanging="284"/>
        <w:rPr>
          <w:rFonts w:ascii="Arial Narrow" w:hAnsi="Arial Narrow"/>
        </w:rPr>
      </w:pPr>
      <w:r w:rsidRPr="0024056E">
        <w:rPr>
          <w:rStyle w:val="FootnoteReference"/>
          <w:rFonts w:ascii="Arial Narrow" w:hAnsi="Arial Narrow"/>
        </w:rPr>
        <w:footnoteRef/>
      </w:r>
      <w:r w:rsidR="0024056E">
        <w:rPr>
          <w:rFonts w:ascii="Arial Narrow" w:hAnsi="Arial Narrow"/>
        </w:rPr>
        <w:tab/>
      </w:r>
      <w:r w:rsidRPr="0024056E">
        <w:rPr>
          <w:rFonts w:ascii="Arial Narrow" w:hAnsi="Arial Narrow"/>
        </w:rPr>
        <w:t xml:space="preserve">McKinsey Global Institute publication </w:t>
      </w:r>
      <w:r w:rsidRPr="0024056E">
        <w:rPr>
          <w:rFonts w:ascii="Arial Narrow" w:hAnsi="Arial Narrow"/>
          <w:i/>
        </w:rPr>
        <w:t>Farewell to cheap capital?  The implications of long-term shifts in global investment and saving</w:t>
      </w:r>
      <w:r w:rsidRPr="0024056E">
        <w:rPr>
          <w:rFonts w:ascii="Arial Narrow" w:hAnsi="Arial Narrow"/>
        </w:rPr>
        <w:t>, December 2010</w:t>
      </w:r>
    </w:p>
  </w:footnote>
  <w:footnote w:id="7">
    <w:p w:rsidR="00F25B95" w:rsidRPr="0024056E" w:rsidRDefault="00F25B95" w:rsidP="0024056E">
      <w:pPr>
        <w:pStyle w:val="FootnoteText"/>
        <w:tabs>
          <w:tab w:val="left" w:pos="284"/>
        </w:tabs>
        <w:spacing w:before="0" w:after="0"/>
        <w:ind w:left="284" w:hanging="284"/>
        <w:rPr>
          <w:rFonts w:ascii="Arial Narrow" w:hAnsi="Arial Narrow"/>
        </w:rPr>
      </w:pPr>
      <w:r w:rsidRPr="0024056E">
        <w:rPr>
          <w:rStyle w:val="FootnoteReference"/>
          <w:rFonts w:ascii="Arial Narrow" w:hAnsi="Arial Narrow"/>
        </w:rPr>
        <w:footnoteRef/>
      </w:r>
      <w:r w:rsidR="0024056E">
        <w:rPr>
          <w:rFonts w:ascii="Arial Narrow" w:hAnsi="Arial Narrow"/>
        </w:rPr>
        <w:tab/>
      </w:r>
      <w:r w:rsidRPr="0024056E">
        <w:rPr>
          <w:rFonts w:ascii="Arial Narrow" w:hAnsi="Arial Narrow"/>
        </w:rPr>
        <w:t>Page 82</w:t>
      </w:r>
    </w:p>
  </w:footnote>
  <w:footnote w:id="8">
    <w:p w:rsidR="00F25B95" w:rsidRPr="0024056E" w:rsidRDefault="00F25B95" w:rsidP="0024056E">
      <w:pPr>
        <w:pStyle w:val="FootnoteText"/>
        <w:tabs>
          <w:tab w:val="left" w:pos="284"/>
        </w:tabs>
        <w:spacing w:before="0" w:after="0"/>
        <w:ind w:left="284" w:hanging="284"/>
        <w:rPr>
          <w:rFonts w:ascii="Arial Narrow" w:hAnsi="Arial Narrow"/>
        </w:rPr>
      </w:pPr>
      <w:r w:rsidRPr="0024056E">
        <w:rPr>
          <w:rStyle w:val="FootnoteReference"/>
          <w:rFonts w:ascii="Arial Narrow" w:hAnsi="Arial Narrow"/>
        </w:rPr>
        <w:footnoteRef/>
      </w:r>
      <w:r w:rsidR="0024056E">
        <w:rPr>
          <w:rFonts w:ascii="Arial Narrow" w:hAnsi="Arial Narrow"/>
        </w:rPr>
        <w:tab/>
      </w:r>
      <w:r w:rsidRPr="0024056E">
        <w:rPr>
          <w:rFonts w:ascii="Arial Narrow" w:hAnsi="Arial Narrow"/>
        </w:rPr>
        <w:t xml:space="preserve">Refer to </w:t>
      </w:r>
      <w:proofErr w:type="spellStart"/>
      <w:r w:rsidRPr="0024056E">
        <w:rPr>
          <w:rFonts w:ascii="Arial Narrow" w:hAnsi="Arial Narrow"/>
        </w:rPr>
        <w:t>Envestra</w:t>
      </w:r>
      <w:proofErr w:type="spellEnd"/>
      <w:r w:rsidRPr="0024056E">
        <w:rPr>
          <w:rFonts w:ascii="Arial Narrow" w:hAnsi="Arial Narrow"/>
        </w:rPr>
        <w:t xml:space="preserve"> confidential submission</w:t>
      </w:r>
    </w:p>
  </w:footnote>
  <w:footnote w:id="9">
    <w:p w:rsidR="00F25B95" w:rsidRPr="0024056E" w:rsidRDefault="00F25B95" w:rsidP="0024056E">
      <w:pPr>
        <w:pStyle w:val="FootnoteText"/>
        <w:tabs>
          <w:tab w:val="left" w:pos="284"/>
        </w:tabs>
        <w:spacing w:before="0" w:after="0"/>
        <w:ind w:left="284" w:hanging="284"/>
        <w:rPr>
          <w:rFonts w:ascii="Arial Narrow" w:hAnsi="Arial Narrow"/>
        </w:rPr>
      </w:pPr>
      <w:r w:rsidRPr="0024056E">
        <w:rPr>
          <w:rStyle w:val="FootnoteReference"/>
          <w:rFonts w:ascii="Arial Narrow" w:hAnsi="Arial Narrow"/>
        </w:rPr>
        <w:footnoteRef/>
      </w:r>
      <w:r w:rsidR="0024056E">
        <w:rPr>
          <w:rFonts w:ascii="Arial Narrow" w:hAnsi="Arial Narrow"/>
        </w:rPr>
        <w:tab/>
      </w:r>
      <w:r w:rsidRPr="0024056E">
        <w:rPr>
          <w:rFonts w:ascii="Arial Narrow" w:hAnsi="Arial Narrow"/>
        </w:rPr>
        <w:t>SFG report section 49</w:t>
      </w:r>
    </w:p>
  </w:footnote>
  <w:footnote w:id="10">
    <w:p w:rsidR="00F25B95" w:rsidRPr="00140327" w:rsidRDefault="00F25B95" w:rsidP="00140327">
      <w:pPr>
        <w:pStyle w:val="FootnoteText"/>
        <w:tabs>
          <w:tab w:val="left" w:pos="284"/>
        </w:tabs>
        <w:spacing w:before="0" w:after="0"/>
        <w:ind w:left="284" w:hanging="284"/>
        <w:rPr>
          <w:rFonts w:ascii="Arial Narrow" w:hAnsi="Arial Narrow"/>
        </w:rPr>
      </w:pPr>
      <w:r w:rsidRPr="00140327">
        <w:rPr>
          <w:rStyle w:val="FootnoteReference"/>
          <w:rFonts w:ascii="Arial Narrow" w:hAnsi="Arial Narrow"/>
        </w:rPr>
        <w:footnoteRef/>
      </w:r>
      <w:r w:rsidR="00140327">
        <w:rPr>
          <w:rFonts w:ascii="Arial Narrow" w:hAnsi="Arial Narrow"/>
        </w:rPr>
        <w:tab/>
      </w:r>
      <w:r w:rsidRPr="00140327">
        <w:rPr>
          <w:rFonts w:ascii="Arial Narrow" w:hAnsi="Arial Narrow"/>
        </w:rPr>
        <w:t>SFG report section 34</w:t>
      </w:r>
    </w:p>
  </w:footnote>
  <w:footnote w:id="11">
    <w:p w:rsidR="00F25B95" w:rsidRPr="00140327" w:rsidRDefault="00F25B95" w:rsidP="00140327">
      <w:pPr>
        <w:pStyle w:val="FootnoteText"/>
        <w:tabs>
          <w:tab w:val="left" w:pos="284"/>
        </w:tabs>
        <w:spacing w:before="0" w:after="0"/>
        <w:ind w:left="284" w:hanging="284"/>
        <w:rPr>
          <w:rFonts w:ascii="Arial Narrow" w:hAnsi="Arial Narrow"/>
        </w:rPr>
      </w:pPr>
      <w:r w:rsidRPr="00140327">
        <w:rPr>
          <w:rStyle w:val="FootnoteReference"/>
          <w:rFonts w:ascii="Arial Narrow" w:hAnsi="Arial Narrow"/>
        </w:rPr>
        <w:footnoteRef/>
      </w:r>
      <w:r w:rsidR="00140327">
        <w:rPr>
          <w:rFonts w:ascii="Arial Narrow" w:hAnsi="Arial Narrow"/>
        </w:rPr>
        <w:tab/>
      </w:r>
      <w:r w:rsidRPr="00140327">
        <w:rPr>
          <w:rFonts w:ascii="Arial Narrow" w:hAnsi="Arial Narrow"/>
        </w:rPr>
        <w:t>SA Draft Decision page 88</w:t>
      </w:r>
    </w:p>
  </w:footnote>
  <w:footnote w:id="12">
    <w:p w:rsidR="00F25B95" w:rsidRPr="00D86543" w:rsidRDefault="00F25B95" w:rsidP="00D86543">
      <w:pPr>
        <w:pStyle w:val="FootnoteText"/>
        <w:tabs>
          <w:tab w:val="left" w:pos="284"/>
        </w:tabs>
        <w:spacing w:before="0" w:after="0"/>
        <w:ind w:left="284" w:hanging="284"/>
        <w:rPr>
          <w:rFonts w:ascii="Arial Narrow" w:hAnsi="Arial Narrow"/>
        </w:rPr>
      </w:pPr>
      <w:r w:rsidRPr="00D86543">
        <w:rPr>
          <w:rStyle w:val="FootnoteReference"/>
          <w:rFonts w:ascii="Arial Narrow" w:hAnsi="Arial Narrow"/>
        </w:rPr>
        <w:footnoteRef/>
      </w:r>
      <w:r w:rsidR="00D86543">
        <w:rPr>
          <w:rFonts w:ascii="Arial Narrow" w:hAnsi="Arial Narrow"/>
        </w:rPr>
        <w:tab/>
      </w:r>
      <w:r w:rsidRPr="00D86543">
        <w:rPr>
          <w:rFonts w:ascii="Arial Narrow" w:hAnsi="Arial Narrow" w:cs="Arial Narrow"/>
        </w:rPr>
        <w:t xml:space="preserve">The AER final decisions for </w:t>
      </w:r>
      <w:proofErr w:type="spellStart"/>
      <w:r w:rsidRPr="00D86543">
        <w:rPr>
          <w:rFonts w:ascii="Arial Narrow" w:hAnsi="Arial Narrow" w:cs="Arial Narrow"/>
        </w:rPr>
        <w:t>CitiPower</w:t>
      </w:r>
      <w:proofErr w:type="spellEnd"/>
      <w:r w:rsidRPr="00D86543">
        <w:rPr>
          <w:rFonts w:ascii="Arial Narrow" w:hAnsi="Arial Narrow" w:cs="Arial Narrow"/>
        </w:rPr>
        <w:t xml:space="preserve">, </w:t>
      </w:r>
      <w:proofErr w:type="spellStart"/>
      <w:r w:rsidRPr="00D86543">
        <w:rPr>
          <w:rFonts w:ascii="Arial Narrow" w:hAnsi="Arial Narrow" w:cs="Arial Narrow"/>
        </w:rPr>
        <w:t>Powercor</w:t>
      </w:r>
      <w:proofErr w:type="spellEnd"/>
      <w:r w:rsidRPr="00D86543">
        <w:rPr>
          <w:rFonts w:ascii="Arial Narrow" w:hAnsi="Arial Narrow" w:cs="Arial Narrow"/>
        </w:rPr>
        <w:t xml:space="preserve">, JEN, SP </w:t>
      </w:r>
      <w:proofErr w:type="spellStart"/>
      <w:r w:rsidRPr="00D86543">
        <w:rPr>
          <w:rFonts w:ascii="Arial Narrow" w:hAnsi="Arial Narrow" w:cs="Arial Narrow"/>
        </w:rPr>
        <w:t>AusNet</w:t>
      </w:r>
      <w:proofErr w:type="spellEnd"/>
      <w:r w:rsidRPr="00D86543">
        <w:rPr>
          <w:rFonts w:ascii="Arial Narrow" w:hAnsi="Arial Narrow" w:cs="Arial Narrow"/>
        </w:rPr>
        <w:t xml:space="preserve"> and United Energy for the period from 1 January 2011 to 31 December 2015 were released on 29 October 2010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B95" w:rsidRDefault="00E26E0F" w:rsidP="00484ABD">
    <w:pPr>
      <w:pStyle w:val="Header"/>
      <w:framePr w:wrap="around" w:vAnchor="text" w:hAnchor="margin" w:xAlign="center" w:y="1"/>
      <w:rPr>
        <w:rStyle w:val="PageNumber"/>
      </w:rPr>
    </w:pPr>
    <w:r>
      <w:rPr>
        <w:rStyle w:val="PageNumber"/>
      </w:rPr>
      <w:fldChar w:fldCharType="begin"/>
    </w:r>
    <w:r w:rsidR="00F25B95">
      <w:rPr>
        <w:rStyle w:val="PageNumber"/>
      </w:rPr>
      <w:instrText xml:space="preserve">PAGE  </w:instrText>
    </w:r>
    <w:r>
      <w:rPr>
        <w:rStyle w:val="PageNumber"/>
      </w:rPr>
      <w:fldChar w:fldCharType="end"/>
    </w:r>
  </w:p>
  <w:p w:rsidR="00F25B95" w:rsidRDefault="00F25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B61D3"/>
    <w:multiLevelType w:val="multilevel"/>
    <w:tmpl w:val="68EC845E"/>
    <w:lvl w:ilvl="0">
      <w:start w:val="9"/>
      <w:numFmt w:val="decimal"/>
      <w:lvlText w:val="%1"/>
      <w:lvlJc w:val="left"/>
      <w:pPr>
        <w:ind w:left="435" w:hanging="435"/>
      </w:pPr>
      <w:rPr>
        <w:rFonts w:hint="default"/>
      </w:rPr>
    </w:lvl>
    <w:lvl w:ilvl="1">
      <w:start w:val="2"/>
      <w:numFmt w:val="decimal"/>
      <w:lvlText w:val="%1.%2"/>
      <w:lvlJc w:val="left"/>
      <w:pPr>
        <w:ind w:left="1515" w:hanging="43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nsid w:val="366205CA"/>
    <w:multiLevelType w:val="hybridMultilevel"/>
    <w:tmpl w:val="0770CDB4"/>
    <w:lvl w:ilvl="0" w:tplc="99583D6E">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4FEC45C0"/>
    <w:multiLevelType w:val="multilevel"/>
    <w:tmpl w:val="2F9846FA"/>
    <w:lvl w:ilvl="0">
      <w:start w:val="1"/>
      <w:numFmt w:val="bullet"/>
      <w:lvlText w:val=""/>
      <w:lvlJc w:val="left"/>
      <w:pPr>
        <w:ind w:left="525" w:hanging="525"/>
      </w:pPr>
      <w:rPr>
        <w:rFonts w:ascii="Wingdings" w:hAnsi="Wingding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0760119"/>
    <w:multiLevelType w:val="multilevel"/>
    <w:tmpl w:val="AAAC0352"/>
    <w:lvl w:ilvl="0">
      <w:start w:val="1"/>
      <w:numFmt w:val="bullet"/>
      <w:lvlText w:val=""/>
      <w:lvlJc w:val="left"/>
      <w:pPr>
        <w:ind w:left="525" w:hanging="525"/>
      </w:pPr>
      <w:rPr>
        <w:rFonts w:ascii="Wingdings" w:hAnsi="Wingding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1FF6BFD"/>
    <w:multiLevelType w:val="hybridMultilevel"/>
    <w:tmpl w:val="BBF89DE4"/>
    <w:lvl w:ilvl="0" w:tplc="77AEBEC2">
      <w:start w:val="1"/>
      <w:numFmt w:val="lowerRoman"/>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5E220BBD"/>
    <w:multiLevelType w:val="hybridMultilevel"/>
    <w:tmpl w:val="EE1655DC"/>
    <w:lvl w:ilvl="0" w:tplc="EE2211D2">
      <w:start w:val="1"/>
      <w:numFmt w:val="bullet"/>
      <w:lvlText w:val="-"/>
      <w:lvlJc w:val="left"/>
      <w:pPr>
        <w:ind w:left="720" w:hanging="360"/>
      </w:pPr>
      <w:rPr>
        <w:rFonts w:ascii="Times New Roman" w:hAnsi="Times New Roman" w:cs="Times New Roman" w:hint="default"/>
        <w:color w:val="auto"/>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B723512"/>
    <w:multiLevelType w:val="multilevel"/>
    <w:tmpl w:val="3E803D8E"/>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7BD9749B"/>
    <w:multiLevelType w:val="hybridMultilevel"/>
    <w:tmpl w:val="8196CDD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5"/>
  </w:num>
  <w:num w:numId="5">
    <w:abstractNumId w:val="2"/>
  </w:num>
  <w:num w:numId="6">
    <w:abstractNumId w:val="3"/>
  </w:num>
  <w:num w:numId="7">
    <w:abstractNumId w:val="4"/>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838EA"/>
    <w:rsid w:val="00004203"/>
    <w:rsid w:val="000147BA"/>
    <w:rsid w:val="00020D3B"/>
    <w:rsid w:val="00040131"/>
    <w:rsid w:val="00060062"/>
    <w:rsid w:val="000658A2"/>
    <w:rsid w:val="000726B4"/>
    <w:rsid w:val="00086834"/>
    <w:rsid w:val="00097FAE"/>
    <w:rsid w:val="000A1B0E"/>
    <w:rsid w:val="000A631A"/>
    <w:rsid w:val="000A6C74"/>
    <w:rsid w:val="000B3280"/>
    <w:rsid w:val="000D609B"/>
    <w:rsid w:val="000F1818"/>
    <w:rsid w:val="000F6253"/>
    <w:rsid w:val="00114C79"/>
    <w:rsid w:val="001331B1"/>
    <w:rsid w:val="00137979"/>
    <w:rsid w:val="00140327"/>
    <w:rsid w:val="00147718"/>
    <w:rsid w:val="0015097D"/>
    <w:rsid w:val="00151CC8"/>
    <w:rsid w:val="00152A6C"/>
    <w:rsid w:val="00160864"/>
    <w:rsid w:val="001673ED"/>
    <w:rsid w:val="001819C8"/>
    <w:rsid w:val="001A44FA"/>
    <w:rsid w:val="001C3154"/>
    <w:rsid w:val="001D32BE"/>
    <w:rsid w:val="001E1B33"/>
    <w:rsid w:val="001F6090"/>
    <w:rsid w:val="001F63CE"/>
    <w:rsid w:val="00210C2D"/>
    <w:rsid w:val="00225557"/>
    <w:rsid w:val="0024056E"/>
    <w:rsid w:val="0024477F"/>
    <w:rsid w:val="0025479C"/>
    <w:rsid w:val="002630B7"/>
    <w:rsid w:val="00265CA0"/>
    <w:rsid w:val="00282FD3"/>
    <w:rsid w:val="002853D1"/>
    <w:rsid w:val="0029114F"/>
    <w:rsid w:val="00297D3E"/>
    <w:rsid w:val="002B2208"/>
    <w:rsid w:val="002B392D"/>
    <w:rsid w:val="002B4A49"/>
    <w:rsid w:val="002B60CA"/>
    <w:rsid w:val="002E3827"/>
    <w:rsid w:val="002E72E1"/>
    <w:rsid w:val="002E78B0"/>
    <w:rsid w:val="002F3800"/>
    <w:rsid w:val="00300864"/>
    <w:rsid w:val="0032367F"/>
    <w:rsid w:val="00330039"/>
    <w:rsid w:val="003340BB"/>
    <w:rsid w:val="00334C3D"/>
    <w:rsid w:val="00341C3C"/>
    <w:rsid w:val="003500F0"/>
    <w:rsid w:val="003563CE"/>
    <w:rsid w:val="00370126"/>
    <w:rsid w:val="003701CE"/>
    <w:rsid w:val="00372E6B"/>
    <w:rsid w:val="00373508"/>
    <w:rsid w:val="00374CA5"/>
    <w:rsid w:val="003838EA"/>
    <w:rsid w:val="0039090A"/>
    <w:rsid w:val="00393941"/>
    <w:rsid w:val="003957B6"/>
    <w:rsid w:val="003A3546"/>
    <w:rsid w:val="003A76B6"/>
    <w:rsid w:val="003C4187"/>
    <w:rsid w:val="003D28C4"/>
    <w:rsid w:val="003D430D"/>
    <w:rsid w:val="003E3B45"/>
    <w:rsid w:val="003F0BA7"/>
    <w:rsid w:val="003F0D10"/>
    <w:rsid w:val="003F1C16"/>
    <w:rsid w:val="00415F92"/>
    <w:rsid w:val="004255F5"/>
    <w:rsid w:val="004337EE"/>
    <w:rsid w:val="004529BD"/>
    <w:rsid w:val="0045517F"/>
    <w:rsid w:val="0046031C"/>
    <w:rsid w:val="00476F1D"/>
    <w:rsid w:val="0048385B"/>
    <w:rsid w:val="00483B1E"/>
    <w:rsid w:val="00484ABD"/>
    <w:rsid w:val="0048543C"/>
    <w:rsid w:val="004A7909"/>
    <w:rsid w:val="004B112E"/>
    <w:rsid w:val="004B3142"/>
    <w:rsid w:val="004D28C8"/>
    <w:rsid w:val="004E03B3"/>
    <w:rsid w:val="004E2490"/>
    <w:rsid w:val="004E320F"/>
    <w:rsid w:val="00511B78"/>
    <w:rsid w:val="00526779"/>
    <w:rsid w:val="0053065B"/>
    <w:rsid w:val="00531A99"/>
    <w:rsid w:val="0053728B"/>
    <w:rsid w:val="00537316"/>
    <w:rsid w:val="00537B3B"/>
    <w:rsid w:val="00551CCA"/>
    <w:rsid w:val="00556853"/>
    <w:rsid w:val="005779BC"/>
    <w:rsid w:val="0059624A"/>
    <w:rsid w:val="00596F20"/>
    <w:rsid w:val="005A05EB"/>
    <w:rsid w:val="005A294F"/>
    <w:rsid w:val="005A2E97"/>
    <w:rsid w:val="005B79A1"/>
    <w:rsid w:val="005F0832"/>
    <w:rsid w:val="005F7D2F"/>
    <w:rsid w:val="0061573B"/>
    <w:rsid w:val="00616450"/>
    <w:rsid w:val="006225E0"/>
    <w:rsid w:val="00631AF7"/>
    <w:rsid w:val="00665727"/>
    <w:rsid w:val="00670206"/>
    <w:rsid w:val="00680316"/>
    <w:rsid w:val="00692F2A"/>
    <w:rsid w:val="00693AC1"/>
    <w:rsid w:val="006B1F29"/>
    <w:rsid w:val="006B21C0"/>
    <w:rsid w:val="006D2D01"/>
    <w:rsid w:val="006E0280"/>
    <w:rsid w:val="006F25EC"/>
    <w:rsid w:val="00704600"/>
    <w:rsid w:val="00716828"/>
    <w:rsid w:val="00722C88"/>
    <w:rsid w:val="00726B4F"/>
    <w:rsid w:val="00737850"/>
    <w:rsid w:val="0074716A"/>
    <w:rsid w:val="00747272"/>
    <w:rsid w:val="00752A2D"/>
    <w:rsid w:val="00752B35"/>
    <w:rsid w:val="00753A26"/>
    <w:rsid w:val="00765306"/>
    <w:rsid w:val="0076798D"/>
    <w:rsid w:val="00794D87"/>
    <w:rsid w:val="007A2D5B"/>
    <w:rsid w:val="007A3303"/>
    <w:rsid w:val="007F247C"/>
    <w:rsid w:val="007F3FA4"/>
    <w:rsid w:val="007F6CB9"/>
    <w:rsid w:val="00802A70"/>
    <w:rsid w:val="008063B4"/>
    <w:rsid w:val="00807745"/>
    <w:rsid w:val="008320C5"/>
    <w:rsid w:val="00836329"/>
    <w:rsid w:val="008437A3"/>
    <w:rsid w:val="008518C9"/>
    <w:rsid w:val="00861F63"/>
    <w:rsid w:val="008620C9"/>
    <w:rsid w:val="00865083"/>
    <w:rsid w:val="00867E45"/>
    <w:rsid w:val="008722EA"/>
    <w:rsid w:val="00872F30"/>
    <w:rsid w:val="00873E45"/>
    <w:rsid w:val="00891B14"/>
    <w:rsid w:val="008957D8"/>
    <w:rsid w:val="00897C19"/>
    <w:rsid w:val="008A2467"/>
    <w:rsid w:val="008A7707"/>
    <w:rsid w:val="008A773A"/>
    <w:rsid w:val="008B13E4"/>
    <w:rsid w:val="008B4F33"/>
    <w:rsid w:val="008D7D6E"/>
    <w:rsid w:val="008E101C"/>
    <w:rsid w:val="009012B6"/>
    <w:rsid w:val="009021C2"/>
    <w:rsid w:val="00911B48"/>
    <w:rsid w:val="00912AE7"/>
    <w:rsid w:val="00935311"/>
    <w:rsid w:val="00941DCE"/>
    <w:rsid w:val="00944B3E"/>
    <w:rsid w:val="00945621"/>
    <w:rsid w:val="009549D7"/>
    <w:rsid w:val="0096293E"/>
    <w:rsid w:val="0097408A"/>
    <w:rsid w:val="009812CD"/>
    <w:rsid w:val="00985153"/>
    <w:rsid w:val="009919D1"/>
    <w:rsid w:val="009A25CA"/>
    <w:rsid w:val="009A7243"/>
    <w:rsid w:val="009B2400"/>
    <w:rsid w:val="009C356B"/>
    <w:rsid w:val="009D37C4"/>
    <w:rsid w:val="009D582D"/>
    <w:rsid w:val="009D7E98"/>
    <w:rsid w:val="00A037AF"/>
    <w:rsid w:val="00A102D4"/>
    <w:rsid w:val="00A15E7C"/>
    <w:rsid w:val="00A218B9"/>
    <w:rsid w:val="00A27F7E"/>
    <w:rsid w:val="00A307CE"/>
    <w:rsid w:val="00A33BE7"/>
    <w:rsid w:val="00A35543"/>
    <w:rsid w:val="00A440E4"/>
    <w:rsid w:val="00A62B4A"/>
    <w:rsid w:val="00A677FC"/>
    <w:rsid w:val="00A87B5B"/>
    <w:rsid w:val="00A926A7"/>
    <w:rsid w:val="00A93DB7"/>
    <w:rsid w:val="00A962DE"/>
    <w:rsid w:val="00A96991"/>
    <w:rsid w:val="00AA288D"/>
    <w:rsid w:val="00AA2B2F"/>
    <w:rsid w:val="00AA4512"/>
    <w:rsid w:val="00AC0F81"/>
    <w:rsid w:val="00AC17B7"/>
    <w:rsid w:val="00AC717B"/>
    <w:rsid w:val="00AD626D"/>
    <w:rsid w:val="00AF1A9A"/>
    <w:rsid w:val="00B0077B"/>
    <w:rsid w:val="00B03092"/>
    <w:rsid w:val="00B060CB"/>
    <w:rsid w:val="00B233BF"/>
    <w:rsid w:val="00B23CCF"/>
    <w:rsid w:val="00B25A86"/>
    <w:rsid w:val="00B26A10"/>
    <w:rsid w:val="00B271B1"/>
    <w:rsid w:val="00B42750"/>
    <w:rsid w:val="00B42B3C"/>
    <w:rsid w:val="00B46AC5"/>
    <w:rsid w:val="00B6716F"/>
    <w:rsid w:val="00B96C49"/>
    <w:rsid w:val="00BA55AB"/>
    <w:rsid w:val="00BA659A"/>
    <w:rsid w:val="00BB6D0A"/>
    <w:rsid w:val="00BD1B56"/>
    <w:rsid w:val="00BD44BB"/>
    <w:rsid w:val="00BE0533"/>
    <w:rsid w:val="00BF19E3"/>
    <w:rsid w:val="00C01B2A"/>
    <w:rsid w:val="00C12474"/>
    <w:rsid w:val="00C13EF0"/>
    <w:rsid w:val="00C1560E"/>
    <w:rsid w:val="00C26622"/>
    <w:rsid w:val="00C41689"/>
    <w:rsid w:val="00C56B48"/>
    <w:rsid w:val="00C6447F"/>
    <w:rsid w:val="00C76DF7"/>
    <w:rsid w:val="00C80F00"/>
    <w:rsid w:val="00C90B0B"/>
    <w:rsid w:val="00CA5E9A"/>
    <w:rsid w:val="00CA61BA"/>
    <w:rsid w:val="00CC20CB"/>
    <w:rsid w:val="00CD0DC4"/>
    <w:rsid w:val="00CD4BE1"/>
    <w:rsid w:val="00CE75E4"/>
    <w:rsid w:val="00CF1747"/>
    <w:rsid w:val="00D0628C"/>
    <w:rsid w:val="00D10BCA"/>
    <w:rsid w:val="00D11078"/>
    <w:rsid w:val="00D27D93"/>
    <w:rsid w:val="00D36B72"/>
    <w:rsid w:val="00D40766"/>
    <w:rsid w:val="00D50C90"/>
    <w:rsid w:val="00D5109B"/>
    <w:rsid w:val="00D67D6C"/>
    <w:rsid w:val="00D70E73"/>
    <w:rsid w:val="00D72CE7"/>
    <w:rsid w:val="00D73B21"/>
    <w:rsid w:val="00D77A5C"/>
    <w:rsid w:val="00D86543"/>
    <w:rsid w:val="00D9257D"/>
    <w:rsid w:val="00D94F52"/>
    <w:rsid w:val="00DA0C58"/>
    <w:rsid w:val="00DA1814"/>
    <w:rsid w:val="00DC1452"/>
    <w:rsid w:val="00DC295D"/>
    <w:rsid w:val="00DD00D8"/>
    <w:rsid w:val="00DE0E25"/>
    <w:rsid w:val="00DE31FE"/>
    <w:rsid w:val="00DE4EBD"/>
    <w:rsid w:val="00DE63F9"/>
    <w:rsid w:val="00DF02E0"/>
    <w:rsid w:val="00DF28F3"/>
    <w:rsid w:val="00DF3914"/>
    <w:rsid w:val="00E01D7E"/>
    <w:rsid w:val="00E26E0F"/>
    <w:rsid w:val="00E37965"/>
    <w:rsid w:val="00E41221"/>
    <w:rsid w:val="00E42640"/>
    <w:rsid w:val="00E474DA"/>
    <w:rsid w:val="00E51B95"/>
    <w:rsid w:val="00E54FB1"/>
    <w:rsid w:val="00E66F6F"/>
    <w:rsid w:val="00E721FE"/>
    <w:rsid w:val="00E7315F"/>
    <w:rsid w:val="00E861AF"/>
    <w:rsid w:val="00EA238A"/>
    <w:rsid w:val="00EA2FD9"/>
    <w:rsid w:val="00EA68C8"/>
    <w:rsid w:val="00EB35C5"/>
    <w:rsid w:val="00EB743F"/>
    <w:rsid w:val="00EC1404"/>
    <w:rsid w:val="00ED62EA"/>
    <w:rsid w:val="00EF3B57"/>
    <w:rsid w:val="00F0762B"/>
    <w:rsid w:val="00F1206C"/>
    <w:rsid w:val="00F13AEA"/>
    <w:rsid w:val="00F21378"/>
    <w:rsid w:val="00F22484"/>
    <w:rsid w:val="00F23A54"/>
    <w:rsid w:val="00F25B95"/>
    <w:rsid w:val="00F51302"/>
    <w:rsid w:val="00F6078E"/>
    <w:rsid w:val="00F60B7C"/>
    <w:rsid w:val="00F61335"/>
    <w:rsid w:val="00F74531"/>
    <w:rsid w:val="00F8193F"/>
    <w:rsid w:val="00F87808"/>
    <w:rsid w:val="00FB096F"/>
    <w:rsid w:val="00FC1ACE"/>
    <w:rsid w:val="00FC1D45"/>
    <w:rsid w:val="00FC54A0"/>
    <w:rsid w:val="00FC6E1B"/>
    <w:rsid w:val="00FE0689"/>
    <w:rsid w:val="00FE3D56"/>
    <w:rsid w:val="00FE7BE5"/>
    <w:rsid w:val="00FF155B"/>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72"/>
    <w:pPr>
      <w:spacing w:before="240" w:after="200"/>
      <w:ind w:hanging="737"/>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unhideWhenUsed/>
    <w:rsid w:val="00C7038F"/>
    <w:rPr>
      <w:sz w:val="20"/>
      <w:szCs w:val="20"/>
    </w:rPr>
  </w:style>
  <w:style w:type="character" w:customStyle="1" w:styleId="FootnoteTextChar">
    <w:name w:val="Footnote Text Char"/>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semiHidden/>
    <w:rsid w:val="00C7038F"/>
    <w:rPr>
      <w:lang w:eastAsia="en-US"/>
    </w:rPr>
  </w:style>
  <w:style w:type="character" w:styleId="FootnoteReference">
    <w:name w:val="footnote reference"/>
    <w:aliases w:val="(NECG) Footnote Reference"/>
    <w:basedOn w:val="DefaultParagraphFont"/>
    <w:uiPriority w:val="99"/>
    <w:semiHidden/>
    <w:unhideWhenUsed/>
    <w:rsid w:val="00C7038F"/>
    <w:rPr>
      <w:vertAlign w:val="superscript"/>
    </w:rPr>
  </w:style>
  <w:style w:type="paragraph" w:styleId="BalloonText">
    <w:name w:val="Balloon Text"/>
    <w:basedOn w:val="Normal"/>
    <w:link w:val="BalloonTextChar"/>
    <w:rsid w:val="009F4F03"/>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4F03"/>
    <w:rPr>
      <w:rFonts w:ascii="Tahoma" w:hAnsi="Tahoma" w:cs="Tahoma"/>
      <w:sz w:val="16"/>
      <w:szCs w:val="16"/>
      <w:lang w:eastAsia="en-US"/>
    </w:rPr>
  </w:style>
  <w:style w:type="paragraph" w:styleId="Header">
    <w:name w:val="header"/>
    <w:basedOn w:val="Normal"/>
    <w:link w:val="HeaderChar"/>
    <w:rsid w:val="00264CA4"/>
    <w:pPr>
      <w:tabs>
        <w:tab w:val="center" w:pos="4320"/>
        <w:tab w:val="right" w:pos="8640"/>
      </w:tabs>
    </w:pPr>
  </w:style>
  <w:style w:type="character" w:customStyle="1" w:styleId="HeaderChar">
    <w:name w:val="Header Char"/>
    <w:basedOn w:val="DefaultParagraphFont"/>
    <w:link w:val="Header"/>
    <w:rsid w:val="00264CA4"/>
    <w:rPr>
      <w:sz w:val="22"/>
      <w:szCs w:val="22"/>
    </w:rPr>
  </w:style>
  <w:style w:type="character" w:styleId="PageNumber">
    <w:name w:val="page number"/>
    <w:basedOn w:val="DefaultParagraphFont"/>
    <w:rsid w:val="00264CA4"/>
  </w:style>
  <w:style w:type="character" w:customStyle="1" w:styleId="FootnoteTextChar1">
    <w:name w:val="Footnote Text Char1"/>
    <w:aliases w:val="Footnote Text Char1 Char Char,Footnote Text Char Char Char Char,Footnote Text Char2 Char Char Char Char,ALTS FOOTNOTE Char2 Char Char Char Char,Footnote Text Char1 Char1 Char Char Char Char,(NECG) Footnote Text Char"/>
    <w:basedOn w:val="DefaultParagraphFont"/>
    <w:rsid w:val="009812CD"/>
    <w:rPr>
      <w:rFonts w:eastAsia="MS Mincho"/>
      <w:sz w:val="18"/>
      <w:lang w:val="en-AU" w:eastAsia="ja-JP" w:bidi="ar-SA"/>
    </w:rPr>
  </w:style>
  <w:style w:type="paragraph" w:styleId="ListParagraph">
    <w:name w:val="List Paragraph"/>
    <w:basedOn w:val="Normal"/>
    <w:uiPriority w:val="34"/>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rsid w:val="00D72CE7"/>
    <w:rPr>
      <w:rFonts w:ascii="Century Gothic" w:eastAsia="Times New Roman" w:hAnsi="Century Gothic" w:cs="Arial"/>
      <w:b/>
      <w:bCs/>
      <w:color w:val="5C2946"/>
      <w:kern w:val="28"/>
      <w:sz w:val="40"/>
      <w:szCs w:val="32"/>
      <w:lang w:eastAsia="en-US"/>
    </w:rPr>
  </w:style>
  <w:style w:type="paragraph" w:styleId="Subtitle">
    <w:name w:val="Subtitle"/>
    <w:basedOn w:val="Normal"/>
    <w:next w:val="Normal"/>
    <w:link w:val="SubtitleChar"/>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72CE7"/>
    <w:rPr>
      <w:rFonts w:ascii="Cambria" w:eastAsia="Times New Roman" w:hAnsi="Cambria" w:cs="Times New Roman"/>
      <w:sz w:val="24"/>
      <w:szCs w:val="24"/>
      <w:lang w:eastAsia="en-US"/>
    </w:rPr>
  </w:style>
  <w:style w:type="paragraph" w:styleId="Footer">
    <w:name w:val="footer"/>
    <w:basedOn w:val="Normal"/>
    <w:link w:val="FooterChar"/>
    <w:rsid w:val="008A2467"/>
    <w:pPr>
      <w:tabs>
        <w:tab w:val="center" w:pos="4513"/>
        <w:tab w:val="right" w:pos="9026"/>
      </w:tabs>
    </w:pPr>
  </w:style>
  <w:style w:type="character" w:customStyle="1" w:styleId="FooterChar">
    <w:name w:val="Footer Char"/>
    <w:basedOn w:val="DefaultParagraphFont"/>
    <w:link w:val="Footer"/>
    <w:rsid w:val="008A2467"/>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60816151">
      <w:bodyDiv w:val="1"/>
      <w:marLeft w:val="0"/>
      <w:marRight w:val="0"/>
      <w:marTop w:val="0"/>
      <w:marBottom w:val="0"/>
      <w:divBdr>
        <w:top w:val="none" w:sz="0" w:space="0" w:color="auto"/>
        <w:left w:val="none" w:sz="0" w:space="0" w:color="auto"/>
        <w:bottom w:val="none" w:sz="0" w:space="0" w:color="auto"/>
        <w:right w:val="none" w:sz="0" w:space="0" w:color="auto"/>
      </w:divBdr>
    </w:div>
    <w:div w:id="724910457">
      <w:bodyDiv w:val="1"/>
      <w:marLeft w:val="0"/>
      <w:marRight w:val="0"/>
      <w:marTop w:val="0"/>
      <w:marBottom w:val="0"/>
      <w:divBdr>
        <w:top w:val="none" w:sz="0" w:space="0" w:color="auto"/>
        <w:left w:val="none" w:sz="0" w:space="0" w:color="auto"/>
        <w:bottom w:val="none" w:sz="0" w:space="0" w:color="auto"/>
        <w:right w:val="none" w:sz="0" w:space="0" w:color="auto"/>
      </w:divBdr>
    </w:div>
    <w:div w:id="1057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4DED0-58B7-45AB-B413-4979D509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2697</Words>
  <Characters>15378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18039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cp:lastModifiedBy>mereditg</cp:lastModifiedBy>
  <cp:revision>5</cp:revision>
  <cp:lastPrinted>2011-03-17T00:34:00Z</cp:lastPrinted>
  <dcterms:created xsi:type="dcterms:W3CDTF">2011-03-21T07:08:00Z</dcterms:created>
  <dcterms:modified xsi:type="dcterms:W3CDTF">2011-03-23T03:02:00Z</dcterms:modified>
</cp:coreProperties>
</file>