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BC" w:rsidRPr="00191FF4" w:rsidRDefault="008C4BA5" w:rsidP="00F56851">
      <w:pPr>
        <w:pStyle w:val="AERTitle2"/>
        <w:rPr>
          <w:b/>
          <w:szCs w:val="32"/>
        </w:rPr>
      </w:pPr>
      <w:r>
        <w:rPr>
          <w:b/>
          <w:noProof/>
          <w:szCs w:val="3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92" type="#_x0000_t75" alt="AER-final-orange" style="position:absolute;left:0;text-align:left;margin-left:-90.7pt;margin-top:-73.35pt;width:597.45pt;height:846pt;z-index:-251658752;visibility:visible">
            <v:imagedata r:id="rId9" o:title="AER-final-orange"/>
          </v:shape>
        </w:pict>
      </w:r>
    </w:p>
    <w:p w:rsidR="008B0C16" w:rsidRDefault="008B0C16" w:rsidP="00A052AB">
      <w:pPr>
        <w:pStyle w:val="AERTitle1"/>
      </w:pPr>
      <w:bookmarkStart w:id="0" w:name="OLE_LINK1"/>
      <w:bookmarkStart w:id="1" w:name="OLE_LINK2"/>
    </w:p>
    <w:p w:rsidR="008B0C16" w:rsidRDefault="008B0C16" w:rsidP="00A052AB">
      <w:pPr>
        <w:pStyle w:val="AERTitle1"/>
      </w:pPr>
    </w:p>
    <w:p w:rsidR="008B0C16" w:rsidRDefault="008B0C16" w:rsidP="00A052AB">
      <w:pPr>
        <w:pStyle w:val="AERTitle1"/>
      </w:pPr>
    </w:p>
    <w:p w:rsidR="00CA2A01" w:rsidRDefault="00CA2A01" w:rsidP="00A052AB">
      <w:pPr>
        <w:pStyle w:val="AERTitle1"/>
      </w:pPr>
    </w:p>
    <w:p w:rsidR="008B0C16" w:rsidRPr="00E0671E" w:rsidRDefault="00A44C20" w:rsidP="0018678D">
      <w:pPr>
        <w:pStyle w:val="AERTitle1"/>
      </w:pPr>
      <w:bookmarkStart w:id="2" w:name="OLE_LINK5"/>
      <w:bookmarkStart w:id="3" w:name="OLE_LINK12"/>
      <w:bookmarkStart w:id="4" w:name="OLE_LINK3"/>
      <w:bookmarkStart w:id="5" w:name="OLE_LINK4"/>
      <w:r w:rsidRPr="00E0671E">
        <w:t>Quarterly Compliance Report</w:t>
      </w:r>
      <w:r w:rsidR="008A20B0" w:rsidRPr="00E0671E">
        <w:t>:</w:t>
      </w:r>
    </w:p>
    <w:p w:rsidR="008A20B0" w:rsidRPr="00236801" w:rsidRDefault="008A20B0" w:rsidP="0018678D">
      <w:pPr>
        <w:pStyle w:val="AERTitle2"/>
        <w:spacing w:before="240"/>
        <w:rPr>
          <w:highlight w:val="yellow"/>
        </w:rPr>
      </w:pPr>
      <w:r w:rsidRPr="00E0671E">
        <w:t>National Electricity and Gas Laws</w:t>
      </w:r>
      <w:bookmarkEnd w:id="2"/>
      <w:bookmarkEnd w:id="3"/>
    </w:p>
    <w:bookmarkEnd w:id="4"/>
    <w:bookmarkEnd w:id="5"/>
    <w:p w:rsidR="008A20B0" w:rsidRPr="00236801" w:rsidRDefault="008A20B0" w:rsidP="00A052AB">
      <w:pPr>
        <w:pStyle w:val="AERTitle1"/>
        <w:rPr>
          <w:highlight w:val="yellow"/>
        </w:rPr>
      </w:pPr>
    </w:p>
    <w:p w:rsidR="00A44C20" w:rsidRPr="00236801" w:rsidRDefault="00A44C20" w:rsidP="00A052AB">
      <w:pPr>
        <w:pStyle w:val="AERTitle1"/>
        <w:rPr>
          <w:highlight w:val="yellow"/>
        </w:rPr>
      </w:pPr>
    </w:p>
    <w:p w:rsidR="00C56995" w:rsidRPr="00236801" w:rsidRDefault="00C56995" w:rsidP="00A052AB">
      <w:pPr>
        <w:pStyle w:val="AERTitle1"/>
        <w:rPr>
          <w:highlight w:val="yellow"/>
        </w:rPr>
      </w:pPr>
    </w:p>
    <w:p w:rsidR="000733BC" w:rsidRPr="00E0671E" w:rsidRDefault="00236801" w:rsidP="007725E6">
      <w:pPr>
        <w:pStyle w:val="AERTitle2"/>
        <w:spacing w:before="1320"/>
      </w:pPr>
      <w:r w:rsidRPr="00E0671E">
        <w:t xml:space="preserve">January </w:t>
      </w:r>
      <w:r w:rsidR="007725E6" w:rsidRPr="00E0671E">
        <w:t xml:space="preserve">– </w:t>
      </w:r>
      <w:r w:rsidRPr="00E0671E">
        <w:t xml:space="preserve">March </w:t>
      </w:r>
      <w:r w:rsidR="002003A5" w:rsidRPr="00E0671E">
        <w:t>201</w:t>
      </w:r>
      <w:r w:rsidRPr="00E0671E">
        <w:t>3</w:t>
      </w:r>
    </w:p>
    <w:p w:rsidR="008B0C16" w:rsidRPr="00E0671E" w:rsidRDefault="008B0C16" w:rsidP="00A052AB">
      <w:pPr>
        <w:pStyle w:val="AERTitle1"/>
      </w:pPr>
    </w:p>
    <w:p w:rsidR="00C56995" w:rsidRPr="00E0671E" w:rsidRDefault="00C56995" w:rsidP="00A052AB">
      <w:pPr>
        <w:pStyle w:val="AERTitle1"/>
      </w:pPr>
    </w:p>
    <w:p w:rsidR="00C56995" w:rsidRPr="00E0671E" w:rsidRDefault="00C56995" w:rsidP="00A052AB">
      <w:pPr>
        <w:pStyle w:val="AERTitle1"/>
      </w:pPr>
    </w:p>
    <w:bookmarkEnd w:id="0"/>
    <w:bookmarkEnd w:id="1"/>
    <w:p w:rsidR="000733BC" w:rsidRPr="00F6235D" w:rsidRDefault="00A44C20" w:rsidP="0018678D">
      <w:pPr>
        <w:pStyle w:val="AERTitle2"/>
        <w:spacing w:before="1200"/>
      </w:pPr>
      <w:r w:rsidRPr="00E0671E">
        <w:t xml:space="preserve">Published </w:t>
      </w:r>
      <w:r w:rsidR="00236801" w:rsidRPr="00E0671E">
        <w:t xml:space="preserve">April </w:t>
      </w:r>
      <w:r w:rsidR="007725E6" w:rsidRPr="00E0671E">
        <w:t>2013</w:t>
      </w:r>
    </w:p>
    <w:p w:rsidR="000733BC" w:rsidRPr="00F6235D" w:rsidRDefault="000733BC" w:rsidP="004D044A">
      <w:pPr>
        <w:pStyle w:val="AERbodytext"/>
      </w:pPr>
      <w:r w:rsidRPr="00F6235D">
        <w:lastRenderedPageBreak/>
        <w:t xml:space="preserve"> </w:t>
      </w:r>
    </w:p>
    <w:p w:rsidR="00DC724B" w:rsidRDefault="00DC724B" w:rsidP="004D044A">
      <w:pPr>
        <w:pStyle w:val="TOC1"/>
        <w:sectPr w:rsidR="00DC724B" w:rsidSect="000D2D9C">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09" w:footer="709" w:gutter="0"/>
          <w:pgNumType w:fmt="lowerRoman" w:start="1"/>
          <w:cols w:space="708"/>
          <w:docGrid w:linePitch="360"/>
        </w:sectPr>
      </w:pPr>
    </w:p>
    <w:p w:rsidR="008513E8" w:rsidRDefault="008513E8" w:rsidP="004D044A">
      <w:pPr>
        <w:pStyle w:val="AERbodytext"/>
      </w:pPr>
    </w:p>
    <w:p w:rsidR="00AA1DED" w:rsidRPr="00E0671E" w:rsidRDefault="00AA1DED" w:rsidP="00963CA2">
      <w:pPr>
        <w:pStyle w:val="AERbodytext"/>
        <w:rPr>
          <w:b/>
        </w:rPr>
      </w:pPr>
      <w:r w:rsidRPr="00E0671E">
        <w:rPr>
          <w:b/>
        </w:rPr>
        <w:t>© Commonwealth of Australia 201</w:t>
      </w:r>
      <w:r w:rsidR="007725E6" w:rsidRPr="00E0671E">
        <w:rPr>
          <w:b/>
        </w:rPr>
        <w:t>3</w:t>
      </w:r>
    </w:p>
    <w:p w:rsidR="00AA1DED" w:rsidRPr="00E0671E" w:rsidRDefault="00AA1DED" w:rsidP="00AA1DED">
      <w:pPr>
        <w:pStyle w:val="AERbodytext"/>
      </w:pPr>
      <w:r w:rsidRPr="00E0671E">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E0671E">
            <w:t>Canberra</w:t>
          </w:r>
        </w:smartTag>
      </w:smartTag>
      <w:r w:rsidRPr="00E0671E">
        <w:t xml:space="preserve"> ACT 2601.</w:t>
      </w:r>
    </w:p>
    <w:p w:rsidR="00AA1DED" w:rsidRPr="00E0671E" w:rsidRDefault="00AA1DED" w:rsidP="00AA1DED">
      <w:pPr>
        <w:pStyle w:val="AERbodytext"/>
      </w:pPr>
      <w:r w:rsidRPr="00E0671E">
        <w:t>Inquiries about this report should be addressed to:</w:t>
      </w:r>
    </w:p>
    <w:p w:rsidR="00AA1DED" w:rsidRPr="00E0671E" w:rsidRDefault="00AA1DED" w:rsidP="00AA1DED">
      <w:pPr>
        <w:pStyle w:val="AERbodytext"/>
        <w:spacing w:after="0"/>
      </w:pPr>
      <w:r w:rsidRPr="00E0671E">
        <w:t>Australian Energy Regulator</w:t>
      </w:r>
    </w:p>
    <w:p w:rsidR="00AA1DED" w:rsidRPr="00E0671E" w:rsidRDefault="00AA1DED" w:rsidP="00AA1DED">
      <w:pPr>
        <w:pStyle w:val="AERbodytext"/>
        <w:spacing w:after="0"/>
      </w:pPr>
      <w:r w:rsidRPr="00E0671E">
        <w:t xml:space="preserve">GPO </w:t>
      </w:r>
      <w:smartTag w:uri="urn:schemas-microsoft-com:office:smarttags" w:element="country-region">
        <w:smartTag w:uri="urn:schemas-microsoft-com:office:smarttags" w:element="Street">
          <w:r w:rsidRPr="00E0671E">
            <w:t>Box</w:t>
          </w:r>
        </w:smartTag>
        <w:r w:rsidRPr="00E0671E">
          <w:t xml:space="preserve"> 520</w:t>
        </w:r>
      </w:smartTag>
    </w:p>
    <w:p w:rsidR="00AA1DED" w:rsidRPr="00E0671E" w:rsidRDefault="00AA1DED" w:rsidP="00AA1DED">
      <w:pPr>
        <w:pStyle w:val="AERbodytext"/>
        <w:spacing w:after="0"/>
      </w:pPr>
      <w:proofErr w:type="gramStart"/>
      <w:r w:rsidRPr="00E0671E">
        <w:t>Melbourne  Vic</w:t>
      </w:r>
      <w:proofErr w:type="gramEnd"/>
      <w:r w:rsidRPr="00E0671E">
        <w:t xml:space="preserve">  3001</w:t>
      </w:r>
    </w:p>
    <w:p w:rsidR="00AA1DED" w:rsidRPr="00E0671E" w:rsidRDefault="00AA1DED" w:rsidP="00AA1DED">
      <w:pPr>
        <w:pStyle w:val="AERbodytext"/>
        <w:spacing w:after="0"/>
      </w:pPr>
      <w:r w:rsidRPr="00E0671E">
        <w:t>Tel: (03) 9290 1444</w:t>
      </w:r>
    </w:p>
    <w:p w:rsidR="00AA1DED" w:rsidRPr="00E0671E" w:rsidRDefault="00AA1DED" w:rsidP="00AA1DED">
      <w:pPr>
        <w:pStyle w:val="AERbodytext"/>
        <w:spacing w:after="0"/>
      </w:pPr>
      <w:r w:rsidRPr="00E0671E">
        <w:t>Fax: (03) 9290 1457</w:t>
      </w:r>
    </w:p>
    <w:p w:rsidR="00AA1DED" w:rsidRPr="00E0671E" w:rsidRDefault="00AA1DED" w:rsidP="00AA1DED">
      <w:pPr>
        <w:pStyle w:val="AERbodytext"/>
      </w:pPr>
      <w:r w:rsidRPr="00E0671E">
        <w:t xml:space="preserve">Email: </w:t>
      </w:r>
      <w:hyperlink r:id="rId16" w:history="1">
        <w:r w:rsidRPr="00E0671E">
          <w:rPr>
            <w:rStyle w:val="Hyperlink"/>
          </w:rPr>
          <w:t>AERInquiry@aer.gov.au</w:t>
        </w:r>
      </w:hyperlink>
    </w:p>
    <w:p w:rsidR="00AA1DED" w:rsidRPr="00E0671E" w:rsidRDefault="00AA1DED" w:rsidP="00AA1DED">
      <w:pPr>
        <w:pStyle w:val="AERbodytext"/>
        <w:rPr>
          <w:lang w:eastAsia="en-AU"/>
        </w:rPr>
      </w:pPr>
    </w:p>
    <w:p w:rsidR="009710F3" w:rsidRPr="0020321C" w:rsidRDefault="009710F3" w:rsidP="0020321C">
      <w:pPr>
        <w:pStyle w:val="AERbodytext"/>
        <w:jc w:val="left"/>
        <w:rPr>
          <w:rFonts w:cs="Gautami"/>
        </w:rPr>
      </w:pPr>
      <w:r w:rsidRPr="00E0671E">
        <w:t xml:space="preserve">AER reference:   </w:t>
      </w:r>
      <w:r w:rsidR="0031180C" w:rsidRPr="00E0671E">
        <w:t>50947</w:t>
      </w:r>
      <w:r w:rsidR="007725E6" w:rsidRPr="00E0671E">
        <w:t>-</w:t>
      </w:r>
      <w:r w:rsidR="00E16A37" w:rsidRPr="00E16A37">
        <w:t>D13/46967</w:t>
      </w:r>
    </w:p>
    <w:p w:rsidR="000733BC" w:rsidRPr="00F6235D" w:rsidRDefault="000733BC" w:rsidP="004D044A">
      <w:pPr>
        <w:pStyle w:val="AERbodytext"/>
      </w:pPr>
    </w:p>
    <w:p w:rsidR="000733BC" w:rsidRPr="00F6235D" w:rsidRDefault="000733BC" w:rsidP="004D044A">
      <w:pPr>
        <w:pStyle w:val="TOC1"/>
      </w:pPr>
    </w:p>
    <w:p w:rsidR="000733BC" w:rsidRDefault="000733BC" w:rsidP="00E86435">
      <w:pPr>
        <w:pStyle w:val="AERbodytext"/>
      </w:pPr>
      <w:bookmarkStart w:id="6" w:name="_Toc317520245"/>
    </w:p>
    <w:p w:rsidR="00AC0EF2" w:rsidRDefault="000733BC" w:rsidP="00AC0EF2">
      <w:pPr>
        <w:pStyle w:val="UnnumberedHeading"/>
      </w:pPr>
      <w:bookmarkStart w:id="7" w:name="_Toc348356878"/>
      <w:bookmarkStart w:id="8" w:name="_Toc348436394"/>
      <w:bookmarkStart w:id="9" w:name="_Toc349127069"/>
      <w:bookmarkStart w:id="10" w:name="_Toc349571708"/>
      <w:bookmarkStart w:id="11" w:name="_Toc352776003"/>
      <w:bookmarkStart w:id="12" w:name="_Toc353291604"/>
      <w:bookmarkStart w:id="13" w:name="_Toc353448647"/>
      <w:bookmarkStart w:id="14" w:name="_Toc354138172"/>
      <w:bookmarkStart w:id="15" w:name="_Toc354149233"/>
      <w:bookmarkStart w:id="16" w:name="_Toc384725766"/>
      <w:r w:rsidRPr="00B011D7">
        <w:lastRenderedPageBreak/>
        <w:t>Contents</w:t>
      </w:r>
      <w:bookmarkEnd w:id="6"/>
      <w:bookmarkEnd w:id="7"/>
      <w:bookmarkEnd w:id="8"/>
      <w:bookmarkEnd w:id="9"/>
      <w:bookmarkEnd w:id="10"/>
      <w:bookmarkEnd w:id="11"/>
      <w:bookmarkEnd w:id="12"/>
      <w:bookmarkEnd w:id="13"/>
      <w:bookmarkEnd w:id="14"/>
      <w:bookmarkEnd w:id="15"/>
      <w:bookmarkEnd w:id="16"/>
    </w:p>
    <w:bookmarkStart w:id="17" w:name="_Toc337553424"/>
    <w:p w:rsidR="00E40549" w:rsidRPr="00E40549" w:rsidRDefault="00450695">
      <w:pPr>
        <w:pStyle w:val="TOC1"/>
        <w:rPr>
          <w:rFonts w:ascii="Gautami" w:eastAsiaTheme="minorEastAsia" w:hAnsi="Gautami" w:cs="Gautami"/>
          <w:b w:val="0"/>
          <w:noProof/>
          <w:lang w:eastAsia="en-AU"/>
        </w:rPr>
      </w:pPr>
      <w:r w:rsidRPr="00E40549">
        <w:rPr>
          <w:rFonts w:ascii="Gautami" w:hAnsi="Gautami" w:cs="Gautami"/>
        </w:rPr>
        <w:fldChar w:fldCharType="begin"/>
      </w:r>
      <w:r w:rsidR="002C7158" w:rsidRPr="00E40549">
        <w:rPr>
          <w:rFonts w:ascii="Gautami" w:hAnsi="Gautami" w:cs="Gautami"/>
        </w:rPr>
        <w:instrText xml:space="preserve"> TOC \h \z \t "AER heading 2,2,AER unnumbered heading,1,AER confidentialo appendix heading 1,1,Unnumbered Heading,1,QCR unnumbered unbold heading,2,QCR Heading 1,1" </w:instrText>
      </w:r>
      <w:bookmarkStart w:id="18" w:name="_GoBack"/>
      <w:bookmarkEnd w:id="18"/>
      <w:r w:rsidRPr="00E40549">
        <w:rPr>
          <w:rFonts w:ascii="Gautami" w:hAnsi="Gautami" w:cs="Gautami"/>
        </w:rPr>
        <w:fldChar w:fldCharType="separate"/>
      </w:r>
      <w:hyperlink w:anchor="_Toc384725766" w:history="1"/>
    </w:p>
    <w:p w:rsidR="00E40549" w:rsidRPr="00E40549" w:rsidRDefault="008C4BA5">
      <w:pPr>
        <w:pStyle w:val="TOC1"/>
        <w:rPr>
          <w:rFonts w:ascii="Gautami" w:eastAsiaTheme="minorEastAsia" w:hAnsi="Gautami" w:cs="Gautami"/>
          <w:b w:val="0"/>
          <w:noProof/>
          <w:lang w:eastAsia="en-AU"/>
        </w:rPr>
      </w:pPr>
      <w:r>
        <w:fldChar w:fldCharType="begin"/>
      </w:r>
      <w:r>
        <w:instrText xml:space="preserve"> HYPERLINK \l "_Toc384725767" </w:instrText>
      </w:r>
      <w:r>
        <w:fldChar w:fldCharType="separate"/>
      </w:r>
      <w:r w:rsidR="00E40549" w:rsidRPr="00E40549">
        <w:rPr>
          <w:rStyle w:val="Hyperlink"/>
          <w:rFonts w:ascii="Gautami" w:hAnsi="Gautami" w:cs="Gautami"/>
          <w:noProof/>
        </w:rPr>
        <w:t>Executive summary</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_Toc384725767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4</w:t>
      </w:r>
      <w:r w:rsidR="00E40549" w:rsidRPr="00E40549">
        <w:rPr>
          <w:rFonts w:ascii="Gautami" w:hAnsi="Gautami" w:cs="Gautami"/>
          <w:noProof/>
          <w:webHidden/>
        </w:rPr>
        <w:fldChar w:fldCharType="end"/>
      </w:r>
      <w:r>
        <w:rPr>
          <w:rFonts w:ascii="Gautami" w:hAnsi="Gautami" w:cs="Gautami"/>
          <w:noProof/>
        </w:rPr>
        <w:fldChar w:fldCharType="end"/>
      </w:r>
    </w:p>
    <w:p w:rsidR="00E40549" w:rsidRPr="00E40549" w:rsidRDefault="008C4BA5">
      <w:pPr>
        <w:pStyle w:val="TOC1"/>
        <w:rPr>
          <w:rFonts w:ascii="Gautami" w:eastAsiaTheme="minorEastAsia" w:hAnsi="Gautami" w:cs="Gautami"/>
          <w:b w:val="0"/>
          <w:noProof/>
          <w:lang w:eastAsia="en-AU"/>
        </w:rPr>
      </w:pPr>
      <w:hyperlink w:anchor="_Toc384725768" w:history="1">
        <w:r w:rsidR="00E40549" w:rsidRPr="00E40549">
          <w:rPr>
            <w:rStyle w:val="Hyperlink"/>
            <w:rFonts w:ascii="Gautami" w:hAnsi="Gautami" w:cs="Gautami"/>
            <w:noProof/>
          </w:rPr>
          <w:t>Background</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_Toc384725768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6</w:t>
        </w:r>
        <w:r w:rsidR="00E40549" w:rsidRPr="00E40549">
          <w:rPr>
            <w:rFonts w:ascii="Gautami" w:hAnsi="Gautami" w:cs="Gautami"/>
            <w:noProof/>
            <w:webHidden/>
          </w:rPr>
          <w:fldChar w:fldCharType="end"/>
        </w:r>
      </w:hyperlink>
    </w:p>
    <w:p w:rsidR="00E40549" w:rsidRPr="00E40549" w:rsidRDefault="008C4BA5">
      <w:pPr>
        <w:pStyle w:val="TOC1"/>
        <w:rPr>
          <w:rFonts w:ascii="Gautami" w:eastAsiaTheme="minorEastAsia" w:hAnsi="Gautami" w:cs="Gautami"/>
          <w:b w:val="0"/>
          <w:noProof/>
          <w:lang w:eastAsia="en-AU"/>
        </w:rPr>
      </w:pPr>
      <w:hyperlink w:anchor="_Toc384725769" w:history="1">
        <w:r w:rsidR="00E40549" w:rsidRPr="00E40549">
          <w:rPr>
            <w:rStyle w:val="Hyperlink"/>
            <w:rFonts w:ascii="Gautami" w:hAnsi="Gautami" w:cs="Gautami"/>
            <w:noProof/>
          </w:rPr>
          <w:t>1</w:t>
        </w:r>
        <w:r w:rsidR="00E40549" w:rsidRPr="00E40549">
          <w:rPr>
            <w:rFonts w:ascii="Gautami" w:eastAsiaTheme="minorEastAsia" w:hAnsi="Gautami" w:cs="Gautami"/>
            <w:b w:val="0"/>
            <w:noProof/>
            <w:lang w:eastAsia="en-AU"/>
          </w:rPr>
          <w:tab/>
        </w:r>
        <w:r w:rsidR="00E40549" w:rsidRPr="00E40549">
          <w:rPr>
            <w:rStyle w:val="Hyperlink"/>
            <w:rFonts w:ascii="Gautami" w:hAnsi="Gautami" w:cs="Gautami"/>
            <w:noProof/>
          </w:rPr>
          <w:t>Strategic compliance projects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_Toc384725769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7</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70" w:history="1">
        <w:r w:rsidR="00E40549" w:rsidRPr="00E40549">
          <w:rPr>
            <w:rStyle w:val="Hyperlink"/>
            <w:rFonts w:ascii="Gautami" w:hAnsi="Gautami" w:cs="Gautami"/>
            <w:noProof/>
          </w:rPr>
          <w:t>1.1</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Performance of ancillary services for regulation</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_Toc384725770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7</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71" w:history="1">
        <w:r w:rsidR="00E40549" w:rsidRPr="00E40549">
          <w:rPr>
            <w:rStyle w:val="Hyperlink"/>
            <w:rFonts w:ascii="Gautami" w:hAnsi="Gautami" w:cs="Gautami"/>
            <w:noProof/>
          </w:rPr>
          <w:t>1.2</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Electricity metering – data quality and metering upgrades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_Toc384725771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8</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72" w:history="1">
        <w:r w:rsidR="00E40549" w:rsidRPr="00E40549">
          <w:rPr>
            <w:rStyle w:val="Hyperlink"/>
            <w:rFonts w:ascii="Gautami" w:hAnsi="Gautami" w:cs="Gautami"/>
            <w:noProof/>
          </w:rPr>
          <w:t>1.3</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Trends in Power System Operating Incident reports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_Toc384725772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9</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73" w:history="1">
        <w:r w:rsidR="00E40549" w:rsidRPr="00E40549">
          <w:rPr>
            <w:rStyle w:val="Hyperlink"/>
            <w:rFonts w:ascii="Gautami" w:hAnsi="Gautami" w:cs="Gautami"/>
            <w:noProof/>
          </w:rPr>
          <w:t>1.4</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MT PASA data accuracy</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_Toc384725773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9</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74" w:history="1">
        <w:r w:rsidR="00E40549" w:rsidRPr="00E40549">
          <w:rPr>
            <w:rStyle w:val="Hyperlink"/>
            <w:rFonts w:ascii="Gautami" w:hAnsi="Gautami" w:cs="Gautami"/>
            <w:noProof/>
          </w:rPr>
          <w:t>1.5</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Electricity transmission connections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_Toc384725774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10</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75" w:history="1">
        <w:r w:rsidR="00E40549" w:rsidRPr="00E40549">
          <w:rPr>
            <w:rStyle w:val="Hyperlink"/>
            <w:rFonts w:ascii="Gautami" w:hAnsi="Gautami" w:cs="Gautami"/>
            <w:noProof/>
          </w:rPr>
          <w:t>1.6</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NEM participants not following dispatch instructions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_Toc384725775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10</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76" w:history="1">
        <w:r w:rsidR="00E40549" w:rsidRPr="00E40549">
          <w:rPr>
            <w:rStyle w:val="Hyperlink"/>
            <w:rFonts w:ascii="Gautami" w:hAnsi="Gautami" w:cs="Gautami"/>
            <w:noProof/>
          </w:rPr>
          <w:t>1.7</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STTM demand forecasting</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_Toc384725776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15</w:t>
        </w:r>
        <w:r w:rsidR="00E40549" w:rsidRPr="00E40549">
          <w:rPr>
            <w:rFonts w:ascii="Gautami" w:hAnsi="Gautami" w:cs="Gautami"/>
            <w:noProof/>
            <w:webHidden/>
          </w:rPr>
          <w:fldChar w:fldCharType="end"/>
        </w:r>
      </w:hyperlink>
    </w:p>
    <w:p w:rsidR="00E40549" w:rsidRPr="00E40549" w:rsidRDefault="008C4BA5">
      <w:pPr>
        <w:pStyle w:val="TOC1"/>
        <w:rPr>
          <w:rFonts w:ascii="Gautami" w:eastAsiaTheme="minorEastAsia" w:hAnsi="Gautami" w:cs="Gautami"/>
          <w:b w:val="0"/>
          <w:noProof/>
          <w:lang w:eastAsia="en-AU"/>
        </w:rPr>
      </w:pPr>
      <w:hyperlink w:anchor="_Toc384725777" w:history="1">
        <w:r w:rsidR="00E40549" w:rsidRPr="00E40549">
          <w:rPr>
            <w:rStyle w:val="Hyperlink"/>
            <w:rFonts w:ascii="Gautami" w:hAnsi="Gautami" w:cs="Gautami"/>
            <w:noProof/>
          </w:rPr>
          <w:t>2</w:t>
        </w:r>
        <w:r w:rsidR="00E40549" w:rsidRPr="00E40549">
          <w:rPr>
            <w:rFonts w:ascii="Gautami" w:eastAsiaTheme="minorEastAsia" w:hAnsi="Gautami" w:cs="Gautami"/>
            <w:b w:val="0"/>
            <w:noProof/>
            <w:lang w:eastAsia="en-AU"/>
          </w:rPr>
          <w:tab/>
        </w:r>
        <w:r w:rsidR="00E40549" w:rsidRPr="00E40549">
          <w:rPr>
            <w:rStyle w:val="Hyperlink"/>
            <w:rFonts w:ascii="Gautami" w:hAnsi="Gautami" w:cs="Gautami"/>
            <w:noProof/>
          </w:rPr>
          <w:t>Gas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_Toc384725777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17</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i/>
          <w:noProof/>
          <w:lang w:eastAsia="en-AU"/>
        </w:rPr>
      </w:pPr>
      <w:hyperlink w:anchor="_Toc384725778" w:history="1">
        <w:r w:rsidR="00E40549" w:rsidRPr="00E40549">
          <w:rPr>
            <w:rStyle w:val="Hyperlink"/>
            <w:rFonts w:ascii="Gautami" w:hAnsi="Gautami" w:cs="Gautami"/>
            <w:i/>
            <w:noProof/>
          </w:rPr>
          <w:t>Short Term Trading Market</w:t>
        </w:r>
        <w:r w:rsidR="00E40549" w:rsidRPr="00E40549">
          <w:rPr>
            <w:rFonts w:ascii="Gautami" w:hAnsi="Gautami" w:cs="Gautami"/>
            <w:i/>
            <w:noProof/>
            <w:webHidden/>
          </w:rPr>
          <w:tab/>
        </w:r>
        <w:r w:rsidR="00E40549" w:rsidRPr="00E40549">
          <w:rPr>
            <w:rFonts w:ascii="Gautami" w:hAnsi="Gautami" w:cs="Gautami"/>
            <w:i/>
            <w:noProof/>
            <w:webHidden/>
          </w:rPr>
          <w:fldChar w:fldCharType="begin"/>
        </w:r>
        <w:r w:rsidR="00E40549" w:rsidRPr="00E40549">
          <w:rPr>
            <w:rFonts w:ascii="Gautami" w:hAnsi="Gautami" w:cs="Gautami"/>
            <w:i/>
            <w:noProof/>
            <w:webHidden/>
          </w:rPr>
          <w:instrText xml:space="preserve"> PAGEREF _Toc384725778 \h </w:instrText>
        </w:r>
        <w:r w:rsidR="00E40549" w:rsidRPr="00E40549">
          <w:rPr>
            <w:rFonts w:ascii="Gautami" w:hAnsi="Gautami" w:cs="Gautami"/>
            <w:i/>
            <w:noProof/>
            <w:webHidden/>
          </w:rPr>
        </w:r>
        <w:r w:rsidR="00E40549" w:rsidRPr="00E40549">
          <w:rPr>
            <w:rFonts w:ascii="Gautami" w:hAnsi="Gautami" w:cs="Gautami"/>
            <w:i/>
            <w:noProof/>
            <w:webHidden/>
          </w:rPr>
          <w:fldChar w:fldCharType="separate"/>
        </w:r>
        <w:r>
          <w:rPr>
            <w:rFonts w:ascii="Gautami" w:hAnsi="Gautami" w:cs="Gautami"/>
            <w:i/>
            <w:noProof/>
            <w:webHidden/>
          </w:rPr>
          <w:t>17</w:t>
        </w:r>
        <w:r w:rsidR="00E40549" w:rsidRPr="00E40549">
          <w:rPr>
            <w:rFonts w:ascii="Gautami" w:hAnsi="Gautami" w:cs="Gautami"/>
            <w:i/>
            <w:noProof/>
            <w:webHidden/>
          </w:rPr>
          <w:fldChar w:fldCharType="end"/>
        </w:r>
      </w:hyperlink>
    </w:p>
    <w:p w:rsidR="00E40549" w:rsidRPr="00E40549" w:rsidRDefault="00E40549">
      <w:pPr>
        <w:pStyle w:val="TOC2"/>
        <w:rPr>
          <w:rStyle w:val="Hyperlink"/>
          <w:rFonts w:ascii="Gautami" w:hAnsi="Gautami" w:cs="Gautami"/>
          <w:noProof/>
          <w:color w:val="auto"/>
        </w:rPr>
      </w:pPr>
    </w:p>
    <w:p w:rsidR="00E40549" w:rsidRPr="00E40549" w:rsidRDefault="008C4BA5">
      <w:pPr>
        <w:pStyle w:val="TOC2"/>
        <w:rPr>
          <w:rFonts w:ascii="Gautami" w:eastAsiaTheme="minorEastAsia" w:hAnsi="Gautami" w:cs="Gautami"/>
          <w:noProof/>
          <w:lang w:eastAsia="en-AU"/>
        </w:rPr>
      </w:pPr>
      <w:hyperlink w:anchor="_Toc384725779" w:history="1">
        <w:r w:rsidR="00E40549" w:rsidRPr="00E40549">
          <w:rPr>
            <w:rStyle w:val="Hyperlink"/>
            <w:rFonts w:ascii="Gautami" w:hAnsi="Gautami" w:cs="Gautami"/>
            <w:noProof/>
          </w:rPr>
          <w:t>2.1</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Camden capacity error – AGL</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_Toc384725779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17</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80" w:history="1">
        <w:r w:rsidR="00E40549" w:rsidRPr="00E40549">
          <w:rPr>
            <w:rStyle w:val="Hyperlink"/>
            <w:rFonts w:ascii="Gautami" w:hAnsi="Gautami" w:cs="Gautami"/>
            <w:noProof/>
          </w:rPr>
          <w:t>2.2</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Linepack capacity adequacy flag event – Eastern Gas Pipeline</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_Toc384725780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17</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81" w:history="1">
        <w:r w:rsidR="00E40549" w:rsidRPr="00E40549">
          <w:rPr>
            <w:rStyle w:val="Hyperlink"/>
            <w:rFonts w:ascii="Gautami" w:hAnsi="Gautami" w:cs="Gautami"/>
            <w:noProof/>
          </w:rPr>
          <w:t>2.3</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Late submission of offers/bids – Adelaide Brighton Cement</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_Toc384725781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17</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82" w:history="1">
        <w:r w:rsidR="00E40549" w:rsidRPr="00E40549">
          <w:rPr>
            <w:rStyle w:val="Hyperlink"/>
            <w:rFonts w:ascii="Gautami" w:hAnsi="Gautami" w:cs="Gautami"/>
            <w:noProof/>
          </w:rPr>
          <w:t>2.4</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STTM capacity and allocation data quality</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_Toc384725782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18</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83" w:history="1">
        <w:r w:rsidR="00E40549" w:rsidRPr="00E40549">
          <w:rPr>
            <w:rStyle w:val="Hyperlink"/>
            <w:rFonts w:ascii="Gautami" w:hAnsi="Gautami" w:cs="Gautami"/>
            <w:noProof/>
          </w:rPr>
          <w:t>2.5</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STTM facility operator audits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_Toc384725783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19</w:t>
        </w:r>
        <w:r w:rsidR="00E40549" w:rsidRPr="00E40549">
          <w:rPr>
            <w:rFonts w:ascii="Gautami" w:hAnsi="Gautami" w:cs="Gautami"/>
            <w:noProof/>
            <w:webHidden/>
          </w:rPr>
          <w:fldChar w:fldCharType="end"/>
        </w:r>
      </w:hyperlink>
    </w:p>
    <w:p w:rsidR="00E40549" w:rsidRPr="00E40549" w:rsidRDefault="00E40549">
      <w:pPr>
        <w:pStyle w:val="TOC2"/>
        <w:rPr>
          <w:rStyle w:val="Hyperlink"/>
          <w:rFonts w:ascii="Gautami" w:hAnsi="Gautami" w:cs="Gautami"/>
          <w:noProof/>
          <w:color w:val="auto"/>
        </w:rPr>
      </w:pPr>
    </w:p>
    <w:p w:rsidR="00E40549" w:rsidRPr="00E40549" w:rsidRDefault="008C4BA5">
      <w:pPr>
        <w:pStyle w:val="TOC2"/>
        <w:rPr>
          <w:rFonts w:ascii="Gautami" w:eastAsiaTheme="minorEastAsia" w:hAnsi="Gautami" w:cs="Gautami"/>
          <w:i/>
          <w:noProof/>
          <w:lang w:eastAsia="en-AU"/>
        </w:rPr>
      </w:pPr>
      <w:hyperlink w:anchor="_Toc384725784" w:history="1">
        <w:r w:rsidR="00E40549" w:rsidRPr="00E40549">
          <w:rPr>
            <w:rStyle w:val="Hyperlink"/>
            <w:rFonts w:ascii="Gautami" w:hAnsi="Gautami" w:cs="Gautami"/>
            <w:i/>
            <w:noProof/>
          </w:rPr>
          <w:t>Victorian gas market</w:t>
        </w:r>
        <w:r w:rsidR="00E40549" w:rsidRPr="00E40549">
          <w:rPr>
            <w:rFonts w:ascii="Gautami" w:hAnsi="Gautami" w:cs="Gautami"/>
            <w:i/>
            <w:noProof/>
            <w:webHidden/>
          </w:rPr>
          <w:tab/>
        </w:r>
        <w:r w:rsidR="00E40549" w:rsidRPr="00E40549">
          <w:rPr>
            <w:rFonts w:ascii="Gautami" w:hAnsi="Gautami" w:cs="Gautami"/>
            <w:i/>
            <w:noProof/>
            <w:webHidden/>
          </w:rPr>
          <w:fldChar w:fldCharType="begin"/>
        </w:r>
        <w:r w:rsidR="00E40549" w:rsidRPr="00E40549">
          <w:rPr>
            <w:rFonts w:ascii="Gautami" w:hAnsi="Gautami" w:cs="Gautami"/>
            <w:i/>
            <w:noProof/>
            <w:webHidden/>
          </w:rPr>
          <w:instrText xml:space="preserve"> PAGEREF _Toc384725784 \h </w:instrText>
        </w:r>
        <w:r w:rsidR="00E40549" w:rsidRPr="00E40549">
          <w:rPr>
            <w:rFonts w:ascii="Gautami" w:hAnsi="Gautami" w:cs="Gautami"/>
            <w:i/>
            <w:noProof/>
            <w:webHidden/>
          </w:rPr>
        </w:r>
        <w:r w:rsidR="00E40549" w:rsidRPr="00E40549">
          <w:rPr>
            <w:rFonts w:ascii="Gautami" w:hAnsi="Gautami" w:cs="Gautami"/>
            <w:i/>
            <w:noProof/>
            <w:webHidden/>
          </w:rPr>
          <w:fldChar w:fldCharType="separate"/>
        </w:r>
        <w:r>
          <w:rPr>
            <w:rFonts w:ascii="Gautami" w:hAnsi="Gautami" w:cs="Gautami"/>
            <w:i/>
            <w:noProof/>
            <w:webHidden/>
          </w:rPr>
          <w:t>19</w:t>
        </w:r>
        <w:r w:rsidR="00E40549" w:rsidRPr="00E40549">
          <w:rPr>
            <w:rFonts w:ascii="Gautami" w:hAnsi="Gautami" w:cs="Gautami"/>
            <w:i/>
            <w:noProof/>
            <w:webHidden/>
          </w:rPr>
          <w:fldChar w:fldCharType="end"/>
        </w:r>
      </w:hyperlink>
    </w:p>
    <w:p w:rsidR="00E40549" w:rsidRPr="00E40549" w:rsidRDefault="00E40549">
      <w:pPr>
        <w:pStyle w:val="TOC2"/>
        <w:rPr>
          <w:rStyle w:val="Hyperlink"/>
          <w:rFonts w:ascii="Gautami" w:hAnsi="Gautami" w:cs="Gautami"/>
          <w:noProof/>
          <w:color w:val="auto"/>
        </w:rPr>
      </w:pPr>
    </w:p>
    <w:p w:rsidR="00E40549" w:rsidRPr="00E40549" w:rsidRDefault="008C4BA5">
      <w:pPr>
        <w:pStyle w:val="TOC2"/>
        <w:rPr>
          <w:rFonts w:ascii="Gautami" w:eastAsiaTheme="minorEastAsia" w:hAnsi="Gautami" w:cs="Gautami"/>
          <w:noProof/>
          <w:lang w:eastAsia="en-AU"/>
        </w:rPr>
      </w:pPr>
      <w:hyperlink w:anchor="_Toc384725785" w:history="1">
        <w:r w:rsidR="00E40549" w:rsidRPr="00E40549">
          <w:rPr>
            <w:rStyle w:val="Hyperlink"/>
            <w:rFonts w:ascii="Gautami" w:hAnsi="Gautami" w:cs="Gautami"/>
            <w:noProof/>
          </w:rPr>
          <w:t>2.6</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AEMO pricing and notification issues using backup systems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_Toc384725785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19</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86" w:history="1">
        <w:r w:rsidR="00E40549" w:rsidRPr="00E40549">
          <w:rPr>
            <w:rStyle w:val="Hyperlink"/>
            <w:rFonts w:ascii="Gautami" w:hAnsi="Gautami" w:cs="Gautami"/>
            <w:noProof/>
          </w:rPr>
          <w:t>2.7</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AEMO Supply Demand Point Constraint errors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_Toc384725786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20</w:t>
        </w:r>
        <w:r w:rsidR="00E40549" w:rsidRPr="00E40549">
          <w:rPr>
            <w:rFonts w:ascii="Gautami" w:hAnsi="Gautami" w:cs="Gautami"/>
            <w:noProof/>
            <w:webHidden/>
          </w:rPr>
          <w:fldChar w:fldCharType="end"/>
        </w:r>
      </w:hyperlink>
    </w:p>
    <w:p w:rsidR="00E40549" w:rsidRPr="00E40549" w:rsidRDefault="00E40549">
      <w:pPr>
        <w:pStyle w:val="TOC2"/>
        <w:rPr>
          <w:rStyle w:val="Hyperlink"/>
          <w:rFonts w:ascii="Gautami" w:hAnsi="Gautami" w:cs="Gautami"/>
          <w:noProof/>
          <w:color w:val="auto"/>
        </w:rPr>
      </w:pPr>
    </w:p>
    <w:p w:rsidR="00E40549" w:rsidRPr="00E40549" w:rsidRDefault="008C4BA5">
      <w:pPr>
        <w:pStyle w:val="TOC2"/>
        <w:rPr>
          <w:rFonts w:ascii="Gautami" w:eastAsiaTheme="minorEastAsia" w:hAnsi="Gautami" w:cs="Gautami"/>
          <w:i/>
          <w:noProof/>
          <w:lang w:eastAsia="en-AU"/>
        </w:rPr>
      </w:pPr>
      <w:hyperlink w:anchor="_Toc384725787" w:history="1">
        <w:r w:rsidR="00E40549" w:rsidRPr="00E40549">
          <w:rPr>
            <w:rStyle w:val="Hyperlink"/>
            <w:rFonts w:ascii="Gautami" w:hAnsi="Gautami" w:cs="Gautami"/>
            <w:i/>
            <w:noProof/>
          </w:rPr>
          <w:t>Bulletin Board</w:t>
        </w:r>
        <w:r w:rsidR="00E40549" w:rsidRPr="00E40549">
          <w:rPr>
            <w:rFonts w:ascii="Gautami" w:hAnsi="Gautami" w:cs="Gautami"/>
            <w:i/>
            <w:noProof/>
            <w:webHidden/>
          </w:rPr>
          <w:tab/>
        </w:r>
        <w:r w:rsidR="00E40549" w:rsidRPr="00E40549">
          <w:rPr>
            <w:rFonts w:ascii="Gautami" w:hAnsi="Gautami" w:cs="Gautami"/>
            <w:i/>
            <w:noProof/>
            <w:webHidden/>
          </w:rPr>
          <w:fldChar w:fldCharType="begin"/>
        </w:r>
        <w:r w:rsidR="00E40549" w:rsidRPr="00E40549">
          <w:rPr>
            <w:rFonts w:ascii="Gautami" w:hAnsi="Gautami" w:cs="Gautami"/>
            <w:i/>
            <w:noProof/>
            <w:webHidden/>
          </w:rPr>
          <w:instrText xml:space="preserve"> PAGEREF _Toc384725787 \h </w:instrText>
        </w:r>
        <w:r w:rsidR="00E40549" w:rsidRPr="00E40549">
          <w:rPr>
            <w:rFonts w:ascii="Gautami" w:hAnsi="Gautami" w:cs="Gautami"/>
            <w:i/>
            <w:noProof/>
            <w:webHidden/>
          </w:rPr>
        </w:r>
        <w:r w:rsidR="00E40549" w:rsidRPr="00E40549">
          <w:rPr>
            <w:rFonts w:ascii="Gautami" w:hAnsi="Gautami" w:cs="Gautami"/>
            <w:i/>
            <w:noProof/>
            <w:webHidden/>
          </w:rPr>
          <w:fldChar w:fldCharType="separate"/>
        </w:r>
        <w:r>
          <w:rPr>
            <w:rFonts w:ascii="Gautami" w:hAnsi="Gautami" w:cs="Gautami"/>
            <w:i/>
            <w:noProof/>
            <w:webHidden/>
          </w:rPr>
          <w:t>20</w:t>
        </w:r>
        <w:r w:rsidR="00E40549" w:rsidRPr="00E40549">
          <w:rPr>
            <w:rFonts w:ascii="Gautami" w:hAnsi="Gautami" w:cs="Gautami"/>
            <w:i/>
            <w:noProof/>
            <w:webHidden/>
          </w:rPr>
          <w:fldChar w:fldCharType="end"/>
        </w:r>
      </w:hyperlink>
    </w:p>
    <w:p w:rsidR="00E40549" w:rsidRPr="00E40549" w:rsidRDefault="00E40549">
      <w:pPr>
        <w:pStyle w:val="TOC2"/>
        <w:rPr>
          <w:rStyle w:val="Hyperlink"/>
          <w:rFonts w:ascii="Gautami" w:hAnsi="Gautami" w:cs="Gautami"/>
          <w:noProof/>
          <w:color w:val="auto"/>
        </w:rPr>
      </w:pPr>
    </w:p>
    <w:p w:rsidR="00E40549" w:rsidRPr="00E40549" w:rsidRDefault="008C4BA5">
      <w:pPr>
        <w:pStyle w:val="TOC2"/>
        <w:rPr>
          <w:rFonts w:ascii="Gautami" w:eastAsiaTheme="minorEastAsia" w:hAnsi="Gautami" w:cs="Gautami"/>
          <w:noProof/>
          <w:lang w:eastAsia="en-AU"/>
        </w:rPr>
      </w:pPr>
      <w:hyperlink w:anchor="_Toc384725788" w:history="1">
        <w:r w:rsidR="00E40549" w:rsidRPr="00E40549">
          <w:rPr>
            <w:rStyle w:val="Hyperlink"/>
            <w:rFonts w:ascii="Gautami" w:hAnsi="Gautami" w:cs="Gautami"/>
            <w:noProof/>
          </w:rPr>
          <w:t>2.8</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Firm nomination data</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_Toc384725788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20</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89" w:history="1">
        <w:r w:rsidR="00E40549" w:rsidRPr="00E40549">
          <w:rPr>
            <w:rStyle w:val="Hyperlink"/>
            <w:rFonts w:ascii="Gautami" w:hAnsi="Gautami" w:cs="Gautami"/>
            <w:noProof/>
          </w:rPr>
          <w:t>2.9</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Actual daily production and pipeline flow data</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_Toc384725789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20</w:t>
        </w:r>
        <w:r w:rsidR="00E40549" w:rsidRPr="00E40549">
          <w:rPr>
            <w:rFonts w:ascii="Gautami" w:hAnsi="Gautami" w:cs="Gautami"/>
            <w:noProof/>
            <w:webHidden/>
          </w:rPr>
          <w:fldChar w:fldCharType="end"/>
        </w:r>
      </w:hyperlink>
    </w:p>
    <w:p w:rsidR="00E40549" w:rsidRPr="00E40549" w:rsidRDefault="008C4BA5">
      <w:pPr>
        <w:pStyle w:val="TOC1"/>
        <w:rPr>
          <w:rFonts w:ascii="Gautami" w:eastAsiaTheme="minorEastAsia" w:hAnsi="Gautami" w:cs="Gautami"/>
          <w:b w:val="0"/>
          <w:noProof/>
          <w:lang w:eastAsia="en-AU"/>
        </w:rPr>
      </w:pPr>
      <w:hyperlink w:anchor="_Toc384725790" w:history="1">
        <w:r w:rsidR="00E40549" w:rsidRPr="00E40549">
          <w:rPr>
            <w:rStyle w:val="Hyperlink"/>
            <w:rFonts w:ascii="Gautami" w:hAnsi="Gautami" w:cs="Gautami"/>
            <w:noProof/>
          </w:rPr>
          <w:t>3</w:t>
        </w:r>
        <w:r w:rsidR="00E40549" w:rsidRPr="00E40549">
          <w:rPr>
            <w:rFonts w:ascii="Gautami" w:eastAsiaTheme="minorEastAsia" w:hAnsi="Gautami" w:cs="Gautami"/>
            <w:b w:val="0"/>
            <w:noProof/>
            <w:lang w:eastAsia="en-AU"/>
          </w:rPr>
          <w:tab/>
        </w:r>
        <w:r w:rsidR="00E40549" w:rsidRPr="00E40549">
          <w:rPr>
            <w:rStyle w:val="Hyperlink"/>
            <w:rFonts w:ascii="Gautami" w:hAnsi="Gautami" w:cs="Gautami"/>
            <w:noProof/>
          </w:rPr>
          <w:t>Electricity</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_Toc384725790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21</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91" w:history="1">
        <w:r w:rsidR="00E40549" w:rsidRPr="00E40549">
          <w:rPr>
            <w:rStyle w:val="Hyperlink"/>
            <w:rFonts w:ascii="Gautami" w:hAnsi="Gautami" w:cs="Gautami"/>
            <w:noProof/>
          </w:rPr>
          <w:t>3.1</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Rebidding</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_Toc384725791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21</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92" w:history="1">
        <w:r w:rsidR="00E40549" w:rsidRPr="00E40549">
          <w:rPr>
            <w:rStyle w:val="Hyperlink"/>
            <w:rFonts w:ascii="Gautami" w:hAnsi="Gautami" w:cs="Gautami"/>
            <w:noProof/>
          </w:rPr>
          <w:t>3.2</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Technical audits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_Toc384725792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22</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93" w:history="1">
        <w:r w:rsidR="00E40549" w:rsidRPr="00E40549">
          <w:rPr>
            <w:rStyle w:val="Hyperlink"/>
            <w:rFonts w:ascii="Gautami" w:hAnsi="Gautami" w:cs="Gautami"/>
            <w:noProof/>
          </w:rPr>
          <w:t>3.3</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Targeted compliance reviews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_Toc384725793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22</w:t>
        </w:r>
        <w:r w:rsidR="00E40549" w:rsidRPr="00E40549">
          <w:rPr>
            <w:rFonts w:ascii="Gautami" w:hAnsi="Gautami" w:cs="Gautami"/>
            <w:noProof/>
            <w:webHidden/>
          </w:rPr>
          <w:fldChar w:fldCharType="end"/>
        </w:r>
      </w:hyperlink>
    </w:p>
    <w:p w:rsidR="00E40549" w:rsidRPr="00E40549" w:rsidRDefault="008C4BA5">
      <w:pPr>
        <w:pStyle w:val="TOC2"/>
        <w:rPr>
          <w:rFonts w:ascii="Gautami" w:eastAsiaTheme="minorEastAsia" w:hAnsi="Gautami" w:cs="Gautami"/>
          <w:noProof/>
          <w:lang w:eastAsia="en-AU"/>
        </w:rPr>
      </w:pPr>
      <w:hyperlink w:anchor="_Toc384725794" w:history="1">
        <w:r w:rsidR="00E40549" w:rsidRPr="00E40549">
          <w:rPr>
            <w:rStyle w:val="Hyperlink"/>
            <w:rFonts w:ascii="Gautami" w:hAnsi="Gautami" w:cs="Gautami"/>
            <w:noProof/>
          </w:rPr>
          <w:t>3.4</w:t>
        </w:r>
        <w:r w:rsidR="00E40549" w:rsidRPr="00E40549">
          <w:rPr>
            <w:rFonts w:ascii="Gautami" w:eastAsiaTheme="minorEastAsia" w:hAnsi="Gautami" w:cs="Gautami"/>
            <w:noProof/>
            <w:lang w:eastAsia="en-AU"/>
          </w:rPr>
          <w:tab/>
        </w:r>
        <w:r w:rsidR="00E40549" w:rsidRPr="00E40549">
          <w:rPr>
            <w:rStyle w:val="Hyperlink"/>
            <w:rFonts w:ascii="Gautami" w:hAnsi="Gautami" w:cs="Gautami"/>
            <w:noProof/>
          </w:rPr>
          <w:t>Jurisdictional derogations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_Toc384725794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24</w:t>
        </w:r>
        <w:r w:rsidR="00E40549" w:rsidRPr="00E40549">
          <w:rPr>
            <w:rFonts w:ascii="Gautami" w:hAnsi="Gautami" w:cs="Gautami"/>
            <w:noProof/>
            <w:webHidden/>
          </w:rPr>
          <w:fldChar w:fldCharType="end"/>
        </w:r>
      </w:hyperlink>
    </w:p>
    <w:p w:rsidR="00E40549" w:rsidRPr="00E40549" w:rsidRDefault="008C4BA5">
      <w:pPr>
        <w:pStyle w:val="TOC1"/>
        <w:rPr>
          <w:rFonts w:ascii="Gautami" w:eastAsiaTheme="minorEastAsia" w:hAnsi="Gautami" w:cs="Gautami"/>
          <w:b w:val="0"/>
          <w:noProof/>
          <w:lang w:eastAsia="en-AU"/>
        </w:rPr>
      </w:pPr>
      <w:hyperlink w:anchor="_Toc384725795" w:history="1">
        <w:r w:rsidR="00E40549" w:rsidRPr="00E40549">
          <w:rPr>
            <w:rStyle w:val="Hyperlink"/>
            <w:rFonts w:ascii="Gautami" w:hAnsi="Gautami" w:cs="Gautami"/>
            <w:noProof/>
          </w:rPr>
          <w:t>Appendix A:  Shortened forms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_Toc384725795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25</w:t>
        </w:r>
        <w:r w:rsidR="00E40549" w:rsidRPr="00E40549">
          <w:rPr>
            <w:rFonts w:ascii="Gautami" w:hAnsi="Gautami" w:cs="Gautami"/>
            <w:noProof/>
            <w:webHidden/>
          </w:rPr>
          <w:fldChar w:fldCharType="end"/>
        </w:r>
      </w:hyperlink>
    </w:p>
    <w:p w:rsidR="00E40549" w:rsidRPr="00E40549" w:rsidRDefault="008C4BA5">
      <w:pPr>
        <w:pStyle w:val="TOC1"/>
        <w:rPr>
          <w:rFonts w:ascii="Gautami" w:eastAsiaTheme="minorEastAsia" w:hAnsi="Gautami" w:cs="Gautami"/>
          <w:b w:val="0"/>
          <w:noProof/>
          <w:lang w:eastAsia="en-AU"/>
        </w:rPr>
      </w:pPr>
      <w:hyperlink w:anchor="_Toc384725796" w:history="1">
        <w:r w:rsidR="00E40549" w:rsidRPr="00E40549">
          <w:rPr>
            <w:rStyle w:val="Hyperlink"/>
            <w:rFonts w:ascii="Gautami" w:hAnsi="Gautami" w:cs="Gautami"/>
            <w:noProof/>
          </w:rPr>
          <w:t>Appendix B:  Previous targeted compliance reviews</w:t>
        </w:r>
        <w:r w:rsidR="00E40549" w:rsidRPr="00E40549">
          <w:rPr>
            <w:rFonts w:ascii="Gautami" w:hAnsi="Gautami" w:cs="Gautami"/>
            <w:noProof/>
            <w:webHidden/>
          </w:rPr>
          <w:tab/>
        </w:r>
        <w:r w:rsidR="00E40549" w:rsidRPr="00E40549">
          <w:rPr>
            <w:rFonts w:ascii="Gautami" w:hAnsi="Gautami" w:cs="Gautami"/>
            <w:noProof/>
            <w:webHidden/>
          </w:rPr>
          <w:fldChar w:fldCharType="begin"/>
        </w:r>
        <w:r w:rsidR="00E40549" w:rsidRPr="00E40549">
          <w:rPr>
            <w:rFonts w:ascii="Gautami" w:hAnsi="Gautami" w:cs="Gautami"/>
            <w:noProof/>
            <w:webHidden/>
          </w:rPr>
          <w:instrText xml:space="preserve"> PAGEREF _Toc384725796 \h </w:instrText>
        </w:r>
        <w:r w:rsidR="00E40549" w:rsidRPr="00E40549">
          <w:rPr>
            <w:rFonts w:ascii="Gautami" w:hAnsi="Gautami" w:cs="Gautami"/>
            <w:noProof/>
            <w:webHidden/>
          </w:rPr>
        </w:r>
        <w:r w:rsidR="00E40549" w:rsidRPr="00E40549">
          <w:rPr>
            <w:rFonts w:ascii="Gautami" w:hAnsi="Gautami" w:cs="Gautami"/>
            <w:noProof/>
            <w:webHidden/>
          </w:rPr>
          <w:fldChar w:fldCharType="separate"/>
        </w:r>
        <w:r>
          <w:rPr>
            <w:rFonts w:ascii="Gautami" w:hAnsi="Gautami" w:cs="Gautami"/>
            <w:noProof/>
            <w:webHidden/>
          </w:rPr>
          <w:t>26</w:t>
        </w:r>
        <w:r w:rsidR="00E40549" w:rsidRPr="00E40549">
          <w:rPr>
            <w:rFonts w:ascii="Gautami" w:hAnsi="Gautami" w:cs="Gautami"/>
            <w:noProof/>
            <w:webHidden/>
          </w:rPr>
          <w:fldChar w:fldCharType="end"/>
        </w:r>
      </w:hyperlink>
    </w:p>
    <w:p w:rsidR="0067781E" w:rsidRPr="00914770" w:rsidRDefault="00450695" w:rsidP="00914770">
      <w:pPr>
        <w:rPr>
          <w:lang w:eastAsia="en-US"/>
        </w:rPr>
      </w:pPr>
      <w:r w:rsidRPr="00E40549">
        <w:rPr>
          <w:rFonts w:ascii="Gautami" w:hAnsi="Gautami" w:cs="Gautami"/>
        </w:rPr>
        <w:fldChar w:fldCharType="end"/>
      </w:r>
    </w:p>
    <w:p w:rsidR="0067781E" w:rsidRPr="0067781E" w:rsidRDefault="0067781E" w:rsidP="0067781E">
      <w:pPr>
        <w:rPr>
          <w:lang w:eastAsia="en-US"/>
        </w:rPr>
      </w:pPr>
    </w:p>
    <w:p w:rsidR="000733BC" w:rsidRPr="00742426" w:rsidRDefault="00AB2AA9" w:rsidP="001F2CA4">
      <w:pPr>
        <w:pStyle w:val="UnnumberedHeading"/>
        <w:numPr>
          <w:ilvl w:val="0"/>
          <w:numId w:val="0"/>
        </w:numPr>
      </w:pPr>
      <w:bookmarkStart w:id="19" w:name="_Toc337553425"/>
      <w:bookmarkStart w:id="20" w:name="_Toc384725767"/>
      <w:bookmarkStart w:id="21" w:name="_Toc316978870"/>
      <w:bookmarkStart w:id="22" w:name="_Toc317520246"/>
      <w:bookmarkStart w:id="23" w:name="_Toc305751931"/>
      <w:bookmarkStart w:id="24" w:name="_Toc308601044"/>
      <w:bookmarkEnd w:id="17"/>
      <w:r w:rsidRPr="00742426">
        <w:lastRenderedPageBreak/>
        <w:t>Executive summary</w:t>
      </w:r>
      <w:bookmarkEnd w:id="19"/>
      <w:bookmarkEnd w:id="20"/>
    </w:p>
    <w:p w:rsidR="003528E9" w:rsidRDefault="003528E9" w:rsidP="003528E9">
      <w:pPr>
        <w:pStyle w:val="AERbodytext"/>
        <w:rPr>
          <w:szCs w:val="20"/>
        </w:rPr>
      </w:pPr>
      <w:bookmarkStart w:id="25" w:name="OLE_LINK72"/>
      <w:bookmarkStart w:id="26" w:name="OLE_LINK73"/>
      <w:r>
        <w:t>The purpose of this Quarterly Compliance Report (</w:t>
      </w:r>
      <w:r w:rsidRPr="00793608">
        <w:rPr>
          <w:b/>
        </w:rPr>
        <w:t>QCR</w:t>
      </w:r>
      <w:r>
        <w:t>) is to outline the Australian Energy Regulator’s (</w:t>
      </w:r>
      <w:r>
        <w:rPr>
          <w:b/>
          <w:bCs/>
        </w:rPr>
        <w:t>AER</w:t>
      </w:r>
      <w:r>
        <w:t>) compliance monitoring and enforcement activity under the National Electricity Law (</w:t>
      </w:r>
      <w:r>
        <w:rPr>
          <w:b/>
          <w:bCs/>
        </w:rPr>
        <w:t>Electricity Law</w:t>
      </w:r>
      <w:r>
        <w:t>) and National Gas Law</w:t>
      </w:r>
      <w:r w:rsidR="00484DDC">
        <w:t xml:space="preserve"> </w:t>
      </w:r>
      <w:r>
        <w:t>(</w:t>
      </w:r>
      <w:r>
        <w:rPr>
          <w:b/>
          <w:bCs/>
        </w:rPr>
        <w:t>Gas Law</w:t>
      </w:r>
      <w:r>
        <w:t>)—including the rules and regulations which sit under those Laws. This QCR covers the period 1 January to 31 March 2013 (</w:t>
      </w:r>
      <w:r>
        <w:rPr>
          <w:b/>
          <w:bCs/>
        </w:rPr>
        <w:t>the March 2013 quarter</w:t>
      </w:r>
      <w:r>
        <w:t>).</w:t>
      </w:r>
      <w:r w:rsidR="003E4F6D">
        <w:rPr>
          <w:rStyle w:val="FootnoteReference"/>
        </w:rPr>
        <w:footnoteReference w:id="1"/>
      </w:r>
    </w:p>
    <w:p w:rsidR="00097A82" w:rsidRPr="00097A82" w:rsidRDefault="00097A82" w:rsidP="00097A82">
      <w:pPr>
        <w:pStyle w:val="AERbodytext"/>
      </w:pPr>
      <w:r w:rsidRPr="00F354E4">
        <w:t>The first chapter relates to our ‘</w:t>
      </w:r>
      <w:r w:rsidR="007D3A29" w:rsidRPr="00F354E4">
        <w:t>s</w:t>
      </w:r>
      <w:r w:rsidRPr="00F354E4">
        <w:t xml:space="preserve">trategic </w:t>
      </w:r>
      <w:r w:rsidR="007D3A29" w:rsidRPr="00F354E4">
        <w:t>c</w:t>
      </w:r>
      <w:r w:rsidRPr="00F354E4">
        <w:t xml:space="preserve">ompliance </w:t>
      </w:r>
      <w:r w:rsidR="007D3A29" w:rsidRPr="00F354E4">
        <w:t>p</w:t>
      </w:r>
      <w:r w:rsidR="003528E9" w:rsidRPr="00F354E4">
        <w:t>rojects’. These projects</w:t>
      </w:r>
      <w:r w:rsidRPr="00F354E4">
        <w:t xml:space="preserve"> (which we previously called ‘</w:t>
      </w:r>
      <w:r w:rsidR="007D3A29" w:rsidRPr="00F354E4">
        <w:t>s</w:t>
      </w:r>
      <w:r w:rsidRPr="00F354E4">
        <w:t xml:space="preserve">pecial </w:t>
      </w:r>
      <w:r w:rsidR="007D3A29" w:rsidRPr="00F354E4">
        <w:t>p</w:t>
      </w:r>
      <w:r w:rsidR="003528E9" w:rsidRPr="00F354E4">
        <w:t>rojects’) are designed to identify or address particular harms, risks or inefficiencies in</w:t>
      </w:r>
      <w:r w:rsidRPr="00F354E4">
        <w:t xml:space="preserve"> </w:t>
      </w:r>
      <w:r w:rsidR="003528E9" w:rsidRPr="00F354E4">
        <w:t xml:space="preserve">wholesale energy markets. </w:t>
      </w:r>
      <w:r w:rsidRPr="00F354E4">
        <w:t>The</w:t>
      </w:r>
      <w:r w:rsidR="003528E9" w:rsidRPr="00F354E4">
        <w:t xml:space="preserve"> pro</w:t>
      </w:r>
      <w:r w:rsidR="000F486F" w:rsidRPr="00F354E4">
        <w:t>jec</w:t>
      </w:r>
      <w:r w:rsidR="003528E9" w:rsidRPr="00F354E4">
        <w:t xml:space="preserve">ts </w:t>
      </w:r>
      <w:r w:rsidR="00542F60" w:rsidRPr="00F354E4">
        <w:t xml:space="preserve">generally </w:t>
      </w:r>
      <w:r w:rsidR="003528E9" w:rsidRPr="00F354E4">
        <w:t xml:space="preserve">have a metric to </w:t>
      </w:r>
      <w:r w:rsidR="000F486F" w:rsidRPr="00F354E4">
        <w:t xml:space="preserve">measure </w:t>
      </w:r>
      <w:r w:rsidR="00C8514C" w:rsidRPr="00F354E4">
        <w:t>the</w:t>
      </w:r>
      <w:r w:rsidR="003528E9" w:rsidRPr="00F354E4">
        <w:t xml:space="preserve"> success in addressing the issue. </w:t>
      </w:r>
      <w:r w:rsidRPr="00F354E4">
        <w:t>These projects are not targeted at individual parties and have a medium to long term focus.</w:t>
      </w:r>
    </w:p>
    <w:p w:rsidR="003528E9" w:rsidRDefault="00542F60" w:rsidP="00097A82">
      <w:pPr>
        <w:pStyle w:val="AERbodytext"/>
      </w:pPr>
      <w:r>
        <w:t>W</w:t>
      </w:r>
      <w:r w:rsidR="00097A82">
        <w:t>e outline</w:t>
      </w:r>
      <w:r w:rsidR="00206461">
        <w:t xml:space="preserve"> four</w:t>
      </w:r>
      <w:r w:rsidR="003528E9">
        <w:t xml:space="preserve"> new</w:t>
      </w:r>
      <w:r w:rsidR="00097A82">
        <w:t xml:space="preserve"> </w:t>
      </w:r>
      <w:r w:rsidR="007D3A29">
        <w:t>s</w:t>
      </w:r>
      <w:r w:rsidR="00A23E53">
        <w:t>trategi</w:t>
      </w:r>
      <w:r w:rsidR="00097A82">
        <w:t xml:space="preserve">c </w:t>
      </w:r>
      <w:r w:rsidR="007D3A29">
        <w:t>c</w:t>
      </w:r>
      <w:r w:rsidR="00A23E53">
        <w:t>ompliance</w:t>
      </w:r>
      <w:r w:rsidR="00097A82">
        <w:t xml:space="preserve"> </w:t>
      </w:r>
      <w:r w:rsidR="007D3A29">
        <w:t>p</w:t>
      </w:r>
      <w:r w:rsidR="003528E9">
        <w:t xml:space="preserve">rojects which will commence in 2013. </w:t>
      </w:r>
      <w:r w:rsidR="00097A82">
        <w:t>The</w:t>
      </w:r>
      <w:r>
        <w:t xml:space="preserve"> four new</w:t>
      </w:r>
      <w:r w:rsidR="00097A82">
        <w:t xml:space="preserve"> projects </w:t>
      </w:r>
      <w:r w:rsidR="003528E9">
        <w:t>focus on:</w:t>
      </w:r>
    </w:p>
    <w:p w:rsidR="00AA5B35" w:rsidRDefault="00E0671E" w:rsidP="00AA5B35">
      <w:pPr>
        <w:pStyle w:val="AERbulletlistsecondstyle"/>
        <w:rPr>
          <w:szCs w:val="16"/>
        </w:rPr>
      </w:pPr>
      <w:r>
        <w:rPr>
          <w:i/>
        </w:rPr>
        <w:t>T</w:t>
      </w:r>
      <w:r w:rsidR="005F17BD" w:rsidRPr="005F17BD">
        <w:rPr>
          <w:i/>
        </w:rPr>
        <w:t xml:space="preserve">he </w:t>
      </w:r>
      <w:proofErr w:type="gramStart"/>
      <w:r w:rsidR="005F17BD" w:rsidRPr="005F17BD">
        <w:rPr>
          <w:i/>
        </w:rPr>
        <w:t>performance of ancillary services for regulation</w:t>
      </w:r>
      <w:r>
        <w:t xml:space="preserve"> – </w:t>
      </w:r>
      <w:r w:rsidR="00542F60" w:rsidRPr="002A7901">
        <w:t>Frequency Control Ancillary Service</w:t>
      </w:r>
      <w:r w:rsidR="00542F60">
        <w:t>s</w:t>
      </w:r>
      <w:r w:rsidR="00542F60" w:rsidRPr="002A7901">
        <w:t xml:space="preserve"> (</w:t>
      </w:r>
      <w:r w:rsidR="00542F60" w:rsidRPr="00B05091">
        <w:rPr>
          <w:b/>
        </w:rPr>
        <w:t>FCAS</w:t>
      </w:r>
      <w:r w:rsidR="00542F60" w:rsidRPr="002A7901">
        <w:t>) have</w:t>
      </w:r>
      <w:proofErr w:type="gramEnd"/>
      <w:r w:rsidR="00542F60" w:rsidRPr="002A7901">
        <w:t xml:space="preserve"> been developed </w:t>
      </w:r>
      <w:r w:rsidR="00542F60">
        <w:t>i</w:t>
      </w:r>
      <w:r w:rsidR="00542F60" w:rsidRPr="002A7901">
        <w:t>n order to maintain the power system frequency within the frequency standards set by the Reliability Panel.</w:t>
      </w:r>
      <w:r w:rsidR="00542F60">
        <w:t xml:space="preserve"> </w:t>
      </w:r>
      <w:r w:rsidR="00542F60" w:rsidRPr="002A7901">
        <w:t>These services alter the output of generation or demand side players to ensure supply and demand are always in balance.</w:t>
      </w:r>
      <w:r w:rsidR="00542F60">
        <w:t xml:space="preserve"> Our </w:t>
      </w:r>
      <w:r w:rsidR="00542F60" w:rsidRPr="002A7901">
        <w:t>new</w:t>
      </w:r>
      <w:r w:rsidR="00542F60">
        <w:t xml:space="preserve"> strategic compliance project will</w:t>
      </w:r>
      <w:r w:rsidR="00542F60" w:rsidRPr="002A7901">
        <w:t xml:space="preserve"> assess whether providers</w:t>
      </w:r>
      <w:r w:rsidR="00542F60">
        <w:t xml:space="preserve"> of</w:t>
      </w:r>
      <w:r w:rsidR="00542F60" w:rsidRPr="002A7901">
        <w:t xml:space="preserve"> </w:t>
      </w:r>
      <w:r w:rsidR="00542F60">
        <w:t xml:space="preserve">regulation </w:t>
      </w:r>
      <w:r w:rsidR="00D20F76">
        <w:t>FCAS</w:t>
      </w:r>
      <w:r w:rsidR="00542F60" w:rsidRPr="002A7901">
        <w:t xml:space="preserve"> actually deliver the service</w:t>
      </w:r>
      <w:r w:rsidR="00542F60">
        <w:t>s</w:t>
      </w:r>
      <w:r w:rsidR="00542F60" w:rsidRPr="002A7901">
        <w:t xml:space="preserve"> they are paid to provide.</w:t>
      </w:r>
    </w:p>
    <w:p w:rsidR="00AA5B35" w:rsidRPr="00F354E4" w:rsidRDefault="00E0671E" w:rsidP="00AA5B35">
      <w:pPr>
        <w:pStyle w:val="AERbulletlistsecondstyle"/>
        <w:rPr>
          <w:szCs w:val="16"/>
        </w:rPr>
      </w:pPr>
      <w:r>
        <w:rPr>
          <w:i/>
        </w:rPr>
        <w:t>E</w:t>
      </w:r>
      <w:r w:rsidR="005F17BD" w:rsidRPr="005F17BD">
        <w:rPr>
          <w:i/>
        </w:rPr>
        <w:t>lectricity metering (data quality and upgrades to metering installations)</w:t>
      </w:r>
      <w:r>
        <w:rPr>
          <w:i/>
        </w:rPr>
        <w:t xml:space="preserve"> –</w:t>
      </w:r>
      <w:r w:rsidR="00542F60" w:rsidRPr="00542F60">
        <w:rPr>
          <w:szCs w:val="16"/>
        </w:rPr>
        <w:t xml:space="preserve"> </w:t>
      </w:r>
      <w:r w:rsidR="00542F60">
        <w:rPr>
          <w:szCs w:val="16"/>
        </w:rPr>
        <w:t>The electricity metering project follows on from the Australian Energy Market Commission’s (</w:t>
      </w:r>
      <w:r w:rsidR="00542F60" w:rsidRPr="00B353E0">
        <w:rPr>
          <w:b/>
          <w:szCs w:val="16"/>
        </w:rPr>
        <w:t>AEMC</w:t>
      </w:r>
      <w:r w:rsidR="00542F60">
        <w:rPr>
          <w:b/>
          <w:szCs w:val="16"/>
        </w:rPr>
        <w:t>)</w:t>
      </w:r>
      <w:r w:rsidR="00542F60">
        <w:rPr>
          <w:szCs w:val="16"/>
        </w:rPr>
        <w:t xml:space="preserve"> Power of Choice review</w:t>
      </w:r>
      <w:r w:rsidR="00E905A9" w:rsidRPr="00F354E4">
        <w:rPr>
          <w:szCs w:val="16"/>
        </w:rPr>
        <w:t>,</w:t>
      </w:r>
      <w:r w:rsidR="00542F60" w:rsidRPr="00F354E4">
        <w:rPr>
          <w:rStyle w:val="FootnoteReference"/>
          <w:szCs w:val="16"/>
        </w:rPr>
        <w:footnoteReference w:id="2"/>
      </w:r>
      <w:r w:rsidR="00542F60" w:rsidRPr="00F354E4">
        <w:rPr>
          <w:szCs w:val="16"/>
        </w:rPr>
        <w:t xml:space="preserve"> which noted the crucial role metering arrangements play in the current and future operation of the </w:t>
      </w:r>
      <w:r w:rsidR="00542F60" w:rsidRPr="00F354E4">
        <w:t>National</w:t>
      </w:r>
      <w:r w:rsidR="00542F60" w:rsidRPr="00F354E4">
        <w:rPr>
          <w:szCs w:val="16"/>
        </w:rPr>
        <w:t xml:space="preserve"> Electricity Market (</w:t>
      </w:r>
      <w:r w:rsidR="00542F60" w:rsidRPr="00F354E4">
        <w:rPr>
          <w:b/>
          <w:szCs w:val="16"/>
        </w:rPr>
        <w:t>NEM</w:t>
      </w:r>
      <w:r w:rsidR="00542F60" w:rsidRPr="00F354E4">
        <w:rPr>
          <w:szCs w:val="16"/>
        </w:rPr>
        <w:t xml:space="preserve">). </w:t>
      </w:r>
      <w:r w:rsidR="00380F85" w:rsidRPr="00F354E4">
        <w:rPr>
          <w:szCs w:val="16"/>
        </w:rPr>
        <w:t>We</w:t>
      </w:r>
      <w:r w:rsidR="00542F60" w:rsidRPr="00F354E4">
        <w:rPr>
          <w:szCs w:val="16"/>
        </w:rPr>
        <w:t xml:space="preserve"> will continue to monitor the quality of metering data provided to the Australian Energy Market Operator (</w:t>
      </w:r>
      <w:r w:rsidR="00542F60" w:rsidRPr="00F354E4">
        <w:rPr>
          <w:b/>
          <w:szCs w:val="16"/>
        </w:rPr>
        <w:t>AEMO</w:t>
      </w:r>
      <w:r w:rsidR="00542F60" w:rsidRPr="00F354E4">
        <w:rPr>
          <w:szCs w:val="16"/>
        </w:rPr>
        <w:t xml:space="preserve">). </w:t>
      </w:r>
      <w:r w:rsidR="00AC49DE" w:rsidRPr="00F354E4">
        <w:rPr>
          <w:szCs w:val="16"/>
        </w:rPr>
        <w:t xml:space="preserve">We will also </w:t>
      </w:r>
      <w:r w:rsidR="00542F60" w:rsidRPr="00F354E4">
        <w:rPr>
          <w:szCs w:val="16"/>
        </w:rPr>
        <w:t xml:space="preserve">work with AEMO to ensure </w:t>
      </w:r>
      <w:r w:rsidR="00D20F76" w:rsidRPr="00F354E4">
        <w:rPr>
          <w:szCs w:val="16"/>
        </w:rPr>
        <w:t xml:space="preserve">that </w:t>
      </w:r>
      <w:r w:rsidR="00542F60" w:rsidRPr="00F354E4">
        <w:rPr>
          <w:szCs w:val="16"/>
        </w:rPr>
        <w:t xml:space="preserve">customers have appropriate metering installations. </w:t>
      </w:r>
      <w:r w:rsidR="00C12985" w:rsidRPr="00F354E4">
        <w:rPr>
          <w:szCs w:val="16"/>
        </w:rPr>
        <w:t>W</w:t>
      </w:r>
      <w:r w:rsidR="004C3C6D" w:rsidRPr="00F354E4">
        <w:rPr>
          <w:szCs w:val="16"/>
        </w:rPr>
        <w:t>e understand</w:t>
      </w:r>
      <w:r w:rsidR="00542F60" w:rsidRPr="00F354E4">
        <w:rPr>
          <w:szCs w:val="16"/>
        </w:rPr>
        <w:t xml:space="preserve"> that some participants are failing to upgrade their customers’ metering installations from accumulation to interval when required by the </w:t>
      </w:r>
      <w:r w:rsidR="00E905A9" w:rsidRPr="00F354E4">
        <w:rPr>
          <w:szCs w:val="16"/>
        </w:rPr>
        <w:t xml:space="preserve">National </w:t>
      </w:r>
      <w:r w:rsidR="00542F60" w:rsidRPr="00F354E4">
        <w:rPr>
          <w:szCs w:val="16"/>
        </w:rPr>
        <w:t>Electricity Rules</w:t>
      </w:r>
      <w:r w:rsidR="00E905A9" w:rsidRPr="00F354E4">
        <w:rPr>
          <w:szCs w:val="16"/>
        </w:rPr>
        <w:t xml:space="preserve"> (</w:t>
      </w:r>
      <w:r w:rsidR="00E905A9" w:rsidRPr="00F354E4">
        <w:rPr>
          <w:b/>
          <w:szCs w:val="16"/>
        </w:rPr>
        <w:t>Electricity Rules</w:t>
      </w:r>
      <w:r w:rsidR="00E905A9" w:rsidRPr="00F354E4">
        <w:rPr>
          <w:szCs w:val="16"/>
        </w:rPr>
        <w:t>)</w:t>
      </w:r>
      <w:r w:rsidR="00542F60" w:rsidRPr="00F354E4">
        <w:rPr>
          <w:szCs w:val="16"/>
        </w:rPr>
        <w:t>.</w:t>
      </w:r>
    </w:p>
    <w:p w:rsidR="00AA5B35" w:rsidRDefault="00E0671E" w:rsidP="00AA5B35">
      <w:pPr>
        <w:pStyle w:val="AERbulletlistsecondstyle"/>
        <w:rPr>
          <w:i/>
        </w:rPr>
      </w:pPr>
      <w:r w:rsidRPr="00F354E4">
        <w:rPr>
          <w:i/>
        </w:rPr>
        <w:t>T</w:t>
      </w:r>
      <w:r w:rsidR="00BF4B48" w:rsidRPr="00F354E4">
        <w:rPr>
          <w:i/>
        </w:rPr>
        <w:t>rends in Power System Operating Incident</w:t>
      </w:r>
      <w:r w:rsidR="00B71E81" w:rsidRPr="00F354E4">
        <w:rPr>
          <w:i/>
        </w:rPr>
        <w:t>s</w:t>
      </w:r>
      <w:r w:rsidR="00E905A9" w:rsidRPr="00F354E4">
        <w:rPr>
          <w:i/>
        </w:rPr>
        <w:t xml:space="preserve"> </w:t>
      </w:r>
      <w:r w:rsidRPr="00F354E4">
        <w:rPr>
          <w:i/>
        </w:rPr>
        <w:t xml:space="preserve">– </w:t>
      </w:r>
      <w:r w:rsidRPr="00F354E4">
        <w:t xml:space="preserve">AEMO’s Power System Operating Incident reports assess the response of network businesses and market participant facilities following a power system event. Currently </w:t>
      </w:r>
      <w:r w:rsidR="00380F85" w:rsidRPr="00F354E4">
        <w:t>we</w:t>
      </w:r>
      <w:r w:rsidRPr="00F354E4">
        <w:t xml:space="preserve"> collate information from each power system incident report and pursue any compliance/enforcement matters that have arisen. The purpose of this project is to analyse trends in the reports over the longer</w:t>
      </w:r>
      <w:r w:rsidR="00E905A9" w:rsidRPr="00F354E4">
        <w:t xml:space="preserve"> </w:t>
      </w:r>
      <w:r w:rsidRPr="00F354E4">
        <w:t>term</w:t>
      </w:r>
      <w:r>
        <w:t xml:space="preserve"> (for example, to analyse whether a particular participant had repeated problems in an area over many years). </w:t>
      </w:r>
      <w:r w:rsidRPr="00F6160E">
        <w:t xml:space="preserve">This analysis will assist </w:t>
      </w:r>
      <w:r w:rsidR="00380F85">
        <w:t>us</w:t>
      </w:r>
      <w:r w:rsidRPr="00F6160E">
        <w:t xml:space="preserve"> in identifying compliance areas that may warrant further focus</w:t>
      </w:r>
      <w:r>
        <w:t xml:space="preserve"> and potentially enforcement action.</w:t>
      </w:r>
    </w:p>
    <w:p w:rsidR="00AA5B35" w:rsidRDefault="003528E9" w:rsidP="00AA5B35">
      <w:pPr>
        <w:pStyle w:val="AERbulletlistsecondstyle"/>
        <w:rPr>
          <w:szCs w:val="16"/>
        </w:rPr>
      </w:pPr>
      <w:r w:rsidRPr="00E0671E">
        <w:rPr>
          <w:i/>
        </w:rPr>
        <w:t>MT PASA data accuracy</w:t>
      </w:r>
      <w:r w:rsidR="00E0671E">
        <w:rPr>
          <w:i/>
        </w:rPr>
        <w:t xml:space="preserve"> – </w:t>
      </w:r>
      <w:r w:rsidR="00E0671E">
        <w:rPr>
          <w:szCs w:val="16"/>
        </w:rPr>
        <w:t>The Medium Term Projected Assessment of System Adequacy (</w:t>
      </w:r>
      <w:r w:rsidR="00E0671E" w:rsidRPr="00FF2439">
        <w:rPr>
          <w:b/>
          <w:szCs w:val="16"/>
        </w:rPr>
        <w:t>MT PASA</w:t>
      </w:r>
      <w:r w:rsidR="00E0671E">
        <w:rPr>
          <w:szCs w:val="16"/>
        </w:rPr>
        <w:t xml:space="preserve">) provides the medium term power system supply/demand balance prospects for the next 24 months. </w:t>
      </w:r>
      <w:r w:rsidR="00380F85">
        <w:rPr>
          <w:szCs w:val="16"/>
        </w:rPr>
        <w:t>We</w:t>
      </w:r>
      <w:r w:rsidR="00E0671E">
        <w:rPr>
          <w:szCs w:val="16"/>
        </w:rPr>
        <w:t xml:space="preserve"> will monitor MT PASA data throughout 2013 and compare projected </w:t>
      </w:r>
      <w:r w:rsidR="00E0671E">
        <w:rPr>
          <w:szCs w:val="16"/>
        </w:rPr>
        <w:lastRenderedPageBreak/>
        <w:t xml:space="preserve">and actual generator availability per generation portfolio. Accurate MT PASA data is a critical input for futures trading and for AEMO’s ability to ensure security of supply. </w:t>
      </w:r>
    </w:p>
    <w:p w:rsidR="00EB5D9C" w:rsidRDefault="00EB5D9C" w:rsidP="003E7C4C">
      <w:pPr>
        <w:pStyle w:val="AERbodytext"/>
        <w:rPr>
          <w:szCs w:val="16"/>
        </w:rPr>
      </w:pPr>
      <w:r>
        <w:rPr>
          <w:szCs w:val="16"/>
        </w:rPr>
        <w:t xml:space="preserve">This QCR also provides an update on our ongoing strategic compliance projects </w:t>
      </w:r>
      <w:r w:rsidR="00D20F76">
        <w:rPr>
          <w:szCs w:val="16"/>
        </w:rPr>
        <w:t xml:space="preserve">which have </w:t>
      </w:r>
      <w:r>
        <w:rPr>
          <w:szCs w:val="16"/>
        </w:rPr>
        <w:t>carried over from 2012. These</w:t>
      </w:r>
      <w:r w:rsidR="00F27689">
        <w:rPr>
          <w:szCs w:val="16"/>
        </w:rPr>
        <w:t xml:space="preserve"> projects</w:t>
      </w:r>
      <w:r>
        <w:rPr>
          <w:szCs w:val="16"/>
        </w:rPr>
        <w:t xml:space="preserve"> </w:t>
      </w:r>
      <w:r w:rsidR="00CF20CC">
        <w:rPr>
          <w:szCs w:val="16"/>
        </w:rPr>
        <w:t>focus on</w:t>
      </w:r>
      <w:r>
        <w:rPr>
          <w:szCs w:val="16"/>
        </w:rPr>
        <w:t>:</w:t>
      </w:r>
    </w:p>
    <w:p w:rsidR="00AA5B35" w:rsidRDefault="00F27689" w:rsidP="00AA5B35">
      <w:pPr>
        <w:pStyle w:val="AERbulletlistsecondstyle"/>
      </w:pPr>
      <w:r>
        <w:t>the process</w:t>
      </w:r>
      <w:r w:rsidR="006E496B">
        <w:t xml:space="preserve"> for connecting to the transmission network</w:t>
      </w:r>
    </w:p>
    <w:p w:rsidR="00AA5B35" w:rsidRDefault="00F27689" w:rsidP="00AA5B35">
      <w:pPr>
        <w:pStyle w:val="AERbulletlistsecondstyle"/>
      </w:pPr>
      <w:r>
        <w:t>the ability of generators to follow dispatch instructions from AEMO</w:t>
      </w:r>
    </w:p>
    <w:p w:rsidR="00AA5B35" w:rsidRDefault="00F27689" w:rsidP="00AA5B35">
      <w:pPr>
        <w:pStyle w:val="AERbulletlistsecondstyle"/>
      </w:pPr>
      <w:proofErr w:type="gramStart"/>
      <w:r>
        <w:t>the</w:t>
      </w:r>
      <w:proofErr w:type="gramEnd"/>
      <w:r>
        <w:t xml:space="preserve"> accuracy of demand forecasting in the </w:t>
      </w:r>
      <w:r w:rsidR="00BE1AA7">
        <w:t>s</w:t>
      </w:r>
      <w:r>
        <w:t xml:space="preserve">hort </w:t>
      </w:r>
      <w:r w:rsidR="00BE1AA7">
        <w:t>t</w:t>
      </w:r>
      <w:r>
        <w:t xml:space="preserve">erm </w:t>
      </w:r>
      <w:r w:rsidR="00BE1AA7">
        <w:t>t</w:t>
      </w:r>
      <w:r>
        <w:t xml:space="preserve">rading </w:t>
      </w:r>
      <w:r w:rsidR="00BE1AA7">
        <w:t>m</w:t>
      </w:r>
      <w:r>
        <w:t>arket (</w:t>
      </w:r>
      <w:r>
        <w:rPr>
          <w:b/>
        </w:rPr>
        <w:t>STTM</w:t>
      </w:r>
      <w:r>
        <w:t>)</w:t>
      </w:r>
      <w:r w:rsidR="00BE1AA7">
        <w:t>.</w:t>
      </w:r>
    </w:p>
    <w:p w:rsidR="00542F60" w:rsidRDefault="004C3C6D" w:rsidP="003E7C4C">
      <w:pPr>
        <w:pStyle w:val="AERbodytext"/>
        <w:rPr>
          <w:szCs w:val="16"/>
        </w:rPr>
      </w:pPr>
      <w:r>
        <w:rPr>
          <w:szCs w:val="16"/>
        </w:rPr>
        <w:t>T</w:t>
      </w:r>
      <w:r w:rsidR="00542F60">
        <w:rPr>
          <w:szCs w:val="16"/>
        </w:rPr>
        <w:t xml:space="preserve">his QCR also provides an update on our other compliance and enforcement work under the National Electricity and Gas Laws (see Chapters </w:t>
      </w:r>
      <w:r w:rsidR="00450695">
        <w:rPr>
          <w:szCs w:val="16"/>
        </w:rPr>
        <w:fldChar w:fldCharType="begin"/>
      </w:r>
      <w:r w:rsidR="00542F60">
        <w:rPr>
          <w:szCs w:val="16"/>
        </w:rPr>
        <w:instrText xml:space="preserve"> REF _Ref353362800 \r \h </w:instrText>
      </w:r>
      <w:r w:rsidR="00450695">
        <w:rPr>
          <w:szCs w:val="16"/>
        </w:rPr>
      </w:r>
      <w:r w:rsidR="00450695">
        <w:rPr>
          <w:szCs w:val="16"/>
        </w:rPr>
        <w:fldChar w:fldCharType="separate"/>
      </w:r>
      <w:r w:rsidR="008C4BA5">
        <w:rPr>
          <w:szCs w:val="16"/>
        </w:rPr>
        <w:t>2</w:t>
      </w:r>
      <w:r w:rsidR="00450695">
        <w:rPr>
          <w:szCs w:val="16"/>
        </w:rPr>
        <w:fldChar w:fldCharType="end"/>
      </w:r>
      <w:r w:rsidR="00542F60">
        <w:rPr>
          <w:szCs w:val="16"/>
        </w:rPr>
        <w:t xml:space="preserve"> and 3). Of note, we update on some </w:t>
      </w:r>
      <w:r w:rsidR="00BE1AA7">
        <w:rPr>
          <w:szCs w:val="16"/>
        </w:rPr>
        <w:t xml:space="preserve">STTM </w:t>
      </w:r>
      <w:r w:rsidR="00542F60">
        <w:rPr>
          <w:szCs w:val="16"/>
        </w:rPr>
        <w:t xml:space="preserve">data errors, </w:t>
      </w:r>
      <w:r w:rsidR="009F0901">
        <w:rPr>
          <w:szCs w:val="16"/>
        </w:rPr>
        <w:t xml:space="preserve">an AEMO system failure in the Victorian gas market, </w:t>
      </w:r>
      <w:r w:rsidR="00542F60">
        <w:rPr>
          <w:szCs w:val="16"/>
        </w:rPr>
        <w:t xml:space="preserve">our work on rebidding in electricity </w:t>
      </w:r>
      <w:r w:rsidR="009F0901">
        <w:rPr>
          <w:szCs w:val="16"/>
        </w:rPr>
        <w:t xml:space="preserve">and our audits. </w:t>
      </w:r>
    </w:p>
    <w:p w:rsidR="0007401A" w:rsidRPr="009A7BFC" w:rsidRDefault="0007401A" w:rsidP="0007401A">
      <w:pPr>
        <w:pStyle w:val="AERbodytext"/>
        <w:rPr>
          <w:b/>
        </w:rPr>
      </w:pPr>
      <w:r w:rsidRPr="009A7BFC">
        <w:rPr>
          <w:b/>
        </w:rPr>
        <w:t xml:space="preserve">Note for Network Service Providers </w:t>
      </w:r>
    </w:p>
    <w:p w:rsidR="0007401A" w:rsidRDefault="00380F85" w:rsidP="0007401A">
      <w:pPr>
        <w:pStyle w:val="AERbodytext"/>
      </w:pPr>
      <w:r>
        <w:t>We</w:t>
      </w:r>
      <w:r w:rsidR="00827311">
        <w:t xml:space="preserve"> recently</w:t>
      </w:r>
      <w:r w:rsidR="0007401A">
        <w:t xml:space="preserve"> renamed this report to be </w:t>
      </w:r>
      <w:r w:rsidR="0007401A" w:rsidRPr="00AE6CF3">
        <w:rPr>
          <w:i/>
        </w:rPr>
        <w:t>Quarterly Compliance Report</w:t>
      </w:r>
      <w:r w:rsidR="0007401A">
        <w:rPr>
          <w:i/>
        </w:rPr>
        <w:t>: National Electricity and Gas Laws</w:t>
      </w:r>
      <w:r w:rsidR="0007401A">
        <w:t xml:space="preserve"> to emphasise that it covers all compliance matters that fall under those two pieces of legislation. This includes obligations placed on Network Service Providers </w:t>
      </w:r>
      <w:r w:rsidR="0007401A">
        <w:rPr>
          <w:b/>
        </w:rPr>
        <w:t>(NSPs)</w:t>
      </w:r>
      <w:r w:rsidR="0007401A">
        <w:t xml:space="preserve">. </w:t>
      </w:r>
    </w:p>
    <w:p w:rsidR="0007401A" w:rsidRPr="00302F0A" w:rsidRDefault="0007401A" w:rsidP="0007401A">
      <w:pPr>
        <w:pStyle w:val="AERbodytext"/>
      </w:pPr>
      <w:r>
        <w:t xml:space="preserve">In this report, sections of particular interest to readers from </w:t>
      </w:r>
      <w:r w:rsidRPr="00302F0A">
        <w:t>NSPs include discussions of:</w:t>
      </w:r>
    </w:p>
    <w:p w:rsidR="0007401A" w:rsidRPr="00302F0A" w:rsidRDefault="00302F0A" w:rsidP="008B1A67">
      <w:pPr>
        <w:pStyle w:val="AERbulletlistsecondstyle"/>
      </w:pPr>
      <w:r>
        <w:t>m</w:t>
      </w:r>
      <w:r w:rsidR="00A23E53" w:rsidRPr="00302F0A">
        <w:t xml:space="preserve">etering data quality and upgrades to metering installations </w:t>
      </w:r>
      <w:r w:rsidR="0007401A" w:rsidRPr="00302F0A">
        <w:t xml:space="preserve">(see section </w:t>
      </w:r>
      <w:r w:rsidR="00E905A9">
        <w:fldChar w:fldCharType="begin"/>
      </w:r>
      <w:r w:rsidR="00E905A9">
        <w:instrText xml:space="preserve"> REF _Ref353363026 \r \h  \* MERGEFORMAT </w:instrText>
      </w:r>
      <w:r w:rsidR="00E905A9">
        <w:fldChar w:fldCharType="separate"/>
      </w:r>
      <w:r w:rsidR="008C4BA5">
        <w:t>1.2</w:t>
      </w:r>
      <w:r w:rsidR="00E905A9">
        <w:fldChar w:fldCharType="end"/>
      </w:r>
      <w:r w:rsidR="0007401A" w:rsidRPr="00302F0A">
        <w:t>)</w:t>
      </w:r>
    </w:p>
    <w:p w:rsidR="00776D10" w:rsidRPr="00302F0A" w:rsidRDefault="00776D10" w:rsidP="008B1A67">
      <w:pPr>
        <w:pStyle w:val="AERbulletlistsecondstyle"/>
      </w:pPr>
      <w:r>
        <w:t>protection and control systems (see section 1.3)</w:t>
      </w:r>
    </w:p>
    <w:p w:rsidR="008B1A67" w:rsidRDefault="0007401A" w:rsidP="008B1A67">
      <w:pPr>
        <w:pStyle w:val="AERbulletlistsecondstyle"/>
      </w:pPr>
      <w:proofErr w:type="gramStart"/>
      <w:r w:rsidRPr="00302F0A">
        <w:t>transmission</w:t>
      </w:r>
      <w:proofErr w:type="gramEnd"/>
      <w:r w:rsidRPr="00302F0A">
        <w:t xml:space="preserve"> connections (see section </w:t>
      </w:r>
      <w:r w:rsidR="00E905A9">
        <w:fldChar w:fldCharType="begin"/>
      </w:r>
      <w:r w:rsidR="00E905A9">
        <w:instrText xml:space="preserve"> REF _Ref353362903 \r \h  \* MERGEFORMAT </w:instrText>
      </w:r>
      <w:r w:rsidR="00E905A9">
        <w:fldChar w:fldCharType="separate"/>
      </w:r>
      <w:r w:rsidR="008C4BA5">
        <w:t>1.5</w:t>
      </w:r>
      <w:r w:rsidR="00E905A9">
        <w:fldChar w:fldCharType="end"/>
      </w:r>
      <w:r w:rsidRPr="00F354E4">
        <w:t>)</w:t>
      </w:r>
      <w:bookmarkEnd w:id="25"/>
      <w:bookmarkEnd w:id="26"/>
      <w:r w:rsidR="00E31E37">
        <w:t>.</w:t>
      </w:r>
    </w:p>
    <w:p w:rsidR="004C3C6D" w:rsidRDefault="00641BD9" w:rsidP="00EE7934">
      <w:pPr>
        <w:pStyle w:val="AERbodytext"/>
        <w:rPr>
          <w:lang w:eastAsia="en-AU"/>
        </w:rPr>
      </w:pPr>
      <w:r>
        <w:rPr>
          <w:b/>
          <w:lang w:eastAsia="en-AU"/>
        </w:rPr>
        <w:t>Invitation for stakeholder feedback</w:t>
      </w:r>
    </w:p>
    <w:p w:rsidR="00641BD9" w:rsidRDefault="004C3C6D" w:rsidP="00EE7934">
      <w:pPr>
        <w:pStyle w:val="AERbodytext"/>
        <w:rPr>
          <w:lang w:eastAsia="en-AU"/>
        </w:rPr>
      </w:pPr>
      <w:r>
        <w:rPr>
          <w:lang w:eastAsia="en-AU"/>
        </w:rPr>
        <w:t>In addition to the mechanisms that form part of our broader stakeholder engagement program, w</w:t>
      </w:r>
      <w:r w:rsidR="00641BD9">
        <w:rPr>
          <w:lang w:eastAsia="en-AU"/>
        </w:rPr>
        <w:t>e invite all stakeholders to provide feedback on the QCR and our approach to compliance</w:t>
      </w:r>
      <w:r>
        <w:rPr>
          <w:lang w:eastAsia="en-AU"/>
        </w:rPr>
        <w:t xml:space="preserve"> more generally</w:t>
      </w:r>
      <w:r w:rsidR="00641BD9">
        <w:rPr>
          <w:lang w:eastAsia="en-AU"/>
        </w:rPr>
        <w:t xml:space="preserve">. In particular, we seek your views on areas that you </w:t>
      </w:r>
      <w:r w:rsidR="00B4175B">
        <w:rPr>
          <w:lang w:eastAsia="en-AU"/>
        </w:rPr>
        <w:t xml:space="preserve">think the AER should focus </w:t>
      </w:r>
      <w:r w:rsidR="00641BD9">
        <w:rPr>
          <w:lang w:eastAsia="en-AU"/>
        </w:rPr>
        <w:t>on, and your thoughts on current strategic compliance projects.</w:t>
      </w:r>
    </w:p>
    <w:p w:rsidR="00641BD9" w:rsidRDefault="00585B18" w:rsidP="00EE7934">
      <w:pPr>
        <w:pStyle w:val="AERbodytext"/>
        <w:rPr>
          <w:lang w:eastAsia="en-AU"/>
        </w:rPr>
      </w:pPr>
      <w:r>
        <w:rPr>
          <w:lang w:eastAsia="en-AU"/>
        </w:rPr>
        <w:t>F</w:t>
      </w:r>
      <w:r w:rsidR="00641BD9">
        <w:rPr>
          <w:lang w:eastAsia="en-AU"/>
        </w:rPr>
        <w:t xml:space="preserve">eedback can be sent to the AER inbox at </w:t>
      </w:r>
      <w:hyperlink r:id="rId17" w:history="1">
        <w:r w:rsidR="00641BD9" w:rsidRPr="00270A75">
          <w:rPr>
            <w:rStyle w:val="Hyperlink"/>
            <w:lang w:eastAsia="en-AU"/>
          </w:rPr>
          <w:t>AERInquiry@aer.gov.au</w:t>
        </w:r>
      </w:hyperlink>
      <w:r w:rsidR="009F0901">
        <w:t xml:space="preserve"> (with the words </w:t>
      </w:r>
      <w:r w:rsidR="00BE1AA7">
        <w:t>‘</w:t>
      </w:r>
      <w:r w:rsidR="009F0901">
        <w:t>Attention GM Wholesale Markets</w:t>
      </w:r>
      <w:r w:rsidR="00BE1AA7">
        <w:t>’</w:t>
      </w:r>
      <w:r w:rsidR="009F0901">
        <w:t xml:space="preserve"> in the title of the email). </w:t>
      </w:r>
    </w:p>
    <w:p w:rsidR="00641BD9" w:rsidRPr="00641BD9" w:rsidRDefault="00641BD9" w:rsidP="00EE7934">
      <w:pPr>
        <w:pStyle w:val="AERbodytext"/>
        <w:rPr>
          <w:lang w:eastAsia="en-AU"/>
        </w:rPr>
      </w:pPr>
    </w:p>
    <w:p w:rsidR="00273AF7" w:rsidRPr="00860DB5" w:rsidRDefault="007D5491" w:rsidP="001F2CA4">
      <w:pPr>
        <w:pStyle w:val="UnnumberedHeading"/>
        <w:numPr>
          <w:ilvl w:val="0"/>
          <w:numId w:val="0"/>
        </w:numPr>
      </w:pPr>
      <w:bookmarkStart w:id="27" w:name="_Toc384725768"/>
      <w:bookmarkEnd w:id="21"/>
      <w:bookmarkEnd w:id="22"/>
      <w:r w:rsidRPr="00860DB5">
        <w:lastRenderedPageBreak/>
        <w:t>Background</w:t>
      </w:r>
      <w:bookmarkEnd w:id="27"/>
    </w:p>
    <w:p w:rsidR="00A10D28" w:rsidRPr="00E0671E" w:rsidRDefault="00A10D28" w:rsidP="00634993">
      <w:pPr>
        <w:pStyle w:val="AERbodytext"/>
        <w:spacing w:after="220"/>
      </w:pPr>
      <w:r w:rsidRPr="00E0671E">
        <w:t xml:space="preserve">The </w:t>
      </w:r>
      <w:r w:rsidR="002667E3" w:rsidRPr="00E0671E">
        <w:t>AER</w:t>
      </w:r>
      <w:r w:rsidRPr="00E0671E">
        <w:t xml:space="preserve"> is responsible for monitoring compliance and enforcement under legislation and rules governing Australia’s wholesale energy markets, including those applying to Network Service Providers. Section 15 of the Electricity Law and section 27 of the Gas Law set out </w:t>
      </w:r>
      <w:r w:rsidR="00D20F76">
        <w:t>our</w:t>
      </w:r>
      <w:r w:rsidR="00D20F76" w:rsidRPr="00E0671E">
        <w:t xml:space="preserve"> </w:t>
      </w:r>
      <w:r w:rsidRPr="00E0671E">
        <w:t>functions and powers, which include:</w:t>
      </w:r>
    </w:p>
    <w:p w:rsidR="00AA5B35" w:rsidRDefault="00A10D28" w:rsidP="00AA5B35">
      <w:pPr>
        <w:pStyle w:val="AERbulletlistsecondstyle"/>
      </w:pPr>
      <w:r w:rsidRPr="00E0671E">
        <w:t>monitoring compliance by energy industry participants</w:t>
      </w:r>
      <w:r w:rsidRPr="00E0671E">
        <w:rPr>
          <w:rStyle w:val="FootnoteReference"/>
        </w:rPr>
        <w:footnoteReference w:id="3"/>
      </w:r>
      <w:r w:rsidRPr="00E0671E">
        <w:t xml:space="preserve"> and other persons</w:t>
      </w:r>
    </w:p>
    <w:p w:rsidR="00AA5B35" w:rsidRDefault="00A10D28" w:rsidP="00AA5B35">
      <w:pPr>
        <w:pStyle w:val="AERbulletlistsecondstyle"/>
      </w:pPr>
      <w:proofErr w:type="gramStart"/>
      <w:r w:rsidRPr="00E0671E">
        <w:t>investigating</w:t>
      </w:r>
      <w:proofErr w:type="gramEnd"/>
      <w:r w:rsidRPr="00E0671E">
        <w:t xml:space="preserve"> breaches, or possible breaches, of provisions of the legislative instruments under </w:t>
      </w:r>
      <w:r w:rsidR="00D20F76">
        <w:t>our</w:t>
      </w:r>
      <w:r w:rsidRPr="00E0671E">
        <w:t xml:space="preserve"> jurisdiction.</w:t>
      </w:r>
    </w:p>
    <w:p w:rsidR="009930C1" w:rsidRPr="00E0671E" w:rsidRDefault="009930C1" w:rsidP="00634993">
      <w:pPr>
        <w:pStyle w:val="AERbodytext"/>
        <w:spacing w:after="220"/>
      </w:pPr>
      <w:r w:rsidRPr="00E0671E">
        <w:rPr>
          <w:lang w:eastAsia="en-AU"/>
        </w:rPr>
        <w:t xml:space="preserve">Consistent with </w:t>
      </w:r>
      <w:r w:rsidR="00D20F76">
        <w:rPr>
          <w:lang w:eastAsia="en-AU"/>
        </w:rPr>
        <w:t>our</w:t>
      </w:r>
      <w:r w:rsidR="00D20F76" w:rsidRPr="00E0671E">
        <w:rPr>
          <w:lang w:eastAsia="en-AU"/>
        </w:rPr>
        <w:t xml:space="preserve"> </w:t>
      </w:r>
      <w:hyperlink r:id="rId18" w:history="1">
        <w:r w:rsidR="00D20F76">
          <w:rPr>
            <w:rStyle w:val="Hyperlink"/>
            <w:lang w:eastAsia="en-AU"/>
          </w:rPr>
          <w:t>statement of approach</w:t>
        </w:r>
      </w:hyperlink>
      <w:r w:rsidRPr="00E0671E">
        <w:rPr>
          <w:lang w:eastAsia="en-AU"/>
        </w:rPr>
        <w:t xml:space="preserve">, </w:t>
      </w:r>
      <w:r w:rsidR="00D20F76">
        <w:t>we</w:t>
      </w:r>
      <w:r w:rsidRPr="00E0671E">
        <w:t xml:space="preserve"> aim to promote high levels of compliance, and seek to build a culture of compliance in </w:t>
      </w:r>
      <w:r w:rsidR="008A20B0" w:rsidRPr="00E0671E">
        <w:t>the</w:t>
      </w:r>
      <w:r w:rsidRPr="00E0671E">
        <w:t xml:space="preserve"> energy industry. A culture of compliance will:</w:t>
      </w:r>
    </w:p>
    <w:p w:rsidR="00AA5B35" w:rsidRDefault="009930C1" w:rsidP="00AA5B35">
      <w:pPr>
        <w:pStyle w:val="AERbulletlistsecondstyle"/>
      </w:pPr>
      <w:r w:rsidRPr="00E0671E">
        <w:t>reduce the risk of industry participants breaching their regulatory obligations</w:t>
      </w:r>
    </w:p>
    <w:p w:rsidR="00AA5B35" w:rsidRDefault="009930C1" w:rsidP="00AA5B35">
      <w:pPr>
        <w:pStyle w:val="AERbulletlistsecondstyle"/>
      </w:pPr>
      <w:proofErr w:type="gramStart"/>
      <w:r w:rsidRPr="00E0671E">
        <w:t>ensure</w:t>
      </w:r>
      <w:proofErr w:type="gramEnd"/>
      <w:r w:rsidRPr="00E0671E">
        <w:t xml:space="preserve"> industry participants can engage confidently in commercial decisions and negotiations.</w:t>
      </w:r>
    </w:p>
    <w:p w:rsidR="009930C1" w:rsidRPr="00E0671E" w:rsidRDefault="009930C1" w:rsidP="00634993">
      <w:pPr>
        <w:pStyle w:val="AERbodytext"/>
        <w:spacing w:after="220"/>
      </w:pPr>
      <w:r w:rsidRPr="00E0671E">
        <w:t xml:space="preserve">As part of this process, </w:t>
      </w:r>
      <w:r w:rsidR="00D20F76">
        <w:t>we</w:t>
      </w:r>
      <w:r w:rsidRPr="00E0671E">
        <w:t xml:space="preserve"> undertake a continuous compliance risk assessment of the Electricity and Gas Rules to identify appropriate focus areas and monitoring</w:t>
      </w:r>
      <w:r w:rsidR="009F0901" w:rsidRPr="00E0671E">
        <w:t>/compliance</w:t>
      </w:r>
      <w:r w:rsidRPr="00E0671E">
        <w:t xml:space="preserve"> mechanisms. These mechanisms include </w:t>
      </w:r>
      <w:r w:rsidR="003829E0" w:rsidRPr="00E0671E">
        <w:t xml:space="preserve">our </w:t>
      </w:r>
      <w:r w:rsidR="009F0901" w:rsidRPr="00E0671E">
        <w:t>strategi</w:t>
      </w:r>
      <w:r w:rsidR="003829E0" w:rsidRPr="00E0671E">
        <w:t xml:space="preserve">c compliance projects, </w:t>
      </w:r>
      <w:r w:rsidRPr="00E0671E">
        <w:t xml:space="preserve">audits, </w:t>
      </w:r>
      <w:proofErr w:type="gramStart"/>
      <w:r w:rsidRPr="00E0671E">
        <w:t>the</w:t>
      </w:r>
      <w:proofErr w:type="gramEnd"/>
      <w:r w:rsidRPr="00E0671E">
        <w:t xml:space="preserve"> imposition of reporting requirements, market monitoring, and targeted compliance reviews.</w:t>
      </w:r>
      <w:r w:rsidRPr="00E0671E">
        <w:rPr>
          <w:rStyle w:val="FootnoteReference"/>
        </w:rPr>
        <w:footnoteReference w:id="4"/>
      </w:r>
    </w:p>
    <w:p w:rsidR="009930C1" w:rsidRPr="00E0671E" w:rsidRDefault="009930C1" w:rsidP="00634993">
      <w:pPr>
        <w:pStyle w:val="AERbodytext"/>
        <w:spacing w:after="220"/>
        <w:rPr>
          <w:lang w:eastAsia="en-AU"/>
        </w:rPr>
      </w:pPr>
      <w:r w:rsidRPr="00E0671E">
        <w:rPr>
          <w:lang w:eastAsia="en-AU"/>
        </w:rPr>
        <w:t xml:space="preserve">In selecting the areas for review, </w:t>
      </w:r>
      <w:r w:rsidR="00D20F76">
        <w:rPr>
          <w:lang w:eastAsia="en-AU"/>
        </w:rPr>
        <w:t>we</w:t>
      </w:r>
      <w:r w:rsidRPr="00E0671E">
        <w:rPr>
          <w:lang w:eastAsia="en-AU"/>
        </w:rPr>
        <w:t xml:space="preserve"> adopt the following principles:</w:t>
      </w:r>
    </w:p>
    <w:p w:rsidR="00AA5B35" w:rsidRDefault="009930C1" w:rsidP="00AA5B35">
      <w:pPr>
        <w:pStyle w:val="AERbulletlistsecondstyle"/>
      </w:pPr>
      <w:r w:rsidRPr="00E0671E">
        <w:t>consideration of risk (the greater the risk, the higher the priority)</w:t>
      </w:r>
    </w:p>
    <w:p w:rsidR="00AA5B35" w:rsidRDefault="009930C1" w:rsidP="00AA5B35">
      <w:pPr>
        <w:pStyle w:val="AERbulletlistsecondstyle"/>
      </w:pPr>
      <w:proofErr w:type="gramStart"/>
      <w:r w:rsidRPr="00E0671E">
        <w:t>a</w:t>
      </w:r>
      <w:proofErr w:type="gramEnd"/>
      <w:r w:rsidRPr="00E0671E">
        <w:t xml:space="preserve"> commitment to ensuring that both systemic issues and those with the potential for isolated but significant impact are addressed.</w:t>
      </w:r>
    </w:p>
    <w:p w:rsidR="00AA5B35" w:rsidRDefault="009930C1" w:rsidP="00CF20CC">
      <w:pPr>
        <w:pStyle w:val="AERbulletlistsecondstyle"/>
        <w:numPr>
          <w:ilvl w:val="0"/>
          <w:numId w:val="0"/>
        </w:numPr>
      </w:pPr>
      <w:r w:rsidRPr="00E0671E">
        <w:t xml:space="preserve">In carrying out </w:t>
      </w:r>
      <w:r w:rsidR="00D20F76">
        <w:t>our</w:t>
      </w:r>
      <w:r w:rsidR="00D20F76" w:rsidRPr="00E0671E">
        <w:t xml:space="preserve"> </w:t>
      </w:r>
      <w:r w:rsidRPr="00E0671E">
        <w:t xml:space="preserve">monitoring functions, </w:t>
      </w:r>
      <w:r w:rsidR="00D20F76">
        <w:t xml:space="preserve">we </w:t>
      </w:r>
      <w:r w:rsidRPr="00E0671E">
        <w:t>aim for:</w:t>
      </w:r>
    </w:p>
    <w:p w:rsidR="00AA5B35" w:rsidRDefault="009930C1" w:rsidP="00AA5B35">
      <w:pPr>
        <w:pStyle w:val="AERbulletlistsecondstyle"/>
      </w:pPr>
      <w:r w:rsidRPr="00E0671E">
        <w:t>cost effectiveness for energy industry participants and the AER</w:t>
      </w:r>
    </w:p>
    <w:p w:rsidR="00AA5B35" w:rsidRDefault="009930C1" w:rsidP="00AA5B35">
      <w:pPr>
        <w:pStyle w:val="AERbulletlistsecondstyle"/>
      </w:pPr>
      <w:proofErr w:type="gramStart"/>
      <w:r w:rsidRPr="00E0671E">
        <w:t>transparency</w:t>
      </w:r>
      <w:proofErr w:type="gramEnd"/>
      <w:r w:rsidRPr="00E0671E">
        <w:t xml:space="preserve"> (subject to confidentiality requirements).</w:t>
      </w:r>
    </w:p>
    <w:p w:rsidR="009930C1" w:rsidRPr="00E0671E" w:rsidRDefault="009930C1" w:rsidP="00634993">
      <w:pPr>
        <w:pStyle w:val="AERbodytext"/>
        <w:spacing w:after="220"/>
        <w:rPr>
          <w:lang w:eastAsia="en-AU"/>
        </w:rPr>
      </w:pPr>
      <w:r w:rsidRPr="00E0671E">
        <w:rPr>
          <w:lang w:eastAsia="en-AU"/>
        </w:rPr>
        <w:t xml:space="preserve">While most obligations under the Electricity and Gas Rules do not require registered participants to establish specific compliance programs, </w:t>
      </w:r>
      <w:r w:rsidR="00D20F76">
        <w:rPr>
          <w:lang w:eastAsia="en-AU"/>
        </w:rPr>
        <w:t>we</w:t>
      </w:r>
      <w:r w:rsidRPr="00E0671E">
        <w:rPr>
          <w:lang w:eastAsia="en-AU"/>
        </w:rPr>
        <w:t xml:space="preserve"> take into account a participant’s compliance framework when determining </w:t>
      </w:r>
      <w:r w:rsidR="006A625D">
        <w:rPr>
          <w:lang w:eastAsia="en-AU"/>
        </w:rPr>
        <w:t>our</w:t>
      </w:r>
      <w:r w:rsidR="006A625D" w:rsidRPr="00E0671E">
        <w:rPr>
          <w:lang w:eastAsia="en-AU"/>
        </w:rPr>
        <w:t xml:space="preserve"> </w:t>
      </w:r>
      <w:r w:rsidRPr="00E0671E">
        <w:rPr>
          <w:lang w:eastAsia="en-AU"/>
        </w:rPr>
        <w:t xml:space="preserve">response to breaches. In assessing compliance culture, </w:t>
      </w:r>
      <w:r w:rsidR="00D20F76">
        <w:rPr>
          <w:lang w:eastAsia="en-AU"/>
        </w:rPr>
        <w:t>we</w:t>
      </w:r>
      <w:r w:rsidRPr="00E0671E">
        <w:rPr>
          <w:lang w:eastAsia="en-AU"/>
        </w:rPr>
        <w:t xml:space="preserve"> consider whether compliance programs and processes are effectively applied, up-to-date and tested regularly. </w:t>
      </w:r>
    </w:p>
    <w:p w:rsidR="002C7158" w:rsidRPr="00742426" w:rsidRDefault="002C7158" w:rsidP="002C7158">
      <w:pPr>
        <w:pStyle w:val="QCRHeading1"/>
      </w:pPr>
      <w:bookmarkStart w:id="28" w:name="_Ref353362715"/>
      <w:bookmarkStart w:id="29" w:name="_Toc384725769"/>
      <w:bookmarkStart w:id="30" w:name="OLE_LINK28"/>
      <w:bookmarkStart w:id="31" w:name="OLE_LINK43"/>
      <w:r w:rsidRPr="00742426">
        <w:lastRenderedPageBreak/>
        <w:t xml:space="preserve">Strategic </w:t>
      </w:r>
      <w:r w:rsidR="00A427C7">
        <w:t>c</w:t>
      </w:r>
      <w:r w:rsidRPr="00742426">
        <w:t xml:space="preserve">ompliance </w:t>
      </w:r>
      <w:r w:rsidR="00A427C7">
        <w:t>p</w:t>
      </w:r>
      <w:r w:rsidRPr="00742426">
        <w:t>rojects</w:t>
      </w:r>
      <w:bookmarkEnd w:id="28"/>
      <w:bookmarkEnd w:id="29"/>
    </w:p>
    <w:p w:rsidR="00206461" w:rsidRDefault="00206461" w:rsidP="002C7158">
      <w:pPr>
        <w:pStyle w:val="AERbodytext"/>
      </w:pPr>
      <w:r w:rsidRPr="00206461">
        <w:t xml:space="preserve">Since 2011, the QCR has reported on a stream of </w:t>
      </w:r>
      <w:r w:rsidR="008B1A67">
        <w:t xml:space="preserve">strategic </w:t>
      </w:r>
      <w:r w:rsidRPr="00206461">
        <w:t xml:space="preserve">compliance projects </w:t>
      </w:r>
      <w:r w:rsidR="00F34748">
        <w:t xml:space="preserve">(previously </w:t>
      </w:r>
      <w:r w:rsidRPr="00206461">
        <w:t>called ‘special projects’</w:t>
      </w:r>
      <w:r w:rsidR="00F34748">
        <w:t>)</w:t>
      </w:r>
      <w:r w:rsidRPr="00206461">
        <w:t xml:space="preserve">. </w:t>
      </w:r>
      <w:r w:rsidR="00F354E4">
        <w:t>These</w:t>
      </w:r>
      <w:r w:rsidR="00F354E4" w:rsidRPr="00206461">
        <w:t xml:space="preserve"> </w:t>
      </w:r>
      <w:r w:rsidRPr="00206461">
        <w:t>projects involve identifying a particular problem</w:t>
      </w:r>
      <w:r w:rsidR="00F34748">
        <w:t xml:space="preserve">, inefficiency, </w:t>
      </w:r>
      <w:r w:rsidRPr="00206461">
        <w:t xml:space="preserve">harm </w:t>
      </w:r>
      <w:r w:rsidR="00F34748">
        <w:t xml:space="preserve">or potential harm </w:t>
      </w:r>
      <w:r w:rsidRPr="00206461">
        <w:t xml:space="preserve">within the energy wholesale markets and </w:t>
      </w:r>
      <w:r>
        <w:t xml:space="preserve">working toward solving the </w:t>
      </w:r>
      <w:r w:rsidR="00F34748">
        <w:t xml:space="preserve">issue or </w:t>
      </w:r>
      <w:r w:rsidR="004C3C6D">
        <w:t xml:space="preserve">reducing </w:t>
      </w:r>
      <w:r>
        <w:t>its severity</w:t>
      </w:r>
      <w:r w:rsidRPr="00206461">
        <w:t xml:space="preserve">. </w:t>
      </w:r>
      <w:r w:rsidR="00F34748">
        <w:t xml:space="preserve">Most </w:t>
      </w:r>
      <w:r w:rsidRPr="00206461">
        <w:t>project</w:t>
      </w:r>
      <w:r w:rsidR="00F34748">
        <w:t>s</w:t>
      </w:r>
      <w:r>
        <w:t xml:space="preserve"> </w:t>
      </w:r>
      <w:r w:rsidR="00F34748">
        <w:t xml:space="preserve">have </w:t>
      </w:r>
      <w:r w:rsidRPr="00206461">
        <w:t>had a tailored metric in order to measure the AER’s and industry’s success.</w:t>
      </w:r>
      <w:r w:rsidR="00D652B7">
        <w:t xml:space="preserve"> </w:t>
      </w:r>
      <w:r>
        <w:t xml:space="preserve">All </w:t>
      </w:r>
      <w:r w:rsidR="00585B18">
        <w:t xml:space="preserve">current </w:t>
      </w:r>
      <w:r>
        <w:t>s</w:t>
      </w:r>
      <w:r w:rsidR="00D652B7">
        <w:t>trategic</w:t>
      </w:r>
      <w:r>
        <w:t xml:space="preserve"> compliance projects are listed below, starting with the four new projects for 2013.</w:t>
      </w:r>
    </w:p>
    <w:p w:rsidR="00B360BB" w:rsidRDefault="002A7901" w:rsidP="00B360BB">
      <w:pPr>
        <w:pStyle w:val="AERheading2"/>
      </w:pPr>
      <w:bookmarkStart w:id="32" w:name="_Ref353364621"/>
      <w:bookmarkStart w:id="33" w:name="_Toc384725770"/>
      <w:r>
        <w:t>Performance of ancillary services for regulation</w:t>
      </w:r>
      <w:bookmarkEnd w:id="32"/>
      <w:bookmarkEnd w:id="33"/>
    </w:p>
    <w:p w:rsidR="002A7901" w:rsidRPr="00A427C7" w:rsidRDefault="00B05091" w:rsidP="002A7901">
      <w:pPr>
        <w:pStyle w:val="AERbodytext"/>
      </w:pPr>
      <w:r w:rsidRPr="002A7901">
        <w:t>Frequency Control Ancillary Service</w:t>
      </w:r>
      <w:r>
        <w:t>s</w:t>
      </w:r>
      <w:r w:rsidRPr="002A7901">
        <w:t xml:space="preserve"> (</w:t>
      </w:r>
      <w:r w:rsidRPr="00B05091">
        <w:rPr>
          <w:b/>
        </w:rPr>
        <w:t>FCAS</w:t>
      </w:r>
      <w:r w:rsidRPr="002A7901">
        <w:t xml:space="preserve">) </w:t>
      </w:r>
      <w:r w:rsidR="008744AC" w:rsidRPr="00F354E4">
        <w:t>are used</w:t>
      </w:r>
      <w:r w:rsidR="002A7901" w:rsidRPr="00F354E4">
        <w:t xml:space="preserve"> to maintain the power system frequency within the frequency standards set by the Reliability Panel.</w:t>
      </w:r>
      <w:r w:rsidRPr="00A427C7">
        <w:t xml:space="preserve"> </w:t>
      </w:r>
      <w:r w:rsidR="002A7901" w:rsidRPr="00A427C7">
        <w:t xml:space="preserve">These services alter the output of generation or demand side players to ensure supply and demand are always in balance. </w:t>
      </w:r>
    </w:p>
    <w:p w:rsidR="00B05091" w:rsidRPr="00A427C7" w:rsidRDefault="00B05091" w:rsidP="002A7901">
      <w:pPr>
        <w:pStyle w:val="AERbodytext"/>
      </w:pPr>
      <w:r w:rsidRPr="00A427C7">
        <w:t xml:space="preserve">One frequency control service is called </w:t>
      </w:r>
      <w:r w:rsidRPr="00A427C7">
        <w:rPr>
          <w:rFonts w:hint="eastAsia"/>
        </w:rPr>
        <w:t>‘</w:t>
      </w:r>
      <w:r w:rsidRPr="00A427C7">
        <w:t>regulation</w:t>
      </w:r>
      <w:r w:rsidRPr="00A427C7">
        <w:rPr>
          <w:rFonts w:hint="eastAsia"/>
        </w:rPr>
        <w:t>’</w:t>
      </w:r>
      <w:r w:rsidRPr="00A427C7">
        <w:t>. There are two types of regulation services</w:t>
      </w:r>
      <w:r w:rsidRPr="00A427C7">
        <w:rPr>
          <w:rFonts w:hint="eastAsia"/>
        </w:rPr>
        <w:t>—‘</w:t>
      </w:r>
      <w:r w:rsidRPr="00A427C7">
        <w:t>raise</w:t>
      </w:r>
      <w:r w:rsidRPr="00A427C7">
        <w:rPr>
          <w:rFonts w:hint="eastAsia"/>
        </w:rPr>
        <w:t>’</w:t>
      </w:r>
      <w:r w:rsidRPr="00A427C7">
        <w:t xml:space="preserve"> and </w:t>
      </w:r>
      <w:r w:rsidRPr="00A427C7">
        <w:rPr>
          <w:rFonts w:hint="eastAsia"/>
        </w:rPr>
        <w:t>‘</w:t>
      </w:r>
      <w:r w:rsidRPr="00A427C7">
        <w:t>lower</w:t>
      </w:r>
      <w:r w:rsidRPr="00A427C7">
        <w:rPr>
          <w:rFonts w:hint="eastAsia"/>
        </w:rPr>
        <w:t>’</w:t>
      </w:r>
      <w:r w:rsidRPr="00A427C7">
        <w:t xml:space="preserve">. Regulation services have been designed to manage small </w:t>
      </w:r>
      <w:r w:rsidR="008744AC" w:rsidRPr="00A427C7">
        <w:t xml:space="preserve">frequency </w:t>
      </w:r>
      <w:r w:rsidRPr="00A427C7">
        <w:t>imbalances.</w:t>
      </w:r>
    </w:p>
    <w:p w:rsidR="002A7901" w:rsidRPr="00A427C7" w:rsidRDefault="002A7901" w:rsidP="002A7901">
      <w:pPr>
        <w:pStyle w:val="AERbodytext"/>
      </w:pPr>
      <w:r w:rsidRPr="00A427C7">
        <w:t>AEMO continually monitors the power system frequency and send</w:t>
      </w:r>
      <w:r w:rsidR="00B05091" w:rsidRPr="00A427C7">
        <w:t>s</w:t>
      </w:r>
      <w:r w:rsidRPr="00A427C7">
        <w:t xml:space="preserve"> control signals to generators providing regulation services in order to maintain the frequency within the normal operating band of 49.</w:t>
      </w:r>
      <w:r w:rsidR="000E2577" w:rsidRPr="00A427C7">
        <w:t>85</w:t>
      </w:r>
      <w:r w:rsidRPr="00F354E4">
        <w:t>Hz to 50.1</w:t>
      </w:r>
      <w:r w:rsidR="000E2577" w:rsidRPr="00A427C7">
        <w:t>5</w:t>
      </w:r>
      <w:r w:rsidRPr="00F354E4">
        <w:t>Hz. The regulation services are provided by generators via a centrally managed generator control system and FCAS market</w:t>
      </w:r>
      <w:r w:rsidR="00B05091" w:rsidRPr="00A427C7">
        <w:t xml:space="preserve">. Because of this, providers of regulation services often receive signals related to regulation services simultaneously with dispatch instructions for the energy market. </w:t>
      </w:r>
      <w:r w:rsidRPr="00A427C7">
        <w:t xml:space="preserve">Providers of </w:t>
      </w:r>
      <w:r w:rsidR="00B05091" w:rsidRPr="00A427C7">
        <w:t>regulation</w:t>
      </w:r>
      <w:r w:rsidRPr="00A427C7">
        <w:t xml:space="preserve"> services are paid based on the clearing price for the service and the amount of service enabled.</w:t>
      </w:r>
    </w:p>
    <w:p w:rsidR="002A7901" w:rsidRPr="002A7901" w:rsidRDefault="00380F85" w:rsidP="002A7901">
      <w:pPr>
        <w:pStyle w:val="AERbodytext"/>
      </w:pPr>
      <w:r w:rsidRPr="00A427C7">
        <w:t>We</w:t>
      </w:r>
      <w:r w:rsidR="002A7901" w:rsidRPr="00A427C7">
        <w:t xml:space="preserve"> ha</w:t>
      </w:r>
      <w:r w:rsidRPr="00F354E4">
        <w:t>ve</w:t>
      </w:r>
      <w:r w:rsidR="002A7901" w:rsidRPr="00F354E4">
        <w:t xml:space="preserve"> </w:t>
      </w:r>
      <w:r w:rsidR="00642F48">
        <w:t>commenced</w:t>
      </w:r>
      <w:r w:rsidR="00642F48" w:rsidRPr="002A7901">
        <w:t xml:space="preserve"> </w:t>
      </w:r>
      <w:r w:rsidR="002A7901" w:rsidRPr="002A7901">
        <w:t>a strategic compliance project to assess whether providers</w:t>
      </w:r>
      <w:r w:rsidR="0063505A">
        <w:t xml:space="preserve"> of</w:t>
      </w:r>
      <w:r w:rsidR="002A7901" w:rsidRPr="002A7901">
        <w:t xml:space="preserve"> </w:t>
      </w:r>
      <w:r w:rsidR="00B05091">
        <w:t>regulation services</w:t>
      </w:r>
      <w:r w:rsidR="002A7901" w:rsidRPr="002A7901">
        <w:t xml:space="preserve"> actually deliver the service</w:t>
      </w:r>
      <w:r w:rsidR="0063505A">
        <w:t>s</w:t>
      </w:r>
      <w:r w:rsidR="002A7901" w:rsidRPr="002A7901">
        <w:t xml:space="preserve"> they are paid to provide. The project has come about as a result of</w:t>
      </w:r>
      <w:r>
        <w:t xml:space="preserve"> some of our</w:t>
      </w:r>
      <w:r w:rsidR="002A7901" w:rsidRPr="002A7901">
        <w:t xml:space="preserve"> separate work </w:t>
      </w:r>
      <w:r w:rsidR="00B05091">
        <w:t>investigating the extent to which</w:t>
      </w:r>
      <w:r w:rsidR="0063505A">
        <w:t xml:space="preserve"> generators follow</w:t>
      </w:r>
      <w:r w:rsidR="002A7901" w:rsidRPr="002A7901">
        <w:t xml:space="preserve"> dispatch instructions in the energy market. An outcome of that project saw participants claim that deviations away from dispatch instructions are warranted if the participant is also enabled to provide regulation services. For example</w:t>
      </w:r>
      <w:r w:rsidR="00B05091">
        <w:t>,</w:t>
      </w:r>
      <w:r w:rsidR="002A7901" w:rsidRPr="002A7901">
        <w:t xml:space="preserve"> some participants argue</w:t>
      </w:r>
      <w:r w:rsidR="00B05091">
        <w:t>d</w:t>
      </w:r>
      <w:r w:rsidR="002A7901" w:rsidRPr="002A7901">
        <w:t xml:space="preserve"> that if it is providing 20MW of raise and lower regulation in addition to energy, the participant has a range of 40MW around its energy target within which it is always complying. </w:t>
      </w:r>
    </w:p>
    <w:p w:rsidR="002A7901" w:rsidRPr="002A7901" w:rsidRDefault="002A7901" w:rsidP="002A7901">
      <w:pPr>
        <w:pStyle w:val="AERbodytext"/>
      </w:pPr>
      <w:r w:rsidRPr="002A7901">
        <w:t xml:space="preserve">While variations from the energy target will </w:t>
      </w:r>
      <w:r w:rsidR="00457F06">
        <w:t xml:space="preserve">sometimes </w:t>
      </w:r>
      <w:r w:rsidRPr="002A7901">
        <w:t xml:space="preserve">occur as regulation services are utilised, without assessing the </w:t>
      </w:r>
      <w:r w:rsidR="00F34748">
        <w:t xml:space="preserve">generators’ </w:t>
      </w:r>
      <w:r w:rsidRPr="002A7901">
        <w:t xml:space="preserve">performance </w:t>
      </w:r>
      <w:r w:rsidR="00F34748">
        <w:t>in delivering regulation</w:t>
      </w:r>
      <w:r w:rsidRPr="002A7901">
        <w:t xml:space="preserve"> </w:t>
      </w:r>
      <w:r w:rsidR="00F34748">
        <w:t xml:space="preserve">services </w:t>
      </w:r>
      <w:r w:rsidRPr="002A7901">
        <w:t xml:space="preserve">in more detail it is difficult to </w:t>
      </w:r>
      <w:r w:rsidR="00457F06">
        <w:t>validate</w:t>
      </w:r>
      <w:r w:rsidR="00457F06" w:rsidRPr="002A7901">
        <w:t xml:space="preserve"> </w:t>
      </w:r>
      <w:r w:rsidRPr="002A7901">
        <w:t xml:space="preserve">those claims. </w:t>
      </w:r>
    </w:p>
    <w:p w:rsidR="002A7901" w:rsidRPr="002A7901" w:rsidRDefault="002A7901" w:rsidP="002A7901">
      <w:pPr>
        <w:pStyle w:val="AERbodytext"/>
      </w:pPr>
      <w:r w:rsidRPr="002A7901">
        <w:t xml:space="preserve">As a first step, </w:t>
      </w:r>
      <w:r w:rsidR="00380F85">
        <w:t>we</w:t>
      </w:r>
      <w:r w:rsidRPr="002A7901">
        <w:t xml:space="preserve"> ha</w:t>
      </w:r>
      <w:r w:rsidR="00380F85">
        <w:t>ve</w:t>
      </w:r>
      <w:r w:rsidRPr="002A7901">
        <w:t xml:space="preserve"> asked AEMO to review t</w:t>
      </w:r>
      <w:r w:rsidR="009A2735">
        <w:t xml:space="preserve">he performance of providers of </w:t>
      </w:r>
      <w:r w:rsidRPr="002A7901">
        <w:t xml:space="preserve">regulation services to identify whether participants are </w:t>
      </w:r>
      <w:r w:rsidR="009A2735">
        <w:t>delivering</w:t>
      </w:r>
      <w:r w:rsidRPr="002A7901">
        <w:t xml:space="preserve"> these services in a way that is consistent with the FCAS specification and AEMO’s expectations.</w:t>
      </w:r>
    </w:p>
    <w:p w:rsidR="00B360BB" w:rsidRPr="002A7901" w:rsidRDefault="002A7901" w:rsidP="002A7901">
      <w:pPr>
        <w:pStyle w:val="AERbodytext"/>
      </w:pPr>
      <w:r w:rsidRPr="002A7901">
        <w:t xml:space="preserve">On receiving the results of this initial performance review, </w:t>
      </w:r>
      <w:r w:rsidR="00DC3257">
        <w:t>we</w:t>
      </w:r>
      <w:r w:rsidRPr="002A7901">
        <w:t xml:space="preserve"> will assess whether additional steps are required to ensure </w:t>
      </w:r>
      <w:r w:rsidR="00642F48">
        <w:t xml:space="preserve">that </w:t>
      </w:r>
      <w:r w:rsidRPr="002A7901">
        <w:t>participant</w:t>
      </w:r>
      <w:r w:rsidR="00457F06">
        <w:t>s</w:t>
      </w:r>
      <w:r w:rsidRPr="002A7901">
        <w:t xml:space="preserve"> deliver the appropriate amount of regulation services at the appropriate time in addition to dispatch in the energy market. The results of this initial review and any further work by the AER will be reported in </w:t>
      </w:r>
      <w:r w:rsidR="00F354E4">
        <w:t xml:space="preserve">future </w:t>
      </w:r>
      <w:r w:rsidR="00F34748">
        <w:t>QCRs</w:t>
      </w:r>
      <w:r w:rsidRPr="002A7901">
        <w:t>.</w:t>
      </w:r>
    </w:p>
    <w:p w:rsidR="00B360BB" w:rsidRPr="0048010B" w:rsidRDefault="00B360BB" w:rsidP="0048010B">
      <w:pPr>
        <w:pStyle w:val="AERheading2"/>
      </w:pPr>
      <w:bookmarkStart w:id="34" w:name="_Ref353363026"/>
      <w:bookmarkStart w:id="35" w:name="_Toc384725771"/>
      <w:r w:rsidRPr="0048010B">
        <w:lastRenderedPageBreak/>
        <w:t>Electricity metering</w:t>
      </w:r>
      <w:bookmarkEnd w:id="34"/>
      <w:r w:rsidR="009A2735">
        <w:t xml:space="preserve"> – data quality and metering upgrades</w:t>
      </w:r>
      <w:bookmarkEnd w:id="35"/>
    </w:p>
    <w:p w:rsidR="00B360BB" w:rsidRPr="003B7459" w:rsidRDefault="00B360BB" w:rsidP="00B360BB">
      <w:pPr>
        <w:pStyle w:val="AERbodytext"/>
        <w:rPr>
          <w:rStyle w:val="AERbody"/>
        </w:rPr>
      </w:pPr>
      <w:r w:rsidRPr="003B7459">
        <w:rPr>
          <w:rStyle w:val="AERbody"/>
        </w:rPr>
        <w:t>As highlighted by the AEMC’s Power of Choice review</w:t>
      </w:r>
      <w:r w:rsidR="00642F48">
        <w:rPr>
          <w:rStyle w:val="AERbody"/>
        </w:rPr>
        <w:t>,</w:t>
      </w:r>
      <w:r w:rsidR="00A6026D" w:rsidRPr="00F354E4">
        <w:rPr>
          <w:rStyle w:val="FootnoteReference"/>
          <w:szCs w:val="16"/>
        </w:rPr>
        <w:footnoteReference w:id="5"/>
      </w:r>
      <w:r w:rsidRPr="003B7459">
        <w:rPr>
          <w:rStyle w:val="AERbody"/>
        </w:rPr>
        <w:t xml:space="preserve"> metering arrangements play a crucial role in the current and future operation of the NEM. </w:t>
      </w:r>
      <w:r w:rsidR="00DC3257">
        <w:rPr>
          <w:rStyle w:val="AERbody"/>
        </w:rPr>
        <w:t>It</w:t>
      </w:r>
      <w:r w:rsidRPr="003B7459">
        <w:rPr>
          <w:rStyle w:val="AERbody"/>
        </w:rPr>
        <w:t xml:space="preserve"> is important to ensure participants comply with their metering obligations under the Electricity Rules in order to facilitate effective and efficient metering processes in the NEM.  </w:t>
      </w:r>
    </w:p>
    <w:p w:rsidR="00B360BB" w:rsidRDefault="00F34748" w:rsidP="00B360BB">
      <w:pPr>
        <w:pStyle w:val="AERbodytext"/>
        <w:rPr>
          <w:rStyle w:val="AERbody"/>
        </w:rPr>
      </w:pPr>
      <w:r>
        <w:rPr>
          <w:rStyle w:val="AERbody"/>
        </w:rPr>
        <w:t xml:space="preserve">This project </w:t>
      </w:r>
      <w:r w:rsidR="003568E4">
        <w:rPr>
          <w:rStyle w:val="AERbody"/>
        </w:rPr>
        <w:t xml:space="preserve">will </w:t>
      </w:r>
      <w:r w:rsidR="00B360BB" w:rsidRPr="003B7459">
        <w:rPr>
          <w:rStyle w:val="AERbody"/>
        </w:rPr>
        <w:t xml:space="preserve">focus on two </w:t>
      </w:r>
      <w:r w:rsidR="009A2735">
        <w:rPr>
          <w:rStyle w:val="AERbody"/>
        </w:rPr>
        <w:t>areas</w:t>
      </w:r>
      <w:r w:rsidR="00B360BB" w:rsidRPr="003B7459">
        <w:rPr>
          <w:rStyle w:val="AERbody"/>
        </w:rPr>
        <w:t xml:space="preserve"> including metering data quality and the upgrade of metering installations.</w:t>
      </w:r>
      <w:r w:rsidR="00FC74F7">
        <w:rPr>
          <w:rStyle w:val="AERbody"/>
        </w:rPr>
        <w:t xml:space="preserve"> These are discussed in more detail below.</w:t>
      </w:r>
    </w:p>
    <w:p w:rsidR="00B360BB" w:rsidRPr="005C27AF" w:rsidRDefault="00B360BB" w:rsidP="00B360BB">
      <w:pPr>
        <w:pStyle w:val="AERbodytext"/>
        <w:rPr>
          <w:rStyle w:val="AERbody"/>
          <w:b/>
        </w:rPr>
      </w:pPr>
      <w:r w:rsidRPr="00CA6568">
        <w:rPr>
          <w:rStyle w:val="AERtextbold"/>
        </w:rPr>
        <w:t>Metering data quality</w:t>
      </w:r>
    </w:p>
    <w:p w:rsidR="00B360BB" w:rsidRDefault="00B360BB" w:rsidP="00B360BB">
      <w:pPr>
        <w:pStyle w:val="AERbodytext"/>
        <w:rPr>
          <w:rStyle w:val="AERbody"/>
        </w:rPr>
      </w:pPr>
      <w:r w:rsidRPr="003B7459">
        <w:rPr>
          <w:rStyle w:val="AERbody"/>
        </w:rPr>
        <w:t xml:space="preserve">In consultation with AEMO, </w:t>
      </w:r>
      <w:r w:rsidR="00380F85">
        <w:rPr>
          <w:rStyle w:val="AERbody"/>
        </w:rPr>
        <w:t>we</w:t>
      </w:r>
      <w:r w:rsidRPr="003B7459">
        <w:rPr>
          <w:rStyle w:val="AERbody"/>
        </w:rPr>
        <w:t xml:space="preserve"> will continue to monitor the quality of metering data provided to AEMO’s market settlement and transfer solution (</w:t>
      </w:r>
      <w:r w:rsidRPr="00D652B7">
        <w:rPr>
          <w:rStyle w:val="AERbody"/>
          <w:b/>
        </w:rPr>
        <w:t>MSATS</w:t>
      </w:r>
      <w:r w:rsidRPr="003B7459">
        <w:rPr>
          <w:rStyle w:val="AERbody"/>
        </w:rPr>
        <w:t xml:space="preserve">) system. The MSATS system captures important connection point information, such as the customer’s relevant distribution loss factor and retailer of last resort. It also captures actual and aggregated metering data. In 2013, </w:t>
      </w:r>
      <w:r w:rsidR="00380F85">
        <w:rPr>
          <w:rStyle w:val="AERbody"/>
        </w:rPr>
        <w:t>we</w:t>
      </w:r>
      <w:r w:rsidRPr="003B7459">
        <w:rPr>
          <w:rStyle w:val="AERbody"/>
        </w:rPr>
        <w:t xml:space="preserve"> will work with AEMO to </w:t>
      </w:r>
      <w:r w:rsidR="00585B18">
        <w:rPr>
          <w:rStyle w:val="AERbody"/>
        </w:rPr>
        <w:t xml:space="preserve">develop new </w:t>
      </w:r>
      <w:r w:rsidR="00D67050">
        <w:rPr>
          <w:rStyle w:val="AERbody"/>
        </w:rPr>
        <w:t xml:space="preserve">reporting </w:t>
      </w:r>
      <w:r w:rsidR="00585B18">
        <w:rPr>
          <w:rStyle w:val="AERbody"/>
        </w:rPr>
        <w:t xml:space="preserve">metrics </w:t>
      </w:r>
      <w:r w:rsidR="00D67050">
        <w:rPr>
          <w:rStyle w:val="AERbody"/>
        </w:rPr>
        <w:t xml:space="preserve">and </w:t>
      </w:r>
      <w:r w:rsidRPr="003B7459">
        <w:rPr>
          <w:rStyle w:val="AERbody"/>
        </w:rPr>
        <w:t>improve the performance of MSATS participants via targeted compliance activities and participant engagement.</w:t>
      </w:r>
    </w:p>
    <w:p w:rsidR="002A7901" w:rsidRDefault="00450695" w:rsidP="002A7901">
      <w:pPr>
        <w:pStyle w:val="AERbodytext"/>
        <w:rPr>
          <w:rFonts w:eastAsia="Calibri"/>
        </w:rPr>
      </w:pPr>
      <w:r>
        <w:rPr>
          <w:rFonts w:eastAsia="Calibri"/>
        </w:rPr>
        <w:fldChar w:fldCharType="begin"/>
      </w:r>
      <w:r w:rsidR="00D652B7">
        <w:rPr>
          <w:rFonts w:eastAsia="Calibri"/>
        </w:rPr>
        <w:instrText xml:space="preserve"> REF _Ref353363222 \r \h </w:instrText>
      </w:r>
      <w:r>
        <w:rPr>
          <w:rFonts w:eastAsia="Calibri"/>
        </w:rPr>
      </w:r>
      <w:r>
        <w:rPr>
          <w:rFonts w:eastAsia="Calibri"/>
        </w:rPr>
        <w:fldChar w:fldCharType="separate"/>
      </w:r>
      <w:r w:rsidR="008C4BA5">
        <w:rPr>
          <w:rFonts w:eastAsia="Calibri"/>
        </w:rPr>
        <w:t>Figure 1.1</w:t>
      </w:r>
      <w:r>
        <w:rPr>
          <w:rFonts w:eastAsia="Calibri"/>
        </w:rPr>
        <w:fldChar w:fldCharType="end"/>
      </w:r>
      <w:r w:rsidR="002A7901">
        <w:rPr>
          <w:rFonts w:eastAsia="Calibri"/>
        </w:rPr>
        <w:t xml:space="preserve"> below </w:t>
      </w:r>
      <w:r w:rsidR="002A7901" w:rsidRPr="005064BF">
        <w:rPr>
          <w:rFonts w:eastAsia="Calibri"/>
        </w:rPr>
        <w:t xml:space="preserve">shows the number of </w:t>
      </w:r>
      <w:r w:rsidR="002A7901">
        <w:rPr>
          <w:rFonts w:eastAsia="Calibri"/>
        </w:rPr>
        <w:t xml:space="preserve">MSATS </w:t>
      </w:r>
      <w:r w:rsidR="002A7901" w:rsidRPr="005064BF">
        <w:rPr>
          <w:rFonts w:eastAsia="Calibri"/>
        </w:rPr>
        <w:t>errors made by each Local Network Service Provider (</w:t>
      </w:r>
      <w:r w:rsidR="002A7901" w:rsidRPr="005064BF">
        <w:rPr>
          <w:rFonts w:eastAsia="Calibri"/>
          <w:b/>
          <w:bCs/>
        </w:rPr>
        <w:t>LNSP</w:t>
      </w:r>
      <w:r w:rsidR="002A7901" w:rsidRPr="005064BF">
        <w:rPr>
          <w:rFonts w:eastAsia="Calibri"/>
        </w:rPr>
        <w:t xml:space="preserve">) in the last week of each month since April 2010. </w:t>
      </w:r>
      <w:r w:rsidR="00380F85">
        <w:rPr>
          <w:rFonts w:eastAsia="Calibri"/>
        </w:rPr>
        <w:t>We</w:t>
      </w:r>
      <w:r w:rsidR="002A7901" w:rsidRPr="005064BF">
        <w:rPr>
          <w:rFonts w:eastAsia="Calibri"/>
        </w:rPr>
        <w:t xml:space="preserve"> will </w:t>
      </w:r>
      <w:r w:rsidR="00380F85">
        <w:rPr>
          <w:rFonts w:eastAsia="Calibri"/>
        </w:rPr>
        <w:t>seek an explanation from any</w:t>
      </w:r>
      <w:r w:rsidR="00380F85" w:rsidRPr="005064BF">
        <w:rPr>
          <w:rFonts w:eastAsia="Calibri"/>
        </w:rPr>
        <w:t xml:space="preserve"> </w:t>
      </w:r>
      <w:r w:rsidR="002A7901" w:rsidRPr="005064BF">
        <w:rPr>
          <w:rFonts w:eastAsia="Calibri"/>
        </w:rPr>
        <w:t>LNSP</w:t>
      </w:r>
      <w:r w:rsidR="00380F85">
        <w:rPr>
          <w:rFonts w:eastAsia="Calibri"/>
        </w:rPr>
        <w:t>s</w:t>
      </w:r>
      <w:r w:rsidR="002A7901" w:rsidRPr="005064BF">
        <w:rPr>
          <w:rFonts w:eastAsia="Calibri"/>
        </w:rPr>
        <w:t xml:space="preserve"> that ha</w:t>
      </w:r>
      <w:r w:rsidR="00380F85">
        <w:rPr>
          <w:rFonts w:eastAsia="Calibri"/>
        </w:rPr>
        <w:t>ve</w:t>
      </w:r>
      <w:r w:rsidR="002A7901" w:rsidRPr="005064BF">
        <w:rPr>
          <w:rFonts w:eastAsia="Calibri"/>
        </w:rPr>
        <w:t xml:space="preserve"> a significant number of errors.</w:t>
      </w:r>
    </w:p>
    <w:p w:rsidR="002A7901" w:rsidRPr="00AC42D8" w:rsidRDefault="00A23D03" w:rsidP="002A7901">
      <w:pPr>
        <w:pStyle w:val="AERfigureheading"/>
      </w:pPr>
      <w:bookmarkStart w:id="36" w:name="_Ref353363222"/>
      <w:r>
        <w:t>Total MSATS errors across all LNSPs</w:t>
      </w:r>
      <w:bookmarkEnd w:id="36"/>
    </w:p>
    <w:p w:rsidR="002A7901" w:rsidRPr="003B7459" w:rsidRDefault="00A02BC9" w:rsidP="002A7901">
      <w:pPr>
        <w:pStyle w:val="AERbodytext"/>
        <w:rPr>
          <w:rStyle w:val="AERbody"/>
        </w:rPr>
      </w:pPr>
      <w:r>
        <w:rPr>
          <w:rStyle w:val="AERbody"/>
        </w:rPr>
        <w:pict>
          <v:shape id="_x0000_i1025" type="#_x0000_t75" style="width:450.75pt;height:273.75pt">
            <v:imagedata r:id="rId19" o:title=""/>
          </v:shape>
        </w:pict>
      </w:r>
    </w:p>
    <w:p w:rsidR="00A6026D" w:rsidRDefault="00A6026D" w:rsidP="00B360BB">
      <w:pPr>
        <w:pStyle w:val="AERbodytext"/>
        <w:rPr>
          <w:rStyle w:val="AERtextbold"/>
        </w:rPr>
      </w:pPr>
    </w:p>
    <w:p w:rsidR="00B360BB" w:rsidRPr="00CA6568" w:rsidRDefault="00B360BB" w:rsidP="00B360BB">
      <w:pPr>
        <w:pStyle w:val="AERbodytext"/>
        <w:rPr>
          <w:rStyle w:val="AERtextbold"/>
        </w:rPr>
      </w:pPr>
      <w:r w:rsidRPr="00CA6568">
        <w:rPr>
          <w:rStyle w:val="AERtextbold"/>
        </w:rPr>
        <w:lastRenderedPageBreak/>
        <w:t>Upgrade of metering installations</w:t>
      </w:r>
    </w:p>
    <w:p w:rsidR="0048010B" w:rsidRDefault="00380F85" w:rsidP="002C7158">
      <w:pPr>
        <w:pStyle w:val="AERbodytext"/>
      </w:pPr>
      <w:r>
        <w:rPr>
          <w:rStyle w:val="AERbody"/>
        </w:rPr>
        <w:t>We</w:t>
      </w:r>
      <w:r w:rsidR="00B360BB" w:rsidRPr="003B7459">
        <w:rPr>
          <w:rStyle w:val="AERbody"/>
        </w:rPr>
        <w:t xml:space="preserve"> will also work with AEMO to ensure customers have appropriate metering installations. As identified by the Power of Choice review, interval meters play an important role in </w:t>
      </w:r>
      <w:r w:rsidR="003102D1">
        <w:rPr>
          <w:rStyle w:val="AERbody"/>
        </w:rPr>
        <w:t xml:space="preserve">facilitating </w:t>
      </w:r>
      <w:r w:rsidR="00B360BB" w:rsidRPr="003B7459">
        <w:rPr>
          <w:rStyle w:val="AERbody"/>
        </w:rPr>
        <w:t xml:space="preserve">demand side participation. </w:t>
      </w:r>
      <w:r w:rsidR="00B161E5">
        <w:rPr>
          <w:rStyle w:val="AERbody"/>
        </w:rPr>
        <w:t>The metering rules and metrology procedures establish a series of volume limits and accuracy thresholds for various types of meters</w:t>
      </w:r>
      <w:r w:rsidR="00CF20CC">
        <w:rPr>
          <w:rStyle w:val="AERbody"/>
        </w:rPr>
        <w:t>.</w:t>
      </w:r>
      <w:r w:rsidR="00B161E5" w:rsidRPr="00032BCA">
        <w:rPr>
          <w:rStyle w:val="FootnoteReference"/>
        </w:rPr>
        <w:footnoteReference w:id="6"/>
      </w:r>
      <w:r w:rsidR="00B161E5">
        <w:rPr>
          <w:rStyle w:val="AERbody"/>
        </w:rPr>
        <w:t xml:space="preserve"> When the amount of energy through the meter exceeds that threshold, the responsible person is obliged to upgrade the meter. </w:t>
      </w:r>
      <w:r w:rsidR="00B360BB" w:rsidRPr="003B7459">
        <w:rPr>
          <w:rStyle w:val="AERbody"/>
        </w:rPr>
        <w:t>However, it appears some participants are failing to upgrade their customers’ metering installations from accumulation to interval when required</w:t>
      </w:r>
      <w:r w:rsidR="006C41DD">
        <w:rPr>
          <w:rStyle w:val="AERbody"/>
        </w:rPr>
        <w:t>.</w:t>
      </w:r>
      <w:r w:rsidR="00B360BB" w:rsidRPr="003B7459">
        <w:rPr>
          <w:rStyle w:val="AERbody"/>
        </w:rPr>
        <w:t xml:space="preserve"> </w:t>
      </w:r>
      <w:r>
        <w:rPr>
          <w:rStyle w:val="AERbody"/>
        </w:rPr>
        <w:t>We</w:t>
      </w:r>
      <w:r w:rsidR="00B360BB" w:rsidRPr="003B7459">
        <w:rPr>
          <w:rStyle w:val="AERbody"/>
        </w:rPr>
        <w:t xml:space="preserve"> will </w:t>
      </w:r>
      <w:r w:rsidR="00D652B7">
        <w:rPr>
          <w:rStyle w:val="AERbody"/>
        </w:rPr>
        <w:t>engage</w:t>
      </w:r>
      <w:r w:rsidR="00B360BB" w:rsidRPr="003B7459">
        <w:rPr>
          <w:rStyle w:val="AERbody"/>
        </w:rPr>
        <w:t xml:space="preserve"> with these parties over the </w:t>
      </w:r>
      <w:r w:rsidR="00D67050">
        <w:rPr>
          <w:rStyle w:val="AERbody"/>
        </w:rPr>
        <w:t xml:space="preserve">coming </w:t>
      </w:r>
      <w:r w:rsidR="00B360BB" w:rsidRPr="003B7459">
        <w:rPr>
          <w:rStyle w:val="AERbody"/>
        </w:rPr>
        <w:t xml:space="preserve">months to ensure metering upgrades occur </w:t>
      </w:r>
      <w:r w:rsidR="004C3C6D">
        <w:rPr>
          <w:rStyle w:val="AERbody"/>
        </w:rPr>
        <w:t>as required by section 7.2 the Electricity Rules</w:t>
      </w:r>
      <w:r w:rsidR="00B360BB" w:rsidRPr="003B7459">
        <w:rPr>
          <w:rStyle w:val="AERbody"/>
        </w:rPr>
        <w:t>.</w:t>
      </w:r>
    </w:p>
    <w:p w:rsidR="0048010B" w:rsidRDefault="0048010B" w:rsidP="0048010B">
      <w:pPr>
        <w:pStyle w:val="AERheading2"/>
      </w:pPr>
      <w:bookmarkStart w:id="37" w:name="_Toc384725772"/>
      <w:r>
        <w:t xml:space="preserve">Trends in Power System Operating </w:t>
      </w:r>
      <w:r w:rsidR="009A2735">
        <w:t>Incident</w:t>
      </w:r>
      <w:r>
        <w:t xml:space="preserve"> reports</w:t>
      </w:r>
      <w:bookmarkEnd w:id="37"/>
    </w:p>
    <w:p w:rsidR="0048010B" w:rsidRDefault="00DC3257" w:rsidP="0048010B">
      <w:pPr>
        <w:pStyle w:val="AERbodytext"/>
      </w:pPr>
      <w:r>
        <w:t xml:space="preserve">We </w:t>
      </w:r>
      <w:r w:rsidR="0048010B" w:rsidRPr="00F6160E">
        <w:t>rel</w:t>
      </w:r>
      <w:r>
        <w:t>y</w:t>
      </w:r>
      <w:r w:rsidR="0048010B" w:rsidRPr="00F6160E">
        <w:t xml:space="preserve"> on various information sources for </w:t>
      </w:r>
      <w:r>
        <w:t>our</w:t>
      </w:r>
      <w:r w:rsidR="0048010B" w:rsidRPr="00F6160E">
        <w:t xml:space="preserve"> compliance monitoring activities</w:t>
      </w:r>
      <w:r w:rsidR="00CA517A">
        <w:t xml:space="preserve">. One source of information is AEMO’s </w:t>
      </w:r>
      <w:r w:rsidR="009A2735">
        <w:t>Power System Operating Incident</w:t>
      </w:r>
      <w:r w:rsidR="00CA517A">
        <w:t xml:space="preserve"> reports, which are </w:t>
      </w:r>
      <w:r w:rsidR="0048010B" w:rsidRPr="00F6160E">
        <w:t>published in accordance with clause 4.8.15 of the Electricity Rules</w:t>
      </w:r>
      <w:r w:rsidR="00CA517A">
        <w:t>. These reports</w:t>
      </w:r>
      <w:r w:rsidR="0048010B" w:rsidRPr="00F6160E">
        <w:t xml:space="preserve"> </w:t>
      </w:r>
      <w:r w:rsidR="00CA517A">
        <w:t>a</w:t>
      </w:r>
      <w:r w:rsidR="0048010B" w:rsidRPr="00F6160E">
        <w:t xml:space="preserve">ssess the response of </w:t>
      </w:r>
      <w:r w:rsidR="00A427C7">
        <w:t>n</w:t>
      </w:r>
      <w:r w:rsidR="0048010B" w:rsidRPr="00F6160E">
        <w:t>etwork bu</w:t>
      </w:r>
      <w:r w:rsidR="00302F0A">
        <w:t>sinesses and market participant facilities</w:t>
      </w:r>
      <w:r w:rsidR="0048010B" w:rsidRPr="00F6160E">
        <w:t xml:space="preserve"> following a power system event. AEMO depends on industry complying with a variety of obligations in order to maintain power system security.</w:t>
      </w:r>
    </w:p>
    <w:p w:rsidR="009A2735" w:rsidRDefault="009A2735" w:rsidP="0048010B">
      <w:pPr>
        <w:pStyle w:val="AERbodytext"/>
      </w:pPr>
      <w:r>
        <w:t xml:space="preserve">Currently </w:t>
      </w:r>
      <w:r w:rsidR="00380F85">
        <w:t>we</w:t>
      </w:r>
      <w:r>
        <w:t xml:space="preserve"> collate information from each Power System </w:t>
      </w:r>
      <w:r w:rsidR="00A427C7">
        <w:t xml:space="preserve">Operating </w:t>
      </w:r>
      <w:r>
        <w:t>Incident report</w:t>
      </w:r>
      <w:r w:rsidR="00F34748">
        <w:t xml:space="preserve"> and assess whether any compliance/enforcement response is required. </w:t>
      </w:r>
      <w:r w:rsidR="00380F85">
        <w:t>We</w:t>
      </w:r>
      <w:r w:rsidR="00F34748">
        <w:t xml:space="preserve"> will now </w:t>
      </w:r>
      <w:r>
        <w:t xml:space="preserve">implement a more detailed </w:t>
      </w:r>
      <w:r w:rsidR="00F34748">
        <w:t xml:space="preserve">longer-term </w:t>
      </w:r>
      <w:r>
        <w:t>analysis to detect and review related performance and compliance trends. Specifically, the aim of this project is to gain insights into:</w:t>
      </w:r>
    </w:p>
    <w:p w:rsidR="009A2735" w:rsidRDefault="009A2735" w:rsidP="00CF20CC">
      <w:pPr>
        <w:pStyle w:val="AERbulletlistsecondstyle"/>
      </w:pPr>
      <w:r>
        <w:t>the correlation between participants’ compliance performance and power system events</w:t>
      </w:r>
    </w:p>
    <w:p w:rsidR="009A2735" w:rsidRDefault="009A2735" w:rsidP="00CF20CC">
      <w:pPr>
        <w:pStyle w:val="AERbulletlistsecondstyle"/>
      </w:pPr>
      <w:r>
        <w:t>the extent of any non-compliance</w:t>
      </w:r>
    </w:p>
    <w:p w:rsidR="009A2735" w:rsidRPr="00F6160E" w:rsidRDefault="009A2735" w:rsidP="00CF20CC">
      <w:pPr>
        <w:pStyle w:val="AERbulletlistsecondstyle"/>
      </w:pPr>
      <w:proofErr w:type="gramStart"/>
      <w:r>
        <w:t>improvements</w:t>
      </w:r>
      <w:proofErr w:type="gramEnd"/>
      <w:r>
        <w:t xml:space="preserve"> and/or systemic issues of an operation</w:t>
      </w:r>
      <w:r w:rsidR="00521393">
        <w:t>al</w:t>
      </w:r>
      <w:r>
        <w:t xml:space="preserve"> nature over </w:t>
      </w:r>
      <w:r w:rsidRPr="00F354E4">
        <w:t>time</w:t>
      </w:r>
      <w:r w:rsidR="00A427C7" w:rsidRPr="00A427C7">
        <w:t>.</w:t>
      </w:r>
    </w:p>
    <w:p w:rsidR="0048010B" w:rsidRPr="00F6160E" w:rsidRDefault="009A2735" w:rsidP="00CA517A">
      <w:pPr>
        <w:pStyle w:val="AERbulletlistfirststyle"/>
      </w:pPr>
      <w:r>
        <w:t xml:space="preserve">This analysis will assist </w:t>
      </w:r>
      <w:r w:rsidR="00380F85">
        <w:t>us</w:t>
      </w:r>
      <w:r>
        <w:t xml:space="preserve"> in identifying </w:t>
      </w:r>
      <w:r w:rsidR="00F354E4">
        <w:t xml:space="preserve">issues </w:t>
      </w:r>
      <w:r>
        <w:t xml:space="preserve">that may warrant further focus by participants and will help to refine the areas targeted through </w:t>
      </w:r>
      <w:r w:rsidR="00DC3257">
        <w:t>our</w:t>
      </w:r>
      <w:r>
        <w:t xml:space="preserve"> compliance monitoring activities. </w:t>
      </w:r>
      <w:r w:rsidR="0048010B" w:rsidRPr="00F6160E">
        <w:t xml:space="preserve">Furthermore, the project will feed into </w:t>
      </w:r>
      <w:r w:rsidR="00DC3257">
        <w:t>our</w:t>
      </w:r>
      <w:r w:rsidR="0048010B" w:rsidRPr="00F6160E">
        <w:t xml:space="preserve"> technical compliance audit framework, which focuses on the compliance programs associated with TNSPs’ protection and control systems and generators’ registered performance standards that are mandated under clauses 5.7.4 and 4.15 of the Electricity Rules, respectively. </w:t>
      </w:r>
    </w:p>
    <w:p w:rsidR="0048010B" w:rsidRDefault="00380F85" w:rsidP="002C7158">
      <w:pPr>
        <w:pStyle w:val="AERbodytext"/>
      </w:pPr>
      <w:r>
        <w:t>We</w:t>
      </w:r>
      <w:r w:rsidR="0048010B" w:rsidRPr="00F6160E">
        <w:t xml:space="preserve"> will report </w:t>
      </w:r>
      <w:r w:rsidR="009B49BB">
        <w:t>the</w:t>
      </w:r>
      <w:r w:rsidR="0048010B" w:rsidRPr="00F6160E">
        <w:t xml:space="preserve"> findings</w:t>
      </w:r>
      <w:r w:rsidR="0048010B">
        <w:t xml:space="preserve"> of this project in early 2014.</w:t>
      </w:r>
    </w:p>
    <w:p w:rsidR="0048010B" w:rsidRPr="00274AAE" w:rsidRDefault="0048010B" w:rsidP="00274AAE">
      <w:pPr>
        <w:pStyle w:val="AERheading2"/>
      </w:pPr>
      <w:bookmarkStart w:id="38" w:name="_Toc384725773"/>
      <w:r w:rsidRPr="00274AAE">
        <w:t>MT PASA data accuracy</w:t>
      </w:r>
      <w:bookmarkEnd w:id="38"/>
    </w:p>
    <w:p w:rsidR="0048010B" w:rsidRPr="003B7459" w:rsidRDefault="0048010B" w:rsidP="0048010B">
      <w:pPr>
        <w:pStyle w:val="AERbodytext"/>
        <w:rPr>
          <w:rStyle w:val="AERbody"/>
        </w:rPr>
      </w:pPr>
      <w:r w:rsidRPr="003B7459">
        <w:rPr>
          <w:rStyle w:val="AERbody"/>
        </w:rPr>
        <w:t>The Medium Term Projected Assessment of System Adequacy (</w:t>
      </w:r>
      <w:r w:rsidRPr="00327AD1">
        <w:rPr>
          <w:rStyle w:val="AERbody"/>
          <w:b/>
        </w:rPr>
        <w:t>MT PASA</w:t>
      </w:r>
      <w:r w:rsidRPr="003B7459">
        <w:rPr>
          <w:rStyle w:val="AERbody"/>
        </w:rPr>
        <w:t xml:space="preserve">) provides the medium term power system supply/demand balance prospects for the next 24 months. </w:t>
      </w:r>
      <w:r w:rsidR="00D67050">
        <w:rPr>
          <w:rStyle w:val="AERbody"/>
        </w:rPr>
        <w:t xml:space="preserve">With </w:t>
      </w:r>
      <w:r w:rsidR="00D67050" w:rsidRPr="00D67050">
        <w:rPr>
          <w:rStyle w:val="AERbody"/>
        </w:rPr>
        <w:t xml:space="preserve">the introduction of the carbon price and subsequent increased likelihood of generators’ operating modes becoming much more dynamic, it is important that electricity generators </w:t>
      </w:r>
      <w:r w:rsidR="00A427C7">
        <w:rPr>
          <w:rStyle w:val="AERbody"/>
        </w:rPr>
        <w:t>provide</w:t>
      </w:r>
      <w:r w:rsidR="00A427C7" w:rsidRPr="00D67050">
        <w:rPr>
          <w:rStyle w:val="AERbody"/>
        </w:rPr>
        <w:t xml:space="preserve"> </w:t>
      </w:r>
      <w:r w:rsidR="00D67050" w:rsidRPr="00D67050">
        <w:rPr>
          <w:rStyle w:val="AERbody"/>
        </w:rPr>
        <w:t xml:space="preserve">timely and accurate information, such as availability, to the market across </w:t>
      </w:r>
      <w:r w:rsidR="00D67050">
        <w:rPr>
          <w:rStyle w:val="AERbody"/>
        </w:rPr>
        <w:t xml:space="preserve">all </w:t>
      </w:r>
      <w:r w:rsidR="00D67050" w:rsidRPr="00D67050">
        <w:rPr>
          <w:rStyle w:val="AERbody"/>
        </w:rPr>
        <w:t>time horizons.</w:t>
      </w:r>
      <w:r w:rsidR="00D67050">
        <w:rPr>
          <w:rStyle w:val="AERbody"/>
        </w:rPr>
        <w:t xml:space="preserve"> </w:t>
      </w:r>
      <w:r w:rsidRPr="003B7459">
        <w:rPr>
          <w:rStyle w:val="AERbody"/>
        </w:rPr>
        <w:t>If information in MT PASA i</w:t>
      </w:r>
      <w:r w:rsidR="00327AD1">
        <w:rPr>
          <w:rStyle w:val="AERbody"/>
        </w:rPr>
        <w:t>s not accurate, participants may</w:t>
      </w:r>
      <w:r w:rsidRPr="003B7459">
        <w:rPr>
          <w:rStyle w:val="AERbody"/>
        </w:rPr>
        <w:t xml:space="preserve"> make ill-informed decisions and in the extreme can impact </w:t>
      </w:r>
      <w:r w:rsidRPr="00F354E4">
        <w:rPr>
          <w:rStyle w:val="AERbody"/>
        </w:rPr>
        <w:t>on</w:t>
      </w:r>
      <w:r w:rsidRPr="003B7459">
        <w:rPr>
          <w:rStyle w:val="AERbody"/>
        </w:rPr>
        <w:t xml:space="preserve"> reserve levels and the reliability of the power system. </w:t>
      </w:r>
    </w:p>
    <w:p w:rsidR="004C0DFE" w:rsidRDefault="0048010B" w:rsidP="0048010B">
      <w:pPr>
        <w:pStyle w:val="AERbodytext"/>
        <w:rPr>
          <w:rStyle w:val="AERbody"/>
        </w:rPr>
      </w:pPr>
      <w:r w:rsidRPr="003B7459">
        <w:rPr>
          <w:rStyle w:val="AERbody"/>
        </w:rPr>
        <w:lastRenderedPageBreak/>
        <w:t xml:space="preserve">In </w:t>
      </w:r>
      <w:r w:rsidR="009B49BB">
        <w:rPr>
          <w:rStyle w:val="AERbody"/>
        </w:rPr>
        <w:t xml:space="preserve">the </w:t>
      </w:r>
      <w:hyperlink r:id="rId20" w:history="1">
        <w:r w:rsidR="00F354E4">
          <w:rPr>
            <w:rStyle w:val="Hyperlink"/>
          </w:rPr>
          <w:t>previous QCR</w:t>
        </w:r>
      </w:hyperlink>
      <w:r w:rsidRPr="003B7459">
        <w:rPr>
          <w:rStyle w:val="AERbody"/>
        </w:rPr>
        <w:t xml:space="preserve">, </w:t>
      </w:r>
      <w:r w:rsidR="00380F85">
        <w:rPr>
          <w:rStyle w:val="AERbody"/>
        </w:rPr>
        <w:t>we</w:t>
      </w:r>
      <w:r w:rsidRPr="003B7459">
        <w:rPr>
          <w:rStyle w:val="AERbody"/>
        </w:rPr>
        <w:t xml:space="preserve"> reported that a Queensland generator had submitted incorrect MT PASA data and AEMO had failed to promptly notify the market of this error. In response, </w:t>
      </w:r>
      <w:r w:rsidR="00DC3257">
        <w:rPr>
          <w:rStyle w:val="AERbody"/>
        </w:rPr>
        <w:t>we have</w:t>
      </w:r>
      <w:r w:rsidRPr="003B7459">
        <w:rPr>
          <w:rStyle w:val="AERbody"/>
        </w:rPr>
        <w:t xml:space="preserve"> decided to closely monitor </w:t>
      </w:r>
      <w:r w:rsidR="00CD09CC">
        <w:rPr>
          <w:rStyle w:val="AERbody"/>
        </w:rPr>
        <w:t xml:space="preserve">MT </w:t>
      </w:r>
      <w:r w:rsidRPr="003B7459">
        <w:rPr>
          <w:rStyle w:val="AERbody"/>
        </w:rPr>
        <w:t xml:space="preserve">PASA data throughout 2013. In particular, </w:t>
      </w:r>
      <w:r w:rsidR="00380F85">
        <w:rPr>
          <w:rStyle w:val="AERbody"/>
        </w:rPr>
        <w:t xml:space="preserve">we </w:t>
      </w:r>
      <w:r w:rsidRPr="003B7459">
        <w:rPr>
          <w:rStyle w:val="AERbody"/>
        </w:rPr>
        <w:t xml:space="preserve">will compare projected and actual generator availability per generation portfolio. While fluctuations in the data are to be expected, this project will seek to identify any </w:t>
      </w:r>
      <w:r w:rsidR="00327AD1">
        <w:rPr>
          <w:rStyle w:val="AERbody"/>
        </w:rPr>
        <w:t xml:space="preserve">significant </w:t>
      </w:r>
      <w:r w:rsidRPr="003B7459">
        <w:rPr>
          <w:rStyle w:val="AERbody"/>
        </w:rPr>
        <w:t>systemic discrepancies.</w:t>
      </w:r>
    </w:p>
    <w:p w:rsidR="004C0DFE" w:rsidRDefault="00776B79" w:rsidP="004C0DFE">
      <w:pPr>
        <w:pStyle w:val="AERheading2"/>
      </w:pPr>
      <w:bookmarkStart w:id="39" w:name="_Ref353362903"/>
      <w:bookmarkStart w:id="40" w:name="_Toc384725774"/>
      <w:r>
        <w:t>Electricity transmission c</w:t>
      </w:r>
      <w:r w:rsidR="004C0DFE">
        <w:t>onnections</w:t>
      </w:r>
      <w:bookmarkEnd w:id="39"/>
      <w:bookmarkEnd w:id="40"/>
    </w:p>
    <w:p w:rsidR="004C0DFE" w:rsidRDefault="00CD09CC" w:rsidP="004C0DFE">
      <w:pPr>
        <w:pStyle w:val="AERbodytext"/>
      </w:pPr>
      <w:r>
        <w:t>T</w:t>
      </w:r>
      <w:r w:rsidR="004C0DFE">
        <w:t>his project</w:t>
      </w:r>
      <w:r>
        <w:t xml:space="preserve"> commenced</w:t>
      </w:r>
      <w:r w:rsidR="00BA6373">
        <w:t xml:space="preserve"> in December 2011</w:t>
      </w:r>
      <w:r w:rsidR="004C0DFE">
        <w:t xml:space="preserve"> in response to concerns raised by connection applicants about the Transmission Network Service Provider (</w:t>
      </w:r>
      <w:r w:rsidR="004C0DFE">
        <w:rPr>
          <w:b/>
        </w:rPr>
        <w:t>TNSP</w:t>
      </w:r>
      <w:r w:rsidR="004C0DFE">
        <w:t xml:space="preserve">) connection process. The project </w:t>
      </w:r>
      <w:r w:rsidR="007F5495">
        <w:t>involves</w:t>
      </w:r>
      <w:r w:rsidR="004C0DFE">
        <w:t xml:space="preserve"> a survey of parties that have sought to connect to the National Electricity Market transmission network. The survey will focus on the TNSPs’ performances in terms of timeliness, provision of information, cost, design, availability of competitive procurement and responsiveness to connection applicants’ commercial requirements. Parties who have submitted a connection inquiry to a TNSP since </w:t>
      </w:r>
      <w:r w:rsidR="00A427C7" w:rsidRPr="00F354E4">
        <w:t>16</w:t>
      </w:r>
      <w:r w:rsidR="00A427C7" w:rsidRPr="00F354E4">
        <w:rPr>
          <w:rFonts w:hint="eastAsia"/>
        </w:rPr>
        <w:t> </w:t>
      </w:r>
      <w:r w:rsidR="004C0DFE" w:rsidRPr="00F354E4">
        <w:t>November</w:t>
      </w:r>
      <w:r w:rsidR="004C0DFE">
        <w:t xml:space="preserve"> 2006 (the date when the current connections regime came into effect) will have the opportunity to take part in the survey. Further details on this project are available in </w:t>
      </w:r>
      <w:r w:rsidR="002301CE">
        <w:t xml:space="preserve">the </w:t>
      </w:r>
      <w:hyperlink r:id="rId21" w:history="1">
        <w:r w:rsidR="00A427C7">
          <w:rPr>
            <w:rStyle w:val="Hyperlink"/>
          </w:rPr>
          <w:t>previous QCR</w:t>
        </w:r>
      </w:hyperlink>
      <w:r w:rsidR="004C0DFE">
        <w:t>.</w:t>
      </w:r>
    </w:p>
    <w:p w:rsidR="004C0DFE" w:rsidRPr="004C0DFE" w:rsidRDefault="00CD09CC" w:rsidP="0048010B">
      <w:pPr>
        <w:pStyle w:val="AERbodytext"/>
        <w:rPr>
          <w:rStyle w:val="CommentReference"/>
          <w:sz w:val="20"/>
          <w:szCs w:val="24"/>
        </w:rPr>
      </w:pPr>
      <w:r>
        <w:t>Th</w:t>
      </w:r>
      <w:r w:rsidR="004C0DFE">
        <w:t xml:space="preserve">e survey </w:t>
      </w:r>
      <w:r>
        <w:t xml:space="preserve">will be finalised and distributed </w:t>
      </w:r>
      <w:r w:rsidR="004C0DFE">
        <w:t>to relevant stakeholders in the June quarter of 2013. A broad summary of the responses will be published in a future QCR, at whic</w:t>
      </w:r>
      <w:r w:rsidR="00327AD1">
        <w:t xml:space="preserve">h time </w:t>
      </w:r>
      <w:r w:rsidR="00380F85">
        <w:t xml:space="preserve">we </w:t>
      </w:r>
      <w:r w:rsidR="00327AD1">
        <w:t>will consider how</w:t>
      </w:r>
      <w:r w:rsidR="004C0DFE">
        <w:t xml:space="preserve"> to deal with any compliance issues that </w:t>
      </w:r>
      <w:r w:rsidR="00327AD1">
        <w:t>are discovered</w:t>
      </w:r>
      <w:r w:rsidR="004C0DFE">
        <w:t xml:space="preserve"> in the survey process.</w:t>
      </w:r>
    </w:p>
    <w:p w:rsidR="002C7158" w:rsidRDefault="002C7158" w:rsidP="002C7158">
      <w:pPr>
        <w:pStyle w:val="AERheading2"/>
      </w:pPr>
      <w:bookmarkStart w:id="41" w:name="_Toc384725775"/>
      <w:r>
        <w:t>NEM participants not following dispatch instructions</w:t>
      </w:r>
      <w:bookmarkEnd w:id="41"/>
    </w:p>
    <w:p w:rsidR="003B7459" w:rsidRPr="003B7459" w:rsidRDefault="003B7459" w:rsidP="003B7459">
      <w:pPr>
        <w:pStyle w:val="AERbodytext"/>
      </w:pPr>
      <w:r w:rsidRPr="003B7459">
        <w:t>In December 2011</w:t>
      </w:r>
      <w:r w:rsidR="009B49BB">
        <w:t>,</w:t>
      </w:r>
      <w:r w:rsidRPr="003B7459">
        <w:t xml:space="preserve"> </w:t>
      </w:r>
      <w:r w:rsidR="00DC3257">
        <w:t xml:space="preserve">we </w:t>
      </w:r>
      <w:r w:rsidRPr="003B7459">
        <w:t xml:space="preserve">announced a </w:t>
      </w:r>
      <w:r w:rsidR="002301CE">
        <w:t xml:space="preserve">strategic </w:t>
      </w:r>
      <w:r w:rsidRPr="003B7459">
        <w:t xml:space="preserve">compliance project to examine the ability of generators to follow the dispatch instructions given to them by AEMO. Clause 4.9.8(a) of the Electricity Rules requires a Registered Participant (namely, a generating unit) to comply with dispatch instructions given to it by AEMO unless doing so would, in the Registered Participant’s reasonable opinion, </w:t>
      </w:r>
      <w:r w:rsidR="009B49BB">
        <w:t>‘</w:t>
      </w:r>
      <w:r w:rsidRPr="003B7459">
        <w:t>be a hazard to public safely or materially risk damaging equipment</w:t>
      </w:r>
      <w:r w:rsidR="009B49BB">
        <w:t>’</w:t>
      </w:r>
      <w:r w:rsidRPr="003B7459">
        <w:t xml:space="preserve">. </w:t>
      </w:r>
    </w:p>
    <w:p w:rsidR="003B7459" w:rsidRPr="003B7459" w:rsidRDefault="003B7459" w:rsidP="003B7459">
      <w:pPr>
        <w:pStyle w:val="AERbodytext"/>
      </w:pPr>
      <w:r w:rsidRPr="003B7459">
        <w:t xml:space="preserve">AEMO must be assured that, other than in the limited circumstances allowed by the Electricity Rules, generating units will follow dispatch instructions at all times. This enables AEMO to assess its security management options based on accurate information and where necessary, issue directions to participants to maintain power system security. </w:t>
      </w:r>
    </w:p>
    <w:p w:rsidR="003B7459" w:rsidRPr="003B7459" w:rsidRDefault="003B7459" w:rsidP="003B7459">
      <w:pPr>
        <w:pStyle w:val="AERbodytext"/>
      </w:pPr>
      <w:r w:rsidRPr="003B7459">
        <w:t xml:space="preserve">When generators do not follow dispatch instructions, electricity system security may be put at risk. There may also be market inefficiencies and higher costs through greater reliance on </w:t>
      </w:r>
      <w:r w:rsidR="009B49BB" w:rsidRPr="002301CE">
        <w:t>FCAS</w:t>
      </w:r>
      <w:r w:rsidRPr="003B7459">
        <w:t xml:space="preserve"> (and potentially lower network utilisation through higher safety margins in network limit calculations). Not following dispatch instructions may also be a method by which generators attempt to manipulate market outcomes. </w:t>
      </w:r>
      <w:r w:rsidR="00DC3257">
        <w:t xml:space="preserve">We </w:t>
      </w:r>
      <w:r w:rsidRPr="003B7459">
        <w:t xml:space="preserve">released a </w:t>
      </w:r>
      <w:hyperlink r:id="rId22" w:history="1">
        <w:r w:rsidR="002301CE">
          <w:rPr>
            <w:rStyle w:val="Hyperlink"/>
          </w:rPr>
          <w:t>compliance bulletin</w:t>
        </w:r>
      </w:hyperlink>
      <w:r w:rsidR="002301CE">
        <w:t xml:space="preserve"> </w:t>
      </w:r>
      <w:r w:rsidRPr="003B7459">
        <w:t>outlining</w:t>
      </w:r>
      <w:r w:rsidR="007D3A29">
        <w:t xml:space="preserve"> our</w:t>
      </w:r>
      <w:r w:rsidRPr="003B7459">
        <w:t xml:space="preserve"> expectations for generators following dispatch instructions in December 2006. The bulletin draws a distinction between following dispatch instructions and AEMO’s non-conformance procedures which are established under </w:t>
      </w:r>
      <w:r w:rsidR="007D3A29" w:rsidRPr="003B7459">
        <w:t>clause</w:t>
      </w:r>
      <w:r w:rsidR="007D3A29">
        <w:t> </w:t>
      </w:r>
      <w:r w:rsidRPr="003B7459">
        <w:t>3.8.23 of the Electricity Rules.</w:t>
      </w:r>
    </w:p>
    <w:p w:rsidR="002C7158" w:rsidRDefault="00A23D03" w:rsidP="003B7459">
      <w:pPr>
        <w:pStyle w:val="AERbodytext"/>
      </w:pPr>
      <w:r>
        <w:t xml:space="preserve">As part of this </w:t>
      </w:r>
      <w:r w:rsidR="007D3A29">
        <w:t>s</w:t>
      </w:r>
      <w:r>
        <w:t xml:space="preserve">trategic </w:t>
      </w:r>
      <w:r w:rsidR="007D3A29">
        <w:t>c</w:t>
      </w:r>
      <w:r>
        <w:t>ompliance</w:t>
      </w:r>
      <w:r w:rsidR="003B7459" w:rsidRPr="003B7459">
        <w:t xml:space="preserve"> </w:t>
      </w:r>
      <w:r w:rsidR="007D3A29">
        <w:t>p</w:t>
      </w:r>
      <w:r w:rsidR="003B7459" w:rsidRPr="003B7459">
        <w:t xml:space="preserve">roject, </w:t>
      </w:r>
      <w:r w:rsidR="00380F85">
        <w:t xml:space="preserve">we </w:t>
      </w:r>
      <w:r w:rsidR="003B7459" w:rsidRPr="003B7459">
        <w:t>examined generation data for the past three financial years and identi</w:t>
      </w:r>
      <w:r w:rsidR="00327AD1">
        <w:t>fied all dispatch intervals (</w:t>
      </w:r>
      <w:r w:rsidR="00327AD1" w:rsidRPr="00327AD1">
        <w:rPr>
          <w:b/>
        </w:rPr>
        <w:t>DI</w:t>
      </w:r>
      <w:r w:rsidR="003B7459" w:rsidRPr="003B7459">
        <w:t xml:space="preserve">) where </w:t>
      </w:r>
      <w:r w:rsidR="007D3A29">
        <w:t xml:space="preserve">the </w:t>
      </w:r>
      <w:r w:rsidR="003B7459" w:rsidRPr="003B7459">
        <w:t xml:space="preserve">actual generation for a unit differed from its generation target. </w:t>
      </w:r>
      <w:r w:rsidR="00380F85">
        <w:t xml:space="preserve">We </w:t>
      </w:r>
      <w:r w:rsidR="003B7459" w:rsidRPr="003B7459">
        <w:t xml:space="preserve">then isolated those instances which </w:t>
      </w:r>
      <w:r w:rsidR="00BA6373">
        <w:t xml:space="preserve">had </w:t>
      </w:r>
      <w:r w:rsidR="003B7459" w:rsidRPr="003B7459">
        <w:t xml:space="preserve">the greatest potential impact on market outcomes or system security by applying combinations of materiality thresholds (as set out below). </w:t>
      </w:r>
      <w:r>
        <w:t>These instances are shown in</w:t>
      </w:r>
      <w:r w:rsidR="003B7459" w:rsidRPr="003B7459">
        <w:t xml:space="preserve"> </w:t>
      </w:r>
      <w:r w:rsidR="00450695">
        <w:fldChar w:fldCharType="begin"/>
      </w:r>
      <w:r w:rsidR="00327AD1">
        <w:instrText xml:space="preserve"> REF _Ref353364783 \r \h </w:instrText>
      </w:r>
      <w:r w:rsidR="00450695">
        <w:fldChar w:fldCharType="separate"/>
      </w:r>
      <w:r w:rsidR="008C4BA5">
        <w:t>Figure 1.2</w:t>
      </w:r>
      <w:r w:rsidR="00450695">
        <w:fldChar w:fldCharType="end"/>
      </w:r>
      <w:r w:rsidR="00F34748">
        <w:t>,</w:t>
      </w:r>
      <w:r w:rsidR="003B7459" w:rsidRPr="003B7459">
        <w:t xml:space="preserve"> which shows the number of events for each of the materiality thresholds for</w:t>
      </w:r>
      <w:r w:rsidR="00327AD1">
        <w:t xml:space="preserve"> the</w:t>
      </w:r>
      <w:r w:rsidR="003B7459" w:rsidRPr="003B7459">
        <w:t xml:space="preserve"> past three financial years.</w:t>
      </w:r>
    </w:p>
    <w:p w:rsidR="003B7459" w:rsidRDefault="00A23D03" w:rsidP="00372CBB">
      <w:pPr>
        <w:pStyle w:val="AERfigureheading"/>
      </w:pPr>
      <w:bookmarkStart w:id="42" w:name="_Ref353364783"/>
      <w:r>
        <w:lastRenderedPageBreak/>
        <w:t>The number of events for each of the materiality thresholds</w:t>
      </w:r>
      <w:bookmarkEnd w:id="42"/>
    </w:p>
    <w:p w:rsidR="003B7459" w:rsidRDefault="00A02BC9" w:rsidP="003B7459">
      <w:r>
        <w:pict>
          <v:shape id="_x0000_i1026" type="#_x0000_t75" style="width:452.25pt;height:236.25pt">
            <v:imagedata r:id="rId23" o:title=""/>
          </v:shape>
        </w:pict>
      </w:r>
    </w:p>
    <w:p w:rsidR="00CA6568" w:rsidRPr="00CA6568" w:rsidRDefault="00CA6568" w:rsidP="00CA6568">
      <w:pPr>
        <w:pStyle w:val="AERbodytext"/>
      </w:pPr>
    </w:p>
    <w:p w:rsidR="00CA6568" w:rsidRPr="00CA6568" w:rsidRDefault="00380F85" w:rsidP="00CA6568">
      <w:pPr>
        <w:pStyle w:val="AERbodytext"/>
      </w:pPr>
      <w:r>
        <w:t>Our</w:t>
      </w:r>
      <w:r w:rsidR="00CA6568" w:rsidRPr="00CA6568">
        <w:t xml:space="preserve"> analysis identified 24 </w:t>
      </w:r>
      <w:r w:rsidR="00327AD1">
        <w:t>Registered Participants in 2011–</w:t>
      </w:r>
      <w:r w:rsidR="00CA6568" w:rsidRPr="00CA6568">
        <w:t>12 which, on various occasio</w:t>
      </w:r>
      <w:r w:rsidR="00327AD1">
        <w:t xml:space="preserve">ns, triggered the thresholds. </w:t>
      </w:r>
      <w:r>
        <w:t>We</w:t>
      </w:r>
      <w:r w:rsidR="00CA6568" w:rsidRPr="00CA6568">
        <w:t xml:space="preserve"> contacted the Registered Participants </w:t>
      </w:r>
      <w:r w:rsidR="007D3A29">
        <w:t xml:space="preserve">who </w:t>
      </w:r>
      <w:r>
        <w:t>we</w:t>
      </w:r>
      <w:r w:rsidR="00CA6568" w:rsidRPr="00CA6568">
        <w:t xml:space="preserve"> considered to have the worst performance against the measures </w:t>
      </w:r>
      <w:r w:rsidR="00327AD1">
        <w:t>and sought an</w:t>
      </w:r>
      <w:r w:rsidR="00CA6568" w:rsidRPr="00CA6568">
        <w:t xml:space="preserve"> explanation and the actions that will be taken to ensure that the Electricity Rules requirements are met going forward. </w:t>
      </w:r>
    </w:p>
    <w:p w:rsidR="00CA6568" w:rsidRPr="00CA6568" w:rsidRDefault="00CA6568" w:rsidP="00CA6568">
      <w:pPr>
        <w:pStyle w:val="AERbodytext"/>
      </w:pPr>
      <w:r w:rsidRPr="00CA6568">
        <w:t>A detailed description of each of the combinations of thresholds is set out below.</w:t>
      </w:r>
    </w:p>
    <w:p w:rsidR="00CA6568" w:rsidRPr="00CA6568" w:rsidRDefault="00CA6568" w:rsidP="00CA6568">
      <w:pPr>
        <w:pStyle w:val="AERbodytext"/>
        <w:keepNext/>
        <w:rPr>
          <w:rStyle w:val="AERtextbold"/>
        </w:rPr>
      </w:pPr>
      <w:r w:rsidRPr="00CA6568">
        <w:rPr>
          <w:rStyle w:val="AERtextbold"/>
        </w:rPr>
        <w:t>1. Dispatch price was less than $0/</w:t>
      </w:r>
      <w:proofErr w:type="spellStart"/>
      <w:r w:rsidRPr="00CA6568">
        <w:rPr>
          <w:rStyle w:val="AERtextbold"/>
        </w:rPr>
        <w:t>MWh</w:t>
      </w:r>
      <w:proofErr w:type="spellEnd"/>
      <w:r w:rsidRPr="00CA6568">
        <w:rPr>
          <w:rStyle w:val="AERtextbold"/>
        </w:rPr>
        <w:t xml:space="preserve"> or greater than $100/</w:t>
      </w:r>
      <w:proofErr w:type="spellStart"/>
      <w:r w:rsidRPr="00CA6568">
        <w:rPr>
          <w:rStyle w:val="AERtextbold"/>
        </w:rPr>
        <w:t>MWh</w:t>
      </w:r>
      <w:proofErr w:type="spellEnd"/>
    </w:p>
    <w:p w:rsidR="002C7FDC" w:rsidRDefault="002C7FDC" w:rsidP="00CA6568">
      <w:pPr>
        <w:pStyle w:val="AERbodytext"/>
      </w:pPr>
      <w:r>
        <w:t xml:space="preserve">For each generating unit over the last three financial years, </w:t>
      </w:r>
      <w:r w:rsidR="00380F85">
        <w:t>we</w:t>
      </w:r>
      <w:r>
        <w:t xml:space="preserve"> conducted a count of instances where:</w:t>
      </w:r>
      <w:r w:rsidRPr="008D576F">
        <w:t xml:space="preserve"> </w:t>
      </w:r>
    </w:p>
    <w:p w:rsidR="00AA5B35" w:rsidRDefault="002C7FDC" w:rsidP="00AA5B35">
      <w:pPr>
        <w:pStyle w:val="AERbulletlistsecondstyle"/>
      </w:pPr>
      <w:r>
        <w:t>the dispatch price was less than $0/</w:t>
      </w:r>
      <w:proofErr w:type="spellStart"/>
      <w:r>
        <w:t>MWh</w:t>
      </w:r>
      <w:proofErr w:type="spellEnd"/>
      <w:r>
        <w:t xml:space="preserve"> or greater than $100/</w:t>
      </w:r>
      <w:proofErr w:type="spellStart"/>
      <w:r>
        <w:t>MWh</w:t>
      </w:r>
      <w:proofErr w:type="spellEnd"/>
      <w:r>
        <w:t>; and</w:t>
      </w:r>
    </w:p>
    <w:p w:rsidR="00AA5B35" w:rsidRDefault="002C7FDC" w:rsidP="00AA5B35">
      <w:pPr>
        <w:pStyle w:val="AERbulletlistsecondstyle"/>
      </w:pPr>
      <w:proofErr w:type="gramStart"/>
      <w:r>
        <w:t>the</w:t>
      </w:r>
      <w:proofErr w:type="gramEnd"/>
      <w:r>
        <w:t xml:space="preserve"> unit was missing its target by greater than 5MW or 5</w:t>
      </w:r>
      <w:r w:rsidR="002301CE">
        <w:t> per cent</w:t>
      </w:r>
      <w:r>
        <w:t xml:space="preserve"> of its bid availability for more than two consecutive DIs.</w:t>
      </w:r>
    </w:p>
    <w:p w:rsidR="00CA6568" w:rsidRDefault="00290AD9" w:rsidP="00CA6568">
      <w:pPr>
        <w:pStyle w:val="AERbodytext"/>
      </w:pPr>
      <w:r>
        <w:t>At</w:t>
      </w:r>
      <w:r w:rsidR="00CA6568">
        <w:t xml:space="preserve"> times of particularly low or high dispatch prices, a generator may intentionally not follow dispatch instructions </w:t>
      </w:r>
      <w:r w:rsidR="001535CE">
        <w:t>for commercial gain</w:t>
      </w:r>
      <w:r w:rsidR="00CA6568">
        <w:t xml:space="preserve">. To isolate the incidents which may have the greatest effect on the market, a threshold was also placed on the extent of the divergence from target. </w:t>
      </w:r>
      <w:r w:rsidR="000906F4">
        <w:t xml:space="preserve">The results for </w:t>
      </w:r>
      <w:r w:rsidR="000906F4" w:rsidRPr="002301CE">
        <w:t>2011</w:t>
      </w:r>
      <w:r w:rsidR="007D3A29" w:rsidRPr="002301CE">
        <w:noBreakHyphen/>
      </w:r>
      <w:r w:rsidR="000906F4" w:rsidRPr="002301CE">
        <w:t>12</w:t>
      </w:r>
      <w:r w:rsidR="000906F4">
        <w:t xml:space="preserve"> highlighted 130 instances where th</w:t>
      </w:r>
      <w:r w:rsidR="00DF55A1">
        <w:t>is</w:t>
      </w:r>
      <w:r w:rsidR="000906F4">
        <w:t xml:space="preserve"> combination of factors </w:t>
      </w:r>
      <w:r w:rsidR="00DF55A1">
        <w:t xml:space="preserve">was </w:t>
      </w:r>
      <w:r w:rsidR="000906F4">
        <w:t xml:space="preserve">not met. </w:t>
      </w:r>
      <w:r w:rsidR="00DF55A1">
        <w:t>We contacted t</w:t>
      </w:r>
      <w:r w:rsidR="000906F4">
        <w:t>he worst t</w:t>
      </w:r>
      <w:r w:rsidR="00CA6568">
        <w:t>wo Registered Participants in relation to not following dispatch instructions under this combination of factors.</w:t>
      </w:r>
      <w:r w:rsidR="00E20C02">
        <w:t xml:space="preserve"> </w:t>
      </w:r>
    </w:p>
    <w:p w:rsidR="00CA6568" w:rsidRPr="00CA6568" w:rsidRDefault="00CA6568" w:rsidP="00CA6568">
      <w:pPr>
        <w:pStyle w:val="AERbodytext"/>
        <w:keepNext/>
        <w:rPr>
          <w:rStyle w:val="AERtextbold"/>
        </w:rPr>
      </w:pPr>
      <w:r w:rsidRPr="00CA6568">
        <w:rPr>
          <w:rStyle w:val="AERtextbold"/>
        </w:rPr>
        <w:t>2. Constraint directly affecting the generating unit was binding</w:t>
      </w:r>
    </w:p>
    <w:p w:rsidR="002C7FDC" w:rsidRPr="00CA6568" w:rsidRDefault="002C7FDC" w:rsidP="002301CE">
      <w:pPr>
        <w:pStyle w:val="AERbodytext"/>
        <w:keepNext/>
      </w:pPr>
      <w:r w:rsidRPr="00CA6568">
        <w:t xml:space="preserve">For each generating unit over the last three financial years, </w:t>
      </w:r>
      <w:r w:rsidR="00380F85">
        <w:t xml:space="preserve">we </w:t>
      </w:r>
      <w:r w:rsidRPr="00CA6568">
        <w:t xml:space="preserve">conducted a count of instances where: </w:t>
      </w:r>
    </w:p>
    <w:p w:rsidR="00AA5B35" w:rsidRDefault="002C7FDC" w:rsidP="00AA5B35">
      <w:pPr>
        <w:pStyle w:val="AERbulletlistsecondstyle"/>
      </w:pPr>
      <w:r w:rsidRPr="00CA6568">
        <w:t xml:space="preserve">the left hand side of a constraint affecting the generating unit is binding; and </w:t>
      </w:r>
    </w:p>
    <w:p w:rsidR="00AA5B35" w:rsidRDefault="002C7FDC" w:rsidP="00AA5B35">
      <w:pPr>
        <w:pStyle w:val="AERbulletlistsecondstyle"/>
      </w:pPr>
      <w:r w:rsidRPr="00CA6568">
        <w:t>the dispatch price was less than $0/</w:t>
      </w:r>
      <w:proofErr w:type="spellStart"/>
      <w:r w:rsidRPr="00CA6568">
        <w:t>MWh</w:t>
      </w:r>
      <w:proofErr w:type="spellEnd"/>
      <w:r w:rsidRPr="00CA6568">
        <w:t xml:space="preserve"> or greater than $100/</w:t>
      </w:r>
      <w:proofErr w:type="spellStart"/>
      <w:r w:rsidRPr="00CA6568">
        <w:t>MWh</w:t>
      </w:r>
      <w:proofErr w:type="spellEnd"/>
      <w:r w:rsidRPr="00CA6568">
        <w:t>; and</w:t>
      </w:r>
    </w:p>
    <w:p w:rsidR="00AA5B35" w:rsidRDefault="002C7FDC" w:rsidP="00AA5B35">
      <w:pPr>
        <w:pStyle w:val="AERbulletlistsecondstyle"/>
      </w:pPr>
      <w:proofErr w:type="gramStart"/>
      <w:r w:rsidRPr="00CA6568">
        <w:lastRenderedPageBreak/>
        <w:t>the</w:t>
      </w:r>
      <w:proofErr w:type="gramEnd"/>
      <w:r w:rsidRPr="00CA6568">
        <w:t xml:space="preserve"> unit was missing its target by greater than 5MW or 5</w:t>
      </w:r>
      <w:r w:rsidR="002301CE">
        <w:t> per cent</w:t>
      </w:r>
      <w:r w:rsidRPr="00CA6568">
        <w:t xml:space="preserve"> of its bid availability for more than two consecutive DIs.</w:t>
      </w:r>
    </w:p>
    <w:p w:rsidR="00E0671E" w:rsidRDefault="00290AD9">
      <w:pPr>
        <w:pStyle w:val="AERbodytext"/>
      </w:pPr>
      <w:r>
        <w:t>D</w:t>
      </w:r>
      <w:r w:rsidR="00CA6568" w:rsidRPr="00CA6568">
        <w:t xml:space="preserve">iverging from a dispatch target may be particularly harmful to the market where a constraint is binding on the diverging unit as there is already some restriction in the power system. To maintain system security at times of binding constraints, it is particularly important that generating units follow dispatch instructions. To isolate the incidents which may have the greatest effect on the market, </w:t>
      </w:r>
      <w:r w:rsidR="00380F85">
        <w:t xml:space="preserve">we </w:t>
      </w:r>
      <w:r w:rsidR="00CA6568" w:rsidRPr="00CA6568">
        <w:t>also placed thresholds on the dispatch price at the time of non</w:t>
      </w:r>
      <w:r w:rsidR="00CA6568" w:rsidRPr="00CA6568">
        <w:noBreakHyphen/>
        <w:t xml:space="preserve">compliance and the extent of the divergence from target. </w:t>
      </w:r>
    </w:p>
    <w:p w:rsidR="00CA6568" w:rsidRPr="00CA6568" w:rsidRDefault="000906F4" w:rsidP="00CA6568">
      <w:pPr>
        <w:pStyle w:val="AERbodytext"/>
      </w:pPr>
      <w:r>
        <w:t xml:space="preserve">Based on 129 instances in 2011-12 where this threshold was breached, </w:t>
      </w:r>
      <w:r w:rsidR="00DF55A1">
        <w:t xml:space="preserve">we contacted </w:t>
      </w:r>
      <w:r w:rsidR="00CA6568" w:rsidRPr="00CA6568">
        <w:t>four Registered Participants in relation to not following dispatch instructions under this combination of factors.</w:t>
      </w:r>
    </w:p>
    <w:p w:rsidR="00CA6568" w:rsidRPr="00CA6568" w:rsidRDefault="00CA6568" w:rsidP="00CA6568">
      <w:pPr>
        <w:pStyle w:val="AERbodytext"/>
        <w:keepNext/>
        <w:rPr>
          <w:rStyle w:val="AERtextbold"/>
        </w:rPr>
      </w:pPr>
      <w:r w:rsidRPr="00CA6568">
        <w:rPr>
          <w:rStyle w:val="AERtextbold"/>
        </w:rPr>
        <w:t xml:space="preserve">3. Generating unit started generating while it had a zero target from AEMO </w:t>
      </w:r>
    </w:p>
    <w:p w:rsidR="002C7FDC" w:rsidRPr="00CA6568" w:rsidRDefault="002C7FDC" w:rsidP="002C7FDC">
      <w:pPr>
        <w:pStyle w:val="AERbodytext"/>
      </w:pPr>
      <w:r w:rsidRPr="00CA6568">
        <w:t xml:space="preserve">For each generating unit over the last three financial years, </w:t>
      </w:r>
      <w:r w:rsidR="00380F85">
        <w:t xml:space="preserve">we </w:t>
      </w:r>
      <w:r w:rsidRPr="00CA6568">
        <w:t xml:space="preserve">conducted a count of instances where: </w:t>
      </w:r>
    </w:p>
    <w:p w:rsidR="00AA5B35" w:rsidRDefault="002C7FDC" w:rsidP="00AA5B35">
      <w:pPr>
        <w:pStyle w:val="AERbulletlistsecondstyle"/>
      </w:pPr>
      <w:r w:rsidRPr="00CA6568">
        <w:t>the dispatch price was less than $0/</w:t>
      </w:r>
      <w:proofErr w:type="spellStart"/>
      <w:r w:rsidRPr="00CA6568">
        <w:t>MWh</w:t>
      </w:r>
      <w:proofErr w:type="spellEnd"/>
      <w:r w:rsidRPr="00CA6568">
        <w:t xml:space="preserve"> or greater than $100/</w:t>
      </w:r>
      <w:proofErr w:type="spellStart"/>
      <w:r w:rsidRPr="00CA6568">
        <w:t>MWh</w:t>
      </w:r>
      <w:proofErr w:type="spellEnd"/>
      <w:r w:rsidRPr="00CA6568">
        <w:t>; and</w:t>
      </w:r>
    </w:p>
    <w:p w:rsidR="00AA5B35" w:rsidRDefault="002C7FDC" w:rsidP="00AA5B35">
      <w:pPr>
        <w:pStyle w:val="AERbulletlistsecondstyle"/>
      </w:pPr>
      <w:proofErr w:type="gramStart"/>
      <w:r w:rsidRPr="00CA6568">
        <w:t>the</w:t>
      </w:r>
      <w:proofErr w:type="gramEnd"/>
      <w:r w:rsidRPr="00CA6568">
        <w:t xml:space="preserve"> generating unit’s target was zero but its metered generation is greater than 20MW for more than two consecutive DIs. </w:t>
      </w:r>
    </w:p>
    <w:p w:rsidR="00CA6568" w:rsidRPr="00CA6568" w:rsidRDefault="00290AD9" w:rsidP="000906F4">
      <w:pPr>
        <w:pStyle w:val="AERbodytext"/>
      </w:pPr>
      <w:r>
        <w:t>I</w:t>
      </w:r>
      <w:r w:rsidR="00CA6568" w:rsidRPr="00CA6568">
        <w:t>t may be harmful to system security when a unit starts generating without a target from AEMO. To isolate the incidents which may have the greatest effect on the market, thresholds were placed on the dispatch price at the time of non-compliance</w:t>
      </w:r>
      <w:r w:rsidR="000906F4">
        <w:t xml:space="preserve"> In 2011-12 there were 7 instances flagged using this scenario resulting in </w:t>
      </w:r>
      <w:r w:rsidR="00DF55A1">
        <w:t>us contacting one</w:t>
      </w:r>
      <w:r w:rsidR="00DF55A1" w:rsidRPr="00CA6568">
        <w:t xml:space="preserve"> </w:t>
      </w:r>
      <w:r w:rsidR="00CA6568" w:rsidRPr="00CA6568">
        <w:t>Registered Participant.</w:t>
      </w:r>
    </w:p>
    <w:p w:rsidR="00CA6568" w:rsidRPr="00CA6568" w:rsidRDefault="00CA6568" w:rsidP="00CA6568">
      <w:pPr>
        <w:pStyle w:val="AERbodytext"/>
        <w:keepNext/>
        <w:rPr>
          <w:rStyle w:val="AERtextbold"/>
        </w:rPr>
      </w:pPr>
      <w:r w:rsidRPr="00CA6568">
        <w:rPr>
          <w:rStyle w:val="AERtextbold"/>
        </w:rPr>
        <w:t xml:space="preserve">Key issues identified in Registered Participant responses </w:t>
      </w:r>
    </w:p>
    <w:p w:rsidR="00CA6568" w:rsidRPr="00CA6568" w:rsidRDefault="00DC3257" w:rsidP="00CA6568">
      <w:pPr>
        <w:pStyle w:val="AERbodytext"/>
      </w:pPr>
      <w:r>
        <w:t xml:space="preserve">We </w:t>
      </w:r>
      <w:r w:rsidR="00CA6568" w:rsidRPr="00CA6568">
        <w:t>sent a total of seven inquiries to five Registered Participants (two Registered Participants each received two inquiries). Registered Participants outlined that human error, systems failures and communications breakdowns were common contributors to their ability to follow dispatch instructions. In addition, the following key issues were identified in their responses:</w:t>
      </w:r>
    </w:p>
    <w:p w:rsidR="00AA5B35" w:rsidRDefault="00CA6568" w:rsidP="00AA5B35">
      <w:pPr>
        <w:pStyle w:val="AERbulletlistsecondstyle"/>
      </w:pPr>
      <w:r w:rsidRPr="00CA6568">
        <w:t>AEMO’s non-conformance procedures</w:t>
      </w:r>
    </w:p>
    <w:p w:rsidR="00AA5B35" w:rsidRDefault="00CA6568" w:rsidP="00AA5B35">
      <w:pPr>
        <w:pStyle w:val="AERbulletlistsecondstyle"/>
      </w:pPr>
      <w:r w:rsidRPr="00CA6568">
        <w:t>technical plant limitations</w:t>
      </w:r>
    </w:p>
    <w:p w:rsidR="00AA5B35" w:rsidRDefault="00CA6568" w:rsidP="00AA5B35">
      <w:pPr>
        <w:pStyle w:val="AERbulletlistsecondstyle"/>
      </w:pPr>
      <w:r w:rsidRPr="00CA6568">
        <w:t>fluctuating stop and start signals</w:t>
      </w:r>
    </w:p>
    <w:p w:rsidR="00AA5B35" w:rsidRDefault="00CA6568" w:rsidP="00AA5B35">
      <w:pPr>
        <w:pStyle w:val="AERbulletlistsecondstyle"/>
      </w:pPr>
      <w:r w:rsidRPr="00CA6568">
        <w:t xml:space="preserve">the use of Automatic Generator Control </w:t>
      </w:r>
      <w:r w:rsidR="002301CE">
        <w:t>(</w:t>
      </w:r>
      <w:r w:rsidR="002301CE" w:rsidRPr="002301CE">
        <w:rPr>
          <w:b/>
        </w:rPr>
        <w:t>AGC</w:t>
      </w:r>
      <w:r w:rsidR="002301CE">
        <w:t>)</w:t>
      </w:r>
    </w:p>
    <w:p w:rsidR="00AA5B35" w:rsidRDefault="00CA6568" w:rsidP="00AA5B35">
      <w:pPr>
        <w:pStyle w:val="AERbulletlistsecondstyle"/>
      </w:pPr>
      <w:proofErr w:type="gramStart"/>
      <w:r w:rsidRPr="00CA6568">
        <w:t>the</w:t>
      </w:r>
      <w:proofErr w:type="gramEnd"/>
      <w:r w:rsidRPr="00CA6568">
        <w:t xml:space="preserve"> provision of regulation FCAS </w:t>
      </w:r>
      <w:r w:rsidRPr="002301CE">
        <w:t>services</w:t>
      </w:r>
      <w:r w:rsidR="00DF55A1">
        <w:t>.</w:t>
      </w:r>
    </w:p>
    <w:p w:rsidR="00CA6568" w:rsidRPr="00CA6568" w:rsidRDefault="00CA6568" w:rsidP="00CA6568">
      <w:pPr>
        <w:pStyle w:val="AERbodytext"/>
      </w:pPr>
      <w:r w:rsidRPr="00CA6568">
        <w:t xml:space="preserve">A summary of each key issue, as raised by </w:t>
      </w:r>
      <w:proofErr w:type="gramStart"/>
      <w:r w:rsidRPr="00CA6568">
        <w:t>participants,</w:t>
      </w:r>
      <w:proofErr w:type="gramEnd"/>
      <w:r w:rsidRPr="00CA6568">
        <w:t xml:space="preserve"> and an outline of </w:t>
      </w:r>
      <w:r w:rsidR="00DC3257">
        <w:t>our</w:t>
      </w:r>
      <w:r w:rsidR="00DC3257" w:rsidRPr="00CA6568">
        <w:t xml:space="preserve"> </w:t>
      </w:r>
      <w:r w:rsidRPr="00CA6568">
        <w:t xml:space="preserve">expectations in relation to each of them is below. </w:t>
      </w:r>
    </w:p>
    <w:p w:rsidR="00CA6568" w:rsidRPr="00CA6568" w:rsidRDefault="00CA6568" w:rsidP="00CA6568">
      <w:pPr>
        <w:pStyle w:val="AERbodytext"/>
        <w:keepNext/>
        <w:rPr>
          <w:rStyle w:val="AERtextbold"/>
        </w:rPr>
      </w:pPr>
      <w:r w:rsidRPr="00CA6568">
        <w:rPr>
          <w:rStyle w:val="AERtextbold"/>
        </w:rPr>
        <w:t>AEMO’s non-conformance procedures</w:t>
      </w:r>
    </w:p>
    <w:p w:rsidR="00CA6568" w:rsidRPr="00CA6568" w:rsidRDefault="00CA6568" w:rsidP="00CA6568">
      <w:pPr>
        <w:pStyle w:val="AERbodytext"/>
      </w:pPr>
      <w:r w:rsidRPr="00CA6568">
        <w:t xml:space="preserve">Participants agreed with </w:t>
      </w:r>
      <w:r w:rsidR="00DC3257">
        <w:t>our</w:t>
      </w:r>
      <w:r w:rsidRPr="00CA6568">
        <w:t xml:space="preserve"> data </w:t>
      </w:r>
      <w:r w:rsidR="00DC3257">
        <w:t xml:space="preserve">which </w:t>
      </w:r>
      <w:r w:rsidRPr="00CA6568">
        <w:t>outlin</w:t>
      </w:r>
      <w:r w:rsidR="00DC3257">
        <w:t>ed</w:t>
      </w:r>
      <w:r w:rsidRPr="00CA6568">
        <w:t xml:space="preserve"> when their generating units failed to follow dispatch instructions</w:t>
      </w:r>
      <w:r w:rsidR="009B49BB">
        <w:t>.</w:t>
      </w:r>
      <w:r w:rsidRPr="00CA6568">
        <w:t xml:space="preserve"> </w:t>
      </w:r>
      <w:r w:rsidR="009B49BB">
        <w:t>A</w:t>
      </w:r>
      <w:r w:rsidRPr="00CA6568">
        <w:t xml:space="preserve"> number of them</w:t>
      </w:r>
      <w:r w:rsidR="009B49BB">
        <w:t>, however,</w:t>
      </w:r>
      <w:r w:rsidRPr="00CA6568">
        <w:t xml:space="preserve"> noted that the units were declared as non-conforming by AEMO in only a few of the </w:t>
      </w:r>
      <w:r w:rsidR="002F487C">
        <w:t xml:space="preserve">instances </w:t>
      </w:r>
      <w:r w:rsidRPr="00CA6568">
        <w:t xml:space="preserve">identified </w:t>
      </w:r>
      <w:r w:rsidR="003403C1">
        <w:t xml:space="preserve">by </w:t>
      </w:r>
      <w:r w:rsidR="00380F85">
        <w:t>us</w:t>
      </w:r>
      <w:r w:rsidRPr="00CA6568">
        <w:t xml:space="preserve">. </w:t>
      </w:r>
    </w:p>
    <w:p w:rsidR="00CA6568" w:rsidRPr="00CA6568" w:rsidRDefault="00CA6568" w:rsidP="00CA6568">
      <w:pPr>
        <w:pStyle w:val="AERbodytext"/>
      </w:pPr>
      <w:r w:rsidRPr="00CA6568">
        <w:lastRenderedPageBreak/>
        <w:t xml:space="preserve">As noted above, </w:t>
      </w:r>
      <w:r w:rsidR="00DC3257">
        <w:t xml:space="preserve">we </w:t>
      </w:r>
      <w:r w:rsidRPr="00CA6568">
        <w:t xml:space="preserve">released a </w:t>
      </w:r>
      <w:r w:rsidR="003E305F">
        <w:t>C</w:t>
      </w:r>
      <w:r w:rsidRPr="00CA6568">
        <w:t xml:space="preserve">ompliance </w:t>
      </w:r>
      <w:r w:rsidR="003E305F">
        <w:t>B</w:t>
      </w:r>
      <w:r w:rsidRPr="00CA6568">
        <w:t xml:space="preserve">ulletin outlining </w:t>
      </w:r>
      <w:r w:rsidR="00DC3257">
        <w:t>our</w:t>
      </w:r>
      <w:r w:rsidR="00DC3257" w:rsidRPr="00CA6568">
        <w:t xml:space="preserve"> </w:t>
      </w:r>
      <w:r w:rsidRPr="00CA6568">
        <w:t xml:space="preserve">expectations for generators following dispatch instructions in December 2006, distinguishing between </w:t>
      </w:r>
      <w:r w:rsidRPr="00CA6568">
        <w:rPr>
          <w:szCs w:val="20"/>
        </w:rPr>
        <w:t xml:space="preserve">following dispatch instructions under Electricity Rules clause 4.9.8(a) and AEMO’s non-conformance procedures which are established under clause 3.8.23. </w:t>
      </w:r>
    </w:p>
    <w:p w:rsidR="00CA6568" w:rsidRPr="00CA6568" w:rsidRDefault="00CA6568" w:rsidP="00CA6568">
      <w:pPr>
        <w:pStyle w:val="AERbodytext"/>
      </w:pPr>
      <w:r w:rsidRPr="00CA6568">
        <w:t>The requirement for participants to comply with dispatch instructions, as specified in chapter 4 of the Electricity Rules, is fundamental to the secure operation of the power system. The non-conformance procedures of chapter 3 are designed to serve a different function, ensuring that AEMO realigns the pricing and dispatch outcomes when participants fail to respond to a dispatch instruction within a tolerable time and accuracy. AEMO has developed, and amends from time to time, procedures for managing the failure to conform to dispatch instructions under clause 3.8.23 of the Rules.</w:t>
      </w:r>
    </w:p>
    <w:p w:rsidR="00CA6568" w:rsidRPr="00CA6568" w:rsidRDefault="00CA6568" w:rsidP="00CA6568">
      <w:pPr>
        <w:pStyle w:val="AERbodytext"/>
      </w:pPr>
      <w:r w:rsidRPr="00CA6568">
        <w:t xml:space="preserve">Participants should not interpret the chapter 3 provisions to mean that if a generator is not flagged as non-conforming by the procedures established by AEMO under clause 3.8.23 of the Rules, then the obligation to follow dispatch instructions under clause 4.9.8(a) is automatically satisfied. </w:t>
      </w:r>
      <w:r w:rsidR="00CD09CC">
        <w:t>We consider t</w:t>
      </w:r>
      <w:r w:rsidRPr="00CA6568">
        <w:t xml:space="preserve">he obligations established under clause 4.9.8(a) are clear and apply irrespective of AEMO’s </w:t>
      </w:r>
      <w:r w:rsidRPr="002301CE">
        <w:t>non</w:t>
      </w:r>
      <w:r w:rsidR="00DF55A1" w:rsidRPr="00795DCA">
        <w:noBreakHyphen/>
      </w:r>
      <w:r w:rsidRPr="00CA6568">
        <w:t xml:space="preserve">conformance procedures. AEMO agrees with this interpretation. </w:t>
      </w:r>
    </w:p>
    <w:p w:rsidR="00CA6568" w:rsidRPr="00AD1256" w:rsidRDefault="00380F85" w:rsidP="00CA6568">
      <w:pPr>
        <w:pStyle w:val="AERbodytext"/>
      </w:pPr>
      <w:r>
        <w:t>We</w:t>
      </w:r>
      <w:r w:rsidR="00CA6568" w:rsidRPr="00CA6568">
        <w:t xml:space="preserve"> </w:t>
      </w:r>
      <w:r>
        <w:t>are</w:t>
      </w:r>
      <w:r w:rsidR="00CA6568" w:rsidRPr="00CA6568">
        <w:t xml:space="preserve"> concerned that participants are not tracking all instances where their units are failing to follow dispatch instructions. The obligation to follow dispatch instructions under clause 4.9.8(a) applies to all dispatch intervals</w:t>
      </w:r>
      <w:r w:rsidR="003E305F">
        <w:t>.</w:t>
      </w:r>
      <w:r w:rsidR="00CA6568" w:rsidRPr="00CA6568">
        <w:t xml:space="preserve"> </w:t>
      </w:r>
      <w:r w:rsidR="003E305F">
        <w:t>F</w:t>
      </w:r>
      <w:r w:rsidR="00CA6568" w:rsidRPr="00CA6568">
        <w:t>or all divergences, participants should have a system in place that identifies</w:t>
      </w:r>
      <w:r w:rsidR="003403C1">
        <w:t>, and where appropriate address</w:t>
      </w:r>
      <w:r w:rsidR="002F487C">
        <w:t>es</w:t>
      </w:r>
      <w:r w:rsidR="003403C1">
        <w:t xml:space="preserve"> </w:t>
      </w:r>
      <w:r w:rsidR="00CA6568" w:rsidRPr="00CA6568">
        <w:t>all instances of divergence from target.</w:t>
      </w:r>
    </w:p>
    <w:p w:rsidR="00CA6568" w:rsidRPr="00CA6568" w:rsidRDefault="00CA6568" w:rsidP="00CA6568">
      <w:pPr>
        <w:pStyle w:val="AERbodytext"/>
        <w:keepNext/>
        <w:rPr>
          <w:rStyle w:val="AERtextbold"/>
        </w:rPr>
      </w:pPr>
      <w:r w:rsidRPr="00CA6568">
        <w:rPr>
          <w:rStyle w:val="AERtextbold"/>
        </w:rPr>
        <w:t>Technical plant limitations</w:t>
      </w:r>
    </w:p>
    <w:p w:rsidR="00CA6568" w:rsidRPr="00CA6568" w:rsidRDefault="00CA6568" w:rsidP="00CA6568">
      <w:pPr>
        <w:pStyle w:val="AERbodytext"/>
      </w:pPr>
      <w:r w:rsidRPr="00CA6568">
        <w:t>Participants flagged technical plant limitations which can affect their ability to follow dispatch instructions. Common limitations identified were: slower than expected ramping, unexpected change</w:t>
      </w:r>
      <w:r w:rsidR="00DF55A1">
        <w:t>s</w:t>
      </w:r>
      <w:r w:rsidRPr="00CA6568">
        <w:t xml:space="preserve"> in plant conditions, ambient issues and evaporative cooler trips.</w:t>
      </w:r>
    </w:p>
    <w:p w:rsidR="00CA6568" w:rsidRPr="00CA6568" w:rsidRDefault="00CA6568" w:rsidP="00CA6568">
      <w:pPr>
        <w:pStyle w:val="AERbodytext"/>
      </w:pPr>
      <w:r w:rsidRPr="00CA6568">
        <w:t>Participants stated that they have put several processes in place to better account for technical plant limitations. These include:</w:t>
      </w:r>
    </w:p>
    <w:p w:rsidR="00AA5B35" w:rsidRDefault="00CA6568" w:rsidP="00AA5B35">
      <w:pPr>
        <w:pStyle w:val="AERbulletlistsecondstyle"/>
      </w:pPr>
      <w:r w:rsidRPr="00CA6568">
        <w:t>investigating the possibility of an increased ramp rate</w:t>
      </w:r>
    </w:p>
    <w:p w:rsidR="00AA5B35" w:rsidRDefault="00CA6568" w:rsidP="00AA5B35">
      <w:pPr>
        <w:pStyle w:val="AERbulletlistsecondstyle"/>
      </w:pPr>
      <w:r w:rsidRPr="00CA6568">
        <w:t>a review and refinement of ramp rates and fast start inflexibility profile to ensure they accurately reflect the unit’s capabilities</w:t>
      </w:r>
    </w:p>
    <w:p w:rsidR="00AA5B35" w:rsidRDefault="00CA6568" w:rsidP="00AA5B35">
      <w:pPr>
        <w:pStyle w:val="AERbulletlistsecondstyle"/>
      </w:pPr>
      <w:r w:rsidRPr="00CA6568">
        <w:t>control system modification to inform the trader of unit limitations as they arise, allowing a quicker response when the unit is unable to reach its target</w:t>
      </w:r>
    </w:p>
    <w:p w:rsidR="00AA5B35" w:rsidRDefault="00CA6568" w:rsidP="00AA5B35">
      <w:pPr>
        <w:pStyle w:val="AERbulletlistsecondstyle"/>
      </w:pPr>
      <w:r w:rsidRPr="00CA6568">
        <w:t xml:space="preserve">developing </w:t>
      </w:r>
      <w:r w:rsidR="00DF55A1">
        <w:t>‘</w:t>
      </w:r>
      <w:r w:rsidRPr="002301CE">
        <w:t>derate curves</w:t>
      </w:r>
      <w:r w:rsidR="00DF55A1" w:rsidRPr="002301CE">
        <w:rPr>
          <w:rFonts w:hint="eastAsia"/>
        </w:rPr>
        <w:t>’</w:t>
      </w:r>
      <w:r w:rsidRPr="00CA6568">
        <w:t xml:space="preserve"> showing the relationship between ambient conditions and plant output to project a unit’s maximum output under various conditions </w:t>
      </w:r>
    </w:p>
    <w:p w:rsidR="00AA5B35" w:rsidRDefault="003403C1" w:rsidP="00AA5B35">
      <w:pPr>
        <w:pStyle w:val="AERbulletlistsecondstyle"/>
      </w:pPr>
      <w:proofErr w:type="gramStart"/>
      <w:r>
        <w:t>enhanced</w:t>
      </w:r>
      <w:proofErr w:type="gramEnd"/>
      <w:r>
        <w:t xml:space="preserve"> </w:t>
      </w:r>
      <w:r w:rsidR="00CA6568" w:rsidRPr="00CA6568">
        <w:t>alarm</w:t>
      </w:r>
      <w:r w:rsidR="002F487C">
        <w:t>ing</w:t>
      </w:r>
      <w:r w:rsidR="00CA6568" w:rsidRPr="00CA6568">
        <w:t xml:space="preserve"> system to warn</w:t>
      </w:r>
      <w:r w:rsidR="002F487C">
        <w:t xml:space="preserve"> of </w:t>
      </w:r>
      <w:r>
        <w:t>changed technical parameters</w:t>
      </w:r>
      <w:r w:rsidR="00CA6568" w:rsidRPr="00CA6568">
        <w:t>.</w:t>
      </w:r>
    </w:p>
    <w:p w:rsidR="00CA6568" w:rsidRPr="00CA6568" w:rsidRDefault="00DC3257" w:rsidP="00CA6568">
      <w:pPr>
        <w:pStyle w:val="AERbodytext"/>
      </w:pPr>
      <w:r>
        <w:t>T</w:t>
      </w:r>
      <w:r w:rsidR="00CA6568" w:rsidRPr="00CA6568">
        <w:t xml:space="preserve">hese </w:t>
      </w:r>
      <w:r>
        <w:t>are</w:t>
      </w:r>
      <w:r w:rsidR="00CA6568" w:rsidRPr="00CA6568">
        <w:t xml:space="preserve"> appropriate processes to manage technical plant limitations</w:t>
      </w:r>
      <w:r>
        <w:t>. We</w:t>
      </w:r>
      <w:r w:rsidR="00CA6568" w:rsidRPr="00CA6568">
        <w:t xml:space="preserve"> encourage all participants to consider implementing them. Participants should ensure that these processes </w:t>
      </w:r>
      <w:r w:rsidR="003E305F">
        <w:t>are</w:t>
      </w:r>
      <w:r w:rsidR="00CA6568" w:rsidRPr="00CA6568">
        <w:t xml:space="preserve"> reviewed periodically.</w:t>
      </w:r>
    </w:p>
    <w:p w:rsidR="00CA6568" w:rsidRPr="00CA6568" w:rsidRDefault="00CA6568" w:rsidP="00CA6568">
      <w:pPr>
        <w:pStyle w:val="AERbodytext"/>
      </w:pPr>
      <w:r w:rsidRPr="00CA6568">
        <w:t xml:space="preserve">Many participants outlined technical plant limitations which are difficult to convey to AEMO when making offers. For example, one participant outlined that its turbines are fitted with additional ‘modes’ which allow the plant to generate at levels above its usual operating range. Switching between modes within a short period poses risks for the unit such as a turbine trip and wear and tear on the plant. The </w:t>
      </w:r>
      <w:r w:rsidRPr="00CA6568">
        <w:lastRenderedPageBreak/>
        <w:t xml:space="preserve">participant stated that these risks cannot be conveyed to AEMO </w:t>
      </w:r>
      <w:r w:rsidR="002C7FDC">
        <w:t xml:space="preserve">through </w:t>
      </w:r>
      <w:r w:rsidR="00A27988">
        <w:t xml:space="preserve">offers </w:t>
      </w:r>
      <w:r w:rsidRPr="00CA6568">
        <w:t xml:space="preserve">such that they would be included in AEMO’s determination of dispatch instructions. As a result, its traders manage the risks of changing between modes while </w:t>
      </w:r>
      <w:r w:rsidR="002C7FDC">
        <w:t xml:space="preserve">still </w:t>
      </w:r>
      <w:r w:rsidRPr="00CA6568">
        <w:t>seeking to comply with its dispatch instructions</w:t>
      </w:r>
      <w:r w:rsidR="002C7FDC">
        <w:t>, but this is not always successful</w:t>
      </w:r>
      <w:r w:rsidRPr="00CA6568">
        <w:t xml:space="preserve">. </w:t>
      </w:r>
    </w:p>
    <w:p w:rsidR="00CA6568" w:rsidRPr="00CA6568" w:rsidRDefault="00DC3257" w:rsidP="00CA6568">
      <w:pPr>
        <w:pStyle w:val="AERbodytext"/>
      </w:pPr>
      <w:r>
        <w:t>We are</w:t>
      </w:r>
      <w:r w:rsidR="00CA6568" w:rsidRPr="00CA6568">
        <w:t xml:space="preserve"> concerned by this approach. </w:t>
      </w:r>
      <w:r>
        <w:t>A</w:t>
      </w:r>
      <w:r w:rsidR="00CA6568" w:rsidRPr="00CA6568">
        <w:t xml:space="preserve"> participant must take technical plant limitations into account when making offers to AEMO. </w:t>
      </w:r>
      <w:r w:rsidR="002C7FDC">
        <w:t>In particular, w</w:t>
      </w:r>
      <w:r w:rsidR="00CA6568" w:rsidRPr="00CA6568">
        <w:t>here there are known technical limitations</w:t>
      </w:r>
      <w:r w:rsidR="002C7FDC">
        <w:t xml:space="preserve"> on a plant</w:t>
      </w:r>
      <w:r w:rsidR="00CA6568" w:rsidRPr="00CA6568">
        <w:t>, there is a</w:t>
      </w:r>
      <w:r w:rsidR="002C7FDC">
        <w:t>n even</w:t>
      </w:r>
      <w:r w:rsidR="00CA6568" w:rsidRPr="00CA6568">
        <w:t xml:space="preserve"> greater onus on the participant to put in place processes to manage th</w:t>
      </w:r>
      <w:r w:rsidR="002C7FDC">
        <w:t xml:space="preserve">ose limitations as effectively and in a way that ensure compliance.  </w:t>
      </w:r>
    </w:p>
    <w:p w:rsidR="00CA6568" w:rsidRPr="00CA6568" w:rsidRDefault="00CA6568" w:rsidP="00CA6568">
      <w:pPr>
        <w:pStyle w:val="AERbodytext"/>
        <w:keepNext/>
        <w:rPr>
          <w:rStyle w:val="AERtextbold"/>
        </w:rPr>
      </w:pPr>
      <w:r w:rsidRPr="00CA6568">
        <w:rPr>
          <w:rStyle w:val="AERtextbold"/>
        </w:rPr>
        <w:t>Fluctuating stop and start signals</w:t>
      </w:r>
    </w:p>
    <w:p w:rsidR="00CA6568" w:rsidRPr="00CA6568" w:rsidRDefault="00CA6568" w:rsidP="00CA6568">
      <w:pPr>
        <w:pStyle w:val="AERbodytext"/>
      </w:pPr>
      <w:r w:rsidRPr="00CA6568">
        <w:t>Participants noted that at times they will receive fluctuating stop and start signals from AEMO. For some participants this was particularly an issue during January 2013. Some divergences from dispatch occurred when a generator had been generating and received instructions to ramp down and stop, with later instructions to ramp up generation again. Rather than following the dispatch instructions and ramping down to stop generation, the units continued generating at or near the original level, anticipating a future instruction to return to that level.</w:t>
      </w:r>
    </w:p>
    <w:p w:rsidR="00CA6568" w:rsidRPr="00CA6568" w:rsidRDefault="00CD09CC" w:rsidP="00CA6568">
      <w:pPr>
        <w:pStyle w:val="AERbodytext"/>
      </w:pPr>
      <w:r>
        <w:t>This is</w:t>
      </w:r>
      <w:r w:rsidR="00CA6568" w:rsidRPr="00CA6568">
        <w:t xml:space="preserve"> inconsistent with the Electricity Rules. While it understands that fluctuating signals can be inefficient for plant, it reminds generators that their offers to AEMO must be </w:t>
      </w:r>
      <w:r w:rsidR="00FD3318">
        <w:t xml:space="preserve">honoured and </w:t>
      </w:r>
      <w:r w:rsidR="00CA6568" w:rsidRPr="00CA6568">
        <w:t>within their technical capability limits for ramping up and down</w:t>
      </w:r>
      <w:r w:rsidR="002F487C">
        <w:t xml:space="preserve">, including through </w:t>
      </w:r>
      <w:r w:rsidR="00D47BB7">
        <w:t xml:space="preserve">the </w:t>
      </w:r>
      <w:r w:rsidR="00FD3318">
        <w:t xml:space="preserve">inflexibility profile submitted </w:t>
      </w:r>
      <w:r w:rsidR="00D47BB7">
        <w:t>to AEMO</w:t>
      </w:r>
      <w:r w:rsidR="00CA6568" w:rsidRPr="00CA6568">
        <w:t xml:space="preserve">. The instances of non-compliance outlined </w:t>
      </w:r>
      <w:r w:rsidR="00380F85">
        <w:t>in our</w:t>
      </w:r>
      <w:r w:rsidR="00CA6568" w:rsidRPr="00CA6568">
        <w:t xml:space="preserve"> letters to participants applied over periods of at least three </w:t>
      </w:r>
      <w:proofErr w:type="gramStart"/>
      <w:r w:rsidR="00DF55A1">
        <w:t>DIs</w:t>
      </w:r>
      <w:proofErr w:type="gramEnd"/>
      <w:r w:rsidR="00405B4F">
        <w:t>.</w:t>
      </w:r>
      <w:r w:rsidR="00D47BB7">
        <w:t xml:space="preserve"> </w:t>
      </w:r>
      <w:r w:rsidR="00380F85">
        <w:t xml:space="preserve">We </w:t>
      </w:r>
      <w:r w:rsidR="00CA6568" w:rsidRPr="00CA6568">
        <w:t xml:space="preserve">expect a unit should have shut down </w:t>
      </w:r>
      <w:r w:rsidR="00D47BB7">
        <w:t xml:space="preserve">in this timeframe </w:t>
      </w:r>
      <w:r w:rsidR="00CA6568" w:rsidRPr="00CA6568">
        <w:t>if it has indicated it is capable of doing</w:t>
      </w:r>
      <w:r w:rsidR="00D47BB7">
        <w:t xml:space="preserve"> so</w:t>
      </w:r>
      <w:r w:rsidR="00CA6568" w:rsidRPr="00CA6568">
        <w:t>.</w:t>
      </w:r>
    </w:p>
    <w:p w:rsidR="00CA6568" w:rsidRPr="00CA6568" w:rsidRDefault="00CA6568" w:rsidP="00CA6568">
      <w:pPr>
        <w:pStyle w:val="AERbodytext"/>
        <w:keepNext/>
        <w:rPr>
          <w:rStyle w:val="AERtextbold"/>
        </w:rPr>
      </w:pPr>
      <w:r w:rsidRPr="00CA6568">
        <w:rPr>
          <w:rStyle w:val="AERtextbold"/>
        </w:rPr>
        <w:t xml:space="preserve">The use of Automatic Generator Control </w:t>
      </w:r>
    </w:p>
    <w:p w:rsidR="00CA6568" w:rsidRPr="00CA6568" w:rsidRDefault="00CA6568" w:rsidP="00CA6568">
      <w:pPr>
        <w:pStyle w:val="AERbodytext"/>
      </w:pPr>
      <w:r w:rsidRPr="002301CE">
        <w:t>AGC</w:t>
      </w:r>
      <w:r w:rsidRPr="00CA6568">
        <w:t xml:space="preserve"> is the remote operation of a unit where the control system of the unit receives dispatch instructions directly from AEMO. AGC is available for most generating units and many participants stated </w:t>
      </w:r>
      <w:r w:rsidR="00D47BB7">
        <w:t xml:space="preserve">that </w:t>
      </w:r>
      <w:r w:rsidRPr="00CA6568">
        <w:t xml:space="preserve">they engage </w:t>
      </w:r>
      <w:r w:rsidR="00D47BB7">
        <w:t xml:space="preserve">AGC </w:t>
      </w:r>
      <w:r w:rsidRPr="00CA6568">
        <w:t xml:space="preserve">whenever possible as it removes the potential for human error when operating to meet dispatch instructions. Two responses noted that AGC may not be engaged while </w:t>
      </w:r>
      <w:r w:rsidR="003403C1">
        <w:t xml:space="preserve">various </w:t>
      </w:r>
      <w:r w:rsidR="00D47BB7">
        <w:t xml:space="preserve">unit </w:t>
      </w:r>
      <w:r w:rsidR="008E0598">
        <w:t>‘</w:t>
      </w:r>
      <w:r w:rsidRPr="002301CE">
        <w:t>mode</w:t>
      </w:r>
      <w:r w:rsidR="003403C1" w:rsidRPr="002301CE">
        <w:t>s</w:t>
      </w:r>
      <w:r w:rsidR="008E0598" w:rsidRPr="002301CE">
        <w:rPr>
          <w:rFonts w:hint="eastAsia"/>
        </w:rPr>
        <w:t>’</w:t>
      </w:r>
      <w:r w:rsidR="003403C1">
        <w:t xml:space="preserve"> are</w:t>
      </w:r>
      <w:r w:rsidRPr="00CA6568">
        <w:t xml:space="preserve"> being used </w:t>
      </w:r>
      <w:r w:rsidR="00D47BB7">
        <w:t xml:space="preserve">to </w:t>
      </w:r>
      <w:r w:rsidRPr="00CA6568">
        <w:t xml:space="preserve">improve a unit’s performance. </w:t>
      </w:r>
    </w:p>
    <w:p w:rsidR="00CA6568" w:rsidRPr="00CA6568" w:rsidRDefault="00CA6568" w:rsidP="00CA6568">
      <w:pPr>
        <w:pStyle w:val="AERbodytext"/>
      </w:pPr>
      <w:r w:rsidRPr="00CA6568">
        <w:t xml:space="preserve">A number of participants noted issues around the use of AGC as reasons for failing to follow their dispatch instructions. The first issue was when the AGC control system for a unit fails to load the unit to meet dispatch instructions. When this occurs, the trader will instruct the unit operator to switch the unit to local control and ramp it manually to meet its dispatch instruction. </w:t>
      </w:r>
    </w:p>
    <w:p w:rsidR="00CA6568" w:rsidRPr="00CA6568" w:rsidRDefault="00CA6568" w:rsidP="00CA6568">
      <w:pPr>
        <w:pStyle w:val="AERbodytext"/>
      </w:pPr>
      <w:r w:rsidRPr="00CA6568">
        <w:t xml:space="preserve">The second issue is where the AGC status for a unit is not known by the trader. This may be when a unit trips off AGC but the unit operator has not realised this, or where the AGC status has been changed </w:t>
      </w:r>
      <w:r w:rsidR="00F37A17">
        <w:t>without the trader’s knowledge</w:t>
      </w:r>
      <w:r w:rsidRPr="00CA6568">
        <w:t xml:space="preserve">. One participant noted that following </w:t>
      </w:r>
      <w:r w:rsidR="00380F85">
        <w:t>our</w:t>
      </w:r>
      <w:r w:rsidRPr="00CA6568">
        <w:t xml:space="preserve"> inquiries, the AGC status for each unit is now displayed on its traders’ home screens to reduce uncertainty around AGC status and to allow a faster identification of AGC trips. </w:t>
      </w:r>
    </w:p>
    <w:p w:rsidR="00CA6568" w:rsidRPr="00CA6568" w:rsidRDefault="00F37A17" w:rsidP="00CA6568">
      <w:pPr>
        <w:pStyle w:val="AERbodytext"/>
      </w:pPr>
      <w:r>
        <w:t>We</w:t>
      </w:r>
      <w:r w:rsidR="00CA6568" w:rsidRPr="00CA6568">
        <w:t xml:space="preserve"> consider that participants should be aware of the AGC status for units at all times. Including the status of AGC on traders’ screens or setting up an alert when AGC trips a</w:t>
      </w:r>
      <w:r w:rsidR="00D47BB7">
        <w:t>ppear to be</w:t>
      </w:r>
      <w:r w:rsidR="00CA6568" w:rsidRPr="00CA6568">
        <w:t xml:space="preserve"> effective practices to keep traders informed of AGC status.</w:t>
      </w:r>
    </w:p>
    <w:p w:rsidR="00CA6568" w:rsidRPr="00CA6568" w:rsidRDefault="00CA6568" w:rsidP="00CA6568">
      <w:pPr>
        <w:pStyle w:val="AERbodytext"/>
        <w:keepNext/>
        <w:rPr>
          <w:rStyle w:val="AERtextbold"/>
        </w:rPr>
      </w:pPr>
      <w:r w:rsidRPr="00CA6568">
        <w:rPr>
          <w:rStyle w:val="AERtextbold"/>
        </w:rPr>
        <w:lastRenderedPageBreak/>
        <w:t>The provision of regulation FCAS services</w:t>
      </w:r>
    </w:p>
    <w:p w:rsidR="00CA6568" w:rsidRPr="00CA6568" w:rsidRDefault="00CA6568" w:rsidP="00CA6568">
      <w:pPr>
        <w:pStyle w:val="AERbodytext"/>
      </w:pPr>
      <w:r w:rsidRPr="00CA6568">
        <w:t xml:space="preserve">One participant stated that </w:t>
      </w:r>
      <w:r w:rsidR="00380F85">
        <w:t>our</w:t>
      </w:r>
      <w:r w:rsidRPr="00CA6568">
        <w:t xml:space="preserve"> approach did not consider the effect of regulation raise/lower </w:t>
      </w:r>
      <w:r w:rsidRPr="002301CE">
        <w:rPr>
          <w:rStyle w:val="AERtextbold"/>
          <w:b w:val="0"/>
        </w:rPr>
        <w:t>FCAS</w:t>
      </w:r>
      <w:r w:rsidRPr="00CA6568">
        <w:t xml:space="preserve"> being enabled</w:t>
      </w:r>
      <w:r w:rsidR="00F37A17">
        <w:t>. They</w:t>
      </w:r>
      <w:r w:rsidRPr="00CA6568">
        <w:t xml:space="preserve"> noted that when a regulation service is enabled, a dispatch instruction is the combination of energy dispatch instruction and a regulation dispatch instruction. It argued that the unit could be operating above the dispatch instruction if providing raise regulation services (or below by that amount if providing lower regulation services) and still be considered to be fully complying with its dispatch targets.</w:t>
      </w:r>
    </w:p>
    <w:p w:rsidR="00CA6568" w:rsidRPr="00CA6568" w:rsidRDefault="00CA6568" w:rsidP="00CA6568">
      <w:pPr>
        <w:pStyle w:val="AERbodytext"/>
      </w:pPr>
      <w:r w:rsidRPr="00CA6568">
        <w:t xml:space="preserve">While </w:t>
      </w:r>
      <w:r w:rsidR="00380F85">
        <w:t xml:space="preserve">we </w:t>
      </w:r>
      <w:r w:rsidRPr="00CA6568">
        <w:t>consider this scenario to be true at times when a participant is enabled for a regulation service and is providing to the limit of the enablement, it will not apply when the participant is enabled but not actually providing the regulation services. Being enabled for regulation services does not automatically allow a participant to operate outside its target by an amount equal to the enablement.</w:t>
      </w:r>
    </w:p>
    <w:p w:rsidR="00CA6568" w:rsidRPr="00CA6568" w:rsidRDefault="00CA6568" w:rsidP="00CA6568">
      <w:pPr>
        <w:pStyle w:val="AERbodytext"/>
      </w:pPr>
      <w:r w:rsidRPr="00CA6568">
        <w:t xml:space="preserve">As noted in section </w:t>
      </w:r>
      <w:r w:rsidR="00450695">
        <w:fldChar w:fldCharType="begin"/>
      </w:r>
      <w:r w:rsidR="001D3AE2">
        <w:instrText xml:space="preserve"> REF _Ref353364621 \r \h </w:instrText>
      </w:r>
      <w:r w:rsidR="00450695">
        <w:fldChar w:fldCharType="separate"/>
      </w:r>
      <w:r w:rsidR="008C4BA5">
        <w:t>1.1</w:t>
      </w:r>
      <w:r w:rsidR="00450695">
        <w:fldChar w:fldCharType="end"/>
      </w:r>
      <w:r w:rsidRPr="00CA6568">
        <w:t xml:space="preserve">, </w:t>
      </w:r>
      <w:r w:rsidR="00DC3257">
        <w:t>we have</w:t>
      </w:r>
      <w:r w:rsidRPr="00CA6568">
        <w:t xml:space="preserve"> commenced a project into transparency issues around the provision of regulation FCAS services. </w:t>
      </w:r>
      <w:r w:rsidR="00380F85">
        <w:t xml:space="preserve">We </w:t>
      </w:r>
      <w:r w:rsidRPr="00CA6568">
        <w:t>will monitor how participants follow dispatch instructions when enabled for raise services under that project.</w:t>
      </w:r>
    </w:p>
    <w:p w:rsidR="00CA6568" w:rsidRPr="00CA6568" w:rsidRDefault="00CA6568" w:rsidP="00CA6568">
      <w:pPr>
        <w:pStyle w:val="AERbodytext"/>
        <w:keepNext/>
        <w:rPr>
          <w:rStyle w:val="AERtextbold"/>
        </w:rPr>
      </w:pPr>
      <w:r w:rsidRPr="00CA6568">
        <w:rPr>
          <w:rStyle w:val="AERtextbold"/>
        </w:rPr>
        <w:t>Conclusion</w:t>
      </w:r>
    </w:p>
    <w:p w:rsidR="00F6160E" w:rsidRDefault="00DC3257" w:rsidP="00274AAE">
      <w:pPr>
        <w:pStyle w:val="AERbodytext"/>
      </w:pPr>
      <w:r>
        <w:t xml:space="preserve">We </w:t>
      </w:r>
      <w:r w:rsidR="00D47BB7">
        <w:t>ha</w:t>
      </w:r>
      <w:r>
        <w:t>ve</w:t>
      </w:r>
      <w:r w:rsidR="00D47BB7">
        <w:t xml:space="preserve"> not reached a final conclusion on </w:t>
      </w:r>
      <w:r w:rsidR="00CD09CC">
        <w:t>our response</w:t>
      </w:r>
      <w:r w:rsidR="00D47BB7">
        <w:t xml:space="preserve"> to some of the instances of failure to follow dispatch instructions. In part, </w:t>
      </w:r>
      <w:r w:rsidR="00380F85">
        <w:t>our</w:t>
      </w:r>
      <w:r w:rsidR="00D47BB7">
        <w:t xml:space="preserve"> response may depend on whether certain behaviour continues into the future. </w:t>
      </w:r>
      <w:r w:rsidR="00380F85">
        <w:t>We</w:t>
      </w:r>
      <w:r w:rsidR="00D47BB7">
        <w:t xml:space="preserve"> will continue to monitor the performance of all participants in following their dispatch instructions by tracking the number of instances of non-compliance and engage with participants when concerns arise. </w:t>
      </w:r>
      <w:r w:rsidR="00380F85">
        <w:t>Further, we</w:t>
      </w:r>
      <w:r w:rsidR="00D47BB7">
        <w:t xml:space="preserve"> note that in </w:t>
      </w:r>
      <w:r w:rsidR="00CA6568">
        <w:t xml:space="preserve">their responses, participants </w:t>
      </w:r>
      <w:r w:rsidR="00D47BB7">
        <w:t>summarised a</w:t>
      </w:r>
      <w:r w:rsidR="00CA6568">
        <w:t xml:space="preserve"> number of initiatives which will be implemented in response to </w:t>
      </w:r>
      <w:r w:rsidR="00380F85">
        <w:t xml:space="preserve">our </w:t>
      </w:r>
      <w:r w:rsidR="00CA6568">
        <w:t>inquiries.</w:t>
      </w:r>
      <w:r w:rsidR="00D47BB7">
        <w:t xml:space="preserve"> We consider that many of these initiatives are </w:t>
      </w:r>
      <w:r w:rsidR="00405B4F">
        <w:t>good ideas</w:t>
      </w:r>
      <w:r w:rsidR="00D47BB7">
        <w:t xml:space="preserve"> and could be applied across the industry.</w:t>
      </w:r>
    </w:p>
    <w:p w:rsidR="002C7158" w:rsidRDefault="002C7158" w:rsidP="002C7158">
      <w:pPr>
        <w:pStyle w:val="AERheading2"/>
      </w:pPr>
      <w:bookmarkStart w:id="43" w:name="_Toc384725776"/>
      <w:r>
        <w:t>STTM demand forecasting</w:t>
      </w:r>
      <w:bookmarkEnd w:id="43"/>
    </w:p>
    <w:p w:rsidR="002C7158" w:rsidRDefault="00E53922" w:rsidP="002C7158">
      <w:pPr>
        <w:pStyle w:val="AERbodytext"/>
      </w:pPr>
      <w:r>
        <w:t xml:space="preserve">In </w:t>
      </w:r>
      <w:r w:rsidR="00681C16">
        <w:t>2012</w:t>
      </w:r>
      <w:r w:rsidR="00F37A17">
        <w:t>,</w:t>
      </w:r>
      <w:r>
        <w:t xml:space="preserve"> </w:t>
      </w:r>
      <w:r w:rsidR="00DC3257">
        <w:t xml:space="preserve">we </w:t>
      </w:r>
      <w:r>
        <w:t>commenced this project in response to</w:t>
      </w:r>
      <w:r w:rsidR="00681C16">
        <w:t xml:space="preserve"> ongoing occurrences of poor demand forecasting from a number of </w:t>
      </w:r>
      <w:r w:rsidR="00D47BB7">
        <w:t xml:space="preserve">gas </w:t>
      </w:r>
      <w:r w:rsidR="005F17BD" w:rsidRPr="002301CE">
        <w:t>STTM</w:t>
      </w:r>
      <w:r w:rsidR="00D47BB7">
        <w:t xml:space="preserve"> p</w:t>
      </w:r>
      <w:r w:rsidR="00681C16">
        <w:t xml:space="preserve">articipants. </w:t>
      </w:r>
      <w:r w:rsidR="00681C16" w:rsidRPr="00681C16">
        <w:t xml:space="preserve">Demand forecasts are a primary input for scheduling and are used to calculate the </w:t>
      </w:r>
      <w:proofErr w:type="spellStart"/>
      <w:r w:rsidR="00681C16" w:rsidRPr="00681C16">
        <w:t>ex ante</w:t>
      </w:r>
      <w:proofErr w:type="spellEnd"/>
      <w:r w:rsidR="00681C16" w:rsidRPr="00681C16">
        <w:t xml:space="preserve"> price. Poor demand forecasting leads to inefficiencies in dispatch whereby the </w:t>
      </w:r>
      <w:proofErr w:type="spellStart"/>
      <w:r w:rsidR="00681C16" w:rsidRPr="00681C16">
        <w:t>ex ante</w:t>
      </w:r>
      <w:proofErr w:type="spellEnd"/>
      <w:r w:rsidR="00681C16" w:rsidRPr="00681C16">
        <w:t xml:space="preserve"> price is set on the basis of a higher or lower quantity of gas than is required. It can also lead to wealth transfers in the STTM, for example where large amount of MOS (balancing gas which is parked on or loaned from pipelines) is required as a result of poor forecasts.</w:t>
      </w:r>
    </w:p>
    <w:p w:rsidR="00681C16" w:rsidRDefault="00380F85" w:rsidP="002C7158">
      <w:pPr>
        <w:pStyle w:val="AERbodytext"/>
      </w:pPr>
      <w:r>
        <w:t>We have</w:t>
      </w:r>
      <w:r w:rsidR="00B7621E">
        <w:t xml:space="preserve"> monitored STTM demand data since market start and contacted participants when there were large differences between the forecasts and actual demand on particular gas days. </w:t>
      </w:r>
      <w:r>
        <w:t>We</w:t>
      </w:r>
      <w:r w:rsidR="00B7621E">
        <w:t xml:space="preserve"> also examined demand data focussing on two metrics:</w:t>
      </w:r>
    </w:p>
    <w:p w:rsidR="00B7621E" w:rsidRDefault="008E0598" w:rsidP="00CF20CC">
      <w:pPr>
        <w:pStyle w:val="AERbulletlistsecondstyle"/>
      </w:pPr>
      <w:r>
        <w:t>m</w:t>
      </w:r>
      <w:r w:rsidR="00B7621E">
        <w:t>onthly mean percentage error as a proportion of total demand</w:t>
      </w:r>
    </w:p>
    <w:p w:rsidR="00B7621E" w:rsidRDefault="008E0598" w:rsidP="00CF20CC">
      <w:pPr>
        <w:pStyle w:val="AERbulletlistsecondstyle"/>
      </w:pPr>
      <w:r>
        <w:t>a</w:t>
      </w:r>
      <w:r w:rsidR="00B7621E">
        <w:t>ctual monthly error</w:t>
      </w:r>
    </w:p>
    <w:p w:rsidR="00B43C9D" w:rsidRPr="00B43C9D" w:rsidRDefault="00380F85" w:rsidP="00B7621E">
      <w:pPr>
        <w:pStyle w:val="AERbulletlistfirststyle"/>
      </w:pPr>
      <w:r>
        <w:t>We</w:t>
      </w:r>
      <w:r w:rsidR="00B43C9D">
        <w:t xml:space="preserve"> contacted Trading Participants which </w:t>
      </w:r>
      <w:r>
        <w:t>we</w:t>
      </w:r>
      <w:r w:rsidR="00B43C9D">
        <w:t xml:space="preserve"> considered ha</w:t>
      </w:r>
      <w:r w:rsidR="00290AD9">
        <w:t>d</w:t>
      </w:r>
      <w:r w:rsidR="00B43C9D">
        <w:t xml:space="preserve"> a problematic demand forecasting performance. The participants included Incitec Pivot, Adelaide Brighton Cement Limited, Origin Energy and AGL Energy.</w:t>
      </w:r>
    </w:p>
    <w:p w:rsidR="00B7621E" w:rsidRDefault="00B43C9D" w:rsidP="00B7621E">
      <w:pPr>
        <w:pStyle w:val="AERbulletlistfirststyle"/>
      </w:pPr>
      <w:r>
        <w:t>The key aspects of the responses are summarised in</w:t>
      </w:r>
      <w:r w:rsidR="003623B0">
        <w:t xml:space="preserve"> the </w:t>
      </w:r>
      <w:hyperlink r:id="rId24" w:history="1">
        <w:r w:rsidR="008E0598">
          <w:rPr>
            <w:rStyle w:val="Hyperlink"/>
          </w:rPr>
          <w:t>previous QCR</w:t>
        </w:r>
      </w:hyperlink>
      <w:r w:rsidR="003623B0">
        <w:t xml:space="preserve">. </w:t>
      </w:r>
      <w:r w:rsidR="008E0598">
        <w:t>Figures 1.3 and 1.4 illustrate</w:t>
      </w:r>
      <w:r w:rsidR="00372CBB">
        <w:t xml:space="preserve"> the forecasting performance of Origin and AGL in the Adelaide hub from market start. </w:t>
      </w:r>
      <w:r w:rsidR="00372CBB" w:rsidRPr="002301CE">
        <w:t xml:space="preserve">The </w:t>
      </w:r>
      <w:r w:rsidR="008E0598">
        <w:t xml:space="preserve">figures show </w:t>
      </w:r>
      <w:r w:rsidR="00372CBB">
        <w:t xml:space="preserve">monthly mean percentage error as a proportion of total demand and actual monthly error, with </w:t>
      </w:r>
      <w:r w:rsidR="00372CBB">
        <w:lastRenderedPageBreak/>
        <w:t>negative errors representing under forecast demand</w:t>
      </w:r>
      <w:r w:rsidR="008E0598">
        <w:t xml:space="preserve">. There has been </w:t>
      </w:r>
      <w:r w:rsidR="00372CBB">
        <w:t xml:space="preserve">an improvement in </w:t>
      </w:r>
      <w:r w:rsidR="008E0598">
        <w:t xml:space="preserve">demand forecasting </w:t>
      </w:r>
      <w:r w:rsidR="00372CBB">
        <w:t xml:space="preserve">accuracy </w:t>
      </w:r>
      <w:r w:rsidR="008E0598">
        <w:t xml:space="preserve">for both </w:t>
      </w:r>
      <w:r w:rsidR="00372CBB">
        <w:t>Origin and AGL.</w:t>
      </w:r>
    </w:p>
    <w:p w:rsidR="00372CBB" w:rsidRDefault="00372CBB" w:rsidP="00372CBB">
      <w:pPr>
        <w:pStyle w:val="AERfigureheading"/>
      </w:pPr>
      <w:r>
        <w:t>Origin demand forecasting in</w:t>
      </w:r>
      <w:r w:rsidR="00A02BC9">
        <w:t xml:space="preserve"> the</w:t>
      </w:r>
      <w:r>
        <w:t xml:space="preserve"> Adelaide hub</w:t>
      </w:r>
    </w:p>
    <w:p w:rsidR="00372CBB" w:rsidRDefault="00A02BC9" w:rsidP="00B7621E">
      <w:pPr>
        <w:pStyle w:val="AERbulletlistfirststyle"/>
      </w:pPr>
      <w:r>
        <w:pict>
          <v:shape id="_x0000_i1027" type="#_x0000_t75" style="width:452.25pt;height:180pt">
            <v:imagedata r:id="rId25" o:title=""/>
          </v:shape>
        </w:pict>
      </w:r>
    </w:p>
    <w:p w:rsidR="00372CBB" w:rsidRDefault="00372CBB" w:rsidP="00372CBB">
      <w:pPr>
        <w:pStyle w:val="AERfigureheading"/>
      </w:pPr>
      <w:r>
        <w:t xml:space="preserve">AGL demand forecasting in </w:t>
      </w:r>
      <w:r w:rsidR="00A02BC9">
        <w:t xml:space="preserve">the </w:t>
      </w:r>
      <w:r>
        <w:t>Adelaide hub</w:t>
      </w:r>
    </w:p>
    <w:p w:rsidR="00372CBB" w:rsidRDefault="00A02BC9" w:rsidP="00B7621E">
      <w:pPr>
        <w:pStyle w:val="AERbulletlistfirststyle"/>
      </w:pPr>
      <w:r>
        <w:pict>
          <v:shape id="_x0000_i1028" type="#_x0000_t75" style="width:452.25pt;height:180pt">
            <v:imagedata r:id="rId26" o:title=""/>
          </v:shape>
        </w:pict>
      </w:r>
    </w:p>
    <w:p w:rsidR="003623B0" w:rsidRPr="003623B0" w:rsidRDefault="00F37A17" w:rsidP="00B7621E">
      <w:pPr>
        <w:pStyle w:val="AERbulletlistfirststyle"/>
      </w:pPr>
      <w:r>
        <w:t>We</w:t>
      </w:r>
      <w:r w:rsidR="003623B0">
        <w:t xml:space="preserve"> </w:t>
      </w:r>
      <w:r w:rsidR="00777ABB">
        <w:t xml:space="preserve">will </w:t>
      </w:r>
      <w:r w:rsidR="003623B0">
        <w:t xml:space="preserve">continue this project </w:t>
      </w:r>
      <w:r w:rsidR="00777ABB">
        <w:t>in</w:t>
      </w:r>
      <w:r w:rsidR="003623B0">
        <w:t xml:space="preserve"> 2013, and </w:t>
      </w:r>
      <w:r w:rsidR="00777ABB">
        <w:t>will</w:t>
      </w:r>
      <w:r w:rsidR="00372CBB">
        <w:t xml:space="preserve"> consider</w:t>
      </w:r>
      <w:r w:rsidR="003623B0">
        <w:t xml:space="preserve"> the effect demand forecasting accuracy has on </w:t>
      </w:r>
      <w:r w:rsidR="008E0598">
        <w:t xml:space="preserve">MOS </w:t>
      </w:r>
      <w:r w:rsidR="003623B0">
        <w:t>outcomes.</w:t>
      </w:r>
    </w:p>
    <w:p w:rsidR="00DC724B" w:rsidRPr="00860DB5" w:rsidRDefault="001E70D1" w:rsidP="00EB4DE8">
      <w:pPr>
        <w:pStyle w:val="QCRHeading1"/>
      </w:pPr>
      <w:bookmarkStart w:id="44" w:name="_Toc337553427"/>
      <w:bookmarkStart w:id="45" w:name="_Ref353362800"/>
      <w:bookmarkStart w:id="46" w:name="_Toc384725777"/>
      <w:bookmarkStart w:id="47" w:name="_Toc316978871"/>
      <w:bookmarkStart w:id="48" w:name="_Toc317520247"/>
      <w:bookmarkEnd w:id="30"/>
      <w:bookmarkEnd w:id="31"/>
      <w:r w:rsidRPr="00860DB5">
        <w:lastRenderedPageBreak/>
        <w:t>G</w:t>
      </w:r>
      <w:r w:rsidR="00CA4066" w:rsidRPr="00860DB5">
        <w:t>as</w:t>
      </w:r>
      <w:bookmarkEnd w:id="44"/>
      <w:bookmarkEnd w:id="45"/>
      <w:bookmarkEnd w:id="46"/>
    </w:p>
    <w:p w:rsidR="00CA4066" w:rsidRPr="00405B4F" w:rsidRDefault="00DC3257" w:rsidP="00B61F5E">
      <w:pPr>
        <w:pStyle w:val="AERbodytext"/>
      </w:pPr>
      <w:r>
        <w:t>We are</w:t>
      </w:r>
      <w:r w:rsidR="00CA4066" w:rsidRPr="00405B4F">
        <w:t xml:space="preserve"> responsible for monitoring, investigating and enforcing compliance with the Gas Law and Rules, including but not limited to, </w:t>
      </w:r>
      <w:r w:rsidR="00B25981" w:rsidRPr="00405B4F">
        <w:t>the</w:t>
      </w:r>
      <w:r w:rsidR="005F3AA2" w:rsidRPr="00405B4F">
        <w:t xml:space="preserve"> </w:t>
      </w:r>
      <w:r w:rsidR="008E0598">
        <w:t>STTM</w:t>
      </w:r>
      <w:r w:rsidR="00B25981" w:rsidRPr="00405B4F">
        <w:t>, the Victorian gas market and the Bulletin Board</w:t>
      </w:r>
      <w:r w:rsidR="00CA4066" w:rsidRPr="00405B4F">
        <w:t>.</w:t>
      </w:r>
    </w:p>
    <w:p w:rsidR="00CA4066" w:rsidRDefault="00CA4066" w:rsidP="00B61F5E">
      <w:pPr>
        <w:pStyle w:val="AERbodytext"/>
      </w:pPr>
      <w:r w:rsidRPr="00405B4F">
        <w:t>This part of the report provides an update on reviews, investigations and compliance matters in the gas markets.</w:t>
      </w:r>
      <w:r>
        <w:t xml:space="preserve"> </w:t>
      </w:r>
    </w:p>
    <w:p w:rsidR="008259AF" w:rsidRPr="002C7158" w:rsidRDefault="00CA4066" w:rsidP="002C7158">
      <w:pPr>
        <w:pStyle w:val="QCRunnumberedunboldheading"/>
      </w:pPr>
      <w:bookmarkStart w:id="49" w:name="_Toc307317343"/>
      <w:bookmarkStart w:id="50" w:name="_Toc330814064"/>
      <w:bookmarkStart w:id="51" w:name="_Toc384725778"/>
      <w:r w:rsidRPr="002C7158">
        <w:t>Short Term Trading Market</w:t>
      </w:r>
      <w:bookmarkEnd w:id="49"/>
      <w:bookmarkEnd w:id="50"/>
      <w:bookmarkEnd w:id="51"/>
    </w:p>
    <w:p w:rsidR="00C106C8" w:rsidRDefault="00BF4F53" w:rsidP="007B55BF">
      <w:pPr>
        <w:pStyle w:val="AERbodytext"/>
      </w:pPr>
      <w:r w:rsidRPr="009D0732">
        <w:t>Part 20 of the Gas Rules sets out participants’ responsibilities within the STTM</w:t>
      </w:r>
      <w:r w:rsidR="00FD516E">
        <w:t>,</w:t>
      </w:r>
      <w:r w:rsidRPr="009D0732">
        <w:t xml:space="preserve"> which encompasses three gas trading hubs: Adelaide, Sydney and Brisbane. The rules outline how wholesale gas is traded and include requirements for pipeline operators to submit pipeline capacity and allocation (gas flow) data. </w:t>
      </w:r>
    </w:p>
    <w:p w:rsidR="00C106C8" w:rsidRDefault="00DE097C" w:rsidP="00C106C8">
      <w:pPr>
        <w:pStyle w:val="AERheading2"/>
      </w:pPr>
      <w:bookmarkStart w:id="52" w:name="_Toc384725779"/>
      <w:r>
        <w:t>Camden capacity error – AGL</w:t>
      </w:r>
      <w:bookmarkEnd w:id="52"/>
    </w:p>
    <w:p w:rsidR="00DE097C" w:rsidRDefault="00DE097C" w:rsidP="00DE097C">
      <w:pPr>
        <w:pStyle w:val="AERbodytext"/>
      </w:pPr>
      <w:r w:rsidRPr="00795DCA">
        <w:t>AGL incorrectly submitted its Camden facility</w:t>
      </w:r>
      <w:r w:rsidRPr="00795DCA">
        <w:rPr>
          <w:rFonts w:hint="eastAsia"/>
        </w:rPr>
        <w:t>’</w:t>
      </w:r>
      <w:r w:rsidRPr="00795DCA">
        <w:t xml:space="preserve">s capacity information to AEMO for the </w:t>
      </w:r>
      <w:r w:rsidR="00B80208" w:rsidRPr="00795DCA">
        <w:t>1 April 2013</w:t>
      </w:r>
      <w:r w:rsidRPr="00795DCA">
        <w:t xml:space="preserve"> gas day. AGL intended to advise the capacity was 16.2</w:t>
      </w:r>
      <w:r w:rsidRPr="002301CE">
        <w:t xml:space="preserve">TJ, however due to a system issue only </w:t>
      </w:r>
      <w:r w:rsidR="002301CE" w:rsidRPr="002301CE">
        <w:t>submitted</w:t>
      </w:r>
      <w:r w:rsidR="002301CE">
        <w:t> </w:t>
      </w:r>
      <w:r w:rsidRPr="002301CE">
        <w:t>0.9</w:t>
      </w:r>
      <w:r w:rsidRPr="00795DCA">
        <w:t>TJ.</w:t>
      </w:r>
      <w:r>
        <w:t xml:space="preserve"> </w:t>
      </w:r>
    </w:p>
    <w:p w:rsidR="00C106C8" w:rsidRPr="008E78D3" w:rsidRDefault="00380F85" w:rsidP="008E78D3">
      <w:pPr>
        <w:pStyle w:val="AERbodytext"/>
      </w:pPr>
      <w:r>
        <w:t>We are</w:t>
      </w:r>
      <w:r w:rsidR="00DE097C">
        <w:t xml:space="preserve"> investigating this issue further and will provide an update in the next QCR. However, </w:t>
      </w:r>
      <w:r w:rsidR="00F37A17">
        <w:t>we</w:t>
      </w:r>
      <w:r w:rsidR="00DE097C">
        <w:t xml:space="preserve"> </w:t>
      </w:r>
      <w:r w:rsidR="008E78D3">
        <w:t xml:space="preserve">refer to </w:t>
      </w:r>
      <w:r w:rsidR="00F37A17">
        <w:t xml:space="preserve">our </w:t>
      </w:r>
      <w:hyperlink r:id="rId27" w:history="1">
        <w:r w:rsidR="003B4322" w:rsidRPr="002301CE">
          <w:rPr>
            <w:rStyle w:val="Hyperlink"/>
            <w:i/>
          </w:rPr>
          <w:t>Compliance Bulletin No. 7</w:t>
        </w:r>
      </w:hyperlink>
      <w:r w:rsidR="003B4322" w:rsidRPr="00795DCA">
        <w:rPr>
          <w:i/>
        </w:rPr>
        <w:t>,</w:t>
      </w:r>
      <w:r w:rsidR="003B4322" w:rsidRPr="00795DCA" w:rsidDel="003B4322">
        <w:rPr>
          <w:rStyle w:val="FootnoteReference"/>
          <w:i/>
        </w:rPr>
        <w:t xml:space="preserve"> </w:t>
      </w:r>
      <w:r w:rsidR="008E78D3" w:rsidRPr="00795DCA">
        <w:t xml:space="preserve"> which</w:t>
      </w:r>
      <w:r w:rsidR="008E78D3">
        <w:t xml:space="preserve"> </w:t>
      </w:r>
      <w:r w:rsidR="00F37A17">
        <w:t xml:space="preserve">noted </w:t>
      </w:r>
      <w:r w:rsidR="00DC3257">
        <w:t>our</w:t>
      </w:r>
      <w:r w:rsidR="009D2E69">
        <w:t xml:space="preserve"> concerns about STTM facility data errors.  </w:t>
      </w:r>
    </w:p>
    <w:p w:rsidR="001A6C6D" w:rsidRDefault="001A6C6D" w:rsidP="001A6C6D">
      <w:pPr>
        <w:pStyle w:val="AERheading2"/>
      </w:pPr>
      <w:bookmarkStart w:id="53" w:name="_Toc384725780"/>
      <w:proofErr w:type="spellStart"/>
      <w:r>
        <w:t>L</w:t>
      </w:r>
      <w:r w:rsidR="003B4322">
        <w:t>inepack</w:t>
      </w:r>
      <w:proofErr w:type="spellEnd"/>
      <w:r w:rsidR="003B4322">
        <w:t xml:space="preserve"> capacity adequacy</w:t>
      </w:r>
      <w:r>
        <w:t xml:space="preserve"> flag event – Eastern Gas Pipeline</w:t>
      </w:r>
      <w:bookmarkEnd w:id="53"/>
    </w:p>
    <w:p w:rsidR="003D2C05" w:rsidRDefault="001A6C6D" w:rsidP="001A6C6D">
      <w:pPr>
        <w:pStyle w:val="AERbodytext"/>
      </w:pPr>
      <w:r w:rsidRPr="001A6C6D">
        <w:t>On 22 March 2013, an Amber linepack capacity adequacy (</w:t>
      </w:r>
      <w:r w:rsidRPr="001A6C6D">
        <w:rPr>
          <w:rStyle w:val="AERtextbold"/>
        </w:rPr>
        <w:t>LCA</w:t>
      </w:r>
      <w:r w:rsidRPr="001A6C6D">
        <w:t>) flag was raised for the Eastern Gas Pipeline (</w:t>
      </w:r>
      <w:r w:rsidRPr="001A6C6D">
        <w:rPr>
          <w:rStyle w:val="AERtextbold"/>
        </w:rPr>
        <w:t>EGP</w:t>
      </w:r>
      <w:r w:rsidRPr="001A6C6D">
        <w:t xml:space="preserve">). </w:t>
      </w:r>
      <w:r w:rsidR="003D2C05">
        <w:t xml:space="preserve">The EGP </w:t>
      </w:r>
      <w:r w:rsidR="003D2C05" w:rsidRPr="001A6C6D">
        <w:t>transports natural gas from the Gippsland Basin in Victoria to markets in Sydney and a number of regional centres including Wollongong and Canberra</w:t>
      </w:r>
      <w:r w:rsidR="003D2C05">
        <w:t>.</w:t>
      </w:r>
      <w:r w:rsidR="003D2C05" w:rsidRPr="003D2C05">
        <w:t xml:space="preserve"> </w:t>
      </w:r>
      <w:r w:rsidR="003D2C05" w:rsidRPr="001A6C6D">
        <w:t xml:space="preserve">The flag reflected </w:t>
      </w:r>
      <w:r w:rsidR="003D2C05">
        <w:t xml:space="preserve">a </w:t>
      </w:r>
      <w:r w:rsidR="003D2C05" w:rsidRPr="001A6C6D">
        <w:t>capacity issue on the EGP</w:t>
      </w:r>
      <w:r w:rsidR="003D2C05">
        <w:t xml:space="preserve">. </w:t>
      </w:r>
      <w:r w:rsidR="003D2C05" w:rsidRPr="001A6C6D">
        <w:t>The reason submitted to accompany the flag was ‘</w:t>
      </w:r>
      <w:r w:rsidR="002301CE">
        <w:t>o</w:t>
      </w:r>
      <w:r w:rsidR="003D2C05" w:rsidRPr="001A6C6D">
        <w:t>ngoing compressor maintenance at Mila’.</w:t>
      </w:r>
    </w:p>
    <w:p w:rsidR="001A6C6D" w:rsidRPr="001A6C6D" w:rsidRDefault="001A6C6D" w:rsidP="001A6C6D">
      <w:pPr>
        <w:pStyle w:val="AERbodytext"/>
      </w:pPr>
      <w:r w:rsidRPr="001A6C6D">
        <w:t xml:space="preserve">Through previous </w:t>
      </w:r>
      <w:r w:rsidR="007044A3">
        <w:t>i</w:t>
      </w:r>
      <w:r w:rsidRPr="001A6C6D">
        <w:t xml:space="preserve">nquiries into similar matters, </w:t>
      </w:r>
      <w:r w:rsidR="00DC3257">
        <w:t xml:space="preserve">we </w:t>
      </w:r>
      <w:r w:rsidRPr="001A6C6D">
        <w:t>ha</w:t>
      </w:r>
      <w:r w:rsidR="00DC3257">
        <w:t>ve</w:t>
      </w:r>
      <w:r w:rsidRPr="001A6C6D">
        <w:t xml:space="preserve"> advised that it is best practice</w:t>
      </w:r>
      <w:r w:rsidR="003D2C05">
        <w:t xml:space="preserve"> for </w:t>
      </w:r>
      <w:r w:rsidR="00F37A17">
        <w:t>p</w:t>
      </w:r>
      <w:r w:rsidR="003D2C05">
        <w:t xml:space="preserve">articipants to include </w:t>
      </w:r>
      <w:r w:rsidRPr="001A6C6D">
        <w:t xml:space="preserve">additional information </w:t>
      </w:r>
      <w:r w:rsidR="003D2C05">
        <w:t>in the free text field on</w:t>
      </w:r>
      <w:r w:rsidRPr="001A6C6D">
        <w:t xml:space="preserve"> the Bulletin Board, such as the expected completion time/date of maintenance. </w:t>
      </w:r>
    </w:p>
    <w:p w:rsidR="001A6C6D" w:rsidRPr="001A6C6D" w:rsidRDefault="001A6C6D" w:rsidP="001A6C6D">
      <w:pPr>
        <w:pStyle w:val="AERbodytext"/>
      </w:pPr>
      <w:r w:rsidRPr="001A6C6D">
        <w:t xml:space="preserve">Following </w:t>
      </w:r>
      <w:r w:rsidR="00DC3257">
        <w:t>our</w:t>
      </w:r>
      <w:r w:rsidRPr="001A6C6D">
        <w:t xml:space="preserve"> request, Jemena noted that it will advise Bulletin Board participants of the estimated completion time should such changes in flag status occur again.</w:t>
      </w:r>
    </w:p>
    <w:p w:rsidR="007D2652" w:rsidRDefault="00776B79" w:rsidP="00125DEA">
      <w:pPr>
        <w:pStyle w:val="AERheading2"/>
      </w:pPr>
      <w:bookmarkStart w:id="54" w:name="_Toc384725781"/>
      <w:r>
        <w:t>Late</w:t>
      </w:r>
      <w:r w:rsidR="001A5F35">
        <w:t xml:space="preserve"> submission of offers/bids</w:t>
      </w:r>
      <w:r>
        <w:t xml:space="preserve"> – </w:t>
      </w:r>
      <w:r w:rsidR="00E40549">
        <w:t xml:space="preserve">Adelaide </w:t>
      </w:r>
      <w:r>
        <w:t>B</w:t>
      </w:r>
      <w:r w:rsidR="00E40549">
        <w:t>righton</w:t>
      </w:r>
      <w:r>
        <w:t xml:space="preserve"> Cement</w:t>
      </w:r>
      <w:bookmarkEnd w:id="54"/>
    </w:p>
    <w:p w:rsidR="00307CE8" w:rsidRDefault="006F0440">
      <w:pPr>
        <w:pStyle w:val="AERbodytext"/>
      </w:pPr>
      <w:r>
        <w:t>Adelaide Brighton Cement Limited (</w:t>
      </w:r>
      <w:r>
        <w:rPr>
          <w:b/>
        </w:rPr>
        <w:t>ABL</w:t>
      </w:r>
      <w:r>
        <w:t>) failed to submit ex ante offers in time for the provisiona</w:t>
      </w:r>
      <w:r w:rsidR="00125DEA">
        <w:t>l schedules in the Adelaide hub on a number of gas days in October and November 201</w:t>
      </w:r>
      <w:r w:rsidR="007044A3">
        <w:t>2</w:t>
      </w:r>
      <w:r w:rsidR="00125DEA">
        <w:t>.</w:t>
      </w:r>
      <w:r>
        <w:t xml:space="preserve"> </w:t>
      </w:r>
    </w:p>
    <w:p w:rsidR="00494665" w:rsidRDefault="00125DEA">
      <w:pPr>
        <w:pStyle w:val="AERbodytext"/>
      </w:pPr>
      <w:r>
        <w:t xml:space="preserve">In response to </w:t>
      </w:r>
      <w:r w:rsidR="00380F85">
        <w:t>our enquiry</w:t>
      </w:r>
      <w:r>
        <w:t xml:space="preserve">, ABL </w:t>
      </w:r>
      <w:r w:rsidR="00CD6472">
        <w:t xml:space="preserve">identified steps it will </w:t>
      </w:r>
      <w:r w:rsidR="004A305F">
        <w:t>take</w:t>
      </w:r>
      <w:r w:rsidR="00CD6472">
        <w:t xml:space="preserve"> to ensure it submits ex ante offers for the provisional schedules correctly. </w:t>
      </w:r>
    </w:p>
    <w:p w:rsidR="00284743" w:rsidRDefault="00284743">
      <w:pPr>
        <w:pStyle w:val="AERbodytext"/>
      </w:pPr>
      <w:r>
        <w:t>ABL provided an update in March, which included:</w:t>
      </w:r>
    </w:p>
    <w:p w:rsidR="00284743" w:rsidRDefault="00284743" w:rsidP="00CF20CC">
      <w:pPr>
        <w:pStyle w:val="AERbulletlistsecondstyle"/>
      </w:pPr>
      <w:r>
        <w:t>a copy of a new daily work instruction for its duty trader</w:t>
      </w:r>
    </w:p>
    <w:p w:rsidR="00284743" w:rsidRDefault="00284743" w:rsidP="00CF20CC">
      <w:pPr>
        <w:pStyle w:val="AERbulletlistsecondstyle"/>
      </w:pPr>
      <w:r>
        <w:lastRenderedPageBreak/>
        <w:t xml:space="preserve">a sample of a new report which has been developed following </w:t>
      </w:r>
      <w:r w:rsidR="00DC3257">
        <w:t>our</w:t>
      </w:r>
      <w:r>
        <w:t xml:space="preserve"> identification of ABL’s errors</w:t>
      </w:r>
    </w:p>
    <w:p w:rsidR="00284743" w:rsidRDefault="00284743" w:rsidP="00CF20CC">
      <w:pPr>
        <w:pStyle w:val="AERbulletlistsecondstyle"/>
      </w:pPr>
      <w:proofErr w:type="gramStart"/>
      <w:r>
        <w:t>a</w:t>
      </w:r>
      <w:proofErr w:type="gramEnd"/>
      <w:r>
        <w:t xml:space="preserve"> letter detailing the changes to work procedures, training, reporting, and the effectiveness of these action</w:t>
      </w:r>
      <w:r w:rsidRPr="00E40549">
        <w:t>s</w:t>
      </w:r>
      <w:r w:rsidR="003B4322" w:rsidRPr="00795DCA">
        <w:t>.</w:t>
      </w:r>
      <w:r>
        <w:t xml:space="preserve"> </w:t>
      </w:r>
    </w:p>
    <w:p w:rsidR="009E34DE" w:rsidRDefault="00380F85">
      <w:pPr>
        <w:pStyle w:val="AERbodytext"/>
      </w:pPr>
      <w:r>
        <w:t xml:space="preserve">We </w:t>
      </w:r>
      <w:r w:rsidR="00284743">
        <w:t xml:space="preserve">will continue to monitor the submission of ex ante offers by all participants in the STTM. </w:t>
      </w:r>
    </w:p>
    <w:p w:rsidR="00B25981" w:rsidRDefault="00B25981" w:rsidP="00542A8E">
      <w:pPr>
        <w:pStyle w:val="AERheading2"/>
      </w:pPr>
      <w:bookmarkStart w:id="55" w:name="_Toc315770386"/>
      <w:bookmarkStart w:id="56" w:name="_Toc315770425"/>
      <w:bookmarkStart w:id="57" w:name="_Toc315770585"/>
      <w:bookmarkStart w:id="58" w:name="_Toc315770662"/>
      <w:bookmarkStart w:id="59" w:name="_Toc315770387"/>
      <w:bookmarkStart w:id="60" w:name="_Toc315770426"/>
      <w:bookmarkStart w:id="61" w:name="_Toc315770586"/>
      <w:bookmarkStart w:id="62" w:name="_Toc315770663"/>
      <w:bookmarkStart w:id="63" w:name="mtpasa"/>
      <w:bookmarkStart w:id="64" w:name="_Toc384725782"/>
      <w:bookmarkEnd w:id="55"/>
      <w:bookmarkEnd w:id="56"/>
      <w:bookmarkEnd w:id="57"/>
      <w:bookmarkEnd w:id="58"/>
      <w:bookmarkEnd w:id="59"/>
      <w:bookmarkEnd w:id="60"/>
      <w:bookmarkEnd w:id="61"/>
      <w:bookmarkEnd w:id="62"/>
      <w:bookmarkEnd w:id="63"/>
      <w:r>
        <w:t xml:space="preserve">STTM </w:t>
      </w:r>
      <w:r w:rsidR="00032C54">
        <w:t xml:space="preserve">capacity and allocation </w:t>
      </w:r>
      <w:r>
        <w:t>data quality</w:t>
      </w:r>
      <w:bookmarkEnd w:id="64"/>
      <w:r>
        <w:t xml:space="preserve"> </w:t>
      </w:r>
    </w:p>
    <w:p w:rsidR="00B25981" w:rsidRDefault="00B25981" w:rsidP="00B25981">
      <w:pPr>
        <w:pStyle w:val="AERbodytext"/>
      </w:pPr>
      <w:r w:rsidRPr="00ED1835">
        <w:t xml:space="preserve">In 2011, </w:t>
      </w:r>
      <w:r w:rsidR="00380F85">
        <w:t>we</w:t>
      </w:r>
      <w:r w:rsidRPr="00ED1835">
        <w:t xml:space="preserve"> </w:t>
      </w:r>
      <w:r w:rsidR="00D971EB">
        <w:t>began</w:t>
      </w:r>
      <w:r w:rsidRPr="00ED1835">
        <w:t xml:space="preserve"> </w:t>
      </w:r>
      <w:r>
        <w:t xml:space="preserve">examining the quality of </w:t>
      </w:r>
      <w:r w:rsidRPr="00ED1835">
        <w:t>STTM data with the aim of reducing the amount of missing, late, and erroneous capacity and allocation data submitted by STTM facility operato</w:t>
      </w:r>
      <w:r w:rsidR="00D971EB">
        <w:t>rs or participants.</w:t>
      </w:r>
      <w:r w:rsidR="00F37A17">
        <w:t xml:space="preserve"> </w:t>
      </w:r>
      <w:r w:rsidR="00450695">
        <w:fldChar w:fldCharType="begin"/>
      </w:r>
      <w:r w:rsidR="00AF199C">
        <w:instrText xml:space="preserve"> REF _Ref353365341 \r \h </w:instrText>
      </w:r>
      <w:r w:rsidR="00450695">
        <w:fldChar w:fldCharType="separate"/>
      </w:r>
      <w:r w:rsidR="008C4BA5">
        <w:t>Figure 2.1</w:t>
      </w:r>
      <w:r w:rsidR="00450695">
        <w:fldChar w:fldCharType="end"/>
      </w:r>
      <w:r w:rsidR="00AF199C">
        <w:t xml:space="preserve"> </w:t>
      </w:r>
      <w:r>
        <w:t xml:space="preserve">below </w:t>
      </w:r>
      <w:r w:rsidRPr="00ED1835">
        <w:t xml:space="preserve">illustrates the performance of STTM participants in submitting capacity and allocation data </w:t>
      </w:r>
      <w:r>
        <w:t xml:space="preserve">from </w:t>
      </w:r>
      <w:r w:rsidRPr="00ED1835">
        <w:t>the start of the STTM</w:t>
      </w:r>
      <w:r>
        <w:t xml:space="preserve"> to the end of </w:t>
      </w:r>
      <w:r w:rsidR="00D971EB">
        <w:t>March 2013</w:t>
      </w:r>
      <w:r w:rsidRPr="00ED1835">
        <w:t>. Data failures are categorised as relating to either ‘missing/late’ or ‘erroneous’ data.</w:t>
      </w:r>
      <w:r>
        <w:t xml:space="preserve"> </w:t>
      </w:r>
    </w:p>
    <w:p w:rsidR="00B25981" w:rsidRPr="00372CBB" w:rsidRDefault="00B25981" w:rsidP="00372CBB">
      <w:pPr>
        <w:pStyle w:val="AERfigureheading"/>
      </w:pPr>
      <w:bookmarkStart w:id="65" w:name="_Ref353365341"/>
      <w:r w:rsidRPr="00372CBB">
        <w:t>Data failures since STTM commencement</w:t>
      </w:r>
      <w:bookmarkEnd w:id="65"/>
    </w:p>
    <w:p w:rsidR="0006366F" w:rsidRPr="0006366F" w:rsidRDefault="00A02BC9" w:rsidP="0006366F">
      <w:pPr>
        <w:pStyle w:val="AERbodytext"/>
        <w:rPr>
          <w:sz w:val="16"/>
          <w:szCs w:val="16"/>
        </w:rPr>
      </w:pPr>
      <w:r>
        <w:pict>
          <v:shape id="_x0000_i1029" type="#_x0000_t75" style="width:450.75pt;height:224.25pt">
            <v:imagedata r:id="rId28" o:title=""/>
          </v:shape>
        </w:pict>
      </w:r>
      <w:r w:rsidR="0006366F" w:rsidRPr="0006366F">
        <w:rPr>
          <w:sz w:val="16"/>
          <w:szCs w:val="16"/>
        </w:rPr>
        <w:t xml:space="preserve">* September </w:t>
      </w:r>
      <w:r w:rsidR="0006366F">
        <w:rPr>
          <w:sz w:val="16"/>
          <w:szCs w:val="16"/>
        </w:rPr>
        <w:t xml:space="preserve">2010 </w:t>
      </w:r>
      <w:r w:rsidR="0006366F" w:rsidRPr="0006366F">
        <w:rPr>
          <w:sz w:val="16"/>
          <w:szCs w:val="16"/>
        </w:rPr>
        <w:t>has been grouped with the December 2010 quarter. Therefore, this data point represents four months.</w:t>
      </w:r>
      <w:r w:rsidR="00D971EB">
        <w:rPr>
          <w:sz w:val="16"/>
          <w:szCs w:val="16"/>
        </w:rPr>
        <w:t xml:space="preserve"> The AGL Camden Capacity error occurred on the first day of the second quarter of 2013 and </w:t>
      </w:r>
      <w:r w:rsidR="004F1ABA">
        <w:rPr>
          <w:sz w:val="16"/>
          <w:szCs w:val="16"/>
        </w:rPr>
        <w:t>therefore does not feature in this chart</w:t>
      </w:r>
      <w:r w:rsidR="00D971EB">
        <w:rPr>
          <w:sz w:val="16"/>
          <w:szCs w:val="16"/>
        </w:rPr>
        <w:t>.</w:t>
      </w:r>
    </w:p>
    <w:p w:rsidR="00B25981" w:rsidRDefault="00B25981" w:rsidP="0007401A">
      <w:pPr>
        <w:pStyle w:val="AERbodytext"/>
        <w:spacing w:before="360"/>
      </w:pPr>
      <w:r w:rsidRPr="00ED1835">
        <w:t>A failure to provide accurate and timely data can lead to inefficient pricing signals and market outcomes, resulting in inappropriate wealth transfers between participants. It may also undermine the integrity and reliability of the STTM, discouraging potential entrants or even causing participants to exit the market.</w:t>
      </w:r>
    </w:p>
    <w:p w:rsidR="00B25981" w:rsidRDefault="00380F85">
      <w:pPr>
        <w:pStyle w:val="AERbodytext"/>
      </w:pPr>
      <w:r>
        <w:t xml:space="preserve">We </w:t>
      </w:r>
      <w:r w:rsidR="00B25981">
        <w:t xml:space="preserve">will continue to monitor pipeline data </w:t>
      </w:r>
      <w:r w:rsidR="00AC6AF9">
        <w:t>through our</w:t>
      </w:r>
      <w:r w:rsidR="005A5DA8">
        <w:t xml:space="preserve"> regular compliance work </w:t>
      </w:r>
      <w:r w:rsidR="00B25981">
        <w:t xml:space="preserve">to ensure future compliance, however, </w:t>
      </w:r>
      <w:r w:rsidR="005A5DA8">
        <w:t>th</w:t>
      </w:r>
      <w:r w:rsidR="007044A3">
        <w:t>is</w:t>
      </w:r>
      <w:r w:rsidR="005A5DA8">
        <w:t xml:space="preserve"> project is now closed. </w:t>
      </w:r>
      <w:r w:rsidR="00B25981">
        <w:t>The complimentary process of auditing STTM facility operators will continue throughout 2013</w:t>
      </w:r>
      <w:r w:rsidR="00B25981" w:rsidRPr="00292E04">
        <w:t>.</w:t>
      </w:r>
    </w:p>
    <w:p w:rsidR="00E40549" w:rsidRPr="00B61F5E" w:rsidRDefault="00E40549" w:rsidP="00E40549">
      <w:pPr>
        <w:pStyle w:val="AERheading2"/>
      </w:pPr>
      <w:bookmarkStart w:id="66" w:name="_Toc384725783"/>
      <w:r w:rsidRPr="00B61F5E">
        <w:lastRenderedPageBreak/>
        <w:t>STTM facility operator audits</w:t>
      </w:r>
      <w:bookmarkEnd w:id="66"/>
    </w:p>
    <w:p w:rsidR="00E40549" w:rsidRPr="00405B4F" w:rsidRDefault="00E40549" w:rsidP="00E40549">
      <w:pPr>
        <w:pStyle w:val="AERbodytext"/>
      </w:pPr>
      <w:r>
        <w:t>Our</w:t>
      </w:r>
      <w:r w:rsidRPr="00405B4F">
        <w:t xml:space="preserve"> audits of STTM participants continued during the quarter. These audits assess an STTM facility operator’s processes to achieve compliance with information and data requirements under Part 20 of the Gas Rules, and whether these processes would be considered ‘Good Energy Industry Practice’.</w:t>
      </w:r>
      <w:r w:rsidRPr="00405B4F">
        <w:rPr>
          <w:rStyle w:val="FootnoteReference"/>
        </w:rPr>
        <w:footnoteReference w:id="7"/>
      </w:r>
    </w:p>
    <w:p w:rsidR="00E40549" w:rsidRPr="00405B4F" w:rsidRDefault="00E40549" w:rsidP="00E40549">
      <w:pPr>
        <w:pStyle w:val="AERbodytext"/>
      </w:pPr>
      <w:r w:rsidRPr="00405B4F">
        <w:t>While all of the facility operators had extensive experience in providing natural gas services in a general sense prior to STTM commencement, none of them had experience in providing data critical to the operation of a market. It is in the context of a market such as the STTM that the good industry practice threshold should be applied.</w:t>
      </w:r>
    </w:p>
    <w:p w:rsidR="00E40549" w:rsidRPr="001F5E4F" w:rsidRDefault="00E40549" w:rsidP="00E40549">
      <w:pPr>
        <w:pStyle w:val="AERbodytext"/>
      </w:pPr>
      <w:r>
        <w:t>We</w:t>
      </w:r>
      <w:r w:rsidRPr="00405B4F">
        <w:t xml:space="preserve"> use the acronym </w:t>
      </w:r>
      <w:r w:rsidRPr="00E40549">
        <w:t>GEIP</w:t>
      </w:r>
      <w:r w:rsidRPr="00405B4F">
        <w:t xml:space="preserve">, standing for ‘Good Energy Industry Practice’, as a practical guide to the steps a business should take to enable </w:t>
      </w:r>
      <w:r>
        <w:t>us</w:t>
      </w:r>
      <w:r w:rsidRPr="00405B4F">
        <w:t xml:space="preserve"> to assess performance against the threshold.</w:t>
      </w:r>
    </w:p>
    <w:p w:rsidR="00E40549" w:rsidRPr="00E40549" w:rsidRDefault="00E40549">
      <w:pPr>
        <w:pStyle w:val="AERbodytext"/>
        <w:rPr>
          <w:color w:val="000000"/>
        </w:rPr>
      </w:pPr>
      <w:r>
        <w:rPr>
          <w:rStyle w:val="AERbody"/>
        </w:rPr>
        <w:t xml:space="preserve">The next audit will be of the Jemena Eastern Gas Pipeline. </w:t>
      </w:r>
    </w:p>
    <w:p w:rsidR="00B25981" w:rsidRPr="00860DB5" w:rsidRDefault="00B25981" w:rsidP="002C7158">
      <w:pPr>
        <w:pStyle w:val="QCRunnumberedunboldheading"/>
      </w:pPr>
      <w:bookmarkStart w:id="67" w:name="_Toc384725784"/>
      <w:r w:rsidRPr="00E40549">
        <w:t>Victorian gas market</w:t>
      </w:r>
      <w:bookmarkEnd w:id="67"/>
    </w:p>
    <w:p w:rsidR="00B25981" w:rsidRDefault="00B25981" w:rsidP="00B25981">
      <w:pPr>
        <w:pStyle w:val="AERbodytext"/>
      </w:pPr>
      <w:r w:rsidRPr="00405B4F">
        <w:t>Part 19 of the Gas Rules sets out participants</w:t>
      </w:r>
      <w:r w:rsidRPr="00405B4F">
        <w:rPr>
          <w:rFonts w:hint="eastAsia"/>
        </w:rPr>
        <w:t>’</w:t>
      </w:r>
      <w:r w:rsidRPr="00405B4F">
        <w:t xml:space="preserve"> responsibilities in the Victorian Gas Market. The rules outline how wholesale gas is traded within the market and AEMO</w:t>
      </w:r>
      <w:r w:rsidRPr="00405B4F">
        <w:rPr>
          <w:rFonts w:hint="eastAsia"/>
        </w:rPr>
        <w:t>’</w:t>
      </w:r>
      <w:r w:rsidRPr="00405B4F">
        <w:t>s obligations to operate the physical system.</w:t>
      </w:r>
      <w:r>
        <w:t xml:space="preserve"> </w:t>
      </w:r>
    </w:p>
    <w:p w:rsidR="00B25981" w:rsidRDefault="00B25981" w:rsidP="00B25981">
      <w:pPr>
        <w:pStyle w:val="AERbodytext"/>
      </w:pPr>
      <w:r>
        <w:t>A number of errors by AEMO are reported on below.</w:t>
      </w:r>
    </w:p>
    <w:p w:rsidR="003B7459" w:rsidRDefault="003B7459" w:rsidP="003B7459">
      <w:pPr>
        <w:pStyle w:val="AERheading2"/>
      </w:pPr>
      <w:bookmarkStart w:id="68" w:name="_Toc384725785"/>
      <w:r>
        <w:t>AEMO pricing and notification issues using backup systems</w:t>
      </w:r>
      <w:bookmarkEnd w:id="68"/>
    </w:p>
    <w:p w:rsidR="003B7459" w:rsidRPr="003B7459" w:rsidRDefault="003B7459" w:rsidP="003B7459">
      <w:pPr>
        <w:pStyle w:val="AERbodytext"/>
      </w:pPr>
      <w:r w:rsidRPr="003B7459">
        <w:t>AEMO was unable to use bids and other scheduling inputs to determine the 10am price on 4</w:t>
      </w:r>
      <w:r w:rsidR="007044A3">
        <w:t> </w:t>
      </w:r>
      <w:r w:rsidRPr="003B7459">
        <w:t xml:space="preserve">February 2013 for the Victorian </w:t>
      </w:r>
      <w:r w:rsidR="00F37A17">
        <w:t>w</w:t>
      </w:r>
      <w:r w:rsidRPr="003B7459">
        <w:t xml:space="preserve">holesale </w:t>
      </w:r>
      <w:r w:rsidR="00F37A17">
        <w:t>g</w:t>
      </w:r>
      <w:r w:rsidRPr="003B7459">
        <w:t xml:space="preserve">as </w:t>
      </w:r>
      <w:r w:rsidR="00F37A17">
        <w:t>m</w:t>
      </w:r>
      <w:r w:rsidRPr="003B7459">
        <w:t>arket due to issues experienced with transferring to a backup data site.</w:t>
      </w:r>
    </w:p>
    <w:p w:rsidR="003B7459" w:rsidRPr="003B7459" w:rsidRDefault="003B7459" w:rsidP="003B7459">
      <w:pPr>
        <w:pStyle w:val="AERbodytext"/>
      </w:pPr>
      <w:r w:rsidRPr="003B7459">
        <w:t>As a result</w:t>
      </w:r>
      <w:r w:rsidR="00F37A17">
        <w:t>,</w:t>
      </w:r>
      <w:r w:rsidRPr="003B7459">
        <w:t xml:space="preserve"> AEMO did not calculate a market price in accordance with bids and other inputs specified in rule 221 of the Gas Rules. However, it did calculate an administered price in accordance with the Gas Scheduling Procedures and Administered Pricing Procedure. The </w:t>
      </w:r>
      <w:r w:rsidR="003B4322">
        <w:t>a</w:t>
      </w:r>
      <w:r w:rsidRPr="003B7459">
        <w:t>dministered price w</w:t>
      </w:r>
      <w:r w:rsidR="004F1ABA">
        <w:t xml:space="preserve">as set at the 6am price </w:t>
      </w:r>
      <w:r w:rsidR="003B4322">
        <w:t xml:space="preserve">of </w:t>
      </w:r>
      <w:r w:rsidR="004F1ABA">
        <w:t>$4.80</w:t>
      </w:r>
      <w:r w:rsidRPr="003B7459">
        <w:t xml:space="preserve">/GJ. </w:t>
      </w:r>
    </w:p>
    <w:p w:rsidR="003B7459" w:rsidRPr="003B7459" w:rsidRDefault="003B7459" w:rsidP="003B7459">
      <w:pPr>
        <w:pStyle w:val="AERbodytext"/>
      </w:pPr>
      <w:r w:rsidRPr="003B7459">
        <w:t xml:space="preserve">A report published by AEMO on 22 February 2013 indicates that had input data been used </w:t>
      </w:r>
      <w:r w:rsidR="003B4322">
        <w:t>to</w:t>
      </w:r>
      <w:r w:rsidR="003B4322" w:rsidRPr="003B7459">
        <w:t xml:space="preserve"> </w:t>
      </w:r>
      <w:r w:rsidRPr="003B7459">
        <w:t>calculat</w:t>
      </w:r>
      <w:r w:rsidR="003B4322">
        <w:t>e</w:t>
      </w:r>
      <w:r w:rsidRPr="003B7459">
        <w:t xml:space="preserve"> the price, the price would have been $4.35/GJ. A</w:t>
      </w:r>
      <w:r w:rsidR="007044A3">
        <w:t xml:space="preserve">s a result </w:t>
      </w:r>
      <w:r w:rsidRPr="003B7459">
        <w:t xml:space="preserve">there </w:t>
      </w:r>
      <w:r w:rsidR="007044A3">
        <w:t xml:space="preserve">was a small </w:t>
      </w:r>
      <w:r w:rsidRPr="003B7459">
        <w:t>market payment impact which AEMO calculates did not exceed $2000.</w:t>
      </w:r>
    </w:p>
    <w:p w:rsidR="003B7459" w:rsidRPr="003B7459" w:rsidRDefault="009D2E69" w:rsidP="003B7459">
      <w:pPr>
        <w:pStyle w:val="AERbodytext"/>
      </w:pPr>
      <w:r>
        <w:t>I</w:t>
      </w:r>
      <w:r w:rsidRPr="003B7459">
        <w:t>n its February report</w:t>
      </w:r>
      <w:r>
        <w:t xml:space="preserve">, </w:t>
      </w:r>
      <w:r w:rsidR="003B7459" w:rsidRPr="003B7459">
        <w:t>AEMO identifie</w:t>
      </w:r>
      <w:r>
        <w:t>d</w:t>
      </w:r>
      <w:r w:rsidR="003B7459" w:rsidRPr="003B7459">
        <w:t xml:space="preserve"> that the root cause of the inability to calculate a 10am price was an inconsistency between the scheduling database and the production database at the production and backup sites. AEMO also identifie</w:t>
      </w:r>
      <w:r>
        <w:t>d</w:t>
      </w:r>
      <w:r w:rsidR="003B7459" w:rsidRPr="003B7459">
        <w:t xml:space="preserve"> that a backup system for sending System Wide Notices (</w:t>
      </w:r>
      <w:r w:rsidR="003B7459" w:rsidRPr="004F1ABA">
        <w:rPr>
          <w:b/>
        </w:rPr>
        <w:t>SWNs</w:t>
      </w:r>
      <w:r w:rsidR="003B7459" w:rsidRPr="003B7459">
        <w:t>)</w:t>
      </w:r>
      <w:r w:rsidR="004A20C2">
        <w:t xml:space="preserve"> failed</w:t>
      </w:r>
      <w:r w:rsidR="003B7459" w:rsidRPr="003B7459">
        <w:t xml:space="preserve"> because of non-alignment of contacts in the scheduling system with the backup SMS system. As a result</w:t>
      </w:r>
      <w:r w:rsidR="00756B7B">
        <w:t>,</w:t>
      </w:r>
      <w:r w:rsidR="003B7459" w:rsidRPr="003B7459">
        <w:t xml:space="preserve"> about half of the people on the contact list did not receive a</w:t>
      </w:r>
      <w:r w:rsidR="00756B7B">
        <w:t>n</w:t>
      </w:r>
      <w:r w:rsidR="003B7459" w:rsidRPr="003B7459">
        <w:t xml:space="preserve"> SWN as to the administration of the price.</w:t>
      </w:r>
    </w:p>
    <w:p w:rsidR="003B7459" w:rsidRPr="003B7459" w:rsidRDefault="003B7459" w:rsidP="003B7459">
      <w:pPr>
        <w:pStyle w:val="AERbodytext"/>
      </w:pPr>
      <w:r w:rsidRPr="003B7459">
        <w:lastRenderedPageBreak/>
        <w:t>AEMO advise</w:t>
      </w:r>
      <w:r w:rsidR="001201E1">
        <w:t>d</w:t>
      </w:r>
      <w:r w:rsidRPr="003B7459">
        <w:t xml:space="preserve"> that it will review and improve its systems, processes and procedures to ensure that transfer between primary and backup sites is seamless and </w:t>
      </w:r>
      <w:r w:rsidR="00756B7B">
        <w:t>to improve</w:t>
      </w:r>
      <w:r w:rsidRPr="003B7459">
        <w:t xml:space="preserve"> communication during market events. </w:t>
      </w:r>
      <w:r w:rsidR="00380F85">
        <w:t xml:space="preserve">We </w:t>
      </w:r>
      <w:r w:rsidRPr="003B7459">
        <w:t>will follow up with AEMO as to the measures it adopts and report back in a future QCR.</w:t>
      </w:r>
    </w:p>
    <w:p w:rsidR="00B25981" w:rsidRPr="007725E6" w:rsidRDefault="00B25981" w:rsidP="002C7158">
      <w:pPr>
        <w:pStyle w:val="AERheading2"/>
      </w:pPr>
      <w:bookmarkStart w:id="69" w:name="_Toc384725786"/>
      <w:r>
        <w:t xml:space="preserve">AEMO </w:t>
      </w:r>
      <w:r w:rsidRPr="002003A5">
        <w:t xml:space="preserve">Supply Demand Point Constraint </w:t>
      </w:r>
      <w:r>
        <w:t>errors</w:t>
      </w:r>
      <w:bookmarkEnd w:id="69"/>
      <w:r w:rsidRPr="002003A5">
        <w:t xml:space="preserve"> </w:t>
      </w:r>
    </w:p>
    <w:p w:rsidR="00B25981" w:rsidRDefault="00B25981" w:rsidP="00B25981">
      <w:pPr>
        <w:pStyle w:val="AERbodytext"/>
      </w:pPr>
      <w:r w:rsidRPr="002003A5">
        <w:t>On 28 October, a</w:t>
      </w:r>
      <w:r>
        <w:t xml:space="preserve"> </w:t>
      </w:r>
      <w:r w:rsidRPr="002003A5">
        <w:t xml:space="preserve">non material breach occurred when a </w:t>
      </w:r>
      <w:r w:rsidR="00756B7B">
        <w:t>Supply Demand Point Constraint (</w:t>
      </w:r>
      <w:r w:rsidRPr="00756B7B">
        <w:rPr>
          <w:b/>
        </w:rPr>
        <w:t>SDPC</w:t>
      </w:r>
      <w:r w:rsidR="00756B7B">
        <w:t>)</w:t>
      </w:r>
      <w:r w:rsidRPr="002003A5">
        <w:t xml:space="preserve"> at Bass Gas was not applied correctly to the relevant scheduling interval. </w:t>
      </w:r>
      <w:r>
        <w:t>The request was not processed within the required time due to human error</w:t>
      </w:r>
      <w:r w:rsidRPr="002003A5">
        <w:t xml:space="preserve"> and resulted in </w:t>
      </w:r>
      <w:r>
        <w:t>a</w:t>
      </w:r>
      <w:r w:rsidRPr="002003A5">
        <w:t xml:space="preserve"> small effect on market prices. </w:t>
      </w:r>
    </w:p>
    <w:p w:rsidR="00B25981" w:rsidRDefault="00B25981" w:rsidP="00B25981">
      <w:pPr>
        <w:pStyle w:val="AERbodytext"/>
      </w:pPr>
      <w:r>
        <w:t xml:space="preserve">A </w:t>
      </w:r>
      <w:r w:rsidRPr="002003A5">
        <w:t xml:space="preserve">report on </w:t>
      </w:r>
      <w:r>
        <w:t xml:space="preserve">the </w:t>
      </w:r>
      <w:r w:rsidRPr="002003A5">
        <w:t xml:space="preserve">28 October </w:t>
      </w:r>
      <w:r>
        <w:t xml:space="preserve">incident at </w:t>
      </w:r>
      <w:r w:rsidRPr="002003A5">
        <w:t>Bass Gas is expected to be published soon</w:t>
      </w:r>
      <w:r w:rsidR="00E2100C">
        <w:t xml:space="preserve"> by AEMO</w:t>
      </w:r>
      <w:r w:rsidRPr="002003A5">
        <w:t>.</w:t>
      </w:r>
      <w:r w:rsidR="00033316">
        <w:t xml:space="preserve"> </w:t>
      </w:r>
    </w:p>
    <w:p w:rsidR="00B25981" w:rsidRPr="00860DB5" w:rsidRDefault="00B25981" w:rsidP="002C7158">
      <w:pPr>
        <w:pStyle w:val="QCRunnumberedunboldheading"/>
      </w:pPr>
      <w:bookmarkStart w:id="70" w:name="_Toc384725787"/>
      <w:r w:rsidRPr="00860DB5">
        <w:t>Bulletin Board</w:t>
      </w:r>
      <w:bookmarkEnd w:id="70"/>
    </w:p>
    <w:p w:rsidR="00B25981" w:rsidRDefault="00B25981" w:rsidP="00B25981">
      <w:pPr>
        <w:pStyle w:val="AERbodytext"/>
      </w:pPr>
      <w:r w:rsidRPr="00405B4F">
        <w:t>Part 18 of the Gas Rules sets out participants’ responsibilities regarding the Bulletin Board. These obligations aim to facilitate greater transparency in gas production and gas pipeline flows to assist gas trading. The obligations also require participants to identify and report any potential conditions where curtailment of gas use might be necessary.</w:t>
      </w:r>
      <w:r w:rsidRPr="00423010">
        <w:t xml:space="preserve"> </w:t>
      </w:r>
    </w:p>
    <w:p w:rsidR="004F1ABA" w:rsidRDefault="004F1ABA" w:rsidP="00B25981">
      <w:pPr>
        <w:pStyle w:val="AERbodytext"/>
      </w:pPr>
      <w:r>
        <w:t xml:space="preserve">The provisions referred to in section 2.8 and 2.9 below are not civil penalty provisions. This narrows </w:t>
      </w:r>
      <w:r w:rsidR="00DC3257">
        <w:t xml:space="preserve">our </w:t>
      </w:r>
      <w:r>
        <w:t xml:space="preserve">enforcement options. </w:t>
      </w:r>
      <w:r w:rsidR="00380F85">
        <w:t xml:space="preserve">We </w:t>
      </w:r>
      <w:r>
        <w:t>will continue to monitor compliance with Bulletin Board requirements and, where appropriate, seek commitments from participants to improve their performance.</w:t>
      </w:r>
    </w:p>
    <w:p w:rsidR="008800C5" w:rsidRDefault="008800C5" w:rsidP="008800C5">
      <w:pPr>
        <w:pStyle w:val="AERheading2"/>
      </w:pPr>
      <w:bookmarkStart w:id="71" w:name="_Toc384725788"/>
      <w:r>
        <w:t>Firm nomination data</w:t>
      </w:r>
      <w:bookmarkEnd w:id="71"/>
    </w:p>
    <w:p w:rsidR="008800C5" w:rsidRPr="008800C5" w:rsidRDefault="008800C5" w:rsidP="008800C5">
      <w:pPr>
        <w:pStyle w:val="AERbodytext"/>
      </w:pPr>
      <w:r w:rsidRPr="008800C5">
        <w:t xml:space="preserve">Participants submit daily pipeline nominated and forecast delivery data as required by rule 173 of the Gas Rules. During the quarter, two facility operators failed on a total of three occasions to submit </w:t>
      </w:r>
      <w:r w:rsidR="00756B7B">
        <w:t>firm</w:t>
      </w:r>
      <w:r w:rsidR="00756B7B" w:rsidRPr="008800C5">
        <w:t xml:space="preserve"> </w:t>
      </w:r>
      <w:r w:rsidRPr="008800C5">
        <w:t>nomination Bulletin Board data to AEMO on the relevant gas day.</w:t>
      </w:r>
    </w:p>
    <w:p w:rsidR="00B25981" w:rsidRPr="00B61F5E" w:rsidRDefault="00B25981" w:rsidP="002C7158">
      <w:pPr>
        <w:pStyle w:val="AERheading2"/>
      </w:pPr>
      <w:bookmarkStart w:id="72" w:name="_Toc384725789"/>
      <w:r w:rsidRPr="00B61F5E">
        <w:t>Actual daily production and pipeline flow data</w:t>
      </w:r>
      <w:bookmarkEnd w:id="72"/>
      <w:r w:rsidRPr="00B61F5E">
        <w:t xml:space="preserve"> </w:t>
      </w:r>
    </w:p>
    <w:p w:rsidR="008800C5" w:rsidRDefault="008800C5" w:rsidP="008800C5">
      <w:pPr>
        <w:pStyle w:val="AERbodytext"/>
      </w:pPr>
      <w:r>
        <w:t xml:space="preserve">Participants submit daily production and pipeline flow data as required by rules 166 and 174 of the Gas Rules. </w:t>
      </w:r>
    </w:p>
    <w:p w:rsidR="008800C5" w:rsidRDefault="008800C5" w:rsidP="008800C5">
      <w:pPr>
        <w:pStyle w:val="AERbodytext"/>
      </w:pPr>
      <w:r>
        <w:t xml:space="preserve">During the quarter, one facility operator failed on two occasions to submit daily flow Bulletin Board data to AEMO for two of its production facilities. This was an improvement on the previous quarter when three facility operators failed </w:t>
      </w:r>
      <w:r w:rsidR="003B4322">
        <w:t xml:space="preserve">to provide this data </w:t>
      </w:r>
      <w:r>
        <w:t xml:space="preserve">on a total of eight occasions. </w:t>
      </w:r>
    </w:p>
    <w:p w:rsidR="007725E6" w:rsidRPr="00860DB5" w:rsidRDefault="004A472C" w:rsidP="002C7158">
      <w:pPr>
        <w:pStyle w:val="QCRHeading1"/>
      </w:pPr>
      <w:bookmarkStart w:id="73" w:name="_Toc337553428"/>
      <w:bookmarkStart w:id="74" w:name="_Ref353362815"/>
      <w:bookmarkStart w:id="75" w:name="_Toc384725790"/>
      <w:bookmarkEnd w:id="23"/>
      <w:bookmarkEnd w:id="24"/>
      <w:bookmarkEnd w:id="47"/>
      <w:bookmarkEnd w:id="48"/>
      <w:r w:rsidRPr="00860DB5">
        <w:lastRenderedPageBreak/>
        <w:t>Electricity</w:t>
      </w:r>
      <w:bookmarkEnd w:id="73"/>
      <w:bookmarkEnd w:id="74"/>
      <w:bookmarkEnd w:id="75"/>
    </w:p>
    <w:p w:rsidR="004A472C" w:rsidRPr="00405B4F" w:rsidRDefault="00DC3257" w:rsidP="004A472C">
      <w:pPr>
        <w:pStyle w:val="AERbodytext"/>
      </w:pPr>
      <w:r>
        <w:t>We are</w:t>
      </w:r>
      <w:r w:rsidR="004A472C" w:rsidRPr="00405B4F">
        <w:t xml:space="preserve"> responsible for monitoring, investigating and </w:t>
      </w:r>
      <w:r w:rsidR="00106D97" w:rsidRPr="00405B4F">
        <w:t>enforcing c</w:t>
      </w:r>
      <w:r w:rsidR="004A472C" w:rsidRPr="00405B4F">
        <w:t>ompliance under the Electricity Law and Rules.</w:t>
      </w:r>
    </w:p>
    <w:p w:rsidR="004A472C" w:rsidRPr="00405B4F" w:rsidRDefault="004A472C" w:rsidP="002C7158">
      <w:pPr>
        <w:pStyle w:val="AERheading2"/>
      </w:pPr>
      <w:bookmarkStart w:id="76" w:name="_Toc212011732"/>
      <w:bookmarkStart w:id="77" w:name="_Toc212011733"/>
      <w:bookmarkStart w:id="78" w:name="_Toc212011734"/>
      <w:bookmarkStart w:id="79" w:name="_Toc212011740"/>
      <w:bookmarkStart w:id="80" w:name="_Toc384725791"/>
      <w:bookmarkStart w:id="81" w:name="_Toc307317355"/>
      <w:bookmarkStart w:id="82" w:name="_Toc330814067"/>
      <w:bookmarkStart w:id="83" w:name="OLE_LINK22"/>
      <w:bookmarkStart w:id="84" w:name="OLE_LINK25"/>
      <w:bookmarkStart w:id="85" w:name="OLE_LINK70"/>
      <w:bookmarkStart w:id="86" w:name="OLE_LINK71"/>
      <w:bookmarkStart w:id="87" w:name="OLE_LINK81"/>
      <w:bookmarkStart w:id="88" w:name="OLE_LINK82"/>
      <w:bookmarkStart w:id="89" w:name="OLE_LINK11"/>
      <w:bookmarkStart w:id="90" w:name="OLE_LINK13"/>
      <w:bookmarkStart w:id="91" w:name="_Ref222739334"/>
      <w:bookmarkStart w:id="92" w:name="_Toc229556409"/>
      <w:bookmarkStart w:id="93" w:name="OLE_LINK9"/>
      <w:bookmarkStart w:id="94" w:name="OLE_LINK10"/>
      <w:bookmarkStart w:id="95" w:name="_Ref221697778"/>
      <w:bookmarkStart w:id="96" w:name="_Toc229556410"/>
      <w:bookmarkStart w:id="97" w:name="OLE_LINK31"/>
      <w:bookmarkStart w:id="98" w:name="OLE_LINK69"/>
      <w:bookmarkStart w:id="99" w:name="OLE_LINK77"/>
      <w:bookmarkStart w:id="100" w:name="OLE_LINK78"/>
      <w:bookmarkStart w:id="101" w:name="OLE_LINK79"/>
      <w:bookmarkStart w:id="102" w:name="OLE_LINK80"/>
      <w:bookmarkEnd w:id="76"/>
      <w:bookmarkEnd w:id="77"/>
      <w:bookmarkEnd w:id="78"/>
      <w:bookmarkEnd w:id="79"/>
      <w:r w:rsidRPr="00405B4F">
        <w:t>Rebidding</w:t>
      </w:r>
      <w:bookmarkEnd w:id="80"/>
      <w:r w:rsidRPr="00405B4F">
        <w:t xml:space="preserve"> </w:t>
      </w:r>
    </w:p>
    <w:p w:rsidR="004A472C" w:rsidRPr="00405B4F" w:rsidRDefault="004A472C" w:rsidP="004A472C">
      <w:pPr>
        <w:pStyle w:val="AERbodytext"/>
      </w:pPr>
      <w:bookmarkStart w:id="103" w:name="OLE_LINK17"/>
      <w:bookmarkStart w:id="104" w:name="OLE_LINK19"/>
      <w:bookmarkStart w:id="105" w:name="OLE_LINK6"/>
      <w:bookmarkEnd w:id="81"/>
      <w:bookmarkEnd w:id="82"/>
      <w:bookmarkEnd w:id="83"/>
      <w:bookmarkEnd w:id="84"/>
      <w:bookmarkEnd w:id="85"/>
      <w:bookmarkEnd w:id="86"/>
      <w:bookmarkEnd w:id="87"/>
      <w:bookmarkEnd w:id="88"/>
      <w:r w:rsidRPr="00405B4F">
        <w:t>Scheduled generators and market participants operating in the National Electricity Market (</w:t>
      </w:r>
      <w:r w:rsidRPr="00405B4F">
        <w:rPr>
          <w:b/>
        </w:rPr>
        <w:t>NEM</w:t>
      </w:r>
      <w:r w:rsidRPr="00405B4F">
        <w:t>) submit electricity offers and bids for each half hour</w:t>
      </w:r>
      <w:r w:rsidR="008B0082" w:rsidRPr="00405B4F">
        <w:t xml:space="preserve"> trading interval</w:t>
      </w:r>
      <w:r w:rsidRPr="00405B4F">
        <w:t>. The offers and bids include available capacity for up to 10 price bands, and can be varied through rebidding.</w:t>
      </w:r>
      <w:r w:rsidRPr="00405B4F">
        <w:rPr>
          <w:vertAlign w:val="superscript"/>
        </w:rPr>
        <w:footnoteReference w:id="8"/>
      </w:r>
    </w:p>
    <w:p w:rsidR="004A472C" w:rsidRPr="000D2D9C" w:rsidRDefault="00DC3257" w:rsidP="004A472C">
      <w:pPr>
        <w:pStyle w:val="AERbodytext"/>
        <w:rPr>
          <w:highlight w:val="yellow"/>
        </w:rPr>
      </w:pPr>
      <w:r>
        <w:t>We</w:t>
      </w:r>
      <w:r w:rsidRPr="00405B4F">
        <w:t xml:space="preserve"> </w:t>
      </w:r>
      <w:r w:rsidR="004A472C" w:rsidRPr="00405B4F">
        <w:t xml:space="preserve">adopted </w:t>
      </w:r>
      <w:r w:rsidR="001201E1" w:rsidRPr="00405B4F">
        <w:t xml:space="preserve">a new strategy in relation to enforcing </w:t>
      </w:r>
      <w:r w:rsidR="004A472C" w:rsidRPr="00405B4F">
        <w:t>generator rebidding reason</w:t>
      </w:r>
      <w:r w:rsidR="001201E1" w:rsidRPr="00405B4F">
        <w:t xml:space="preserve"> r</w:t>
      </w:r>
      <w:r w:rsidR="00405B4F">
        <w:t>equirements in 2010</w:t>
      </w:r>
      <w:r w:rsidR="004A472C" w:rsidRPr="00405B4F">
        <w:t>.</w:t>
      </w:r>
      <w:r w:rsidR="004A472C" w:rsidRPr="00405B4F">
        <w:rPr>
          <w:vertAlign w:val="superscript"/>
        </w:rPr>
        <w:footnoteReference w:id="9"/>
      </w:r>
      <w:r w:rsidR="004A472C" w:rsidRPr="00405B4F">
        <w:t xml:space="preserve"> Generators that submit offer, bid and/or rebid information that does not meet the requirements of the Electricity Rules will receive two warnings. On </w:t>
      </w:r>
      <w:r w:rsidR="00D04F9F" w:rsidRPr="00405B4F">
        <w:t xml:space="preserve">the </w:t>
      </w:r>
      <w:r w:rsidR="004A472C" w:rsidRPr="00405B4F">
        <w:t xml:space="preserve">third </w:t>
      </w:r>
      <w:r w:rsidR="00D04F9F" w:rsidRPr="00405B4F">
        <w:t xml:space="preserve">warning </w:t>
      </w:r>
      <w:r w:rsidR="004A472C" w:rsidRPr="00405B4F">
        <w:t xml:space="preserve">within six months, </w:t>
      </w:r>
      <w:r>
        <w:t>we</w:t>
      </w:r>
      <w:r w:rsidR="004A472C" w:rsidRPr="00405B4F">
        <w:t xml:space="preserve"> will consider issuing an infringement notice. </w:t>
      </w:r>
      <w:r w:rsidR="00515510" w:rsidRPr="00405B4F">
        <w:t xml:space="preserve">Where there is no third warning within six months of the first warning, </w:t>
      </w:r>
      <w:r w:rsidR="00380F85">
        <w:t xml:space="preserve">we </w:t>
      </w:r>
      <w:r w:rsidR="00147563" w:rsidRPr="00405B4F">
        <w:t xml:space="preserve">will reset a participant’s warning count </w:t>
      </w:r>
      <w:r w:rsidR="00D50182" w:rsidRPr="00405B4F">
        <w:t>to zero</w:t>
      </w:r>
      <w:r w:rsidR="00147563" w:rsidRPr="00405B4F">
        <w:t xml:space="preserve">. </w:t>
      </w:r>
    </w:p>
    <w:p w:rsidR="00620D71" w:rsidRPr="0059623E" w:rsidRDefault="00E905A9" w:rsidP="004A472C">
      <w:pPr>
        <w:pStyle w:val="AERbodytext"/>
      </w:pPr>
      <w:r>
        <w:fldChar w:fldCharType="begin"/>
      </w:r>
      <w:r>
        <w:instrText xml:space="preserve"> REF _Ref353365935 \r \h  \* MERGEFORMAT </w:instrText>
      </w:r>
      <w:r>
        <w:fldChar w:fldCharType="separate"/>
      </w:r>
      <w:r w:rsidR="008C4BA5">
        <w:t>Figure 3.1</w:t>
      </w:r>
      <w:r>
        <w:fldChar w:fldCharType="end"/>
      </w:r>
      <w:r w:rsidR="009E5DEC" w:rsidRPr="00405B4F">
        <w:t xml:space="preserve"> </w:t>
      </w:r>
      <w:r w:rsidR="004A472C" w:rsidRPr="00405B4F">
        <w:t xml:space="preserve">shows that since 2010 the number of rebids </w:t>
      </w:r>
      <w:r w:rsidR="00E56F27" w:rsidRPr="00405B4F">
        <w:t xml:space="preserve">detected </w:t>
      </w:r>
      <w:r w:rsidR="004A472C" w:rsidRPr="00405B4F">
        <w:t xml:space="preserve">by </w:t>
      </w:r>
      <w:r w:rsidR="00DC3257">
        <w:t>our</w:t>
      </w:r>
      <w:r w:rsidR="004A472C" w:rsidRPr="00405B4F">
        <w:t xml:space="preserve"> internal compliance system has fallen markedly. The number of rebids which required further review has also fallen significantly.</w:t>
      </w:r>
      <w:r w:rsidR="004A472C" w:rsidRPr="0059623E">
        <w:t xml:space="preserve"> </w:t>
      </w:r>
    </w:p>
    <w:p w:rsidR="004A472C" w:rsidRPr="00372CBB" w:rsidRDefault="004A472C" w:rsidP="00372CBB">
      <w:pPr>
        <w:pStyle w:val="AERfigureheading"/>
      </w:pPr>
      <w:bookmarkStart w:id="106" w:name="_Ref353365935"/>
      <w:r w:rsidRPr="00372CBB">
        <w:t>Rebids auto-triggered and reviewed per week</w:t>
      </w:r>
      <w:bookmarkEnd w:id="106"/>
    </w:p>
    <w:p w:rsidR="003D46AF" w:rsidRDefault="00A02BC9" w:rsidP="004A472C">
      <w:r>
        <w:pict>
          <v:shape id="_x0000_i1030" type="#_x0000_t75" style="width:438.75pt;height:261pt">
            <v:imagedata r:id="rId29" o:title=""/>
          </v:shape>
        </w:pict>
      </w:r>
    </w:p>
    <w:p w:rsidR="00E0671E" w:rsidRDefault="001201E1">
      <w:pPr>
        <w:pStyle w:val="AERbodytext"/>
        <w:rPr>
          <w:color w:val="000000" w:themeColor="text1"/>
        </w:rPr>
      </w:pPr>
      <w:r>
        <w:rPr>
          <w:color w:val="000000" w:themeColor="text1"/>
        </w:rPr>
        <w:lastRenderedPageBreak/>
        <w:t xml:space="preserve">During the March quarter, </w:t>
      </w:r>
      <w:r w:rsidR="00DC3257">
        <w:rPr>
          <w:color w:val="000000" w:themeColor="text1"/>
        </w:rPr>
        <w:t xml:space="preserve">we </w:t>
      </w:r>
      <w:r w:rsidR="005F17BD" w:rsidRPr="005F17BD">
        <w:rPr>
          <w:color w:val="000000" w:themeColor="text1"/>
        </w:rPr>
        <w:t xml:space="preserve">issued </w:t>
      </w:r>
      <w:r>
        <w:rPr>
          <w:color w:val="000000" w:themeColor="text1"/>
        </w:rPr>
        <w:t>only one warning. It was an</w:t>
      </w:r>
      <w:r w:rsidR="005F17BD" w:rsidRPr="005F17BD">
        <w:rPr>
          <w:color w:val="000000" w:themeColor="text1"/>
        </w:rPr>
        <w:t xml:space="preserve"> initial warning with respect to a rebid which reduced a unit’s ramp rate to below the allowed minimum of 3MW/minute without a technical reason</w:t>
      </w:r>
      <w:r>
        <w:rPr>
          <w:color w:val="000000" w:themeColor="text1"/>
        </w:rPr>
        <w:t>.</w:t>
      </w:r>
    </w:p>
    <w:p w:rsidR="004A472C" w:rsidRPr="002C7158" w:rsidRDefault="00524CCB" w:rsidP="002C7158">
      <w:pPr>
        <w:pStyle w:val="AERheading2"/>
      </w:pPr>
      <w:bookmarkStart w:id="107" w:name="_Toc330814074"/>
      <w:bookmarkStart w:id="108" w:name="_Toc384725792"/>
      <w:bookmarkEnd w:id="89"/>
      <w:bookmarkEnd w:id="90"/>
      <w:bookmarkEnd w:id="91"/>
      <w:bookmarkEnd w:id="92"/>
      <w:bookmarkEnd w:id="93"/>
      <w:bookmarkEnd w:id="94"/>
      <w:bookmarkEnd w:id="103"/>
      <w:bookmarkEnd w:id="104"/>
      <w:bookmarkEnd w:id="105"/>
      <w:r>
        <w:t>Technical a</w:t>
      </w:r>
      <w:r w:rsidR="004A472C" w:rsidRPr="002C7158">
        <w:t>udits</w:t>
      </w:r>
      <w:bookmarkEnd w:id="95"/>
      <w:bookmarkEnd w:id="96"/>
      <w:bookmarkEnd w:id="107"/>
      <w:bookmarkEnd w:id="108"/>
    </w:p>
    <w:p w:rsidR="00901CF5" w:rsidRPr="00405B4F" w:rsidRDefault="004A472C" w:rsidP="00901CF5">
      <w:pPr>
        <w:pStyle w:val="AERbodytext"/>
      </w:pPr>
      <w:bookmarkStart w:id="109" w:name="OLE_LINK7"/>
      <w:bookmarkStart w:id="110" w:name="OLE_LINK8"/>
      <w:bookmarkStart w:id="111" w:name="OLE_LINK53"/>
      <w:r w:rsidRPr="00405B4F">
        <w:rPr>
          <w:lang w:eastAsia="en-AU"/>
        </w:rPr>
        <w:t xml:space="preserve">Auditing is one mechanism </w:t>
      </w:r>
      <w:r w:rsidR="00DC3257">
        <w:rPr>
          <w:lang w:eastAsia="en-AU"/>
        </w:rPr>
        <w:t xml:space="preserve">we </w:t>
      </w:r>
      <w:r w:rsidRPr="00405B4F">
        <w:rPr>
          <w:lang w:eastAsia="en-AU"/>
        </w:rPr>
        <w:t xml:space="preserve">use to verify and assess compliance by registered participants with their obligations. </w:t>
      </w:r>
      <w:r w:rsidRPr="00405B4F">
        <w:t xml:space="preserve">The audits aim to ensure participants have robust and effective compliance programs in place that are consistent with </w:t>
      </w:r>
      <w:r w:rsidR="00CA2A01" w:rsidRPr="00405B4F">
        <w:t>Good E</w:t>
      </w:r>
      <w:r w:rsidR="00BC656A" w:rsidRPr="00405B4F">
        <w:t>nergy Industry Practice</w:t>
      </w:r>
      <w:r w:rsidRPr="00405B4F">
        <w:t>.</w:t>
      </w:r>
      <w:bookmarkStart w:id="112" w:name="_Toc213746648"/>
      <w:bookmarkStart w:id="113" w:name="_Toc213736452"/>
      <w:bookmarkStart w:id="114" w:name="_Toc213746649"/>
      <w:bookmarkStart w:id="115" w:name="_Toc237164170"/>
      <w:bookmarkStart w:id="116" w:name="_Toc237164171"/>
      <w:bookmarkStart w:id="117" w:name="_Ref222128200"/>
      <w:bookmarkStart w:id="118" w:name="_Toc229556417"/>
      <w:bookmarkStart w:id="119" w:name="_Toc330814075"/>
      <w:bookmarkStart w:id="120" w:name="OLE_LINK21"/>
      <w:bookmarkStart w:id="121" w:name="OLE_LINK24"/>
      <w:bookmarkEnd w:id="97"/>
      <w:bookmarkEnd w:id="98"/>
      <w:bookmarkEnd w:id="99"/>
      <w:bookmarkEnd w:id="100"/>
      <w:bookmarkEnd w:id="101"/>
      <w:bookmarkEnd w:id="102"/>
      <w:bookmarkEnd w:id="109"/>
      <w:bookmarkEnd w:id="110"/>
      <w:bookmarkEnd w:id="111"/>
      <w:bookmarkEnd w:id="112"/>
      <w:bookmarkEnd w:id="113"/>
      <w:bookmarkEnd w:id="114"/>
      <w:bookmarkEnd w:id="115"/>
      <w:bookmarkEnd w:id="116"/>
    </w:p>
    <w:p w:rsidR="00901CF5" w:rsidRPr="00405B4F" w:rsidRDefault="00380F85" w:rsidP="00901CF5">
      <w:pPr>
        <w:pStyle w:val="AERbodytext"/>
      </w:pPr>
      <w:r>
        <w:t xml:space="preserve">We </w:t>
      </w:r>
      <w:r w:rsidR="001201E1" w:rsidRPr="00405B4F">
        <w:t xml:space="preserve">conduct </w:t>
      </w:r>
      <w:r w:rsidR="00901CF5" w:rsidRPr="00405B4F">
        <w:t xml:space="preserve">regular technical compliance audits in the electricity sector of generators and network service providers on a rotating basis. These audits generally focus on the Electricity Rules </w:t>
      </w:r>
      <w:r w:rsidR="00795DCA" w:rsidRPr="00405B4F">
        <w:t>clauses</w:t>
      </w:r>
      <w:r w:rsidR="00795DCA">
        <w:t> </w:t>
      </w:r>
      <w:r w:rsidR="00901CF5" w:rsidRPr="00405B4F">
        <w:t xml:space="preserve">4.15 and 5.7.4, particularly the requirement on electricity generators and network service providers to institute and maintain a compliance program in accordance with prescribed requirements. </w:t>
      </w:r>
    </w:p>
    <w:p w:rsidR="00901CF5" w:rsidRDefault="00380F85" w:rsidP="00880F11">
      <w:pPr>
        <w:pStyle w:val="AERbodytext"/>
      </w:pPr>
      <w:r>
        <w:t>We have</w:t>
      </w:r>
      <w:r w:rsidR="00880F11" w:rsidRPr="00405B4F">
        <w:t xml:space="preserve"> now commenced a technical audit of Macquarie Generation’s Bayswater Power Station. During 2013 </w:t>
      </w:r>
      <w:r w:rsidR="00795DCA">
        <w:t>we</w:t>
      </w:r>
      <w:r w:rsidR="00795DCA" w:rsidRPr="00405B4F">
        <w:t xml:space="preserve"> </w:t>
      </w:r>
      <w:r w:rsidR="00880F11" w:rsidRPr="00405B4F">
        <w:t>also intend to conduct audits of</w:t>
      </w:r>
      <w:r w:rsidR="00880F11">
        <w:t xml:space="preserve"> </w:t>
      </w:r>
      <w:r w:rsidR="00901CF5">
        <w:t>a large wind farm and</w:t>
      </w:r>
      <w:r w:rsidR="00915852">
        <w:t xml:space="preserve"> </w:t>
      </w:r>
      <w:r w:rsidR="00901CF5">
        <w:t>the South Australian transmission network service provider, ElectraNet.</w:t>
      </w:r>
    </w:p>
    <w:p w:rsidR="0022755E" w:rsidRDefault="00901CF5" w:rsidP="0022755E">
      <w:pPr>
        <w:pStyle w:val="AERbodytext"/>
      </w:pPr>
      <w:r>
        <w:t xml:space="preserve">After each audit is completed, </w:t>
      </w:r>
      <w:r w:rsidR="00380F85">
        <w:t xml:space="preserve">we </w:t>
      </w:r>
      <w:r>
        <w:t xml:space="preserve">will publish a summary of </w:t>
      </w:r>
      <w:r w:rsidR="00795DCA">
        <w:t xml:space="preserve">our </w:t>
      </w:r>
      <w:r>
        <w:t xml:space="preserve">findings in </w:t>
      </w:r>
      <w:r w:rsidR="00795DCA">
        <w:t xml:space="preserve">the </w:t>
      </w:r>
      <w:r w:rsidR="00046DA1">
        <w:t>QCR</w:t>
      </w:r>
      <w:r>
        <w:t>.</w:t>
      </w:r>
    </w:p>
    <w:p w:rsidR="00C033A5" w:rsidRPr="00CF20CC" w:rsidRDefault="00C033A5" w:rsidP="002C7158">
      <w:pPr>
        <w:pStyle w:val="AERheading2"/>
      </w:pPr>
      <w:bookmarkStart w:id="122" w:name="_Toc384725793"/>
      <w:r w:rsidRPr="00CF20CC">
        <w:t>Targeted compliance reviews</w:t>
      </w:r>
      <w:bookmarkEnd w:id="122"/>
    </w:p>
    <w:p w:rsidR="00C033A5" w:rsidRPr="00CF20CC" w:rsidRDefault="00C033A5" w:rsidP="00C033A5">
      <w:pPr>
        <w:pStyle w:val="AERbodytext"/>
      </w:pPr>
      <w:r w:rsidRPr="00CF20CC">
        <w:t xml:space="preserve">Targeted compliance reviews form an important part of </w:t>
      </w:r>
      <w:r w:rsidR="00DC3257">
        <w:t>our</w:t>
      </w:r>
      <w:r w:rsidRPr="00CF20CC">
        <w:t xml:space="preserve"> monitoring program. The reviews explore participants’ compliance practice</w:t>
      </w:r>
      <w:r w:rsidR="00060300" w:rsidRPr="00CF20CC">
        <w:t>s</w:t>
      </w:r>
      <w:r w:rsidRPr="00CF20CC">
        <w:t xml:space="preserve"> and aim to improve stakeholder understanding of obligations.</w:t>
      </w:r>
    </w:p>
    <w:p w:rsidR="0020762C" w:rsidRDefault="00CF401F" w:rsidP="0020762C">
      <w:pPr>
        <w:pStyle w:val="AERbodytext"/>
      </w:pPr>
      <w:r>
        <w:t>We</w:t>
      </w:r>
      <w:r w:rsidR="00380F85">
        <w:t xml:space="preserve"> have</w:t>
      </w:r>
      <w:r w:rsidR="0020762C" w:rsidRPr="00CF20CC">
        <w:t xml:space="preserve"> recently completed</w:t>
      </w:r>
      <w:r w:rsidR="0020762C" w:rsidRPr="0020762C">
        <w:t xml:space="preserve"> a review of generators’ obligations to modify their compliance programs</w:t>
      </w:r>
      <w:r w:rsidR="0020762C">
        <w:t>. Generators are required to maintain compliance programs which relate to registered performance standards in accordance with the Electricity rules. The obligations of generators are outlined below.</w:t>
      </w:r>
      <w:r w:rsidR="0020762C" w:rsidRPr="0020762C">
        <w:t xml:space="preserve">  </w:t>
      </w:r>
    </w:p>
    <w:p w:rsidR="009C1B6B" w:rsidRPr="00C033A5" w:rsidRDefault="009C1B6B" w:rsidP="009C1B6B">
      <w:pPr>
        <w:pStyle w:val="AERbodytext"/>
        <w:rPr>
          <w:rFonts w:eastAsia="Calibri"/>
          <w:szCs w:val="16"/>
        </w:rPr>
      </w:pPr>
      <w:r w:rsidRPr="00282302">
        <w:rPr>
          <w:rFonts w:eastAsia="Calibri"/>
          <w:szCs w:val="23"/>
        </w:rPr>
        <w:t>A list of the provisions targeted under this process since Jun</w:t>
      </w:r>
      <w:r w:rsidR="00FE5EC1">
        <w:rPr>
          <w:rFonts w:eastAsia="Calibri"/>
          <w:szCs w:val="23"/>
        </w:rPr>
        <w:t>e 2011 is provided in appendix B</w:t>
      </w:r>
      <w:r w:rsidRPr="00282302">
        <w:rPr>
          <w:rFonts w:eastAsia="Calibri"/>
          <w:szCs w:val="23"/>
        </w:rPr>
        <w:t xml:space="preserve"> of this report.</w:t>
      </w:r>
    </w:p>
    <w:p w:rsidR="0020762C" w:rsidRPr="0020762C" w:rsidRDefault="0020762C" w:rsidP="0020762C">
      <w:pPr>
        <w:pStyle w:val="AERbodytext"/>
        <w:rPr>
          <w:b/>
        </w:rPr>
      </w:pPr>
      <w:r w:rsidRPr="0020762C">
        <w:rPr>
          <w:b/>
        </w:rPr>
        <w:t>Generators</w:t>
      </w:r>
      <w:r w:rsidR="0091293B">
        <w:rPr>
          <w:b/>
        </w:rPr>
        <w:t>’</w:t>
      </w:r>
      <w:r w:rsidRPr="0020762C">
        <w:rPr>
          <w:b/>
        </w:rPr>
        <w:t xml:space="preserve"> obligation to </w:t>
      </w:r>
      <w:r w:rsidR="0091293B">
        <w:rPr>
          <w:b/>
        </w:rPr>
        <w:t>modify compliance programs relating to registered performance standards</w:t>
      </w:r>
    </w:p>
    <w:p w:rsidR="0020762C" w:rsidRPr="0020762C" w:rsidRDefault="0020762C" w:rsidP="0020762C">
      <w:pPr>
        <w:pStyle w:val="AERbodytext"/>
      </w:pPr>
      <w:r w:rsidRPr="0020762C">
        <w:t xml:space="preserve">Under clause 4.15(b) of the Electricity Rules, registered participants who engage in the activity of planning, owning, controlling or operating a plant </w:t>
      </w:r>
      <w:r w:rsidR="00795DCA">
        <w:t xml:space="preserve">to </w:t>
      </w:r>
      <w:r w:rsidRPr="0020762C">
        <w:t xml:space="preserve">which a performance standard applies must institute and maintain a compliance program. This compliance program must be consistent with the template for generator compliance programs published by the </w:t>
      </w:r>
      <w:r w:rsidR="0091293B">
        <w:t xml:space="preserve">AEMC </w:t>
      </w:r>
      <w:r w:rsidRPr="0020762C">
        <w:t xml:space="preserve">Reliability Panel.  </w:t>
      </w:r>
    </w:p>
    <w:p w:rsidR="0020762C" w:rsidRPr="0020762C" w:rsidRDefault="0020762C" w:rsidP="0020762C">
      <w:pPr>
        <w:pStyle w:val="AERbodytext"/>
      </w:pPr>
      <w:r w:rsidRPr="0020762C">
        <w:t xml:space="preserve">Under clause 4.15(c)(3), in the event that amendments are made to the template by the Reliability Panel under clause 8.8.3(ba), </w:t>
      </w:r>
      <w:r w:rsidR="007F5495">
        <w:t>R</w:t>
      </w:r>
      <w:r w:rsidR="007F5495" w:rsidRPr="0020762C">
        <w:t xml:space="preserve">egistered </w:t>
      </w:r>
      <w:r w:rsidR="007F5495">
        <w:t>P</w:t>
      </w:r>
      <w:r w:rsidR="007F5495" w:rsidRPr="0020762C">
        <w:t xml:space="preserve">articipants </w:t>
      </w:r>
      <w:r w:rsidRPr="0020762C">
        <w:t>must ensure that their compliance programs are consistent with the amended template by modifying t</w:t>
      </w:r>
      <w:r w:rsidR="0091293B">
        <w:t>hem</w:t>
      </w:r>
      <w:r w:rsidRPr="0020762C">
        <w:t xml:space="preserve"> as necessary, within </w:t>
      </w:r>
      <w:r w:rsidR="00795DCA">
        <w:t>six </w:t>
      </w:r>
      <w:r w:rsidRPr="0020762C">
        <w:t>months of the publication date of the amended template.</w:t>
      </w:r>
    </w:p>
    <w:p w:rsidR="0020762C" w:rsidRPr="0020762C" w:rsidRDefault="0020762C" w:rsidP="0020762C">
      <w:pPr>
        <w:pStyle w:val="AERbodytext"/>
      </w:pPr>
      <w:r w:rsidRPr="0020762C">
        <w:t>The Reliability Panel last published an amended template on 27 June 2012</w:t>
      </w:r>
      <w:r w:rsidR="00CA525F">
        <w:t>. This means</w:t>
      </w:r>
      <w:r w:rsidRPr="0020762C">
        <w:t xml:space="preserve"> registered participants</w:t>
      </w:r>
      <w:r w:rsidR="00CA525F">
        <w:t xml:space="preserve"> were required</w:t>
      </w:r>
      <w:r w:rsidRPr="0020762C">
        <w:t xml:space="preserve"> to </w:t>
      </w:r>
      <w:r w:rsidR="00D0060B">
        <w:t>review</w:t>
      </w:r>
      <w:r w:rsidR="00D0060B" w:rsidRPr="0020762C">
        <w:t xml:space="preserve"> </w:t>
      </w:r>
      <w:r w:rsidRPr="0020762C">
        <w:t xml:space="preserve">their compliance programs by December 2012. Generators were reminded of this obligation </w:t>
      </w:r>
      <w:r w:rsidR="00CA525F">
        <w:t>in</w:t>
      </w:r>
      <w:r w:rsidRPr="0020762C">
        <w:t xml:space="preserve"> </w:t>
      </w:r>
      <w:r w:rsidR="00DC3257">
        <w:t>our</w:t>
      </w:r>
      <w:r w:rsidRPr="0020762C">
        <w:t xml:space="preserve"> </w:t>
      </w:r>
      <w:hyperlink r:id="rId30" w:history="1">
        <w:r w:rsidR="00795DCA">
          <w:rPr>
            <w:rStyle w:val="Hyperlink"/>
          </w:rPr>
          <w:t>September 2012 QCR</w:t>
        </w:r>
      </w:hyperlink>
      <w:r w:rsidRPr="0020762C">
        <w:t xml:space="preserve">. </w:t>
      </w:r>
    </w:p>
    <w:p w:rsidR="0020762C" w:rsidRPr="0020762C" w:rsidRDefault="0020762C" w:rsidP="0020762C">
      <w:pPr>
        <w:pStyle w:val="AERbodytext"/>
      </w:pPr>
      <w:r w:rsidRPr="0020762C">
        <w:t xml:space="preserve">As part of this review, </w:t>
      </w:r>
      <w:r w:rsidR="00380F85">
        <w:t xml:space="preserve">we </w:t>
      </w:r>
      <w:r w:rsidRPr="0020762C">
        <w:t xml:space="preserve">wrote to AGL, Origin Energy, EnergyAustralia, CS Energy, Intergen, Stanwell Corporation, Hydro Tasmania and International Power, who all operate electricity generation </w:t>
      </w:r>
      <w:r w:rsidRPr="0020762C">
        <w:lastRenderedPageBreak/>
        <w:t>plants</w:t>
      </w:r>
      <w:r w:rsidR="00CA525F">
        <w:t xml:space="preserve">. </w:t>
      </w:r>
      <w:r w:rsidR="00380F85">
        <w:t xml:space="preserve">We </w:t>
      </w:r>
      <w:r w:rsidR="00CA525F">
        <w:t>sought</w:t>
      </w:r>
      <w:r w:rsidRPr="0020762C">
        <w:t xml:space="preserve"> to determine whether each had reviewed</w:t>
      </w:r>
      <w:r w:rsidR="00795DCA">
        <w:t>,</w:t>
      </w:r>
      <w:r w:rsidRPr="0020762C">
        <w:t xml:space="preserve"> </w:t>
      </w:r>
      <w:r w:rsidR="0091293B">
        <w:t xml:space="preserve">and </w:t>
      </w:r>
      <w:r w:rsidR="00D0060B">
        <w:t>where necessary</w:t>
      </w:r>
      <w:r w:rsidR="00795DCA">
        <w:t>,</w:t>
      </w:r>
      <w:r w:rsidR="00D0060B">
        <w:t xml:space="preserve"> </w:t>
      </w:r>
      <w:r w:rsidR="0091293B">
        <w:t xml:space="preserve">modified </w:t>
      </w:r>
      <w:r w:rsidRPr="0020762C">
        <w:t>their compliance programs</w:t>
      </w:r>
      <w:r w:rsidR="0091293B">
        <w:t>.</w:t>
      </w:r>
      <w:r w:rsidRPr="0020762C">
        <w:t xml:space="preserve"> </w:t>
      </w:r>
    </w:p>
    <w:p w:rsidR="00201BE0" w:rsidRDefault="0020762C" w:rsidP="0020762C">
      <w:pPr>
        <w:pStyle w:val="AERbodytext"/>
      </w:pPr>
      <w:r w:rsidRPr="0020762C">
        <w:t xml:space="preserve">All of the respondents </w:t>
      </w:r>
      <w:r w:rsidR="0091293B">
        <w:t>advised that they</w:t>
      </w:r>
      <w:r w:rsidR="00201BE0">
        <w:t xml:space="preserve"> have various criteria and internal processes </w:t>
      </w:r>
      <w:r w:rsidR="00380F85">
        <w:t>in place to</w:t>
      </w:r>
      <w:r w:rsidR="00201BE0">
        <w:t xml:space="preserve"> review their compliance programs</w:t>
      </w:r>
      <w:r w:rsidR="00380F85">
        <w:t xml:space="preserve">. Further, the respondents noted </w:t>
      </w:r>
      <w:r w:rsidR="00795DCA">
        <w:t xml:space="preserve">that </w:t>
      </w:r>
      <w:r w:rsidR="00380F85">
        <w:t>they</w:t>
      </w:r>
      <w:r w:rsidR="00201BE0">
        <w:t xml:space="preserve"> ha</w:t>
      </w:r>
      <w:r w:rsidR="009D60FE">
        <w:t>d</w:t>
      </w:r>
      <w:r w:rsidR="00201BE0">
        <w:t xml:space="preserve"> </w:t>
      </w:r>
      <w:r w:rsidR="00795DCA">
        <w:t xml:space="preserve">reviewed, </w:t>
      </w:r>
      <w:r w:rsidR="00201BE0">
        <w:t xml:space="preserve">or </w:t>
      </w:r>
      <w:r w:rsidR="00380F85">
        <w:t>were</w:t>
      </w:r>
      <w:r w:rsidR="00201BE0">
        <w:t xml:space="preserve"> in the process of reviewing</w:t>
      </w:r>
      <w:r w:rsidR="00795DCA">
        <w:t>,</w:t>
      </w:r>
      <w:r w:rsidRPr="0020762C">
        <w:t xml:space="preserve"> the</w:t>
      </w:r>
      <w:r w:rsidR="00201BE0">
        <w:t xml:space="preserve">se instruments. </w:t>
      </w:r>
      <w:r w:rsidR="00640088">
        <w:t xml:space="preserve">Specific to </w:t>
      </w:r>
      <w:r w:rsidR="00380F85">
        <w:t xml:space="preserve">our </w:t>
      </w:r>
      <w:r w:rsidR="00D0060B">
        <w:t>i</w:t>
      </w:r>
      <w:r w:rsidR="00640088">
        <w:t>nquiry</w:t>
      </w:r>
      <w:r w:rsidR="00201BE0">
        <w:t>:</w:t>
      </w:r>
    </w:p>
    <w:p w:rsidR="00CC583E" w:rsidRDefault="0020762C">
      <w:pPr>
        <w:pStyle w:val="AERbulletlistsecondstyle"/>
      </w:pPr>
      <w:r w:rsidRPr="0020762C">
        <w:t>AGL, Origin</w:t>
      </w:r>
      <w:r w:rsidR="00D8478D">
        <w:t>,</w:t>
      </w:r>
      <w:r w:rsidRPr="0020762C">
        <w:t xml:space="preserve"> Intergen</w:t>
      </w:r>
      <w:r w:rsidR="00D8478D">
        <w:t xml:space="preserve"> and International Power (Hazelwood)</w:t>
      </w:r>
      <w:r w:rsidRPr="0020762C">
        <w:t xml:space="preserve"> </w:t>
      </w:r>
      <w:r w:rsidR="00201BE0">
        <w:t xml:space="preserve">have made </w:t>
      </w:r>
      <w:r w:rsidR="00640088">
        <w:t xml:space="preserve">consequential </w:t>
      </w:r>
      <w:r w:rsidR="00884ABA">
        <w:t>modifications</w:t>
      </w:r>
      <w:r w:rsidR="00201BE0">
        <w:t xml:space="preserve"> of varying degrees</w:t>
      </w:r>
      <w:r w:rsidRPr="0020762C">
        <w:t xml:space="preserve"> </w:t>
      </w:r>
    </w:p>
    <w:p w:rsidR="00CC583E" w:rsidRDefault="0020762C">
      <w:pPr>
        <w:pStyle w:val="AERbulletlistsecondstyle"/>
      </w:pPr>
      <w:r w:rsidRPr="0020762C">
        <w:t xml:space="preserve">Hydro Tasmania, </w:t>
      </w:r>
      <w:r w:rsidR="00D8478D">
        <w:t xml:space="preserve">CS Energy (Callide B and Kogan Creek), </w:t>
      </w:r>
      <w:r w:rsidRPr="0020762C">
        <w:t xml:space="preserve">EnergyAustralia and Stanwell did not </w:t>
      </w:r>
      <w:r w:rsidR="00D8478D">
        <w:t>make modifications on the basis that the</w:t>
      </w:r>
      <w:r w:rsidRPr="0020762C">
        <w:t xml:space="preserve"> amended </w:t>
      </w:r>
      <w:r w:rsidR="00D8478D">
        <w:t xml:space="preserve">Reliability Panel </w:t>
      </w:r>
      <w:r w:rsidRPr="0020762C">
        <w:t>template had no material effect on the</w:t>
      </w:r>
      <w:r w:rsidR="00D8478D">
        <w:t>ir</w:t>
      </w:r>
      <w:r w:rsidRPr="0020762C">
        <w:t xml:space="preserve"> programs</w:t>
      </w:r>
    </w:p>
    <w:p w:rsidR="00CC583E" w:rsidRDefault="0020762C">
      <w:pPr>
        <w:pStyle w:val="AERbulletlistsecondstyle"/>
      </w:pPr>
      <w:r w:rsidRPr="0020762C">
        <w:t xml:space="preserve">International Power </w:t>
      </w:r>
      <w:r w:rsidR="00D8478D">
        <w:t>(</w:t>
      </w:r>
      <w:r w:rsidR="00A4189B">
        <w:t>for other than Hazelwood Power)</w:t>
      </w:r>
      <w:r w:rsidR="00D8478D">
        <w:t xml:space="preserve"> </w:t>
      </w:r>
      <w:r w:rsidR="00A4041F">
        <w:t>and CS Energy (for Gladstone and Wivenhoe Power Stations) are</w:t>
      </w:r>
      <w:r w:rsidR="00D0060B">
        <w:t xml:space="preserve"> </w:t>
      </w:r>
      <w:r w:rsidRPr="0020762C">
        <w:t>reviewing each of the</w:t>
      </w:r>
      <w:r w:rsidR="00380F85">
        <w:t>ir</w:t>
      </w:r>
      <w:r w:rsidRPr="0020762C">
        <w:t xml:space="preserve"> compliance programs, but expect that the amendments to the template will have minimal impact </w:t>
      </w:r>
    </w:p>
    <w:p w:rsidR="00CC583E" w:rsidRDefault="0020762C">
      <w:pPr>
        <w:pStyle w:val="AERbulletlistsecondstyle"/>
      </w:pPr>
      <w:r w:rsidRPr="0020762C">
        <w:t xml:space="preserve">EnergyAustralia </w:t>
      </w:r>
      <w:r w:rsidR="00A4189B">
        <w:t xml:space="preserve">identified that its compliance program </w:t>
      </w:r>
      <w:r w:rsidR="00D0060B">
        <w:t xml:space="preserve">for one of its stations </w:t>
      </w:r>
      <w:r w:rsidR="009D60FE">
        <w:t xml:space="preserve">has not been updated to be </w:t>
      </w:r>
      <w:r w:rsidR="00A4189B">
        <w:t>consistent with the AEMC Reliability Panel template of 2009 and 2012</w:t>
      </w:r>
      <w:r w:rsidR="00D0060B">
        <w:t>. A</w:t>
      </w:r>
      <w:r w:rsidR="00A4189B">
        <w:t xml:space="preserve">s a result, it is now undertaking a review of all </w:t>
      </w:r>
      <w:r w:rsidR="00380F85">
        <w:t xml:space="preserve">of </w:t>
      </w:r>
      <w:r w:rsidR="00A4189B">
        <w:t xml:space="preserve">its portfolio’s compliance programs for completion </w:t>
      </w:r>
      <w:r w:rsidR="00D0060B">
        <w:t xml:space="preserve">by </w:t>
      </w:r>
      <w:r w:rsidR="00A4189B">
        <w:t>August 2013</w:t>
      </w:r>
      <w:r w:rsidRPr="0020762C">
        <w:t xml:space="preserve">. </w:t>
      </w:r>
    </w:p>
    <w:p w:rsidR="00CC583E" w:rsidRDefault="0020762C">
      <w:pPr>
        <w:pStyle w:val="AERbulletlistsecondstyle"/>
        <w:numPr>
          <w:ilvl w:val="0"/>
          <w:numId w:val="0"/>
        </w:numPr>
      </w:pPr>
      <w:r w:rsidRPr="0020762C">
        <w:t xml:space="preserve">A failure to meet this requirement is a breach of clause 4.15(b) of the </w:t>
      </w:r>
      <w:r w:rsidR="00A4189B">
        <w:t xml:space="preserve">Electricity </w:t>
      </w:r>
      <w:r w:rsidR="00CA525F">
        <w:t>R</w:t>
      </w:r>
      <w:r w:rsidRPr="0020762C">
        <w:t>ules</w:t>
      </w:r>
      <w:r w:rsidR="00A4189B">
        <w:t>, which is a civil penalty provision</w:t>
      </w:r>
      <w:r w:rsidRPr="0020762C">
        <w:t xml:space="preserve">. </w:t>
      </w:r>
      <w:r w:rsidR="00380F85">
        <w:t xml:space="preserve">We </w:t>
      </w:r>
      <w:r w:rsidR="00A4189B">
        <w:t>will be seeking confirmation from all generators in the process of reviewing their compliance programs within their specified timeframes, to ensure compliance</w:t>
      </w:r>
      <w:r w:rsidRPr="0020762C">
        <w:t xml:space="preserve">. </w:t>
      </w:r>
    </w:p>
    <w:p w:rsidR="0020762C" w:rsidRPr="0020762C" w:rsidRDefault="0020762C" w:rsidP="0020762C">
      <w:pPr>
        <w:pStyle w:val="AERbodytext"/>
      </w:pPr>
      <w:r w:rsidRPr="0020762C">
        <w:t>Compliance programs are the cornerstone of the generators</w:t>
      </w:r>
      <w:r w:rsidR="00CA525F">
        <w:t>’</w:t>
      </w:r>
      <w:r w:rsidRPr="0020762C">
        <w:t xml:space="preserve"> technical performance arrangements</w:t>
      </w:r>
      <w:r w:rsidR="00A4041F">
        <w:t xml:space="preserve"> under the Electricity Rules</w:t>
      </w:r>
      <w:r w:rsidRPr="0020762C">
        <w:t xml:space="preserve">. In the event </w:t>
      </w:r>
      <w:r w:rsidR="00A4041F">
        <w:t xml:space="preserve">that </w:t>
      </w:r>
      <w:r w:rsidRPr="0020762C">
        <w:t xml:space="preserve">a generator </w:t>
      </w:r>
      <w:r w:rsidR="00CA525F">
        <w:t xml:space="preserve">does </w:t>
      </w:r>
      <w:r w:rsidRPr="0020762C">
        <w:t xml:space="preserve">not satisfy </w:t>
      </w:r>
      <w:r w:rsidR="00A4041F">
        <w:t xml:space="preserve">any of these </w:t>
      </w:r>
      <w:r w:rsidRPr="0020762C">
        <w:t>standard</w:t>
      </w:r>
      <w:r w:rsidR="00A4041F">
        <w:t>s</w:t>
      </w:r>
      <w:r w:rsidR="00380F85">
        <w:t>, we</w:t>
      </w:r>
      <w:r w:rsidR="00380F85" w:rsidRPr="0020762C">
        <w:t xml:space="preserve"> </w:t>
      </w:r>
      <w:r w:rsidRPr="0020762C">
        <w:t>w</w:t>
      </w:r>
      <w:r w:rsidR="00CA525F">
        <w:t>ill</w:t>
      </w:r>
      <w:r w:rsidRPr="0020762C">
        <w:t xml:space="preserve"> focus </w:t>
      </w:r>
      <w:r w:rsidR="00380F85">
        <w:t>our</w:t>
      </w:r>
      <w:r w:rsidRPr="0020762C">
        <w:t xml:space="preserve"> attention on the generator</w:t>
      </w:r>
      <w:r w:rsidR="00CA525F">
        <w:t>’</w:t>
      </w:r>
      <w:r w:rsidRPr="0020762C">
        <w:t>s compliance program and</w:t>
      </w:r>
      <w:r w:rsidR="00A4041F">
        <w:t xml:space="preserve"> the </w:t>
      </w:r>
      <w:r w:rsidRPr="0020762C">
        <w:t xml:space="preserve">extent and breadth of </w:t>
      </w:r>
      <w:r w:rsidR="00A4041F">
        <w:t>the</w:t>
      </w:r>
      <w:r w:rsidRPr="0020762C">
        <w:t xml:space="preserve"> testing arrangements</w:t>
      </w:r>
      <w:r w:rsidR="00A4041F">
        <w:t xml:space="preserve"> in place</w:t>
      </w:r>
      <w:r w:rsidR="00CA525F">
        <w:t xml:space="preserve">. </w:t>
      </w:r>
      <w:r w:rsidR="00A4041F">
        <w:t xml:space="preserve">This is to ensure that, in considering appropriate enforcement action, </w:t>
      </w:r>
      <w:r w:rsidR="00DC3257">
        <w:t>we</w:t>
      </w:r>
      <w:r w:rsidR="00CA525F">
        <w:t xml:space="preserve"> </w:t>
      </w:r>
      <w:r w:rsidR="00A4041F">
        <w:t xml:space="preserve">can determine and </w:t>
      </w:r>
      <w:r w:rsidR="00DC3257">
        <w:t>be satisfied</w:t>
      </w:r>
      <w:r w:rsidR="00A4041F">
        <w:t xml:space="preserve"> that the generator has done </w:t>
      </w:r>
      <w:r w:rsidRPr="0020762C">
        <w:t xml:space="preserve">everything reasonably possible </w:t>
      </w:r>
      <w:r w:rsidR="00A4041F">
        <w:t xml:space="preserve">to achieve </w:t>
      </w:r>
      <w:r w:rsidRPr="0020762C">
        <w:t xml:space="preserve">the level of </w:t>
      </w:r>
      <w:r w:rsidR="00A4041F">
        <w:t xml:space="preserve">compliance </w:t>
      </w:r>
      <w:r w:rsidRPr="0020762C">
        <w:t xml:space="preserve">assurance required by the </w:t>
      </w:r>
      <w:r w:rsidR="00CA525F">
        <w:t>R</w:t>
      </w:r>
      <w:r w:rsidRPr="0020762C">
        <w:t>ules.</w:t>
      </w:r>
    </w:p>
    <w:p w:rsidR="00CA525F" w:rsidRDefault="0020762C" w:rsidP="0020762C">
      <w:pPr>
        <w:pStyle w:val="AERbodytext"/>
      </w:pPr>
      <w:r w:rsidRPr="0020762C">
        <w:t>Generators are therefore encourage</w:t>
      </w:r>
      <w:r w:rsidR="00CA525F">
        <w:t>d</w:t>
      </w:r>
      <w:r w:rsidRPr="0020762C">
        <w:t xml:space="preserve"> to actively manage th</w:t>
      </w:r>
      <w:r w:rsidR="00CA525F">
        <w:t>eir</w:t>
      </w:r>
      <w:r w:rsidRPr="0020762C">
        <w:t xml:space="preserve"> compliance programs to ensure that</w:t>
      </w:r>
      <w:r w:rsidR="00CA525F">
        <w:t>:</w:t>
      </w:r>
    </w:p>
    <w:p w:rsidR="00956AC1" w:rsidRDefault="0020762C" w:rsidP="00CF20CC">
      <w:pPr>
        <w:pStyle w:val="AERbulletlistsecondstyle"/>
      </w:pPr>
      <w:r w:rsidRPr="0020762C">
        <w:t xml:space="preserve">performance testing is comprehensive </w:t>
      </w:r>
    </w:p>
    <w:p w:rsidR="00956AC1" w:rsidRDefault="0020762C" w:rsidP="00CF20CC">
      <w:pPr>
        <w:pStyle w:val="AERbulletlistsecondstyle"/>
      </w:pPr>
      <w:r w:rsidRPr="0020762C">
        <w:t xml:space="preserve">procedures with respect to testing are continually improving </w:t>
      </w:r>
      <w:r w:rsidR="009D60FE">
        <w:t xml:space="preserve">in </w:t>
      </w:r>
      <w:r w:rsidR="00A4041F">
        <w:t>accord</w:t>
      </w:r>
      <w:r w:rsidR="009D60FE">
        <w:t>ance</w:t>
      </w:r>
      <w:r w:rsidR="00A4041F">
        <w:t xml:space="preserve"> </w:t>
      </w:r>
      <w:r w:rsidR="009D60FE">
        <w:t>with</w:t>
      </w:r>
      <w:r w:rsidR="00A4041F">
        <w:t xml:space="preserve"> Good Energy Industry Practice</w:t>
      </w:r>
      <w:r w:rsidR="009D60FE">
        <w:t>; and</w:t>
      </w:r>
    </w:p>
    <w:p w:rsidR="00956AC1" w:rsidRDefault="0020762C" w:rsidP="00CF20CC">
      <w:pPr>
        <w:pStyle w:val="AERbulletlistsecondstyle"/>
      </w:pPr>
      <w:r w:rsidRPr="0020762C">
        <w:t>anomalies in the compliance program or underlying performance standard are identified and addressed</w:t>
      </w:r>
      <w:r w:rsidR="00A4041F">
        <w:t>.</w:t>
      </w:r>
    </w:p>
    <w:p w:rsidR="00CC583E" w:rsidRDefault="00CA525F">
      <w:pPr>
        <w:pStyle w:val="AERbulletlistfirststyle"/>
      </w:pPr>
      <w:r>
        <w:t xml:space="preserve">The </w:t>
      </w:r>
      <w:r w:rsidR="00A4041F">
        <w:t xml:space="preserve">AEMC </w:t>
      </w:r>
      <w:r>
        <w:t xml:space="preserve">Reliability Panel’s </w:t>
      </w:r>
      <w:r w:rsidR="0020762C" w:rsidRPr="0020762C">
        <w:t>template</w:t>
      </w:r>
      <w:r w:rsidR="00A4041F">
        <w:t xml:space="preserve"> for generator compliance programs</w:t>
      </w:r>
      <w:r w:rsidR="0020762C" w:rsidRPr="0020762C">
        <w:t xml:space="preserve"> </w:t>
      </w:r>
      <w:r w:rsidR="00415975">
        <w:t xml:space="preserve">is </w:t>
      </w:r>
      <w:r w:rsidR="00A4041F">
        <w:t xml:space="preserve">a </w:t>
      </w:r>
      <w:r w:rsidR="009D60FE">
        <w:t xml:space="preserve">valuable </w:t>
      </w:r>
      <w:r w:rsidR="0020762C" w:rsidRPr="0020762C">
        <w:t>source of guidance on the latest thinking with respect to the type and frequency of testing of performance standards</w:t>
      </w:r>
      <w:r w:rsidR="00415975">
        <w:t xml:space="preserve">. </w:t>
      </w:r>
      <w:r w:rsidR="006A6DE4">
        <w:t>Notwithstanding</w:t>
      </w:r>
      <w:r w:rsidR="00415975">
        <w:t xml:space="preserve"> this, </w:t>
      </w:r>
      <w:r w:rsidR="006A6DE4">
        <w:t>compliance by generators in this area should also be driven by a</w:t>
      </w:r>
      <w:r w:rsidR="0020762C" w:rsidRPr="0020762C">
        <w:t>ctive and continual improvement</w:t>
      </w:r>
      <w:r w:rsidR="006A6DE4">
        <w:t>,</w:t>
      </w:r>
      <w:r w:rsidR="0020762C" w:rsidRPr="0020762C">
        <w:t xml:space="preserve"> in conjunction with </w:t>
      </w:r>
      <w:r w:rsidR="009D60FE">
        <w:t xml:space="preserve">their </w:t>
      </w:r>
      <w:r w:rsidR="0020762C" w:rsidRPr="0020762C">
        <w:t>network service provide</w:t>
      </w:r>
      <w:r w:rsidR="009D60FE">
        <w:t>r</w:t>
      </w:r>
      <w:r w:rsidR="0020762C" w:rsidRPr="0020762C">
        <w:t xml:space="preserve"> and AEMO</w:t>
      </w:r>
      <w:r w:rsidR="006A6DE4">
        <w:t xml:space="preserve"> as appropriate.</w:t>
      </w:r>
    </w:p>
    <w:p w:rsidR="004A472C" w:rsidRPr="00860DB5" w:rsidRDefault="004A472C" w:rsidP="002C7158">
      <w:pPr>
        <w:pStyle w:val="AERheading2"/>
      </w:pPr>
      <w:bookmarkStart w:id="123" w:name="_Toc354138200"/>
      <w:bookmarkStart w:id="124" w:name="_Toc384725794"/>
      <w:bookmarkEnd w:id="123"/>
      <w:r w:rsidRPr="00860DB5">
        <w:lastRenderedPageBreak/>
        <w:t>Jurisdictional derogations</w:t>
      </w:r>
      <w:bookmarkEnd w:id="117"/>
      <w:bookmarkEnd w:id="118"/>
      <w:bookmarkEnd w:id="119"/>
      <w:bookmarkEnd w:id="124"/>
    </w:p>
    <w:bookmarkEnd w:id="120"/>
    <w:bookmarkEnd w:id="121"/>
    <w:p w:rsidR="004A472C" w:rsidRPr="00282302" w:rsidRDefault="004A472C" w:rsidP="004A472C">
      <w:pPr>
        <w:pStyle w:val="AERbodytext"/>
      </w:pPr>
      <w:r w:rsidRPr="00282302">
        <w:t xml:space="preserve">Chapter 9 derogations exempt Victorian smelter traders, </w:t>
      </w:r>
      <w:smartTag w:uri="urn:schemas-microsoft-com:office:smarttags" w:element="State">
        <w:r w:rsidRPr="00282302">
          <w:t>New South Wales</w:t>
        </w:r>
      </w:smartTag>
      <w:r w:rsidRPr="00282302">
        <w:t xml:space="preserve"> power traders and </w:t>
      </w:r>
      <w:smartTag w:uri="urn:schemas-microsoft-com:office:smarttags" w:element="State">
        <w:smartTag w:uri="urn:schemas-microsoft-com:office:smarttags" w:element="place">
          <w:r w:rsidRPr="00282302">
            <w:t>Queensland</w:t>
          </w:r>
        </w:smartTag>
      </w:smartTag>
      <w:r w:rsidRPr="00282302">
        <w:t xml:space="preserve"> nominated generators (for the purposes of exempted generator agreements) from complying with the Electricity Rules to the extent there exists: </w:t>
      </w:r>
    </w:p>
    <w:p w:rsidR="004A472C" w:rsidRPr="00282302" w:rsidRDefault="004A472C" w:rsidP="00CF20CC">
      <w:pPr>
        <w:pStyle w:val="AERbulletlistsecondstyle"/>
      </w:pPr>
      <w:r w:rsidRPr="00282302">
        <w:t>any inconsistency between the Rules and a contractual requirement under the relevant agreement between the government and other entities</w:t>
      </w:r>
    </w:p>
    <w:p w:rsidR="004A472C" w:rsidRPr="00282302" w:rsidRDefault="004A472C" w:rsidP="00CF20CC">
      <w:pPr>
        <w:pStyle w:val="AERbulletlistsecondstyle"/>
      </w:pPr>
      <w:r w:rsidRPr="00282302">
        <w:t>any other specified exemption in the jurisdictional derogations.</w:t>
      </w:r>
      <w:r w:rsidRPr="00282302">
        <w:rPr>
          <w:rStyle w:val="FootnoteReference"/>
          <w:lang w:eastAsia="en-AU"/>
        </w:rPr>
        <w:footnoteReference w:id="10"/>
      </w:r>
      <w:r w:rsidRPr="00282302">
        <w:t xml:space="preserve"> </w:t>
      </w:r>
    </w:p>
    <w:p w:rsidR="00140976" w:rsidRDefault="004A472C" w:rsidP="00140976">
      <w:pPr>
        <w:pStyle w:val="AERbodytext"/>
        <w:rPr>
          <w:lang w:eastAsia="en-AU"/>
        </w:rPr>
      </w:pPr>
      <w:r w:rsidRPr="00282302">
        <w:rPr>
          <w:lang w:eastAsia="en-AU"/>
        </w:rPr>
        <w:t xml:space="preserve">The relevant participants must give </w:t>
      </w:r>
      <w:r w:rsidR="00DC3257">
        <w:rPr>
          <w:lang w:eastAsia="en-AU"/>
        </w:rPr>
        <w:t>us notice</w:t>
      </w:r>
      <w:r w:rsidRPr="00282302">
        <w:rPr>
          <w:lang w:eastAsia="en-AU"/>
        </w:rPr>
        <w:t xml:space="preserve"> of any act or omission which partly or wholly constitutes non-compliance with the Electricity Rules.</w:t>
      </w:r>
      <w:r w:rsidRPr="00282302">
        <w:t xml:space="preserve"> No instances of non-compliance were reported in </w:t>
      </w:r>
      <w:r w:rsidR="00CB0C74" w:rsidRPr="00282302">
        <w:t>this</w:t>
      </w:r>
      <w:r w:rsidRPr="00282302">
        <w:t xml:space="preserve"> quarter.</w:t>
      </w:r>
    </w:p>
    <w:p w:rsidR="00C12985" w:rsidRDefault="00C12985" w:rsidP="00F32643">
      <w:pPr>
        <w:pStyle w:val="AERbodytext"/>
        <w:rPr>
          <w:lang w:eastAsia="en-AU"/>
        </w:rPr>
      </w:pPr>
    </w:p>
    <w:p w:rsidR="00CC583E" w:rsidRDefault="00C12985">
      <w:pPr>
        <w:pStyle w:val="AERunnumberedheading"/>
      </w:pPr>
      <w:bookmarkStart w:id="125" w:name="_Toc384725795"/>
      <w:r w:rsidRPr="00860DB5">
        <w:lastRenderedPageBreak/>
        <w:t xml:space="preserve">Appendix </w:t>
      </w:r>
      <w:r>
        <w:t>A</w:t>
      </w:r>
      <w:r w:rsidRPr="00860DB5">
        <w:t xml:space="preserve">:  </w:t>
      </w:r>
      <w:r>
        <w:t>Shortened forms</w:t>
      </w:r>
      <w:bookmarkEnd w:id="125"/>
      <w:r w:rsidRPr="00860DB5">
        <w:t xml:space="preserve"> </w:t>
      </w:r>
    </w:p>
    <w:tbl>
      <w:tblPr>
        <w:tblStyle w:val="AERtable-text"/>
        <w:tblW w:w="0" w:type="auto"/>
        <w:tblLook w:val="01E0" w:firstRow="1" w:lastRow="1" w:firstColumn="1" w:lastColumn="1" w:noHBand="0" w:noVBand="0"/>
      </w:tblPr>
      <w:tblGrid>
        <w:gridCol w:w="2263"/>
        <w:gridCol w:w="6012"/>
      </w:tblGrid>
      <w:tr w:rsidR="00285EC2" w:rsidRPr="009A7BFC" w:rsidTr="00285EC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9A7BFC" w:rsidRDefault="00285EC2" w:rsidP="00285EC2">
            <w:pPr>
              <w:pStyle w:val="AERtabletextheading"/>
              <w:rPr>
                <w:sz w:val="20"/>
                <w:szCs w:val="20"/>
              </w:rPr>
            </w:pPr>
            <w:r w:rsidRPr="009A7BFC">
              <w:rPr>
                <w:sz w:val="20"/>
                <w:szCs w:val="20"/>
              </w:rPr>
              <w:t>Shortened form</w:t>
            </w:r>
          </w:p>
        </w:tc>
        <w:tc>
          <w:tcPr>
            <w:tcW w:w="6012" w:type="dxa"/>
          </w:tcPr>
          <w:p w:rsidR="00285EC2" w:rsidRPr="009A7BFC" w:rsidRDefault="00285EC2" w:rsidP="00285EC2">
            <w:pPr>
              <w:pStyle w:val="AERtabletextheading"/>
              <w:cnfStyle w:val="100000000000" w:firstRow="1" w:lastRow="0" w:firstColumn="0" w:lastColumn="0" w:oddVBand="0" w:evenVBand="0" w:oddHBand="0" w:evenHBand="0" w:firstRowFirstColumn="0" w:firstRowLastColumn="0" w:lastRowFirstColumn="0" w:lastRowLastColumn="0"/>
              <w:rPr>
                <w:sz w:val="20"/>
                <w:szCs w:val="20"/>
              </w:rPr>
            </w:pPr>
            <w:r w:rsidRPr="009A7BFC">
              <w:rPr>
                <w:sz w:val="20"/>
                <w:szCs w:val="20"/>
              </w:rPr>
              <w:t>Full title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ACCC </w:t>
            </w:r>
          </w:p>
        </w:tc>
        <w:tc>
          <w:tcPr>
            <w:tcW w:w="6012" w:type="dxa"/>
          </w:tcPr>
          <w:p w:rsidR="00285EC2" w:rsidRPr="00AD74E2" w:rsidRDefault="008C4BA5"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b/>
                <w:bCs/>
                <w:kern w:val="32"/>
                <w:sz w:val="20"/>
                <w:szCs w:val="20"/>
              </w:rPr>
            </w:pPr>
            <w:hyperlink r:id="rId31" w:history="1">
              <w:r w:rsidR="00285EC2" w:rsidRPr="00AD74E2">
                <w:rPr>
                  <w:rStyle w:val="Hyperlink"/>
                  <w:rFonts w:cs="Gautami"/>
                  <w:sz w:val="20"/>
                  <w:szCs w:val="20"/>
                </w:rPr>
                <w:t>Australian Competition &amp; Consumer Commission</w:t>
              </w:r>
            </w:hyperlink>
            <w:r w:rsidR="00285EC2" w:rsidRPr="00AD74E2">
              <w:rPr>
                <w:rFonts w:cs="Gautami"/>
                <w:sz w:val="20"/>
                <w:szCs w:val="20"/>
              </w:rPr>
              <w:t xml:space="preserve"> </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AEMO</w:t>
            </w:r>
          </w:p>
        </w:tc>
        <w:tc>
          <w:tcPr>
            <w:tcW w:w="6012" w:type="dxa"/>
          </w:tcPr>
          <w:p w:rsidR="00285EC2" w:rsidRPr="00AD74E2" w:rsidRDefault="008C4BA5"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hyperlink r:id="rId32" w:history="1">
              <w:r w:rsidR="00285EC2" w:rsidRPr="00AD74E2">
                <w:rPr>
                  <w:rStyle w:val="Hyperlink"/>
                  <w:rFonts w:cs="Gautami"/>
                  <w:sz w:val="20"/>
                  <w:szCs w:val="20"/>
                </w:rPr>
                <w:t>Australian Energy Market Operator</w:t>
              </w:r>
            </w:hyperlink>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AER </w:t>
            </w:r>
          </w:p>
        </w:tc>
        <w:tc>
          <w:tcPr>
            <w:tcW w:w="6012" w:type="dxa"/>
          </w:tcPr>
          <w:p w:rsidR="00285EC2" w:rsidRPr="00AD74E2" w:rsidRDefault="008C4BA5"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hyperlink r:id="rId33" w:history="1">
              <w:r w:rsidR="00285EC2" w:rsidRPr="00AD74E2">
                <w:rPr>
                  <w:rStyle w:val="Hyperlink"/>
                  <w:rFonts w:cs="Gautami"/>
                  <w:sz w:val="20"/>
                  <w:szCs w:val="20"/>
                </w:rPr>
                <w:t>Australian Energy Regulator</w:t>
              </w:r>
            </w:hyperlink>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AMI</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Advanced Metering Infrastructure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CATS</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Consumer Administration and Transfer Solution</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Electricity Law </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iCs/>
                <w:sz w:val="20"/>
                <w:szCs w:val="20"/>
              </w:rPr>
            </w:pPr>
            <w:r w:rsidRPr="00AD74E2">
              <w:rPr>
                <w:rFonts w:cs="Gautami"/>
                <w:sz w:val="20"/>
                <w:szCs w:val="20"/>
              </w:rPr>
              <w:t>National Electricity Law (Schedule to the National Electricity Act)</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Electricity Rules </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 xml:space="preserve">The </w:t>
            </w:r>
            <w:hyperlink r:id="rId34" w:history="1">
              <w:r w:rsidRPr="00AD74E2">
                <w:rPr>
                  <w:rStyle w:val="Hyperlink"/>
                  <w:rFonts w:cs="Gautami"/>
                  <w:sz w:val="20"/>
                  <w:szCs w:val="20"/>
                </w:rPr>
                <w:t>National Electricity Rules</w:t>
              </w:r>
            </w:hyperlink>
            <w:r w:rsidRPr="00AD74E2">
              <w:rPr>
                <w:rFonts w:cs="Gautami"/>
                <w:sz w:val="20"/>
                <w:szCs w:val="20"/>
              </w:rPr>
              <w:t xml:space="preserve"> made under Part 7 of the Electricity Law </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Pr>
                <w:rFonts w:cs="Gautami"/>
                <w:sz w:val="20"/>
                <w:szCs w:val="20"/>
              </w:rPr>
              <w:t>FCAS</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Frequency Control Ancillary Service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Gas Law </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National Gas Law (Schedule to the National Gas Act)</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Gas Regulations</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iCs/>
                <w:sz w:val="20"/>
                <w:szCs w:val="20"/>
              </w:rPr>
              <w:t xml:space="preserve">The </w:t>
            </w:r>
            <w:hyperlink r:id="rId35" w:history="1">
              <w:r w:rsidRPr="00AD74E2">
                <w:rPr>
                  <w:rStyle w:val="Hyperlink"/>
                  <w:rFonts w:cs="Gautami"/>
                  <w:i/>
                  <w:iCs/>
                  <w:sz w:val="20"/>
                  <w:szCs w:val="20"/>
                </w:rPr>
                <w:t>National Gas (South Australia) Regulations</w:t>
              </w:r>
            </w:hyperlink>
            <w:r w:rsidRPr="00AD74E2">
              <w:rPr>
                <w:rFonts w:cs="Gautami"/>
                <w:iCs/>
                <w:sz w:val="20"/>
                <w:szCs w:val="20"/>
              </w:rPr>
              <w:t xml:space="preserve"> made under the National Gas Act</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Gas Rules </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 xml:space="preserve">The </w:t>
            </w:r>
            <w:hyperlink r:id="rId36" w:history="1">
              <w:r w:rsidRPr="00AD74E2">
                <w:rPr>
                  <w:rStyle w:val="Hyperlink"/>
                  <w:rFonts w:cs="Gautami"/>
                  <w:sz w:val="20"/>
                  <w:szCs w:val="20"/>
                </w:rPr>
                <w:t>National Gas Rules</w:t>
              </w:r>
            </w:hyperlink>
            <w:r w:rsidRPr="00AD74E2">
              <w:rPr>
                <w:rFonts w:cs="Gautami"/>
                <w:sz w:val="20"/>
                <w:szCs w:val="20"/>
              </w:rPr>
              <w:t xml:space="preserve"> made under Part 9 of the Gas Law</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GEIP</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Good Energy Industry Practice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GJ</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Gigajoule</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LCA</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Linepack capacity adequacy</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MAP</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Moomba to Adelaide pipeline</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MOS</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Market Operator Service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MSATS</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Market Settlement and Transfer Solution</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Pr>
                <w:rFonts w:cs="Gautami"/>
                <w:sz w:val="20"/>
                <w:szCs w:val="20"/>
              </w:rPr>
              <w:t>MT PASA</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Medium Term Projected Assessment of System Adequacy</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MW </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Megawatt</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MWh </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Megawatt hour</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National Electricity Act </w:t>
            </w:r>
          </w:p>
        </w:tc>
        <w:tc>
          <w:tcPr>
            <w:tcW w:w="6012" w:type="dxa"/>
          </w:tcPr>
          <w:p w:rsidR="00285EC2" w:rsidRPr="00AD74E2" w:rsidRDefault="008C4BA5"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hyperlink r:id="rId37" w:history="1">
              <w:r w:rsidR="00285EC2" w:rsidRPr="00AD74E2">
                <w:rPr>
                  <w:rStyle w:val="Hyperlink"/>
                  <w:rFonts w:cs="Gautami"/>
                  <w:i/>
                  <w:iCs/>
                  <w:sz w:val="20"/>
                  <w:szCs w:val="20"/>
                </w:rPr>
                <w:t xml:space="preserve">National Electricity (South Australia) Act 1996 </w:t>
              </w:r>
              <w:r w:rsidR="00285EC2" w:rsidRPr="00AD74E2">
                <w:rPr>
                  <w:rStyle w:val="Hyperlink"/>
                  <w:rFonts w:cs="Gautami"/>
                  <w:sz w:val="20"/>
                  <w:szCs w:val="20"/>
                </w:rPr>
                <w:t>(South Australia)</w:t>
              </w:r>
            </w:hyperlink>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National Gas Act </w:t>
            </w:r>
          </w:p>
        </w:tc>
        <w:tc>
          <w:tcPr>
            <w:tcW w:w="6012" w:type="dxa"/>
          </w:tcPr>
          <w:p w:rsidR="00285EC2" w:rsidRPr="00AD74E2" w:rsidRDefault="008C4BA5"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hyperlink r:id="rId38" w:history="1">
              <w:r w:rsidR="00285EC2" w:rsidRPr="00AD74E2">
                <w:rPr>
                  <w:rStyle w:val="Hyperlink"/>
                  <w:rFonts w:cs="Gautami"/>
                  <w:i/>
                  <w:iCs/>
                  <w:sz w:val="20"/>
                  <w:szCs w:val="20"/>
                </w:rPr>
                <w:t xml:space="preserve">National Gas (South Australia) Act 2008 </w:t>
              </w:r>
              <w:r w:rsidR="00285EC2" w:rsidRPr="00AD74E2">
                <w:rPr>
                  <w:rStyle w:val="Hyperlink"/>
                  <w:rFonts w:cs="Gautami"/>
                  <w:sz w:val="20"/>
                  <w:szCs w:val="20"/>
                </w:rPr>
                <w:t>(South Australia)</w:t>
              </w:r>
            </w:hyperlink>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 xml:space="preserve">NEM </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National Electricity Market</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Pr>
                <w:rFonts w:cs="Gautami"/>
                <w:sz w:val="20"/>
                <w:szCs w:val="20"/>
              </w:rPr>
              <w:t>NMI</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National Meter Identifier</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QCR</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The AER’s quarterly compliance report</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RIT-T</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Regulatory investment test for transmission</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RP</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Responsible Person</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STTM</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Short Term Trading Market</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SWN</w:t>
            </w:r>
          </w:p>
        </w:tc>
        <w:tc>
          <w:tcPr>
            <w:tcW w:w="6012" w:type="dxa"/>
          </w:tcPr>
          <w:p w:rsidR="00285EC2" w:rsidRPr="00AD74E2" w:rsidRDefault="00285EC2" w:rsidP="00285EC2">
            <w:pPr>
              <w:pStyle w:val="AERtabletext"/>
              <w:spacing w:before="36" w:after="36"/>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System Wide Notice</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285EC2">
            <w:pPr>
              <w:pStyle w:val="AERtabletext"/>
              <w:spacing w:before="36" w:after="36"/>
              <w:rPr>
                <w:rFonts w:cs="Gautami"/>
                <w:sz w:val="20"/>
                <w:szCs w:val="20"/>
              </w:rPr>
            </w:pPr>
            <w:r w:rsidRPr="00AD74E2">
              <w:rPr>
                <w:rFonts w:cs="Gautami"/>
                <w:sz w:val="20"/>
                <w:szCs w:val="20"/>
              </w:rPr>
              <w:t>TJ</w:t>
            </w:r>
          </w:p>
        </w:tc>
        <w:tc>
          <w:tcPr>
            <w:tcW w:w="6012" w:type="dxa"/>
          </w:tcPr>
          <w:p w:rsidR="00285EC2" w:rsidRPr="00AD74E2" w:rsidRDefault="00285EC2" w:rsidP="00285EC2">
            <w:pPr>
              <w:pStyle w:val="AERtabletext"/>
              <w:spacing w:before="36" w:after="36"/>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Terajoule</w:t>
            </w:r>
          </w:p>
        </w:tc>
      </w:tr>
    </w:tbl>
    <w:p w:rsidR="00285EC2" w:rsidRDefault="00285EC2" w:rsidP="00F32643">
      <w:pPr>
        <w:pStyle w:val="AERbodytext"/>
        <w:rPr>
          <w:lang w:eastAsia="en-AU"/>
        </w:rPr>
        <w:sectPr w:rsidR="00285EC2" w:rsidSect="000D2D9C">
          <w:footerReference w:type="default" r:id="rId39"/>
          <w:type w:val="continuous"/>
          <w:pgSz w:w="11906" w:h="16838" w:code="9"/>
          <w:pgMar w:top="1440" w:right="1440" w:bottom="1440" w:left="1440" w:header="709" w:footer="709" w:gutter="0"/>
          <w:cols w:space="708"/>
          <w:docGrid w:linePitch="360"/>
        </w:sectPr>
      </w:pPr>
    </w:p>
    <w:p w:rsidR="00140976" w:rsidRPr="00860DB5" w:rsidRDefault="00140976" w:rsidP="002C7158">
      <w:pPr>
        <w:pStyle w:val="AERunnumberedheading"/>
      </w:pPr>
      <w:bookmarkStart w:id="126" w:name="_Toc327524016"/>
      <w:bookmarkStart w:id="127" w:name="_Toc337553429"/>
      <w:bookmarkStart w:id="128" w:name="_Toc384725796"/>
      <w:r w:rsidRPr="00860DB5">
        <w:lastRenderedPageBreak/>
        <w:t xml:space="preserve">Appendix </w:t>
      </w:r>
      <w:r w:rsidR="00C12985">
        <w:t>B</w:t>
      </w:r>
      <w:r w:rsidRPr="00860DB5">
        <w:t>:  Previous targeted compliance reviews</w:t>
      </w:r>
      <w:bookmarkEnd w:id="126"/>
      <w:bookmarkEnd w:id="127"/>
      <w:bookmarkEnd w:id="128"/>
    </w:p>
    <w:p w:rsidR="00BA0AB2" w:rsidRPr="00282302" w:rsidRDefault="00BA0AB2" w:rsidP="00BA0AB2">
      <w:pPr>
        <w:pStyle w:val="AERtabletitle"/>
        <w:rPr>
          <w:rFonts w:ascii="Gautami" w:hAnsi="Gautami" w:cs="Gautami"/>
        </w:rPr>
      </w:pPr>
      <w:r w:rsidRPr="00282302">
        <w:rPr>
          <w:rFonts w:ascii="Gautami" w:hAnsi="Gautami" w:cs="Gautami"/>
        </w:rPr>
        <w:t xml:space="preserve">This is a summary of the provisions under the Electricity Rules and Gas Rules most recently targeted by the AER. </w:t>
      </w:r>
    </w:p>
    <w:tbl>
      <w:tblPr>
        <w:tblW w:w="5000" w:type="pct"/>
        <w:tblBorders>
          <w:top w:val="single" w:sz="4" w:space="0" w:color="auto"/>
          <w:bottom w:val="single" w:sz="4" w:space="0" w:color="auto"/>
        </w:tblBorders>
        <w:tblLook w:val="01E0" w:firstRow="1" w:lastRow="1" w:firstColumn="1" w:lastColumn="1" w:noHBand="0" w:noVBand="0"/>
      </w:tblPr>
      <w:tblGrid>
        <w:gridCol w:w="1713"/>
        <w:gridCol w:w="1658"/>
        <w:gridCol w:w="2832"/>
        <w:gridCol w:w="7971"/>
      </w:tblGrid>
      <w:tr w:rsidR="00140976" w:rsidRPr="00282302" w:rsidTr="00140976">
        <w:trPr>
          <w:trHeight w:val="227"/>
        </w:trPr>
        <w:tc>
          <w:tcPr>
            <w:tcW w:w="60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A0AB2" w:rsidRPr="00282302" w:rsidRDefault="00BA0AB2" w:rsidP="00BA0AB2">
            <w:pPr>
              <w:pStyle w:val="AERtabletextheading"/>
              <w:rPr>
                <w:sz w:val="20"/>
                <w:szCs w:val="20"/>
              </w:rPr>
            </w:pPr>
            <w:r w:rsidRPr="00282302">
              <w:rPr>
                <w:sz w:val="20"/>
                <w:szCs w:val="20"/>
              </w:rPr>
              <w:t>Quarter ending</w:t>
            </w:r>
          </w:p>
        </w:tc>
        <w:tc>
          <w:tcPr>
            <w:tcW w:w="585" w:type="pct"/>
            <w:tcBorders>
              <w:top w:val="single" w:sz="4" w:space="0" w:color="auto"/>
              <w:left w:val="nil"/>
              <w:bottom w:val="single" w:sz="4" w:space="0" w:color="auto"/>
              <w:right w:val="nil"/>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Industry</w:t>
            </w:r>
          </w:p>
        </w:tc>
        <w:tc>
          <w:tcPr>
            <w:tcW w:w="999" w:type="pct"/>
            <w:tcBorders>
              <w:top w:val="single" w:sz="4" w:space="0" w:color="auto"/>
              <w:left w:val="nil"/>
              <w:bottom w:val="single" w:sz="4" w:space="0" w:color="auto"/>
              <w:right w:val="nil"/>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Rule</w:t>
            </w:r>
          </w:p>
        </w:tc>
        <w:tc>
          <w:tcPr>
            <w:tcW w:w="2812" w:type="pct"/>
            <w:tcBorders>
              <w:top w:val="single" w:sz="4" w:space="0" w:color="auto"/>
              <w:left w:val="nil"/>
              <w:bottom w:val="single" w:sz="4" w:space="0" w:color="auto"/>
              <w:right w:val="nil"/>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Description</w:t>
            </w:r>
          </w:p>
        </w:tc>
      </w:tr>
      <w:tr w:rsidR="00140976" w:rsidRPr="00282302" w:rsidTr="00C47950">
        <w:trPr>
          <w:trHeight w:val="227"/>
        </w:trPr>
        <w:tc>
          <w:tcPr>
            <w:tcW w:w="604" w:type="pct"/>
            <w:shd w:val="clear" w:color="auto" w:fill="auto"/>
            <w:noWrap/>
            <w:tcMar>
              <w:top w:w="0" w:type="dxa"/>
              <w:bottom w:w="0" w:type="dxa"/>
            </w:tcMa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June 2011</w:t>
            </w:r>
          </w:p>
        </w:tc>
        <w:tc>
          <w:tcPr>
            <w:tcW w:w="585"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172</w:t>
            </w:r>
          </w:p>
        </w:tc>
        <w:tc>
          <w:tcPr>
            <w:tcW w:w="2812" w:type="pct"/>
            <w:vAlign w:val="cente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Provision of linepack capacity adequacy indicators for the Bulletin Board</w:t>
            </w:r>
          </w:p>
        </w:tc>
      </w:tr>
      <w:tr w:rsidR="00140976" w:rsidRPr="00282302" w:rsidTr="00C47950">
        <w:trPr>
          <w:trHeight w:val="227"/>
        </w:trPr>
        <w:tc>
          <w:tcPr>
            <w:tcW w:w="604" w:type="pct"/>
            <w:shd w:val="clear" w:color="auto" w:fill="auto"/>
            <w:noWrap/>
            <w:tcMar>
              <w:top w:w="0" w:type="dxa"/>
              <w:bottom w:w="0" w:type="dxa"/>
            </w:tcMar>
          </w:tcPr>
          <w:p w:rsidR="00140976" w:rsidRPr="00282302" w:rsidRDefault="00140976" w:rsidP="00D3476A">
            <w:pPr>
              <w:pStyle w:val="AERtabletext"/>
              <w:rPr>
                <w:rFonts w:ascii="Gautami" w:hAnsi="Gautami" w:cs="Gautami"/>
                <w:sz w:val="20"/>
                <w:szCs w:val="20"/>
              </w:rPr>
            </w:pPr>
          </w:p>
        </w:tc>
        <w:tc>
          <w:tcPr>
            <w:tcW w:w="585" w:type="pct"/>
          </w:tcPr>
          <w:p w:rsidR="00140976" w:rsidRPr="00282302" w:rsidRDefault="00140976" w:rsidP="00D3476A">
            <w:pPr>
              <w:pStyle w:val="AERtabletext"/>
              <w:rPr>
                <w:rFonts w:ascii="Gautami" w:hAnsi="Gautami" w:cs="Gautami"/>
                <w:sz w:val="20"/>
                <w:szCs w:val="20"/>
              </w:rPr>
            </w:pPr>
          </w:p>
        </w:tc>
        <w:tc>
          <w:tcPr>
            <w:tcW w:w="999"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378</w:t>
            </w:r>
          </w:p>
        </w:tc>
        <w:tc>
          <w:tcPr>
            <w:tcW w:w="2812" w:type="pct"/>
            <w:vAlign w:val="cente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Obligation to update information registered with AEMO</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435</w:t>
            </w:r>
          </w:p>
        </w:tc>
        <w:tc>
          <w:tcPr>
            <w:tcW w:w="2812" w:type="pct"/>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Requirement to provide good faith, best estimate contingency gas offers</w:t>
            </w:r>
          </w:p>
        </w:tc>
      </w:tr>
      <w:tr w:rsidR="00140976" w:rsidRPr="00282302" w:rsidTr="00D3476A">
        <w:trPr>
          <w:trHeight w:val="227"/>
        </w:trPr>
        <w:tc>
          <w:tcPr>
            <w:tcW w:w="604" w:type="pct"/>
            <w:tcBorders>
              <w:top w:val="nil"/>
            </w:tcBorders>
            <w:shd w:val="clear" w:color="auto" w:fill="FABF8F"/>
            <w:noWrap/>
            <w:tcMar>
              <w:top w:w="0" w:type="dxa"/>
              <w:bottom w:w="0" w:type="dxa"/>
            </w:tcMar>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September 2011</w:t>
            </w:r>
          </w:p>
        </w:tc>
        <w:tc>
          <w:tcPr>
            <w:tcW w:w="585" w:type="pct"/>
            <w:tcBorders>
              <w:top w:val="nil"/>
            </w:tcBorders>
            <w:shd w:val="clear" w:color="auto" w:fill="FABF8F"/>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top w:val="nil"/>
            </w:tcBorders>
            <w:shd w:val="clear" w:color="auto" w:fill="FABF8F"/>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300</w:t>
            </w:r>
          </w:p>
        </w:tc>
        <w:tc>
          <w:tcPr>
            <w:tcW w:w="2812" w:type="pct"/>
            <w:tcBorders>
              <w:top w:val="nil"/>
            </w:tcBorders>
            <w:shd w:val="clear" w:color="auto" w:fill="FABF8F"/>
            <w:vAlign w:val="center"/>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protect metering installations from unauthorised interference</w:t>
            </w:r>
          </w:p>
        </w:tc>
      </w:tr>
      <w:tr w:rsidR="00D3476A" w:rsidRPr="00282302" w:rsidTr="00D3476A">
        <w:trPr>
          <w:trHeight w:val="227"/>
        </w:trPr>
        <w:tc>
          <w:tcPr>
            <w:tcW w:w="604" w:type="pct"/>
            <w:tcBorders>
              <w:top w:val="nil"/>
            </w:tcBorders>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Borders>
              <w:top w:val="nil"/>
            </w:tcBorders>
            <w:shd w:val="clear" w:color="auto" w:fill="FABF8F"/>
          </w:tcPr>
          <w:p w:rsidR="00D3476A" w:rsidRPr="00282302" w:rsidRDefault="00D3476A" w:rsidP="00D3476A">
            <w:pPr>
              <w:pStyle w:val="AERtabletext"/>
              <w:rPr>
                <w:rFonts w:ascii="Gautami" w:hAnsi="Gautami" w:cs="Gautami"/>
                <w:sz w:val="20"/>
                <w:szCs w:val="20"/>
              </w:rPr>
            </w:pPr>
          </w:p>
        </w:tc>
        <w:tc>
          <w:tcPr>
            <w:tcW w:w="999" w:type="pct"/>
            <w:tcBorders>
              <w:top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403</w:t>
            </w:r>
          </w:p>
        </w:tc>
        <w:tc>
          <w:tcPr>
            <w:tcW w:w="2812" w:type="pct"/>
            <w:tcBorders>
              <w:top w:val="nil"/>
            </w:tcBorders>
            <w:shd w:val="clear" w:color="auto" w:fill="FABF8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investigate the circumstances of a MOS shortfall</w:t>
            </w:r>
          </w:p>
        </w:tc>
      </w:tr>
      <w:tr w:rsidR="00D3476A" w:rsidRPr="00282302" w:rsidTr="00C47950">
        <w:trPr>
          <w:trHeight w:val="227"/>
        </w:trPr>
        <w:tc>
          <w:tcPr>
            <w:tcW w:w="604" w:type="pct"/>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shd w:val="clear" w:color="auto" w:fill="FABF8F"/>
          </w:tcPr>
          <w:p w:rsidR="00D3476A" w:rsidRPr="00282302" w:rsidRDefault="00D3476A" w:rsidP="00D3476A">
            <w:pPr>
              <w:pStyle w:val="AERtabletext"/>
              <w:rPr>
                <w:rFonts w:ascii="Gautami" w:hAnsi="Gautami" w:cs="Gautami"/>
                <w:sz w:val="20"/>
                <w:szCs w:val="20"/>
              </w:rPr>
            </w:pPr>
          </w:p>
        </w:tc>
        <w:tc>
          <w:tcPr>
            <w:tcW w:w="999" w:type="pct"/>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410</w:t>
            </w:r>
          </w:p>
        </w:tc>
        <w:tc>
          <w:tcPr>
            <w:tcW w:w="2812" w:type="pct"/>
            <w:shd w:val="clear" w:color="auto" w:fill="FABF8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make good faith, best estimate price taker bids (demand forecasts)</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December 2011</w:t>
            </w:r>
          </w:p>
        </w:tc>
        <w:tc>
          <w:tcPr>
            <w:tcW w:w="585"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180</w:t>
            </w:r>
          </w:p>
        </w:tc>
        <w:tc>
          <w:tcPr>
            <w:tcW w:w="2812" w:type="pct"/>
            <w:vAlign w:val="center"/>
          </w:tcPr>
          <w:p w:rsidR="00D3476A" w:rsidRPr="00282302" w:rsidRDefault="00D3476A" w:rsidP="00D3476A">
            <w:pPr>
              <w:pStyle w:val="AERtabletext"/>
              <w:rPr>
                <w:rFonts w:ascii="Gautami" w:hAnsi="Gautami" w:cs="Gautami"/>
                <w:sz w:val="20"/>
                <w:szCs w:val="20"/>
              </w:rPr>
            </w:pPr>
            <w:r w:rsidRPr="00282302">
              <w:rPr>
                <w:rStyle w:val="displayonly"/>
                <w:rFonts w:ascii="Gautami" w:hAnsi="Gautami" w:cs="Gautami"/>
                <w:sz w:val="20"/>
                <w:szCs w:val="20"/>
              </w:rPr>
              <w:t>Obligation to publish peak demand day information</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219</w:t>
            </w:r>
          </w:p>
        </w:tc>
        <w:tc>
          <w:tcPr>
            <w:tcW w:w="2812" w:type="pct"/>
            <w:vAlign w:val="center"/>
          </w:tcPr>
          <w:p w:rsidR="00D3476A" w:rsidRPr="00282302" w:rsidRDefault="00D3476A" w:rsidP="00D3476A">
            <w:pPr>
              <w:pStyle w:val="AERtabletext"/>
              <w:rPr>
                <w:rStyle w:val="displayonly"/>
                <w:rFonts w:ascii="Gautami" w:hAnsi="Gautami" w:cs="Gautami"/>
                <w:sz w:val="20"/>
                <w:szCs w:val="20"/>
              </w:rPr>
            </w:pPr>
            <w:r w:rsidRPr="00282302">
              <w:rPr>
                <w:rStyle w:val="displayonly"/>
                <w:rFonts w:ascii="Gautami" w:hAnsi="Gautami" w:cs="Gautami"/>
                <w:sz w:val="20"/>
                <w:szCs w:val="20"/>
              </w:rPr>
              <w:t>Obligation to notify AEMO of injection and withdrawal quantities</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254</w:t>
            </w:r>
          </w:p>
        </w:tc>
        <w:tc>
          <w:tcPr>
            <w:tcW w:w="2812" w:type="pct"/>
            <w:vAlign w:val="center"/>
          </w:tcPr>
          <w:p w:rsidR="00D3476A" w:rsidRPr="00282302" w:rsidRDefault="00D3476A" w:rsidP="00D3476A">
            <w:pPr>
              <w:pStyle w:val="AERtabletext"/>
              <w:rPr>
                <w:rStyle w:val="displayonly"/>
                <w:rFonts w:ascii="Gautami" w:hAnsi="Gautami" w:cs="Gautami"/>
                <w:sz w:val="20"/>
                <w:szCs w:val="20"/>
              </w:rPr>
            </w:pPr>
            <w:r w:rsidRPr="00282302">
              <w:rPr>
                <w:rStyle w:val="displayonly"/>
                <w:rFonts w:ascii="Gautami" w:hAnsi="Gautami" w:cs="Gautami"/>
                <w:sz w:val="20"/>
                <w:szCs w:val="20"/>
              </w:rPr>
              <w:t xml:space="preserve">Obligation </w:t>
            </w:r>
            <w:r w:rsidRPr="00282302">
              <w:rPr>
                <w:rFonts w:ascii="Gautami" w:hAnsi="Gautami" w:cs="Gautami"/>
                <w:sz w:val="20"/>
                <w:szCs w:val="20"/>
              </w:rPr>
              <w:t>to provide and maintain security (prudential requirements)</w:t>
            </w:r>
          </w:p>
        </w:tc>
      </w:tr>
      <w:tr w:rsidR="00D3476A" w:rsidRPr="00282302" w:rsidTr="00C47950">
        <w:trPr>
          <w:trHeight w:val="227"/>
        </w:trPr>
        <w:tc>
          <w:tcPr>
            <w:tcW w:w="604" w:type="pct"/>
            <w:tcBorders>
              <w:bottom w:val="nil"/>
            </w:tcBorders>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March 2012</w:t>
            </w:r>
          </w:p>
        </w:tc>
        <w:tc>
          <w:tcPr>
            <w:tcW w:w="585" w:type="pct"/>
            <w:tcBorders>
              <w:bottom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bottom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336</w:t>
            </w:r>
          </w:p>
        </w:tc>
        <w:tc>
          <w:tcPr>
            <w:tcW w:w="2812" w:type="pct"/>
            <w:tcBorders>
              <w:bottom w:val="nil"/>
            </w:tcBorders>
            <w:shd w:val="clear" w:color="auto" w:fill="FABF8F"/>
            <w:vAlign w:val="center"/>
          </w:tcPr>
          <w:p w:rsidR="00D3476A" w:rsidRPr="00282302" w:rsidRDefault="00D3476A" w:rsidP="00D3476A">
            <w:pPr>
              <w:pStyle w:val="AERtabletext"/>
              <w:rPr>
                <w:rStyle w:val="displayonly"/>
                <w:rFonts w:ascii="Gautami" w:hAnsi="Gautami" w:cs="Gautami"/>
                <w:sz w:val="20"/>
                <w:szCs w:val="20"/>
              </w:rPr>
            </w:pPr>
            <w:r w:rsidRPr="00282302">
              <w:rPr>
                <w:rFonts w:ascii="Gautami" w:hAnsi="Gautami" w:cs="Gautami"/>
                <w:sz w:val="20"/>
                <w:szCs w:val="20"/>
              </w:rPr>
              <w:t>Emergency procedures awareness</w:t>
            </w:r>
          </w:p>
        </w:tc>
      </w:tr>
      <w:tr w:rsidR="00D3476A" w:rsidRPr="00282302" w:rsidTr="000D2D9C">
        <w:trPr>
          <w:trHeight w:val="227"/>
        </w:trPr>
        <w:tc>
          <w:tcPr>
            <w:tcW w:w="604" w:type="pct"/>
            <w:tcBorders>
              <w:top w:val="nil"/>
              <w:bottom w:val="nil"/>
            </w:tcBorders>
            <w:shd w:val="clear" w:color="auto" w:fill="FFFFFF"/>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September 2012</w:t>
            </w:r>
          </w:p>
        </w:tc>
        <w:tc>
          <w:tcPr>
            <w:tcW w:w="585" w:type="pct"/>
            <w:tcBorders>
              <w:top w:val="nil"/>
              <w:bottom w:val="nil"/>
            </w:tcBorders>
            <w:shd w:val="clear" w:color="auto" w:fill="FFFFF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top w:val="nil"/>
              <w:bottom w:val="nil"/>
            </w:tcBorders>
            <w:shd w:val="clear" w:color="auto" w:fill="FFFFF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213(2)(b) and (c)</w:t>
            </w:r>
          </w:p>
        </w:tc>
        <w:tc>
          <w:tcPr>
            <w:tcW w:w="2812" w:type="pct"/>
            <w:tcBorders>
              <w:top w:val="nil"/>
              <w:bottom w:val="nil"/>
            </w:tcBorders>
            <w:shd w:val="clear" w:color="auto" w:fill="FFFFF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Injection and withdrawal bids in the Victorian gas market</w:t>
            </w:r>
          </w:p>
        </w:tc>
      </w:tr>
      <w:tr w:rsidR="000D2D9C" w:rsidRPr="009E5DEC" w:rsidTr="000D2D9C">
        <w:trPr>
          <w:trHeight w:val="227"/>
        </w:trPr>
        <w:tc>
          <w:tcPr>
            <w:tcW w:w="604" w:type="pct"/>
            <w:tcBorders>
              <w:top w:val="nil"/>
              <w:bottom w:val="single" w:sz="4" w:space="0" w:color="auto"/>
            </w:tcBorders>
            <w:shd w:val="clear" w:color="auto" w:fill="FABF8F" w:themeFill="accent6" w:themeFillTint="99"/>
            <w:noWrap/>
            <w:tcMar>
              <w:top w:w="0" w:type="dxa"/>
              <w:bottom w:w="0" w:type="dxa"/>
            </w:tcMar>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March 2013</w:t>
            </w:r>
          </w:p>
        </w:tc>
        <w:tc>
          <w:tcPr>
            <w:tcW w:w="585" w:type="pct"/>
            <w:tcBorders>
              <w:top w:val="nil"/>
              <w:bottom w:val="single" w:sz="4" w:space="0" w:color="auto"/>
            </w:tcBorders>
            <w:shd w:val="clear" w:color="auto" w:fill="FABF8F" w:themeFill="accent6" w:themeFillTint="99"/>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Electricity</w:t>
            </w:r>
          </w:p>
        </w:tc>
        <w:tc>
          <w:tcPr>
            <w:tcW w:w="999" w:type="pct"/>
            <w:tcBorders>
              <w:top w:val="nil"/>
              <w:bottom w:val="single" w:sz="4" w:space="0" w:color="auto"/>
            </w:tcBorders>
            <w:shd w:val="clear" w:color="auto" w:fill="FABF8F" w:themeFill="accent6" w:themeFillTint="99"/>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4.15</w:t>
            </w:r>
          </w:p>
        </w:tc>
        <w:tc>
          <w:tcPr>
            <w:tcW w:w="2812" w:type="pct"/>
            <w:tcBorders>
              <w:top w:val="nil"/>
              <w:bottom w:val="single" w:sz="4" w:space="0" w:color="auto"/>
            </w:tcBorders>
            <w:shd w:val="clear" w:color="auto" w:fill="FABF8F" w:themeFill="accent6" w:themeFillTint="99"/>
            <w:vAlign w:val="center"/>
          </w:tcPr>
          <w:p w:rsidR="000D2D9C" w:rsidRPr="00D3476A" w:rsidRDefault="000D2D9C" w:rsidP="00D3476A">
            <w:pPr>
              <w:pStyle w:val="AERtabletext"/>
              <w:rPr>
                <w:rFonts w:ascii="Gautami" w:hAnsi="Gautami" w:cs="Gautami"/>
                <w:sz w:val="20"/>
                <w:szCs w:val="20"/>
              </w:rPr>
            </w:pPr>
            <w:r w:rsidRPr="00282302">
              <w:rPr>
                <w:rFonts w:ascii="Gautami" w:hAnsi="Gautami" w:cs="Gautami"/>
                <w:sz w:val="20"/>
                <w:szCs w:val="20"/>
              </w:rPr>
              <w:t>Compliance with performance standards</w:t>
            </w:r>
          </w:p>
        </w:tc>
      </w:tr>
    </w:tbl>
    <w:p w:rsidR="00140976" w:rsidRPr="00FD3B0E" w:rsidRDefault="00140976" w:rsidP="00140976">
      <w:pPr>
        <w:pStyle w:val="AERbodytext"/>
        <w:rPr>
          <w:b/>
          <w:lang w:eastAsia="en-AU"/>
        </w:rPr>
      </w:pPr>
    </w:p>
    <w:p w:rsidR="00972474" w:rsidRPr="00FD3B0E" w:rsidRDefault="00972474" w:rsidP="00140976">
      <w:pPr>
        <w:pStyle w:val="AERbodytext"/>
        <w:rPr>
          <w:b/>
          <w:lang w:eastAsia="en-AU"/>
        </w:rPr>
      </w:pPr>
    </w:p>
    <w:sectPr w:rsidR="00972474" w:rsidRPr="00FD3B0E" w:rsidSect="000D2D9C">
      <w:footerReference w:type="default" r:id="rId4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76" w:rsidRDefault="00D20F76" w:rsidP="00BB640B">
      <w:r>
        <w:separator/>
      </w:r>
    </w:p>
    <w:p w:rsidR="00D20F76" w:rsidRDefault="00D20F76"/>
    <w:p w:rsidR="00D20F76" w:rsidRDefault="00D20F76"/>
  </w:endnote>
  <w:endnote w:type="continuationSeparator" w:id="0">
    <w:p w:rsidR="00D20F76" w:rsidRDefault="00D20F76" w:rsidP="00BB640B">
      <w:r>
        <w:continuationSeparator/>
      </w:r>
    </w:p>
    <w:p w:rsidR="00D20F76" w:rsidRDefault="00D20F76"/>
    <w:p w:rsidR="00D20F76" w:rsidRDefault="00D20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76" w:rsidRDefault="00D20F76" w:rsidP="009F6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F76" w:rsidRDefault="00D20F76" w:rsidP="007842F1">
    <w:pPr>
      <w:ind w:right="360"/>
    </w:pPr>
    <w:r>
      <w:rPr>
        <w:rStyle w:val="PageNumber"/>
      </w:rPr>
      <w:tab/>
    </w:r>
  </w:p>
  <w:p w:rsidR="00D20F76" w:rsidRDefault="00D20F76"/>
  <w:p w:rsidR="00D20F76" w:rsidRDefault="00D20F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76" w:rsidRPr="007842F1" w:rsidRDefault="00D20F76" w:rsidP="009F6871">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8C4BA5">
      <w:rPr>
        <w:rStyle w:val="PageNumber"/>
        <w:noProof/>
      </w:rPr>
      <w:t>i</w:t>
    </w:r>
    <w:r w:rsidRPr="007842F1">
      <w:rPr>
        <w:rStyle w:val="PageNumber"/>
      </w:rPr>
      <w:fldChar w:fldCharType="end"/>
    </w:r>
  </w:p>
  <w:p w:rsidR="00D20F76" w:rsidRDefault="00D20F76" w:rsidP="00AA1DED">
    <w:pPr>
      <w:pStyle w:val="FootnoteText"/>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E2" w:rsidRDefault="006407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76" w:rsidRPr="007842F1" w:rsidRDefault="00D20F76" w:rsidP="00BB5A97">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8C4BA5">
      <w:rPr>
        <w:rStyle w:val="PageNumber"/>
        <w:noProof/>
      </w:rPr>
      <w:t>21</w:t>
    </w:r>
    <w:r w:rsidRPr="007842F1">
      <w:rPr>
        <w:rStyle w:val="PageNumber"/>
      </w:rPr>
      <w:fldChar w:fldCharType="end"/>
    </w:r>
  </w:p>
  <w:p w:rsidR="00D20F76" w:rsidRPr="0097256D" w:rsidRDefault="00D20F76" w:rsidP="00BB5A97">
    <w:pPr>
      <w:pStyle w:val="FootnoteTex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76" w:rsidRPr="007842F1" w:rsidRDefault="00D20F76" w:rsidP="00BB5A97">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8C4BA5">
      <w:rPr>
        <w:rStyle w:val="PageNumber"/>
        <w:noProof/>
      </w:rPr>
      <w:t>26</w:t>
    </w:r>
    <w:r w:rsidRPr="007842F1">
      <w:rPr>
        <w:rStyle w:val="PageNumber"/>
      </w:rPr>
      <w:fldChar w:fldCharType="end"/>
    </w:r>
  </w:p>
  <w:p w:rsidR="00D20F76" w:rsidRPr="0097256D" w:rsidRDefault="00D20F76" w:rsidP="00BB5A97">
    <w:pPr>
      <w:pStyle w:val="FootnoteTex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76" w:rsidRDefault="00D20F76" w:rsidP="00BB640B">
      <w:r>
        <w:separator/>
      </w:r>
    </w:p>
    <w:p w:rsidR="00D20F76" w:rsidRDefault="00D20F76"/>
    <w:p w:rsidR="00D20F76" w:rsidRDefault="00D20F76"/>
  </w:footnote>
  <w:footnote w:type="continuationSeparator" w:id="0">
    <w:p w:rsidR="00D20F76" w:rsidRDefault="00D20F76" w:rsidP="00BB640B">
      <w:r>
        <w:continuationSeparator/>
      </w:r>
    </w:p>
    <w:p w:rsidR="00D20F76" w:rsidRDefault="00D20F76"/>
    <w:p w:rsidR="00D20F76" w:rsidRDefault="00D20F76"/>
  </w:footnote>
  <w:footnote w:id="1">
    <w:p w:rsidR="00D20F76" w:rsidRPr="00F354E4" w:rsidRDefault="00D20F76" w:rsidP="008744AC">
      <w:pPr>
        <w:pStyle w:val="FootnoteText"/>
        <w:spacing w:after="120"/>
        <w:rPr>
          <w:rFonts w:ascii="Gautami" w:hAnsi="Gautami" w:cs="Gautami"/>
        </w:rPr>
      </w:pPr>
      <w:r w:rsidRPr="00F354E4">
        <w:rPr>
          <w:rStyle w:val="FootnoteReference"/>
          <w:rFonts w:ascii="Gautami" w:hAnsi="Gautami" w:cs="Gautami"/>
        </w:rPr>
        <w:footnoteRef/>
      </w:r>
      <w:r w:rsidRPr="00F354E4">
        <w:rPr>
          <w:rFonts w:ascii="Gautami" w:hAnsi="Gautami" w:cs="Gautami"/>
        </w:rPr>
        <w:t xml:space="preserve"> </w:t>
      </w:r>
      <w:r w:rsidRPr="00F354E4">
        <w:rPr>
          <w:rFonts w:ascii="Gautami" w:hAnsi="Gautami" w:cs="Gautami"/>
        </w:rPr>
        <w:tab/>
        <w:t xml:space="preserve">Previous QCRs are available on </w:t>
      </w:r>
      <w:hyperlink r:id="rId1" w:history="1">
        <w:r w:rsidRPr="00F354E4">
          <w:rPr>
            <w:rStyle w:val="Hyperlink"/>
            <w:rFonts w:ascii="Gautami" w:hAnsi="Gautami" w:cs="Gautami"/>
          </w:rPr>
          <w:t>our website</w:t>
        </w:r>
      </w:hyperlink>
      <w:r w:rsidRPr="00F354E4">
        <w:rPr>
          <w:rFonts w:ascii="Gautami" w:hAnsi="Gautami" w:cs="Gautami"/>
        </w:rPr>
        <w:t>.</w:t>
      </w:r>
    </w:p>
  </w:footnote>
  <w:footnote w:id="2">
    <w:p w:rsidR="00D20F76" w:rsidRPr="00F354E4" w:rsidRDefault="00D20F76" w:rsidP="00542F60">
      <w:pPr>
        <w:pStyle w:val="FootnoteText"/>
        <w:rPr>
          <w:rFonts w:ascii="Gautami" w:hAnsi="Gautami" w:cs="Gautami"/>
        </w:rPr>
      </w:pPr>
      <w:r w:rsidRPr="00F354E4">
        <w:rPr>
          <w:rStyle w:val="FootnoteReference"/>
          <w:rFonts w:ascii="Gautami" w:hAnsi="Gautami" w:cs="Gautami"/>
        </w:rPr>
        <w:footnoteRef/>
      </w:r>
      <w:r w:rsidRPr="00F354E4">
        <w:rPr>
          <w:rFonts w:ascii="Gautami" w:hAnsi="Gautami" w:cs="Gautami"/>
        </w:rPr>
        <w:t xml:space="preserve"> </w:t>
      </w:r>
      <w:r w:rsidRPr="00F354E4">
        <w:rPr>
          <w:rFonts w:ascii="Gautami" w:hAnsi="Gautami" w:cs="Gautami"/>
        </w:rPr>
        <w:tab/>
        <w:t xml:space="preserve">Available on the </w:t>
      </w:r>
      <w:hyperlink r:id="rId2" w:history="1">
        <w:r w:rsidRPr="00F354E4">
          <w:rPr>
            <w:rStyle w:val="Hyperlink"/>
            <w:rFonts w:ascii="Gautami" w:hAnsi="Gautami" w:cs="Gautami"/>
          </w:rPr>
          <w:t>AEMC website</w:t>
        </w:r>
      </w:hyperlink>
      <w:r w:rsidRPr="00F354E4">
        <w:rPr>
          <w:rFonts w:ascii="Gautami" w:hAnsi="Gautami" w:cs="Gautami"/>
        </w:rPr>
        <w:t>.</w:t>
      </w:r>
    </w:p>
  </w:footnote>
  <w:footnote w:id="3">
    <w:p w:rsidR="00D20F76" w:rsidRPr="00BE1AA7" w:rsidRDefault="00D20F76" w:rsidP="00BE1AA7">
      <w:pPr>
        <w:pStyle w:val="FootnoteText"/>
        <w:spacing w:after="120"/>
        <w:rPr>
          <w:rFonts w:ascii="Gautami" w:hAnsi="Gautami" w:cs="Gautami"/>
        </w:rPr>
      </w:pPr>
      <w:r w:rsidRPr="00BE1AA7">
        <w:rPr>
          <w:rStyle w:val="FootnoteReference"/>
          <w:rFonts w:ascii="Gautami" w:hAnsi="Gautami" w:cs="Gautami"/>
        </w:rPr>
        <w:footnoteRef/>
      </w:r>
      <w:r w:rsidRPr="00BE1AA7">
        <w:rPr>
          <w:rStyle w:val="FootnoteReference"/>
          <w:rFonts w:ascii="Gautami" w:hAnsi="Gautami" w:cs="Gautami"/>
        </w:rPr>
        <w:t xml:space="preserve"> </w:t>
      </w:r>
      <w:r w:rsidRPr="00BE1AA7">
        <w:rPr>
          <w:rStyle w:val="FootnoteReference"/>
          <w:rFonts w:ascii="Gautami" w:hAnsi="Gautami" w:cs="Gautami"/>
        </w:rPr>
        <w:tab/>
      </w:r>
      <w:r w:rsidRPr="00BE1AA7">
        <w:rPr>
          <w:rFonts w:ascii="Gautami" w:hAnsi="Gautami" w:cs="Gautami"/>
        </w:rPr>
        <w:t>Entities registered by AEMO under Chapter 2 of the Electricity Rules or in accordance with Part 15A of the Gas Rules.</w:t>
      </w:r>
    </w:p>
  </w:footnote>
  <w:footnote w:id="4">
    <w:p w:rsidR="00D20F76" w:rsidRPr="00BE1AA7" w:rsidRDefault="00D20F76" w:rsidP="00F41C80">
      <w:pPr>
        <w:pStyle w:val="FootnoteText"/>
        <w:rPr>
          <w:rFonts w:ascii="Gautami" w:hAnsi="Gautami" w:cs="Gautami"/>
        </w:rPr>
      </w:pPr>
      <w:r w:rsidRPr="00BE1AA7">
        <w:rPr>
          <w:rStyle w:val="FootnoteReference"/>
          <w:rFonts w:ascii="Gautami" w:hAnsi="Gautami" w:cs="Gautami"/>
        </w:rPr>
        <w:footnoteRef/>
      </w:r>
      <w:r w:rsidRPr="00BE1AA7">
        <w:rPr>
          <w:rStyle w:val="FootnoteReference"/>
          <w:rFonts w:ascii="Gautami" w:hAnsi="Gautami" w:cs="Gautami"/>
        </w:rPr>
        <w:t xml:space="preserve"> </w:t>
      </w:r>
      <w:r w:rsidRPr="00BE1AA7">
        <w:rPr>
          <w:rFonts w:ascii="Gautami" w:hAnsi="Gautami" w:cs="Gautami"/>
        </w:rPr>
        <w:tab/>
        <w:t xml:space="preserve">Provisions of the Gas Rules and Electricity Rules that have been targeted for review in previous quarters are listed in Appendix </w:t>
      </w:r>
      <w:r w:rsidR="00DE630A">
        <w:rPr>
          <w:rFonts w:ascii="Gautami" w:hAnsi="Gautami" w:cs="Gautami"/>
        </w:rPr>
        <w:t>B</w:t>
      </w:r>
      <w:r w:rsidRPr="00BE1AA7">
        <w:rPr>
          <w:rFonts w:ascii="Gautami" w:hAnsi="Gautami" w:cs="Gautami"/>
        </w:rPr>
        <w:t>.</w:t>
      </w:r>
    </w:p>
  </w:footnote>
  <w:footnote w:id="5">
    <w:p w:rsidR="00D20F76" w:rsidRPr="00F354E4" w:rsidRDefault="00D20F76" w:rsidP="00A6026D">
      <w:pPr>
        <w:pStyle w:val="FootnoteText"/>
        <w:rPr>
          <w:rFonts w:ascii="Gautami" w:hAnsi="Gautami" w:cs="Gautami"/>
        </w:rPr>
      </w:pPr>
      <w:r w:rsidRPr="00F354E4">
        <w:rPr>
          <w:rStyle w:val="FootnoteReference"/>
          <w:rFonts w:ascii="Gautami" w:hAnsi="Gautami" w:cs="Gautami"/>
        </w:rPr>
        <w:footnoteRef/>
      </w:r>
      <w:r w:rsidRPr="00F354E4">
        <w:rPr>
          <w:rFonts w:ascii="Gautami" w:hAnsi="Gautami" w:cs="Gautami"/>
        </w:rPr>
        <w:t xml:space="preserve"> </w:t>
      </w:r>
      <w:r w:rsidRPr="00F354E4">
        <w:rPr>
          <w:rFonts w:ascii="Gautami" w:hAnsi="Gautami" w:cs="Gautami"/>
        </w:rPr>
        <w:tab/>
        <w:t xml:space="preserve">Available on the </w:t>
      </w:r>
      <w:hyperlink r:id="rId3" w:history="1">
        <w:r w:rsidRPr="00F354E4">
          <w:rPr>
            <w:rStyle w:val="Hyperlink"/>
            <w:rFonts w:ascii="Gautami" w:hAnsi="Gautami" w:cs="Gautami"/>
          </w:rPr>
          <w:t>AEMC website</w:t>
        </w:r>
      </w:hyperlink>
      <w:r w:rsidRPr="00F354E4">
        <w:rPr>
          <w:rFonts w:ascii="Gautami" w:hAnsi="Gautami" w:cs="Gautami"/>
        </w:rPr>
        <w:t>.</w:t>
      </w:r>
    </w:p>
  </w:footnote>
  <w:footnote w:id="6">
    <w:p w:rsidR="00D20F76" w:rsidRPr="00F354E4" w:rsidRDefault="00D20F76" w:rsidP="00B161E5">
      <w:pPr>
        <w:pStyle w:val="FootnoteText"/>
        <w:rPr>
          <w:rFonts w:ascii="Gautami" w:hAnsi="Gautami" w:cs="Gautami"/>
        </w:rPr>
      </w:pPr>
      <w:r w:rsidRPr="00F354E4">
        <w:rPr>
          <w:rStyle w:val="FootnoteReference"/>
          <w:rFonts w:ascii="Gautami" w:hAnsi="Gautami" w:cs="Gautami"/>
        </w:rPr>
        <w:footnoteRef/>
      </w:r>
      <w:r w:rsidRPr="00F354E4">
        <w:rPr>
          <w:rFonts w:ascii="Gautami" w:hAnsi="Gautami" w:cs="Gautami"/>
        </w:rPr>
        <w:t xml:space="preserve"> </w:t>
      </w:r>
      <w:r w:rsidRPr="00F354E4">
        <w:rPr>
          <w:rFonts w:ascii="Gautami" w:hAnsi="Gautami" w:cs="Gautami"/>
        </w:rPr>
        <w:tab/>
      </w:r>
      <w:proofErr w:type="gramStart"/>
      <w:r w:rsidRPr="00F354E4">
        <w:rPr>
          <w:rFonts w:ascii="Gautami" w:hAnsi="Gautami" w:cs="Gautami"/>
        </w:rPr>
        <w:t>Clauses 7.2.1, 7.3.4 and schedule 7.2 of the Electricity Rules.</w:t>
      </w:r>
      <w:proofErr w:type="gramEnd"/>
    </w:p>
  </w:footnote>
  <w:footnote w:id="7">
    <w:p w:rsidR="00E40549" w:rsidRPr="00E40549" w:rsidRDefault="00E40549" w:rsidP="00E40549">
      <w:pPr>
        <w:pStyle w:val="FootnoteText"/>
        <w:spacing w:before="120"/>
        <w:rPr>
          <w:rFonts w:ascii="Gautami" w:hAnsi="Gautami" w:cs="Gautami"/>
        </w:rPr>
      </w:pPr>
      <w:r w:rsidRPr="00E40549">
        <w:rPr>
          <w:rStyle w:val="FootnoteReference"/>
          <w:rFonts w:ascii="Gautami" w:hAnsi="Gautami" w:cs="Gautami"/>
        </w:rPr>
        <w:footnoteRef/>
      </w:r>
      <w:r w:rsidRPr="00E40549">
        <w:rPr>
          <w:rFonts w:ascii="Gautami" w:hAnsi="Gautami" w:cs="Gautami"/>
        </w:rPr>
        <w:t xml:space="preserve"> </w:t>
      </w:r>
      <w:r w:rsidRPr="00E40549">
        <w:rPr>
          <w:rFonts w:ascii="Gautami" w:hAnsi="Gautami" w:cs="Gautami"/>
        </w:rPr>
        <w:tab/>
        <w:t xml:space="preserve">‘Good Gas Industry Practice’ is defined under the Gas Rules and ‘Good Electricity Industry Practice’ is defined under the Electricity Rules. The AER uses the phrase ‘Good Energy Industry Practice’ to cover both sectors. The components the AER considers to comprise GEIP are contained in the </w:t>
      </w:r>
      <w:hyperlink r:id="rId4" w:history="1">
        <w:r w:rsidRPr="00E40549">
          <w:rPr>
            <w:rStyle w:val="Hyperlink"/>
            <w:rFonts w:ascii="Gautami" w:hAnsi="Gautami" w:cs="Gautami"/>
          </w:rPr>
          <w:t>March 2012 QCR</w:t>
        </w:r>
      </w:hyperlink>
      <w:r w:rsidRPr="00E40549">
        <w:rPr>
          <w:rFonts w:ascii="Gautami" w:hAnsi="Gautami" w:cs="Gautami"/>
        </w:rPr>
        <w:t>.</w:t>
      </w:r>
    </w:p>
  </w:footnote>
  <w:footnote w:id="8">
    <w:p w:rsidR="00D20F76" w:rsidRPr="00BF53BC" w:rsidRDefault="00D20F76" w:rsidP="00BF53BC">
      <w:pPr>
        <w:pStyle w:val="FootnoteText"/>
        <w:spacing w:after="120"/>
        <w:rPr>
          <w:rFonts w:ascii="Gautami" w:hAnsi="Gautami" w:cs="Gautami"/>
        </w:rPr>
      </w:pPr>
      <w:r w:rsidRPr="00BF53BC">
        <w:rPr>
          <w:rStyle w:val="FootnoteReference"/>
          <w:rFonts w:ascii="Gautami" w:hAnsi="Gautami" w:cs="Gautami"/>
        </w:rPr>
        <w:footnoteRef/>
      </w:r>
      <w:r w:rsidRPr="00BF53BC">
        <w:rPr>
          <w:rStyle w:val="FootnoteReference"/>
          <w:rFonts w:ascii="Gautami" w:hAnsi="Gautami" w:cs="Gautami"/>
        </w:rPr>
        <w:t xml:space="preserve"> </w:t>
      </w:r>
      <w:r w:rsidRPr="00BF53BC">
        <w:rPr>
          <w:rFonts w:ascii="Gautami" w:hAnsi="Gautami" w:cs="Gautami"/>
        </w:rPr>
        <w:tab/>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9">
    <w:p w:rsidR="00D20F76" w:rsidRPr="00BF53BC" w:rsidRDefault="00D20F76" w:rsidP="002E000E">
      <w:pPr>
        <w:pStyle w:val="FootnoteText"/>
        <w:rPr>
          <w:rFonts w:ascii="Gautami" w:hAnsi="Gautami" w:cs="Gautami"/>
        </w:rPr>
      </w:pPr>
      <w:r w:rsidRPr="00BF53BC">
        <w:rPr>
          <w:rStyle w:val="FootnoteReference"/>
          <w:rFonts w:ascii="Gautami" w:hAnsi="Gautami" w:cs="Gautami"/>
        </w:rPr>
        <w:footnoteRef/>
      </w:r>
      <w:r w:rsidRPr="00BF53BC">
        <w:rPr>
          <w:rStyle w:val="FootnoteReference"/>
          <w:rFonts w:ascii="Gautami" w:hAnsi="Gautami" w:cs="Gautami"/>
        </w:rPr>
        <w:t xml:space="preserve"> </w:t>
      </w:r>
      <w:r w:rsidRPr="00BF53BC">
        <w:rPr>
          <w:rFonts w:ascii="Gautami" w:hAnsi="Gautami" w:cs="Gautami"/>
        </w:rPr>
        <w:tab/>
        <w:t xml:space="preserve">In June 2012 the AER published an updated Compliance Bulletin No. 3, to make it clear that, for the purposes of administering the three stage process and issuing warnings, the AER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the AER will count any non-compliant bids by that trading team together. The Compliance Bulletin is available on the </w:t>
      </w:r>
      <w:hyperlink r:id="rId5" w:history="1">
        <w:r w:rsidRPr="00BF53BC">
          <w:rPr>
            <w:rStyle w:val="Hyperlink"/>
            <w:rFonts w:ascii="Gautami" w:hAnsi="Gautami" w:cs="Gautami"/>
          </w:rPr>
          <w:t>AER website</w:t>
        </w:r>
      </w:hyperlink>
      <w:r w:rsidRPr="00BF53BC">
        <w:rPr>
          <w:rFonts w:ascii="Gautami" w:hAnsi="Gautami" w:cs="Gautami"/>
        </w:rPr>
        <w:t>.</w:t>
      </w:r>
    </w:p>
  </w:footnote>
  <w:footnote w:id="10">
    <w:p w:rsidR="00D20F76" w:rsidRPr="00BF53BC" w:rsidRDefault="00D20F76" w:rsidP="00305A13">
      <w:pPr>
        <w:pStyle w:val="FootnoteText"/>
        <w:spacing w:before="120"/>
        <w:rPr>
          <w:rFonts w:ascii="Gautami" w:hAnsi="Gautami" w:cs="Gautami"/>
        </w:rPr>
      </w:pPr>
      <w:r w:rsidRPr="00BF53BC">
        <w:rPr>
          <w:rStyle w:val="FootnoteReference"/>
          <w:rFonts w:ascii="Gautami" w:hAnsi="Gautami" w:cs="Gautami"/>
        </w:rPr>
        <w:footnoteRef/>
      </w:r>
      <w:r w:rsidRPr="00BF53BC">
        <w:rPr>
          <w:rFonts w:ascii="Gautami" w:hAnsi="Gautami" w:cs="Gautami"/>
        </w:rPr>
        <w:t xml:space="preserve"> </w:t>
      </w:r>
      <w:r w:rsidRPr="00BF53BC">
        <w:rPr>
          <w:rFonts w:ascii="Gautami" w:hAnsi="Gautami" w:cs="Gautami"/>
        </w:rPr>
        <w:tab/>
        <w:t>Refer to Electricity Rules clauses 9.4.3 (smelter trader: Vicpower Trading), 9.12.3 (power traders: Delta Electricity and Macquarie Generation) and 9.34.6 (nominated generators: CS Energy and Stanwell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76" w:rsidRDefault="00D20F76"/>
  <w:p w:rsidR="00D20F76" w:rsidRDefault="00D20F76"/>
  <w:p w:rsidR="00D20F76" w:rsidRDefault="00D20F76"/>
  <w:p w:rsidR="00D20F76" w:rsidRDefault="00D20F76"/>
  <w:p w:rsidR="00D20F76" w:rsidRDefault="00D20F76"/>
  <w:p w:rsidR="00D20F76" w:rsidRDefault="00D20F76"/>
  <w:p w:rsidR="00D20F76" w:rsidRDefault="00D20F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E2" w:rsidRDefault="006407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E2" w:rsidRDefault="00640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16B5A"/>
    <w:multiLevelType w:val="hybridMultilevel"/>
    <w:tmpl w:val="12489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A8D4692A"/>
    <w:lvl w:ilvl="0">
      <w:start w:val="1"/>
      <w:numFmt w:val="decimal"/>
      <w:lvlText w:val="%1."/>
      <w:lvlJc w:val="left"/>
      <w:pPr>
        <w:tabs>
          <w:tab w:val="num" w:pos="1492"/>
        </w:tabs>
        <w:ind w:left="1492" w:hanging="360"/>
      </w:pPr>
    </w:lvl>
  </w:abstractNum>
  <w:abstractNum w:abstractNumId="2">
    <w:nsid w:val="FFFFFF7D"/>
    <w:multiLevelType w:val="singleLevel"/>
    <w:tmpl w:val="B832FAA2"/>
    <w:lvl w:ilvl="0">
      <w:start w:val="1"/>
      <w:numFmt w:val="decimal"/>
      <w:lvlText w:val="%1."/>
      <w:lvlJc w:val="left"/>
      <w:pPr>
        <w:tabs>
          <w:tab w:val="num" w:pos="1209"/>
        </w:tabs>
        <w:ind w:left="1209" w:hanging="360"/>
      </w:pPr>
    </w:lvl>
  </w:abstractNum>
  <w:abstractNum w:abstractNumId="3">
    <w:nsid w:val="FFFFFF7E"/>
    <w:multiLevelType w:val="singleLevel"/>
    <w:tmpl w:val="42ECAACA"/>
    <w:lvl w:ilvl="0">
      <w:start w:val="1"/>
      <w:numFmt w:val="decimal"/>
      <w:lvlText w:val="%1."/>
      <w:lvlJc w:val="left"/>
      <w:pPr>
        <w:tabs>
          <w:tab w:val="num" w:pos="926"/>
        </w:tabs>
        <w:ind w:left="926" w:hanging="360"/>
      </w:pPr>
    </w:lvl>
  </w:abstractNum>
  <w:abstractNum w:abstractNumId="4">
    <w:nsid w:val="FFFFFF7F"/>
    <w:multiLevelType w:val="singleLevel"/>
    <w:tmpl w:val="8732235E"/>
    <w:lvl w:ilvl="0">
      <w:start w:val="1"/>
      <w:numFmt w:val="decimal"/>
      <w:lvlText w:val="%1."/>
      <w:lvlJc w:val="left"/>
      <w:pPr>
        <w:tabs>
          <w:tab w:val="num" w:pos="643"/>
        </w:tabs>
        <w:ind w:left="643" w:hanging="360"/>
      </w:pPr>
    </w:lvl>
  </w:abstractNum>
  <w:abstractNum w:abstractNumId="5">
    <w:nsid w:val="FFFFFF80"/>
    <w:multiLevelType w:val="singleLevel"/>
    <w:tmpl w:val="C854E5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C4234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0D82F9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E9AA9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0C81EF8"/>
    <w:lvl w:ilvl="0">
      <w:start w:val="1"/>
      <w:numFmt w:val="decimal"/>
      <w:lvlText w:val="%1."/>
      <w:lvlJc w:val="left"/>
      <w:pPr>
        <w:tabs>
          <w:tab w:val="num" w:pos="360"/>
        </w:tabs>
        <w:ind w:left="360" w:hanging="360"/>
      </w:pPr>
    </w:lvl>
  </w:abstractNum>
  <w:abstractNum w:abstractNumId="10">
    <w:nsid w:val="00B3019A"/>
    <w:multiLevelType w:val="hybridMultilevel"/>
    <w:tmpl w:val="DF62705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0D517D24"/>
    <w:multiLevelType w:val="hybridMultilevel"/>
    <w:tmpl w:val="66B0C8D4"/>
    <w:lvl w:ilvl="0" w:tplc="A05C8C1C">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2">
    <w:nsid w:val="1A3A6266"/>
    <w:multiLevelType w:val="multilevel"/>
    <w:tmpl w:val="F6E68370"/>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1AAE40C7"/>
    <w:multiLevelType w:val="hybridMultilevel"/>
    <w:tmpl w:val="9C70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ED557C"/>
    <w:multiLevelType w:val="multilevel"/>
    <w:tmpl w:val="88B4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6CD3679"/>
    <w:multiLevelType w:val="multilevel"/>
    <w:tmpl w:val="1E48F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7FB0C3A"/>
    <w:multiLevelType w:val="hybridMultilevel"/>
    <w:tmpl w:val="69A0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351F95"/>
    <w:multiLevelType w:val="hybridMultilevel"/>
    <w:tmpl w:val="7D7EC5EA"/>
    <w:lvl w:ilvl="0" w:tplc="0C090005">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9">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7E34E91"/>
    <w:multiLevelType w:val="hybridMultilevel"/>
    <w:tmpl w:val="AB743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1492709C"/>
    <w:numStyleLink w:val="AERHeadings"/>
  </w:abstractNum>
  <w:abstractNum w:abstractNumId="23">
    <w:nsid w:val="3E6B42D3"/>
    <w:multiLevelType w:val="hybridMultilevel"/>
    <w:tmpl w:val="9191D0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25A3E9E"/>
    <w:multiLevelType w:val="hybridMultilevel"/>
    <w:tmpl w:val="1AAA5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3F74CB"/>
    <w:multiLevelType w:val="hybridMultilevel"/>
    <w:tmpl w:val="550AFBE6"/>
    <w:lvl w:ilvl="0" w:tplc="D4F0A01E">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32F652EA">
      <w:start w:val="1"/>
      <w:numFmt w:val="bullet"/>
      <w:lvlText w:val=""/>
      <w:lvlJc w:val="left"/>
      <w:pPr>
        <w:tabs>
          <w:tab w:val="num" w:pos="4498"/>
        </w:tabs>
        <w:ind w:left="4498" w:hanging="358"/>
      </w:pPr>
      <w:rPr>
        <w:rFonts w:ascii="Wingdings" w:hAnsi="Wingdings" w:hint="default"/>
        <w:b w:val="0"/>
        <w:i w:val="0"/>
        <w:sz w:val="22"/>
      </w:rPr>
    </w:lvl>
    <w:lvl w:ilvl="2" w:tplc="5ABC4262" w:tentative="1">
      <w:start w:val="1"/>
      <w:numFmt w:val="lowerRoman"/>
      <w:lvlText w:val="%3."/>
      <w:lvlJc w:val="right"/>
      <w:pPr>
        <w:tabs>
          <w:tab w:val="num" w:pos="5220"/>
        </w:tabs>
        <w:ind w:left="5220" w:hanging="180"/>
      </w:pPr>
    </w:lvl>
    <w:lvl w:ilvl="3" w:tplc="268C5056" w:tentative="1">
      <w:start w:val="1"/>
      <w:numFmt w:val="decimal"/>
      <w:lvlText w:val="%4."/>
      <w:lvlJc w:val="left"/>
      <w:pPr>
        <w:tabs>
          <w:tab w:val="num" w:pos="5940"/>
        </w:tabs>
        <w:ind w:left="5940" w:hanging="360"/>
      </w:pPr>
    </w:lvl>
    <w:lvl w:ilvl="4" w:tplc="42CAC7D0">
      <w:start w:val="1"/>
      <w:numFmt w:val="lowerLetter"/>
      <w:lvlText w:val="%5."/>
      <w:lvlJc w:val="left"/>
      <w:pPr>
        <w:tabs>
          <w:tab w:val="num" w:pos="6660"/>
        </w:tabs>
        <w:ind w:left="6660" w:hanging="360"/>
      </w:pPr>
    </w:lvl>
    <w:lvl w:ilvl="5" w:tplc="EB7EE31A">
      <w:start w:val="1"/>
      <w:numFmt w:val="lowerRoman"/>
      <w:lvlText w:val="%6."/>
      <w:lvlJc w:val="right"/>
      <w:pPr>
        <w:tabs>
          <w:tab w:val="num" w:pos="7380"/>
        </w:tabs>
        <w:ind w:left="7380" w:hanging="180"/>
      </w:pPr>
    </w:lvl>
    <w:lvl w:ilvl="6" w:tplc="E6D86F90" w:tentative="1">
      <w:start w:val="1"/>
      <w:numFmt w:val="decimal"/>
      <w:lvlText w:val="%7."/>
      <w:lvlJc w:val="left"/>
      <w:pPr>
        <w:tabs>
          <w:tab w:val="num" w:pos="8100"/>
        </w:tabs>
        <w:ind w:left="8100" w:hanging="360"/>
      </w:pPr>
    </w:lvl>
    <w:lvl w:ilvl="7" w:tplc="882C84EC" w:tentative="1">
      <w:start w:val="1"/>
      <w:numFmt w:val="lowerLetter"/>
      <w:lvlText w:val="%8."/>
      <w:lvlJc w:val="left"/>
      <w:pPr>
        <w:tabs>
          <w:tab w:val="num" w:pos="8820"/>
        </w:tabs>
        <w:ind w:left="8820" w:hanging="360"/>
      </w:pPr>
    </w:lvl>
    <w:lvl w:ilvl="8" w:tplc="DD3E2D30" w:tentative="1">
      <w:start w:val="1"/>
      <w:numFmt w:val="lowerRoman"/>
      <w:lvlText w:val="%9."/>
      <w:lvlJc w:val="right"/>
      <w:pPr>
        <w:tabs>
          <w:tab w:val="num" w:pos="9540"/>
        </w:tabs>
        <w:ind w:left="9540" w:hanging="180"/>
      </w:pPr>
    </w:lvl>
  </w:abstractNum>
  <w:abstractNum w:abstractNumId="26">
    <w:nsid w:val="4E6006AE"/>
    <w:multiLevelType w:val="hybridMultilevel"/>
    <w:tmpl w:val="EC7C00E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5487975"/>
    <w:multiLevelType w:val="hybridMultilevel"/>
    <w:tmpl w:val="C5FE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291B6E"/>
    <w:multiLevelType w:val="hybridMultilevel"/>
    <w:tmpl w:val="DA98A352"/>
    <w:lvl w:ilvl="0" w:tplc="1E3E85FA">
      <w:start w:val="1"/>
      <w:numFmt w:val="bullet"/>
      <w:lvlText w:val=""/>
      <w:lvlJc w:val="left"/>
      <w:pPr>
        <w:ind w:left="720" w:hanging="360"/>
      </w:pPr>
      <w:rPr>
        <w:rFonts w:ascii="Symbol" w:hAnsi="Symbol" w:hint="default"/>
      </w:rPr>
    </w:lvl>
    <w:lvl w:ilvl="1" w:tplc="336C0858" w:tentative="1">
      <w:start w:val="1"/>
      <w:numFmt w:val="bullet"/>
      <w:lvlText w:val="o"/>
      <w:lvlJc w:val="left"/>
      <w:pPr>
        <w:ind w:left="1440" w:hanging="360"/>
      </w:pPr>
      <w:rPr>
        <w:rFonts w:ascii="Courier New" w:hAnsi="Courier New" w:cs="Courier New" w:hint="default"/>
      </w:rPr>
    </w:lvl>
    <w:lvl w:ilvl="2" w:tplc="9090913A" w:tentative="1">
      <w:start w:val="1"/>
      <w:numFmt w:val="bullet"/>
      <w:lvlText w:val=""/>
      <w:lvlJc w:val="left"/>
      <w:pPr>
        <w:ind w:left="2160" w:hanging="360"/>
      </w:pPr>
      <w:rPr>
        <w:rFonts w:ascii="Wingdings" w:hAnsi="Wingdings" w:hint="default"/>
      </w:rPr>
    </w:lvl>
    <w:lvl w:ilvl="3" w:tplc="F398B010" w:tentative="1">
      <w:start w:val="1"/>
      <w:numFmt w:val="bullet"/>
      <w:lvlText w:val=""/>
      <w:lvlJc w:val="left"/>
      <w:pPr>
        <w:ind w:left="2880" w:hanging="360"/>
      </w:pPr>
      <w:rPr>
        <w:rFonts w:ascii="Symbol" w:hAnsi="Symbol" w:hint="default"/>
      </w:rPr>
    </w:lvl>
    <w:lvl w:ilvl="4" w:tplc="CF98A480" w:tentative="1">
      <w:start w:val="1"/>
      <w:numFmt w:val="bullet"/>
      <w:lvlText w:val="o"/>
      <w:lvlJc w:val="left"/>
      <w:pPr>
        <w:ind w:left="3600" w:hanging="360"/>
      </w:pPr>
      <w:rPr>
        <w:rFonts w:ascii="Courier New" w:hAnsi="Courier New" w:cs="Courier New" w:hint="default"/>
      </w:rPr>
    </w:lvl>
    <w:lvl w:ilvl="5" w:tplc="54CEB6A6" w:tentative="1">
      <w:start w:val="1"/>
      <w:numFmt w:val="bullet"/>
      <w:lvlText w:val=""/>
      <w:lvlJc w:val="left"/>
      <w:pPr>
        <w:ind w:left="4320" w:hanging="360"/>
      </w:pPr>
      <w:rPr>
        <w:rFonts w:ascii="Wingdings" w:hAnsi="Wingdings" w:hint="default"/>
      </w:rPr>
    </w:lvl>
    <w:lvl w:ilvl="6" w:tplc="80F237D6" w:tentative="1">
      <w:start w:val="1"/>
      <w:numFmt w:val="bullet"/>
      <w:lvlText w:val=""/>
      <w:lvlJc w:val="left"/>
      <w:pPr>
        <w:ind w:left="5040" w:hanging="360"/>
      </w:pPr>
      <w:rPr>
        <w:rFonts w:ascii="Symbol" w:hAnsi="Symbol" w:hint="default"/>
      </w:rPr>
    </w:lvl>
    <w:lvl w:ilvl="7" w:tplc="74660896" w:tentative="1">
      <w:start w:val="1"/>
      <w:numFmt w:val="bullet"/>
      <w:lvlText w:val="o"/>
      <w:lvlJc w:val="left"/>
      <w:pPr>
        <w:ind w:left="5760" w:hanging="360"/>
      </w:pPr>
      <w:rPr>
        <w:rFonts w:ascii="Courier New" w:hAnsi="Courier New" w:cs="Courier New" w:hint="default"/>
      </w:rPr>
    </w:lvl>
    <w:lvl w:ilvl="8" w:tplc="9FB69D9C" w:tentative="1">
      <w:start w:val="1"/>
      <w:numFmt w:val="bullet"/>
      <w:lvlText w:val=""/>
      <w:lvlJc w:val="left"/>
      <w:pPr>
        <w:ind w:left="6480" w:hanging="360"/>
      </w:pPr>
      <w:rPr>
        <w:rFonts w:ascii="Wingdings" w:hAnsi="Wingdings" w:hint="default"/>
      </w:rPr>
    </w:lvl>
  </w:abstractNum>
  <w:abstractNum w:abstractNumId="30">
    <w:nsid w:val="62BF0570"/>
    <w:multiLevelType w:val="hybridMultilevel"/>
    <w:tmpl w:val="2C38EE7E"/>
    <w:lvl w:ilvl="0" w:tplc="0C090001">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31">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2">
    <w:nsid w:val="76A149FE"/>
    <w:multiLevelType w:val="multilevel"/>
    <w:tmpl w:val="463A9BE2"/>
    <w:lvl w:ilvl="0">
      <w:start w:val="1"/>
      <w:numFmt w:val="decimal"/>
      <w:pStyle w:val="AERheading1"/>
      <w:lvlText w:val="%1"/>
      <w:lvlJc w:val="left"/>
      <w:pPr>
        <w:tabs>
          <w:tab w:val="num" w:pos="357"/>
        </w:tabs>
        <w:ind w:left="1071" w:hanging="1071"/>
      </w:pPr>
      <w:rPr>
        <w:rFonts w:hint="default"/>
      </w:rPr>
    </w:lvl>
    <w:lvl w:ilvl="1">
      <w:start w:val="1"/>
      <w:numFmt w:val="decimal"/>
      <w:pStyle w:val="AERheading2"/>
      <w:lvlText w:val="%1.%2"/>
      <w:lvlJc w:val="left"/>
      <w:pPr>
        <w:tabs>
          <w:tab w:val="num" w:pos="2484"/>
        </w:tabs>
        <w:ind w:left="2484" w:hanging="357"/>
      </w:pPr>
      <w:rPr>
        <w:rFonts w:hint="default"/>
      </w:rPr>
    </w:lvl>
    <w:lvl w:ilvl="2">
      <w:start w:val="1"/>
      <w:numFmt w:val="decimal"/>
      <w:pStyle w:val="AERheading3"/>
      <w:lvlText w:val="%1.%2.%3"/>
      <w:lvlJc w:val="left"/>
      <w:pPr>
        <w:tabs>
          <w:tab w:val="num" w:pos="357"/>
        </w:tabs>
        <w:ind w:left="357"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AERfigureheading"/>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8B75593"/>
    <w:multiLevelType w:val="multilevel"/>
    <w:tmpl w:val="979A7758"/>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E6B2BEF"/>
    <w:multiLevelType w:val="hybridMultilevel"/>
    <w:tmpl w:val="6F765C6A"/>
    <w:lvl w:ilvl="0" w:tplc="B08EB764">
      <w:start w:val="1"/>
      <w:numFmt w:val="bullet"/>
      <w:lvlText w:val=""/>
      <w:lvlJc w:val="left"/>
      <w:pPr>
        <w:ind w:left="420" w:hanging="360"/>
      </w:pPr>
      <w:rPr>
        <w:rFonts w:ascii="Symbol" w:eastAsia="Times New Roman" w:hAnsi="Symbol" w:cs="Times New Roman" w:hint="default"/>
      </w:rPr>
    </w:lvl>
    <w:lvl w:ilvl="1" w:tplc="F564B62A" w:tentative="1">
      <w:start w:val="1"/>
      <w:numFmt w:val="bullet"/>
      <w:lvlText w:val="o"/>
      <w:lvlJc w:val="left"/>
      <w:pPr>
        <w:ind w:left="1140" w:hanging="360"/>
      </w:pPr>
      <w:rPr>
        <w:rFonts w:ascii="Courier New" w:hAnsi="Courier New" w:cs="Courier New" w:hint="default"/>
      </w:rPr>
    </w:lvl>
    <w:lvl w:ilvl="2" w:tplc="E4B4898E" w:tentative="1">
      <w:start w:val="1"/>
      <w:numFmt w:val="bullet"/>
      <w:lvlText w:val=""/>
      <w:lvlJc w:val="left"/>
      <w:pPr>
        <w:ind w:left="1860" w:hanging="360"/>
      </w:pPr>
      <w:rPr>
        <w:rFonts w:ascii="Wingdings" w:hAnsi="Wingdings" w:hint="default"/>
      </w:rPr>
    </w:lvl>
    <w:lvl w:ilvl="3" w:tplc="7584CCF2" w:tentative="1">
      <w:start w:val="1"/>
      <w:numFmt w:val="bullet"/>
      <w:lvlText w:val=""/>
      <w:lvlJc w:val="left"/>
      <w:pPr>
        <w:ind w:left="2580" w:hanging="360"/>
      </w:pPr>
      <w:rPr>
        <w:rFonts w:ascii="Symbol" w:hAnsi="Symbol" w:hint="default"/>
      </w:rPr>
    </w:lvl>
    <w:lvl w:ilvl="4" w:tplc="E56AD208" w:tentative="1">
      <w:start w:val="1"/>
      <w:numFmt w:val="bullet"/>
      <w:lvlText w:val="o"/>
      <w:lvlJc w:val="left"/>
      <w:pPr>
        <w:ind w:left="3300" w:hanging="360"/>
      </w:pPr>
      <w:rPr>
        <w:rFonts w:ascii="Courier New" w:hAnsi="Courier New" w:cs="Courier New" w:hint="default"/>
      </w:rPr>
    </w:lvl>
    <w:lvl w:ilvl="5" w:tplc="265AABFA" w:tentative="1">
      <w:start w:val="1"/>
      <w:numFmt w:val="bullet"/>
      <w:lvlText w:val=""/>
      <w:lvlJc w:val="left"/>
      <w:pPr>
        <w:ind w:left="4020" w:hanging="360"/>
      </w:pPr>
      <w:rPr>
        <w:rFonts w:ascii="Wingdings" w:hAnsi="Wingdings" w:hint="default"/>
      </w:rPr>
    </w:lvl>
    <w:lvl w:ilvl="6" w:tplc="1C36BB5A" w:tentative="1">
      <w:start w:val="1"/>
      <w:numFmt w:val="bullet"/>
      <w:lvlText w:val=""/>
      <w:lvlJc w:val="left"/>
      <w:pPr>
        <w:ind w:left="4740" w:hanging="360"/>
      </w:pPr>
      <w:rPr>
        <w:rFonts w:ascii="Symbol" w:hAnsi="Symbol" w:hint="default"/>
      </w:rPr>
    </w:lvl>
    <w:lvl w:ilvl="7" w:tplc="E1A8907C" w:tentative="1">
      <w:start w:val="1"/>
      <w:numFmt w:val="bullet"/>
      <w:lvlText w:val="o"/>
      <w:lvlJc w:val="left"/>
      <w:pPr>
        <w:ind w:left="5460" w:hanging="360"/>
      </w:pPr>
      <w:rPr>
        <w:rFonts w:ascii="Courier New" w:hAnsi="Courier New" w:cs="Courier New" w:hint="default"/>
      </w:rPr>
    </w:lvl>
    <w:lvl w:ilvl="8" w:tplc="7EDAF0B2" w:tentative="1">
      <w:start w:val="1"/>
      <w:numFmt w:val="bullet"/>
      <w:lvlText w:val=""/>
      <w:lvlJc w:val="left"/>
      <w:pPr>
        <w:ind w:left="6180" w:hanging="360"/>
      </w:pPr>
      <w:rPr>
        <w:rFonts w:ascii="Wingdings" w:hAnsi="Wingdings" w:hint="default"/>
      </w:rPr>
    </w:lvl>
  </w:abstractNum>
  <w:num w:numId="1">
    <w:abstractNumId w:val="12"/>
  </w:num>
  <w:num w:numId="2">
    <w:abstractNumId w:val="30"/>
  </w:num>
  <w:num w:numId="3">
    <w:abstractNumId w:val="11"/>
  </w:num>
  <w:num w:numId="4">
    <w:abstractNumId w:val="25"/>
  </w:num>
  <w:num w:numId="5">
    <w:abstractNumId w:val="20"/>
  </w:num>
  <w:num w:numId="6">
    <w:abstractNumId w:val="31"/>
  </w:num>
  <w:num w:numId="7">
    <w:abstractNumId w:val="32"/>
  </w:num>
  <w:num w:numId="8">
    <w:abstractNumId w:val="33"/>
  </w:num>
  <w:num w:numId="9">
    <w:abstractNumId w:val="15"/>
  </w:num>
  <w:num w:numId="10">
    <w:abstractNumId w:val="19"/>
  </w:num>
  <w:num w:numId="11">
    <w:abstractNumId w:val="18"/>
  </w:num>
  <w:num w:numId="12">
    <w:abstractNumId w:val="27"/>
  </w:num>
  <w:num w:numId="13">
    <w:abstractNumId w:val="22"/>
  </w:num>
  <w:num w:numId="14">
    <w:abstractNumId w:val="34"/>
  </w:num>
  <w:num w:numId="15">
    <w:abstractNumId w:val="16"/>
  </w:num>
  <w:num w:numId="16">
    <w:abstractNumId w:val="26"/>
  </w:num>
  <w:num w:numId="17">
    <w:abstractNumId w:val="32"/>
  </w:num>
  <w:num w:numId="18">
    <w:abstractNumId w:val="14"/>
  </w:num>
  <w:num w:numId="19">
    <w:abstractNumId w:val="32"/>
  </w:num>
  <w:num w:numId="20">
    <w:abstractNumId w:val="29"/>
  </w:num>
  <w:num w:numId="21">
    <w:abstractNumId w:val="18"/>
  </w:num>
  <w:num w:numId="22">
    <w:abstractNumId w:val="21"/>
  </w:num>
  <w:num w:numId="23">
    <w:abstractNumId w:val="18"/>
  </w:num>
  <w:num w:numId="24">
    <w:abstractNumId w:val="32"/>
  </w:num>
  <w:num w:numId="25">
    <w:abstractNumId w:val="32"/>
  </w:num>
  <w:num w:numId="26">
    <w:abstractNumId w:val="17"/>
  </w:num>
  <w:num w:numId="27">
    <w:abstractNumId w:val="23"/>
  </w:num>
  <w:num w:numId="28">
    <w:abstractNumId w:val="0"/>
  </w:num>
  <w:num w:numId="29">
    <w:abstractNumId w:val="32"/>
  </w:num>
  <w:num w:numId="30">
    <w:abstractNumId w:val="18"/>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num>
  <w:num w:numId="34">
    <w:abstractNumId w:val="18"/>
  </w:num>
  <w:num w:numId="35">
    <w:abstractNumId w:val="2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8"/>
  </w:num>
  <w:num w:numId="39">
    <w:abstractNumId w:val="7"/>
  </w:num>
  <w:num w:numId="40">
    <w:abstractNumId w:val="6"/>
  </w:num>
  <w:num w:numId="41">
    <w:abstractNumId w:val="5"/>
  </w:num>
  <w:num w:numId="42">
    <w:abstractNumId w:val="9"/>
  </w:num>
  <w:num w:numId="43">
    <w:abstractNumId w:val="4"/>
  </w:num>
  <w:num w:numId="44">
    <w:abstractNumId w:val="3"/>
  </w:num>
  <w:num w:numId="45">
    <w:abstractNumId w:val="2"/>
  </w:num>
  <w:num w:numId="46">
    <w:abstractNumId w:val="1"/>
  </w:num>
  <w:num w:numId="47">
    <w:abstractNumId w:val="10"/>
  </w:num>
  <w:num w:numId="48">
    <w:abstractNumId w:val="28"/>
  </w:num>
  <w:num w:numId="49">
    <w:abstractNumId w:val="12"/>
  </w:num>
  <w:num w:numId="50">
    <w:abstractNumId w:val="12"/>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324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pdodg\for upload 17 april\FINAL QCR National Electricity and Gas Laws (Jan-Mar 2013).DOCX"/>
  </w:docVars>
  <w:rsids>
    <w:rsidRoot w:val="00F75FBD"/>
    <w:rsid w:val="00000080"/>
    <w:rsid w:val="000008B3"/>
    <w:rsid w:val="00000E09"/>
    <w:rsid w:val="000014D2"/>
    <w:rsid w:val="000018CD"/>
    <w:rsid w:val="0000194E"/>
    <w:rsid w:val="000020FB"/>
    <w:rsid w:val="00002829"/>
    <w:rsid w:val="00002A76"/>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E63"/>
    <w:rsid w:val="00006E66"/>
    <w:rsid w:val="000070D2"/>
    <w:rsid w:val="000078B2"/>
    <w:rsid w:val="00007A05"/>
    <w:rsid w:val="00007DEC"/>
    <w:rsid w:val="00010C72"/>
    <w:rsid w:val="00010E2A"/>
    <w:rsid w:val="000110D5"/>
    <w:rsid w:val="000115F6"/>
    <w:rsid w:val="00011751"/>
    <w:rsid w:val="00011913"/>
    <w:rsid w:val="0001232D"/>
    <w:rsid w:val="0001277E"/>
    <w:rsid w:val="00012C8B"/>
    <w:rsid w:val="0001307D"/>
    <w:rsid w:val="000139F3"/>
    <w:rsid w:val="00014B8F"/>
    <w:rsid w:val="00015040"/>
    <w:rsid w:val="000158C2"/>
    <w:rsid w:val="00015FFE"/>
    <w:rsid w:val="000161BF"/>
    <w:rsid w:val="00016924"/>
    <w:rsid w:val="00016DEF"/>
    <w:rsid w:val="00016E96"/>
    <w:rsid w:val="00017634"/>
    <w:rsid w:val="00017C33"/>
    <w:rsid w:val="00017FAD"/>
    <w:rsid w:val="000201DE"/>
    <w:rsid w:val="00020AD8"/>
    <w:rsid w:val="00020D13"/>
    <w:rsid w:val="000213B6"/>
    <w:rsid w:val="00021891"/>
    <w:rsid w:val="00021990"/>
    <w:rsid w:val="00021DE4"/>
    <w:rsid w:val="00022810"/>
    <w:rsid w:val="000228BB"/>
    <w:rsid w:val="00022A77"/>
    <w:rsid w:val="00022C3F"/>
    <w:rsid w:val="00023487"/>
    <w:rsid w:val="00023543"/>
    <w:rsid w:val="000237D8"/>
    <w:rsid w:val="00023E55"/>
    <w:rsid w:val="00024271"/>
    <w:rsid w:val="00024853"/>
    <w:rsid w:val="00025D45"/>
    <w:rsid w:val="00025E0E"/>
    <w:rsid w:val="0002602A"/>
    <w:rsid w:val="000260E2"/>
    <w:rsid w:val="000261A3"/>
    <w:rsid w:val="0002626E"/>
    <w:rsid w:val="00026564"/>
    <w:rsid w:val="000267ED"/>
    <w:rsid w:val="00026C3A"/>
    <w:rsid w:val="0002765A"/>
    <w:rsid w:val="000277D9"/>
    <w:rsid w:val="0003080B"/>
    <w:rsid w:val="000308EE"/>
    <w:rsid w:val="0003098E"/>
    <w:rsid w:val="000318FE"/>
    <w:rsid w:val="00031AA8"/>
    <w:rsid w:val="00031D7C"/>
    <w:rsid w:val="000328A5"/>
    <w:rsid w:val="00032A56"/>
    <w:rsid w:val="00032BCA"/>
    <w:rsid w:val="00032C54"/>
    <w:rsid w:val="00032F9C"/>
    <w:rsid w:val="00033316"/>
    <w:rsid w:val="0003339C"/>
    <w:rsid w:val="0003345D"/>
    <w:rsid w:val="000335CA"/>
    <w:rsid w:val="00033718"/>
    <w:rsid w:val="00033B09"/>
    <w:rsid w:val="00033EA7"/>
    <w:rsid w:val="0003429E"/>
    <w:rsid w:val="00034438"/>
    <w:rsid w:val="000344DF"/>
    <w:rsid w:val="0003457A"/>
    <w:rsid w:val="000345D3"/>
    <w:rsid w:val="00034DF0"/>
    <w:rsid w:val="000353A5"/>
    <w:rsid w:val="000356D8"/>
    <w:rsid w:val="0003586E"/>
    <w:rsid w:val="00035C9F"/>
    <w:rsid w:val="000360CE"/>
    <w:rsid w:val="0003617E"/>
    <w:rsid w:val="000361EA"/>
    <w:rsid w:val="0003626E"/>
    <w:rsid w:val="0003632C"/>
    <w:rsid w:val="00036ABD"/>
    <w:rsid w:val="00037322"/>
    <w:rsid w:val="000373B0"/>
    <w:rsid w:val="00037541"/>
    <w:rsid w:val="000375EE"/>
    <w:rsid w:val="00037690"/>
    <w:rsid w:val="00040414"/>
    <w:rsid w:val="000407B3"/>
    <w:rsid w:val="000413B3"/>
    <w:rsid w:val="00041D07"/>
    <w:rsid w:val="00041E93"/>
    <w:rsid w:val="00042733"/>
    <w:rsid w:val="000427C9"/>
    <w:rsid w:val="00042ADE"/>
    <w:rsid w:val="00043981"/>
    <w:rsid w:val="00043CB9"/>
    <w:rsid w:val="00044126"/>
    <w:rsid w:val="00044949"/>
    <w:rsid w:val="00044A13"/>
    <w:rsid w:val="00044DAB"/>
    <w:rsid w:val="0004540E"/>
    <w:rsid w:val="00045A65"/>
    <w:rsid w:val="00045BEA"/>
    <w:rsid w:val="00045E9E"/>
    <w:rsid w:val="00046146"/>
    <w:rsid w:val="00046779"/>
    <w:rsid w:val="00046986"/>
    <w:rsid w:val="00046A92"/>
    <w:rsid w:val="00046C2F"/>
    <w:rsid w:val="00046DA1"/>
    <w:rsid w:val="000474B8"/>
    <w:rsid w:val="00047CAE"/>
    <w:rsid w:val="00050394"/>
    <w:rsid w:val="00050A33"/>
    <w:rsid w:val="00050C6C"/>
    <w:rsid w:val="00050D72"/>
    <w:rsid w:val="00051106"/>
    <w:rsid w:val="000513D6"/>
    <w:rsid w:val="0005191C"/>
    <w:rsid w:val="00051B5E"/>
    <w:rsid w:val="00051CA2"/>
    <w:rsid w:val="00051EA8"/>
    <w:rsid w:val="00052039"/>
    <w:rsid w:val="000528A5"/>
    <w:rsid w:val="00052936"/>
    <w:rsid w:val="00052C31"/>
    <w:rsid w:val="00052EA4"/>
    <w:rsid w:val="000534E9"/>
    <w:rsid w:val="000536D4"/>
    <w:rsid w:val="0005475B"/>
    <w:rsid w:val="00054A64"/>
    <w:rsid w:val="00054D3E"/>
    <w:rsid w:val="00054D66"/>
    <w:rsid w:val="00054DBF"/>
    <w:rsid w:val="00055154"/>
    <w:rsid w:val="00055C37"/>
    <w:rsid w:val="00056061"/>
    <w:rsid w:val="000561AA"/>
    <w:rsid w:val="00056665"/>
    <w:rsid w:val="00056BE0"/>
    <w:rsid w:val="00056C66"/>
    <w:rsid w:val="00057320"/>
    <w:rsid w:val="000579A7"/>
    <w:rsid w:val="000579EA"/>
    <w:rsid w:val="00057A0F"/>
    <w:rsid w:val="00057A4B"/>
    <w:rsid w:val="00060300"/>
    <w:rsid w:val="00060369"/>
    <w:rsid w:val="000603B4"/>
    <w:rsid w:val="00060A54"/>
    <w:rsid w:val="00060F51"/>
    <w:rsid w:val="00061148"/>
    <w:rsid w:val="00061BFD"/>
    <w:rsid w:val="00061D58"/>
    <w:rsid w:val="00061E11"/>
    <w:rsid w:val="00061EBD"/>
    <w:rsid w:val="00062147"/>
    <w:rsid w:val="000629AD"/>
    <w:rsid w:val="00062A21"/>
    <w:rsid w:val="00062B23"/>
    <w:rsid w:val="00062B49"/>
    <w:rsid w:val="00062B82"/>
    <w:rsid w:val="0006305A"/>
    <w:rsid w:val="0006356C"/>
    <w:rsid w:val="0006366F"/>
    <w:rsid w:val="00063ACB"/>
    <w:rsid w:val="000647B2"/>
    <w:rsid w:val="00064CD0"/>
    <w:rsid w:val="00064CDD"/>
    <w:rsid w:val="00064E6D"/>
    <w:rsid w:val="00064F93"/>
    <w:rsid w:val="0006556C"/>
    <w:rsid w:val="00065B65"/>
    <w:rsid w:val="00065F42"/>
    <w:rsid w:val="0006638F"/>
    <w:rsid w:val="0006649B"/>
    <w:rsid w:val="000665EF"/>
    <w:rsid w:val="000673B3"/>
    <w:rsid w:val="00067C4A"/>
    <w:rsid w:val="00067D27"/>
    <w:rsid w:val="000702B7"/>
    <w:rsid w:val="0007067D"/>
    <w:rsid w:val="00070B59"/>
    <w:rsid w:val="00070D16"/>
    <w:rsid w:val="00070F58"/>
    <w:rsid w:val="00071615"/>
    <w:rsid w:val="00071AB5"/>
    <w:rsid w:val="000727FF"/>
    <w:rsid w:val="00072A1F"/>
    <w:rsid w:val="00072B95"/>
    <w:rsid w:val="00073174"/>
    <w:rsid w:val="000733BC"/>
    <w:rsid w:val="0007368B"/>
    <w:rsid w:val="00073A99"/>
    <w:rsid w:val="00073E73"/>
    <w:rsid w:val="00073EDA"/>
    <w:rsid w:val="00073F8A"/>
    <w:rsid w:val="0007401A"/>
    <w:rsid w:val="0007469B"/>
    <w:rsid w:val="00074F55"/>
    <w:rsid w:val="000751E3"/>
    <w:rsid w:val="0007589D"/>
    <w:rsid w:val="00075962"/>
    <w:rsid w:val="00075A85"/>
    <w:rsid w:val="00075BD0"/>
    <w:rsid w:val="00076423"/>
    <w:rsid w:val="000764FA"/>
    <w:rsid w:val="000766DD"/>
    <w:rsid w:val="00076D80"/>
    <w:rsid w:val="00076E5E"/>
    <w:rsid w:val="00077199"/>
    <w:rsid w:val="000773C3"/>
    <w:rsid w:val="00077915"/>
    <w:rsid w:val="00077FBB"/>
    <w:rsid w:val="00080370"/>
    <w:rsid w:val="0008044E"/>
    <w:rsid w:val="0008060E"/>
    <w:rsid w:val="00081D6B"/>
    <w:rsid w:val="00081DB5"/>
    <w:rsid w:val="000820D3"/>
    <w:rsid w:val="00082328"/>
    <w:rsid w:val="000825A8"/>
    <w:rsid w:val="0008294E"/>
    <w:rsid w:val="00082AD7"/>
    <w:rsid w:val="00082F32"/>
    <w:rsid w:val="00082FA8"/>
    <w:rsid w:val="00083030"/>
    <w:rsid w:val="000831D9"/>
    <w:rsid w:val="00083645"/>
    <w:rsid w:val="00083947"/>
    <w:rsid w:val="00083B2D"/>
    <w:rsid w:val="000841E6"/>
    <w:rsid w:val="00084457"/>
    <w:rsid w:val="000849AF"/>
    <w:rsid w:val="00085C27"/>
    <w:rsid w:val="00086527"/>
    <w:rsid w:val="0008677A"/>
    <w:rsid w:val="00086F1D"/>
    <w:rsid w:val="00087248"/>
    <w:rsid w:val="0008724D"/>
    <w:rsid w:val="00087974"/>
    <w:rsid w:val="00087AB5"/>
    <w:rsid w:val="00087B72"/>
    <w:rsid w:val="00087C4F"/>
    <w:rsid w:val="00087F3F"/>
    <w:rsid w:val="00090235"/>
    <w:rsid w:val="00090394"/>
    <w:rsid w:val="000906F1"/>
    <w:rsid w:val="000906F4"/>
    <w:rsid w:val="0009081C"/>
    <w:rsid w:val="00090EF3"/>
    <w:rsid w:val="0009118A"/>
    <w:rsid w:val="000911BD"/>
    <w:rsid w:val="000913F5"/>
    <w:rsid w:val="00091D14"/>
    <w:rsid w:val="00091D9E"/>
    <w:rsid w:val="00091DAD"/>
    <w:rsid w:val="00091F5F"/>
    <w:rsid w:val="00093537"/>
    <w:rsid w:val="0009394B"/>
    <w:rsid w:val="00094268"/>
    <w:rsid w:val="00094494"/>
    <w:rsid w:val="0009492F"/>
    <w:rsid w:val="00095248"/>
    <w:rsid w:val="00095BD8"/>
    <w:rsid w:val="00095FC2"/>
    <w:rsid w:val="0009623B"/>
    <w:rsid w:val="00096516"/>
    <w:rsid w:val="000967CF"/>
    <w:rsid w:val="00097455"/>
    <w:rsid w:val="00097A82"/>
    <w:rsid w:val="000A015D"/>
    <w:rsid w:val="000A040B"/>
    <w:rsid w:val="000A048C"/>
    <w:rsid w:val="000A0E1A"/>
    <w:rsid w:val="000A105F"/>
    <w:rsid w:val="000A1444"/>
    <w:rsid w:val="000A1E5F"/>
    <w:rsid w:val="000A1FF0"/>
    <w:rsid w:val="000A241E"/>
    <w:rsid w:val="000A25BF"/>
    <w:rsid w:val="000A2744"/>
    <w:rsid w:val="000A2CFE"/>
    <w:rsid w:val="000A3580"/>
    <w:rsid w:val="000A3673"/>
    <w:rsid w:val="000A36AD"/>
    <w:rsid w:val="000A37F9"/>
    <w:rsid w:val="000A394D"/>
    <w:rsid w:val="000A4508"/>
    <w:rsid w:val="000A5343"/>
    <w:rsid w:val="000A555E"/>
    <w:rsid w:val="000A5694"/>
    <w:rsid w:val="000A57A6"/>
    <w:rsid w:val="000A6520"/>
    <w:rsid w:val="000A6580"/>
    <w:rsid w:val="000A695F"/>
    <w:rsid w:val="000A6AF2"/>
    <w:rsid w:val="000A6B8D"/>
    <w:rsid w:val="000A7A40"/>
    <w:rsid w:val="000A7DCC"/>
    <w:rsid w:val="000B006E"/>
    <w:rsid w:val="000B00AB"/>
    <w:rsid w:val="000B062A"/>
    <w:rsid w:val="000B0735"/>
    <w:rsid w:val="000B076A"/>
    <w:rsid w:val="000B08BB"/>
    <w:rsid w:val="000B0A17"/>
    <w:rsid w:val="000B11E9"/>
    <w:rsid w:val="000B1D95"/>
    <w:rsid w:val="000B1D98"/>
    <w:rsid w:val="000B1F1D"/>
    <w:rsid w:val="000B21DF"/>
    <w:rsid w:val="000B27B0"/>
    <w:rsid w:val="000B2BE1"/>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3DF"/>
    <w:rsid w:val="000C179C"/>
    <w:rsid w:val="000C1A2C"/>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606D"/>
    <w:rsid w:val="000C6180"/>
    <w:rsid w:val="000C65BC"/>
    <w:rsid w:val="000C6CB7"/>
    <w:rsid w:val="000C7C7F"/>
    <w:rsid w:val="000D00E7"/>
    <w:rsid w:val="000D039C"/>
    <w:rsid w:val="000D03EF"/>
    <w:rsid w:val="000D0503"/>
    <w:rsid w:val="000D0913"/>
    <w:rsid w:val="000D16BF"/>
    <w:rsid w:val="000D1AD4"/>
    <w:rsid w:val="000D1FAC"/>
    <w:rsid w:val="000D205E"/>
    <w:rsid w:val="000D28FF"/>
    <w:rsid w:val="000D2D9C"/>
    <w:rsid w:val="000D2EC0"/>
    <w:rsid w:val="000D3510"/>
    <w:rsid w:val="000D3769"/>
    <w:rsid w:val="000D3D28"/>
    <w:rsid w:val="000D436F"/>
    <w:rsid w:val="000D50E4"/>
    <w:rsid w:val="000D52AE"/>
    <w:rsid w:val="000D556E"/>
    <w:rsid w:val="000D5859"/>
    <w:rsid w:val="000D59C5"/>
    <w:rsid w:val="000D605D"/>
    <w:rsid w:val="000D621F"/>
    <w:rsid w:val="000D6784"/>
    <w:rsid w:val="000D752A"/>
    <w:rsid w:val="000D756E"/>
    <w:rsid w:val="000E0840"/>
    <w:rsid w:val="000E0AF5"/>
    <w:rsid w:val="000E0BF3"/>
    <w:rsid w:val="000E0C64"/>
    <w:rsid w:val="000E1820"/>
    <w:rsid w:val="000E1B63"/>
    <w:rsid w:val="000E2529"/>
    <w:rsid w:val="000E2577"/>
    <w:rsid w:val="000E2AD1"/>
    <w:rsid w:val="000E2F62"/>
    <w:rsid w:val="000E3710"/>
    <w:rsid w:val="000E373B"/>
    <w:rsid w:val="000E3EF2"/>
    <w:rsid w:val="000E442F"/>
    <w:rsid w:val="000E4A4E"/>
    <w:rsid w:val="000E4BF3"/>
    <w:rsid w:val="000E4EC1"/>
    <w:rsid w:val="000E4F4D"/>
    <w:rsid w:val="000E54B5"/>
    <w:rsid w:val="000E5716"/>
    <w:rsid w:val="000E574E"/>
    <w:rsid w:val="000E59B0"/>
    <w:rsid w:val="000E5AF9"/>
    <w:rsid w:val="000E5F32"/>
    <w:rsid w:val="000E61F7"/>
    <w:rsid w:val="000E670F"/>
    <w:rsid w:val="000E68D4"/>
    <w:rsid w:val="000E6A08"/>
    <w:rsid w:val="000E6CEE"/>
    <w:rsid w:val="000E6FC7"/>
    <w:rsid w:val="000E70EF"/>
    <w:rsid w:val="000E7327"/>
    <w:rsid w:val="000E76AC"/>
    <w:rsid w:val="000E78F3"/>
    <w:rsid w:val="000F01AE"/>
    <w:rsid w:val="000F0828"/>
    <w:rsid w:val="000F0869"/>
    <w:rsid w:val="000F0BB8"/>
    <w:rsid w:val="000F0C89"/>
    <w:rsid w:val="000F0DE0"/>
    <w:rsid w:val="000F0FCE"/>
    <w:rsid w:val="000F0FEE"/>
    <w:rsid w:val="000F1295"/>
    <w:rsid w:val="000F1E4C"/>
    <w:rsid w:val="000F23F1"/>
    <w:rsid w:val="000F2731"/>
    <w:rsid w:val="000F2EFE"/>
    <w:rsid w:val="000F3331"/>
    <w:rsid w:val="000F3781"/>
    <w:rsid w:val="000F3D90"/>
    <w:rsid w:val="000F3F37"/>
    <w:rsid w:val="000F47A4"/>
    <w:rsid w:val="000F480F"/>
    <w:rsid w:val="000F4845"/>
    <w:rsid w:val="000F486F"/>
    <w:rsid w:val="000F4A6C"/>
    <w:rsid w:val="000F4AB7"/>
    <w:rsid w:val="000F51C8"/>
    <w:rsid w:val="000F524C"/>
    <w:rsid w:val="000F5E10"/>
    <w:rsid w:val="000F6848"/>
    <w:rsid w:val="000F6C9E"/>
    <w:rsid w:val="000F6F6F"/>
    <w:rsid w:val="000F7093"/>
    <w:rsid w:val="000F713F"/>
    <w:rsid w:val="000F790F"/>
    <w:rsid w:val="000F7CC6"/>
    <w:rsid w:val="000F7FFD"/>
    <w:rsid w:val="00100118"/>
    <w:rsid w:val="00100288"/>
    <w:rsid w:val="00100299"/>
    <w:rsid w:val="001002C5"/>
    <w:rsid w:val="001005F2"/>
    <w:rsid w:val="00100D7C"/>
    <w:rsid w:val="00100E58"/>
    <w:rsid w:val="001011D5"/>
    <w:rsid w:val="0010147A"/>
    <w:rsid w:val="00101A76"/>
    <w:rsid w:val="00101C15"/>
    <w:rsid w:val="00101FB4"/>
    <w:rsid w:val="001020CD"/>
    <w:rsid w:val="00102195"/>
    <w:rsid w:val="001026C8"/>
    <w:rsid w:val="0010330E"/>
    <w:rsid w:val="0010334F"/>
    <w:rsid w:val="001038E3"/>
    <w:rsid w:val="00103911"/>
    <w:rsid w:val="00103B70"/>
    <w:rsid w:val="00103CD7"/>
    <w:rsid w:val="00103E59"/>
    <w:rsid w:val="00103F58"/>
    <w:rsid w:val="0010434C"/>
    <w:rsid w:val="001051D2"/>
    <w:rsid w:val="001055D7"/>
    <w:rsid w:val="00105AD5"/>
    <w:rsid w:val="00105E53"/>
    <w:rsid w:val="00106BFC"/>
    <w:rsid w:val="00106D97"/>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31A0"/>
    <w:rsid w:val="001135A8"/>
    <w:rsid w:val="001136D8"/>
    <w:rsid w:val="00113CC2"/>
    <w:rsid w:val="00114256"/>
    <w:rsid w:val="0011426F"/>
    <w:rsid w:val="00114459"/>
    <w:rsid w:val="0011452E"/>
    <w:rsid w:val="00114583"/>
    <w:rsid w:val="00114D18"/>
    <w:rsid w:val="001152D7"/>
    <w:rsid w:val="00115549"/>
    <w:rsid w:val="00115B04"/>
    <w:rsid w:val="001163F2"/>
    <w:rsid w:val="00116526"/>
    <w:rsid w:val="001165D7"/>
    <w:rsid w:val="00116BB7"/>
    <w:rsid w:val="00116E85"/>
    <w:rsid w:val="00117401"/>
    <w:rsid w:val="001174B7"/>
    <w:rsid w:val="00117B58"/>
    <w:rsid w:val="00117E78"/>
    <w:rsid w:val="001201E1"/>
    <w:rsid w:val="0012073E"/>
    <w:rsid w:val="001207F7"/>
    <w:rsid w:val="00120E17"/>
    <w:rsid w:val="00120EF0"/>
    <w:rsid w:val="00120F4B"/>
    <w:rsid w:val="00121252"/>
    <w:rsid w:val="0012126C"/>
    <w:rsid w:val="00121727"/>
    <w:rsid w:val="00121AD5"/>
    <w:rsid w:val="00122036"/>
    <w:rsid w:val="001222FB"/>
    <w:rsid w:val="001224F5"/>
    <w:rsid w:val="00122577"/>
    <w:rsid w:val="001225DF"/>
    <w:rsid w:val="001231FC"/>
    <w:rsid w:val="00123318"/>
    <w:rsid w:val="00123AEE"/>
    <w:rsid w:val="0012429F"/>
    <w:rsid w:val="001247CC"/>
    <w:rsid w:val="00124923"/>
    <w:rsid w:val="00124A90"/>
    <w:rsid w:val="00125429"/>
    <w:rsid w:val="001255DD"/>
    <w:rsid w:val="00125663"/>
    <w:rsid w:val="00125DEA"/>
    <w:rsid w:val="00126101"/>
    <w:rsid w:val="0012671B"/>
    <w:rsid w:val="001267BC"/>
    <w:rsid w:val="00126D4F"/>
    <w:rsid w:val="00127064"/>
    <w:rsid w:val="00127405"/>
    <w:rsid w:val="00127A0E"/>
    <w:rsid w:val="00127B5A"/>
    <w:rsid w:val="001300CB"/>
    <w:rsid w:val="00130177"/>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7F8"/>
    <w:rsid w:val="00135DD6"/>
    <w:rsid w:val="0013687A"/>
    <w:rsid w:val="001370FE"/>
    <w:rsid w:val="00137174"/>
    <w:rsid w:val="0013782D"/>
    <w:rsid w:val="00137A9C"/>
    <w:rsid w:val="00137B64"/>
    <w:rsid w:val="00137B65"/>
    <w:rsid w:val="00137F91"/>
    <w:rsid w:val="0014048C"/>
    <w:rsid w:val="00140976"/>
    <w:rsid w:val="00140EBA"/>
    <w:rsid w:val="0014105A"/>
    <w:rsid w:val="0014105B"/>
    <w:rsid w:val="0014129D"/>
    <w:rsid w:val="001412A8"/>
    <w:rsid w:val="00141302"/>
    <w:rsid w:val="001417F2"/>
    <w:rsid w:val="00141B3C"/>
    <w:rsid w:val="00141D6A"/>
    <w:rsid w:val="00142002"/>
    <w:rsid w:val="001423BC"/>
    <w:rsid w:val="0014251E"/>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C40"/>
    <w:rsid w:val="00146ED0"/>
    <w:rsid w:val="001472F9"/>
    <w:rsid w:val="00147350"/>
    <w:rsid w:val="0014743E"/>
    <w:rsid w:val="00147563"/>
    <w:rsid w:val="00147D9F"/>
    <w:rsid w:val="0015008D"/>
    <w:rsid w:val="00150528"/>
    <w:rsid w:val="001508E3"/>
    <w:rsid w:val="00150E23"/>
    <w:rsid w:val="00151442"/>
    <w:rsid w:val="00151513"/>
    <w:rsid w:val="00151AD6"/>
    <w:rsid w:val="00152392"/>
    <w:rsid w:val="00152708"/>
    <w:rsid w:val="001528C3"/>
    <w:rsid w:val="00152EEA"/>
    <w:rsid w:val="00152EFB"/>
    <w:rsid w:val="0015340F"/>
    <w:rsid w:val="001535CE"/>
    <w:rsid w:val="00153655"/>
    <w:rsid w:val="00153EE5"/>
    <w:rsid w:val="00154192"/>
    <w:rsid w:val="00154A8C"/>
    <w:rsid w:val="00154FE1"/>
    <w:rsid w:val="0015597D"/>
    <w:rsid w:val="00155B20"/>
    <w:rsid w:val="00155B70"/>
    <w:rsid w:val="00155CDE"/>
    <w:rsid w:val="00156276"/>
    <w:rsid w:val="0015629C"/>
    <w:rsid w:val="00156896"/>
    <w:rsid w:val="00156CF1"/>
    <w:rsid w:val="00156D3B"/>
    <w:rsid w:val="0015720F"/>
    <w:rsid w:val="00157860"/>
    <w:rsid w:val="001578EC"/>
    <w:rsid w:val="001579C8"/>
    <w:rsid w:val="00157B2C"/>
    <w:rsid w:val="00157CBF"/>
    <w:rsid w:val="00157D45"/>
    <w:rsid w:val="001601CF"/>
    <w:rsid w:val="001601E3"/>
    <w:rsid w:val="00160330"/>
    <w:rsid w:val="001618FD"/>
    <w:rsid w:val="001619B0"/>
    <w:rsid w:val="00161B17"/>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653B"/>
    <w:rsid w:val="0016682A"/>
    <w:rsid w:val="00166A5A"/>
    <w:rsid w:val="00166F4E"/>
    <w:rsid w:val="00167657"/>
    <w:rsid w:val="001702D5"/>
    <w:rsid w:val="00170C56"/>
    <w:rsid w:val="00170CA6"/>
    <w:rsid w:val="00170CDF"/>
    <w:rsid w:val="00170D58"/>
    <w:rsid w:val="0017185E"/>
    <w:rsid w:val="001719F2"/>
    <w:rsid w:val="00171AA3"/>
    <w:rsid w:val="00171AA4"/>
    <w:rsid w:val="00171E6C"/>
    <w:rsid w:val="001720C0"/>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717"/>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2208"/>
    <w:rsid w:val="001823CE"/>
    <w:rsid w:val="00182B53"/>
    <w:rsid w:val="001833F5"/>
    <w:rsid w:val="00183AF9"/>
    <w:rsid w:val="00183CE5"/>
    <w:rsid w:val="00183DE7"/>
    <w:rsid w:val="00183EA6"/>
    <w:rsid w:val="00184859"/>
    <w:rsid w:val="001853DD"/>
    <w:rsid w:val="0018595D"/>
    <w:rsid w:val="00185A4B"/>
    <w:rsid w:val="00185A50"/>
    <w:rsid w:val="0018635A"/>
    <w:rsid w:val="00186513"/>
    <w:rsid w:val="0018678D"/>
    <w:rsid w:val="001868EC"/>
    <w:rsid w:val="001869DB"/>
    <w:rsid w:val="00187456"/>
    <w:rsid w:val="001877AC"/>
    <w:rsid w:val="00187982"/>
    <w:rsid w:val="00187A33"/>
    <w:rsid w:val="00187D86"/>
    <w:rsid w:val="0019026A"/>
    <w:rsid w:val="001911A0"/>
    <w:rsid w:val="00191462"/>
    <w:rsid w:val="00191BD2"/>
    <w:rsid w:val="00191E9B"/>
    <w:rsid w:val="00191FF4"/>
    <w:rsid w:val="00191FF9"/>
    <w:rsid w:val="00191FFB"/>
    <w:rsid w:val="00192163"/>
    <w:rsid w:val="00192CED"/>
    <w:rsid w:val="00192DCD"/>
    <w:rsid w:val="00192FC5"/>
    <w:rsid w:val="00193254"/>
    <w:rsid w:val="001932D9"/>
    <w:rsid w:val="00193504"/>
    <w:rsid w:val="001936A2"/>
    <w:rsid w:val="00193956"/>
    <w:rsid w:val="00193A59"/>
    <w:rsid w:val="00193ABA"/>
    <w:rsid w:val="001941EF"/>
    <w:rsid w:val="001941FE"/>
    <w:rsid w:val="0019426F"/>
    <w:rsid w:val="001945A9"/>
    <w:rsid w:val="001947C7"/>
    <w:rsid w:val="00194842"/>
    <w:rsid w:val="00194961"/>
    <w:rsid w:val="00195140"/>
    <w:rsid w:val="0019517E"/>
    <w:rsid w:val="00195331"/>
    <w:rsid w:val="001957E1"/>
    <w:rsid w:val="001958D7"/>
    <w:rsid w:val="00195A65"/>
    <w:rsid w:val="00195C42"/>
    <w:rsid w:val="00196346"/>
    <w:rsid w:val="00196513"/>
    <w:rsid w:val="00196657"/>
    <w:rsid w:val="00196BF3"/>
    <w:rsid w:val="00196E26"/>
    <w:rsid w:val="0019706E"/>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2E42"/>
    <w:rsid w:val="001A3753"/>
    <w:rsid w:val="001A3A7F"/>
    <w:rsid w:val="001A3D8C"/>
    <w:rsid w:val="001A3EF1"/>
    <w:rsid w:val="001A3FF1"/>
    <w:rsid w:val="001A4422"/>
    <w:rsid w:val="001A52FF"/>
    <w:rsid w:val="001A5786"/>
    <w:rsid w:val="001A5942"/>
    <w:rsid w:val="001A5C13"/>
    <w:rsid w:val="001A5F35"/>
    <w:rsid w:val="001A5FDF"/>
    <w:rsid w:val="001A6378"/>
    <w:rsid w:val="001A67C9"/>
    <w:rsid w:val="001A6A96"/>
    <w:rsid w:val="001A6C6D"/>
    <w:rsid w:val="001A7245"/>
    <w:rsid w:val="001A72F2"/>
    <w:rsid w:val="001A74C3"/>
    <w:rsid w:val="001A7598"/>
    <w:rsid w:val="001A75C2"/>
    <w:rsid w:val="001A7617"/>
    <w:rsid w:val="001A7ADD"/>
    <w:rsid w:val="001B0238"/>
    <w:rsid w:val="001B09ED"/>
    <w:rsid w:val="001B12F5"/>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3085"/>
    <w:rsid w:val="001B36B2"/>
    <w:rsid w:val="001B413A"/>
    <w:rsid w:val="001B42D7"/>
    <w:rsid w:val="001B435C"/>
    <w:rsid w:val="001B4678"/>
    <w:rsid w:val="001B4762"/>
    <w:rsid w:val="001B4FF3"/>
    <w:rsid w:val="001B53E2"/>
    <w:rsid w:val="001B5415"/>
    <w:rsid w:val="001B556F"/>
    <w:rsid w:val="001B58BD"/>
    <w:rsid w:val="001B5923"/>
    <w:rsid w:val="001B5C50"/>
    <w:rsid w:val="001B5D52"/>
    <w:rsid w:val="001B621E"/>
    <w:rsid w:val="001B6680"/>
    <w:rsid w:val="001B6745"/>
    <w:rsid w:val="001B676B"/>
    <w:rsid w:val="001B744E"/>
    <w:rsid w:val="001B78E6"/>
    <w:rsid w:val="001B7F5D"/>
    <w:rsid w:val="001C00DF"/>
    <w:rsid w:val="001C04F0"/>
    <w:rsid w:val="001C05CD"/>
    <w:rsid w:val="001C1755"/>
    <w:rsid w:val="001C196E"/>
    <w:rsid w:val="001C1BE0"/>
    <w:rsid w:val="001C1D4A"/>
    <w:rsid w:val="001C2367"/>
    <w:rsid w:val="001C2570"/>
    <w:rsid w:val="001C2BEF"/>
    <w:rsid w:val="001C2ED3"/>
    <w:rsid w:val="001C3550"/>
    <w:rsid w:val="001C41EC"/>
    <w:rsid w:val="001C4876"/>
    <w:rsid w:val="001C4ECE"/>
    <w:rsid w:val="001C5302"/>
    <w:rsid w:val="001C53BD"/>
    <w:rsid w:val="001C5582"/>
    <w:rsid w:val="001C5A5A"/>
    <w:rsid w:val="001C5B0B"/>
    <w:rsid w:val="001C5C7A"/>
    <w:rsid w:val="001C60CA"/>
    <w:rsid w:val="001C61BB"/>
    <w:rsid w:val="001C6BB9"/>
    <w:rsid w:val="001C6DE1"/>
    <w:rsid w:val="001C7088"/>
    <w:rsid w:val="001C7293"/>
    <w:rsid w:val="001C734F"/>
    <w:rsid w:val="001C7600"/>
    <w:rsid w:val="001C776B"/>
    <w:rsid w:val="001D01A9"/>
    <w:rsid w:val="001D0336"/>
    <w:rsid w:val="001D044C"/>
    <w:rsid w:val="001D067E"/>
    <w:rsid w:val="001D0FDA"/>
    <w:rsid w:val="001D12BD"/>
    <w:rsid w:val="001D159B"/>
    <w:rsid w:val="001D1D07"/>
    <w:rsid w:val="001D1DCA"/>
    <w:rsid w:val="001D1E64"/>
    <w:rsid w:val="001D2239"/>
    <w:rsid w:val="001D282B"/>
    <w:rsid w:val="001D28CC"/>
    <w:rsid w:val="001D2930"/>
    <w:rsid w:val="001D3099"/>
    <w:rsid w:val="001D30C8"/>
    <w:rsid w:val="001D35EE"/>
    <w:rsid w:val="001D38CA"/>
    <w:rsid w:val="001D3AE2"/>
    <w:rsid w:val="001D41E0"/>
    <w:rsid w:val="001D4CCD"/>
    <w:rsid w:val="001D52A3"/>
    <w:rsid w:val="001D57F2"/>
    <w:rsid w:val="001D5A44"/>
    <w:rsid w:val="001D5B61"/>
    <w:rsid w:val="001D5D30"/>
    <w:rsid w:val="001D606D"/>
    <w:rsid w:val="001D632C"/>
    <w:rsid w:val="001D6350"/>
    <w:rsid w:val="001D6462"/>
    <w:rsid w:val="001D69B4"/>
    <w:rsid w:val="001D6C48"/>
    <w:rsid w:val="001D7065"/>
    <w:rsid w:val="001D73E6"/>
    <w:rsid w:val="001D76B1"/>
    <w:rsid w:val="001D7C26"/>
    <w:rsid w:val="001E05B7"/>
    <w:rsid w:val="001E1AD5"/>
    <w:rsid w:val="001E24AA"/>
    <w:rsid w:val="001E26E6"/>
    <w:rsid w:val="001E2F79"/>
    <w:rsid w:val="001E3272"/>
    <w:rsid w:val="001E3552"/>
    <w:rsid w:val="001E39E4"/>
    <w:rsid w:val="001E3B68"/>
    <w:rsid w:val="001E4030"/>
    <w:rsid w:val="001E4CD0"/>
    <w:rsid w:val="001E4ECA"/>
    <w:rsid w:val="001E514D"/>
    <w:rsid w:val="001E5211"/>
    <w:rsid w:val="001E56A1"/>
    <w:rsid w:val="001E59C8"/>
    <w:rsid w:val="001E5CE9"/>
    <w:rsid w:val="001E6564"/>
    <w:rsid w:val="001E67C8"/>
    <w:rsid w:val="001E6F4F"/>
    <w:rsid w:val="001E7099"/>
    <w:rsid w:val="001E70D1"/>
    <w:rsid w:val="001E7210"/>
    <w:rsid w:val="001E7438"/>
    <w:rsid w:val="001E7B1A"/>
    <w:rsid w:val="001E7E67"/>
    <w:rsid w:val="001F0059"/>
    <w:rsid w:val="001F02F6"/>
    <w:rsid w:val="001F07C2"/>
    <w:rsid w:val="001F08D0"/>
    <w:rsid w:val="001F08E0"/>
    <w:rsid w:val="001F09DE"/>
    <w:rsid w:val="001F0FDC"/>
    <w:rsid w:val="001F15AE"/>
    <w:rsid w:val="001F18FD"/>
    <w:rsid w:val="001F1C45"/>
    <w:rsid w:val="001F21B9"/>
    <w:rsid w:val="001F2485"/>
    <w:rsid w:val="001F2567"/>
    <w:rsid w:val="001F2576"/>
    <w:rsid w:val="001F2A91"/>
    <w:rsid w:val="001F2CA4"/>
    <w:rsid w:val="001F2DFB"/>
    <w:rsid w:val="001F3154"/>
    <w:rsid w:val="001F31DD"/>
    <w:rsid w:val="001F3EB9"/>
    <w:rsid w:val="001F3F6F"/>
    <w:rsid w:val="001F419C"/>
    <w:rsid w:val="001F4FE7"/>
    <w:rsid w:val="001F516E"/>
    <w:rsid w:val="001F539F"/>
    <w:rsid w:val="001F5814"/>
    <w:rsid w:val="001F5B3C"/>
    <w:rsid w:val="001F5BCA"/>
    <w:rsid w:val="001F6894"/>
    <w:rsid w:val="001F6DE6"/>
    <w:rsid w:val="001F6F5A"/>
    <w:rsid w:val="001F70EA"/>
    <w:rsid w:val="001F7E9E"/>
    <w:rsid w:val="001F7F0A"/>
    <w:rsid w:val="002003A5"/>
    <w:rsid w:val="0020063C"/>
    <w:rsid w:val="002008B5"/>
    <w:rsid w:val="00200A59"/>
    <w:rsid w:val="002011DB"/>
    <w:rsid w:val="00201789"/>
    <w:rsid w:val="00201886"/>
    <w:rsid w:val="002018B4"/>
    <w:rsid w:val="00201B87"/>
    <w:rsid w:val="00201BE0"/>
    <w:rsid w:val="00201C13"/>
    <w:rsid w:val="00201E5E"/>
    <w:rsid w:val="00202D7A"/>
    <w:rsid w:val="0020321C"/>
    <w:rsid w:val="00203777"/>
    <w:rsid w:val="002037F3"/>
    <w:rsid w:val="00203859"/>
    <w:rsid w:val="00203A87"/>
    <w:rsid w:val="00203C6E"/>
    <w:rsid w:val="00203CE7"/>
    <w:rsid w:val="00203E18"/>
    <w:rsid w:val="00203F13"/>
    <w:rsid w:val="0020430C"/>
    <w:rsid w:val="0020465B"/>
    <w:rsid w:val="002049B7"/>
    <w:rsid w:val="00204F71"/>
    <w:rsid w:val="002054FB"/>
    <w:rsid w:val="00205532"/>
    <w:rsid w:val="00205CB2"/>
    <w:rsid w:val="00206016"/>
    <w:rsid w:val="00206461"/>
    <w:rsid w:val="00206743"/>
    <w:rsid w:val="00206901"/>
    <w:rsid w:val="00206B26"/>
    <w:rsid w:val="00207360"/>
    <w:rsid w:val="0020762C"/>
    <w:rsid w:val="00207B67"/>
    <w:rsid w:val="00210A3D"/>
    <w:rsid w:val="00210FB5"/>
    <w:rsid w:val="00210FD2"/>
    <w:rsid w:val="00212261"/>
    <w:rsid w:val="0021246E"/>
    <w:rsid w:val="00212B63"/>
    <w:rsid w:val="00212D2F"/>
    <w:rsid w:val="00213289"/>
    <w:rsid w:val="002133F3"/>
    <w:rsid w:val="002137C5"/>
    <w:rsid w:val="00213CB7"/>
    <w:rsid w:val="00213E11"/>
    <w:rsid w:val="002147FF"/>
    <w:rsid w:val="0021494F"/>
    <w:rsid w:val="00214A30"/>
    <w:rsid w:val="00214D47"/>
    <w:rsid w:val="00214E04"/>
    <w:rsid w:val="00215160"/>
    <w:rsid w:val="0021519E"/>
    <w:rsid w:val="00215201"/>
    <w:rsid w:val="002155DB"/>
    <w:rsid w:val="00215631"/>
    <w:rsid w:val="00215D5D"/>
    <w:rsid w:val="00215D9E"/>
    <w:rsid w:val="00216470"/>
    <w:rsid w:val="00216893"/>
    <w:rsid w:val="002169B7"/>
    <w:rsid w:val="00216A2B"/>
    <w:rsid w:val="00216B3E"/>
    <w:rsid w:val="00216D65"/>
    <w:rsid w:val="002170FF"/>
    <w:rsid w:val="00217D57"/>
    <w:rsid w:val="002201B0"/>
    <w:rsid w:val="00220990"/>
    <w:rsid w:val="002211A4"/>
    <w:rsid w:val="00221960"/>
    <w:rsid w:val="00222736"/>
    <w:rsid w:val="00222782"/>
    <w:rsid w:val="002227D7"/>
    <w:rsid w:val="00222A6E"/>
    <w:rsid w:val="00223228"/>
    <w:rsid w:val="00223288"/>
    <w:rsid w:val="00223426"/>
    <w:rsid w:val="0022392F"/>
    <w:rsid w:val="002239B6"/>
    <w:rsid w:val="00223C5B"/>
    <w:rsid w:val="00223DA3"/>
    <w:rsid w:val="00223EBC"/>
    <w:rsid w:val="00224675"/>
    <w:rsid w:val="0022483C"/>
    <w:rsid w:val="00224852"/>
    <w:rsid w:val="00224AA9"/>
    <w:rsid w:val="002251E0"/>
    <w:rsid w:val="002252C8"/>
    <w:rsid w:val="00225397"/>
    <w:rsid w:val="00225B19"/>
    <w:rsid w:val="00225B7F"/>
    <w:rsid w:val="0022604D"/>
    <w:rsid w:val="0022689C"/>
    <w:rsid w:val="00226947"/>
    <w:rsid w:val="00226C19"/>
    <w:rsid w:val="0022755E"/>
    <w:rsid w:val="002275FE"/>
    <w:rsid w:val="00227F82"/>
    <w:rsid w:val="002301CE"/>
    <w:rsid w:val="0023060B"/>
    <w:rsid w:val="0023101E"/>
    <w:rsid w:val="00231024"/>
    <w:rsid w:val="002319B5"/>
    <w:rsid w:val="00231F8C"/>
    <w:rsid w:val="002324B5"/>
    <w:rsid w:val="002327AA"/>
    <w:rsid w:val="002329A3"/>
    <w:rsid w:val="00232D66"/>
    <w:rsid w:val="002330C0"/>
    <w:rsid w:val="002332D6"/>
    <w:rsid w:val="00233614"/>
    <w:rsid w:val="00233708"/>
    <w:rsid w:val="0023567C"/>
    <w:rsid w:val="002356E7"/>
    <w:rsid w:val="002359A0"/>
    <w:rsid w:val="0023612A"/>
    <w:rsid w:val="002361F8"/>
    <w:rsid w:val="00236801"/>
    <w:rsid w:val="002369E8"/>
    <w:rsid w:val="00236A4B"/>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BF9"/>
    <w:rsid w:val="00244C40"/>
    <w:rsid w:val="0024504E"/>
    <w:rsid w:val="002450F9"/>
    <w:rsid w:val="00245593"/>
    <w:rsid w:val="00245A34"/>
    <w:rsid w:val="002468B8"/>
    <w:rsid w:val="00246BC1"/>
    <w:rsid w:val="00246E21"/>
    <w:rsid w:val="00247723"/>
    <w:rsid w:val="002477F5"/>
    <w:rsid w:val="00247877"/>
    <w:rsid w:val="00250091"/>
    <w:rsid w:val="002500F7"/>
    <w:rsid w:val="00250792"/>
    <w:rsid w:val="00250CAA"/>
    <w:rsid w:val="00250EF8"/>
    <w:rsid w:val="00251199"/>
    <w:rsid w:val="0025136B"/>
    <w:rsid w:val="00251749"/>
    <w:rsid w:val="00251C05"/>
    <w:rsid w:val="00251E33"/>
    <w:rsid w:val="00251FE8"/>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1199"/>
    <w:rsid w:val="00261A89"/>
    <w:rsid w:val="002624BC"/>
    <w:rsid w:val="00263D22"/>
    <w:rsid w:val="0026465E"/>
    <w:rsid w:val="00264C84"/>
    <w:rsid w:val="00264E53"/>
    <w:rsid w:val="0026518C"/>
    <w:rsid w:val="002651A6"/>
    <w:rsid w:val="00265D33"/>
    <w:rsid w:val="00265F71"/>
    <w:rsid w:val="0026670E"/>
    <w:rsid w:val="00266768"/>
    <w:rsid w:val="002667E3"/>
    <w:rsid w:val="00266A39"/>
    <w:rsid w:val="00266B8B"/>
    <w:rsid w:val="00266CBB"/>
    <w:rsid w:val="00267995"/>
    <w:rsid w:val="00270123"/>
    <w:rsid w:val="00270A21"/>
    <w:rsid w:val="00270CB2"/>
    <w:rsid w:val="00270E4F"/>
    <w:rsid w:val="00270F6C"/>
    <w:rsid w:val="00271A6E"/>
    <w:rsid w:val="002721F1"/>
    <w:rsid w:val="00272536"/>
    <w:rsid w:val="0027263C"/>
    <w:rsid w:val="00272A20"/>
    <w:rsid w:val="00272D47"/>
    <w:rsid w:val="002735F7"/>
    <w:rsid w:val="002738A4"/>
    <w:rsid w:val="00273914"/>
    <w:rsid w:val="0027399A"/>
    <w:rsid w:val="00273AF7"/>
    <w:rsid w:val="00274373"/>
    <w:rsid w:val="00274AAE"/>
    <w:rsid w:val="00274BCB"/>
    <w:rsid w:val="00274BE0"/>
    <w:rsid w:val="00274D3A"/>
    <w:rsid w:val="00275255"/>
    <w:rsid w:val="00275351"/>
    <w:rsid w:val="002761E3"/>
    <w:rsid w:val="002768DF"/>
    <w:rsid w:val="00276916"/>
    <w:rsid w:val="00276B89"/>
    <w:rsid w:val="00276C91"/>
    <w:rsid w:val="00277017"/>
    <w:rsid w:val="002770D0"/>
    <w:rsid w:val="0027727C"/>
    <w:rsid w:val="0027787F"/>
    <w:rsid w:val="00277A6C"/>
    <w:rsid w:val="00277E33"/>
    <w:rsid w:val="0028077E"/>
    <w:rsid w:val="0028080B"/>
    <w:rsid w:val="00280A5C"/>
    <w:rsid w:val="00280C7A"/>
    <w:rsid w:val="00280D63"/>
    <w:rsid w:val="002816C6"/>
    <w:rsid w:val="00282302"/>
    <w:rsid w:val="002823CC"/>
    <w:rsid w:val="002824D9"/>
    <w:rsid w:val="00282651"/>
    <w:rsid w:val="002829CE"/>
    <w:rsid w:val="00282B0B"/>
    <w:rsid w:val="0028316F"/>
    <w:rsid w:val="0028333B"/>
    <w:rsid w:val="0028364C"/>
    <w:rsid w:val="00283674"/>
    <w:rsid w:val="00283AD7"/>
    <w:rsid w:val="00284002"/>
    <w:rsid w:val="00284274"/>
    <w:rsid w:val="0028436E"/>
    <w:rsid w:val="00284450"/>
    <w:rsid w:val="002844B3"/>
    <w:rsid w:val="002846E4"/>
    <w:rsid w:val="00284743"/>
    <w:rsid w:val="00284BA2"/>
    <w:rsid w:val="00284DD6"/>
    <w:rsid w:val="002851FE"/>
    <w:rsid w:val="00285320"/>
    <w:rsid w:val="002853D9"/>
    <w:rsid w:val="00285A47"/>
    <w:rsid w:val="00285EC2"/>
    <w:rsid w:val="0028634B"/>
    <w:rsid w:val="002866BC"/>
    <w:rsid w:val="00286AB1"/>
    <w:rsid w:val="00286F65"/>
    <w:rsid w:val="00287B12"/>
    <w:rsid w:val="00290AD9"/>
    <w:rsid w:val="00290AF1"/>
    <w:rsid w:val="00290C26"/>
    <w:rsid w:val="00291B17"/>
    <w:rsid w:val="00291E72"/>
    <w:rsid w:val="00292339"/>
    <w:rsid w:val="00292E04"/>
    <w:rsid w:val="00293187"/>
    <w:rsid w:val="0029351C"/>
    <w:rsid w:val="00293541"/>
    <w:rsid w:val="00293871"/>
    <w:rsid w:val="00293B0E"/>
    <w:rsid w:val="00294CEF"/>
    <w:rsid w:val="00294E06"/>
    <w:rsid w:val="002958CF"/>
    <w:rsid w:val="00295B5D"/>
    <w:rsid w:val="00295BF6"/>
    <w:rsid w:val="00295D28"/>
    <w:rsid w:val="00296221"/>
    <w:rsid w:val="00296DA3"/>
    <w:rsid w:val="00297526"/>
    <w:rsid w:val="00297C90"/>
    <w:rsid w:val="00297F41"/>
    <w:rsid w:val="00297FB3"/>
    <w:rsid w:val="002A001B"/>
    <w:rsid w:val="002A00AB"/>
    <w:rsid w:val="002A023D"/>
    <w:rsid w:val="002A0297"/>
    <w:rsid w:val="002A047A"/>
    <w:rsid w:val="002A07E9"/>
    <w:rsid w:val="002A1C98"/>
    <w:rsid w:val="002A2739"/>
    <w:rsid w:val="002A2DA0"/>
    <w:rsid w:val="002A34CE"/>
    <w:rsid w:val="002A3673"/>
    <w:rsid w:val="002A3674"/>
    <w:rsid w:val="002A3775"/>
    <w:rsid w:val="002A381D"/>
    <w:rsid w:val="002A38C5"/>
    <w:rsid w:val="002A3DDF"/>
    <w:rsid w:val="002A4385"/>
    <w:rsid w:val="002A4681"/>
    <w:rsid w:val="002A4D82"/>
    <w:rsid w:val="002A4E22"/>
    <w:rsid w:val="002A4FA7"/>
    <w:rsid w:val="002A54B6"/>
    <w:rsid w:val="002A5723"/>
    <w:rsid w:val="002A57CD"/>
    <w:rsid w:val="002A5B9C"/>
    <w:rsid w:val="002A679C"/>
    <w:rsid w:val="002A7667"/>
    <w:rsid w:val="002A766F"/>
    <w:rsid w:val="002A7901"/>
    <w:rsid w:val="002A7D88"/>
    <w:rsid w:val="002B02DE"/>
    <w:rsid w:val="002B030A"/>
    <w:rsid w:val="002B0CC5"/>
    <w:rsid w:val="002B1046"/>
    <w:rsid w:val="002B1119"/>
    <w:rsid w:val="002B132D"/>
    <w:rsid w:val="002B1376"/>
    <w:rsid w:val="002B1394"/>
    <w:rsid w:val="002B19AF"/>
    <w:rsid w:val="002B240B"/>
    <w:rsid w:val="002B2603"/>
    <w:rsid w:val="002B27E8"/>
    <w:rsid w:val="002B2CC7"/>
    <w:rsid w:val="002B2E85"/>
    <w:rsid w:val="002B3447"/>
    <w:rsid w:val="002B3627"/>
    <w:rsid w:val="002B3BCE"/>
    <w:rsid w:val="002B43C4"/>
    <w:rsid w:val="002B440F"/>
    <w:rsid w:val="002B4F07"/>
    <w:rsid w:val="002B58EF"/>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2E1F"/>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158"/>
    <w:rsid w:val="002C7688"/>
    <w:rsid w:val="002C7858"/>
    <w:rsid w:val="002C7BFA"/>
    <w:rsid w:val="002C7C47"/>
    <w:rsid w:val="002C7D56"/>
    <w:rsid w:val="002C7EC2"/>
    <w:rsid w:val="002C7FDC"/>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7091"/>
    <w:rsid w:val="002D7262"/>
    <w:rsid w:val="002D7266"/>
    <w:rsid w:val="002D72B9"/>
    <w:rsid w:val="002D7954"/>
    <w:rsid w:val="002E000E"/>
    <w:rsid w:val="002E0464"/>
    <w:rsid w:val="002E096B"/>
    <w:rsid w:val="002E10D9"/>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3E11"/>
    <w:rsid w:val="002E4263"/>
    <w:rsid w:val="002E44B1"/>
    <w:rsid w:val="002E46E5"/>
    <w:rsid w:val="002E4B52"/>
    <w:rsid w:val="002E4FCC"/>
    <w:rsid w:val="002E5878"/>
    <w:rsid w:val="002E593D"/>
    <w:rsid w:val="002E5B21"/>
    <w:rsid w:val="002E5E02"/>
    <w:rsid w:val="002E68CC"/>
    <w:rsid w:val="002E6A5E"/>
    <w:rsid w:val="002E6BE6"/>
    <w:rsid w:val="002E6F59"/>
    <w:rsid w:val="002E72EB"/>
    <w:rsid w:val="002E746C"/>
    <w:rsid w:val="002E7824"/>
    <w:rsid w:val="002E7B04"/>
    <w:rsid w:val="002F0541"/>
    <w:rsid w:val="002F05B0"/>
    <w:rsid w:val="002F095A"/>
    <w:rsid w:val="002F0A0E"/>
    <w:rsid w:val="002F13F5"/>
    <w:rsid w:val="002F159B"/>
    <w:rsid w:val="002F1646"/>
    <w:rsid w:val="002F1CA2"/>
    <w:rsid w:val="002F1CFC"/>
    <w:rsid w:val="002F1F90"/>
    <w:rsid w:val="002F317C"/>
    <w:rsid w:val="002F36C0"/>
    <w:rsid w:val="002F3EEA"/>
    <w:rsid w:val="002F42BE"/>
    <w:rsid w:val="002F459E"/>
    <w:rsid w:val="002F480E"/>
    <w:rsid w:val="002F487C"/>
    <w:rsid w:val="002F4A9D"/>
    <w:rsid w:val="002F4EA1"/>
    <w:rsid w:val="002F52B9"/>
    <w:rsid w:val="002F56BA"/>
    <w:rsid w:val="002F645C"/>
    <w:rsid w:val="002F655B"/>
    <w:rsid w:val="002F6D09"/>
    <w:rsid w:val="002F6F7B"/>
    <w:rsid w:val="002F749A"/>
    <w:rsid w:val="002F787E"/>
    <w:rsid w:val="002F7E43"/>
    <w:rsid w:val="00300065"/>
    <w:rsid w:val="00300440"/>
    <w:rsid w:val="0030084A"/>
    <w:rsid w:val="00300D30"/>
    <w:rsid w:val="00300F5E"/>
    <w:rsid w:val="003016DF"/>
    <w:rsid w:val="003019C7"/>
    <w:rsid w:val="0030207B"/>
    <w:rsid w:val="00302472"/>
    <w:rsid w:val="00302619"/>
    <w:rsid w:val="003029BB"/>
    <w:rsid w:val="00302F0A"/>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A13"/>
    <w:rsid w:val="00305F23"/>
    <w:rsid w:val="00305F46"/>
    <w:rsid w:val="00306192"/>
    <w:rsid w:val="003066B3"/>
    <w:rsid w:val="00306A4C"/>
    <w:rsid w:val="00306DDE"/>
    <w:rsid w:val="00307B80"/>
    <w:rsid w:val="00307CE8"/>
    <w:rsid w:val="00307CEA"/>
    <w:rsid w:val="0031009A"/>
    <w:rsid w:val="003102D1"/>
    <w:rsid w:val="00310806"/>
    <w:rsid w:val="00310BF3"/>
    <w:rsid w:val="00310E41"/>
    <w:rsid w:val="00310EAA"/>
    <w:rsid w:val="003115E3"/>
    <w:rsid w:val="003117EA"/>
    <w:rsid w:val="0031180C"/>
    <w:rsid w:val="003130BF"/>
    <w:rsid w:val="003131A4"/>
    <w:rsid w:val="003131E3"/>
    <w:rsid w:val="003134C2"/>
    <w:rsid w:val="00313505"/>
    <w:rsid w:val="00313755"/>
    <w:rsid w:val="0031395F"/>
    <w:rsid w:val="00313A16"/>
    <w:rsid w:val="00313E7E"/>
    <w:rsid w:val="00314059"/>
    <w:rsid w:val="00314C4E"/>
    <w:rsid w:val="00315129"/>
    <w:rsid w:val="003152E6"/>
    <w:rsid w:val="00315635"/>
    <w:rsid w:val="003156E0"/>
    <w:rsid w:val="003158F0"/>
    <w:rsid w:val="00316011"/>
    <w:rsid w:val="00316234"/>
    <w:rsid w:val="003167FE"/>
    <w:rsid w:val="00316C93"/>
    <w:rsid w:val="00316D24"/>
    <w:rsid w:val="00317148"/>
    <w:rsid w:val="00317665"/>
    <w:rsid w:val="00317D28"/>
    <w:rsid w:val="00317FC8"/>
    <w:rsid w:val="00320A37"/>
    <w:rsid w:val="00320E76"/>
    <w:rsid w:val="003210A6"/>
    <w:rsid w:val="003210EC"/>
    <w:rsid w:val="0032120A"/>
    <w:rsid w:val="00321CED"/>
    <w:rsid w:val="00322201"/>
    <w:rsid w:val="003222E4"/>
    <w:rsid w:val="003223ED"/>
    <w:rsid w:val="00322A53"/>
    <w:rsid w:val="00322E10"/>
    <w:rsid w:val="00322F3F"/>
    <w:rsid w:val="003234D5"/>
    <w:rsid w:val="0032352F"/>
    <w:rsid w:val="003236D8"/>
    <w:rsid w:val="00323B70"/>
    <w:rsid w:val="00323E67"/>
    <w:rsid w:val="00323E92"/>
    <w:rsid w:val="00324313"/>
    <w:rsid w:val="0032483B"/>
    <w:rsid w:val="003258B9"/>
    <w:rsid w:val="00325BB1"/>
    <w:rsid w:val="0032602B"/>
    <w:rsid w:val="0032628A"/>
    <w:rsid w:val="003268DC"/>
    <w:rsid w:val="00326B54"/>
    <w:rsid w:val="00326E56"/>
    <w:rsid w:val="00326E7F"/>
    <w:rsid w:val="00327A24"/>
    <w:rsid w:val="00327AD1"/>
    <w:rsid w:val="003303F8"/>
    <w:rsid w:val="00330C74"/>
    <w:rsid w:val="00330CF7"/>
    <w:rsid w:val="00330DBE"/>
    <w:rsid w:val="003314C7"/>
    <w:rsid w:val="00331AEB"/>
    <w:rsid w:val="00331D86"/>
    <w:rsid w:val="00331F92"/>
    <w:rsid w:val="0033253B"/>
    <w:rsid w:val="00332A3C"/>
    <w:rsid w:val="00332A88"/>
    <w:rsid w:val="00332F8F"/>
    <w:rsid w:val="00333027"/>
    <w:rsid w:val="00333446"/>
    <w:rsid w:val="00333587"/>
    <w:rsid w:val="00333908"/>
    <w:rsid w:val="00333C52"/>
    <w:rsid w:val="00333EFA"/>
    <w:rsid w:val="0033417F"/>
    <w:rsid w:val="003348EE"/>
    <w:rsid w:val="00334EDE"/>
    <w:rsid w:val="003350FE"/>
    <w:rsid w:val="0033514A"/>
    <w:rsid w:val="00335572"/>
    <w:rsid w:val="003357AC"/>
    <w:rsid w:val="0033586A"/>
    <w:rsid w:val="00335E4B"/>
    <w:rsid w:val="00335FFF"/>
    <w:rsid w:val="0033607E"/>
    <w:rsid w:val="0033609C"/>
    <w:rsid w:val="003361E9"/>
    <w:rsid w:val="00336344"/>
    <w:rsid w:val="00336676"/>
    <w:rsid w:val="0033683D"/>
    <w:rsid w:val="003368E6"/>
    <w:rsid w:val="00336D09"/>
    <w:rsid w:val="003400C3"/>
    <w:rsid w:val="00340162"/>
    <w:rsid w:val="003403A7"/>
    <w:rsid w:val="003403C1"/>
    <w:rsid w:val="003406C5"/>
    <w:rsid w:val="00340FF1"/>
    <w:rsid w:val="00341336"/>
    <w:rsid w:val="003414FD"/>
    <w:rsid w:val="003417AB"/>
    <w:rsid w:val="00341B94"/>
    <w:rsid w:val="00342031"/>
    <w:rsid w:val="003422AA"/>
    <w:rsid w:val="003422EA"/>
    <w:rsid w:val="00342319"/>
    <w:rsid w:val="0034238D"/>
    <w:rsid w:val="0034268D"/>
    <w:rsid w:val="00342FC3"/>
    <w:rsid w:val="00342FE6"/>
    <w:rsid w:val="00343616"/>
    <w:rsid w:val="00343903"/>
    <w:rsid w:val="00343BF8"/>
    <w:rsid w:val="00343EB8"/>
    <w:rsid w:val="0034465D"/>
    <w:rsid w:val="003447FE"/>
    <w:rsid w:val="0034504C"/>
    <w:rsid w:val="0034528E"/>
    <w:rsid w:val="00345A7B"/>
    <w:rsid w:val="00345C0B"/>
    <w:rsid w:val="003461DC"/>
    <w:rsid w:val="0034646A"/>
    <w:rsid w:val="003464D5"/>
    <w:rsid w:val="0034661F"/>
    <w:rsid w:val="00346D5B"/>
    <w:rsid w:val="00346F75"/>
    <w:rsid w:val="003470B8"/>
    <w:rsid w:val="0034778C"/>
    <w:rsid w:val="00347899"/>
    <w:rsid w:val="003502E9"/>
    <w:rsid w:val="0035032A"/>
    <w:rsid w:val="00350581"/>
    <w:rsid w:val="00350C53"/>
    <w:rsid w:val="00350CBB"/>
    <w:rsid w:val="00350E90"/>
    <w:rsid w:val="00351230"/>
    <w:rsid w:val="003518D5"/>
    <w:rsid w:val="00351A4D"/>
    <w:rsid w:val="00351B9E"/>
    <w:rsid w:val="003526A5"/>
    <w:rsid w:val="003528E9"/>
    <w:rsid w:val="00353154"/>
    <w:rsid w:val="00353621"/>
    <w:rsid w:val="003537D5"/>
    <w:rsid w:val="00353964"/>
    <w:rsid w:val="00353A47"/>
    <w:rsid w:val="00353AAA"/>
    <w:rsid w:val="00353C7E"/>
    <w:rsid w:val="003543B8"/>
    <w:rsid w:val="00354780"/>
    <w:rsid w:val="0035485A"/>
    <w:rsid w:val="003548B9"/>
    <w:rsid w:val="00354AC5"/>
    <w:rsid w:val="003558BC"/>
    <w:rsid w:val="00355DA9"/>
    <w:rsid w:val="003560C9"/>
    <w:rsid w:val="0035621E"/>
    <w:rsid w:val="00356758"/>
    <w:rsid w:val="003568E4"/>
    <w:rsid w:val="0035692B"/>
    <w:rsid w:val="00357CFB"/>
    <w:rsid w:val="00357D7F"/>
    <w:rsid w:val="003600DB"/>
    <w:rsid w:val="00361798"/>
    <w:rsid w:val="003618A2"/>
    <w:rsid w:val="00361B64"/>
    <w:rsid w:val="0036230F"/>
    <w:rsid w:val="003623B0"/>
    <w:rsid w:val="003627BD"/>
    <w:rsid w:val="00362AF7"/>
    <w:rsid w:val="00362BF0"/>
    <w:rsid w:val="00362D13"/>
    <w:rsid w:val="00362FAB"/>
    <w:rsid w:val="003630CB"/>
    <w:rsid w:val="0036385B"/>
    <w:rsid w:val="0036426F"/>
    <w:rsid w:val="0036468A"/>
    <w:rsid w:val="00364735"/>
    <w:rsid w:val="00365101"/>
    <w:rsid w:val="00365D21"/>
    <w:rsid w:val="0036646E"/>
    <w:rsid w:val="00366478"/>
    <w:rsid w:val="00366684"/>
    <w:rsid w:val="00366AC3"/>
    <w:rsid w:val="00366C20"/>
    <w:rsid w:val="00367D2A"/>
    <w:rsid w:val="00367E1D"/>
    <w:rsid w:val="00367E58"/>
    <w:rsid w:val="00370841"/>
    <w:rsid w:val="00370DEF"/>
    <w:rsid w:val="00371460"/>
    <w:rsid w:val="003715CE"/>
    <w:rsid w:val="003715FC"/>
    <w:rsid w:val="00371E17"/>
    <w:rsid w:val="00372431"/>
    <w:rsid w:val="00372549"/>
    <w:rsid w:val="003726AE"/>
    <w:rsid w:val="00372950"/>
    <w:rsid w:val="00372CBB"/>
    <w:rsid w:val="00372DDA"/>
    <w:rsid w:val="003733C1"/>
    <w:rsid w:val="00373744"/>
    <w:rsid w:val="003740A7"/>
    <w:rsid w:val="003742AB"/>
    <w:rsid w:val="00374521"/>
    <w:rsid w:val="00374C64"/>
    <w:rsid w:val="0037551C"/>
    <w:rsid w:val="00375B8B"/>
    <w:rsid w:val="003764BC"/>
    <w:rsid w:val="00376619"/>
    <w:rsid w:val="00377034"/>
    <w:rsid w:val="0037749C"/>
    <w:rsid w:val="003777A4"/>
    <w:rsid w:val="00377940"/>
    <w:rsid w:val="00377CF3"/>
    <w:rsid w:val="00380397"/>
    <w:rsid w:val="003803E1"/>
    <w:rsid w:val="0038090A"/>
    <w:rsid w:val="00380F85"/>
    <w:rsid w:val="00381539"/>
    <w:rsid w:val="00381B19"/>
    <w:rsid w:val="00381F48"/>
    <w:rsid w:val="003820AF"/>
    <w:rsid w:val="003826A1"/>
    <w:rsid w:val="003829E0"/>
    <w:rsid w:val="00382D18"/>
    <w:rsid w:val="00383296"/>
    <w:rsid w:val="003836D9"/>
    <w:rsid w:val="0038370F"/>
    <w:rsid w:val="003837C1"/>
    <w:rsid w:val="00383A87"/>
    <w:rsid w:val="00383B12"/>
    <w:rsid w:val="00383D81"/>
    <w:rsid w:val="00384103"/>
    <w:rsid w:val="00384133"/>
    <w:rsid w:val="00384A12"/>
    <w:rsid w:val="00385A19"/>
    <w:rsid w:val="00385ADB"/>
    <w:rsid w:val="003864C5"/>
    <w:rsid w:val="003867F7"/>
    <w:rsid w:val="00386A90"/>
    <w:rsid w:val="00386AD9"/>
    <w:rsid w:val="00386E14"/>
    <w:rsid w:val="00386E84"/>
    <w:rsid w:val="00387030"/>
    <w:rsid w:val="003873C4"/>
    <w:rsid w:val="003877C5"/>
    <w:rsid w:val="003879CE"/>
    <w:rsid w:val="00387A69"/>
    <w:rsid w:val="003903BA"/>
    <w:rsid w:val="003904B6"/>
    <w:rsid w:val="003908E2"/>
    <w:rsid w:val="00390C74"/>
    <w:rsid w:val="00390CCC"/>
    <w:rsid w:val="00390D7C"/>
    <w:rsid w:val="00391212"/>
    <w:rsid w:val="0039134A"/>
    <w:rsid w:val="003913DC"/>
    <w:rsid w:val="0039144E"/>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2F2"/>
    <w:rsid w:val="00396E7C"/>
    <w:rsid w:val="00396F87"/>
    <w:rsid w:val="003972AC"/>
    <w:rsid w:val="00397A76"/>
    <w:rsid w:val="00397DA8"/>
    <w:rsid w:val="003A0143"/>
    <w:rsid w:val="003A07B7"/>
    <w:rsid w:val="003A12D3"/>
    <w:rsid w:val="003A182D"/>
    <w:rsid w:val="003A19B7"/>
    <w:rsid w:val="003A1E6B"/>
    <w:rsid w:val="003A2E14"/>
    <w:rsid w:val="003A309A"/>
    <w:rsid w:val="003A3778"/>
    <w:rsid w:val="003A407A"/>
    <w:rsid w:val="003A4B02"/>
    <w:rsid w:val="003A504F"/>
    <w:rsid w:val="003A54A3"/>
    <w:rsid w:val="003A5FA9"/>
    <w:rsid w:val="003A61BD"/>
    <w:rsid w:val="003A686F"/>
    <w:rsid w:val="003A68B0"/>
    <w:rsid w:val="003A69F8"/>
    <w:rsid w:val="003A6A5A"/>
    <w:rsid w:val="003A6F72"/>
    <w:rsid w:val="003A778F"/>
    <w:rsid w:val="003B006D"/>
    <w:rsid w:val="003B0411"/>
    <w:rsid w:val="003B083E"/>
    <w:rsid w:val="003B0AB0"/>
    <w:rsid w:val="003B0E52"/>
    <w:rsid w:val="003B103E"/>
    <w:rsid w:val="003B10D1"/>
    <w:rsid w:val="003B15EA"/>
    <w:rsid w:val="003B1869"/>
    <w:rsid w:val="003B1A4A"/>
    <w:rsid w:val="003B22D8"/>
    <w:rsid w:val="003B22E5"/>
    <w:rsid w:val="003B2A42"/>
    <w:rsid w:val="003B2B53"/>
    <w:rsid w:val="003B2E4A"/>
    <w:rsid w:val="003B35D5"/>
    <w:rsid w:val="003B35E8"/>
    <w:rsid w:val="003B3DBD"/>
    <w:rsid w:val="003B3E2D"/>
    <w:rsid w:val="003B3FB4"/>
    <w:rsid w:val="003B404D"/>
    <w:rsid w:val="003B4322"/>
    <w:rsid w:val="003B49E6"/>
    <w:rsid w:val="003B4CB8"/>
    <w:rsid w:val="003B526A"/>
    <w:rsid w:val="003B5840"/>
    <w:rsid w:val="003B5AD5"/>
    <w:rsid w:val="003B5E45"/>
    <w:rsid w:val="003B64EB"/>
    <w:rsid w:val="003B67BD"/>
    <w:rsid w:val="003B6814"/>
    <w:rsid w:val="003B7459"/>
    <w:rsid w:val="003B790B"/>
    <w:rsid w:val="003B7C22"/>
    <w:rsid w:val="003C01C4"/>
    <w:rsid w:val="003C0478"/>
    <w:rsid w:val="003C05E5"/>
    <w:rsid w:val="003C0AC3"/>
    <w:rsid w:val="003C11E9"/>
    <w:rsid w:val="003C137F"/>
    <w:rsid w:val="003C13C3"/>
    <w:rsid w:val="003C14C5"/>
    <w:rsid w:val="003C15BD"/>
    <w:rsid w:val="003C17BA"/>
    <w:rsid w:val="003C19F6"/>
    <w:rsid w:val="003C21AB"/>
    <w:rsid w:val="003C237B"/>
    <w:rsid w:val="003C2556"/>
    <w:rsid w:val="003C2AA0"/>
    <w:rsid w:val="003C2B19"/>
    <w:rsid w:val="003C3376"/>
    <w:rsid w:val="003C3419"/>
    <w:rsid w:val="003C391E"/>
    <w:rsid w:val="003C39B2"/>
    <w:rsid w:val="003C3BA3"/>
    <w:rsid w:val="003C3C9D"/>
    <w:rsid w:val="003C3CA7"/>
    <w:rsid w:val="003C41B6"/>
    <w:rsid w:val="003C44FB"/>
    <w:rsid w:val="003C46AE"/>
    <w:rsid w:val="003C4B5F"/>
    <w:rsid w:val="003C526E"/>
    <w:rsid w:val="003C53C0"/>
    <w:rsid w:val="003C5D7B"/>
    <w:rsid w:val="003C5D95"/>
    <w:rsid w:val="003C6133"/>
    <w:rsid w:val="003C6D98"/>
    <w:rsid w:val="003C70FF"/>
    <w:rsid w:val="003C7AF5"/>
    <w:rsid w:val="003D03B6"/>
    <w:rsid w:val="003D0A8A"/>
    <w:rsid w:val="003D0B3A"/>
    <w:rsid w:val="003D0B72"/>
    <w:rsid w:val="003D0CD0"/>
    <w:rsid w:val="003D28BC"/>
    <w:rsid w:val="003D2976"/>
    <w:rsid w:val="003D2B67"/>
    <w:rsid w:val="003D2C05"/>
    <w:rsid w:val="003D2CB4"/>
    <w:rsid w:val="003D2E1C"/>
    <w:rsid w:val="003D30B1"/>
    <w:rsid w:val="003D3AB6"/>
    <w:rsid w:val="003D3D9E"/>
    <w:rsid w:val="003D3E19"/>
    <w:rsid w:val="003D448C"/>
    <w:rsid w:val="003D46AF"/>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728"/>
    <w:rsid w:val="003D7D6E"/>
    <w:rsid w:val="003D7FE3"/>
    <w:rsid w:val="003E047B"/>
    <w:rsid w:val="003E0819"/>
    <w:rsid w:val="003E0F59"/>
    <w:rsid w:val="003E118B"/>
    <w:rsid w:val="003E159D"/>
    <w:rsid w:val="003E160A"/>
    <w:rsid w:val="003E1A13"/>
    <w:rsid w:val="003E1C91"/>
    <w:rsid w:val="003E1E57"/>
    <w:rsid w:val="003E21AE"/>
    <w:rsid w:val="003E2505"/>
    <w:rsid w:val="003E27C0"/>
    <w:rsid w:val="003E305F"/>
    <w:rsid w:val="003E38E2"/>
    <w:rsid w:val="003E3D7B"/>
    <w:rsid w:val="003E4A9C"/>
    <w:rsid w:val="003E4F6D"/>
    <w:rsid w:val="003E4FA0"/>
    <w:rsid w:val="003E64AB"/>
    <w:rsid w:val="003E673A"/>
    <w:rsid w:val="003E6911"/>
    <w:rsid w:val="003E721C"/>
    <w:rsid w:val="003E76ED"/>
    <w:rsid w:val="003E779A"/>
    <w:rsid w:val="003E7C4C"/>
    <w:rsid w:val="003E7F6B"/>
    <w:rsid w:val="003E7FF0"/>
    <w:rsid w:val="003F03C8"/>
    <w:rsid w:val="003F0452"/>
    <w:rsid w:val="003F0A5C"/>
    <w:rsid w:val="003F0A67"/>
    <w:rsid w:val="003F1056"/>
    <w:rsid w:val="003F1485"/>
    <w:rsid w:val="003F15FE"/>
    <w:rsid w:val="003F21ED"/>
    <w:rsid w:val="003F2650"/>
    <w:rsid w:val="003F34B8"/>
    <w:rsid w:val="003F3A03"/>
    <w:rsid w:val="003F3FFD"/>
    <w:rsid w:val="003F4935"/>
    <w:rsid w:val="003F5141"/>
    <w:rsid w:val="003F54BD"/>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595"/>
    <w:rsid w:val="0040571A"/>
    <w:rsid w:val="0040578D"/>
    <w:rsid w:val="0040591E"/>
    <w:rsid w:val="00405B4F"/>
    <w:rsid w:val="00405BEE"/>
    <w:rsid w:val="00405DC5"/>
    <w:rsid w:val="00406085"/>
    <w:rsid w:val="00406727"/>
    <w:rsid w:val="004067AF"/>
    <w:rsid w:val="00406B0B"/>
    <w:rsid w:val="00406B1F"/>
    <w:rsid w:val="004077D3"/>
    <w:rsid w:val="00407C8E"/>
    <w:rsid w:val="00407DF7"/>
    <w:rsid w:val="00410203"/>
    <w:rsid w:val="004105FC"/>
    <w:rsid w:val="0041070B"/>
    <w:rsid w:val="00410775"/>
    <w:rsid w:val="00410A32"/>
    <w:rsid w:val="00410BCF"/>
    <w:rsid w:val="00411467"/>
    <w:rsid w:val="004116CC"/>
    <w:rsid w:val="00411D42"/>
    <w:rsid w:val="00411FC5"/>
    <w:rsid w:val="00412888"/>
    <w:rsid w:val="004129E1"/>
    <w:rsid w:val="00412D69"/>
    <w:rsid w:val="00412FD1"/>
    <w:rsid w:val="00413392"/>
    <w:rsid w:val="00413565"/>
    <w:rsid w:val="00413927"/>
    <w:rsid w:val="00413CBC"/>
    <w:rsid w:val="00414332"/>
    <w:rsid w:val="004143BA"/>
    <w:rsid w:val="00414A37"/>
    <w:rsid w:val="0041516E"/>
    <w:rsid w:val="004156D7"/>
    <w:rsid w:val="0041590F"/>
    <w:rsid w:val="00415975"/>
    <w:rsid w:val="00415BDC"/>
    <w:rsid w:val="00415F8E"/>
    <w:rsid w:val="00416172"/>
    <w:rsid w:val="0041622B"/>
    <w:rsid w:val="00416257"/>
    <w:rsid w:val="00416DE6"/>
    <w:rsid w:val="00416EE2"/>
    <w:rsid w:val="0041733B"/>
    <w:rsid w:val="00417411"/>
    <w:rsid w:val="00417814"/>
    <w:rsid w:val="00420273"/>
    <w:rsid w:val="00420675"/>
    <w:rsid w:val="00420862"/>
    <w:rsid w:val="00420BB7"/>
    <w:rsid w:val="004212FF"/>
    <w:rsid w:val="004219A4"/>
    <w:rsid w:val="0042275D"/>
    <w:rsid w:val="00422996"/>
    <w:rsid w:val="004229FE"/>
    <w:rsid w:val="00422D5F"/>
    <w:rsid w:val="004235C3"/>
    <w:rsid w:val="0042441B"/>
    <w:rsid w:val="004246B9"/>
    <w:rsid w:val="0042492B"/>
    <w:rsid w:val="00424CFF"/>
    <w:rsid w:val="00425483"/>
    <w:rsid w:val="0042552A"/>
    <w:rsid w:val="0042572A"/>
    <w:rsid w:val="00425852"/>
    <w:rsid w:val="0042613F"/>
    <w:rsid w:val="00426883"/>
    <w:rsid w:val="00426E99"/>
    <w:rsid w:val="00426F74"/>
    <w:rsid w:val="00427131"/>
    <w:rsid w:val="00427C0C"/>
    <w:rsid w:val="00427D21"/>
    <w:rsid w:val="00430216"/>
    <w:rsid w:val="004306BA"/>
    <w:rsid w:val="00430AE4"/>
    <w:rsid w:val="00430D2A"/>
    <w:rsid w:val="00430E36"/>
    <w:rsid w:val="00430FD9"/>
    <w:rsid w:val="00431031"/>
    <w:rsid w:val="00431594"/>
    <w:rsid w:val="004316DF"/>
    <w:rsid w:val="004318B3"/>
    <w:rsid w:val="00431A0D"/>
    <w:rsid w:val="0043217C"/>
    <w:rsid w:val="0043220E"/>
    <w:rsid w:val="0043278C"/>
    <w:rsid w:val="004329A8"/>
    <w:rsid w:val="00432E79"/>
    <w:rsid w:val="00432F24"/>
    <w:rsid w:val="00432F80"/>
    <w:rsid w:val="0043332F"/>
    <w:rsid w:val="004334ED"/>
    <w:rsid w:val="004339B7"/>
    <w:rsid w:val="0043406D"/>
    <w:rsid w:val="00434633"/>
    <w:rsid w:val="00434CA8"/>
    <w:rsid w:val="00434CBB"/>
    <w:rsid w:val="00434DE0"/>
    <w:rsid w:val="00435B02"/>
    <w:rsid w:val="00435CA8"/>
    <w:rsid w:val="0043614D"/>
    <w:rsid w:val="00436186"/>
    <w:rsid w:val="0043670D"/>
    <w:rsid w:val="004367F4"/>
    <w:rsid w:val="004368B6"/>
    <w:rsid w:val="00436946"/>
    <w:rsid w:val="00436983"/>
    <w:rsid w:val="00436D85"/>
    <w:rsid w:val="00437F80"/>
    <w:rsid w:val="00440625"/>
    <w:rsid w:val="00440E31"/>
    <w:rsid w:val="00441624"/>
    <w:rsid w:val="00442129"/>
    <w:rsid w:val="0044260F"/>
    <w:rsid w:val="00442A99"/>
    <w:rsid w:val="004432C9"/>
    <w:rsid w:val="00443CDA"/>
    <w:rsid w:val="00443E3C"/>
    <w:rsid w:val="00443F79"/>
    <w:rsid w:val="00443FA2"/>
    <w:rsid w:val="004440F2"/>
    <w:rsid w:val="004447E5"/>
    <w:rsid w:val="004448B9"/>
    <w:rsid w:val="00444A8C"/>
    <w:rsid w:val="00444D12"/>
    <w:rsid w:val="00445211"/>
    <w:rsid w:val="00445333"/>
    <w:rsid w:val="004453FD"/>
    <w:rsid w:val="004456F0"/>
    <w:rsid w:val="00445784"/>
    <w:rsid w:val="004459AF"/>
    <w:rsid w:val="004461F7"/>
    <w:rsid w:val="004463CD"/>
    <w:rsid w:val="00446DED"/>
    <w:rsid w:val="00446EDF"/>
    <w:rsid w:val="00447181"/>
    <w:rsid w:val="004473C3"/>
    <w:rsid w:val="004479BD"/>
    <w:rsid w:val="00447BEC"/>
    <w:rsid w:val="00447CF1"/>
    <w:rsid w:val="00447EE1"/>
    <w:rsid w:val="00450325"/>
    <w:rsid w:val="00450695"/>
    <w:rsid w:val="00450CE0"/>
    <w:rsid w:val="0045140F"/>
    <w:rsid w:val="00451421"/>
    <w:rsid w:val="0045180A"/>
    <w:rsid w:val="00451F35"/>
    <w:rsid w:val="004523F8"/>
    <w:rsid w:val="00452828"/>
    <w:rsid w:val="00452B35"/>
    <w:rsid w:val="00453B8A"/>
    <w:rsid w:val="00453F9C"/>
    <w:rsid w:val="0045437C"/>
    <w:rsid w:val="00454727"/>
    <w:rsid w:val="0045484F"/>
    <w:rsid w:val="00454C75"/>
    <w:rsid w:val="00455306"/>
    <w:rsid w:val="00455799"/>
    <w:rsid w:val="004557F1"/>
    <w:rsid w:val="0045584C"/>
    <w:rsid w:val="00456142"/>
    <w:rsid w:val="004563EF"/>
    <w:rsid w:val="00456788"/>
    <w:rsid w:val="004568E0"/>
    <w:rsid w:val="00456BFD"/>
    <w:rsid w:val="00456C23"/>
    <w:rsid w:val="00456D59"/>
    <w:rsid w:val="00457002"/>
    <w:rsid w:val="00457701"/>
    <w:rsid w:val="00457801"/>
    <w:rsid w:val="004578A2"/>
    <w:rsid w:val="00457DC6"/>
    <w:rsid w:val="00457F06"/>
    <w:rsid w:val="0046059C"/>
    <w:rsid w:val="00460859"/>
    <w:rsid w:val="00460B46"/>
    <w:rsid w:val="00460CF6"/>
    <w:rsid w:val="00460DD2"/>
    <w:rsid w:val="00461926"/>
    <w:rsid w:val="00461CC1"/>
    <w:rsid w:val="0046264E"/>
    <w:rsid w:val="004626A3"/>
    <w:rsid w:val="00463A1D"/>
    <w:rsid w:val="00463EE0"/>
    <w:rsid w:val="004641E7"/>
    <w:rsid w:val="00464265"/>
    <w:rsid w:val="004648B6"/>
    <w:rsid w:val="00464917"/>
    <w:rsid w:val="00465003"/>
    <w:rsid w:val="00465042"/>
    <w:rsid w:val="00465271"/>
    <w:rsid w:val="00465467"/>
    <w:rsid w:val="00465ACE"/>
    <w:rsid w:val="00465B82"/>
    <w:rsid w:val="00465BC9"/>
    <w:rsid w:val="00465D78"/>
    <w:rsid w:val="00466FD2"/>
    <w:rsid w:val="00467335"/>
    <w:rsid w:val="004674E2"/>
    <w:rsid w:val="00467CB2"/>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4B04"/>
    <w:rsid w:val="0047530D"/>
    <w:rsid w:val="0047532B"/>
    <w:rsid w:val="00475A86"/>
    <w:rsid w:val="00475A91"/>
    <w:rsid w:val="00475E6F"/>
    <w:rsid w:val="00475F77"/>
    <w:rsid w:val="0047650A"/>
    <w:rsid w:val="00476633"/>
    <w:rsid w:val="00476820"/>
    <w:rsid w:val="00476909"/>
    <w:rsid w:val="004769AB"/>
    <w:rsid w:val="00476FFC"/>
    <w:rsid w:val="004773C5"/>
    <w:rsid w:val="00477821"/>
    <w:rsid w:val="00477936"/>
    <w:rsid w:val="0048010B"/>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E36"/>
    <w:rsid w:val="004848E8"/>
    <w:rsid w:val="00484DDC"/>
    <w:rsid w:val="00485A8B"/>
    <w:rsid w:val="00485D0C"/>
    <w:rsid w:val="00485F6E"/>
    <w:rsid w:val="0048629D"/>
    <w:rsid w:val="00486553"/>
    <w:rsid w:val="004868E3"/>
    <w:rsid w:val="0048746C"/>
    <w:rsid w:val="00487582"/>
    <w:rsid w:val="00487788"/>
    <w:rsid w:val="00490068"/>
    <w:rsid w:val="00490335"/>
    <w:rsid w:val="00490369"/>
    <w:rsid w:val="004909D7"/>
    <w:rsid w:val="00491277"/>
    <w:rsid w:val="00491753"/>
    <w:rsid w:val="004917B0"/>
    <w:rsid w:val="00491A7A"/>
    <w:rsid w:val="00492682"/>
    <w:rsid w:val="004928C5"/>
    <w:rsid w:val="00492900"/>
    <w:rsid w:val="00492A35"/>
    <w:rsid w:val="00493590"/>
    <w:rsid w:val="004935A7"/>
    <w:rsid w:val="0049373D"/>
    <w:rsid w:val="0049386E"/>
    <w:rsid w:val="00493EAC"/>
    <w:rsid w:val="004941DC"/>
    <w:rsid w:val="00494665"/>
    <w:rsid w:val="00494EA6"/>
    <w:rsid w:val="004952FA"/>
    <w:rsid w:val="00496957"/>
    <w:rsid w:val="00496AD3"/>
    <w:rsid w:val="00496F6F"/>
    <w:rsid w:val="00497392"/>
    <w:rsid w:val="004973E5"/>
    <w:rsid w:val="00497731"/>
    <w:rsid w:val="004A04FA"/>
    <w:rsid w:val="004A0708"/>
    <w:rsid w:val="004A0919"/>
    <w:rsid w:val="004A110D"/>
    <w:rsid w:val="004A172F"/>
    <w:rsid w:val="004A1AEB"/>
    <w:rsid w:val="004A1C61"/>
    <w:rsid w:val="004A20C2"/>
    <w:rsid w:val="004A25A3"/>
    <w:rsid w:val="004A29E0"/>
    <w:rsid w:val="004A2C76"/>
    <w:rsid w:val="004A2F30"/>
    <w:rsid w:val="004A305F"/>
    <w:rsid w:val="004A33F7"/>
    <w:rsid w:val="004A3DAE"/>
    <w:rsid w:val="004A3EB5"/>
    <w:rsid w:val="004A472C"/>
    <w:rsid w:val="004A5199"/>
    <w:rsid w:val="004A522C"/>
    <w:rsid w:val="004A567A"/>
    <w:rsid w:val="004A56D1"/>
    <w:rsid w:val="004A5F17"/>
    <w:rsid w:val="004A5F3B"/>
    <w:rsid w:val="004A60F0"/>
    <w:rsid w:val="004A619D"/>
    <w:rsid w:val="004A6313"/>
    <w:rsid w:val="004A6B7B"/>
    <w:rsid w:val="004A6D4F"/>
    <w:rsid w:val="004A7EEA"/>
    <w:rsid w:val="004B01DF"/>
    <w:rsid w:val="004B029D"/>
    <w:rsid w:val="004B0A50"/>
    <w:rsid w:val="004B0C3F"/>
    <w:rsid w:val="004B0D03"/>
    <w:rsid w:val="004B12B3"/>
    <w:rsid w:val="004B18AC"/>
    <w:rsid w:val="004B2933"/>
    <w:rsid w:val="004B2B9E"/>
    <w:rsid w:val="004B3151"/>
    <w:rsid w:val="004B395E"/>
    <w:rsid w:val="004B42C0"/>
    <w:rsid w:val="004B42D6"/>
    <w:rsid w:val="004B4347"/>
    <w:rsid w:val="004B4485"/>
    <w:rsid w:val="004B4C90"/>
    <w:rsid w:val="004B4F98"/>
    <w:rsid w:val="004B4FE2"/>
    <w:rsid w:val="004B522A"/>
    <w:rsid w:val="004B5B15"/>
    <w:rsid w:val="004B5BE0"/>
    <w:rsid w:val="004B6380"/>
    <w:rsid w:val="004B642C"/>
    <w:rsid w:val="004B6834"/>
    <w:rsid w:val="004B6BD7"/>
    <w:rsid w:val="004B7F2A"/>
    <w:rsid w:val="004C0152"/>
    <w:rsid w:val="004C023A"/>
    <w:rsid w:val="004C0AB0"/>
    <w:rsid w:val="004C0D89"/>
    <w:rsid w:val="004C0DFE"/>
    <w:rsid w:val="004C1200"/>
    <w:rsid w:val="004C1B9B"/>
    <w:rsid w:val="004C1BE1"/>
    <w:rsid w:val="004C202F"/>
    <w:rsid w:val="004C20D6"/>
    <w:rsid w:val="004C2333"/>
    <w:rsid w:val="004C2A11"/>
    <w:rsid w:val="004C2B8F"/>
    <w:rsid w:val="004C2CFB"/>
    <w:rsid w:val="004C3311"/>
    <w:rsid w:val="004C34BF"/>
    <w:rsid w:val="004C3A7A"/>
    <w:rsid w:val="004C3B26"/>
    <w:rsid w:val="004C3C6D"/>
    <w:rsid w:val="004C3DAE"/>
    <w:rsid w:val="004C3E18"/>
    <w:rsid w:val="004C4000"/>
    <w:rsid w:val="004C430C"/>
    <w:rsid w:val="004C4BC4"/>
    <w:rsid w:val="004C5071"/>
    <w:rsid w:val="004C5866"/>
    <w:rsid w:val="004C604F"/>
    <w:rsid w:val="004C6521"/>
    <w:rsid w:val="004C6629"/>
    <w:rsid w:val="004C6A57"/>
    <w:rsid w:val="004C6B41"/>
    <w:rsid w:val="004C74EF"/>
    <w:rsid w:val="004C7733"/>
    <w:rsid w:val="004C7C32"/>
    <w:rsid w:val="004D018C"/>
    <w:rsid w:val="004D03E6"/>
    <w:rsid w:val="004D044A"/>
    <w:rsid w:val="004D0E95"/>
    <w:rsid w:val="004D1CED"/>
    <w:rsid w:val="004D1E28"/>
    <w:rsid w:val="004D1F6C"/>
    <w:rsid w:val="004D2502"/>
    <w:rsid w:val="004D2558"/>
    <w:rsid w:val="004D25CA"/>
    <w:rsid w:val="004D2886"/>
    <w:rsid w:val="004D2B45"/>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1FC"/>
    <w:rsid w:val="004E06EF"/>
    <w:rsid w:val="004E0DF8"/>
    <w:rsid w:val="004E1282"/>
    <w:rsid w:val="004E15B0"/>
    <w:rsid w:val="004E16A5"/>
    <w:rsid w:val="004E1FF0"/>
    <w:rsid w:val="004E209A"/>
    <w:rsid w:val="004E20D5"/>
    <w:rsid w:val="004E2221"/>
    <w:rsid w:val="004E250C"/>
    <w:rsid w:val="004E2518"/>
    <w:rsid w:val="004E28DA"/>
    <w:rsid w:val="004E290E"/>
    <w:rsid w:val="004E2CA8"/>
    <w:rsid w:val="004E309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867"/>
    <w:rsid w:val="004E6A5A"/>
    <w:rsid w:val="004E7CB0"/>
    <w:rsid w:val="004E7DE8"/>
    <w:rsid w:val="004F01A2"/>
    <w:rsid w:val="004F0381"/>
    <w:rsid w:val="004F095F"/>
    <w:rsid w:val="004F0A2C"/>
    <w:rsid w:val="004F1335"/>
    <w:rsid w:val="004F16E1"/>
    <w:rsid w:val="004F1A05"/>
    <w:rsid w:val="004F1ABA"/>
    <w:rsid w:val="004F1FC9"/>
    <w:rsid w:val="004F2360"/>
    <w:rsid w:val="004F251D"/>
    <w:rsid w:val="004F25D5"/>
    <w:rsid w:val="004F263C"/>
    <w:rsid w:val="004F2782"/>
    <w:rsid w:val="004F323A"/>
    <w:rsid w:val="004F3475"/>
    <w:rsid w:val="004F39AA"/>
    <w:rsid w:val="004F3B39"/>
    <w:rsid w:val="004F3E91"/>
    <w:rsid w:val="004F408B"/>
    <w:rsid w:val="004F4707"/>
    <w:rsid w:val="004F4916"/>
    <w:rsid w:val="004F4C51"/>
    <w:rsid w:val="004F5933"/>
    <w:rsid w:val="004F5DAB"/>
    <w:rsid w:val="004F60B8"/>
    <w:rsid w:val="004F6425"/>
    <w:rsid w:val="004F66BD"/>
    <w:rsid w:val="004F6BC4"/>
    <w:rsid w:val="004F6D50"/>
    <w:rsid w:val="004F733E"/>
    <w:rsid w:val="004F751B"/>
    <w:rsid w:val="004F7880"/>
    <w:rsid w:val="004F79E6"/>
    <w:rsid w:val="0050010F"/>
    <w:rsid w:val="00500A95"/>
    <w:rsid w:val="00500F56"/>
    <w:rsid w:val="005013D1"/>
    <w:rsid w:val="00501659"/>
    <w:rsid w:val="0050188E"/>
    <w:rsid w:val="00501927"/>
    <w:rsid w:val="005021A2"/>
    <w:rsid w:val="005022E5"/>
    <w:rsid w:val="00502668"/>
    <w:rsid w:val="00502C69"/>
    <w:rsid w:val="00502FFB"/>
    <w:rsid w:val="005031F6"/>
    <w:rsid w:val="005033A1"/>
    <w:rsid w:val="00503BFE"/>
    <w:rsid w:val="00504616"/>
    <w:rsid w:val="00504895"/>
    <w:rsid w:val="005049BB"/>
    <w:rsid w:val="00504DE6"/>
    <w:rsid w:val="00504EB4"/>
    <w:rsid w:val="00505225"/>
    <w:rsid w:val="00505333"/>
    <w:rsid w:val="00505466"/>
    <w:rsid w:val="0050570D"/>
    <w:rsid w:val="00505963"/>
    <w:rsid w:val="00505B93"/>
    <w:rsid w:val="00506286"/>
    <w:rsid w:val="00506460"/>
    <w:rsid w:val="005064BF"/>
    <w:rsid w:val="00506C23"/>
    <w:rsid w:val="00506DE1"/>
    <w:rsid w:val="00506FE0"/>
    <w:rsid w:val="005073C4"/>
    <w:rsid w:val="00507960"/>
    <w:rsid w:val="00507998"/>
    <w:rsid w:val="00507A48"/>
    <w:rsid w:val="00507ED3"/>
    <w:rsid w:val="005109B1"/>
    <w:rsid w:val="00510A5B"/>
    <w:rsid w:val="00511495"/>
    <w:rsid w:val="00511C5D"/>
    <w:rsid w:val="00512432"/>
    <w:rsid w:val="00512D5E"/>
    <w:rsid w:val="00512E98"/>
    <w:rsid w:val="00512F4F"/>
    <w:rsid w:val="00513014"/>
    <w:rsid w:val="00513180"/>
    <w:rsid w:val="00513691"/>
    <w:rsid w:val="00513E89"/>
    <w:rsid w:val="00514019"/>
    <w:rsid w:val="005140CD"/>
    <w:rsid w:val="00514185"/>
    <w:rsid w:val="0051438D"/>
    <w:rsid w:val="005148AA"/>
    <w:rsid w:val="00514DD9"/>
    <w:rsid w:val="00514F6B"/>
    <w:rsid w:val="00515502"/>
    <w:rsid w:val="00515510"/>
    <w:rsid w:val="005158B8"/>
    <w:rsid w:val="00515B16"/>
    <w:rsid w:val="00515B61"/>
    <w:rsid w:val="00515D0C"/>
    <w:rsid w:val="0051666F"/>
    <w:rsid w:val="00516C44"/>
    <w:rsid w:val="00516CB2"/>
    <w:rsid w:val="00517132"/>
    <w:rsid w:val="0051731E"/>
    <w:rsid w:val="005174EF"/>
    <w:rsid w:val="00517DC9"/>
    <w:rsid w:val="00517F51"/>
    <w:rsid w:val="00520170"/>
    <w:rsid w:val="0052039F"/>
    <w:rsid w:val="00520843"/>
    <w:rsid w:val="00520FC3"/>
    <w:rsid w:val="005210E2"/>
    <w:rsid w:val="005211DB"/>
    <w:rsid w:val="00521393"/>
    <w:rsid w:val="00521608"/>
    <w:rsid w:val="005219C0"/>
    <w:rsid w:val="00521BB4"/>
    <w:rsid w:val="00521F7F"/>
    <w:rsid w:val="005220D5"/>
    <w:rsid w:val="00522875"/>
    <w:rsid w:val="00523040"/>
    <w:rsid w:val="00523393"/>
    <w:rsid w:val="00523C08"/>
    <w:rsid w:val="005248BB"/>
    <w:rsid w:val="00524AC4"/>
    <w:rsid w:val="00524CCB"/>
    <w:rsid w:val="00524DF9"/>
    <w:rsid w:val="00524E8E"/>
    <w:rsid w:val="00525297"/>
    <w:rsid w:val="0052545E"/>
    <w:rsid w:val="0052549C"/>
    <w:rsid w:val="005254A3"/>
    <w:rsid w:val="00525A72"/>
    <w:rsid w:val="00525ADE"/>
    <w:rsid w:val="00525DA5"/>
    <w:rsid w:val="005260D5"/>
    <w:rsid w:val="00526AFA"/>
    <w:rsid w:val="00526C91"/>
    <w:rsid w:val="00526F34"/>
    <w:rsid w:val="00526FB1"/>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40AA"/>
    <w:rsid w:val="0053494D"/>
    <w:rsid w:val="00534A01"/>
    <w:rsid w:val="00535202"/>
    <w:rsid w:val="00535377"/>
    <w:rsid w:val="005357E8"/>
    <w:rsid w:val="00535A4B"/>
    <w:rsid w:val="00535D55"/>
    <w:rsid w:val="0053647F"/>
    <w:rsid w:val="005364C2"/>
    <w:rsid w:val="00536559"/>
    <w:rsid w:val="0053717C"/>
    <w:rsid w:val="00537407"/>
    <w:rsid w:val="005379F3"/>
    <w:rsid w:val="00537A64"/>
    <w:rsid w:val="0054014D"/>
    <w:rsid w:val="005409B4"/>
    <w:rsid w:val="00540A32"/>
    <w:rsid w:val="00540ABE"/>
    <w:rsid w:val="00540CF8"/>
    <w:rsid w:val="00541077"/>
    <w:rsid w:val="0054173A"/>
    <w:rsid w:val="00541CC2"/>
    <w:rsid w:val="00541DB8"/>
    <w:rsid w:val="0054213D"/>
    <w:rsid w:val="00542160"/>
    <w:rsid w:val="00542A8E"/>
    <w:rsid w:val="00542D33"/>
    <w:rsid w:val="00542F60"/>
    <w:rsid w:val="00543297"/>
    <w:rsid w:val="0054349D"/>
    <w:rsid w:val="00545683"/>
    <w:rsid w:val="00545F4C"/>
    <w:rsid w:val="00546DF3"/>
    <w:rsid w:val="00546EFE"/>
    <w:rsid w:val="00546FB7"/>
    <w:rsid w:val="005471B8"/>
    <w:rsid w:val="0054783D"/>
    <w:rsid w:val="0054796E"/>
    <w:rsid w:val="00547A56"/>
    <w:rsid w:val="00547B78"/>
    <w:rsid w:val="005503AD"/>
    <w:rsid w:val="00550524"/>
    <w:rsid w:val="00550A50"/>
    <w:rsid w:val="00551309"/>
    <w:rsid w:val="00552334"/>
    <w:rsid w:val="005523F2"/>
    <w:rsid w:val="00552680"/>
    <w:rsid w:val="00552700"/>
    <w:rsid w:val="00552FDC"/>
    <w:rsid w:val="005534FE"/>
    <w:rsid w:val="005536BC"/>
    <w:rsid w:val="00553EAB"/>
    <w:rsid w:val="005542C9"/>
    <w:rsid w:val="00554683"/>
    <w:rsid w:val="00554750"/>
    <w:rsid w:val="00554B9E"/>
    <w:rsid w:val="00554BA3"/>
    <w:rsid w:val="00554C24"/>
    <w:rsid w:val="005552C5"/>
    <w:rsid w:val="00555D1A"/>
    <w:rsid w:val="005560F5"/>
    <w:rsid w:val="00556212"/>
    <w:rsid w:val="005563AC"/>
    <w:rsid w:val="00556481"/>
    <w:rsid w:val="005569FA"/>
    <w:rsid w:val="005574C2"/>
    <w:rsid w:val="00557653"/>
    <w:rsid w:val="00557693"/>
    <w:rsid w:val="00557D2F"/>
    <w:rsid w:val="00557FB9"/>
    <w:rsid w:val="0056027E"/>
    <w:rsid w:val="0056077C"/>
    <w:rsid w:val="00560A7E"/>
    <w:rsid w:val="00560C4D"/>
    <w:rsid w:val="00561A34"/>
    <w:rsid w:val="00562689"/>
    <w:rsid w:val="00562865"/>
    <w:rsid w:val="005633F0"/>
    <w:rsid w:val="00563633"/>
    <w:rsid w:val="005638A0"/>
    <w:rsid w:val="00563D2A"/>
    <w:rsid w:val="00564079"/>
    <w:rsid w:val="005640D4"/>
    <w:rsid w:val="00564131"/>
    <w:rsid w:val="005646EA"/>
    <w:rsid w:val="00564940"/>
    <w:rsid w:val="00565874"/>
    <w:rsid w:val="00565F7C"/>
    <w:rsid w:val="00566305"/>
    <w:rsid w:val="005664FC"/>
    <w:rsid w:val="00566D9C"/>
    <w:rsid w:val="00567153"/>
    <w:rsid w:val="00567196"/>
    <w:rsid w:val="0056751E"/>
    <w:rsid w:val="00567579"/>
    <w:rsid w:val="00567A2C"/>
    <w:rsid w:val="00567C07"/>
    <w:rsid w:val="00567D71"/>
    <w:rsid w:val="005704B3"/>
    <w:rsid w:val="00570A8C"/>
    <w:rsid w:val="00570D3F"/>
    <w:rsid w:val="00570E84"/>
    <w:rsid w:val="00571374"/>
    <w:rsid w:val="005717EA"/>
    <w:rsid w:val="00571850"/>
    <w:rsid w:val="005730EB"/>
    <w:rsid w:val="005732D1"/>
    <w:rsid w:val="005732F3"/>
    <w:rsid w:val="0057374A"/>
    <w:rsid w:val="00573A8D"/>
    <w:rsid w:val="00573B48"/>
    <w:rsid w:val="00573D77"/>
    <w:rsid w:val="00573EA6"/>
    <w:rsid w:val="00574021"/>
    <w:rsid w:val="005752A4"/>
    <w:rsid w:val="00575685"/>
    <w:rsid w:val="005760AC"/>
    <w:rsid w:val="0057691E"/>
    <w:rsid w:val="00576EBE"/>
    <w:rsid w:val="00577234"/>
    <w:rsid w:val="00577789"/>
    <w:rsid w:val="005778CB"/>
    <w:rsid w:val="00577E5B"/>
    <w:rsid w:val="00577E7F"/>
    <w:rsid w:val="005806A7"/>
    <w:rsid w:val="00580968"/>
    <w:rsid w:val="00580AAB"/>
    <w:rsid w:val="00581BE2"/>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B18"/>
    <w:rsid w:val="00585D68"/>
    <w:rsid w:val="00586132"/>
    <w:rsid w:val="005861DC"/>
    <w:rsid w:val="005871F5"/>
    <w:rsid w:val="005876A2"/>
    <w:rsid w:val="00587ADE"/>
    <w:rsid w:val="00590001"/>
    <w:rsid w:val="00590BF3"/>
    <w:rsid w:val="00590E20"/>
    <w:rsid w:val="00591379"/>
    <w:rsid w:val="00591675"/>
    <w:rsid w:val="00591A9D"/>
    <w:rsid w:val="0059279F"/>
    <w:rsid w:val="00592A12"/>
    <w:rsid w:val="00592CD6"/>
    <w:rsid w:val="00592F49"/>
    <w:rsid w:val="005931A3"/>
    <w:rsid w:val="005940C0"/>
    <w:rsid w:val="00594140"/>
    <w:rsid w:val="005941CF"/>
    <w:rsid w:val="0059451E"/>
    <w:rsid w:val="00594574"/>
    <w:rsid w:val="00594DA0"/>
    <w:rsid w:val="00595CA7"/>
    <w:rsid w:val="00596BF8"/>
    <w:rsid w:val="005972FD"/>
    <w:rsid w:val="00597828"/>
    <w:rsid w:val="00597EF9"/>
    <w:rsid w:val="00597FC8"/>
    <w:rsid w:val="005A03A4"/>
    <w:rsid w:val="005A0641"/>
    <w:rsid w:val="005A08B3"/>
    <w:rsid w:val="005A090C"/>
    <w:rsid w:val="005A0F51"/>
    <w:rsid w:val="005A1008"/>
    <w:rsid w:val="005A11CA"/>
    <w:rsid w:val="005A138F"/>
    <w:rsid w:val="005A190C"/>
    <w:rsid w:val="005A1967"/>
    <w:rsid w:val="005A19E4"/>
    <w:rsid w:val="005A2046"/>
    <w:rsid w:val="005A2A78"/>
    <w:rsid w:val="005A2D3D"/>
    <w:rsid w:val="005A360F"/>
    <w:rsid w:val="005A3A4A"/>
    <w:rsid w:val="005A3C3E"/>
    <w:rsid w:val="005A3CD0"/>
    <w:rsid w:val="005A450B"/>
    <w:rsid w:val="005A4FBC"/>
    <w:rsid w:val="005A5167"/>
    <w:rsid w:val="005A528A"/>
    <w:rsid w:val="005A5DA8"/>
    <w:rsid w:val="005A62D7"/>
    <w:rsid w:val="005A65DA"/>
    <w:rsid w:val="005A6723"/>
    <w:rsid w:val="005A6D7D"/>
    <w:rsid w:val="005A6EA4"/>
    <w:rsid w:val="005A77CF"/>
    <w:rsid w:val="005A7988"/>
    <w:rsid w:val="005A7DA8"/>
    <w:rsid w:val="005B07C4"/>
    <w:rsid w:val="005B0953"/>
    <w:rsid w:val="005B0C7C"/>
    <w:rsid w:val="005B0E03"/>
    <w:rsid w:val="005B13B0"/>
    <w:rsid w:val="005B13CD"/>
    <w:rsid w:val="005B195F"/>
    <w:rsid w:val="005B1DD8"/>
    <w:rsid w:val="005B2415"/>
    <w:rsid w:val="005B2442"/>
    <w:rsid w:val="005B276E"/>
    <w:rsid w:val="005B2788"/>
    <w:rsid w:val="005B2AB4"/>
    <w:rsid w:val="005B2C3F"/>
    <w:rsid w:val="005B2E96"/>
    <w:rsid w:val="005B33AE"/>
    <w:rsid w:val="005B37EE"/>
    <w:rsid w:val="005B3A69"/>
    <w:rsid w:val="005B3C3D"/>
    <w:rsid w:val="005B3D82"/>
    <w:rsid w:val="005B3DD0"/>
    <w:rsid w:val="005B42EB"/>
    <w:rsid w:val="005B47A4"/>
    <w:rsid w:val="005B4E1C"/>
    <w:rsid w:val="005B500B"/>
    <w:rsid w:val="005B5C60"/>
    <w:rsid w:val="005B5C8A"/>
    <w:rsid w:val="005B6405"/>
    <w:rsid w:val="005B65DE"/>
    <w:rsid w:val="005B6843"/>
    <w:rsid w:val="005B68C0"/>
    <w:rsid w:val="005B70ED"/>
    <w:rsid w:val="005B7196"/>
    <w:rsid w:val="005B74C6"/>
    <w:rsid w:val="005B7D4A"/>
    <w:rsid w:val="005C008D"/>
    <w:rsid w:val="005C019A"/>
    <w:rsid w:val="005C0278"/>
    <w:rsid w:val="005C0480"/>
    <w:rsid w:val="005C0A62"/>
    <w:rsid w:val="005C0BF6"/>
    <w:rsid w:val="005C0CBC"/>
    <w:rsid w:val="005C12D2"/>
    <w:rsid w:val="005C144F"/>
    <w:rsid w:val="005C20A7"/>
    <w:rsid w:val="005C210D"/>
    <w:rsid w:val="005C2114"/>
    <w:rsid w:val="005C2575"/>
    <w:rsid w:val="005C27AF"/>
    <w:rsid w:val="005C282C"/>
    <w:rsid w:val="005C2C2F"/>
    <w:rsid w:val="005C308A"/>
    <w:rsid w:val="005C32B1"/>
    <w:rsid w:val="005C32DE"/>
    <w:rsid w:val="005C37FC"/>
    <w:rsid w:val="005C383C"/>
    <w:rsid w:val="005C38EA"/>
    <w:rsid w:val="005C3A0C"/>
    <w:rsid w:val="005C40CA"/>
    <w:rsid w:val="005C413D"/>
    <w:rsid w:val="005C4395"/>
    <w:rsid w:val="005C46D9"/>
    <w:rsid w:val="005C47A5"/>
    <w:rsid w:val="005C47B6"/>
    <w:rsid w:val="005C4BBB"/>
    <w:rsid w:val="005C4BF2"/>
    <w:rsid w:val="005C4D13"/>
    <w:rsid w:val="005C51BB"/>
    <w:rsid w:val="005C5EDA"/>
    <w:rsid w:val="005C65E0"/>
    <w:rsid w:val="005C7C8A"/>
    <w:rsid w:val="005C7E9A"/>
    <w:rsid w:val="005C7EF0"/>
    <w:rsid w:val="005D01FD"/>
    <w:rsid w:val="005D05B8"/>
    <w:rsid w:val="005D0617"/>
    <w:rsid w:val="005D097C"/>
    <w:rsid w:val="005D10FA"/>
    <w:rsid w:val="005D11BE"/>
    <w:rsid w:val="005D19E0"/>
    <w:rsid w:val="005D2011"/>
    <w:rsid w:val="005D20A7"/>
    <w:rsid w:val="005D2E3B"/>
    <w:rsid w:val="005D2E90"/>
    <w:rsid w:val="005D37AA"/>
    <w:rsid w:val="005D3BFD"/>
    <w:rsid w:val="005D42A5"/>
    <w:rsid w:val="005D4B3D"/>
    <w:rsid w:val="005D4B4D"/>
    <w:rsid w:val="005D4DFD"/>
    <w:rsid w:val="005D57DB"/>
    <w:rsid w:val="005D5A53"/>
    <w:rsid w:val="005D5A60"/>
    <w:rsid w:val="005D5B4C"/>
    <w:rsid w:val="005D5CAC"/>
    <w:rsid w:val="005D6052"/>
    <w:rsid w:val="005D7249"/>
    <w:rsid w:val="005D7EE4"/>
    <w:rsid w:val="005E0A23"/>
    <w:rsid w:val="005E0F4D"/>
    <w:rsid w:val="005E1309"/>
    <w:rsid w:val="005E1B0F"/>
    <w:rsid w:val="005E1E35"/>
    <w:rsid w:val="005E2244"/>
    <w:rsid w:val="005E271A"/>
    <w:rsid w:val="005E2B61"/>
    <w:rsid w:val="005E2F61"/>
    <w:rsid w:val="005E377B"/>
    <w:rsid w:val="005E3D05"/>
    <w:rsid w:val="005E3F3C"/>
    <w:rsid w:val="005E3F85"/>
    <w:rsid w:val="005E409B"/>
    <w:rsid w:val="005E479A"/>
    <w:rsid w:val="005E47BA"/>
    <w:rsid w:val="005E49F9"/>
    <w:rsid w:val="005E4B4C"/>
    <w:rsid w:val="005E4DFC"/>
    <w:rsid w:val="005E4ECE"/>
    <w:rsid w:val="005E4F0B"/>
    <w:rsid w:val="005E560B"/>
    <w:rsid w:val="005E59B3"/>
    <w:rsid w:val="005E6373"/>
    <w:rsid w:val="005E6734"/>
    <w:rsid w:val="005E7374"/>
    <w:rsid w:val="005E76AF"/>
    <w:rsid w:val="005E78D0"/>
    <w:rsid w:val="005F045B"/>
    <w:rsid w:val="005F04CC"/>
    <w:rsid w:val="005F087F"/>
    <w:rsid w:val="005F08D9"/>
    <w:rsid w:val="005F0FF8"/>
    <w:rsid w:val="005F1184"/>
    <w:rsid w:val="005F17BD"/>
    <w:rsid w:val="005F1921"/>
    <w:rsid w:val="005F21A4"/>
    <w:rsid w:val="005F24D0"/>
    <w:rsid w:val="005F2968"/>
    <w:rsid w:val="005F29B1"/>
    <w:rsid w:val="005F3005"/>
    <w:rsid w:val="005F319E"/>
    <w:rsid w:val="005F3830"/>
    <w:rsid w:val="005F395C"/>
    <w:rsid w:val="005F3AA2"/>
    <w:rsid w:val="005F417B"/>
    <w:rsid w:val="005F492B"/>
    <w:rsid w:val="005F4D1E"/>
    <w:rsid w:val="005F4EC8"/>
    <w:rsid w:val="005F51D5"/>
    <w:rsid w:val="005F5EC4"/>
    <w:rsid w:val="005F6039"/>
    <w:rsid w:val="005F63E2"/>
    <w:rsid w:val="005F65B1"/>
    <w:rsid w:val="005F69EA"/>
    <w:rsid w:val="005F6B40"/>
    <w:rsid w:val="005F6C50"/>
    <w:rsid w:val="005F7916"/>
    <w:rsid w:val="006000DE"/>
    <w:rsid w:val="0060074C"/>
    <w:rsid w:val="00600840"/>
    <w:rsid w:val="0060093C"/>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858"/>
    <w:rsid w:val="006066F3"/>
    <w:rsid w:val="00606881"/>
    <w:rsid w:val="00606CDD"/>
    <w:rsid w:val="00606E8D"/>
    <w:rsid w:val="0060751D"/>
    <w:rsid w:val="00607658"/>
    <w:rsid w:val="00607771"/>
    <w:rsid w:val="00607A12"/>
    <w:rsid w:val="00607B81"/>
    <w:rsid w:val="00610498"/>
    <w:rsid w:val="006106A6"/>
    <w:rsid w:val="0061118E"/>
    <w:rsid w:val="006115C2"/>
    <w:rsid w:val="00611C09"/>
    <w:rsid w:val="006124A3"/>
    <w:rsid w:val="0061275E"/>
    <w:rsid w:val="006135A9"/>
    <w:rsid w:val="00613AD3"/>
    <w:rsid w:val="00613DA1"/>
    <w:rsid w:val="00614312"/>
    <w:rsid w:val="0061440F"/>
    <w:rsid w:val="006148CA"/>
    <w:rsid w:val="006148E4"/>
    <w:rsid w:val="00614F4B"/>
    <w:rsid w:val="006155E3"/>
    <w:rsid w:val="006157B1"/>
    <w:rsid w:val="00615E39"/>
    <w:rsid w:val="00616A82"/>
    <w:rsid w:val="00616C7F"/>
    <w:rsid w:val="006175D9"/>
    <w:rsid w:val="006176C5"/>
    <w:rsid w:val="00617966"/>
    <w:rsid w:val="00620217"/>
    <w:rsid w:val="0062022B"/>
    <w:rsid w:val="006203CE"/>
    <w:rsid w:val="00620462"/>
    <w:rsid w:val="00620543"/>
    <w:rsid w:val="006206BE"/>
    <w:rsid w:val="0062083C"/>
    <w:rsid w:val="00620D71"/>
    <w:rsid w:val="006210E0"/>
    <w:rsid w:val="00621119"/>
    <w:rsid w:val="00621574"/>
    <w:rsid w:val="00621706"/>
    <w:rsid w:val="006217B0"/>
    <w:rsid w:val="00621868"/>
    <w:rsid w:val="00621DB2"/>
    <w:rsid w:val="00621E78"/>
    <w:rsid w:val="0062233E"/>
    <w:rsid w:val="00622558"/>
    <w:rsid w:val="0062264F"/>
    <w:rsid w:val="00622DE0"/>
    <w:rsid w:val="0062348B"/>
    <w:rsid w:val="00623657"/>
    <w:rsid w:val="00623BB1"/>
    <w:rsid w:val="00623E1C"/>
    <w:rsid w:val="00623FF0"/>
    <w:rsid w:val="00624702"/>
    <w:rsid w:val="006248F3"/>
    <w:rsid w:val="0062495D"/>
    <w:rsid w:val="006255B1"/>
    <w:rsid w:val="0062568D"/>
    <w:rsid w:val="0062653F"/>
    <w:rsid w:val="006275D5"/>
    <w:rsid w:val="00627834"/>
    <w:rsid w:val="00627DFE"/>
    <w:rsid w:val="00630127"/>
    <w:rsid w:val="006302B3"/>
    <w:rsid w:val="00630996"/>
    <w:rsid w:val="00630CD3"/>
    <w:rsid w:val="0063134E"/>
    <w:rsid w:val="00631726"/>
    <w:rsid w:val="00631FD5"/>
    <w:rsid w:val="00632388"/>
    <w:rsid w:val="00632515"/>
    <w:rsid w:val="00632861"/>
    <w:rsid w:val="00632869"/>
    <w:rsid w:val="00633139"/>
    <w:rsid w:val="0063317C"/>
    <w:rsid w:val="0063348E"/>
    <w:rsid w:val="006338D1"/>
    <w:rsid w:val="00633A93"/>
    <w:rsid w:val="00633BDD"/>
    <w:rsid w:val="0063414E"/>
    <w:rsid w:val="00634758"/>
    <w:rsid w:val="00634993"/>
    <w:rsid w:val="006349A8"/>
    <w:rsid w:val="0063505A"/>
    <w:rsid w:val="00635C9F"/>
    <w:rsid w:val="00635FD1"/>
    <w:rsid w:val="0063617A"/>
    <w:rsid w:val="00636216"/>
    <w:rsid w:val="006366F3"/>
    <w:rsid w:val="00636B32"/>
    <w:rsid w:val="00636B96"/>
    <w:rsid w:val="00637109"/>
    <w:rsid w:val="006378A5"/>
    <w:rsid w:val="00637B2C"/>
    <w:rsid w:val="00640088"/>
    <w:rsid w:val="006402EE"/>
    <w:rsid w:val="0064065F"/>
    <w:rsid w:val="006407E2"/>
    <w:rsid w:val="006408E2"/>
    <w:rsid w:val="006409D2"/>
    <w:rsid w:val="00640D2F"/>
    <w:rsid w:val="0064166B"/>
    <w:rsid w:val="00641A5C"/>
    <w:rsid w:val="00641BD9"/>
    <w:rsid w:val="006428EC"/>
    <w:rsid w:val="00642DDD"/>
    <w:rsid w:val="00642F48"/>
    <w:rsid w:val="00642FE5"/>
    <w:rsid w:val="00643296"/>
    <w:rsid w:val="006435A0"/>
    <w:rsid w:val="006439D6"/>
    <w:rsid w:val="00644659"/>
    <w:rsid w:val="00644B9F"/>
    <w:rsid w:val="00644D5A"/>
    <w:rsid w:val="00644E71"/>
    <w:rsid w:val="006453C2"/>
    <w:rsid w:val="0064562C"/>
    <w:rsid w:val="00645976"/>
    <w:rsid w:val="006467B4"/>
    <w:rsid w:val="006467DF"/>
    <w:rsid w:val="00646A6D"/>
    <w:rsid w:val="00646B23"/>
    <w:rsid w:val="00646EFB"/>
    <w:rsid w:val="00647213"/>
    <w:rsid w:val="00647839"/>
    <w:rsid w:val="00647F42"/>
    <w:rsid w:val="00647F66"/>
    <w:rsid w:val="00650A81"/>
    <w:rsid w:val="00651857"/>
    <w:rsid w:val="00651933"/>
    <w:rsid w:val="00651AE7"/>
    <w:rsid w:val="00651BC6"/>
    <w:rsid w:val="00651CCE"/>
    <w:rsid w:val="00651F5F"/>
    <w:rsid w:val="00651FFF"/>
    <w:rsid w:val="006521E3"/>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E2A"/>
    <w:rsid w:val="00656F94"/>
    <w:rsid w:val="00657307"/>
    <w:rsid w:val="00657736"/>
    <w:rsid w:val="00657737"/>
    <w:rsid w:val="00657C87"/>
    <w:rsid w:val="00660079"/>
    <w:rsid w:val="006601FC"/>
    <w:rsid w:val="0066021E"/>
    <w:rsid w:val="00660813"/>
    <w:rsid w:val="0066120B"/>
    <w:rsid w:val="0066144B"/>
    <w:rsid w:val="006621DE"/>
    <w:rsid w:val="00662541"/>
    <w:rsid w:val="00662D42"/>
    <w:rsid w:val="00662D65"/>
    <w:rsid w:val="00662EFC"/>
    <w:rsid w:val="00662F34"/>
    <w:rsid w:val="006632C9"/>
    <w:rsid w:val="0066343B"/>
    <w:rsid w:val="006634D8"/>
    <w:rsid w:val="00663563"/>
    <w:rsid w:val="00663B8D"/>
    <w:rsid w:val="00664546"/>
    <w:rsid w:val="00664FCB"/>
    <w:rsid w:val="0066501F"/>
    <w:rsid w:val="00665075"/>
    <w:rsid w:val="006651CE"/>
    <w:rsid w:val="0066520D"/>
    <w:rsid w:val="00665510"/>
    <w:rsid w:val="006657EA"/>
    <w:rsid w:val="00665A77"/>
    <w:rsid w:val="00666028"/>
    <w:rsid w:val="00666042"/>
    <w:rsid w:val="00666225"/>
    <w:rsid w:val="0066639B"/>
    <w:rsid w:val="006666CA"/>
    <w:rsid w:val="006667D3"/>
    <w:rsid w:val="006668AB"/>
    <w:rsid w:val="0066698D"/>
    <w:rsid w:val="00666A0F"/>
    <w:rsid w:val="00666E12"/>
    <w:rsid w:val="00666F14"/>
    <w:rsid w:val="00666FC5"/>
    <w:rsid w:val="006673DE"/>
    <w:rsid w:val="00667A10"/>
    <w:rsid w:val="0067031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7781E"/>
    <w:rsid w:val="0068048E"/>
    <w:rsid w:val="00681C16"/>
    <w:rsid w:val="00681C4E"/>
    <w:rsid w:val="00681D8A"/>
    <w:rsid w:val="00681FCF"/>
    <w:rsid w:val="0068244E"/>
    <w:rsid w:val="00682A07"/>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AAA"/>
    <w:rsid w:val="00687CCE"/>
    <w:rsid w:val="00687E52"/>
    <w:rsid w:val="00690451"/>
    <w:rsid w:val="00690776"/>
    <w:rsid w:val="00690AB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51C4"/>
    <w:rsid w:val="006957BF"/>
    <w:rsid w:val="00695834"/>
    <w:rsid w:val="00695CD7"/>
    <w:rsid w:val="006968F2"/>
    <w:rsid w:val="00696D3A"/>
    <w:rsid w:val="006972D4"/>
    <w:rsid w:val="006974A6"/>
    <w:rsid w:val="006A00CF"/>
    <w:rsid w:val="006A0835"/>
    <w:rsid w:val="006A0D68"/>
    <w:rsid w:val="006A129B"/>
    <w:rsid w:val="006A17DB"/>
    <w:rsid w:val="006A2BA1"/>
    <w:rsid w:val="006A2C46"/>
    <w:rsid w:val="006A4343"/>
    <w:rsid w:val="006A498A"/>
    <w:rsid w:val="006A5A79"/>
    <w:rsid w:val="006A625D"/>
    <w:rsid w:val="006A696D"/>
    <w:rsid w:val="006A6971"/>
    <w:rsid w:val="006A6BB1"/>
    <w:rsid w:val="006A6DE4"/>
    <w:rsid w:val="006A6EAB"/>
    <w:rsid w:val="006A73B0"/>
    <w:rsid w:val="006A74E9"/>
    <w:rsid w:val="006A76C2"/>
    <w:rsid w:val="006A789D"/>
    <w:rsid w:val="006A7C31"/>
    <w:rsid w:val="006B004D"/>
    <w:rsid w:val="006B0490"/>
    <w:rsid w:val="006B079B"/>
    <w:rsid w:val="006B07E8"/>
    <w:rsid w:val="006B083F"/>
    <w:rsid w:val="006B09C8"/>
    <w:rsid w:val="006B0C9A"/>
    <w:rsid w:val="006B0DEF"/>
    <w:rsid w:val="006B11BE"/>
    <w:rsid w:val="006B174A"/>
    <w:rsid w:val="006B1F6A"/>
    <w:rsid w:val="006B26ED"/>
    <w:rsid w:val="006B2920"/>
    <w:rsid w:val="006B2C67"/>
    <w:rsid w:val="006B3551"/>
    <w:rsid w:val="006B3AE4"/>
    <w:rsid w:val="006B3BED"/>
    <w:rsid w:val="006B41B8"/>
    <w:rsid w:val="006B4544"/>
    <w:rsid w:val="006B4F40"/>
    <w:rsid w:val="006B52F3"/>
    <w:rsid w:val="006B55B8"/>
    <w:rsid w:val="006B561D"/>
    <w:rsid w:val="006B5EC1"/>
    <w:rsid w:val="006B6145"/>
    <w:rsid w:val="006B6295"/>
    <w:rsid w:val="006B6468"/>
    <w:rsid w:val="006B65C7"/>
    <w:rsid w:val="006B68D6"/>
    <w:rsid w:val="006B6C5E"/>
    <w:rsid w:val="006B6C9D"/>
    <w:rsid w:val="006B7A42"/>
    <w:rsid w:val="006C0441"/>
    <w:rsid w:val="006C070C"/>
    <w:rsid w:val="006C072A"/>
    <w:rsid w:val="006C0B58"/>
    <w:rsid w:val="006C0E2A"/>
    <w:rsid w:val="006C1535"/>
    <w:rsid w:val="006C1C96"/>
    <w:rsid w:val="006C1ED5"/>
    <w:rsid w:val="006C22C8"/>
    <w:rsid w:val="006C2697"/>
    <w:rsid w:val="006C28BE"/>
    <w:rsid w:val="006C2BC5"/>
    <w:rsid w:val="006C31D5"/>
    <w:rsid w:val="006C3654"/>
    <w:rsid w:val="006C3F66"/>
    <w:rsid w:val="006C3F85"/>
    <w:rsid w:val="006C40BC"/>
    <w:rsid w:val="006C41DD"/>
    <w:rsid w:val="006C471E"/>
    <w:rsid w:val="006C50F9"/>
    <w:rsid w:val="006C55F3"/>
    <w:rsid w:val="006C560F"/>
    <w:rsid w:val="006C6329"/>
    <w:rsid w:val="006C64FC"/>
    <w:rsid w:val="006C68BD"/>
    <w:rsid w:val="006C6BCF"/>
    <w:rsid w:val="006C7BA2"/>
    <w:rsid w:val="006D01F6"/>
    <w:rsid w:val="006D07DD"/>
    <w:rsid w:val="006D07FC"/>
    <w:rsid w:val="006D0839"/>
    <w:rsid w:val="006D099F"/>
    <w:rsid w:val="006D106C"/>
    <w:rsid w:val="006D124D"/>
    <w:rsid w:val="006D16A3"/>
    <w:rsid w:val="006D175A"/>
    <w:rsid w:val="006D1C74"/>
    <w:rsid w:val="006D1F1D"/>
    <w:rsid w:val="006D215B"/>
    <w:rsid w:val="006D2AE0"/>
    <w:rsid w:val="006D2F7E"/>
    <w:rsid w:val="006D38FC"/>
    <w:rsid w:val="006D393C"/>
    <w:rsid w:val="006D4167"/>
    <w:rsid w:val="006D42CC"/>
    <w:rsid w:val="006D48A6"/>
    <w:rsid w:val="006D5296"/>
    <w:rsid w:val="006D53ED"/>
    <w:rsid w:val="006D55D4"/>
    <w:rsid w:val="006D5733"/>
    <w:rsid w:val="006D5747"/>
    <w:rsid w:val="006D58EB"/>
    <w:rsid w:val="006D5959"/>
    <w:rsid w:val="006D5A8A"/>
    <w:rsid w:val="006D627E"/>
    <w:rsid w:val="006D6413"/>
    <w:rsid w:val="006D66F8"/>
    <w:rsid w:val="006D7075"/>
    <w:rsid w:val="006D78C5"/>
    <w:rsid w:val="006D7A4C"/>
    <w:rsid w:val="006E091D"/>
    <w:rsid w:val="006E0FC3"/>
    <w:rsid w:val="006E104F"/>
    <w:rsid w:val="006E15EB"/>
    <w:rsid w:val="006E1AC6"/>
    <w:rsid w:val="006E1B68"/>
    <w:rsid w:val="006E20D9"/>
    <w:rsid w:val="006E27EB"/>
    <w:rsid w:val="006E3076"/>
    <w:rsid w:val="006E32F7"/>
    <w:rsid w:val="006E458C"/>
    <w:rsid w:val="006E496B"/>
    <w:rsid w:val="006E4BE4"/>
    <w:rsid w:val="006E4BFD"/>
    <w:rsid w:val="006E51D5"/>
    <w:rsid w:val="006E5C87"/>
    <w:rsid w:val="006E7BAF"/>
    <w:rsid w:val="006E7BC8"/>
    <w:rsid w:val="006F0200"/>
    <w:rsid w:val="006F0440"/>
    <w:rsid w:val="006F0473"/>
    <w:rsid w:val="006F06DE"/>
    <w:rsid w:val="006F09D3"/>
    <w:rsid w:val="006F0DCC"/>
    <w:rsid w:val="006F15C3"/>
    <w:rsid w:val="006F1611"/>
    <w:rsid w:val="006F16B5"/>
    <w:rsid w:val="006F1AE4"/>
    <w:rsid w:val="006F22B6"/>
    <w:rsid w:val="006F22CA"/>
    <w:rsid w:val="006F230A"/>
    <w:rsid w:val="006F2861"/>
    <w:rsid w:val="006F387B"/>
    <w:rsid w:val="006F38C2"/>
    <w:rsid w:val="006F3A0C"/>
    <w:rsid w:val="006F41DC"/>
    <w:rsid w:val="006F496C"/>
    <w:rsid w:val="006F4D17"/>
    <w:rsid w:val="006F4E1B"/>
    <w:rsid w:val="006F4EFB"/>
    <w:rsid w:val="006F55FE"/>
    <w:rsid w:val="006F5653"/>
    <w:rsid w:val="006F58E0"/>
    <w:rsid w:val="006F5D24"/>
    <w:rsid w:val="006F5F52"/>
    <w:rsid w:val="006F669F"/>
    <w:rsid w:val="006F6DCE"/>
    <w:rsid w:val="006F6F9D"/>
    <w:rsid w:val="006F7931"/>
    <w:rsid w:val="006F7DCE"/>
    <w:rsid w:val="00700155"/>
    <w:rsid w:val="007001F0"/>
    <w:rsid w:val="0070046E"/>
    <w:rsid w:val="00700F67"/>
    <w:rsid w:val="00701054"/>
    <w:rsid w:val="007017F3"/>
    <w:rsid w:val="00701A4C"/>
    <w:rsid w:val="00701C28"/>
    <w:rsid w:val="00701E61"/>
    <w:rsid w:val="007021B9"/>
    <w:rsid w:val="007021FD"/>
    <w:rsid w:val="007024D5"/>
    <w:rsid w:val="00702A28"/>
    <w:rsid w:val="00702A46"/>
    <w:rsid w:val="00702BA1"/>
    <w:rsid w:val="00702BE3"/>
    <w:rsid w:val="00702D30"/>
    <w:rsid w:val="00702D6F"/>
    <w:rsid w:val="00702EF6"/>
    <w:rsid w:val="00702F9D"/>
    <w:rsid w:val="007035C3"/>
    <w:rsid w:val="00703A08"/>
    <w:rsid w:val="00703BB4"/>
    <w:rsid w:val="00703D77"/>
    <w:rsid w:val="007041DA"/>
    <w:rsid w:val="0070438C"/>
    <w:rsid w:val="007044A3"/>
    <w:rsid w:val="00704693"/>
    <w:rsid w:val="00705122"/>
    <w:rsid w:val="00705B0F"/>
    <w:rsid w:val="00705D05"/>
    <w:rsid w:val="00705D60"/>
    <w:rsid w:val="0070614F"/>
    <w:rsid w:val="007061CF"/>
    <w:rsid w:val="007064AA"/>
    <w:rsid w:val="00707582"/>
    <w:rsid w:val="00707F3D"/>
    <w:rsid w:val="007101C0"/>
    <w:rsid w:val="007102C9"/>
    <w:rsid w:val="00710937"/>
    <w:rsid w:val="00710D0A"/>
    <w:rsid w:val="00710ED9"/>
    <w:rsid w:val="007113B5"/>
    <w:rsid w:val="0071176E"/>
    <w:rsid w:val="00711ADB"/>
    <w:rsid w:val="007120B5"/>
    <w:rsid w:val="0071213C"/>
    <w:rsid w:val="0071237C"/>
    <w:rsid w:val="00712419"/>
    <w:rsid w:val="007125DD"/>
    <w:rsid w:val="00712D88"/>
    <w:rsid w:val="0071324E"/>
    <w:rsid w:val="00713329"/>
    <w:rsid w:val="00713E03"/>
    <w:rsid w:val="00714092"/>
    <w:rsid w:val="007142C8"/>
    <w:rsid w:val="00714FF3"/>
    <w:rsid w:val="0071528B"/>
    <w:rsid w:val="00715570"/>
    <w:rsid w:val="00715765"/>
    <w:rsid w:val="00715CF7"/>
    <w:rsid w:val="00715EC6"/>
    <w:rsid w:val="00715FE5"/>
    <w:rsid w:val="00716203"/>
    <w:rsid w:val="00716434"/>
    <w:rsid w:val="007166CA"/>
    <w:rsid w:val="00716AAC"/>
    <w:rsid w:val="00716D5C"/>
    <w:rsid w:val="00717F9B"/>
    <w:rsid w:val="00720844"/>
    <w:rsid w:val="00720D50"/>
    <w:rsid w:val="00721154"/>
    <w:rsid w:val="00722034"/>
    <w:rsid w:val="0072231E"/>
    <w:rsid w:val="00722826"/>
    <w:rsid w:val="00722E0A"/>
    <w:rsid w:val="00722E90"/>
    <w:rsid w:val="00722ED1"/>
    <w:rsid w:val="00723207"/>
    <w:rsid w:val="00723438"/>
    <w:rsid w:val="0072355C"/>
    <w:rsid w:val="00723756"/>
    <w:rsid w:val="0072388F"/>
    <w:rsid w:val="00723F15"/>
    <w:rsid w:val="007248A0"/>
    <w:rsid w:val="00724E68"/>
    <w:rsid w:val="007250FE"/>
    <w:rsid w:val="0072521E"/>
    <w:rsid w:val="00725417"/>
    <w:rsid w:val="00725D42"/>
    <w:rsid w:val="00725E7F"/>
    <w:rsid w:val="007262FF"/>
    <w:rsid w:val="007264A1"/>
    <w:rsid w:val="007265E5"/>
    <w:rsid w:val="007269FB"/>
    <w:rsid w:val="00726FD0"/>
    <w:rsid w:val="007272C4"/>
    <w:rsid w:val="007277D1"/>
    <w:rsid w:val="007278B2"/>
    <w:rsid w:val="007278EA"/>
    <w:rsid w:val="00727DBB"/>
    <w:rsid w:val="00727F80"/>
    <w:rsid w:val="007303EE"/>
    <w:rsid w:val="007305AB"/>
    <w:rsid w:val="007306AD"/>
    <w:rsid w:val="0073081C"/>
    <w:rsid w:val="00730ECD"/>
    <w:rsid w:val="00731702"/>
    <w:rsid w:val="007318D7"/>
    <w:rsid w:val="00731A9C"/>
    <w:rsid w:val="00732945"/>
    <w:rsid w:val="00732E56"/>
    <w:rsid w:val="00732F6E"/>
    <w:rsid w:val="007330CE"/>
    <w:rsid w:val="0073353E"/>
    <w:rsid w:val="00733838"/>
    <w:rsid w:val="00733A82"/>
    <w:rsid w:val="00733EA9"/>
    <w:rsid w:val="0073441E"/>
    <w:rsid w:val="00734695"/>
    <w:rsid w:val="0073524B"/>
    <w:rsid w:val="00735315"/>
    <w:rsid w:val="007359D1"/>
    <w:rsid w:val="00735A94"/>
    <w:rsid w:val="00735FCF"/>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FCD"/>
    <w:rsid w:val="007420C7"/>
    <w:rsid w:val="00742426"/>
    <w:rsid w:val="00742600"/>
    <w:rsid w:val="0074266A"/>
    <w:rsid w:val="00742AFE"/>
    <w:rsid w:val="00742E40"/>
    <w:rsid w:val="00742F94"/>
    <w:rsid w:val="0074318C"/>
    <w:rsid w:val="00743275"/>
    <w:rsid w:val="007433CD"/>
    <w:rsid w:val="00744017"/>
    <w:rsid w:val="00744082"/>
    <w:rsid w:val="00744186"/>
    <w:rsid w:val="007445B8"/>
    <w:rsid w:val="00744C67"/>
    <w:rsid w:val="0074537F"/>
    <w:rsid w:val="00745590"/>
    <w:rsid w:val="00746118"/>
    <w:rsid w:val="007464CF"/>
    <w:rsid w:val="007469E8"/>
    <w:rsid w:val="0074712E"/>
    <w:rsid w:val="007471B4"/>
    <w:rsid w:val="007479A3"/>
    <w:rsid w:val="007502D0"/>
    <w:rsid w:val="00750878"/>
    <w:rsid w:val="00750A3C"/>
    <w:rsid w:val="00750ACE"/>
    <w:rsid w:val="00750E89"/>
    <w:rsid w:val="00751677"/>
    <w:rsid w:val="0075176C"/>
    <w:rsid w:val="00752041"/>
    <w:rsid w:val="007520C0"/>
    <w:rsid w:val="007523C1"/>
    <w:rsid w:val="0075243C"/>
    <w:rsid w:val="007538DD"/>
    <w:rsid w:val="0075394B"/>
    <w:rsid w:val="00753B94"/>
    <w:rsid w:val="00753C35"/>
    <w:rsid w:val="0075430F"/>
    <w:rsid w:val="007545C4"/>
    <w:rsid w:val="00754838"/>
    <w:rsid w:val="00755E44"/>
    <w:rsid w:val="00755FF8"/>
    <w:rsid w:val="00756090"/>
    <w:rsid w:val="00756B7B"/>
    <w:rsid w:val="00756C84"/>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8BE"/>
    <w:rsid w:val="00767A61"/>
    <w:rsid w:val="00767F6B"/>
    <w:rsid w:val="007704E6"/>
    <w:rsid w:val="00770639"/>
    <w:rsid w:val="00770748"/>
    <w:rsid w:val="00770888"/>
    <w:rsid w:val="007716CD"/>
    <w:rsid w:val="00771C1D"/>
    <w:rsid w:val="00771E8B"/>
    <w:rsid w:val="00771F46"/>
    <w:rsid w:val="0077201D"/>
    <w:rsid w:val="007724B1"/>
    <w:rsid w:val="007725E6"/>
    <w:rsid w:val="0077294E"/>
    <w:rsid w:val="0077320F"/>
    <w:rsid w:val="007733A9"/>
    <w:rsid w:val="0077369A"/>
    <w:rsid w:val="00773772"/>
    <w:rsid w:val="00773CEE"/>
    <w:rsid w:val="00774349"/>
    <w:rsid w:val="0077560B"/>
    <w:rsid w:val="00775777"/>
    <w:rsid w:val="007759A6"/>
    <w:rsid w:val="00775F31"/>
    <w:rsid w:val="0077606A"/>
    <w:rsid w:val="00776753"/>
    <w:rsid w:val="00776B79"/>
    <w:rsid w:val="00776C6B"/>
    <w:rsid w:val="00776D10"/>
    <w:rsid w:val="00776D5A"/>
    <w:rsid w:val="00777482"/>
    <w:rsid w:val="007778B6"/>
    <w:rsid w:val="00777A20"/>
    <w:rsid w:val="00777ABB"/>
    <w:rsid w:val="00777EC0"/>
    <w:rsid w:val="0078091A"/>
    <w:rsid w:val="00780E21"/>
    <w:rsid w:val="00781024"/>
    <w:rsid w:val="007816EF"/>
    <w:rsid w:val="00781D7E"/>
    <w:rsid w:val="00781F08"/>
    <w:rsid w:val="00781FF3"/>
    <w:rsid w:val="00782451"/>
    <w:rsid w:val="00782AFB"/>
    <w:rsid w:val="00783900"/>
    <w:rsid w:val="00783948"/>
    <w:rsid w:val="00783F1B"/>
    <w:rsid w:val="00784177"/>
    <w:rsid w:val="0078421E"/>
    <w:rsid w:val="007842F1"/>
    <w:rsid w:val="00784516"/>
    <w:rsid w:val="00784C51"/>
    <w:rsid w:val="00784D3A"/>
    <w:rsid w:val="0078506F"/>
    <w:rsid w:val="007850B6"/>
    <w:rsid w:val="007858CF"/>
    <w:rsid w:val="0078594E"/>
    <w:rsid w:val="007859A8"/>
    <w:rsid w:val="00785A5B"/>
    <w:rsid w:val="00785CCB"/>
    <w:rsid w:val="00786319"/>
    <w:rsid w:val="00786418"/>
    <w:rsid w:val="00786442"/>
    <w:rsid w:val="00786649"/>
    <w:rsid w:val="0078673D"/>
    <w:rsid w:val="00786C42"/>
    <w:rsid w:val="00786E4F"/>
    <w:rsid w:val="00786ED1"/>
    <w:rsid w:val="007879EE"/>
    <w:rsid w:val="00787BAE"/>
    <w:rsid w:val="00787DE3"/>
    <w:rsid w:val="00787EE4"/>
    <w:rsid w:val="0079016D"/>
    <w:rsid w:val="00790182"/>
    <w:rsid w:val="00790324"/>
    <w:rsid w:val="007912F7"/>
    <w:rsid w:val="00791307"/>
    <w:rsid w:val="00791514"/>
    <w:rsid w:val="00791BFA"/>
    <w:rsid w:val="00792855"/>
    <w:rsid w:val="00792C4A"/>
    <w:rsid w:val="00792DAF"/>
    <w:rsid w:val="00793629"/>
    <w:rsid w:val="007937F3"/>
    <w:rsid w:val="0079386D"/>
    <w:rsid w:val="00793A32"/>
    <w:rsid w:val="00793CDA"/>
    <w:rsid w:val="00793E6A"/>
    <w:rsid w:val="0079443A"/>
    <w:rsid w:val="007945E8"/>
    <w:rsid w:val="0079467C"/>
    <w:rsid w:val="00794862"/>
    <w:rsid w:val="0079488C"/>
    <w:rsid w:val="00794B2C"/>
    <w:rsid w:val="007951F2"/>
    <w:rsid w:val="00795DCA"/>
    <w:rsid w:val="00795E1B"/>
    <w:rsid w:val="007965A0"/>
    <w:rsid w:val="00796658"/>
    <w:rsid w:val="00796BD8"/>
    <w:rsid w:val="00796F96"/>
    <w:rsid w:val="0079781C"/>
    <w:rsid w:val="007A05DD"/>
    <w:rsid w:val="007A06B0"/>
    <w:rsid w:val="007A0A19"/>
    <w:rsid w:val="007A1273"/>
    <w:rsid w:val="007A12D6"/>
    <w:rsid w:val="007A1C02"/>
    <w:rsid w:val="007A1D5C"/>
    <w:rsid w:val="007A23A9"/>
    <w:rsid w:val="007A274B"/>
    <w:rsid w:val="007A2BC9"/>
    <w:rsid w:val="007A2E27"/>
    <w:rsid w:val="007A3386"/>
    <w:rsid w:val="007A3701"/>
    <w:rsid w:val="007A3AC7"/>
    <w:rsid w:val="007A3B9A"/>
    <w:rsid w:val="007A4A10"/>
    <w:rsid w:val="007A4ABE"/>
    <w:rsid w:val="007A4DD5"/>
    <w:rsid w:val="007A5017"/>
    <w:rsid w:val="007A5064"/>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A"/>
    <w:rsid w:val="007B1CFA"/>
    <w:rsid w:val="007B212F"/>
    <w:rsid w:val="007B313E"/>
    <w:rsid w:val="007B32A8"/>
    <w:rsid w:val="007B3415"/>
    <w:rsid w:val="007B3C09"/>
    <w:rsid w:val="007B3C3D"/>
    <w:rsid w:val="007B3EA1"/>
    <w:rsid w:val="007B3FAA"/>
    <w:rsid w:val="007B3FBC"/>
    <w:rsid w:val="007B40F8"/>
    <w:rsid w:val="007B413F"/>
    <w:rsid w:val="007B429F"/>
    <w:rsid w:val="007B4B50"/>
    <w:rsid w:val="007B5201"/>
    <w:rsid w:val="007B55BF"/>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A54"/>
    <w:rsid w:val="007C0A85"/>
    <w:rsid w:val="007C0E20"/>
    <w:rsid w:val="007C0EC9"/>
    <w:rsid w:val="007C0EF7"/>
    <w:rsid w:val="007C1012"/>
    <w:rsid w:val="007C112A"/>
    <w:rsid w:val="007C15AA"/>
    <w:rsid w:val="007C217B"/>
    <w:rsid w:val="007C23EB"/>
    <w:rsid w:val="007C2555"/>
    <w:rsid w:val="007C2A90"/>
    <w:rsid w:val="007C2AB7"/>
    <w:rsid w:val="007C2E62"/>
    <w:rsid w:val="007C35F7"/>
    <w:rsid w:val="007C451D"/>
    <w:rsid w:val="007C45E0"/>
    <w:rsid w:val="007C474B"/>
    <w:rsid w:val="007C48E0"/>
    <w:rsid w:val="007C56F6"/>
    <w:rsid w:val="007C5C0C"/>
    <w:rsid w:val="007C5E2A"/>
    <w:rsid w:val="007C5EB3"/>
    <w:rsid w:val="007C5EED"/>
    <w:rsid w:val="007C659D"/>
    <w:rsid w:val="007C6B42"/>
    <w:rsid w:val="007C70FF"/>
    <w:rsid w:val="007C747C"/>
    <w:rsid w:val="007C74E7"/>
    <w:rsid w:val="007C7FD7"/>
    <w:rsid w:val="007D0732"/>
    <w:rsid w:val="007D0838"/>
    <w:rsid w:val="007D09C6"/>
    <w:rsid w:val="007D149A"/>
    <w:rsid w:val="007D15B6"/>
    <w:rsid w:val="007D1709"/>
    <w:rsid w:val="007D199C"/>
    <w:rsid w:val="007D1C7B"/>
    <w:rsid w:val="007D1C9B"/>
    <w:rsid w:val="007D1CBF"/>
    <w:rsid w:val="007D1E98"/>
    <w:rsid w:val="007D1EFF"/>
    <w:rsid w:val="007D1F35"/>
    <w:rsid w:val="007D22A1"/>
    <w:rsid w:val="007D22FB"/>
    <w:rsid w:val="007D23E1"/>
    <w:rsid w:val="007D2652"/>
    <w:rsid w:val="007D269F"/>
    <w:rsid w:val="007D2C06"/>
    <w:rsid w:val="007D2D7F"/>
    <w:rsid w:val="007D36F5"/>
    <w:rsid w:val="007D3705"/>
    <w:rsid w:val="007D3A29"/>
    <w:rsid w:val="007D4266"/>
    <w:rsid w:val="007D4C5E"/>
    <w:rsid w:val="007D5491"/>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3699"/>
    <w:rsid w:val="007E369A"/>
    <w:rsid w:val="007E36A7"/>
    <w:rsid w:val="007E3EEF"/>
    <w:rsid w:val="007E4678"/>
    <w:rsid w:val="007E4C05"/>
    <w:rsid w:val="007E4CFB"/>
    <w:rsid w:val="007E4EEB"/>
    <w:rsid w:val="007E51D9"/>
    <w:rsid w:val="007E52BE"/>
    <w:rsid w:val="007E5403"/>
    <w:rsid w:val="007E5F35"/>
    <w:rsid w:val="007E65DE"/>
    <w:rsid w:val="007E774C"/>
    <w:rsid w:val="007F0009"/>
    <w:rsid w:val="007F0713"/>
    <w:rsid w:val="007F122C"/>
    <w:rsid w:val="007F1488"/>
    <w:rsid w:val="007F283C"/>
    <w:rsid w:val="007F2A6C"/>
    <w:rsid w:val="007F2BF4"/>
    <w:rsid w:val="007F2EB6"/>
    <w:rsid w:val="007F467D"/>
    <w:rsid w:val="007F4AFA"/>
    <w:rsid w:val="007F4FFB"/>
    <w:rsid w:val="007F5495"/>
    <w:rsid w:val="007F54CA"/>
    <w:rsid w:val="007F5789"/>
    <w:rsid w:val="007F64D0"/>
    <w:rsid w:val="007F66AF"/>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5E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857"/>
    <w:rsid w:val="00812EAA"/>
    <w:rsid w:val="0081322C"/>
    <w:rsid w:val="008132D5"/>
    <w:rsid w:val="00813EDA"/>
    <w:rsid w:val="00814764"/>
    <w:rsid w:val="008148A5"/>
    <w:rsid w:val="008149F5"/>
    <w:rsid w:val="00814AAF"/>
    <w:rsid w:val="00814D92"/>
    <w:rsid w:val="008152FD"/>
    <w:rsid w:val="008154A4"/>
    <w:rsid w:val="008160C5"/>
    <w:rsid w:val="00816648"/>
    <w:rsid w:val="00816CA3"/>
    <w:rsid w:val="0081783F"/>
    <w:rsid w:val="00817B90"/>
    <w:rsid w:val="00817CB4"/>
    <w:rsid w:val="008204E0"/>
    <w:rsid w:val="00820F14"/>
    <w:rsid w:val="00820F5D"/>
    <w:rsid w:val="0082140F"/>
    <w:rsid w:val="00821624"/>
    <w:rsid w:val="00821724"/>
    <w:rsid w:val="00821EA0"/>
    <w:rsid w:val="00821F49"/>
    <w:rsid w:val="00822571"/>
    <w:rsid w:val="0082262C"/>
    <w:rsid w:val="00822CCF"/>
    <w:rsid w:val="0082366C"/>
    <w:rsid w:val="00823DA2"/>
    <w:rsid w:val="00823DCC"/>
    <w:rsid w:val="00823FDF"/>
    <w:rsid w:val="00824295"/>
    <w:rsid w:val="00824594"/>
    <w:rsid w:val="00824856"/>
    <w:rsid w:val="0082494C"/>
    <w:rsid w:val="00825200"/>
    <w:rsid w:val="008252D3"/>
    <w:rsid w:val="00825328"/>
    <w:rsid w:val="0082561A"/>
    <w:rsid w:val="008256CF"/>
    <w:rsid w:val="00825741"/>
    <w:rsid w:val="008259AF"/>
    <w:rsid w:val="00825BFF"/>
    <w:rsid w:val="00826060"/>
    <w:rsid w:val="0082655A"/>
    <w:rsid w:val="00826C8C"/>
    <w:rsid w:val="0082709A"/>
    <w:rsid w:val="00827311"/>
    <w:rsid w:val="00827683"/>
    <w:rsid w:val="00827B91"/>
    <w:rsid w:val="00830601"/>
    <w:rsid w:val="00831873"/>
    <w:rsid w:val="0083196C"/>
    <w:rsid w:val="00831999"/>
    <w:rsid w:val="00831CEA"/>
    <w:rsid w:val="00831D72"/>
    <w:rsid w:val="008323F9"/>
    <w:rsid w:val="008324BD"/>
    <w:rsid w:val="00832E48"/>
    <w:rsid w:val="00833036"/>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7811"/>
    <w:rsid w:val="0083785F"/>
    <w:rsid w:val="00837973"/>
    <w:rsid w:val="0084043B"/>
    <w:rsid w:val="008407D5"/>
    <w:rsid w:val="00840822"/>
    <w:rsid w:val="00840C0D"/>
    <w:rsid w:val="00840E07"/>
    <w:rsid w:val="00840E20"/>
    <w:rsid w:val="00840FCD"/>
    <w:rsid w:val="00841252"/>
    <w:rsid w:val="00841438"/>
    <w:rsid w:val="008415C4"/>
    <w:rsid w:val="00841710"/>
    <w:rsid w:val="00841DC5"/>
    <w:rsid w:val="00841E75"/>
    <w:rsid w:val="008420D8"/>
    <w:rsid w:val="0084220B"/>
    <w:rsid w:val="0084348C"/>
    <w:rsid w:val="00844462"/>
    <w:rsid w:val="008444D3"/>
    <w:rsid w:val="00844726"/>
    <w:rsid w:val="00844983"/>
    <w:rsid w:val="00844EFB"/>
    <w:rsid w:val="00844F5C"/>
    <w:rsid w:val="008450B9"/>
    <w:rsid w:val="00845322"/>
    <w:rsid w:val="008459CD"/>
    <w:rsid w:val="00845D64"/>
    <w:rsid w:val="00845D66"/>
    <w:rsid w:val="00845EF7"/>
    <w:rsid w:val="008461BB"/>
    <w:rsid w:val="008472B0"/>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0DB5"/>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852"/>
    <w:rsid w:val="00866B35"/>
    <w:rsid w:val="00867A27"/>
    <w:rsid w:val="00870689"/>
    <w:rsid w:val="008706C1"/>
    <w:rsid w:val="00870883"/>
    <w:rsid w:val="008710DA"/>
    <w:rsid w:val="008712A2"/>
    <w:rsid w:val="00871904"/>
    <w:rsid w:val="008719EC"/>
    <w:rsid w:val="00871D96"/>
    <w:rsid w:val="00871FC3"/>
    <w:rsid w:val="00872CFE"/>
    <w:rsid w:val="0087321C"/>
    <w:rsid w:val="008732BF"/>
    <w:rsid w:val="008733EB"/>
    <w:rsid w:val="00873D0B"/>
    <w:rsid w:val="0087417F"/>
    <w:rsid w:val="0087431A"/>
    <w:rsid w:val="008744AC"/>
    <w:rsid w:val="00874A9A"/>
    <w:rsid w:val="00875736"/>
    <w:rsid w:val="008759D0"/>
    <w:rsid w:val="00875F5E"/>
    <w:rsid w:val="008760FB"/>
    <w:rsid w:val="00876157"/>
    <w:rsid w:val="008762E8"/>
    <w:rsid w:val="0087658C"/>
    <w:rsid w:val="008765CA"/>
    <w:rsid w:val="00876788"/>
    <w:rsid w:val="00876C59"/>
    <w:rsid w:val="00877470"/>
    <w:rsid w:val="008800C5"/>
    <w:rsid w:val="008801A9"/>
    <w:rsid w:val="0088038F"/>
    <w:rsid w:val="00880841"/>
    <w:rsid w:val="00880E40"/>
    <w:rsid w:val="00880F11"/>
    <w:rsid w:val="0088116D"/>
    <w:rsid w:val="0088150E"/>
    <w:rsid w:val="00881528"/>
    <w:rsid w:val="00881BEC"/>
    <w:rsid w:val="008820C6"/>
    <w:rsid w:val="00882702"/>
    <w:rsid w:val="00882859"/>
    <w:rsid w:val="00882A8F"/>
    <w:rsid w:val="00882E29"/>
    <w:rsid w:val="008833C9"/>
    <w:rsid w:val="00883748"/>
    <w:rsid w:val="00883C10"/>
    <w:rsid w:val="00883C53"/>
    <w:rsid w:val="00883D0E"/>
    <w:rsid w:val="00883F8B"/>
    <w:rsid w:val="00884634"/>
    <w:rsid w:val="00884A9A"/>
    <w:rsid w:val="00884ABA"/>
    <w:rsid w:val="00884E73"/>
    <w:rsid w:val="00885093"/>
    <w:rsid w:val="008853A7"/>
    <w:rsid w:val="0088563B"/>
    <w:rsid w:val="00885C39"/>
    <w:rsid w:val="00885C6F"/>
    <w:rsid w:val="00885EAE"/>
    <w:rsid w:val="00885FEB"/>
    <w:rsid w:val="00886148"/>
    <w:rsid w:val="008866DA"/>
    <w:rsid w:val="0088691F"/>
    <w:rsid w:val="00886C4A"/>
    <w:rsid w:val="008870B7"/>
    <w:rsid w:val="008872EF"/>
    <w:rsid w:val="008906C7"/>
    <w:rsid w:val="00890AAC"/>
    <w:rsid w:val="008910DF"/>
    <w:rsid w:val="00891ADA"/>
    <w:rsid w:val="00891CDE"/>
    <w:rsid w:val="00892979"/>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92B"/>
    <w:rsid w:val="008A4AF6"/>
    <w:rsid w:val="008A4C0D"/>
    <w:rsid w:val="008A4C2E"/>
    <w:rsid w:val="008A4EDB"/>
    <w:rsid w:val="008A5A94"/>
    <w:rsid w:val="008A5D42"/>
    <w:rsid w:val="008A5DEA"/>
    <w:rsid w:val="008A5F06"/>
    <w:rsid w:val="008A61A2"/>
    <w:rsid w:val="008A6462"/>
    <w:rsid w:val="008A6B10"/>
    <w:rsid w:val="008A6DE7"/>
    <w:rsid w:val="008A708B"/>
    <w:rsid w:val="008A7241"/>
    <w:rsid w:val="008A7A88"/>
    <w:rsid w:val="008A7BC9"/>
    <w:rsid w:val="008A7C01"/>
    <w:rsid w:val="008A7D84"/>
    <w:rsid w:val="008A7E5A"/>
    <w:rsid w:val="008B0082"/>
    <w:rsid w:val="008B011B"/>
    <w:rsid w:val="008B08A2"/>
    <w:rsid w:val="008B0B81"/>
    <w:rsid w:val="008B0BEA"/>
    <w:rsid w:val="008B0C16"/>
    <w:rsid w:val="008B0DF3"/>
    <w:rsid w:val="008B1939"/>
    <w:rsid w:val="008B1A67"/>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DF6"/>
    <w:rsid w:val="008B6F30"/>
    <w:rsid w:val="008B779F"/>
    <w:rsid w:val="008B7CE5"/>
    <w:rsid w:val="008B7E1F"/>
    <w:rsid w:val="008C00E0"/>
    <w:rsid w:val="008C02F2"/>
    <w:rsid w:val="008C02F6"/>
    <w:rsid w:val="008C0394"/>
    <w:rsid w:val="008C0B49"/>
    <w:rsid w:val="008C0EE1"/>
    <w:rsid w:val="008C106D"/>
    <w:rsid w:val="008C10F9"/>
    <w:rsid w:val="008C1152"/>
    <w:rsid w:val="008C1237"/>
    <w:rsid w:val="008C15DC"/>
    <w:rsid w:val="008C1677"/>
    <w:rsid w:val="008C188C"/>
    <w:rsid w:val="008C1F03"/>
    <w:rsid w:val="008C211F"/>
    <w:rsid w:val="008C223A"/>
    <w:rsid w:val="008C283E"/>
    <w:rsid w:val="008C3262"/>
    <w:rsid w:val="008C343E"/>
    <w:rsid w:val="008C3557"/>
    <w:rsid w:val="008C3BFC"/>
    <w:rsid w:val="008C4419"/>
    <w:rsid w:val="008C44BE"/>
    <w:rsid w:val="008C4722"/>
    <w:rsid w:val="008C4BA5"/>
    <w:rsid w:val="008C540B"/>
    <w:rsid w:val="008C54A5"/>
    <w:rsid w:val="008C555F"/>
    <w:rsid w:val="008C572A"/>
    <w:rsid w:val="008C575F"/>
    <w:rsid w:val="008C58C7"/>
    <w:rsid w:val="008C5F72"/>
    <w:rsid w:val="008C5F99"/>
    <w:rsid w:val="008C689C"/>
    <w:rsid w:val="008C6C27"/>
    <w:rsid w:val="008C7536"/>
    <w:rsid w:val="008C76B2"/>
    <w:rsid w:val="008C782F"/>
    <w:rsid w:val="008C7A81"/>
    <w:rsid w:val="008C7ED5"/>
    <w:rsid w:val="008C7FAD"/>
    <w:rsid w:val="008D0161"/>
    <w:rsid w:val="008D040F"/>
    <w:rsid w:val="008D05FB"/>
    <w:rsid w:val="008D0BDB"/>
    <w:rsid w:val="008D101F"/>
    <w:rsid w:val="008D1C1F"/>
    <w:rsid w:val="008D1D54"/>
    <w:rsid w:val="008D210E"/>
    <w:rsid w:val="008D2367"/>
    <w:rsid w:val="008D23E8"/>
    <w:rsid w:val="008D2E35"/>
    <w:rsid w:val="008D312A"/>
    <w:rsid w:val="008D3636"/>
    <w:rsid w:val="008D3B86"/>
    <w:rsid w:val="008D4414"/>
    <w:rsid w:val="008D4460"/>
    <w:rsid w:val="008D47DF"/>
    <w:rsid w:val="008D491F"/>
    <w:rsid w:val="008D4F32"/>
    <w:rsid w:val="008D502A"/>
    <w:rsid w:val="008D5618"/>
    <w:rsid w:val="008D5D87"/>
    <w:rsid w:val="008D6768"/>
    <w:rsid w:val="008D686F"/>
    <w:rsid w:val="008D689E"/>
    <w:rsid w:val="008D69FF"/>
    <w:rsid w:val="008D6E31"/>
    <w:rsid w:val="008D77C5"/>
    <w:rsid w:val="008D78C9"/>
    <w:rsid w:val="008D7F9B"/>
    <w:rsid w:val="008E019F"/>
    <w:rsid w:val="008E0403"/>
    <w:rsid w:val="008E0561"/>
    <w:rsid w:val="008E0598"/>
    <w:rsid w:val="008E0E77"/>
    <w:rsid w:val="008E0ED3"/>
    <w:rsid w:val="008E0F06"/>
    <w:rsid w:val="008E101F"/>
    <w:rsid w:val="008E1103"/>
    <w:rsid w:val="008E1CD6"/>
    <w:rsid w:val="008E25EE"/>
    <w:rsid w:val="008E2775"/>
    <w:rsid w:val="008E2781"/>
    <w:rsid w:val="008E279D"/>
    <w:rsid w:val="008E27E8"/>
    <w:rsid w:val="008E2947"/>
    <w:rsid w:val="008E2A68"/>
    <w:rsid w:val="008E2E67"/>
    <w:rsid w:val="008E2E82"/>
    <w:rsid w:val="008E38D6"/>
    <w:rsid w:val="008E3AF8"/>
    <w:rsid w:val="008E3EE6"/>
    <w:rsid w:val="008E473E"/>
    <w:rsid w:val="008E4943"/>
    <w:rsid w:val="008E4D88"/>
    <w:rsid w:val="008E536B"/>
    <w:rsid w:val="008E55E8"/>
    <w:rsid w:val="008E5B64"/>
    <w:rsid w:val="008E6524"/>
    <w:rsid w:val="008E6657"/>
    <w:rsid w:val="008E68BB"/>
    <w:rsid w:val="008E6996"/>
    <w:rsid w:val="008E7730"/>
    <w:rsid w:val="008E78D3"/>
    <w:rsid w:val="008E7B85"/>
    <w:rsid w:val="008E7E62"/>
    <w:rsid w:val="008F02F6"/>
    <w:rsid w:val="008F041B"/>
    <w:rsid w:val="008F0D9C"/>
    <w:rsid w:val="008F11CB"/>
    <w:rsid w:val="008F12C8"/>
    <w:rsid w:val="008F143C"/>
    <w:rsid w:val="008F19F6"/>
    <w:rsid w:val="008F1A57"/>
    <w:rsid w:val="008F25D6"/>
    <w:rsid w:val="008F25D9"/>
    <w:rsid w:val="008F272D"/>
    <w:rsid w:val="008F2953"/>
    <w:rsid w:val="008F318E"/>
    <w:rsid w:val="008F3FF9"/>
    <w:rsid w:val="008F40E0"/>
    <w:rsid w:val="008F4282"/>
    <w:rsid w:val="008F4EDB"/>
    <w:rsid w:val="008F5140"/>
    <w:rsid w:val="008F51EB"/>
    <w:rsid w:val="008F545E"/>
    <w:rsid w:val="008F565E"/>
    <w:rsid w:val="008F5748"/>
    <w:rsid w:val="008F5953"/>
    <w:rsid w:val="008F5D2C"/>
    <w:rsid w:val="008F5DA6"/>
    <w:rsid w:val="008F61FC"/>
    <w:rsid w:val="008F722C"/>
    <w:rsid w:val="008F73E0"/>
    <w:rsid w:val="008F7DB1"/>
    <w:rsid w:val="008F7FB9"/>
    <w:rsid w:val="0090001B"/>
    <w:rsid w:val="00900CF6"/>
    <w:rsid w:val="00900EF6"/>
    <w:rsid w:val="00901278"/>
    <w:rsid w:val="009013D9"/>
    <w:rsid w:val="009019F8"/>
    <w:rsid w:val="00901A66"/>
    <w:rsid w:val="00901CF5"/>
    <w:rsid w:val="00901FCB"/>
    <w:rsid w:val="0090228C"/>
    <w:rsid w:val="00902536"/>
    <w:rsid w:val="0090325F"/>
    <w:rsid w:val="00903641"/>
    <w:rsid w:val="00903647"/>
    <w:rsid w:val="00903A5E"/>
    <w:rsid w:val="00903E23"/>
    <w:rsid w:val="00903EC7"/>
    <w:rsid w:val="00904108"/>
    <w:rsid w:val="00904580"/>
    <w:rsid w:val="00904C39"/>
    <w:rsid w:val="00904CA5"/>
    <w:rsid w:val="00904DC2"/>
    <w:rsid w:val="009050C8"/>
    <w:rsid w:val="009055CC"/>
    <w:rsid w:val="009056F7"/>
    <w:rsid w:val="00905B64"/>
    <w:rsid w:val="009065A5"/>
    <w:rsid w:val="009067F9"/>
    <w:rsid w:val="0090686B"/>
    <w:rsid w:val="00906F62"/>
    <w:rsid w:val="0090747B"/>
    <w:rsid w:val="00907910"/>
    <w:rsid w:val="009105CE"/>
    <w:rsid w:val="009106D3"/>
    <w:rsid w:val="0091071E"/>
    <w:rsid w:val="009108B2"/>
    <w:rsid w:val="009109B8"/>
    <w:rsid w:val="00911487"/>
    <w:rsid w:val="009115C7"/>
    <w:rsid w:val="009118BA"/>
    <w:rsid w:val="0091201F"/>
    <w:rsid w:val="0091266E"/>
    <w:rsid w:val="0091293B"/>
    <w:rsid w:val="00912A5E"/>
    <w:rsid w:val="00912E11"/>
    <w:rsid w:val="009136E9"/>
    <w:rsid w:val="00913BA3"/>
    <w:rsid w:val="00913CFF"/>
    <w:rsid w:val="00913F7F"/>
    <w:rsid w:val="0091421E"/>
    <w:rsid w:val="00914596"/>
    <w:rsid w:val="0091459B"/>
    <w:rsid w:val="00914770"/>
    <w:rsid w:val="009148A8"/>
    <w:rsid w:val="0091498B"/>
    <w:rsid w:val="0091516E"/>
    <w:rsid w:val="009151B6"/>
    <w:rsid w:val="0091533D"/>
    <w:rsid w:val="0091580A"/>
    <w:rsid w:val="00915852"/>
    <w:rsid w:val="00915BB8"/>
    <w:rsid w:val="00915C3B"/>
    <w:rsid w:val="00915DE6"/>
    <w:rsid w:val="00916048"/>
    <w:rsid w:val="00916451"/>
    <w:rsid w:val="00916A7C"/>
    <w:rsid w:val="0091768B"/>
    <w:rsid w:val="009177CA"/>
    <w:rsid w:val="009204B7"/>
    <w:rsid w:val="0092059D"/>
    <w:rsid w:val="00920DED"/>
    <w:rsid w:val="00920EDD"/>
    <w:rsid w:val="0092156B"/>
    <w:rsid w:val="00921644"/>
    <w:rsid w:val="00921955"/>
    <w:rsid w:val="00921A11"/>
    <w:rsid w:val="00921FB8"/>
    <w:rsid w:val="00922345"/>
    <w:rsid w:val="009224E7"/>
    <w:rsid w:val="009228CA"/>
    <w:rsid w:val="00922C3F"/>
    <w:rsid w:val="00922DD7"/>
    <w:rsid w:val="009231E0"/>
    <w:rsid w:val="009234D3"/>
    <w:rsid w:val="00923A8A"/>
    <w:rsid w:val="00923EF7"/>
    <w:rsid w:val="00924236"/>
    <w:rsid w:val="00925076"/>
    <w:rsid w:val="0092567B"/>
    <w:rsid w:val="009258E9"/>
    <w:rsid w:val="00925BEF"/>
    <w:rsid w:val="00925F5F"/>
    <w:rsid w:val="0092657B"/>
    <w:rsid w:val="009266DC"/>
    <w:rsid w:val="00926929"/>
    <w:rsid w:val="00926946"/>
    <w:rsid w:val="00926B3D"/>
    <w:rsid w:val="00926F78"/>
    <w:rsid w:val="00927080"/>
    <w:rsid w:val="00927791"/>
    <w:rsid w:val="009277B1"/>
    <w:rsid w:val="00927FC8"/>
    <w:rsid w:val="009304C6"/>
    <w:rsid w:val="00930B8F"/>
    <w:rsid w:val="00930E68"/>
    <w:rsid w:val="00930EF9"/>
    <w:rsid w:val="009315CB"/>
    <w:rsid w:val="0093160E"/>
    <w:rsid w:val="00931C44"/>
    <w:rsid w:val="00932031"/>
    <w:rsid w:val="009320FC"/>
    <w:rsid w:val="00932180"/>
    <w:rsid w:val="009323DA"/>
    <w:rsid w:val="0093263D"/>
    <w:rsid w:val="0093290B"/>
    <w:rsid w:val="0093316F"/>
    <w:rsid w:val="0093338F"/>
    <w:rsid w:val="009334A3"/>
    <w:rsid w:val="00933520"/>
    <w:rsid w:val="009335AD"/>
    <w:rsid w:val="00933AD8"/>
    <w:rsid w:val="00934062"/>
    <w:rsid w:val="00934347"/>
    <w:rsid w:val="00934640"/>
    <w:rsid w:val="0093496D"/>
    <w:rsid w:val="00934D53"/>
    <w:rsid w:val="009350BB"/>
    <w:rsid w:val="00935225"/>
    <w:rsid w:val="00935751"/>
    <w:rsid w:val="00935829"/>
    <w:rsid w:val="00935C4D"/>
    <w:rsid w:val="00935D76"/>
    <w:rsid w:val="0093618F"/>
    <w:rsid w:val="00936A00"/>
    <w:rsid w:val="00936B27"/>
    <w:rsid w:val="00936C4E"/>
    <w:rsid w:val="00936DDE"/>
    <w:rsid w:val="009378ED"/>
    <w:rsid w:val="00937BB5"/>
    <w:rsid w:val="009400D6"/>
    <w:rsid w:val="00940615"/>
    <w:rsid w:val="009407F5"/>
    <w:rsid w:val="0094092D"/>
    <w:rsid w:val="00940E84"/>
    <w:rsid w:val="00941210"/>
    <w:rsid w:val="00941286"/>
    <w:rsid w:val="009415DA"/>
    <w:rsid w:val="009418CE"/>
    <w:rsid w:val="00941C3F"/>
    <w:rsid w:val="00941F40"/>
    <w:rsid w:val="009423D1"/>
    <w:rsid w:val="0094243D"/>
    <w:rsid w:val="009424CD"/>
    <w:rsid w:val="00942856"/>
    <w:rsid w:val="00942F4A"/>
    <w:rsid w:val="009434AF"/>
    <w:rsid w:val="00943B0D"/>
    <w:rsid w:val="00944160"/>
    <w:rsid w:val="0094419F"/>
    <w:rsid w:val="00944208"/>
    <w:rsid w:val="00944BA4"/>
    <w:rsid w:val="009450A9"/>
    <w:rsid w:val="00945464"/>
    <w:rsid w:val="00945705"/>
    <w:rsid w:val="00945F95"/>
    <w:rsid w:val="00945FE2"/>
    <w:rsid w:val="00946793"/>
    <w:rsid w:val="009467A0"/>
    <w:rsid w:val="00946F5A"/>
    <w:rsid w:val="00947A97"/>
    <w:rsid w:val="00947CEB"/>
    <w:rsid w:val="00947E86"/>
    <w:rsid w:val="00950599"/>
    <w:rsid w:val="009507B2"/>
    <w:rsid w:val="00951101"/>
    <w:rsid w:val="00951374"/>
    <w:rsid w:val="0095159E"/>
    <w:rsid w:val="00951FDE"/>
    <w:rsid w:val="0095241A"/>
    <w:rsid w:val="00952A0D"/>
    <w:rsid w:val="00952AC0"/>
    <w:rsid w:val="00952B79"/>
    <w:rsid w:val="00952DDE"/>
    <w:rsid w:val="00952F97"/>
    <w:rsid w:val="009532C1"/>
    <w:rsid w:val="00953346"/>
    <w:rsid w:val="00953588"/>
    <w:rsid w:val="00953CBC"/>
    <w:rsid w:val="00953CC0"/>
    <w:rsid w:val="00953DD6"/>
    <w:rsid w:val="0095409A"/>
    <w:rsid w:val="009543E9"/>
    <w:rsid w:val="00954771"/>
    <w:rsid w:val="00954ADF"/>
    <w:rsid w:val="00954FD6"/>
    <w:rsid w:val="00955013"/>
    <w:rsid w:val="009550D1"/>
    <w:rsid w:val="00955915"/>
    <w:rsid w:val="00955D07"/>
    <w:rsid w:val="009562CD"/>
    <w:rsid w:val="009567BC"/>
    <w:rsid w:val="00956AC1"/>
    <w:rsid w:val="00956AFC"/>
    <w:rsid w:val="00956EBC"/>
    <w:rsid w:val="00957A49"/>
    <w:rsid w:val="00957AD1"/>
    <w:rsid w:val="00960323"/>
    <w:rsid w:val="00960382"/>
    <w:rsid w:val="009609A1"/>
    <w:rsid w:val="00961CA1"/>
    <w:rsid w:val="00961D5F"/>
    <w:rsid w:val="00961DD4"/>
    <w:rsid w:val="00962109"/>
    <w:rsid w:val="009626E6"/>
    <w:rsid w:val="0096272E"/>
    <w:rsid w:val="009628B6"/>
    <w:rsid w:val="00962F58"/>
    <w:rsid w:val="009631CD"/>
    <w:rsid w:val="009634D1"/>
    <w:rsid w:val="00963818"/>
    <w:rsid w:val="00963A64"/>
    <w:rsid w:val="00963CA2"/>
    <w:rsid w:val="009642AD"/>
    <w:rsid w:val="00964463"/>
    <w:rsid w:val="00964B58"/>
    <w:rsid w:val="00964EF4"/>
    <w:rsid w:val="00965C90"/>
    <w:rsid w:val="00965DCE"/>
    <w:rsid w:val="00966480"/>
    <w:rsid w:val="00966DAE"/>
    <w:rsid w:val="0096711E"/>
    <w:rsid w:val="00967234"/>
    <w:rsid w:val="00967449"/>
    <w:rsid w:val="00967723"/>
    <w:rsid w:val="00967FE5"/>
    <w:rsid w:val="009700C9"/>
    <w:rsid w:val="0097076A"/>
    <w:rsid w:val="009709A6"/>
    <w:rsid w:val="00970C54"/>
    <w:rsid w:val="00970D62"/>
    <w:rsid w:val="00970E45"/>
    <w:rsid w:val="009710F3"/>
    <w:rsid w:val="00971220"/>
    <w:rsid w:val="009712F8"/>
    <w:rsid w:val="00971483"/>
    <w:rsid w:val="00971580"/>
    <w:rsid w:val="00972150"/>
    <w:rsid w:val="009723F7"/>
    <w:rsid w:val="00972474"/>
    <w:rsid w:val="00972562"/>
    <w:rsid w:val="00972E6C"/>
    <w:rsid w:val="00973109"/>
    <w:rsid w:val="00973337"/>
    <w:rsid w:val="00973513"/>
    <w:rsid w:val="009736B8"/>
    <w:rsid w:val="00973C55"/>
    <w:rsid w:val="0097479D"/>
    <w:rsid w:val="009748A3"/>
    <w:rsid w:val="00974F05"/>
    <w:rsid w:val="009755DE"/>
    <w:rsid w:val="0097598C"/>
    <w:rsid w:val="009759D0"/>
    <w:rsid w:val="00975D52"/>
    <w:rsid w:val="00976178"/>
    <w:rsid w:val="00976A37"/>
    <w:rsid w:val="00976D54"/>
    <w:rsid w:val="0097772D"/>
    <w:rsid w:val="0097787A"/>
    <w:rsid w:val="00977D94"/>
    <w:rsid w:val="00980049"/>
    <w:rsid w:val="0098042F"/>
    <w:rsid w:val="009809C4"/>
    <w:rsid w:val="00980ABA"/>
    <w:rsid w:val="00980BF0"/>
    <w:rsid w:val="00981212"/>
    <w:rsid w:val="0098141A"/>
    <w:rsid w:val="0098146A"/>
    <w:rsid w:val="009814BD"/>
    <w:rsid w:val="009816A4"/>
    <w:rsid w:val="00981826"/>
    <w:rsid w:val="0098247E"/>
    <w:rsid w:val="0098319C"/>
    <w:rsid w:val="009835C8"/>
    <w:rsid w:val="00983A05"/>
    <w:rsid w:val="00983DA0"/>
    <w:rsid w:val="00983EC3"/>
    <w:rsid w:val="0098443B"/>
    <w:rsid w:val="0098465F"/>
    <w:rsid w:val="00984B60"/>
    <w:rsid w:val="00984F5C"/>
    <w:rsid w:val="009850D8"/>
    <w:rsid w:val="00985AD3"/>
    <w:rsid w:val="00985ADC"/>
    <w:rsid w:val="00985E05"/>
    <w:rsid w:val="00985F1F"/>
    <w:rsid w:val="009862B5"/>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42A4"/>
    <w:rsid w:val="0099432C"/>
    <w:rsid w:val="009944D9"/>
    <w:rsid w:val="00994609"/>
    <w:rsid w:val="009947F8"/>
    <w:rsid w:val="00994881"/>
    <w:rsid w:val="009948E7"/>
    <w:rsid w:val="0099674F"/>
    <w:rsid w:val="00996AB1"/>
    <w:rsid w:val="00996B19"/>
    <w:rsid w:val="00996E80"/>
    <w:rsid w:val="00997146"/>
    <w:rsid w:val="009973CB"/>
    <w:rsid w:val="00997DC3"/>
    <w:rsid w:val="00997FDB"/>
    <w:rsid w:val="009A066E"/>
    <w:rsid w:val="009A095E"/>
    <w:rsid w:val="009A1266"/>
    <w:rsid w:val="009A1305"/>
    <w:rsid w:val="009A16B3"/>
    <w:rsid w:val="009A1AC6"/>
    <w:rsid w:val="009A1B27"/>
    <w:rsid w:val="009A1F1B"/>
    <w:rsid w:val="009A218D"/>
    <w:rsid w:val="009A22BB"/>
    <w:rsid w:val="009A24B8"/>
    <w:rsid w:val="009A2735"/>
    <w:rsid w:val="009A2B2C"/>
    <w:rsid w:val="009A2E65"/>
    <w:rsid w:val="009A2F00"/>
    <w:rsid w:val="009A309B"/>
    <w:rsid w:val="009A334E"/>
    <w:rsid w:val="009A3636"/>
    <w:rsid w:val="009A385E"/>
    <w:rsid w:val="009A404A"/>
    <w:rsid w:val="009A4096"/>
    <w:rsid w:val="009A4154"/>
    <w:rsid w:val="009A44DA"/>
    <w:rsid w:val="009A4549"/>
    <w:rsid w:val="009A4753"/>
    <w:rsid w:val="009A4853"/>
    <w:rsid w:val="009A4F47"/>
    <w:rsid w:val="009A545F"/>
    <w:rsid w:val="009A558C"/>
    <w:rsid w:val="009A70D9"/>
    <w:rsid w:val="009A71E3"/>
    <w:rsid w:val="009A71F5"/>
    <w:rsid w:val="009A7BFC"/>
    <w:rsid w:val="009A7E39"/>
    <w:rsid w:val="009A7F04"/>
    <w:rsid w:val="009A7F87"/>
    <w:rsid w:val="009B1206"/>
    <w:rsid w:val="009B183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9BB"/>
    <w:rsid w:val="009B4C2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B6B"/>
    <w:rsid w:val="009C1DE0"/>
    <w:rsid w:val="009C1E4F"/>
    <w:rsid w:val="009C22BA"/>
    <w:rsid w:val="009C2836"/>
    <w:rsid w:val="009C2C89"/>
    <w:rsid w:val="009C2EF6"/>
    <w:rsid w:val="009C3292"/>
    <w:rsid w:val="009C3A35"/>
    <w:rsid w:val="009C3E0E"/>
    <w:rsid w:val="009C40B9"/>
    <w:rsid w:val="009C4131"/>
    <w:rsid w:val="009C4A31"/>
    <w:rsid w:val="009C4DDB"/>
    <w:rsid w:val="009C4DF7"/>
    <w:rsid w:val="009C5C40"/>
    <w:rsid w:val="009C6024"/>
    <w:rsid w:val="009C66F8"/>
    <w:rsid w:val="009C6980"/>
    <w:rsid w:val="009C6E40"/>
    <w:rsid w:val="009C75F5"/>
    <w:rsid w:val="009C7EAF"/>
    <w:rsid w:val="009D024B"/>
    <w:rsid w:val="009D0835"/>
    <w:rsid w:val="009D0CF6"/>
    <w:rsid w:val="009D15B4"/>
    <w:rsid w:val="009D232C"/>
    <w:rsid w:val="009D2B80"/>
    <w:rsid w:val="009D2E69"/>
    <w:rsid w:val="009D301E"/>
    <w:rsid w:val="009D33EF"/>
    <w:rsid w:val="009D4122"/>
    <w:rsid w:val="009D417D"/>
    <w:rsid w:val="009D4ABC"/>
    <w:rsid w:val="009D58DF"/>
    <w:rsid w:val="009D5C07"/>
    <w:rsid w:val="009D5D4B"/>
    <w:rsid w:val="009D60FE"/>
    <w:rsid w:val="009D62B2"/>
    <w:rsid w:val="009D67F3"/>
    <w:rsid w:val="009D685F"/>
    <w:rsid w:val="009D68E5"/>
    <w:rsid w:val="009D6ED0"/>
    <w:rsid w:val="009D7602"/>
    <w:rsid w:val="009D77FE"/>
    <w:rsid w:val="009D7A81"/>
    <w:rsid w:val="009D7C3F"/>
    <w:rsid w:val="009E0266"/>
    <w:rsid w:val="009E0841"/>
    <w:rsid w:val="009E0AF2"/>
    <w:rsid w:val="009E0DC2"/>
    <w:rsid w:val="009E0F39"/>
    <w:rsid w:val="009E115E"/>
    <w:rsid w:val="009E18C4"/>
    <w:rsid w:val="009E1EAA"/>
    <w:rsid w:val="009E2293"/>
    <w:rsid w:val="009E252E"/>
    <w:rsid w:val="009E31B2"/>
    <w:rsid w:val="009E34DE"/>
    <w:rsid w:val="009E47E5"/>
    <w:rsid w:val="009E48F4"/>
    <w:rsid w:val="009E4D67"/>
    <w:rsid w:val="009E4D97"/>
    <w:rsid w:val="009E4F28"/>
    <w:rsid w:val="009E52E5"/>
    <w:rsid w:val="009E5473"/>
    <w:rsid w:val="009E593F"/>
    <w:rsid w:val="009E5CF2"/>
    <w:rsid w:val="009E5DEC"/>
    <w:rsid w:val="009E67B4"/>
    <w:rsid w:val="009E6BE1"/>
    <w:rsid w:val="009E6D17"/>
    <w:rsid w:val="009E73FE"/>
    <w:rsid w:val="009E77AA"/>
    <w:rsid w:val="009E7C41"/>
    <w:rsid w:val="009F042D"/>
    <w:rsid w:val="009F0901"/>
    <w:rsid w:val="009F09DD"/>
    <w:rsid w:val="009F12CD"/>
    <w:rsid w:val="009F139D"/>
    <w:rsid w:val="009F15EF"/>
    <w:rsid w:val="009F1C59"/>
    <w:rsid w:val="009F1D91"/>
    <w:rsid w:val="009F2875"/>
    <w:rsid w:val="009F335A"/>
    <w:rsid w:val="009F34CE"/>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DB5"/>
    <w:rsid w:val="00A029D4"/>
    <w:rsid w:val="00A02BC9"/>
    <w:rsid w:val="00A02EBE"/>
    <w:rsid w:val="00A02EC0"/>
    <w:rsid w:val="00A0340B"/>
    <w:rsid w:val="00A03753"/>
    <w:rsid w:val="00A03881"/>
    <w:rsid w:val="00A039C4"/>
    <w:rsid w:val="00A03D83"/>
    <w:rsid w:val="00A04011"/>
    <w:rsid w:val="00A042CA"/>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9F3"/>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F03"/>
    <w:rsid w:val="00A14095"/>
    <w:rsid w:val="00A14E87"/>
    <w:rsid w:val="00A14EA5"/>
    <w:rsid w:val="00A15004"/>
    <w:rsid w:val="00A150B8"/>
    <w:rsid w:val="00A15783"/>
    <w:rsid w:val="00A157BF"/>
    <w:rsid w:val="00A15C6C"/>
    <w:rsid w:val="00A166FA"/>
    <w:rsid w:val="00A16844"/>
    <w:rsid w:val="00A1694D"/>
    <w:rsid w:val="00A173EF"/>
    <w:rsid w:val="00A17B48"/>
    <w:rsid w:val="00A17E06"/>
    <w:rsid w:val="00A17E34"/>
    <w:rsid w:val="00A17FC0"/>
    <w:rsid w:val="00A20494"/>
    <w:rsid w:val="00A2054D"/>
    <w:rsid w:val="00A205ED"/>
    <w:rsid w:val="00A208CB"/>
    <w:rsid w:val="00A20969"/>
    <w:rsid w:val="00A20D53"/>
    <w:rsid w:val="00A20F38"/>
    <w:rsid w:val="00A211F1"/>
    <w:rsid w:val="00A21748"/>
    <w:rsid w:val="00A21C47"/>
    <w:rsid w:val="00A21CD5"/>
    <w:rsid w:val="00A2222D"/>
    <w:rsid w:val="00A22B62"/>
    <w:rsid w:val="00A22B65"/>
    <w:rsid w:val="00A22D7C"/>
    <w:rsid w:val="00A23055"/>
    <w:rsid w:val="00A23108"/>
    <w:rsid w:val="00A23162"/>
    <w:rsid w:val="00A23D03"/>
    <w:rsid w:val="00A23E53"/>
    <w:rsid w:val="00A23F35"/>
    <w:rsid w:val="00A24291"/>
    <w:rsid w:val="00A242EE"/>
    <w:rsid w:val="00A24469"/>
    <w:rsid w:val="00A246F1"/>
    <w:rsid w:val="00A24FCD"/>
    <w:rsid w:val="00A25251"/>
    <w:rsid w:val="00A2531B"/>
    <w:rsid w:val="00A255DD"/>
    <w:rsid w:val="00A25865"/>
    <w:rsid w:val="00A25B0E"/>
    <w:rsid w:val="00A25C09"/>
    <w:rsid w:val="00A25FBA"/>
    <w:rsid w:val="00A26E95"/>
    <w:rsid w:val="00A277F5"/>
    <w:rsid w:val="00A27988"/>
    <w:rsid w:val="00A30BEA"/>
    <w:rsid w:val="00A31917"/>
    <w:rsid w:val="00A319F0"/>
    <w:rsid w:val="00A321C8"/>
    <w:rsid w:val="00A32539"/>
    <w:rsid w:val="00A33A65"/>
    <w:rsid w:val="00A33CBA"/>
    <w:rsid w:val="00A33EF7"/>
    <w:rsid w:val="00A342A9"/>
    <w:rsid w:val="00A34923"/>
    <w:rsid w:val="00A34CB1"/>
    <w:rsid w:val="00A34EAE"/>
    <w:rsid w:val="00A355DD"/>
    <w:rsid w:val="00A3563F"/>
    <w:rsid w:val="00A357BF"/>
    <w:rsid w:val="00A35A06"/>
    <w:rsid w:val="00A35B3A"/>
    <w:rsid w:val="00A35F17"/>
    <w:rsid w:val="00A36233"/>
    <w:rsid w:val="00A372E6"/>
    <w:rsid w:val="00A373EB"/>
    <w:rsid w:val="00A37670"/>
    <w:rsid w:val="00A4022E"/>
    <w:rsid w:val="00A4041F"/>
    <w:rsid w:val="00A40E40"/>
    <w:rsid w:val="00A40E98"/>
    <w:rsid w:val="00A40ECE"/>
    <w:rsid w:val="00A40F15"/>
    <w:rsid w:val="00A40FFE"/>
    <w:rsid w:val="00A411AA"/>
    <w:rsid w:val="00A414D9"/>
    <w:rsid w:val="00A4189B"/>
    <w:rsid w:val="00A4189D"/>
    <w:rsid w:val="00A4190E"/>
    <w:rsid w:val="00A41D2D"/>
    <w:rsid w:val="00A41F89"/>
    <w:rsid w:val="00A4210D"/>
    <w:rsid w:val="00A42346"/>
    <w:rsid w:val="00A427C7"/>
    <w:rsid w:val="00A43246"/>
    <w:rsid w:val="00A43C71"/>
    <w:rsid w:val="00A43CC0"/>
    <w:rsid w:val="00A4419A"/>
    <w:rsid w:val="00A44A49"/>
    <w:rsid w:val="00A44C20"/>
    <w:rsid w:val="00A44D65"/>
    <w:rsid w:val="00A44F51"/>
    <w:rsid w:val="00A45086"/>
    <w:rsid w:val="00A451BB"/>
    <w:rsid w:val="00A45A69"/>
    <w:rsid w:val="00A463B4"/>
    <w:rsid w:val="00A467A6"/>
    <w:rsid w:val="00A468C5"/>
    <w:rsid w:val="00A468CE"/>
    <w:rsid w:val="00A46992"/>
    <w:rsid w:val="00A46A57"/>
    <w:rsid w:val="00A46B3C"/>
    <w:rsid w:val="00A475D6"/>
    <w:rsid w:val="00A476DB"/>
    <w:rsid w:val="00A500A3"/>
    <w:rsid w:val="00A500B9"/>
    <w:rsid w:val="00A50201"/>
    <w:rsid w:val="00A5091A"/>
    <w:rsid w:val="00A5094A"/>
    <w:rsid w:val="00A50A2B"/>
    <w:rsid w:val="00A51E3F"/>
    <w:rsid w:val="00A51F93"/>
    <w:rsid w:val="00A52594"/>
    <w:rsid w:val="00A53BFF"/>
    <w:rsid w:val="00A54121"/>
    <w:rsid w:val="00A5439F"/>
    <w:rsid w:val="00A54AA5"/>
    <w:rsid w:val="00A5577B"/>
    <w:rsid w:val="00A55951"/>
    <w:rsid w:val="00A55BA8"/>
    <w:rsid w:val="00A55C7E"/>
    <w:rsid w:val="00A56710"/>
    <w:rsid w:val="00A567BC"/>
    <w:rsid w:val="00A56906"/>
    <w:rsid w:val="00A56A53"/>
    <w:rsid w:val="00A5737A"/>
    <w:rsid w:val="00A57F53"/>
    <w:rsid w:val="00A6026D"/>
    <w:rsid w:val="00A60CB3"/>
    <w:rsid w:val="00A6187E"/>
    <w:rsid w:val="00A61B10"/>
    <w:rsid w:val="00A61ED1"/>
    <w:rsid w:val="00A61F0D"/>
    <w:rsid w:val="00A62292"/>
    <w:rsid w:val="00A63178"/>
    <w:rsid w:val="00A63450"/>
    <w:rsid w:val="00A6388D"/>
    <w:rsid w:val="00A638C1"/>
    <w:rsid w:val="00A63D8D"/>
    <w:rsid w:val="00A641AA"/>
    <w:rsid w:val="00A6458E"/>
    <w:rsid w:val="00A648FE"/>
    <w:rsid w:val="00A64BF5"/>
    <w:rsid w:val="00A64F19"/>
    <w:rsid w:val="00A6519A"/>
    <w:rsid w:val="00A6528E"/>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161B"/>
    <w:rsid w:val="00A72438"/>
    <w:rsid w:val="00A72849"/>
    <w:rsid w:val="00A731A9"/>
    <w:rsid w:val="00A738B7"/>
    <w:rsid w:val="00A73B77"/>
    <w:rsid w:val="00A73C25"/>
    <w:rsid w:val="00A74056"/>
    <w:rsid w:val="00A74313"/>
    <w:rsid w:val="00A74D89"/>
    <w:rsid w:val="00A74F49"/>
    <w:rsid w:val="00A75555"/>
    <w:rsid w:val="00A766A4"/>
    <w:rsid w:val="00A76DC6"/>
    <w:rsid w:val="00A76FB0"/>
    <w:rsid w:val="00A777D6"/>
    <w:rsid w:val="00A801CC"/>
    <w:rsid w:val="00A8039D"/>
    <w:rsid w:val="00A80B46"/>
    <w:rsid w:val="00A80EAC"/>
    <w:rsid w:val="00A82597"/>
    <w:rsid w:val="00A82961"/>
    <w:rsid w:val="00A82AE4"/>
    <w:rsid w:val="00A82B8A"/>
    <w:rsid w:val="00A82C5C"/>
    <w:rsid w:val="00A830CC"/>
    <w:rsid w:val="00A831C5"/>
    <w:rsid w:val="00A831E0"/>
    <w:rsid w:val="00A83224"/>
    <w:rsid w:val="00A833D3"/>
    <w:rsid w:val="00A8461F"/>
    <w:rsid w:val="00A84985"/>
    <w:rsid w:val="00A84BDA"/>
    <w:rsid w:val="00A84CCA"/>
    <w:rsid w:val="00A84CF1"/>
    <w:rsid w:val="00A84D19"/>
    <w:rsid w:val="00A84F42"/>
    <w:rsid w:val="00A84FB3"/>
    <w:rsid w:val="00A8510D"/>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D1"/>
    <w:rsid w:val="00A873FE"/>
    <w:rsid w:val="00A87575"/>
    <w:rsid w:val="00A87D5D"/>
    <w:rsid w:val="00A900E4"/>
    <w:rsid w:val="00A9046F"/>
    <w:rsid w:val="00A90558"/>
    <w:rsid w:val="00A908D3"/>
    <w:rsid w:val="00A91188"/>
    <w:rsid w:val="00A91616"/>
    <w:rsid w:val="00A918E6"/>
    <w:rsid w:val="00A91924"/>
    <w:rsid w:val="00A91BDA"/>
    <w:rsid w:val="00A92EE5"/>
    <w:rsid w:val="00A92FD0"/>
    <w:rsid w:val="00A9304A"/>
    <w:rsid w:val="00A93447"/>
    <w:rsid w:val="00A934E3"/>
    <w:rsid w:val="00A93573"/>
    <w:rsid w:val="00A93C07"/>
    <w:rsid w:val="00A94115"/>
    <w:rsid w:val="00A94514"/>
    <w:rsid w:val="00A946F2"/>
    <w:rsid w:val="00A94A9C"/>
    <w:rsid w:val="00A954B3"/>
    <w:rsid w:val="00A958CC"/>
    <w:rsid w:val="00A95A88"/>
    <w:rsid w:val="00A95F20"/>
    <w:rsid w:val="00A96298"/>
    <w:rsid w:val="00A9683D"/>
    <w:rsid w:val="00A96B51"/>
    <w:rsid w:val="00A979B9"/>
    <w:rsid w:val="00A97C45"/>
    <w:rsid w:val="00A97C71"/>
    <w:rsid w:val="00A97E13"/>
    <w:rsid w:val="00AA043F"/>
    <w:rsid w:val="00AA04D7"/>
    <w:rsid w:val="00AA04D9"/>
    <w:rsid w:val="00AA0576"/>
    <w:rsid w:val="00AA070D"/>
    <w:rsid w:val="00AA0C56"/>
    <w:rsid w:val="00AA0C6F"/>
    <w:rsid w:val="00AA0E68"/>
    <w:rsid w:val="00AA0EB1"/>
    <w:rsid w:val="00AA19B7"/>
    <w:rsid w:val="00AA1AD4"/>
    <w:rsid w:val="00AA1DED"/>
    <w:rsid w:val="00AA207E"/>
    <w:rsid w:val="00AA26D8"/>
    <w:rsid w:val="00AA31C2"/>
    <w:rsid w:val="00AA39A3"/>
    <w:rsid w:val="00AA3B2B"/>
    <w:rsid w:val="00AA3F1C"/>
    <w:rsid w:val="00AA453D"/>
    <w:rsid w:val="00AA4ABD"/>
    <w:rsid w:val="00AA4D33"/>
    <w:rsid w:val="00AA4DB3"/>
    <w:rsid w:val="00AA55F1"/>
    <w:rsid w:val="00AA5847"/>
    <w:rsid w:val="00AA5B35"/>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1D19"/>
    <w:rsid w:val="00AB1DE9"/>
    <w:rsid w:val="00AB2555"/>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4E77"/>
    <w:rsid w:val="00AB628F"/>
    <w:rsid w:val="00AB6722"/>
    <w:rsid w:val="00AB682A"/>
    <w:rsid w:val="00AB74D7"/>
    <w:rsid w:val="00AB7974"/>
    <w:rsid w:val="00AB79A7"/>
    <w:rsid w:val="00AC0126"/>
    <w:rsid w:val="00AC02C9"/>
    <w:rsid w:val="00AC02FE"/>
    <w:rsid w:val="00AC0341"/>
    <w:rsid w:val="00AC03C0"/>
    <w:rsid w:val="00AC0678"/>
    <w:rsid w:val="00AC0A6E"/>
    <w:rsid w:val="00AC0B1F"/>
    <w:rsid w:val="00AC0D8D"/>
    <w:rsid w:val="00AC0EF2"/>
    <w:rsid w:val="00AC10ED"/>
    <w:rsid w:val="00AC21C9"/>
    <w:rsid w:val="00AC258E"/>
    <w:rsid w:val="00AC2664"/>
    <w:rsid w:val="00AC2C0D"/>
    <w:rsid w:val="00AC3A2C"/>
    <w:rsid w:val="00AC3AFF"/>
    <w:rsid w:val="00AC3CC0"/>
    <w:rsid w:val="00AC3E66"/>
    <w:rsid w:val="00AC42D8"/>
    <w:rsid w:val="00AC49DE"/>
    <w:rsid w:val="00AC4AEA"/>
    <w:rsid w:val="00AC4D4F"/>
    <w:rsid w:val="00AC5824"/>
    <w:rsid w:val="00AC5BBF"/>
    <w:rsid w:val="00AC5BF4"/>
    <w:rsid w:val="00AC5CB5"/>
    <w:rsid w:val="00AC624F"/>
    <w:rsid w:val="00AC629A"/>
    <w:rsid w:val="00AC6862"/>
    <w:rsid w:val="00AC6AF9"/>
    <w:rsid w:val="00AC6D91"/>
    <w:rsid w:val="00AC6F25"/>
    <w:rsid w:val="00AC7514"/>
    <w:rsid w:val="00AC7C29"/>
    <w:rsid w:val="00AD0066"/>
    <w:rsid w:val="00AD045F"/>
    <w:rsid w:val="00AD06CF"/>
    <w:rsid w:val="00AD06F5"/>
    <w:rsid w:val="00AD1677"/>
    <w:rsid w:val="00AD1757"/>
    <w:rsid w:val="00AD18DA"/>
    <w:rsid w:val="00AD18F6"/>
    <w:rsid w:val="00AD1AE6"/>
    <w:rsid w:val="00AD22E2"/>
    <w:rsid w:val="00AD25A2"/>
    <w:rsid w:val="00AD35B9"/>
    <w:rsid w:val="00AD3EC7"/>
    <w:rsid w:val="00AD4046"/>
    <w:rsid w:val="00AD456A"/>
    <w:rsid w:val="00AD5062"/>
    <w:rsid w:val="00AD50B8"/>
    <w:rsid w:val="00AD573D"/>
    <w:rsid w:val="00AD59BA"/>
    <w:rsid w:val="00AD5CFC"/>
    <w:rsid w:val="00AD60F4"/>
    <w:rsid w:val="00AD7302"/>
    <w:rsid w:val="00AD74E2"/>
    <w:rsid w:val="00AD7DE4"/>
    <w:rsid w:val="00AE08B7"/>
    <w:rsid w:val="00AE0F7C"/>
    <w:rsid w:val="00AE10F8"/>
    <w:rsid w:val="00AE121A"/>
    <w:rsid w:val="00AE1751"/>
    <w:rsid w:val="00AE1931"/>
    <w:rsid w:val="00AE19F7"/>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41A8"/>
    <w:rsid w:val="00AE43BE"/>
    <w:rsid w:val="00AE4E4D"/>
    <w:rsid w:val="00AE5131"/>
    <w:rsid w:val="00AE5683"/>
    <w:rsid w:val="00AE5897"/>
    <w:rsid w:val="00AE5941"/>
    <w:rsid w:val="00AE5BE7"/>
    <w:rsid w:val="00AE5CAC"/>
    <w:rsid w:val="00AE5DAC"/>
    <w:rsid w:val="00AE60BA"/>
    <w:rsid w:val="00AE60DF"/>
    <w:rsid w:val="00AE631A"/>
    <w:rsid w:val="00AE6386"/>
    <w:rsid w:val="00AE7B6B"/>
    <w:rsid w:val="00AF0243"/>
    <w:rsid w:val="00AF0418"/>
    <w:rsid w:val="00AF05A6"/>
    <w:rsid w:val="00AF114B"/>
    <w:rsid w:val="00AF1359"/>
    <w:rsid w:val="00AF199C"/>
    <w:rsid w:val="00AF1B8F"/>
    <w:rsid w:val="00AF1F31"/>
    <w:rsid w:val="00AF276C"/>
    <w:rsid w:val="00AF2990"/>
    <w:rsid w:val="00AF33F8"/>
    <w:rsid w:val="00AF3CA1"/>
    <w:rsid w:val="00AF3DF0"/>
    <w:rsid w:val="00AF4739"/>
    <w:rsid w:val="00AF48A9"/>
    <w:rsid w:val="00AF4990"/>
    <w:rsid w:val="00AF4EB8"/>
    <w:rsid w:val="00AF5562"/>
    <w:rsid w:val="00AF566D"/>
    <w:rsid w:val="00AF6188"/>
    <w:rsid w:val="00AF651E"/>
    <w:rsid w:val="00AF6E42"/>
    <w:rsid w:val="00AF707B"/>
    <w:rsid w:val="00AF7A8D"/>
    <w:rsid w:val="00AF7BE2"/>
    <w:rsid w:val="00AF7C24"/>
    <w:rsid w:val="00AF7D3F"/>
    <w:rsid w:val="00AF7F28"/>
    <w:rsid w:val="00B001B6"/>
    <w:rsid w:val="00B0072B"/>
    <w:rsid w:val="00B00A07"/>
    <w:rsid w:val="00B00B26"/>
    <w:rsid w:val="00B00CE4"/>
    <w:rsid w:val="00B00F9E"/>
    <w:rsid w:val="00B011D7"/>
    <w:rsid w:val="00B011F1"/>
    <w:rsid w:val="00B020B7"/>
    <w:rsid w:val="00B026FA"/>
    <w:rsid w:val="00B0273F"/>
    <w:rsid w:val="00B02ADA"/>
    <w:rsid w:val="00B02E6E"/>
    <w:rsid w:val="00B02ED5"/>
    <w:rsid w:val="00B03627"/>
    <w:rsid w:val="00B039D2"/>
    <w:rsid w:val="00B03A04"/>
    <w:rsid w:val="00B03AB8"/>
    <w:rsid w:val="00B03D25"/>
    <w:rsid w:val="00B04049"/>
    <w:rsid w:val="00B040AF"/>
    <w:rsid w:val="00B049D4"/>
    <w:rsid w:val="00B05091"/>
    <w:rsid w:val="00B052ED"/>
    <w:rsid w:val="00B05680"/>
    <w:rsid w:val="00B05701"/>
    <w:rsid w:val="00B05DFE"/>
    <w:rsid w:val="00B05F69"/>
    <w:rsid w:val="00B0601E"/>
    <w:rsid w:val="00B068F7"/>
    <w:rsid w:val="00B06A67"/>
    <w:rsid w:val="00B06B7C"/>
    <w:rsid w:val="00B06EDB"/>
    <w:rsid w:val="00B0710A"/>
    <w:rsid w:val="00B07145"/>
    <w:rsid w:val="00B0723D"/>
    <w:rsid w:val="00B0797F"/>
    <w:rsid w:val="00B07D1D"/>
    <w:rsid w:val="00B107B0"/>
    <w:rsid w:val="00B107D6"/>
    <w:rsid w:val="00B10889"/>
    <w:rsid w:val="00B113BD"/>
    <w:rsid w:val="00B113CA"/>
    <w:rsid w:val="00B11AF7"/>
    <w:rsid w:val="00B11B09"/>
    <w:rsid w:val="00B11DDF"/>
    <w:rsid w:val="00B11E0C"/>
    <w:rsid w:val="00B11FC0"/>
    <w:rsid w:val="00B14585"/>
    <w:rsid w:val="00B145B0"/>
    <w:rsid w:val="00B14A7C"/>
    <w:rsid w:val="00B14BAA"/>
    <w:rsid w:val="00B14BFD"/>
    <w:rsid w:val="00B14C52"/>
    <w:rsid w:val="00B14F21"/>
    <w:rsid w:val="00B1561A"/>
    <w:rsid w:val="00B15B7A"/>
    <w:rsid w:val="00B16028"/>
    <w:rsid w:val="00B16141"/>
    <w:rsid w:val="00B161E5"/>
    <w:rsid w:val="00B162B2"/>
    <w:rsid w:val="00B168AF"/>
    <w:rsid w:val="00B168E7"/>
    <w:rsid w:val="00B16E84"/>
    <w:rsid w:val="00B17113"/>
    <w:rsid w:val="00B1766F"/>
    <w:rsid w:val="00B17D20"/>
    <w:rsid w:val="00B20584"/>
    <w:rsid w:val="00B20928"/>
    <w:rsid w:val="00B20BF6"/>
    <w:rsid w:val="00B20C18"/>
    <w:rsid w:val="00B2138E"/>
    <w:rsid w:val="00B226E3"/>
    <w:rsid w:val="00B227C3"/>
    <w:rsid w:val="00B234C4"/>
    <w:rsid w:val="00B2357E"/>
    <w:rsid w:val="00B236DE"/>
    <w:rsid w:val="00B23991"/>
    <w:rsid w:val="00B24F02"/>
    <w:rsid w:val="00B250B2"/>
    <w:rsid w:val="00B25263"/>
    <w:rsid w:val="00B25570"/>
    <w:rsid w:val="00B25981"/>
    <w:rsid w:val="00B26120"/>
    <w:rsid w:val="00B2700A"/>
    <w:rsid w:val="00B27464"/>
    <w:rsid w:val="00B275EE"/>
    <w:rsid w:val="00B2781B"/>
    <w:rsid w:val="00B2786D"/>
    <w:rsid w:val="00B27B57"/>
    <w:rsid w:val="00B301C5"/>
    <w:rsid w:val="00B301E9"/>
    <w:rsid w:val="00B305C4"/>
    <w:rsid w:val="00B3086D"/>
    <w:rsid w:val="00B30A1F"/>
    <w:rsid w:val="00B31041"/>
    <w:rsid w:val="00B31088"/>
    <w:rsid w:val="00B310C4"/>
    <w:rsid w:val="00B31548"/>
    <w:rsid w:val="00B3181C"/>
    <w:rsid w:val="00B325E1"/>
    <w:rsid w:val="00B3270B"/>
    <w:rsid w:val="00B32D0B"/>
    <w:rsid w:val="00B33795"/>
    <w:rsid w:val="00B33922"/>
    <w:rsid w:val="00B33AAC"/>
    <w:rsid w:val="00B33BD0"/>
    <w:rsid w:val="00B340C2"/>
    <w:rsid w:val="00B34471"/>
    <w:rsid w:val="00B349AC"/>
    <w:rsid w:val="00B34BB6"/>
    <w:rsid w:val="00B3512C"/>
    <w:rsid w:val="00B353E0"/>
    <w:rsid w:val="00B357CC"/>
    <w:rsid w:val="00B360BB"/>
    <w:rsid w:val="00B361AA"/>
    <w:rsid w:val="00B36262"/>
    <w:rsid w:val="00B362CE"/>
    <w:rsid w:val="00B3631C"/>
    <w:rsid w:val="00B36E23"/>
    <w:rsid w:val="00B3705B"/>
    <w:rsid w:val="00B3727C"/>
    <w:rsid w:val="00B4046B"/>
    <w:rsid w:val="00B40661"/>
    <w:rsid w:val="00B40D14"/>
    <w:rsid w:val="00B40D50"/>
    <w:rsid w:val="00B40EB4"/>
    <w:rsid w:val="00B410BE"/>
    <w:rsid w:val="00B411A6"/>
    <w:rsid w:val="00B411B3"/>
    <w:rsid w:val="00B413C8"/>
    <w:rsid w:val="00B4162A"/>
    <w:rsid w:val="00B4175B"/>
    <w:rsid w:val="00B417A2"/>
    <w:rsid w:val="00B41D1A"/>
    <w:rsid w:val="00B42045"/>
    <w:rsid w:val="00B421BB"/>
    <w:rsid w:val="00B422FA"/>
    <w:rsid w:val="00B42BF3"/>
    <w:rsid w:val="00B42CDE"/>
    <w:rsid w:val="00B42D27"/>
    <w:rsid w:val="00B4363D"/>
    <w:rsid w:val="00B4369E"/>
    <w:rsid w:val="00B43C9D"/>
    <w:rsid w:val="00B43CBE"/>
    <w:rsid w:val="00B4448C"/>
    <w:rsid w:val="00B44576"/>
    <w:rsid w:val="00B4466F"/>
    <w:rsid w:val="00B44E9F"/>
    <w:rsid w:val="00B44FCF"/>
    <w:rsid w:val="00B45D87"/>
    <w:rsid w:val="00B462CF"/>
    <w:rsid w:val="00B4672E"/>
    <w:rsid w:val="00B46851"/>
    <w:rsid w:val="00B46BEE"/>
    <w:rsid w:val="00B46CAD"/>
    <w:rsid w:val="00B46EF4"/>
    <w:rsid w:val="00B4746D"/>
    <w:rsid w:val="00B47789"/>
    <w:rsid w:val="00B478D9"/>
    <w:rsid w:val="00B5004F"/>
    <w:rsid w:val="00B503E9"/>
    <w:rsid w:val="00B50C38"/>
    <w:rsid w:val="00B50F95"/>
    <w:rsid w:val="00B51673"/>
    <w:rsid w:val="00B51B1F"/>
    <w:rsid w:val="00B51BD2"/>
    <w:rsid w:val="00B52361"/>
    <w:rsid w:val="00B52E26"/>
    <w:rsid w:val="00B52E82"/>
    <w:rsid w:val="00B5379D"/>
    <w:rsid w:val="00B53835"/>
    <w:rsid w:val="00B539AA"/>
    <w:rsid w:val="00B53B0A"/>
    <w:rsid w:val="00B53C81"/>
    <w:rsid w:val="00B53FEF"/>
    <w:rsid w:val="00B540BC"/>
    <w:rsid w:val="00B54308"/>
    <w:rsid w:val="00B54819"/>
    <w:rsid w:val="00B554C1"/>
    <w:rsid w:val="00B55D22"/>
    <w:rsid w:val="00B55D4B"/>
    <w:rsid w:val="00B560CA"/>
    <w:rsid w:val="00B5627E"/>
    <w:rsid w:val="00B5646E"/>
    <w:rsid w:val="00B566D0"/>
    <w:rsid w:val="00B567AB"/>
    <w:rsid w:val="00B56A5A"/>
    <w:rsid w:val="00B56AC1"/>
    <w:rsid w:val="00B56C13"/>
    <w:rsid w:val="00B56E26"/>
    <w:rsid w:val="00B57256"/>
    <w:rsid w:val="00B576EB"/>
    <w:rsid w:val="00B600BB"/>
    <w:rsid w:val="00B601DD"/>
    <w:rsid w:val="00B6035E"/>
    <w:rsid w:val="00B60447"/>
    <w:rsid w:val="00B607BE"/>
    <w:rsid w:val="00B60B5C"/>
    <w:rsid w:val="00B61156"/>
    <w:rsid w:val="00B6152E"/>
    <w:rsid w:val="00B61909"/>
    <w:rsid w:val="00B61DB1"/>
    <w:rsid w:val="00B61F5E"/>
    <w:rsid w:val="00B62742"/>
    <w:rsid w:val="00B62872"/>
    <w:rsid w:val="00B62AAA"/>
    <w:rsid w:val="00B62E07"/>
    <w:rsid w:val="00B63056"/>
    <w:rsid w:val="00B632C7"/>
    <w:rsid w:val="00B634F2"/>
    <w:rsid w:val="00B6375C"/>
    <w:rsid w:val="00B63825"/>
    <w:rsid w:val="00B63E44"/>
    <w:rsid w:val="00B6441B"/>
    <w:rsid w:val="00B645CF"/>
    <w:rsid w:val="00B645F1"/>
    <w:rsid w:val="00B64792"/>
    <w:rsid w:val="00B64B01"/>
    <w:rsid w:val="00B6518D"/>
    <w:rsid w:val="00B65A3F"/>
    <w:rsid w:val="00B660C3"/>
    <w:rsid w:val="00B66132"/>
    <w:rsid w:val="00B66B33"/>
    <w:rsid w:val="00B67996"/>
    <w:rsid w:val="00B67A91"/>
    <w:rsid w:val="00B67DC0"/>
    <w:rsid w:val="00B70475"/>
    <w:rsid w:val="00B70479"/>
    <w:rsid w:val="00B70915"/>
    <w:rsid w:val="00B70C9F"/>
    <w:rsid w:val="00B712C2"/>
    <w:rsid w:val="00B7156A"/>
    <w:rsid w:val="00B7178D"/>
    <w:rsid w:val="00B71E81"/>
    <w:rsid w:val="00B7238D"/>
    <w:rsid w:val="00B7245E"/>
    <w:rsid w:val="00B72743"/>
    <w:rsid w:val="00B72B25"/>
    <w:rsid w:val="00B73D26"/>
    <w:rsid w:val="00B744F7"/>
    <w:rsid w:val="00B7465A"/>
    <w:rsid w:val="00B74858"/>
    <w:rsid w:val="00B74DB6"/>
    <w:rsid w:val="00B75122"/>
    <w:rsid w:val="00B75729"/>
    <w:rsid w:val="00B75740"/>
    <w:rsid w:val="00B760AE"/>
    <w:rsid w:val="00B7621E"/>
    <w:rsid w:val="00B76D5A"/>
    <w:rsid w:val="00B77744"/>
    <w:rsid w:val="00B77DA6"/>
    <w:rsid w:val="00B77F88"/>
    <w:rsid w:val="00B77FE3"/>
    <w:rsid w:val="00B80208"/>
    <w:rsid w:val="00B80704"/>
    <w:rsid w:val="00B80C2A"/>
    <w:rsid w:val="00B80C33"/>
    <w:rsid w:val="00B80D30"/>
    <w:rsid w:val="00B80D7B"/>
    <w:rsid w:val="00B80EE9"/>
    <w:rsid w:val="00B80F9C"/>
    <w:rsid w:val="00B8101C"/>
    <w:rsid w:val="00B812AC"/>
    <w:rsid w:val="00B8192E"/>
    <w:rsid w:val="00B81E2A"/>
    <w:rsid w:val="00B81E4F"/>
    <w:rsid w:val="00B828A3"/>
    <w:rsid w:val="00B82CB6"/>
    <w:rsid w:val="00B82E2E"/>
    <w:rsid w:val="00B834AC"/>
    <w:rsid w:val="00B83AD7"/>
    <w:rsid w:val="00B84055"/>
    <w:rsid w:val="00B84FCB"/>
    <w:rsid w:val="00B8513C"/>
    <w:rsid w:val="00B851CE"/>
    <w:rsid w:val="00B856CE"/>
    <w:rsid w:val="00B85C0E"/>
    <w:rsid w:val="00B86792"/>
    <w:rsid w:val="00B867F3"/>
    <w:rsid w:val="00B86A3E"/>
    <w:rsid w:val="00B86B0C"/>
    <w:rsid w:val="00B86E7A"/>
    <w:rsid w:val="00B87619"/>
    <w:rsid w:val="00B87665"/>
    <w:rsid w:val="00B876DD"/>
    <w:rsid w:val="00B8782C"/>
    <w:rsid w:val="00B87B59"/>
    <w:rsid w:val="00B90635"/>
    <w:rsid w:val="00B90801"/>
    <w:rsid w:val="00B90BFC"/>
    <w:rsid w:val="00B90CCD"/>
    <w:rsid w:val="00B90D03"/>
    <w:rsid w:val="00B910D9"/>
    <w:rsid w:val="00B91603"/>
    <w:rsid w:val="00B9188F"/>
    <w:rsid w:val="00B91DE3"/>
    <w:rsid w:val="00B91F86"/>
    <w:rsid w:val="00B9205E"/>
    <w:rsid w:val="00B922FC"/>
    <w:rsid w:val="00B9252C"/>
    <w:rsid w:val="00B930A3"/>
    <w:rsid w:val="00B9321F"/>
    <w:rsid w:val="00B938ED"/>
    <w:rsid w:val="00B93A87"/>
    <w:rsid w:val="00B93E4C"/>
    <w:rsid w:val="00B93F23"/>
    <w:rsid w:val="00B94244"/>
    <w:rsid w:val="00B9431C"/>
    <w:rsid w:val="00B94334"/>
    <w:rsid w:val="00B94BD6"/>
    <w:rsid w:val="00B951A3"/>
    <w:rsid w:val="00B95592"/>
    <w:rsid w:val="00B958C1"/>
    <w:rsid w:val="00B964FB"/>
    <w:rsid w:val="00B966DA"/>
    <w:rsid w:val="00B970A4"/>
    <w:rsid w:val="00B97112"/>
    <w:rsid w:val="00B97925"/>
    <w:rsid w:val="00BA0AB2"/>
    <w:rsid w:val="00BA1002"/>
    <w:rsid w:val="00BA1A7F"/>
    <w:rsid w:val="00BA1BB5"/>
    <w:rsid w:val="00BA1ECA"/>
    <w:rsid w:val="00BA273E"/>
    <w:rsid w:val="00BA2B93"/>
    <w:rsid w:val="00BA3B8E"/>
    <w:rsid w:val="00BA4381"/>
    <w:rsid w:val="00BA45A6"/>
    <w:rsid w:val="00BA537D"/>
    <w:rsid w:val="00BA6373"/>
    <w:rsid w:val="00BA6661"/>
    <w:rsid w:val="00BA68B1"/>
    <w:rsid w:val="00BA6991"/>
    <w:rsid w:val="00BA6CE7"/>
    <w:rsid w:val="00BA700A"/>
    <w:rsid w:val="00BA705B"/>
    <w:rsid w:val="00BA7082"/>
    <w:rsid w:val="00BA7A07"/>
    <w:rsid w:val="00BA7A20"/>
    <w:rsid w:val="00BA7B10"/>
    <w:rsid w:val="00BB00F8"/>
    <w:rsid w:val="00BB01E5"/>
    <w:rsid w:val="00BB141E"/>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EED"/>
    <w:rsid w:val="00BC529F"/>
    <w:rsid w:val="00BC5303"/>
    <w:rsid w:val="00BC5731"/>
    <w:rsid w:val="00BC58A6"/>
    <w:rsid w:val="00BC5BA8"/>
    <w:rsid w:val="00BC5C60"/>
    <w:rsid w:val="00BC5CAD"/>
    <w:rsid w:val="00BC6103"/>
    <w:rsid w:val="00BC6274"/>
    <w:rsid w:val="00BC656A"/>
    <w:rsid w:val="00BC65DE"/>
    <w:rsid w:val="00BC67E6"/>
    <w:rsid w:val="00BC6ED7"/>
    <w:rsid w:val="00BC7446"/>
    <w:rsid w:val="00BC76E9"/>
    <w:rsid w:val="00BC7D8D"/>
    <w:rsid w:val="00BD0431"/>
    <w:rsid w:val="00BD0491"/>
    <w:rsid w:val="00BD0520"/>
    <w:rsid w:val="00BD113C"/>
    <w:rsid w:val="00BD166B"/>
    <w:rsid w:val="00BD19D4"/>
    <w:rsid w:val="00BD2853"/>
    <w:rsid w:val="00BD2B56"/>
    <w:rsid w:val="00BD2FF9"/>
    <w:rsid w:val="00BD35C7"/>
    <w:rsid w:val="00BD3BF0"/>
    <w:rsid w:val="00BD3E60"/>
    <w:rsid w:val="00BD440E"/>
    <w:rsid w:val="00BD4602"/>
    <w:rsid w:val="00BD4783"/>
    <w:rsid w:val="00BD48E3"/>
    <w:rsid w:val="00BD4A6F"/>
    <w:rsid w:val="00BD4C8E"/>
    <w:rsid w:val="00BD4E6C"/>
    <w:rsid w:val="00BD4F6E"/>
    <w:rsid w:val="00BD5B1C"/>
    <w:rsid w:val="00BD607B"/>
    <w:rsid w:val="00BD64BD"/>
    <w:rsid w:val="00BD6B4E"/>
    <w:rsid w:val="00BD6E79"/>
    <w:rsid w:val="00BD7392"/>
    <w:rsid w:val="00BD7A69"/>
    <w:rsid w:val="00BD7BA7"/>
    <w:rsid w:val="00BE008E"/>
    <w:rsid w:val="00BE05B6"/>
    <w:rsid w:val="00BE06D2"/>
    <w:rsid w:val="00BE0965"/>
    <w:rsid w:val="00BE0A64"/>
    <w:rsid w:val="00BE0C9E"/>
    <w:rsid w:val="00BE0F2D"/>
    <w:rsid w:val="00BE15A9"/>
    <w:rsid w:val="00BE16C7"/>
    <w:rsid w:val="00BE1AA7"/>
    <w:rsid w:val="00BE1B0C"/>
    <w:rsid w:val="00BE1C1B"/>
    <w:rsid w:val="00BE2307"/>
    <w:rsid w:val="00BE247B"/>
    <w:rsid w:val="00BE24CB"/>
    <w:rsid w:val="00BE251E"/>
    <w:rsid w:val="00BE28D0"/>
    <w:rsid w:val="00BE28DB"/>
    <w:rsid w:val="00BE2C02"/>
    <w:rsid w:val="00BE2DD2"/>
    <w:rsid w:val="00BE2F44"/>
    <w:rsid w:val="00BE34A2"/>
    <w:rsid w:val="00BE34EB"/>
    <w:rsid w:val="00BE3FB5"/>
    <w:rsid w:val="00BE4035"/>
    <w:rsid w:val="00BE40BA"/>
    <w:rsid w:val="00BE41F4"/>
    <w:rsid w:val="00BE4359"/>
    <w:rsid w:val="00BE49B6"/>
    <w:rsid w:val="00BE4BDE"/>
    <w:rsid w:val="00BE4F43"/>
    <w:rsid w:val="00BE6465"/>
    <w:rsid w:val="00BE6A24"/>
    <w:rsid w:val="00BE7153"/>
    <w:rsid w:val="00BE734B"/>
    <w:rsid w:val="00BF022A"/>
    <w:rsid w:val="00BF0337"/>
    <w:rsid w:val="00BF046B"/>
    <w:rsid w:val="00BF08DD"/>
    <w:rsid w:val="00BF12E8"/>
    <w:rsid w:val="00BF15BD"/>
    <w:rsid w:val="00BF1D03"/>
    <w:rsid w:val="00BF2113"/>
    <w:rsid w:val="00BF2233"/>
    <w:rsid w:val="00BF238F"/>
    <w:rsid w:val="00BF257E"/>
    <w:rsid w:val="00BF2686"/>
    <w:rsid w:val="00BF2A2B"/>
    <w:rsid w:val="00BF2AD9"/>
    <w:rsid w:val="00BF2F97"/>
    <w:rsid w:val="00BF34D9"/>
    <w:rsid w:val="00BF35BB"/>
    <w:rsid w:val="00BF3BBA"/>
    <w:rsid w:val="00BF4945"/>
    <w:rsid w:val="00BF4B48"/>
    <w:rsid w:val="00BF4F53"/>
    <w:rsid w:val="00BF52F6"/>
    <w:rsid w:val="00BF53BC"/>
    <w:rsid w:val="00BF54FE"/>
    <w:rsid w:val="00BF5BA9"/>
    <w:rsid w:val="00BF5D1D"/>
    <w:rsid w:val="00BF5E78"/>
    <w:rsid w:val="00BF6447"/>
    <w:rsid w:val="00BF666C"/>
    <w:rsid w:val="00BF6A53"/>
    <w:rsid w:val="00BF6C16"/>
    <w:rsid w:val="00BF6C19"/>
    <w:rsid w:val="00BF6E6A"/>
    <w:rsid w:val="00BF6FB7"/>
    <w:rsid w:val="00BF7439"/>
    <w:rsid w:val="00BF7EA0"/>
    <w:rsid w:val="00C00409"/>
    <w:rsid w:val="00C006AC"/>
    <w:rsid w:val="00C00BB7"/>
    <w:rsid w:val="00C00E19"/>
    <w:rsid w:val="00C010F5"/>
    <w:rsid w:val="00C01989"/>
    <w:rsid w:val="00C01A2D"/>
    <w:rsid w:val="00C01B3B"/>
    <w:rsid w:val="00C02091"/>
    <w:rsid w:val="00C020B0"/>
    <w:rsid w:val="00C021C0"/>
    <w:rsid w:val="00C025C6"/>
    <w:rsid w:val="00C026C2"/>
    <w:rsid w:val="00C02FFC"/>
    <w:rsid w:val="00C0310A"/>
    <w:rsid w:val="00C0317E"/>
    <w:rsid w:val="00C03202"/>
    <w:rsid w:val="00C033A5"/>
    <w:rsid w:val="00C03E53"/>
    <w:rsid w:val="00C04192"/>
    <w:rsid w:val="00C043BF"/>
    <w:rsid w:val="00C044B3"/>
    <w:rsid w:val="00C04651"/>
    <w:rsid w:val="00C04ACE"/>
    <w:rsid w:val="00C05CE6"/>
    <w:rsid w:val="00C06215"/>
    <w:rsid w:val="00C06339"/>
    <w:rsid w:val="00C06426"/>
    <w:rsid w:val="00C06B25"/>
    <w:rsid w:val="00C06E8E"/>
    <w:rsid w:val="00C071EF"/>
    <w:rsid w:val="00C075EE"/>
    <w:rsid w:val="00C07932"/>
    <w:rsid w:val="00C0797C"/>
    <w:rsid w:val="00C104EE"/>
    <w:rsid w:val="00C105CB"/>
    <w:rsid w:val="00C106C8"/>
    <w:rsid w:val="00C1084F"/>
    <w:rsid w:val="00C10A53"/>
    <w:rsid w:val="00C11416"/>
    <w:rsid w:val="00C12148"/>
    <w:rsid w:val="00C12215"/>
    <w:rsid w:val="00C1264E"/>
    <w:rsid w:val="00C12985"/>
    <w:rsid w:val="00C12992"/>
    <w:rsid w:val="00C12AAF"/>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0F0C"/>
    <w:rsid w:val="00C21044"/>
    <w:rsid w:val="00C213D8"/>
    <w:rsid w:val="00C214DF"/>
    <w:rsid w:val="00C21926"/>
    <w:rsid w:val="00C21A0A"/>
    <w:rsid w:val="00C21AA4"/>
    <w:rsid w:val="00C222D8"/>
    <w:rsid w:val="00C22C0C"/>
    <w:rsid w:val="00C22CDD"/>
    <w:rsid w:val="00C22F2B"/>
    <w:rsid w:val="00C23A01"/>
    <w:rsid w:val="00C23B50"/>
    <w:rsid w:val="00C23B67"/>
    <w:rsid w:val="00C240F8"/>
    <w:rsid w:val="00C24295"/>
    <w:rsid w:val="00C242FC"/>
    <w:rsid w:val="00C247B0"/>
    <w:rsid w:val="00C25F99"/>
    <w:rsid w:val="00C261C6"/>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471"/>
    <w:rsid w:val="00C327BD"/>
    <w:rsid w:val="00C32C0D"/>
    <w:rsid w:val="00C3305A"/>
    <w:rsid w:val="00C33353"/>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7026"/>
    <w:rsid w:val="00C37A49"/>
    <w:rsid w:val="00C37B1E"/>
    <w:rsid w:val="00C37C8C"/>
    <w:rsid w:val="00C37F96"/>
    <w:rsid w:val="00C40251"/>
    <w:rsid w:val="00C402DD"/>
    <w:rsid w:val="00C4044E"/>
    <w:rsid w:val="00C404A7"/>
    <w:rsid w:val="00C406F0"/>
    <w:rsid w:val="00C40815"/>
    <w:rsid w:val="00C410AA"/>
    <w:rsid w:val="00C413ED"/>
    <w:rsid w:val="00C41990"/>
    <w:rsid w:val="00C41C3A"/>
    <w:rsid w:val="00C4233C"/>
    <w:rsid w:val="00C42543"/>
    <w:rsid w:val="00C429F4"/>
    <w:rsid w:val="00C42E30"/>
    <w:rsid w:val="00C4331C"/>
    <w:rsid w:val="00C433D2"/>
    <w:rsid w:val="00C4385C"/>
    <w:rsid w:val="00C44244"/>
    <w:rsid w:val="00C44BAC"/>
    <w:rsid w:val="00C44D76"/>
    <w:rsid w:val="00C45739"/>
    <w:rsid w:val="00C4585F"/>
    <w:rsid w:val="00C458C7"/>
    <w:rsid w:val="00C45E3A"/>
    <w:rsid w:val="00C461E7"/>
    <w:rsid w:val="00C4627B"/>
    <w:rsid w:val="00C4661A"/>
    <w:rsid w:val="00C46BDD"/>
    <w:rsid w:val="00C473A4"/>
    <w:rsid w:val="00C4785D"/>
    <w:rsid w:val="00C47950"/>
    <w:rsid w:val="00C50486"/>
    <w:rsid w:val="00C50492"/>
    <w:rsid w:val="00C50569"/>
    <w:rsid w:val="00C506A9"/>
    <w:rsid w:val="00C506F8"/>
    <w:rsid w:val="00C5128D"/>
    <w:rsid w:val="00C513B4"/>
    <w:rsid w:val="00C51E99"/>
    <w:rsid w:val="00C52A27"/>
    <w:rsid w:val="00C52B63"/>
    <w:rsid w:val="00C52DAD"/>
    <w:rsid w:val="00C5309F"/>
    <w:rsid w:val="00C53208"/>
    <w:rsid w:val="00C538F2"/>
    <w:rsid w:val="00C53A6A"/>
    <w:rsid w:val="00C53E9D"/>
    <w:rsid w:val="00C54140"/>
    <w:rsid w:val="00C543F1"/>
    <w:rsid w:val="00C54480"/>
    <w:rsid w:val="00C546C4"/>
    <w:rsid w:val="00C550A1"/>
    <w:rsid w:val="00C551FB"/>
    <w:rsid w:val="00C554D5"/>
    <w:rsid w:val="00C5604D"/>
    <w:rsid w:val="00C5678F"/>
    <w:rsid w:val="00C567CA"/>
    <w:rsid w:val="00C56995"/>
    <w:rsid w:val="00C56BB6"/>
    <w:rsid w:val="00C56E84"/>
    <w:rsid w:val="00C570D4"/>
    <w:rsid w:val="00C57A44"/>
    <w:rsid w:val="00C57D2B"/>
    <w:rsid w:val="00C57F28"/>
    <w:rsid w:val="00C603FD"/>
    <w:rsid w:val="00C60BFB"/>
    <w:rsid w:val="00C60DD9"/>
    <w:rsid w:val="00C60F83"/>
    <w:rsid w:val="00C61170"/>
    <w:rsid w:val="00C61410"/>
    <w:rsid w:val="00C618BD"/>
    <w:rsid w:val="00C61981"/>
    <w:rsid w:val="00C61B7B"/>
    <w:rsid w:val="00C61C7F"/>
    <w:rsid w:val="00C61CA1"/>
    <w:rsid w:val="00C61D39"/>
    <w:rsid w:val="00C61E7D"/>
    <w:rsid w:val="00C61EC4"/>
    <w:rsid w:val="00C626E5"/>
    <w:rsid w:val="00C62F82"/>
    <w:rsid w:val="00C63675"/>
    <w:rsid w:val="00C636EC"/>
    <w:rsid w:val="00C637B1"/>
    <w:rsid w:val="00C64866"/>
    <w:rsid w:val="00C649E8"/>
    <w:rsid w:val="00C64EB4"/>
    <w:rsid w:val="00C64FD1"/>
    <w:rsid w:val="00C65339"/>
    <w:rsid w:val="00C65489"/>
    <w:rsid w:val="00C65593"/>
    <w:rsid w:val="00C65705"/>
    <w:rsid w:val="00C65C3A"/>
    <w:rsid w:val="00C66161"/>
    <w:rsid w:val="00C666DA"/>
    <w:rsid w:val="00C675E0"/>
    <w:rsid w:val="00C6775E"/>
    <w:rsid w:val="00C677F8"/>
    <w:rsid w:val="00C67BAA"/>
    <w:rsid w:val="00C67D87"/>
    <w:rsid w:val="00C700FA"/>
    <w:rsid w:val="00C7046E"/>
    <w:rsid w:val="00C714A2"/>
    <w:rsid w:val="00C71EC0"/>
    <w:rsid w:val="00C71ECC"/>
    <w:rsid w:val="00C71F27"/>
    <w:rsid w:val="00C72113"/>
    <w:rsid w:val="00C73666"/>
    <w:rsid w:val="00C740F9"/>
    <w:rsid w:val="00C744E5"/>
    <w:rsid w:val="00C746EB"/>
    <w:rsid w:val="00C747F2"/>
    <w:rsid w:val="00C7486F"/>
    <w:rsid w:val="00C76044"/>
    <w:rsid w:val="00C76B7A"/>
    <w:rsid w:val="00C76C3A"/>
    <w:rsid w:val="00C76E9E"/>
    <w:rsid w:val="00C7761B"/>
    <w:rsid w:val="00C7770F"/>
    <w:rsid w:val="00C77C49"/>
    <w:rsid w:val="00C77E42"/>
    <w:rsid w:val="00C8013C"/>
    <w:rsid w:val="00C8044D"/>
    <w:rsid w:val="00C80E75"/>
    <w:rsid w:val="00C822DC"/>
    <w:rsid w:val="00C8240F"/>
    <w:rsid w:val="00C825E7"/>
    <w:rsid w:val="00C82D56"/>
    <w:rsid w:val="00C82FBD"/>
    <w:rsid w:val="00C83187"/>
    <w:rsid w:val="00C8319B"/>
    <w:rsid w:val="00C83A1B"/>
    <w:rsid w:val="00C83AB3"/>
    <w:rsid w:val="00C840D6"/>
    <w:rsid w:val="00C84669"/>
    <w:rsid w:val="00C8471E"/>
    <w:rsid w:val="00C8473A"/>
    <w:rsid w:val="00C84A42"/>
    <w:rsid w:val="00C8514C"/>
    <w:rsid w:val="00C85434"/>
    <w:rsid w:val="00C8575D"/>
    <w:rsid w:val="00C85957"/>
    <w:rsid w:val="00C85AB5"/>
    <w:rsid w:val="00C85F31"/>
    <w:rsid w:val="00C860F5"/>
    <w:rsid w:val="00C86CD4"/>
    <w:rsid w:val="00C86D2E"/>
    <w:rsid w:val="00C86DFB"/>
    <w:rsid w:val="00C87950"/>
    <w:rsid w:val="00C87A7E"/>
    <w:rsid w:val="00C90454"/>
    <w:rsid w:val="00C90C00"/>
    <w:rsid w:val="00C914C6"/>
    <w:rsid w:val="00C915AC"/>
    <w:rsid w:val="00C91865"/>
    <w:rsid w:val="00C91B67"/>
    <w:rsid w:val="00C91D0B"/>
    <w:rsid w:val="00C927F6"/>
    <w:rsid w:val="00C92C76"/>
    <w:rsid w:val="00C92FF2"/>
    <w:rsid w:val="00C93E5B"/>
    <w:rsid w:val="00C9403F"/>
    <w:rsid w:val="00C9455C"/>
    <w:rsid w:val="00C94677"/>
    <w:rsid w:val="00C94B54"/>
    <w:rsid w:val="00C94C69"/>
    <w:rsid w:val="00C94D27"/>
    <w:rsid w:val="00C956D5"/>
    <w:rsid w:val="00C9575F"/>
    <w:rsid w:val="00C95805"/>
    <w:rsid w:val="00C958C7"/>
    <w:rsid w:val="00C96505"/>
    <w:rsid w:val="00C9711B"/>
    <w:rsid w:val="00C97213"/>
    <w:rsid w:val="00C976CC"/>
    <w:rsid w:val="00C9779A"/>
    <w:rsid w:val="00C97933"/>
    <w:rsid w:val="00C97BCF"/>
    <w:rsid w:val="00C97C8C"/>
    <w:rsid w:val="00CA09CA"/>
    <w:rsid w:val="00CA1237"/>
    <w:rsid w:val="00CA138B"/>
    <w:rsid w:val="00CA1907"/>
    <w:rsid w:val="00CA267C"/>
    <w:rsid w:val="00CA2951"/>
    <w:rsid w:val="00CA2A01"/>
    <w:rsid w:val="00CA2B93"/>
    <w:rsid w:val="00CA2C23"/>
    <w:rsid w:val="00CA2D31"/>
    <w:rsid w:val="00CA34AF"/>
    <w:rsid w:val="00CA351F"/>
    <w:rsid w:val="00CA35C4"/>
    <w:rsid w:val="00CA3A62"/>
    <w:rsid w:val="00CA3E74"/>
    <w:rsid w:val="00CA4066"/>
    <w:rsid w:val="00CA40E8"/>
    <w:rsid w:val="00CA4DD7"/>
    <w:rsid w:val="00CA517A"/>
    <w:rsid w:val="00CA525F"/>
    <w:rsid w:val="00CA53CF"/>
    <w:rsid w:val="00CA5CDA"/>
    <w:rsid w:val="00CA5D86"/>
    <w:rsid w:val="00CA603C"/>
    <w:rsid w:val="00CA63DE"/>
    <w:rsid w:val="00CA6568"/>
    <w:rsid w:val="00CA6A87"/>
    <w:rsid w:val="00CA6BD1"/>
    <w:rsid w:val="00CA74B4"/>
    <w:rsid w:val="00CA7714"/>
    <w:rsid w:val="00CA78C1"/>
    <w:rsid w:val="00CA7CFC"/>
    <w:rsid w:val="00CB07C9"/>
    <w:rsid w:val="00CB0C74"/>
    <w:rsid w:val="00CB160E"/>
    <w:rsid w:val="00CB1A18"/>
    <w:rsid w:val="00CB1D30"/>
    <w:rsid w:val="00CB2A77"/>
    <w:rsid w:val="00CB2C43"/>
    <w:rsid w:val="00CB2CC2"/>
    <w:rsid w:val="00CB2CF9"/>
    <w:rsid w:val="00CB34D0"/>
    <w:rsid w:val="00CB3683"/>
    <w:rsid w:val="00CB4175"/>
    <w:rsid w:val="00CB420C"/>
    <w:rsid w:val="00CB44AC"/>
    <w:rsid w:val="00CB45B4"/>
    <w:rsid w:val="00CB4639"/>
    <w:rsid w:val="00CB4822"/>
    <w:rsid w:val="00CB48A6"/>
    <w:rsid w:val="00CB494B"/>
    <w:rsid w:val="00CB498D"/>
    <w:rsid w:val="00CB49CE"/>
    <w:rsid w:val="00CB4D5B"/>
    <w:rsid w:val="00CB4FD3"/>
    <w:rsid w:val="00CB530C"/>
    <w:rsid w:val="00CB558A"/>
    <w:rsid w:val="00CB5704"/>
    <w:rsid w:val="00CB6198"/>
    <w:rsid w:val="00CB6587"/>
    <w:rsid w:val="00CB666C"/>
    <w:rsid w:val="00CB6C75"/>
    <w:rsid w:val="00CB71FC"/>
    <w:rsid w:val="00CB72CC"/>
    <w:rsid w:val="00CB7336"/>
    <w:rsid w:val="00CB74BE"/>
    <w:rsid w:val="00CB7703"/>
    <w:rsid w:val="00CC05FB"/>
    <w:rsid w:val="00CC1090"/>
    <w:rsid w:val="00CC154C"/>
    <w:rsid w:val="00CC1717"/>
    <w:rsid w:val="00CC179E"/>
    <w:rsid w:val="00CC1D16"/>
    <w:rsid w:val="00CC1EB3"/>
    <w:rsid w:val="00CC26B2"/>
    <w:rsid w:val="00CC292F"/>
    <w:rsid w:val="00CC2D71"/>
    <w:rsid w:val="00CC36EB"/>
    <w:rsid w:val="00CC3716"/>
    <w:rsid w:val="00CC3737"/>
    <w:rsid w:val="00CC3A66"/>
    <w:rsid w:val="00CC3ABA"/>
    <w:rsid w:val="00CC3C53"/>
    <w:rsid w:val="00CC3E2A"/>
    <w:rsid w:val="00CC4071"/>
    <w:rsid w:val="00CC4127"/>
    <w:rsid w:val="00CC4327"/>
    <w:rsid w:val="00CC4439"/>
    <w:rsid w:val="00CC48A8"/>
    <w:rsid w:val="00CC4B7F"/>
    <w:rsid w:val="00CC4F58"/>
    <w:rsid w:val="00CC583E"/>
    <w:rsid w:val="00CC58CF"/>
    <w:rsid w:val="00CC6078"/>
    <w:rsid w:val="00CC64D5"/>
    <w:rsid w:val="00CC690A"/>
    <w:rsid w:val="00CC69D0"/>
    <w:rsid w:val="00CC6B4B"/>
    <w:rsid w:val="00CC6DAD"/>
    <w:rsid w:val="00CC70A1"/>
    <w:rsid w:val="00CC714F"/>
    <w:rsid w:val="00CC7511"/>
    <w:rsid w:val="00CC7C1E"/>
    <w:rsid w:val="00CC7C4D"/>
    <w:rsid w:val="00CD09CC"/>
    <w:rsid w:val="00CD0E40"/>
    <w:rsid w:val="00CD15BE"/>
    <w:rsid w:val="00CD1A6A"/>
    <w:rsid w:val="00CD1E8F"/>
    <w:rsid w:val="00CD258A"/>
    <w:rsid w:val="00CD2778"/>
    <w:rsid w:val="00CD281F"/>
    <w:rsid w:val="00CD28DF"/>
    <w:rsid w:val="00CD2BF8"/>
    <w:rsid w:val="00CD2CB0"/>
    <w:rsid w:val="00CD2D59"/>
    <w:rsid w:val="00CD2EB6"/>
    <w:rsid w:val="00CD3332"/>
    <w:rsid w:val="00CD4075"/>
    <w:rsid w:val="00CD4AF3"/>
    <w:rsid w:val="00CD5005"/>
    <w:rsid w:val="00CD514B"/>
    <w:rsid w:val="00CD5182"/>
    <w:rsid w:val="00CD5525"/>
    <w:rsid w:val="00CD59DE"/>
    <w:rsid w:val="00CD5BF9"/>
    <w:rsid w:val="00CD6472"/>
    <w:rsid w:val="00CD6B5A"/>
    <w:rsid w:val="00CD7065"/>
    <w:rsid w:val="00CD7246"/>
    <w:rsid w:val="00CD796E"/>
    <w:rsid w:val="00CD7B31"/>
    <w:rsid w:val="00CE0ED5"/>
    <w:rsid w:val="00CE10A7"/>
    <w:rsid w:val="00CE11F6"/>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2C7"/>
    <w:rsid w:val="00CE5303"/>
    <w:rsid w:val="00CE5595"/>
    <w:rsid w:val="00CE6730"/>
    <w:rsid w:val="00CE6769"/>
    <w:rsid w:val="00CE6910"/>
    <w:rsid w:val="00CE6AF1"/>
    <w:rsid w:val="00CE6DB0"/>
    <w:rsid w:val="00CE722B"/>
    <w:rsid w:val="00CE72E3"/>
    <w:rsid w:val="00CE7388"/>
    <w:rsid w:val="00CE7482"/>
    <w:rsid w:val="00CE7827"/>
    <w:rsid w:val="00CE7863"/>
    <w:rsid w:val="00CE7A0C"/>
    <w:rsid w:val="00CF0EAE"/>
    <w:rsid w:val="00CF130E"/>
    <w:rsid w:val="00CF1339"/>
    <w:rsid w:val="00CF136F"/>
    <w:rsid w:val="00CF1C41"/>
    <w:rsid w:val="00CF1FC4"/>
    <w:rsid w:val="00CF2003"/>
    <w:rsid w:val="00CF20CC"/>
    <w:rsid w:val="00CF26CE"/>
    <w:rsid w:val="00CF2ED1"/>
    <w:rsid w:val="00CF374E"/>
    <w:rsid w:val="00CF3B6D"/>
    <w:rsid w:val="00CF3C09"/>
    <w:rsid w:val="00CF3E37"/>
    <w:rsid w:val="00CF401F"/>
    <w:rsid w:val="00CF4467"/>
    <w:rsid w:val="00CF45DE"/>
    <w:rsid w:val="00CF499E"/>
    <w:rsid w:val="00CF5231"/>
    <w:rsid w:val="00CF5D51"/>
    <w:rsid w:val="00CF67B7"/>
    <w:rsid w:val="00CF6F7C"/>
    <w:rsid w:val="00CF7424"/>
    <w:rsid w:val="00CF774E"/>
    <w:rsid w:val="00CF7816"/>
    <w:rsid w:val="00D0060B"/>
    <w:rsid w:val="00D0149D"/>
    <w:rsid w:val="00D01585"/>
    <w:rsid w:val="00D01CB6"/>
    <w:rsid w:val="00D02CF0"/>
    <w:rsid w:val="00D02E20"/>
    <w:rsid w:val="00D0318F"/>
    <w:rsid w:val="00D03336"/>
    <w:rsid w:val="00D03406"/>
    <w:rsid w:val="00D037C5"/>
    <w:rsid w:val="00D03D8A"/>
    <w:rsid w:val="00D03DEE"/>
    <w:rsid w:val="00D03FDC"/>
    <w:rsid w:val="00D041CD"/>
    <w:rsid w:val="00D0446C"/>
    <w:rsid w:val="00D04ADB"/>
    <w:rsid w:val="00D04B91"/>
    <w:rsid w:val="00D04D8E"/>
    <w:rsid w:val="00D04F9F"/>
    <w:rsid w:val="00D051F8"/>
    <w:rsid w:val="00D053DC"/>
    <w:rsid w:val="00D054A9"/>
    <w:rsid w:val="00D05573"/>
    <w:rsid w:val="00D05D69"/>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203CB"/>
    <w:rsid w:val="00D20AE7"/>
    <w:rsid w:val="00D20C73"/>
    <w:rsid w:val="00D20F76"/>
    <w:rsid w:val="00D21290"/>
    <w:rsid w:val="00D213FA"/>
    <w:rsid w:val="00D21CFC"/>
    <w:rsid w:val="00D21EAA"/>
    <w:rsid w:val="00D21F85"/>
    <w:rsid w:val="00D21FDD"/>
    <w:rsid w:val="00D222F2"/>
    <w:rsid w:val="00D223D9"/>
    <w:rsid w:val="00D224FE"/>
    <w:rsid w:val="00D232AA"/>
    <w:rsid w:val="00D23646"/>
    <w:rsid w:val="00D237F5"/>
    <w:rsid w:val="00D243C9"/>
    <w:rsid w:val="00D24A67"/>
    <w:rsid w:val="00D24CA8"/>
    <w:rsid w:val="00D24D26"/>
    <w:rsid w:val="00D26193"/>
    <w:rsid w:val="00D26ABF"/>
    <w:rsid w:val="00D26DA3"/>
    <w:rsid w:val="00D27232"/>
    <w:rsid w:val="00D2749A"/>
    <w:rsid w:val="00D27592"/>
    <w:rsid w:val="00D27712"/>
    <w:rsid w:val="00D27DE4"/>
    <w:rsid w:val="00D27F83"/>
    <w:rsid w:val="00D27FBD"/>
    <w:rsid w:val="00D30205"/>
    <w:rsid w:val="00D3048B"/>
    <w:rsid w:val="00D30839"/>
    <w:rsid w:val="00D30BED"/>
    <w:rsid w:val="00D311F4"/>
    <w:rsid w:val="00D314EF"/>
    <w:rsid w:val="00D31754"/>
    <w:rsid w:val="00D31F53"/>
    <w:rsid w:val="00D32691"/>
    <w:rsid w:val="00D32774"/>
    <w:rsid w:val="00D33232"/>
    <w:rsid w:val="00D33479"/>
    <w:rsid w:val="00D33818"/>
    <w:rsid w:val="00D339C6"/>
    <w:rsid w:val="00D33AF0"/>
    <w:rsid w:val="00D33D4F"/>
    <w:rsid w:val="00D33E09"/>
    <w:rsid w:val="00D33F75"/>
    <w:rsid w:val="00D340FC"/>
    <w:rsid w:val="00D345DD"/>
    <w:rsid w:val="00D346F1"/>
    <w:rsid w:val="00D3476A"/>
    <w:rsid w:val="00D34EF9"/>
    <w:rsid w:val="00D35345"/>
    <w:rsid w:val="00D356F8"/>
    <w:rsid w:val="00D35716"/>
    <w:rsid w:val="00D364B9"/>
    <w:rsid w:val="00D36844"/>
    <w:rsid w:val="00D36AA7"/>
    <w:rsid w:val="00D36D04"/>
    <w:rsid w:val="00D36EBE"/>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857"/>
    <w:rsid w:val="00D45E37"/>
    <w:rsid w:val="00D4663F"/>
    <w:rsid w:val="00D46724"/>
    <w:rsid w:val="00D46A0F"/>
    <w:rsid w:val="00D46A39"/>
    <w:rsid w:val="00D46B41"/>
    <w:rsid w:val="00D46EFA"/>
    <w:rsid w:val="00D4701C"/>
    <w:rsid w:val="00D473D8"/>
    <w:rsid w:val="00D47468"/>
    <w:rsid w:val="00D47720"/>
    <w:rsid w:val="00D47BB7"/>
    <w:rsid w:val="00D50182"/>
    <w:rsid w:val="00D50299"/>
    <w:rsid w:val="00D50932"/>
    <w:rsid w:val="00D50D02"/>
    <w:rsid w:val="00D5154D"/>
    <w:rsid w:val="00D51777"/>
    <w:rsid w:val="00D51812"/>
    <w:rsid w:val="00D51E46"/>
    <w:rsid w:val="00D52DBF"/>
    <w:rsid w:val="00D52EF1"/>
    <w:rsid w:val="00D53187"/>
    <w:rsid w:val="00D536FF"/>
    <w:rsid w:val="00D5379C"/>
    <w:rsid w:val="00D53866"/>
    <w:rsid w:val="00D53F89"/>
    <w:rsid w:val="00D542EA"/>
    <w:rsid w:val="00D54609"/>
    <w:rsid w:val="00D54D3B"/>
    <w:rsid w:val="00D54DF8"/>
    <w:rsid w:val="00D54FAD"/>
    <w:rsid w:val="00D550B5"/>
    <w:rsid w:val="00D5528F"/>
    <w:rsid w:val="00D556AF"/>
    <w:rsid w:val="00D55AD5"/>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2E9B"/>
    <w:rsid w:val="00D62FFC"/>
    <w:rsid w:val="00D631C3"/>
    <w:rsid w:val="00D63306"/>
    <w:rsid w:val="00D63961"/>
    <w:rsid w:val="00D639B3"/>
    <w:rsid w:val="00D63CC8"/>
    <w:rsid w:val="00D64789"/>
    <w:rsid w:val="00D6500B"/>
    <w:rsid w:val="00D6500D"/>
    <w:rsid w:val="00D65052"/>
    <w:rsid w:val="00D65065"/>
    <w:rsid w:val="00D65066"/>
    <w:rsid w:val="00D651CB"/>
    <w:rsid w:val="00D652B7"/>
    <w:rsid w:val="00D65B06"/>
    <w:rsid w:val="00D6624E"/>
    <w:rsid w:val="00D66640"/>
    <w:rsid w:val="00D6670A"/>
    <w:rsid w:val="00D668D1"/>
    <w:rsid w:val="00D669C8"/>
    <w:rsid w:val="00D67050"/>
    <w:rsid w:val="00D67210"/>
    <w:rsid w:val="00D700A4"/>
    <w:rsid w:val="00D709C3"/>
    <w:rsid w:val="00D712CC"/>
    <w:rsid w:val="00D713A3"/>
    <w:rsid w:val="00D717F9"/>
    <w:rsid w:val="00D71CE0"/>
    <w:rsid w:val="00D72053"/>
    <w:rsid w:val="00D720EC"/>
    <w:rsid w:val="00D72125"/>
    <w:rsid w:val="00D72D8B"/>
    <w:rsid w:val="00D72F13"/>
    <w:rsid w:val="00D734BB"/>
    <w:rsid w:val="00D738C6"/>
    <w:rsid w:val="00D73970"/>
    <w:rsid w:val="00D73B56"/>
    <w:rsid w:val="00D73F13"/>
    <w:rsid w:val="00D744E7"/>
    <w:rsid w:val="00D74BCF"/>
    <w:rsid w:val="00D7536B"/>
    <w:rsid w:val="00D7578D"/>
    <w:rsid w:val="00D75791"/>
    <w:rsid w:val="00D765FD"/>
    <w:rsid w:val="00D76DD1"/>
    <w:rsid w:val="00D76EF6"/>
    <w:rsid w:val="00D77606"/>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44E"/>
    <w:rsid w:val="00D8478D"/>
    <w:rsid w:val="00D84A05"/>
    <w:rsid w:val="00D84D39"/>
    <w:rsid w:val="00D85143"/>
    <w:rsid w:val="00D8573F"/>
    <w:rsid w:val="00D85C29"/>
    <w:rsid w:val="00D8604B"/>
    <w:rsid w:val="00D86247"/>
    <w:rsid w:val="00D86521"/>
    <w:rsid w:val="00D87034"/>
    <w:rsid w:val="00D870EF"/>
    <w:rsid w:val="00D87196"/>
    <w:rsid w:val="00D87875"/>
    <w:rsid w:val="00D8788D"/>
    <w:rsid w:val="00D904EA"/>
    <w:rsid w:val="00D909C5"/>
    <w:rsid w:val="00D90B2F"/>
    <w:rsid w:val="00D90E02"/>
    <w:rsid w:val="00D913EC"/>
    <w:rsid w:val="00D91651"/>
    <w:rsid w:val="00D92617"/>
    <w:rsid w:val="00D93050"/>
    <w:rsid w:val="00D93209"/>
    <w:rsid w:val="00D93245"/>
    <w:rsid w:val="00D936C1"/>
    <w:rsid w:val="00D93CA9"/>
    <w:rsid w:val="00D93CE3"/>
    <w:rsid w:val="00D93F63"/>
    <w:rsid w:val="00D94025"/>
    <w:rsid w:val="00D9448B"/>
    <w:rsid w:val="00D9465A"/>
    <w:rsid w:val="00D94A18"/>
    <w:rsid w:val="00D94A9F"/>
    <w:rsid w:val="00D94DA6"/>
    <w:rsid w:val="00D95390"/>
    <w:rsid w:val="00D95C58"/>
    <w:rsid w:val="00D960D7"/>
    <w:rsid w:val="00D96BE3"/>
    <w:rsid w:val="00D96D0D"/>
    <w:rsid w:val="00D971EB"/>
    <w:rsid w:val="00D972F2"/>
    <w:rsid w:val="00D9743A"/>
    <w:rsid w:val="00D979CF"/>
    <w:rsid w:val="00DA0322"/>
    <w:rsid w:val="00DA093F"/>
    <w:rsid w:val="00DA0AF0"/>
    <w:rsid w:val="00DA0B98"/>
    <w:rsid w:val="00DA0F46"/>
    <w:rsid w:val="00DA11CD"/>
    <w:rsid w:val="00DA13C3"/>
    <w:rsid w:val="00DA1830"/>
    <w:rsid w:val="00DA2306"/>
    <w:rsid w:val="00DA2642"/>
    <w:rsid w:val="00DA2AAB"/>
    <w:rsid w:val="00DA2D8C"/>
    <w:rsid w:val="00DA3096"/>
    <w:rsid w:val="00DA31EF"/>
    <w:rsid w:val="00DA34EA"/>
    <w:rsid w:val="00DA3588"/>
    <w:rsid w:val="00DA3720"/>
    <w:rsid w:val="00DA3D21"/>
    <w:rsid w:val="00DA423F"/>
    <w:rsid w:val="00DA477A"/>
    <w:rsid w:val="00DA50D1"/>
    <w:rsid w:val="00DA5675"/>
    <w:rsid w:val="00DA5B49"/>
    <w:rsid w:val="00DA5E7C"/>
    <w:rsid w:val="00DA5F04"/>
    <w:rsid w:val="00DA60DC"/>
    <w:rsid w:val="00DA6553"/>
    <w:rsid w:val="00DA6AE4"/>
    <w:rsid w:val="00DA6E7A"/>
    <w:rsid w:val="00DA71BC"/>
    <w:rsid w:val="00DA7B2E"/>
    <w:rsid w:val="00DA7DD1"/>
    <w:rsid w:val="00DA7F94"/>
    <w:rsid w:val="00DB0103"/>
    <w:rsid w:val="00DB01D8"/>
    <w:rsid w:val="00DB0315"/>
    <w:rsid w:val="00DB06F6"/>
    <w:rsid w:val="00DB0C6C"/>
    <w:rsid w:val="00DB0CAE"/>
    <w:rsid w:val="00DB0E40"/>
    <w:rsid w:val="00DB114C"/>
    <w:rsid w:val="00DB172E"/>
    <w:rsid w:val="00DB1A5E"/>
    <w:rsid w:val="00DB1E0F"/>
    <w:rsid w:val="00DB221C"/>
    <w:rsid w:val="00DB27F5"/>
    <w:rsid w:val="00DB357B"/>
    <w:rsid w:val="00DB3AB6"/>
    <w:rsid w:val="00DB3D7D"/>
    <w:rsid w:val="00DB42E5"/>
    <w:rsid w:val="00DB4E23"/>
    <w:rsid w:val="00DB5618"/>
    <w:rsid w:val="00DB571E"/>
    <w:rsid w:val="00DB5835"/>
    <w:rsid w:val="00DB5966"/>
    <w:rsid w:val="00DB5AF3"/>
    <w:rsid w:val="00DB5E6A"/>
    <w:rsid w:val="00DB5EC4"/>
    <w:rsid w:val="00DB613C"/>
    <w:rsid w:val="00DB65C0"/>
    <w:rsid w:val="00DB672F"/>
    <w:rsid w:val="00DB67C0"/>
    <w:rsid w:val="00DB6B30"/>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BEE"/>
    <w:rsid w:val="00DC1CD2"/>
    <w:rsid w:val="00DC1EB0"/>
    <w:rsid w:val="00DC1EF7"/>
    <w:rsid w:val="00DC2258"/>
    <w:rsid w:val="00DC22AC"/>
    <w:rsid w:val="00DC244A"/>
    <w:rsid w:val="00DC2728"/>
    <w:rsid w:val="00DC2953"/>
    <w:rsid w:val="00DC2D26"/>
    <w:rsid w:val="00DC2F0F"/>
    <w:rsid w:val="00DC3257"/>
    <w:rsid w:val="00DC3326"/>
    <w:rsid w:val="00DC34F8"/>
    <w:rsid w:val="00DC3724"/>
    <w:rsid w:val="00DC3B4A"/>
    <w:rsid w:val="00DC45A6"/>
    <w:rsid w:val="00DC4732"/>
    <w:rsid w:val="00DC482A"/>
    <w:rsid w:val="00DC4B01"/>
    <w:rsid w:val="00DC4E35"/>
    <w:rsid w:val="00DC52D6"/>
    <w:rsid w:val="00DC58B0"/>
    <w:rsid w:val="00DC5D5C"/>
    <w:rsid w:val="00DC5E5C"/>
    <w:rsid w:val="00DC62A2"/>
    <w:rsid w:val="00DC65F4"/>
    <w:rsid w:val="00DC69D1"/>
    <w:rsid w:val="00DC6D0B"/>
    <w:rsid w:val="00DC70A0"/>
    <w:rsid w:val="00DC724B"/>
    <w:rsid w:val="00DC76BD"/>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97C"/>
    <w:rsid w:val="00DE1508"/>
    <w:rsid w:val="00DE1574"/>
    <w:rsid w:val="00DE19AA"/>
    <w:rsid w:val="00DE1D83"/>
    <w:rsid w:val="00DE23F9"/>
    <w:rsid w:val="00DE2A1B"/>
    <w:rsid w:val="00DE30A9"/>
    <w:rsid w:val="00DE338C"/>
    <w:rsid w:val="00DE34D6"/>
    <w:rsid w:val="00DE3691"/>
    <w:rsid w:val="00DE38D0"/>
    <w:rsid w:val="00DE3D29"/>
    <w:rsid w:val="00DE3F51"/>
    <w:rsid w:val="00DE42A7"/>
    <w:rsid w:val="00DE4708"/>
    <w:rsid w:val="00DE48F8"/>
    <w:rsid w:val="00DE4970"/>
    <w:rsid w:val="00DE498B"/>
    <w:rsid w:val="00DE49A3"/>
    <w:rsid w:val="00DE4D2B"/>
    <w:rsid w:val="00DE4D2D"/>
    <w:rsid w:val="00DE5229"/>
    <w:rsid w:val="00DE579C"/>
    <w:rsid w:val="00DE57B6"/>
    <w:rsid w:val="00DE5A6A"/>
    <w:rsid w:val="00DE6192"/>
    <w:rsid w:val="00DE630A"/>
    <w:rsid w:val="00DE7299"/>
    <w:rsid w:val="00DE7387"/>
    <w:rsid w:val="00DE7499"/>
    <w:rsid w:val="00DE7665"/>
    <w:rsid w:val="00DE767B"/>
    <w:rsid w:val="00DE76CF"/>
    <w:rsid w:val="00DE7A5D"/>
    <w:rsid w:val="00DF07AF"/>
    <w:rsid w:val="00DF087B"/>
    <w:rsid w:val="00DF0971"/>
    <w:rsid w:val="00DF1897"/>
    <w:rsid w:val="00DF1A48"/>
    <w:rsid w:val="00DF1D71"/>
    <w:rsid w:val="00DF1FE9"/>
    <w:rsid w:val="00DF20CB"/>
    <w:rsid w:val="00DF2166"/>
    <w:rsid w:val="00DF23DB"/>
    <w:rsid w:val="00DF258A"/>
    <w:rsid w:val="00DF2641"/>
    <w:rsid w:val="00DF2677"/>
    <w:rsid w:val="00DF30C0"/>
    <w:rsid w:val="00DF3200"/>
    <w:rsid w:val="00DF33B9"/>
    <w:rsid w:val="00DF3462"/>
    <w:rsid w:val="00DF3A38"/>
    <w:rsid w:val="00DF3D34"/>
    <w:rsid w:val="00DF3DCF"/>
    <w:rsid w:val="00DF3F74"/>
    <w:rsid w:val="00DF4300"/>
    <w:rsid w:val="00DF489F"/>
    <w:rsid w:val="00DF55A1"/>
    <w:rsid w:val="00DF61B5"/>
    <w:rsid w:val="00DF7242"/>
    <w:rsid w:val="00DF73B9"/>
    <w:rsid w:val="00DF74EA"/>
    <w:rsid w:val="00DF7655"/>
    <w:rsid w:val="00DF7C4F"/>
    <w:rsid w:val="00DF7C83"/>
    <w:rsid w:val="00DF7CA1"/>
    <w:rsid w:val="00DF7E55"/>
    <w:rsid w:val="00E00697"/>
    <w:rsid w:val="00E00AD4"/>
    <w:rsid w:val="00E0129C"/>
    <w:rsid w:val="00E012C5"/>
    <w:rsid w:val="00E013DB"/>
    <w:rsid w:val="00E01445"/>
    <w:rsid w:val="00E016D7"/>
    <w:rsid w:val="00E01753"/>
    <w:rsid w:val="00E01ECD"/>
    <w:rsid w:val="00E02007"/>
    <w:rsid w:val="00E024EE"/>
    <w:rsid w:val="00E027C4"/>
    <w:rsid w:val="00E0291F"/>
    <w:rsid w:val="00E02A64"/>
    <w:rsid w:val="00E02C9F"/>
    <w:rsid w:val="00E03021"/>
    <w:rsid w:val="00E037A9"/>
    <w:rsid w:val="00E03D6B"/>
    <w:rsid w:val="00E03F2D"/>
    <w:rsid w:val="00E055A9"/>
    <w:rsid w:val="00E056D7"/>
    <w:rsid w:val="00E056FC"/>
    <w:rsid w:val="00E05865"/>
    <w:rsid w:val="00E0594E"/>
    <w:rsid w:val="00E06628"/>
    <w:rsid w:val="00E0671E"/>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EF8"/>
    <w:rsid w:val="00E133EF"/>
    <w:rsid w:val="00E1376E"/>
    <w:rsid w:val="00E1390F"/>
    <w:rsid w:val="00E13ADB"/>
    <w:rsid w:val="00E14171"/>
    <w:rsid w:val="00E14384"/>
    <w:rsid w:val="00E14F04"/>
    <w:rsid w:val="00E155F0"/>
    <w:rsid w:val="00E15839"/>
    <w:rsid w:val="00E15FCC"/>
    <w:rsid w:val="00E16547"/>
    <w:rsid w:val="00E167C7"/>
    <w:rsid w:val="00E1696D"/>
    <w:rsid w:val="00E16A37"/>
    <w:rsid w:val="00E174E0"/>
    <w:rsid w:val="00E17DFE"/>
    <w:rsid w:val="00E17EA9"/>
    <w:rsid w:val="00E209CF"/>
    <w:rsid w:val="00E20C02"/>
    <w:rsid w:val="00E20ECC"/>
    <w:rsid w:val="00E20F12"/>
    <w:rsid w:val="00E20F68"/>
    <w:rsid w:val="00E2100C"/>
    <w:rsid w:val="00E211CC"/>
    <w:rsid w:val="00E21573"/>
    <w:rsid w:val="00E21F67"/>
    <w:rsid w:val="00E229C9"/>
    <w:rsid w:val="00E2323B"/>
    <w:rsid w:val="00E2388F"/>
    <w:rsid w:val="00E23F52"/>
    <w:rsid w:val="00E23FDE"/>
    <w:rsid w:val="00E240BC"/>
    <w:rsid w:val="00E24128"/>
    <w:rsid w:val="00E245C5"/>
    <w:rsid w:val="00E246A2"/>
    <w:rsid w:val="00E247D2"/>
    <w:rsid w:val="00E253AA"/>
    <w:rsid w:val="00E2584E"/>
    <w:rsid w:val="00E259DE"/>
    <w:rsid w:val="00E25B7F"/>
    <w:rsid w:val="00E25C3E"/>
    <w:rsid w:val="00E25E22"/>
    <w:rsid w:val="00E261FD"/>
    <w:rsid w:val="00E266A9"/>
    <w:rsid w:val="00E267EA"/>
    <w:rsid w:val="00E26878"/>
    <w:rsid w:val="00E270D8"/>
    <w:rsid w:val="00E271AE"/>
    <w:rsid w:val="00E27356"/>
    <w:rsid w:val="00E27807"/>
    <w:rsid w:val="00E30555"/>
    <w:rsid w:val="00E3145F"/>
    <w:rsid w:val="00E31AAB"/>
    <w:rsid w:val="00E31E37"/>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6A18"/>
    <w:rsid w:val="00E3719C"/>
    <w:rsid w:val="00E378A9"/>
    <w:rsid w:val="00E37A73"/>
    <w:rsid w:val="00E40549"/>
    <w:rsid w:val="00E40C2F"/>
    <w:rsid w:val="00E41703"/>
    <w:rsid w:val="00E4176A"/>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478FE"/>
    <w:rsid w:val="00E50130"/>
    <w:rsid w:val="00E502F4"/>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343"/>
    <w:rsid w:val="00E52676"/>
    <w:rsid w:val="00E527D9"/>
    <w:rsid w:val="00E52AB6"/>
    <w:rsid w:val="00E52EF7"/>
    <w:rsid w:val="00E53358"/>
    <w:rsid w:val="00E5345B"/>
    <w:rsid w:val="00E5373D"/>
    <w:rsid w:val="00E53922"/>
    <w:rsid w:val="00E541FE"/>
    <w:rsid w:val="00E54360"/>
    <w:rsid w:val="00E54552"/>
    <w:rsid w:val="00E54BBB"/>
    <w:rsid w:val="00E55B0A"/>
    <w:rsid w:val="00E5626C"/>
    <w:rsid w:val="00E562B7"/>
    <w:rsid w:val="00E56C18"/>
    <w:rsid w:val="00E56D1E"/>
    <w:rsid w:val="00E56F27"/>
    <w:rsid w:val="00E57392"/>
    <w:rsid w:val="00E5749A"/>
    <w:rsid w:val="00E5789C"/>
    <w:rsid w:val="00E57F3D"/>
    <w:rsid w:val="00E601DD"/>
    <w:rsid w:val="00E606E4"/>
    <w:rsid w:val="00E60AC4"/>
    <w:rsid w:val="00E60ED2"/>
    <w:rsid w:val="00E6133A"/>
    <w:rsid w:val="00E61491"/>
    <w:rsid w:val="00E61522"/>
    <w:rsid w:val="00E618CD"/>
    <w:rsid w:val="00E61D24"/>
    <w:rsid w:val="00E61E30"/>
    <w:rsid w:val="00E620F8"/>
    <w:rsid w:val="00E62331"/>
    <w:rsid w:val="00E62B91"/>
    <w:rsid w:val="00E632FE"/>
    <w:rsid w:val="00E63443"/>
    <w:rsid w:val="00E63492"/>
    <w:rsid w:val="00E63ADE"/>
    <w:rsid w:val="00E642D8"/>
    <w:rsid w:val="00E64C2A"/>
    <w:rsid w:val="00E65020"/>
    <w:rsid w:val="00E65720"/>
    <w:rsid w:val="00E65CB2"/>
    <w:rsid w:val="00E65F45"/>
    <w:rsid w:val="00E664EC"/>
    <w:rsid w:val="00E66B64"/>
    <w:rsid w:val="00E66D2D"/>
    <w:rsid w:val="00E66F35"/>
    <w:rsid w:val="00E674ED"/>
    <w:rsid w:val="00E67B32"/>
    <w:rsid w:val="00E67B7E"/>
    <w:rsid w:val="00E67EC5"/>
    <w:rsid w:val="00E70C38"/>
    <w:rsid w:val="00E70EC8"/>
    <w:rsid w:val="00E71001"/>
    <w:rsid w:val="00E711C0"/>
    <w:rsid w:val="00E71848"/>
    <w:rsid w:val="00E71998"/>
    <w:rsid w:val="00E723B7"/>
    <w:rsid w:val="00E7299E"/>
    <w:rsid w:val="00E72A77"/>
    <w:rsid w:val="00E72AE4"/>
    <w:rsid w:val="00E72DE9"/>
    <w:rsid w:val="00E72DF1"/>
    <w:rsid w:val="00E7308D"/>
    <w:rsid w:val="00E73DF8"/>
    <w:rsid w:val="00E7412C"/>
    <w:rsid w:val="00E74FF3"/>
    <w:rsid w:val="00E7501D"/>
    <w:rsid w:val="00E7509B"/>
    <w:rsid w:val="00E754E6"/>
    <w:rsid w:val="00E75875"/>
    <w:rsid w:val="00E75A0D"/>
    <w:rsid w:val="00E75B6E"/>
    <w:rsid w:val="00E76D7E"/>
    <w:rsid w:val="00E76E04"/>
    <w:rsid w:val="00E7737F"/>
    <w:rsid w:val="00E77482"/>
    <w:rsid w:val="00E776F6"/>
    <w:rsid w:val="00E7784E"/>
    <w:rsid w:val="00E77B4E"/>
    <w:rsid w:val="00E802AF"/>
    <w:rsid w:val="00E80E96"/>
    <w:rsid w:val="00E81079"/>
    <w:rsid w:val="00E811DA"/>
    <w:rsid w:val="00E8122C"/>
    <w:rsid w:val="00E81266"/>
    <w:rsid w:val="00E81693"/>
    <w:rsid w:val="00E816A3"/>
    <w:rsid w:val="00E81953"/>
    <w:rsid w:val="00E82400"/>
    <w:rsid w:val="00E8243C"/>
    <w:rsid w:val="00E824A0"/>
    <w:rsid w:val="00E827EC"/>
    <w:rsid w:val="00E83945"/>
    <w:rsid w:val="00E83C50"/>
    <w:rsid w:val="00E84D25"/>
    <w:rsid w:val="00E84F1E"/>
    <w:rsid w:val="00E85140"/>
    <w:rsid w:val="00E85509"/>
    <w:rsid w:val="00E8558D"/>
    <w:rsid w:val="00E8580C"/>
    <w:rsid w:val="00E858D7"/>
    <w:rsid w:val="00E85B69"/>
    <w:rsid w:val="00E8615D"/>
    <w:rsid w:val="00E86435"/>
    <w:rsid w:val="00E865E4"/>
    <w:rsid w:val="00E868F3"/>
    <w:rsid w:val="00E86A0D"/>
    <w:rsid w:val="00E86A98"/>
    <w:rsid w:val="00E87131"/>
    <w:rsid w:val="00E9040D"/>
    <w:rsid w:val="00E905A9"/>
    <w:rsid w:val="00E90701"/>
    <w:rsid w:val="00E9072C"/>
    <w:rsid w:val="00E90871"/>
    <w:rsid w:val="00E90ABF"/>
    <w:rsid w:val="00E90BFE"/>
    <w:rsid w:val="00E91A6F"/>
    <w:rsid w:val="00E926F7"/>
    <w:rsid w:val="00E9283B"/>
    <w:rsid w:val="00E92980"/>
    <w:rsid w:val="00E92A25"/>
    <w:rsid w:val="00E92B4D"/>
    <w:rsid w:val="00E92C4C"/>
    <w:rsid w:val="00E92D97"/>
    <w:rsid w:val="00E92FC4"/>
    <w:rsid w:val="00E9355E"/>
    <w:rsid w:val="00E94361"/>
    <w:rsid w:val="00E94505"/>
    <w:rsid w:val="00E9452E"/>
    <w:rsid w:val="00E960F5"/>
    <w:rsid w:val="00E9682A"/>
    <w:rsid w:val="00E968C9"/>
    <w:rsid w:val="00E96A5B"/>
    <w:rsid w:val="00E96B53"/>
    <w:rsid w:val="00E971C5"/>
    <w:rsid w:val="00E97A66"/>
    <w:rsid w:val="00E97C5B"/>
    <w:rsid w:val="00EA01BB"/>
    <w:rsid w:val="00EA04E2"/>
    <w:rsid w:val="00EA06A2"/>
    <w:rsid w:val="00EA0A56"/>
    <w:rsid w:val="00EA16EC"/>
    <w:rsid w:val="00EA1BC8"/>
    <w:rsid w:val="00EA25C9"/>
    <w:rsid w:val="00EA2881"/>
    <w:rsid w:val="00EA2F91"/>
    <w:rsid w:val="00EA30EB"/>
    <w:rsid w:val="00EA3533"/>
    <w:rsid w:val="00EA3698"/>
    <w:rsid w:val="00EA3CDD"/>
    <w:rsid w:val="00EA3E24"/>
    <w:rsid w:val="00EA3EE8"/>
    <w:rsid w:val="00EA4322"/>
    <w:rsid w:val="00EA43EE"/>
    <w:rsid w:val="00EA44E6"/>
    <w:rsid w:val="00EA45AD"/>
    <w:rsid w:val="00EA4654"/>
    <w:rsid w:val="00EA4700"/>
    <w:rsid w:val="00EA495E"/>
    <w:rsid w:val="00EA4B3B"/>
    <w:rsid w:val="00EA518F"/>
    <w:rsid w:val="00EA5485"/>
    <w:rsid w:val="00EA57C3"/>
    <w:rsid w:val="00EA583F"/>
    <w:rsid w:val="00EA597C"/>
    <w:rsid w:val="00EA5A58"/>
    <w:rsid w:val="00EA5AF6"/>
    <w:rsid w:val="00EA5DBE"/>
    <w:rsid w:val="00EA795B"/>
    <w:rsid w:val="00EA7A09"/>
    <w:rsid w:val="00EA7B05"/>
    <w:rsid w:val="00EA7CD0"/>
    <w:rsid w:val="00EA7FB4"/>
    <w:rsid w:val="00EA7FD5"/>
    <w:rsid w:val="00EB0229"/>
    <w:rsid w:val="00EB041F"/>
    <w:rsid w:val="00EB0459"/>
    <w:rsid w:val="00EB0B56"/>
    <w:rsid w:val="00EB0C85"/>
    <w:rsid w:val="00EB0ED9"/>
    <w:rsid w:val="00EB12EF"/>
    <w:rsid w:val="00EB174F"/>
    <w:rsid w:val="00EB200F"/>
    <w:rsid w:val="00EB2955"/>
    <w:rsid w:val="00EB2AB0"/>
    <w:rsid w:val="00EB320B"/>
    <w:rsid w:val="00EB3213"/>
    <w:rsid w:val="00EB3546"/>
    <w:rsid w:val="00EB4267"/>
    <w:rsid w:val="00EB4630"/>
    <w:rsid w:val="00EB463A"/>
    <w:rsid w:val="00EB4680"/>
    <w:rsid w:val="00EB4DE4"/>
    <w:rsid w:val="00EB4DE8"/>
    <w:rsid w:val="00EB59E3"/>
    <w:rsid w:val="00EB5AC0"/>
    <w:rsid w:val="00EB5B24"/>
    <w:rsid w:val="00EB5D9C"/>
    <w:rsid w:val="00EB5E86"/>
    <w:rsid w:val="00EB5F62"/>
    <w:rsid w:val="00EB6230"/>
    <w:rsid w:val="00EB67FA"/>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299"/>
    <w:rsid w:val="00EC2639"/>
    <w:rsid w:val="00EC2820"/>
    <w:rsid w:val="00EC2840"/>
    <w:rsid w:val="00EC2DEA"/>
    <w:rsid w:val="00EC2F1F"/>
    <w:rsid w:val="00EC31D5"/>
    <w:rsid w:val="00EC3A59"/>
    <w:rsid w:val="00EC3DBB"/>
    <w:rsid w:val="00EC42B9"/>
    <w:rsid w:val="00EC47F3"/>
    <w:rsid w:val="00EC4C2A"/>
    <w:rsid w:val="00EC4F7B"/>
    <w:rsid w:val="00EC57F6"/>
    <w:rsid w:val="00EC5928"/>
    <w:rsid w:val="00EC5F8D"/>
    <w:rsid w:val="00EC6346"/>
    <w:rsid w:val="00EC6377"/>
    <w:rsid w:val="00EC6490"/>
    <w:rsid w:val="00EC68D1"/>
    <w:rsid w:val="00EC6D34"/>
    <w:rsid w:val="00EC70A4"/>
    <w:rsid w:val="00EC7750"/>
    <w:rsid w:val="00EC7A30"/>
    <w:rsid w:val="00ED0056"/>
    <w:rsid w:val="00ED09B2"/>
    <w:rsid w:val="00ED0D26"/>
    <w:rsid w:val="00ED137D"/>
    <w:rsid w:val="00ED1496"/>
    <w:rsid w:val="00ED178E"/>
    <w:rsid w:val="00ED1835"/>
    <w:rsid w:val="00ED1AA3"/>
    <w:rsid w:val="00ED2289"/>
    <w:rsid w:val="00ED2890"/>
    <w:rsid w:val="00ED2A8A"/>
    <w:rsid w:val="00ED44B9"/>
    <w:rsid w:val="00ED45A6"/>
    <w:rsid w:val="00ED49D6"/>
    <w:rsid w:val="00ED4F18"/>
    <w:rsid w:val="00ED51AA"/>
    <w:rsid w:val="00ED5232"/>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12A2"/>
    <w:rsid w:val="00EE16DC"/>
    <w:rsid w:val="00EE1AD2"/>
    <w:rsid w:val="00EE1EEC"/>
    <w:rsid w:val="00EE26CD"/>
    <w:rsid w:val="00EE27A0"/>
    <w:rsid w:val="00EE2A9F"/>
    <w:rsid w:val="00EE2F18"/>
    <w:rsid w:val="00EE327B"/>
    <w:rsid w:val="00EE3406"/>
    <w:rsid w:val="00EE3E28"/>
    <w:rsid w:val="00EE3F04"/>
    <w:rsid w:val="00EE40CC"/>
    <w:rsid w:val="00EE4283"/>
    <w:rsid w:val="00EE4799"/>
    <w:rsid w:val="00EE48D8"/>
    <w:rsid w:val="00EE490B"/>
    <w:rsid w:val="00EE56C6"/>
    <w:rsid w:val="00EE5A0A"/>
    <w:rsid w:val="00EE5B7C"/>
    <w:rsid w:val="00EE683D"/>
    <w:rsid w:val="00EE6E9E"/>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98A"/>
    <w:rsid w:val="00EF3A12"/>
    <w:rsid w:val="00EF3D1A"/>
    <w:rsid w:val="00EF4216"/>
    <w:rsid w:val="00EF45D1"/>
    <w:rsid w:val="00EF5062"/>
    <w:rsid w:val="00EF58BE"/>
    <w:rsid w:val="00EF59AD"/>
    <w:rsid w:val="00EF5F55"/>
    <w:rsid w:val="00EF60AC"/>
    <w:rsid w:val="00EF6D10"/>
    <w:rsid w:val="00EF702B"/>
    <w:rsid w:val="00EF7149"/>
    <w:rsid w:val="00EF737F"/>
    <w:rsid w:val="00EF7873"/>
    <w:rsid w:val="00F00C25"/>
    <w:rsid w:val="00F00C62"/>
    <w:rsid w:val="00F00F6C"/>
    <w:rsid w:val="00F01B0F"/>
    <w:rsid w:val="00F01D9A"/>
    <w:rsid w:val="00F02473"/>
    <w:rsid w:val="00F025DB"/>
    <w:rsid w:val="00F0260B"/>
    <w:rsid w:val="00F02688"/>
    <w:rsid w:val="00F02835"/>
    <w:rsid w:val="00F02C6D"/>
    <w:rsid w:val="00F02F8A"/>
    <w:rsid w:val="00F034A2"/>
    <w:rsid w:val="00F0374C"/>
    <w:rsid w:val="00F03762"/>
    <w:rsid w:val="00F03966"/>
    <w:rsid w:val="00F03CE2"/>
    <w:rsid w:val="00F03FDE"/>
    <w:rsid w:val="00F04019"/>
    <w:rsid w:val="00F040A0"/>
    <w:rsid w:val="00F0456B"/>
    <w:rsid w:val="00F045CA"/>
    <w:rsid w:val="00F04F5D"/>
    <w:rsid w:val="00F05157"/>
    <w:rsid w:val="00F05168"/>
    <w:rsid w:val="00F05AC6"/>
    <w:rsid w:val="00F05BBF"/>
    <w:rsid w:val="00F0615A"/>
    <w:rsid w:val="00F062C7"/>
    <w:rsid w:val="00F06330"/>
    <w:rsid w:val="00F068FC"/>
    <w:rsid w:val="00F06A79"/>
    <w:rsid w:val="00F06A98"/>
    <w:rsid w:val="00F06C84"/>
    <w:rsid w:val="00F06E11"/>
    <w:rsid w:val="00F070CC"/>
    <w:rsid w:val="00F073FF"/>
    <w:rsid w:val="00F07616"/>
    <w:rsid w:val="00F0775A"/>
    <w:rsid w:val="00F079E9"/>
    <w:rsid w:val="00F1027D"/>
    <w:rsid w:val="00F1156A"/>
    <w:rsid w:val="00F11E67"/>
    <w:rsid w:val="00F11F33"/>
    <w:rsid w:val="00F11FCC"/>
    <w:rsid w:val="00F12519"/>
    <w:rsid w:val="00F12881"/>
    <w:rsid w:val="00F135A2"/>
    <w:rsid w:val="00F136A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FE6"/>
    <w:rsid w:val="00F230ED"/>
    <w:rsid w:val="00F23391"/>
    <w:rsid w:val="00F233FB"/>
    <w:rsid w:val="00F23CD8"/>
    <w:rsid w:val="00F241FE"/>
    <w:rsid w:val="00F24764"/>
    <w:rsid w:val="00F2494E"/>
    <w:rsid w:val="00F24A12"/>
    <w:rsid w:val="00F24E0A"/>
    <w:rsid w:val="00F2523A"/>
    <w:rsid w:val="00F2559C"/>
    <w:rsid w:val="00F2572A"/>
    <w:rsid w:val="00F259A2"/>
    <w:rsid w:val="00F25E23"/>
    <w:rsid w:val="00F26162"/>
    <w:rsid w:val="00F263EE"/>
    <w:rsid w:val="00F266A4"/>
    <w:rsid w:val="00F269E0"/>
    <w:rsid w:val="00F26ECE"/>
    <w:rsid w:val="00F271F3"/>
    <w:rsid w:val="00F27689"/>
    <w:rsid w:val="00F27D69"/>
    <w:rsid w:val="00F27E47"/>
    <w:rsid w:val="00F27E92"/>
    <w:rsid w:val="00F30109"/>
    <w:rsid w:val="00F3016A"/>
    <w:rsid w:val="00F30EF0"/>
    <w:rsid w:val="00F31527"/>
    <w:rsid w:val="00F31965"/>
    <w:rsid w:val="00F31C46"/>
    <w:rsid w:val="00F31E58"/>
    <w:rsid w:val="00F32101"/>
    <w:rsid w:val="00F3257A"/>
    <w:rsid w:val="00F32643"/>
    <w:rsid w:val="00F32B9A"/>
    <w:rsid w:val="00F3384B"/>
    <w:rsid w:val="00F33B0E"/>
    <w:rsid w:val="00F3403A"/>
    <w:rsid w:val="00F34748"/>
    <w:rsid w:val="00F3498D"/>
    <w:rsid w:val="00F35082"/>
    <w:rsid w:val="00F353BB"/>
    <w:rsid w:val="00F354E4"/>
    <w:rsid w:val="00F35619"/>
    <w:rsid w:val="00F35ADA"/>
    <w:rsid w:val="00F36198"/>
    <w:rsid w:val="00F3695A"/>
    <w:rsid w:val="00F36ED9"/>
    <w:rsid w:val="00F36EE1"/>
    <w:rsid w:val="00F372A4"/>
    <w:rsid w:val="00F373EE"/>
    <w:rsid w:val="00F374F4"/>
    <w:rsid w:val="00F37A17"/>
    <w:rsid w:val="00F40244"/>
    <w:rsid w:val="00F40268"/>
    <w:rsid w:val="00F40796"/>
    <w:rsid w:val="00F40EF9"/>
    <w:rsid w:val="00F40F40"/>
    <w:rsid w:val="00F40FCE"/>
    <w:rsid w:val="00F415A5"/>
    <w:rsid w:val="00F41C80"/>
    <w:rsid w:val="00F41ECA"/>
    <w:rsid w:val="00F421F5"/>
    <w:rsid w:val="00F42608"/>
    <w:rsid w:val="00F42AED"/>
    <w:rsid w:val="00F4330A"/>
    <w:rsid w:val="00F4369F"/>
    <w:rsid w:val="00F436C4"/>
    <w:rsid w:val="00F436D2"/>
    <w:rsid w:val="00F439DA"/>
    <w:rsid w:val="00F43D7C"/>
    <w:rsid w:val="00F43DC2"/>
    <w:rsid w:val="00F4412B"/>
    <w:rsid w:val="00F441F8"/>
    <w:rsid w:val="00F44358"/>
    <w:rsid w:val="00F44476"/>
    <w:rsid w:val="00F44649"/>
    <w:rsid w:val="00F44EFB"/>
    <w:rsid w:val="00F45583"/>
    <w:rsid w:val="00F458FD"/>
    <w:rsid w:val="00F45A13"/>
    <w:rsid w:val="00F46B8E"/>
    <w:rsid w:val="00F46E69"/>
    <w:rsid w:val="00F4759A"/>
    <w:rsid w:val="00F50F38"/>
    <w:rsid w:val="00F5146E"/>
    <w:rsid w:val="00F517ED"/>
    <w:rsid w:val="00F5195A"/>
    <w:rsid w:val="00F520AA"/>
    <w:rsid w:val="00F52781"/>
    <w:rsid w:val="00F5279D"/>
    <w:rsid w:val="00F52E01"/>
    <w:rsid w:val="00F530E9"/>
    <w:rsid w:val="00F536CC"/>
    <w:rsid w:val="00F537B6"/>
    <w:rsid w:val="00F53F5A"/>
    <w:rsid w:val="00F54054"/>
    <w:rsid w:val="00F5499C"/>
    <w:rsid w:val="00F54ADE"/>
    <w:rsid w:val="00F55359"/>
    <w:rsid w:val="00F5559A"/>
    <w:rsid w:val="00F561A1"/>
    <w:rsid w:val="00F56661"/>
    <w:rsid w:val="00F56851"/>
    <w:rsid w:val="00F56FE0"/>
    <w:rsid w:val="00F57123"/>
    <w:rsid w:val="00F5715C"/>
    <w:rsid w:val="00F57872"/>
    <w:rsid w:val="00F57DCD"/>
    <w:rsid w:val="00F60328"/>
    <w:rsid w:val="00F60913"/>
    <w:rsid w:val="00F60CF5"/>
    <w:rsid w:val="00F613DB"/>
    <w:rsid w:val="00F61581"/>
    <w:rsid w:val="00F6160E"/>
    <w:rsid w:val="00F61CB2"/>
    <w:rsid w:val="00F62427"/>
    <w:rsid w:val="00F62491"/>
    <w:rsid w:val="00F62597"/>
    <w:rsid w:val="00F62CE8"/>
    <w:rsid w:val="00F6318C"/>
    <w:rsid w:val="00F631D5"/>
    <w:rsid w:val="00F635C5"/>
    <w:rsid w:val="00F63A4C"/>
    <w:rsid w:val="00F63CB7"/>
    <w:rsid w:val="00F645A9"/>
    <w:rsid w:val="00F65706"/>
    <w:rsid w:val="00F6584D"/>
    <w:rsid w:val="00F65FE4"/>
    <w:rsid w:val="00F6610F"/>
    <w:rsid w:val="00F6612B"/>
    <w:rsid w:val="00F66889"/>
    <w:rsid w:val="00F66A28"/>
    <w:rsid w:val="00F66BAA"/>
    <w:rsid w:val="00F66BD7"/>
    <w:rsid w:val="00F6718E"/>
    <w:rsid w:val="00F6734A"/>
    <w:rsid w:val="00F6772C"/>
    <w:rsid w:val="00F679B3"/>
    <w:rsid w:val="00F67C50"/>
    <w:rsid w:val="00F67F38"/>
    <w:rsid w:val="00F70003"/>
    <w:rsid w:val="00F70631"/>
    <w:rsid w:val="00F7132F"/>
    <w:rsid w:val="00F716EA"/>
    <w:rsid w:val="00F71725"/>
    <w:rsid w:val="00F717B3"/>
    <w:rsid w:val="00F71974"/>
    <w:rsid w:val="00F719B5"/>
    <w:rsid w:val="00F719E1"/>
    <w:rsid w:val="00F71A6C"/>
    <w:rsid w:val="00F71C02"/>
    <w:rsid w:val="00F72436"/>
    <w:rsid w:val="00F726A3"/>
    <w:rsid w:val="00F727A8"/>
    <w:rsid w:val="00F72AA5"/>
    <w:rsid w:val="00F73412"/>
    <w:rsid w:val="00F73497"/>
    <w:rsid w:val="00F73D06"/>
    <w:rsid w:val="00F740CE"/>
    <w:rsid w:val="00F74326"/>
    <w:rsid w:val="00F74781"/>
    <w:rsid w:val="00F752F0"/>
    <w:rsid w:val="00F7576E"/>
    <w:rsid w:val="00F757F3"/>
    <w:rsid w:val="00F75FBD"/>
    <w:rsid w:val="00F7640D"/>
    <w:rsid w:val="00F76BE4"/>
    <w:rsid w:val="00F76E3C"/>
    <w:rsid w:val="00F7742C"/>
    <w:rsid w:val="00F77762"/>
    <w:rsid w:val="00F77C92"/>
    <w:rsid w:val="00F800A1"/>
    <w:rsid w:val="00F8030A"/>
    <w:rsid w:val="00F80516"/>
    <w:rsid w:val="00F80F12"/>
    <w:rsid w:val="00F81315"/>
    <w:rsid w:val="00F818FD"/>
    <w:rsid w:val="00F81A15"/>
    <w:rsid w:val="00F81C2B"/>
    <w:rsid w:val="00F82580"/>
    <w:rsid w:val="00F82ABA"/>
    <w:rsid w:val="00F833E5"/>
    <w:rsid w:val="00F83572"/>
    <w:rsid w:val="00F83790"/>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EF2"/>
    <w:rsid w:val="00F8708F"/>
    <w:rsid w:val="00F87742"/>
    <w:rsid w:val="00F877D1"/>
    <w:rsid w:val="00F90582"/>
    <w:rsid w:val="00F90605"/>
    <w:rsid w:val="00F906B1"/>
    <w:rsid w:val="00F90C8C"/>
    <w:rsid w:val="00F90E04"/>
    <w:rsid w:val="00F90F15"/>
    <w:rsid w:val="00F91121"/>
    <w:rsid w:val="00F91A6F"/>
    <w:rsid w:val="00F91A78"/>
    <w:rsid w:val="00F91B9A"/>
    <w:rsid w:val="00F91C93"/>
    <w:rsid w:val="00F92573"/>
    <w:rsid w:val="00F92C74"/>
    <w:rsid w:val="00F932A2"/>
    <w:rsid w:val="00F93DA1"/>
    <w:rsid w:val="00F93DD3"/>
    <w:rsid w:val="00F94285"/>
    <w:rsid w:val="00F94677"/>
    <w:rsid w:val="00F949BD"/>
    <w:rsid w:val="00F949E4"/>
    <w:rsid w:val="00F94F51"/>
    <w:rsid w:val="00F9558B"/>
    <w:rsid w:val="00F95647"/>
    <w:rsid w:val="00F95DB7"/>
    <w:rsid w:val="00F96514"/>
    <w:rsid w:val="00F9675A"/>
    <w:rsid w:val="00F968D4"/>
    <w:rsid w:val="00F96ABE"/>
    <w:rsid w:val="00F96FC6"/>
    <w:rsid w:val="00F97663"/>
    <w:rsid w:val="00F97978"/>
    <w:rsid w:val="00F97D6C"/>
    <w:rsid w:val="00F97FFD"/>
    <w:rsid w:val="00FA008A"/>
    <w:rsid w:val="00FA0A28"/>
    <w:rsid w:val="00FA186E"/>
    <w:rsid w:val="00FA2156"/>
    <w:rsid w:val="00FA2257"/>
    <w:rsid w:val="00FA2324"/>
    <w:rsid w:val="00FA24B6"/>
    <w:rsid w:val="00FA2A06"/>
    <w:rsid w:val="00FA2A1D"/>
    <w:rsid w:val="00FA2AF7"/>
    <w:rsid w:val="00FA31B8"/>
    <w:rsid w:val="00FA426B"/>
    <w:rsid w:val="00FA4941"/>
    <w:rsid w:val="00FA5015"/>
    <w:rsid w:val="00FA559A"/>
    <w:rsid w:val="00FA582F"/>
    <w:rsid w:val="00FA58D6"/>
    <w:rsid w:val="00FA59B4"/>
    <w:rsid w:val="00FA5A23"/>
    <w:rsid w:val="00FA5ACA"/>
    <w:rsid w:val="00FA690A"/>
    <w:rsid w:val="00FA69FF"/>
    <w:rsid w:val="00FA6EBD"/>
    <w:rsid w:val="00FA730B"/>
    <w:rsid w:val="00FA7385"/>
    <w:rsid w:val="00FA7468"/>
    <w:rsid w:val="00FA7610"/>
    <w:rsid w:val="00FA7AE2"/>
    <w:rsid w:val="00FA7F3C"/>
    <w:rsid w:val="00FB01A2"/>
    <w:rsid w:val="00FB03F5"/>
    <w:rsid w:val="00FB09E3"/>
    <w:rsid w:val="00FB1B17"/>
    <w:rsid w:val="00FB1D79"/>
    <w:rsid w:val="00FB1E5F"/>
    <w:rsid w:val="00FB262C"/>
    <w:rsid w:val="00FB3087"/>
    <w:rsid w:val="00FB3155"/>
    <w:rsid w:val="00FB334D"/>
    <w:rsid w:val="00FB3FD6"/>
    <w:rsid w:val="00FB45D6"/>
    <w:rsid w:val="00FB4A49"/>
    <w:rsid w:val="00FB4C0E"/>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ECC"/>
    <w:rsid w:val="00FC20D8"/>
    <w:rsid w:val="00FC2560"/>
    <w:rsid w:val="00FC27F1"/>
    <w:rsid w:val="00FC2AEB"/>
    <w:rsid w:val="00FC2D55"/>
    <w:rsid w:val="00FC2D77"/>
    <w:rsid w:val="00FC2E22"/>
    <w:rsid w:val="00FC2E2F"/>
    <w:rsid w:val="00FC2E85"/>
    <w:rsid w:val="00FC2FCB"/>
    <w:rsid w:val="00FC3128"/>
    <w:rsid w:val="00FC3AB4"/>
    <w:rsid w:val="00FC3EB6"/>
    <w:rsid w:val="00FC3F58"/>
    <w:rsid w:val="00FC4950"/>
    <w:rsid w:val="00FC5A31"/>
    <w:rsid w:val="00FC6970"/>
    <w:rsid w:val="00FC6F72"/>
    <w:rsid w:val="00FC6FCF"/>
    <w:rsid w:val="00FC7251"/>
    <w:rsid w:val="00FC7311"/>
    <w:rsid w:val="00FC7478"/>
    <w:rsid w:val="00FC74F7"/>
    <w:rsid w:val="00FD03A9"/>
    <w:rsid w:val="00FD0713"/>
    <w:rsid w:val="00FD0838"/>
    <w:rsid w:val="00FD0DB1"/>
    <w:rsid w:val="00FD128B"/>
    <w:rsid w:val="00FD1645"/>
    <w:rsid w:val="00FD1A54"/>
    <w:rsid w:val="00FD1E34"/>
    <w:rsid w:val="00FD1E46"/>
    <w:rsid w:val="00FD23EC"/>
    <w:rsid w:val="00FD2B17"/>
    <w:rsid w:val="00FD2F62"/>
    <w:rsid w:val="00FD2F9D"/>
    <w:rsid w:val="00FD305D"/>
    <w:rsid w:val="00FD3318"/>
    <w:rsid w:val="00FD3366"/>
    <w:rsid w:val="00FD39B9"/>
    <w:rsid w:val="00FD3B0E"/>
    <w:rsid w:val="00FD3F25"/>
    <w:rsid w:val="00FD3F31"/>
    <w:rsid w:val="00FD444D"/>
    <w:rsid w:val="00FD45F0"/>
    <w:rsid w:val="00FD4FBC"/>
    <w:rsid w:val="00FD516E"/>
    <w:rsid w:val="00FD5AB3"/>
    <w:rsid w:val="00FD5AC0"/>
    <w:rsid w:val="00FD5B34"/>
    <w:rsid w:val="00FD608B"/>
    <w:rsid w:val="00FD635E"/>
    <w:rsid w:val="00FD6388"/>
    <w:rsid w:val="00FD68DF"/>
    <w:rsid w:val="00FD6E51"/>
    <w:rsid w:val="00FD72B3"/>
    <w:rsid w:val="00FD76E5"/>
    <w:rsid w:val="00FD77D8"/>
    <w:rsid w:val="00FD78DF"/>
    <w:rsid w:val="00FD7B02"/>
    <w:rsid w:val="00FE0165"/>
    <w:rsid w:val="00FE07EE"/>
    <w:rsid w:val="00FE08C5"/>
    <w:rsid w:val="00FE0B4F"/>
    <w:rsid w:val="00FE0D03"/>
    <w:rsid w:val="00FE10E9"/>
    <w:rsid w:val="00FE1277"/>
    <w:rsid w:val="00FE14BE"/>
    <w:rsid w:val="00FE14F9"/>
    <w:rsid w:val="00FE1EBD"/>
    <w:rsid w:val="00FE1F0A"/>
    <w:rsid w:val="00FE26D8"/>
    <w:rsid w:val="00FE2E59"/>
    <w:rsid w:val="00FE2E71"/>
    <w:rsid w:val="00FE4AF1"/>
    <w:rsid w:val="00FE4B04"/>
    <w:rsid w:val="00FE5022"/>
    <w:rsid w:val="00FE5403"/>
    <w:rsid w:val="00FE542F"/>
    <w:rsid w:val="00FE5452"/>
    <w:rsid w:val="00FE547F"/>
    <w:rsid w:val="00FE5529"/>
    <w:rsid w:val="00FE5939"/>
    <w:rsid w:val="00FE5EC1"/>
    <w:rsid w:val="00FE5F92"/>
    <w:rsid w:val="00FE5F9B"/>
    <w:rsid w:val="00FE6080"/>
    <w:rsid w:val="00FE6B0D"/>
    <w:rsid w:val="00FE72A1"/>
    <w:rsid w:val="00FE74EA"/>
    <w:rsid w:val="00FE7B00"/>
    <w:rsid w:val="00FE7E2B"/>
    <w:rsid w:val="00FE7E3E"/>
    <w:rsid w:val="00FF0240"/>
    <w:rsid w:val="00FF0766"/>
    <w:rsid w:val="00FF0DAD"/>
    <w:rsid w:val="00FF1C20"/>
    <w:rsid w:val="00FF22FB"/>
    <w:rsid w:val="00FF23D5"/>
    <w:rsid w:val="00FF2439"/>
    <w:rsid w:val="00FF2BF3"/>
    <w:rsid w:val="00FF34E5"/>
    <w:rsid w:val="00FF3C33"/>
    <w:rsid w:val="00FF45E9"/>
    <w:rsid w:val="00FF502E"/>
    <w:rsid w:val="00FF5210"/>
    <w:rsid w:val="00FF5418"/>
    <w:rsid w:val="00FF54B4"/>
    <w:rsid w:val="00FF56F6"/>
    <w:rsid w:val="00FF57FF"/>
    <w:rsid w:val="00FF5801"/>
    <w:rsid w:val="00FF5C95"/>
    <w:rsid w:val="00FF6305"/>
    <w:rsid w:val="00FF64E8"/>
    <w:rsid w:val="00FF67A1"/>
    <w:rsid w:val="00FF6919"/>
    <w:rsid w:val="00FF6BE8"/>
    <w:rsid w:val="00FF6CE2"/>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place"/>
  <w:shapeDefaults>
    <o:shapedefaults v:ext="edit" spidmax="232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footnote text" w:locked="0" w:qFormat="1"/>
    <w:lsdException w:name="header" w:uiPriority="0"/>
    <w:lsdException w:name="footer" w:locked="0"/>
    <w:lsdException w:name="caption" w:semiHidden="0" w:uiPriority="0" w:unhideWhenUsed="0" w:qFormat="1"/>
    <w:lsdException w:name="footnote reference" w:locked="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Subtitle" w:semiHidden="0" w:uiPriority="0" w:unhideWhenUsed="0" w:qFormat="1"/>
    <w:lsdException w:name="Hyperlink" w:locked="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2CBB"/>
    <w:rPr>
      <w:rFonts w:eastAsiaTheme="minorHAnsi"/>
      <w:sz w:val="22"/>
      <w:szCs w:val="22"/>
    </w:rPr>
  </w:style>
  <w:style w:type="paragraph" w:styleId="Heading1">
    <w:name w:val="heading 1"/>
    <w:basedOn w:val="Normal"/>
    <w:next w:val="Normal"/>
    <w:link w:val="Heading1Char"/>
    <w:uiPriority w:val="9"/>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uiPriority w:val="9"/>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uiPriority w:val="9"/>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uiPriority w:val="9"/>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link w:val="AERheading1Char"/>
    <w:qFormat/>
    <w:rsid w:val="00FB1B17"/>
    <w:pPr>
      <w:keepLines w:val="0"/>
      <w:pageBreakBefore/>
      <w:numPr>
        <w:ilvl w:val="0"/>
        <w:numId w:val="7"/>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link w:val="AERheading2Char"/>
    <w:qFormat/>
    <w:rsid w:val="00FB1B17"/>
    <w:pPr>
      <w:pageBreakBefore w:val="0"/>
      <w:numPr>
        <w:ilvl w:val="1"/>
      </w:numPr>
      <w:tabs>
        <w:tab w:val="clear" w:pos="2484"/>
        <w:tab w:val="num" w:pos="357"/>
      </w:tabs>
      <w:ind w:left="357"/>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300F5E"/>
    <w:pPr>
      <w:keepLines w:val="0"/>
      <w:spacing w:before="120" w:after="120"/>
      <w:ind w:left="1440"/>
    </w:pPr>
    <w:rPr>
      <w:rFonts w:ascii="Gautami" w:hAnsi="Gautami" w:cs="Arial"/>
      <w:bCs/>
      <w:iCs w:val="0"/>
      <w:color w:val="auto"/>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Text">
    <w:name w:val="annotation text"/>
    <w:basedOn w:val="Normal"/>
    <w:link w:val="CommentTextChar"/>
    <w:uiPriority w:val="99"/>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qFormat/>
    <w:rsid w:val="009E0F39"/>
    <w:pPr>
      <w:tabs>
        <w:tab w:val="left" w:pos="454"/>
      </w:tabs>
      <w:ind w:left="454" w:hanging="454"/>
    </w:pPr>
    <w:rPr>
      <w:sz w:val="16"/>
      <w:szCs w:val="20"/>
    </w:rPr>
  </w:style>
  <w:style w:type="character" w:customStyle="1" w:styleId="AERbody">
    <w:name w:val="AER body"/>
    <w:basedOn w:val="DefaultParagraphFont"/>
    <w:rsid w:val="003B7459"/>
    <w:rPr>
      <w:rFonts w:ascii="Gautami" w:hAnsi="Gautami"/>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uiPriority w:val="39"/>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rsid w:val="00A052AB"/>
    <w:pPr>
      <w:jc w:val="center"/>
    </w:pPr>
    <w:rPr>
      <w:sz w:val="40"/>
    </w:rPr>
  </w:style>
  <w:style w:type="paragraph" w:customStyle="1" w:styleId="AERTitle2">
    <w:name w:val="AER Title 2"/>
    <w:basedOn w:val="AERTitle1"/>
    <w:rsid w:val="00A052AB"/>
    <w:pPr>
      <w:spacing w:before="1680"/>
    </w:pPr>
    <w:rPr>
      <w:b w:val="0"/>
      <w:sz w:val="32"/>
    </w:rPr>
  </w:style>
  <w:style w:type="character" w:styleId="Hyperlink">
    <w:name w:val="Hyperlink"/>
    <w:basedOn w:val="DefaultParagraphFont"/>
    <w:uiPriority w:val="99"/>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character" w:styleId="FollowedHyperlink">
    <w:name w:val="FollowedHyperlink"/>
    <w:basedOn w:val="DefaultParagraphFont"/>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locked/>
    <w:rsid w:val="00FA426B"/>
    <w:rPr>
      <w:rFonts w:ascii="Gautami" w:eastAsia="Times New Roman" w:hAnsi="Gautami"/>
      <w:sz w:val="16"/>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CommentTextChar">
    <w:name w:val="Comment Text Char"/>
    <w:basedOn w:val="DefaultParagraphFont"/>
    <w:link w:val="CommentText"/>
    <w:uiPriority w:val="99"/>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pPr>
    <w:rPr>
      <w:rFonts w:eastAsia="Calibri"/>
      <w:lang w:eastAsia="en-US"/>
    </w:r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rPr>
      <w:rFonts w:ascii="Times New Roman" w:hAnsi="Times New Roman"/>
      <w:b/>
      <w:sz w:val="40"/>
      <w:szCs w:val="20"/>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basedOn w:val="DefaultParagraphFont"/>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0"/>
    <w:qFormat/>
    <w:rsid w:val="00320E76"/>
  </w:style>
  <w:style w:type="character" w:customStyle="1" w:styleId="AERheading3Char">
    <w:name w:val="AER heading 3 Char"/>
    <w:basedOn w:val="DefaultParagraphFont"/>
    <w:link w:val="AERheading3"/>
    <w:rsid w:val="00557653"/>
    <w:rPr>
      <w:rFonts w:ascii="Gautami" w:eastAsiaTheme="minorHAnsi" w:hAnsi="Gautami" w:cs="Arial"/>
      <w:b/>
      <w:bCs/>
      <w:kern w:val="32"/>
      <w:sz w:val="24"/>
      <w:szCs w:val="24"/>
      <w:lang w:eastAsia="en-US"/>
    </w:rPr>
  </w:style>
  <w:style w:type="character" w:customStyle="1" w:styleId="AERHeading1Char0">
    <w:name w:val="AER Heading 1 Char"/>
    <w:basedOn w:val="AERbodytextChar"/>
    <w:link w:val="AERHeading10"/>
    <w:rsid w:val="00320E76"/>
    <w:rPr>
      <w:rFonts w:ascii="Gautami" w:eastAsia="Times New Roman" w:hAnsi="Gautami"/>
      <w:szCs w:val="24"/>
      <w:lang w:val="en-AU" w:eastAsia="en-US" w:bidi="ar-SA"/>
    </w:rPr>
  </w:style>
  <w:style w:type="character" w:customStyle="1" w:styleId="AERheading5Char">
    <w:name w:val="AER heading 5 Char"/>
    <w:basedOn w:val="DefaultParagraphFont"/>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ind w:left="1134" w:hanging="1134"/>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heme="minorHAnsi" w:hAnsi="Gautami"/>
      <w:b/>
      <w:bCs/>
      <w:iCs/>
      <w:color w:val="E36C0A"/>
      <w:sz w:val="36"/>
      <w:szCs w:val="24"/>
      <w:lang w:eastAsia="en-US"/>
    </w:rPr>
  </w:style>
  <w:style w:type="character" w:customStyle="1" w:styleId="Heading8Char">
    <w:name w:val="Heading 8 Char"/>
    <w:basedOn w:val="DefaultParagraphFont"/>
    <w:link w:val="Heading8"/>
    <w:uiPriority w:val="9"/>
    <w:rsid w:val="00CF67B7"/>
    <w:rPr>
      <w:rFonts w:ascii="Gautami" w:eastAsiaTheme="minorHAnsi"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heme="minorHAnsi"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basedOn w:val="DefaultParagraphFont"/>
    <w:link w:val="Quote"/>
    <w:uiPriority w:val="29"/>
    <w:rsid w:val="00CF67B7"/>
    <w:rPr>
      <w:rFonts w:ascii="Gautami" w:eastAsia="Times New Roman" w:hAnsi="Gautami"/>
      <w:i/>
      <w:iCs/>
      <w:color w:val="000000"/>
      <w:szCs w:val="24"/>
    </w:rPr>
  </w:style>
  <w:style w:type="character" w:customStyle="1" w:styleId="AERbodytextbold">
    <w:name w:val="AER body text bold"/>
    <w:basedOn w:val="DefaultParagraphFont"/>
    <w:rsid w:val="00B80EE9"/>
    <w:rPr>
      <w:rFonts w:ascii="Gautami" w:hAnsi="Gautami"/>
      <w:b/>
      <w:sz w:val="24"/>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paragraph" w:styleId="BodyText">
    <w:name w:val="Body Text"/>
    <w:basedOn w:val="Normal"/>
    <w:link w:val="BodyTextChar"/>
    <w:uiPriority w:val="99"/>
    <w:locked/>
    <w:rsid w:val="00310EAA"/>
    <w:pPr>
      <w:spacing w:before="120" w:after="120"/>
    </w:pPr>
    <w:rPr>
      <w:rFonts w:ascii="Arial" w:hAnsi="Arial"/>
      <w:szCs w:val="20"/>
      <w:lang w:eastAsia="en-US"/>
    </w:rPr>
  </w:style>
  <w:style w:type="character" w:customStyle="1" w:styleId="BodyTextChar">
    <w:name w:val="Body Text Char"/>
    <w:basedOn w:val="DefaultParagraphFont"/>
    <w:link w:val="BodyText"/>
    <w:uiPriority w:val="99"/>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
    <w:name w:val="AER Bullet 1"/>
    <w:basedOn w:val="Normal"/>
    <w:rsid w:val="00EA57C3"/>
    <w:pPr>
      <w:spacing w:before="240" w:after="120"/>
    </w:pPr>
    <w:rPr>
      <w:rFonts w:ascii="Times New Roman" w:hAnsi="Times New Roman"/>
      <w:sz w:val="24"/>
      <w:lang w:eastAsia="en-US"/>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basedOn w:val="DefaultParagraphFont"/>
    <w:link w:val="UnnumberedHeading"/>
    <w:rsid w:val="00EF2D0E"/>
    <w:rPr>
      <w:rFonts w:ascii="Gautami" w:eastAsiaTheme="minorHAnsi"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pPr>
    <w:rPr>
      <w:rFonts w:ascii="Times New Roman" w:hAnsi="Times New Roman"/>
      <w:lang w:eastAsia="en-US"/>
    </w:rPr>
  </w:style>
  <w:style w:type="character" w:customStyle="1" w:styleId="AERbulletlistfirststyleCharChar">
    <w:name w:val="AER bullet list (first style) Char Char"/>
    <w:basedOn w:val="DefaultParagraphFont"/>
    <w:rsid w:val="009930C1"/>
    <w:rPr>
      <w:sz w:val="24"/>
      <w:szCs w:val="24"/>
      <w:lang w:eastAsia="en-US"/>
    </w:rPr>
  </w:style>
  <w:style w:type="character" w:customStyle="1" w:styleId="AERbodytextCharChar">
    <w:name w:val="AER body text Char Char"/>
    <w:basedOn w:val="DefaultParagraphFont"/>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ind w:left="2880" w:hanging="360"/>
    </w:pPr>
    <w:rPr>
      <w:rFonts w:ascii="Times New Roman" w:hAnsi="Times New Roman"/>
      <w:b/>
      <w:bCs/>
    </w:rPr>
  </w:style>
  <w:style w:type="character" w:customStyle="1" w:styleId="AERbodytextCharCharCharChar">
    <w:name w:val="AER body text Char Char Char Char"/>
    <w:basedOn w:val="DefaultParagraphFont"/>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pPr>
    <w:rPr>
      <w:rFonts w:eastAsia="Calibri"/>
      <w:sz w:val="24"/>
    </w:rPr>
  </w:style>
  <w:style w:type="paragraph" w:styleId="NormalWeb">
    <w:name w:val="Normal (Web)"/>
    <w:basedOn w:val="Normal"/>
    <w:uiPriority w:val="99"/>
    <w:unhideWhenUsed/>
    <w:locked/>
    <w:rsid w:val="000D605D"/>
    <w:pPr>
      <w:spacing w:before="204" w:after="204"/>
    </w:pPr>
    <w:rPr>
      <w:rFonts w:ascii="Times New Roman" w:eastAsia="Times New Roman" w:hAnsi="Times New Roman"/>
      <w:sz w:val="24"/>
      <w:szCs w:val="24"/>
    </w:rPr>
  </w:style>
  <w:style w:type="paragraph" w:customStyle="1" w:styleId="QCRunnumberedunboldheading">
    <w:name w:val="QCR unnumbered unbold heading"/>
    <w:basedOn w:val="AERheading2"/>
    <w:link w:val="QCRunnumberedunboldheadingChar"/>
    <w:qFormat/>
    <w:rsid w:val="002C7158"/>
    <w:pPr>
      <w:numPr>
        <w:ilvl w:val="0"/>
        <w:numId w:val="0"/>
      </w:numPr>
      <w:spacing w:before="0" w:after="120" w:line="360" w:lineRule="auto"/>
      <w:ind w:left="357" w:hanging="357"/>
      <w:outlineLvl w:val="9"/>
    </w:pPr>
    <w:rPr>
      <w:b w:val="0"/>
      <w:sz w:val="36"/>
      <w:szCs w:val="36"/>
    </w:rPr>
  </w:style>
  <w:style w:type="paragraph" w:customStyle="1" w:styleId="QCRHeading1">
    <w:name w:val="QCR Heading 1"/>
    <w:basedOn w:val="AERheading1"/>
    <w:link w:val="QCRHeading1Char"/>
    <w:qFormat/>
    <w:rsid w:val="002C7158"/>
  </w:style>
  <w:style w:type="character" w:customStyle="1" w:styleId="Heading1Char">
    <w:name w:val="Heading 1 Char"/>
    <w:basedOn w:val="DefaultParagraphFont"/>
    <w:link w:val="Heading1"/>
    <w:rsid w:val="002C7158"/>
    <w:rPr>
      <w:rFonts w:ascii="Cambria" w:eastAsiaTheme="minorHAnsi" w:hAnsi="Cambria"/>
      <w:b/>
      <w:bCs/>
      <w:color w:val="365F91"/>
      <w:sz w:val="28"/>
      <w:szCs w:val="28"/>
    </w:rPr>
  </w:style>
  <w:style w:type="character" w:customStyle="1" w:styleId="AERheading1Char">
    <w:name w:val="AER heading 1 Char"/>
    <w:basedOn w:val="Heading1Char"/>
    <w:link w:val="AERheading1"/>
    <w:rsid w:val="002C7158"/>
    <w:rPr>
      <w:rFonts w:ascii="Gautami" w:eastAsiaTheme="minorHAnsi" w:hAnsi="Gautami" w:cs="Arial"/>
      <w:b/>
      <w:bCs/>
      <w:color w:val="F2750E"/>
      <w:kern w:val="32"/>
      <w:sz w:val="36"/>
      <w:szCs w:val="32"/>
      <w:lang w:eastAsia="en-US"/>
    </w:rPr>
  </w:style>
  <w:style w:type="character" w:customStyle="1" w:styleId="AERheading2Char">
    <w:name w:val="AER heading 2 Char"/>
    <w:basedOn w:val="AERheading1Char"/>
    <w:link w:val="AERheading2"/>
    <w:rsid w:val="002C7158"/>
    <w:rPr>
      <w:rFonts w:ascii="Gautami" w:eastAsiaTheme="minorHAnsi" w:hAnsi="Gautami" w:cs="Arial"/>
      <w:b/>
      <w:bCs/>
      <w:color w:val="F2750E"/>
      <w:kern w:val="32"/>
      <w:sz w:val="28"/>
      <w:szCs w:val="30"/>
      <w:lang w:eastAsia="en-US"/>
    </w:rPr>
  </w:style>
  <w:style w:type="character" w:customStyle="1" w:styleId="QCRunnumberedunboldheadingChar">
    <w:name w:val="QCR unnumbered unbold heading Char"/>
    <w:basedOn w:val="AERheading2Char"/>
    <w:link w:val="QCRunnumberedunboldheading"/>
    <w:rsid w:val="002C7158"/>
    <w:rPr>
      <w:rFonts w:ascii="Gautami" w:eastAsiaTheme="minorHAnsi" w:hAnsi="Gautami" w:cs="Arial"/>
      <w:b/>
      <w:bCs/>
      <w:color w:val="F2750E"/>
      <w:kern w:val="32"/>
      <w:sz w:val="36"/>
      <w:szCs w:val="36"/>
      <w:lang w:eastAsia="en-US"/>
    </w:rPr>
  </w:style>
  <w:style w:type="character" w:customStyle="1" w:styleId="QCRHeading1Char">
    <w:name w:val="QCR Heading 1 Char"/>
    <w:basedOn w:val="AERheading1Char"/>
    <w:link w:val="QCRHeading1"/>
    <w:rsid w:val="002C7158"/>
    <w:rPr>
      <w:rFonts w:ascii="Gautami" w:eastAsiaTheme="minorHAnsi" w:hAnsi="Gautami" w:cs="Arial"/>
      <w:b/>
      <w:bCs/>
      <w:color w:val="F2750E"/>
      <w:kern w:val="32"/>
      <w:sz w:val="36"/>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AER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40517832">
      <w:bodyDiv w:val="1"/>
      <w:marLeft w:val="0"/>
      <w:marRight w:val="0"/>
      <w:marTop w:val="0"/>
      <w:marBottom w:val="0"/>
      <w:divBdr>
        <w:top w:val="none" w:sz="0" w:space="0" w:color="auto"/>
        <w:left w:val="none" w:sz="0" w:space="0" w:color="auto"/>
        <w:bottom w:val="none" w:sz="0" w:space="0" w:color="auto"/>
        <w:right w:val="none" w:sz="0" w:space="0" w:color="auto"/>
      </w:divBdr>
    </w:div>
    <w:div w:id="11036524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41598693">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683360864">
      <w:bodyDiv w:val="1"/>
      <w:marLeft w:val="0"/>
      <w:marRight w:val="0"/>
      <w:marTop w:val="0"/>
      <w:marBottom w:val="0"/>
      <w:divBdr>
        <w:top w:val="none" w:sz="0" w:space="0" w:color="auto"/>
        <w:left w:val="none" w:sz="0" w:space="0" w:color="auto"/>
        <w:bottom w:val="none" w:sz="0" w:space="0" w:color="auto"/>
        <w:right w:val="none" w:sz="0" w:space="0" w:color="auto"/>
      </w:divBdr>
      <w:divsChild>
        <w:div w:id="1960528021">
          <w:marLeft w:val="0"/>
          <w:marRight w:val="0"/>
          <w:marTop w:val="0"/>
          <w:marBottom w:val="0"/>
          <w:divBdr>
            <w:top w:val="none" w:sz="0" w:space="0" w:color="auto"/>
            <w:left w:val="none" w:sz="0" w:space="0" w:color="auto"/>
            <w:bottom w:val="none" w:sz="0" w:space="0" w:color="auto"/>
            <w:right w:val="none" w:sz="0" w:space="0" w:color="auto"/>
          </w:divBdr>
          <w:divsChild>
            <w:div w:id="159581451">
              <w:marLeft w:val="-14"/>
              <w:marRight w:val="0"/>
              <w:marTop w:val="0"/>
              <w:marBottom w:val="0"/>
              <w:divBdr>
                <w:top w:val="none" w:sz="0" w:space="0" w:color="auto"/>
                <w:left w:val="single" w:sz="6" w:space="0" w:color="FFFFFF"/>
                <w:bottom w:val="none" w:sz="0" w:space="0" w:color="auto"/>
                <w:right w:val="none" w:sz="0" w:space="0" w:color="auto"/>
              </w:divBdr>
              <w:divsChild>
                <w:div w:id="1012145978">
                  <w:marLeft w:val="0"/>
                  <w:marRight w:val="0"/>
                  <w:marTop w:val="0"/>
                  <w:marBottom w:val="0"/>
                  <w:divBdr>
                    <w:top w:val="none" w:sz="0" w:space="0" w:color="auto"/>
                    <w:left w:val="none" w:sz="0" w:space="0" w:color="auto"/>
                    <w:bottom w:val="none" w:sz="0" w:space="0" w:color="auto"/>
                    <w:right w:val="none" w:sz="0" w:space="0" w:color="auto"/>
                  </w:divBdr>
                  <w:divsChild>
                    <w:div w:id="20558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799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377971079">
      <w:bodyDiv w:val="1"/>
      <w:marLeft w:val="0"/>
      <w:marRight w:val="0"/>
      <w:marTop w:val="0"/>
      <w:marBottom w:val="0"/>
      <w:divBdr>
        <w:top w:val="none" w:sz="0" w:space="0" w:color="auto"/>
        <w:left w:val="none" w:sz="0" w:space="0" w:color="auto"/>
        <w:bottom w:val="none" w:sz="0" w:space="0" w:color="auto"/>
        <w:right w:val="none" w:sz="0" w:space="0" w:color="auto"/>
      </w:divBdr>
    </w:div>
    <w:div w:id="138683496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45143400">
      <w:bodyDiv w:val="1"/>
      <w:marLeft w:val="0"/>
      <w:marRight w:val="0"/>
      <w:marTop w:val="0"/>
      <w:marBottom w:val="0"/>
      <w:divBdr>
        <w:top w:val="none" w:sz="0" w:space="0" w:color="auto"/>
        <w:left w:val="none" w:sz="0" w:space="0" w:color="auto"/>
        <w:bottom w:val="none" w:sz="0" w:space="0" w:color="auto"/>
        <w:right w:val="none" w:sz="0" w:space="0" w:color="auto"/>
      </w:divBdr>
    </w:div>
    <w:div w:id="1546982685">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33183396">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40674549">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1973099559">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er.gov.au/wholesale-markets/compliance-reporting" TargetMode="External"/><Relationship Id="rId26" Type="http://schemas.openxmlformats.org/officeDocument/2006/relationships/image" Target="media/image5.e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aer.gov.au/node/19491" TargetMode="External"/><Relationship Id="rId34" Type="http://schemas.openxmlformats.org/officeDocument/2006/relationships/hyperlink" Target="http://www.aemc.gov.au/rules.ph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ERInquiry@aer.gov.au" TargetMode="External"/><Relationship Id="rId25" Type="http://schemas.openxmlformats.org/officeDocument/2006/relationships/image" Target="media/image4.emf"/><Relationship Id="rId33" Type="http://schemas.openxmlformats.org/officeDocument/2006/relationships/hyperlink" Target="http://www.aer.gov.au/" TargetMode="External"/><Relationship Id="rId38" Type="http://schemas.openxmlformats.org/officeDocument/2006/relationships/hyperlink" Target="http://www.legislation.sa.gov.au/LZ/C/A/NATIONAL%20GAS%20(SOUTH%20AUSTRALIA)%20ACT%202008.aspx" TargetMode="External"/><Relationship Id="rId2" Type="http://schemas.openxmlformats.org/officeDocument/2006/relationships/numbering" Target="numbering.xml"/><Relationship Id="rId16" Type="http://schemas.openxmlformats.org/officeDocument/2006/relationships/hyperlink" Target="mailto:AERInquiry@aer.gov.au" TargetMode="External"/><Relationship Id="rId20" Type="http://schemas.openxmlformats.org/officeDocument/2006/relationships/hyperlink" Target="http://www.aer.gov.au/node/19491" TargetMode="External"/><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er.gov.au/node/19491" TargetMode="External"/><Relationship Id="rId32" Type="http://schemas.openxmlformats.org/officeDocument/2006/relationships/hyperlink" Target="http://www.aemo.com.au/" TargetMode="External"/><Relationship Id="rId37" Type="http://schemas.openxmlformats.org/officeDocument/2006/relationships/hyperlink" Target="http://www.legislation.sa.gov.au/LZ/C/A/NATIONAL%20ELECTRICITY%20(SOUTH%20AUSTRALIA)%20ACT%201996.aspx"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6.emf"/><Relationship Id="rId36" Type="http://schemas.openxmlformats.org/officeDocument/2006/relationships/hyperlink" Target="http://www.aemc.gov.au/gas.php" TargetMode="Externa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hyperlink" Target="http://www.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aer.gov.au/node/1188" TargetMode="External"/><Relationship Id="rId27" Type="http://schemas.openxmlformats.org/officeDocument/2006/relationships/hyperlink" Target="http://www.aer.gov.au/node/2391" TargetMode="External"/><Relationship Id="rId30" Type="http://schemas.openxmlformats.org/officeDocument/2006/relationships/hyperlink" Target="http://www.aer.gov.au/node/18246" TargetMode="External"/><Relationship Id="rId35" Type="http://schemas.openxmlformats.org/officeDocument/2006/relationships/hyperlink" Target="http://www.legislation.sa.gov.au/LZ/C/R/NATIONAL%20GAS%20(SOUTH%20AUSTRALIA)%20REGULATIONS.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market-reviews/open/power-of-choice-update-page.html" TargetMode="External"/><Relationship Id="rId2" Type="http://schemas.openxmlformats.org/officeDocument/2006/relationships/hyperlink" Target="http://www.aemc.gov.au/market-reviews/open/power-of-choice-update-page.html" TargetMode="External"/><Relationship Id="rId1" Type="http://schemas.openxmlformats.org/officeDocument/2006/relationships/hyperlink" Target="http://www.aer.gov.au/wholesale-markets/compliance-reporting" TargetMode="External"/><Relationship Id="rId5" Type="http://schemas.openxmlformats.org/officeDocument/2006/relationships/hyperlink" Target="http://www.aer.gov.au/node/15433" TargetMode="External"/><Relationship Id="rId4" Type="http://schemas.openxmlformats.org/officeDocument/2006/relationships/hyperlink" Target="http://www.aer.gov.au/node/12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4325C-B833-4CEF-8B58-857AF13A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604FF95F.dotm</Template>
  <TotalTime>0</TotalTime>
  <Pages>26</Pages>
  <Words>8586</Words>
  <Characters>48942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March 2013 Quarterly Compliance Report</vt:lpstr>
    </vt:vector>
  </TitlesOfParts>
  <Company/>
  <LinksUpToDate>false</LinksUpToDate>
  <CharactersWithSpaces>57414</CharactersWithSpaces>
  <SharedDoc>false</SharedDoc>
  <HLinks>
    <vt:vector size="276" baseType="variant">
      <vt:variant>
        <vt:i4>79</vt:i4>
      </vt:variant>
      <vt:variant>
        <vt:i4>186</vt:i4>
      </vt:variant>
      <vt:variant>
        <vt:i4>0</vt:i4>
      </vt:variant>
      <vt:variant>
        <vt:i4>5</vt:i4>
      </vt:variant>
      <vt:variant>
        <vt:lpwstr>http://www.legislation.sa.gov.au/LZ/C/A/NATIONAL GAS (SOUTH AUSTRALIA) ACT 2008.aspx</vt:lpwstr>
      </vt:variant>
      <vt:variant>
        <vt:lpwstr/>
      </vt:variant>
      <vt:variant>
        <vt:i4>1245251</vt:i4>
      </vt:variant>
      <vt:variant>
        <vt:i4>183</vt:i4>
      </vt:variant>
      <vt:variant>
        <vt:i4>0</vt:i4>
      </vt:variant>
      <vt:variant>
        <vt:i4>5</vt:i4>
      </vt:variant>
      <vt:variant>
        <vt:lpwstr>http://www.legislation.sa.gov.au/LZ/C/A/NATIONAL ELECTRICITY (SOUTH AUSTRALIA) ACT 1996.aspx</vt:lpwstr>
      </vt:variant>
      <vt:variant>
        <vt:lpwstr/>
      </vt:variant>
      <vt:variant>
        <vt:i4>2687022</vt:i4>
      </vt:variant>
      <vt:variant>
        <vt:i4>180</vt:i4>
      </vt:variant>
      <vt:variant>
        <vt:i4>0</vt:i4>
      </vt:variant>
      <vt:variant>
        <vt:i4>5</vt:i4>
      </vt:variant>
      <vt:variant>
        <vt:lpwstr>http://www.aemc.gov.au/gas.php</vt:lpwstr>
      </vt:variant>
      <vt:variant>
        <vt:lpwstr/>
      </vt:variant>
      <vt:variant>
        <vt:i4>3276845</vt:i4>
      </vt:variant>
      <vt:variant>
        <vt:i4>177</vt:i4>
      </vt:variant>
      <vt:variant>
        <vt:i4>0</vt:i4>
      </vt:variant>
      <vt:variant>
        <vt:i4>5</vt:i4>
      </vt:variant>
      <vt:variant>
        <vt:lpwstr>http://www.legislation.sa.gov.au/LZ/C/R/NATIONAL GAS (SOUTH AUSTRALIA) REGULATIONS.aspx</vt:lpwstr>
      </vt:variant>
      <vt:variant>
        <vt:lpwstr/>
      </vt:variant>
      <vt:variant>
        <vt:i4>5242975</vt:i4>
      </vt:variant>
      <vt:variant>
        <vt:i4>174</vt:i4>
      </vt:variant>
      <vt:variant>
        <vt:i4>0</vt:i4>
      </vt:variant>
      <vt:variant>
        <vt:i4>5</vt:i4>
      </vt:variant>
      <vt:variant>
        <vt:lpwstr>http://www.aemc.gov.au/rules.php</vt:lpwstr>
      </vt:variant>
      <vt:variant>
        <vt:lpwstr/>
      </vt:variant>
      <vt:variant>
        <vt:i4>1900617</vt:i4>
      </vt:variant>
      <vt:variant>
        <vt:i4>171</vt:i4>
      </vt:variant>
      <vt:variant>
        <vt:i4>0</vt:i4>
      </vt:variant>
      <vt:variant>
        <vt:i4>5</vt:i4>
      </vt:variant>
      <vt:variant>
        <vt:lpwstr>http://www.gasbb.com.au/</vt:lpwstr>
      </vt:variant>
      <vt:variant>
        <vt:lpwstr/>
      </vt:variant>
      <vt:variant>
        <vt:i4>6750255</vt:i4>
      </vt:variant>
      <vt:variant>
        <vt:i4>168</vt:i4>
      </vt:variant>
      <vt:variant>
        <vt:i4>0</vt:i4>
      </vt:variant>
      <vt:variant>
        <vt:i4>5</vt:i4>
      </vt:variant>
      <vt:variant>
        <vt:lpwstr>http://www.aer.gov.au/</vt:lpwstr>
      </vt:variant>
      <vt:variant>
        <vt:lpwstr/>
      </vt:variant>
      <vt:variant>
        <vt:i4>3997749</vt:i4>
      </vt:variant>
      <vt:variant>
        <vt:i4>165</vt:i4>
      </vt:variant>
      <vt:variant>
        <vt:i4>0</vt:i4>
      </vt:variant>
      <vt:variant>
        <vt:i4>5</vt:i4>
      </vt:variant>
      <vt:variant>
        <vt:lpwstr>http://www.aemo.com.au/</vt:lpwstr>
      </vt:variant>
      <vt:variant>
        <vt:lpwstr/>
      </vt:variant>
      <vt:variant>
        <vt:i4>3342368</vt:i4>
      </vt:variant>
      <vt:variant>
        <vt:i4>162</vt:i4>
      </vt:variant>
      <vt:variant>
        <vt:i4>0</vt:i4>
      </vt:variant>
      <vt:variant>
        <vt:i4>5</vt:i4>
      </vt:variant>
      <vt:variant>
        <vt:lpwstr>http://www.accc.gov.au/</vt:lpwstr>
      </vt:variant>
      <vt:variant>
        <vt:lpwstr/>
      </vt:variant>
      <vt:variant>
        <vt:i4>1441851</vt:i4>
      </vt:variant>
      <vt:variant>
        <vt:i4>155</vt:i4>
      </vt:variant>
      <vt:variant>
        <vt:i4>0</vt:i4>
      </vt:variant>
      <vt:variant>
        <vt:i4>5</vt:i4>
      </vt:variant>
      <vt:variant>
        <vt:lpwstr/>
      </vt:variant>
      <vt:variant>
        <vt:lpwstr>_Toc339289999</vt:lpwstr>
      </vt:variant>
      <vt:variant>
        <vt:i4>1441851</vt:i4>
      </vt:variant>
      <vt:variant>
        <vt:i4>149</vt:i4>
      </vt:variant>
      <vt:variant>
        <vt:i4>0</vt:i4>
      </vt:variant>
      <vt:variant>
        <vt:i4>5</vt:i4>
      </vt:variant>
      <vt:variant>
        <vt:lpwstr/>
      </vt:variant>
      <vt:variant>
        <vt:lpwstr>_Toc339289998</vt:lpwstr>
      </vt:variant>
      <vt:variant>
        <vt:i4>1441851</vt:i4>
      </vt:variant>
      <vt:variant>
        <vt:i4>143</vt:i4>
      </vt:variant>
      <vt:variant>
        <vt:i4>0</vt:i4>
      </vt:variant>
      <vt:variant>
        <vt:i4>5</vt:i4>
      </vt:variant>
      <vt:variant>
        <vt:lpwstr/>
      </vt:variant>
      <vt:variant>
        <vt:lpwstr>_Toc339289997</vt:lpwstr>
      </vt:variant>
      <vt:variant>
        <vt:i4>1441851</vt:i4>
      </vt:variant>
      <vt:variant>
        <vt:i4>137</vt:i4>
      </vt:variant>
      <vt:variant>
        <vt:i4>0</vt:i4>
      </vt:variant>
      <vt:variant>
        <vt:i4>5</vt:i4>
      </vt:variant>
      <vt:variant>
        <vt:lpwstr/>
      </vt:variant>
      <vt:variant>
        <vt:lpwstr>_Toc339289996</vt:lpwstr>
      </vt:variant>
      <vt:variant>
        <vt:i4>1441851</vt:i4>
      </vt:variant>
      <vt:variant>
        <vt:i4>131</vt:i4>
      </vt:variant>
      <vt:variant>
        <vt:i4>0</vt:i4>
      </vt:variant>
      <vt:variant>
        <vt:i4>5</vt:i4>
      </vt:variant>
      <vt:variant>
        <vt:lpwstr/>
      </vt:variant>
      <vt:variant>
        <vt:lpwstr>_Toc339289995</vt:lpwstr>
      </vt:variant>
      <vt:variant>
        <vt:i4>1441851</vt:i4>
      </vt:variant>
      <vt:variant>
        <vt:i4>125</vt:i4>
      </vt:variant>
      <vt:variant>
        <vt:i4>0</vt:i4>
      </vt:variant>
      <vt:variant>
        <vt:i4>5</vt:i4>
      </vt:variant>
      <vt:variant>
        <vt:lpwstr/>
      </vt:variant>
      <vt:variant>
        <vt:lpwstr>_Toc339289994</vt:lpwstr>
      </vt:variant>
      <vt:variant>
        <vt:i4>1441851</vt:i4>
      </vt:variant>
      <vt:variant>
        <vt:i4>119</vt:i4>
      </vt:variant>
      <vt:variant>
        <vt:i4>0</vt:i4>
      </vt:variant>
      <vt:variant>
        <vt:i4>5</vt:i4>
      </vt:variant>
      <vt:variant>
        <vt:lpwstr/>
      </vt:variant>
      <vt:variant>
        <vt:lpwstr>_Toc339289993</vt:lpwstr>
      </vt:variant>
      <vt:variant>
        <vt:i4>1441851</vt:i4>
      </vt:variant>
      <vt:variant>
        <vt:i4>113</vt:i4>
      </vt:variant>
      <vt:variant>
        <vt:i4>0</vt:i4>
      </vt:variant>
      <vt:variant>
        <vt:i4>5</vt:i4>
      </vt:variant>
      <vt:variant>
        <vt:lpwstr/>
      </vt:variant>
      <vt:variant>
        <vt:lpwstr>_Toc339289992</vt:lpwstr>
      </vt:variant>
      <vt:variant>
        <vt:i4>1441851</vt:i4>
      </vt:variant>
      <vt:variant>
        <vt:i4>107</vt:i4>
      </vt:variant>
      <vt:variant>
        <vt:i4>0</vt:i4>
      </vt:variant>
      <vt:variant>
        <vt:i4>5</vt:i4>
      </vt:variant>
      <vt:variant>
        <vt:lpwstr/>
      </vt:variant>
      <vt:variant>
        <vt:lpwstr>_Toc339289991</vt:lpwstr>
      </vt:variant>
      <vt:variant>
        <vt:i4>1441851</vt:i4>
      </vt:variant>
      <vt:variant>
        <vt:i4>101</vt:i4>
      </vt:variant>
      <vt:variant>
        <vt:i4>0</vt:i4>
      </vt:variant>
      <vt:variant>
        <vt:i4>5</vt:i4>
      </vt:variant>
      <vt:variant>
        <vt:lpwstr/>
      </vt:variant>
      <vt:variant>
        <vt:lpwstr>_Toc339289990</vt:lpwstr>
      </vt:variant>
      <vt:variant>
        <vt:i4>1507387</vt:i4>
      </vt:variant>
      <vt:variant>
        <vt:i4>95</vt:i4>
      </vt:variant>
      <vt:variant>
        <vt:i4>0</vt:i4>
      </vt:variant>
      <vt:variant>
        <vt:i4>5</vt:i4>
      </vt:variant>
      <vt:variant>
        <vt:lpwstr/>
      </vt:variant>
      <vt:variant>
        <vt:lpwstr>_Toc339289989</vt:lpwstr>
      </vt:variant>
      <vt:variant>
        <vt:i4>1507387</vt:i4>
      </vt:variant>
      <vt:variant>
        <vt:i4>89</vt:i4>
      </vt:variant>
      <vt:variant>
        <vt:i4>0</vt:i4>
      </vt:variant>
      <vt:variant>
        <vt:i4>5</vt:i4>
      </vt:variant>
      <vt:variant>
        <vt:lpwstr/>
      </vt:variant>
      <vt:variant>
        <vt:lpwstr>_Toc339289988</vt:lpwstr>
      </vt:variant>
      <vt:variant>
        <vt:i4>1507387</vt:i4>
      </vt:variant>
      <vt:variant>
        <vt:i4>83</vt:i4>
      </vt:variant>
      <vt:variant>
        <vt:i4>0</vt:i4>
      </vt:variant>
      <vt:variant>
        <vt:i4>5</vt:i4>
      </vt:variant>
      <vt:variant>
        <vt:lpwstr/>
      </vt:variant>
      <vt:variant>
        <vt:lpwstr>_Toc339289987</vt:lpwstr>
      </vt:variant>
      <vt:variant>
        <vt:i4>1507387</vt:i4>
      </vt:variant>
      <vt:variant>
        <vt:i4>77</vt:i4>
      </vt:variant>
      <vt:variant>
        <vt:i4>0</vt:i4>
      </vt:variant>
      <vt:variant>
        <vt:i4>5</vt:i4>
      </vt:variant>
      <vt:variant>
        <vt:lpwstr/>
      </vt:variant>
      <vt:variant>
        <vt:lpwstr>_Toc339289986</vt:lpwstr>
      </vt:variant>
      <vt:variant>
        <vt:i4>1507387</vt:i4>
      </vt:variant>
      <vt:variant>
        <vt:i4>71</vt:i4>
      </vt:variant>
      <vt:variant>
        <vt:i4>0</vt:i4>
      </vt:variant>
      <vt:variant>
        <vt:i4>5</vt:i4>
      </vt:variant>
      <vt:variant>
        <vt:lpwstr/>
      </vt:variant>
      <vt:variant>
        <vt:lpwstr>_Toc339289985</vt:lpwstr>
      </vt:variant>
      <vt:variant>
        <vt:i4>1507387</vt:i4>
      </vt:variant>
      <vt:variant>
        <vt:i4>65</vt:i4>
      </vt:variant>
      <vt:variant>
        <vt:i4>0</vt:i4>
      </vt:variant>
      <vt:variant>
        <vt:i4>5</vt:i4>
      </vt:variant>
      <vt:variant>
        <vt:lpwstr/>
      </vt:variant>
      <vt:variant>
        <vt:lpwstr>_Toc339289984</vt:lpwstr>
      </vt:variant>
      <vt:variant>
        <vt:i4>1507387</vt:i4>
      </vt:variant>
      <vt:variant>
        <vt:i4>59</vt:i4>
      </vt:variant>
      <vt:variant>
        <vt:i4>0</vt:i4>
      </vt:variant>
      <vt:variant>
        <vt:i4>5</vt:i4>
      </vt:variant>
      <vt:variant>
        <vt:lpwstr/>
      </vt:variant>
      <vt:variant>
        <vt:lpwstr>_Toc339289983</vt:lpwstr>
      </vt:variant>
      <vt:variant>
        <vt:i4>1507387</vt:i4>
      </vt:variant>
      <vt:variant>
        <vt:i4>53</vt:i4>
      </vt:variant>
      <vt:variant>
        <vt:i4>0</vt:i4>
      </vt:variant>
      <vt:variant>
        <vt:i4>5</vt:i4>
      </vt:variant>
      <vt:variant>
        <vt:lpwstr/>
      </vt:variant>
      <vt:variant>
        <vt:lpwstr>_Toc339289982</vt:lpwstr>
      </vt:variant>
      <vt:variant>
        <vt:i4>1507387</vt:i4>
      </vt:variant>
      <vt:variant>
        <vt:i4>47</vt:i4>
      </vt:variant>
      <vt:variant>
        <vt:i4>0</vt:i4>
      </vt:variant>
      <vt:variant>
        <vt:i4>5</vt:i4>
      </vt:variant>
      <vt:variant>
        <vt:lpwstr/>
      </vt:variant>
      <vt:variant>
        <vt:lpwstr>_Toc339289981</vt:lpwstr>
      </vt:variant>
      <vt:variant>
        <vt:i4>1507387</vt:i4>
      </vt:variant>
      <vt:variant>
        <vt:i4>41</vt:i4>
      </vt:variant>
      <vt:variant>
        <vt:i4>0</vt:i4>
      </vt:variant>
      <vt:variant>
        <vt:i4>5</vt:i4>
      </vt:variant>
      <vt:variant>
        <vt:lpwstr/>
      </vt:variant>
      <vt:variant>
        <vt:lpwstr>_Toc339289980</vt:lpwstr>
      </vt:variant>
      <vt:variant>
        <vt:i4>1572923</vt:i4>
      </vt:variant>
      <vt:variant>
        <vt:i4>35</vt:i4>
      </vt:variant>
      <vt:variant>
        <vt:i4>0</vt:i4>
      </vt:variant>
      <vt:variant>
        <vt:i4>5</vt:i4>
      </vt:variant>
      <vt:variant>
        <vt:lpwstr/>
      </vt:variant>
      <vt:variant>
        <vt:lpwstr>_Toc339289979</vt:lpwstr>
      </vt:variant>
      <vt:variant>
        <vt:i4>1572923</vt:i4>
      </vt:variant>
      <vt:variant>
        <vt:i4>29</vt:i4>
      </vt:variant>
      <vt:variant>
        <vt:i4>0</vt:i4>
      </vt:variant>
      <vt:variant>
        <vt:i4>5</vt:i4>
      </vt:variant>
      <vt:variant>
        <vt:lpwstr/>
      </vt:variant>
      <vt:variant>
        <vt:lpwstr>_Toc339289978</vt:lpwstr>
      </vt:variant>
      <vt:variant>
        <vt:i4>1572923</vt:i4>
      </vt:variant>
      <vt:variant>
        <vt:i4>23</vt:i4>
      </vt:variant>
      <vt:variant>
        <vt:i4>0</vt:i4>
      </vt:variant>
      <vt:variant>
        <vt:i4>5</vt:i4>
      </vt:variant>
      <vt:variant>
        <vt:lpwstr/>
      </vt:variant>
      <vt:variant>
        <vt:lpwstr>_Toc339289977</vt:lpwstr>
      </vt:variant>
      <vt:variant>
        <vt:i4>1572923</vt:i4>
      </vt:variant>
      <vt:variant>
        <vt:i4>17</vt:i4>
      </vt:variant>
      <vt:variant>
        <vt:i4>0</vt:i4>
      </vt:variant>
      <vt:variant>
        <vt:i4>5</vt:i4>
      </vt:variant>
      <vt:variant>
        <vt:lpwstr/>
      </vt:variant>
      <vt:variant>
        <vt:lpwstr>_Toc339289976</vt:lpwstr>
      </vt:variant>
      <vt:variant>
        <vt:i4>1572923</vt:i4>
      </vt:variant>
      <vt:variant>
        <vt:i4>11</vt:i4>
      </vt:variant>
      <vt:variant>
        <vt:i4>0</vt:i4>
      </vt:variant>
      <vt:variant>
        <vt:i4>5</vt:i4>
      </vt:variant>
      <vt:variant>
        <vt:lpwstr/>
      </vt:variant>
      <vt:variant>
        <vt:lpwstr>_Toc339289975</vt:lpwstr>
      </vt:variant>
      <vt:variant>
        <vt:i4>1572923</vt:i4>
      </vt:variant>
      <vt:variant>
        <vt:i4>5</vt:i4>
      </vt:variant>
      <vt:variant>
        <vt:i4>0</vt:i4>
      </vt:variant>
      <vt:variant>
        <vt:i4>5</vt:i4>
      </vt:variant>
      <vt:variant>
        <vt:lpwstr/>
      </vt:variant>
      <vt:variant>
        <vt:lpwstr>_Toc339289974</vt:lpwstr>
      </vt:variant>
      <vt:variant>
        <vt:i4>2555972</vt:i4>
      </vt:variant>
      <vt:variant>
        <vt:i4>0</vt:i4>
      </vt:variant>
      <vt:variant>
        <vt:i4>0</vt:i4>
      </vt:variant>
      <vt:variant>
        <vt:i4>5</vt:i4>
      </vt:variant>
      <vt:variant>
        <vt:lpwstr>mailto:AERInquiry@aer.gov.au</vt:lpwstr>
      </vt:variant>
      <vt:variant>
        <vt:lpwstr/>
      </vt:variant>
      <vt:variant>
        <vt:i4>6684728</vt:i4>
      </vt:variant>
      <vt:variant>
        <vt:i4>27</vt:i4>
      </vt:variant>
      <vt:variant>
        <vt:i4>0</vt:i4>
      </vt:variant>
      <vt:variant>
        <vt:i4>5</vt:i4>
      </vt:variant>
      <vt:variant>
        <vt:lpwstr>http://www.aer.gov.au/node/2291</vt:lpwstr>
      </vt:variant>
      <vt:variant>
        <vt:lpwstr/>
      </vt:variant>
      <vt:variant>
        <vt:i4>5963788</vt:i4>
      </vt:variant>
      <vt:variant>
        <vt:i4>24</vt:i4>
      </vt:variant>
      <vt:variant>
        <vt:i4>0</vt:i4>
      </vt:variant>
      <vt:variant>
        <vt:i4>5</vt:i4>
      </vt:variant>
      <vt:variant>
        <vt:lpwstr>http://www.aer.gov.au/node/15433</vt:lpwstr>
      </vt:variant>
      <vt:variant>
        <vt:lpwstr/>
      </vt:variant>
      <vt:variant>
        <vt:i4>7143487</vt:i4>
      </vt:variant>
      <vt:variant>
        <vt:i4>21</vt:i4>
      </vt:variant>
      <vt:variant>
        <vt:i4>0</vt:i4>
      </vt:variant>
      <vt:variant>
        <vt:i4>5</vt:i4>
      </vt:variant>
      <vt:variant>
        <vt:lpwstr>http://www.aer.gov.au/node/454</vt:lpwstr>
      </vt:variant>
      <vt:variant>
        <vt:lpwstr/>
      </vt:variant>
      <vt:variant>
        <vt:i4>6553659</vt:i4>
      </vt:variant>
      <vt:variant>
        <vt:i4>18</vt:i4>
      </vt:variant>
      <vt:variant>
        <vt:i4>0</vt:i4>
      </vt:variant>
      <vt:variant>
        <vt:i4>5</vt:i4>
      </vt:variant>
      <vt:variant>
        <vt:lpwstr>http://www.aer.gov.au/node/1182</vt:lpwstr>
      </vt:variant>
      <vt:variant>
        <vt:lpwstr/>
      </vt:variant>
      <vt:variant>
        <vt:i4>6225920</vt:i4>
      </vt:variant>
      <vt:variant>
        <vt:i4>15</vt:i4>
      </vt:variant>
      <vt:variant>
        <vt:i4>0</vt:i4>
      </vt:variant>
      <vt:variant>
        <vt:i4>5</vt:i4>
      </vt:variant>
      <vt:variant>
        <vt:lpwstr>http://www.aer.gov.au/node/12182</vt:lpwstr>
      </vt:variant>
      <vt:variant>
        <vt:lpwstr/>
      </vt:variant>
      <vt:variant>
        <vt:i4>6094849</vt:i4>
      </vt:variant>
      <vt:variant>
        <vt:i4>12</vt:i4>
      </vt:variant>
      <vt:variant>
        <vt:i4>0</vt:i4>
      </vt:variant>
      <vt:variant>
        <vt:i4>5</vt:i4>
      </vt:variant>
      <vt:variant>
        <vt:lpwstr>http://www.aer.gov.au/node/18233</vt:lpwstr>
      </vt:variant>
      <vt:variant>
        <vt:lpwstr/>
      </vt:variant>
      <vt:variant>
        <vt:i4>2555953</vt:i4>
      </vt:variant>
      <vt:variant>
        <vt:i4>9</vt:i4>
      </vt:variant>
      <vt:variant>
        <vt:i4>0</vt:i4>
      </vt:variant>
      <vt:variant>
        <vt:i4>5</vt:i4>
      </vt:variant>
      <vt:variant>
        <vt:lpwstr>http://www.aemo.com.au/Consultations/Gas-Consultations/STTM/STTM-Phase-2-review_Review-of-within_day-market</vt:lpwstr>
      </vt:variant>
      <vt:variant>
        <vt:lpwstr>purpose</vt:lpwstr>
      </vt:variant>
      <vt:variant>
        <vt:i4>786506</vt:i4>
      </vt:variant>
      <vt:variant>
        <vt:i4>6</vt:i4>
      </vt:variant>
      <vt:variant>
        <vt:i4>0</vt:i4>
      </vt:variant>
      <vt:variant>
        <vt:i4>5</vt:i4>
      </vt:variant>
      <vt:variant>
        <vt:lpwstr>http://www.aer.gov.au/sites/default/files/AER compliance and enforcement%C3%A2%E2%82%AC%E2%80%9Dstatement of approach %28December 2010%29.pdf</vt:lpwstr>
      </vt:variant>
      <vt:variant>
        <vt:lpwstr/>
      </vt:variant>
      <vt:variant>
        <vt:i4>6684729</vt:i4>
      </vt:variant>
      <vt:variant>
        <vt:i4>3</vt:i4>
      </vt:variant>
      <vt:variant>
        <vt:i4>0</vt:i4>
      </vt:variant>
      <vt:variant>
        <vt:i4>5</vt:i4>
      </vt:variant>
      <vt:variant>
        <vt:lpwstr>http://www.aer.gov.au/node/2391</vt:lpwstr>
      </vt:variant>
      <vt:variant>
        <vt:lpwstr/>
      </vt:variant>
      <vt:variant>
        <vt:i4>7143487</vt:i4>
      </vt:variant>
      <vt:variant>
        <vt:i4>0</vt:i4>
      </vt:variant>
      <vt:variant>
        <vt:i4>0</vt:i4>
      </vt:variant>
      <vt:variant>
        <vt:i4>5</vt:i4>
      </vt:variant>
      <vt:variant>
        <vt:lpwstr>http://www.aer.gov.au/node/454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2013 Quarterly Compliance Report</dc:title>
  <dc:subject/>
  <dc:creator/>
  <cp:keywords/>
  <dc:description/>
  <cp:lastModifiedBy/>
  <cp:revision>1</cp:revision>
  <dcterms:created xsi:type="dcterms:W3CDTF">2013-04-22T07:04:00Z</dcterms:created>
  <dcterms:modified xsi:type="dcterms:W3CDTF">2014-04-17T05:20:00Z</dcterms:modified>
</cp:coreProperties>
</file>