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00FD" w:rsidRPr="00753DF7" w:rsidRDefault="00DC00FD" w:rsidP="00DC00FD">
      <w:pPr>
        <w:pStyle w:val="AERfactsheetsubtitle"/>
        <w:rPr>
          <w:sz w:val="12"/>
        </w:rPr>
      </w:pPr>
      <w:r w:rsidRPr="00CD74B2">
        <w:rPr>
          <w:noProof/>
          <w:lang w:eastAsia="en-AU"/>
        </w:rPr>
        <mc:AlternateContent>
          <mc:Choice Requires="wpg">
            <w:drawing>
              <wp:anchor distT="0" distB="0" distL="114300" distR="114300" simplePos="0" relativeHeight="251659264" behindDoc="0" locked="0" layoutInCell="1" allowOverlap="1" wp14:anchorId="569CC85A" wp14:editId="57BF0AD2">
                <wp:simplePos x="0" y="0"/>
                <wp:positionH relativeFrom="column">
                  <wp:posOffset>-457200</wp:posOffset>
                </wp:positionH>
                <wp:positionV relativeFrom="paragraph">
                  <wp:posOffset>172720</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27D" w:rsidRPr="0008782C" w:rsidRDefault="00AB127D" w:rsidP="00DC00FD">
                              <w:pPr>
                                <w:ind w:left="567"/>
                                <w:rPr>
                                  <w:rFonts w:cs="Calibri"/>
                                  <w:color w:val="FFFFFF"/>
                                  <w:sz w:val="32"/>
                                </w:rPr>
                              </w:pPr>
                            </w:p>
                            <w:p w:rsidR="00AB127D" w:rsidRPr="00640782" w:rsidRDefault="00AB127D" w:rsidP="00DC00FD">
                              <w:pPr>
                                <w:ind w:left="567"/>
                                <w:rPr>
                                  <w:rFonts w:ascii="MS Reference Sans Serif" w:hAnsi="MS Reference Sans Serif" w:cs="Tunga"/>
                                  <w:color w:val="FFFFFF"/>
                                  <w:spacing w:val="10"/>
                                  <w:w w:val="99"/>
                                  <w:kern w:val="44"/>
                                  <w:sz w:val="48"/>
                                  <w:szCs w:val="48"/>
                                </w:rPr>
                              </w:pPr>
                              <w:r>
                                <w:rPr>
                                  <w:rFonts w:ascii="MS Reference Sans Serif" w:hAnsi="MS Reference Sans Serif" w:cs="Tunga"/>
                                  <w:color w:val="FFFFFF"/>
                                  <w:spacing w:val="10"/>
                                  <w:w w:val="99"/>
                                  <w:kern w:val="44"/>
                                  <w:sz w:val="48"/>
                                  <w:szCs w:val="48"/>
                                </w:rPr>
                                <w:t>Transitional decisions</w:t>
                              </w:r>
                              <w:r w:rsidRPr="00640782">
                                <w:rPr>
                                  <w:rFonts w:ascii="MS Reference Sans Serif" w:hAnsi="MS Reference Sans Serif" w:cs="Tunga"/>
                                  <w:color w:val="FFFFFF"/>
                                  <w:spacing w:val="10"/>
                                  <w:w w:val="99"/>
                                  <w:kern w:val="44"/>
                                  <w:sz w:val="48"/>
                                  <w:szCs w:val="48"/>
                                </w:rPr>
                                <w:t>:</w:t>
                              </w:r>
                            </w:p>
                            <w:p w:rsidR="00AB127D" w:rsidRPr="00640782" w:rsidRDefault="00AB127D" w:rsidP="00DC00FD">
                              <w:pPr>
                                <w:ind w:left="567"/>
                                <w:rPr>
                                  <w:rFonts w:ascii="MS Reference Sans Serif" w:hAnsi="MS Reference Sans Serif" w:cs="Tunga"/>
                                  <w:color w:val="FFFFFF"/>
                                  <w:spacing w:val="10"/>
                                  <w:w w:val="99"/>
                                  <w:kern w:val="44"/>
                                  <w:sz w:val="48"/>
                                  <w:szCs w:val="48"/>
                                </w:rPr>
                              </w:pPr>
                              <w:r>
                                <w:rPr>
                                  <w:rFonts w:ascii="MS Reference Sans Serif" w:hAnsi="MS Reference Sans Serif" w:cs="Tunga"/>
                                  <w:color w:val="FFFFFF"/>
                                  <w:spacing w:val="10"/>
                                  <w:w w:val="99"/>
                                  <w:kern w:val="44"/>
                                  <w:sz w:val="48"/>
                                  <w:szCs w:val="48"/>
                                </w:rPr>
                                <w:t>TransGrid and Transend 2014-15</w:t>
                              </w:r>
                            </w:p>
                            <w:p w:rsidR="00AB127D" w:rsidRDefault="00AB127D" w:rsidP="00DC00FD">
                              <w:pPr>
                                <w:ind w:left="567" w:right="681"/>
                                <w:jc w:val="right"/>
                                <w:rPr>
                                  <w:rFonts w:ascii="MS Reference Sans Serif" w:hAnsi="MS Reference Sans Serif" w:cs="Tunga"/>
                                  <w:b/>
                                  <w:color w:val="FFFFFF"/>
                                  <w:w w:val="95"/>
                                  <w:kern w:val="44"/>
                                </w:rPr>
                              </w:pPr>
                            </w:p>
                            <w:p w:rsidR="00AB127D" w:rsidRPr="00E83166" w:rsidRDefault="00AB127D" w:rsidP="00DC00FD">
                              <w:pPr>
                                <w:ind w:left="567" w:right="681"/>
                                <w:jc w:val="right"/>
                                <w:rPr>
                                  <w:rFonts w:ascii="MS Reference Sans Serif" w:hAnsi="MS Reference Sans Serif" w:cs="Tunga"/>
                                  <w:color w:val="FFFFFF"/>
                                </w:rPr>
                              </w:pPr>
                            </w:p>
                            <w:p w:rsidR="00AB127D" w:rsidRPr="00390BEB" w:rsidRDefault="00AB127D" w:rsidP="00DC00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13.6pt;width:601.65pt;height:167.15pt;z-index:251659264"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AKDtfi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AB127D" w:rsidRPr="0008782C" w:rsidRDefault="00AB127D" w:rsidP="00DC00FD">
                        <w:pPr>
                          <w:ind w:left="567"/>
                          <w:rPr>
                            <w:rFonts w:cs="Calibri"/>
                            <w:color w:val="FFFFFF"/>
                            <w:sz w:val="32"/>
                          </w:rPr>
                        </w:pPr>
                      </w:p>
                      <w:p w:rsidR="00AB127D" w:rsidRPr="00640782" w:rsidRDefault="00AB127D" w:rsidP="00DC00FD">
                        <w:pPr>
                          <w:ind w:left="567"/>
                          <w:rPr>
                            <w:rFonts w:ascii="MS Reference Sans Serif" w:hAnsi="MS Reference Sans Serif" w:cs="Tunga"/>
                            <w:color w:val="FFFFFF"/>
                            <w:spacing w:val="10"/>
                            <w:w w:val="99"/>
                            <w:kern w:val="44"/>
                            <w:sz w:val="48"/>
                            <w:szCs w:val="48"/>
                          </w:rPr>
                        </w:pPr>
                        <w:r>
                          <w:rPr>
                            <w:rFonts w:ascii="MS Reference Sans Serif" w:hAnsi="MS Reference Sans Serif" w:cs="Tunga"/>
                            <w:color w:val="FFFFFF"/>
                            <w:spacing w:val="10"/>
                            <w:w w:val="99"/>
                            <w:kern w:val="44"/>
                            <w:sz w:val="48"/>
                            <w:szCs w:val="48"/>
                          </w:rPr>
                          <w:t>Transitional decisions</w:t>
                        </w:r>
                        <w:r w:rsidRPr="00640782">
                          <w:rPr>
                            <w:rFonts w:ascii="MS Reference Sans Serif" w:hAnsi="MS Reference Sans Serif" w:cs="Tunga"/>
                            <w:color w:val="FFFFFF"/>
                            <w:spacing w:val="10"/>
                            <w:w w:val="99"/>
                            <w:kern w:val="44"/>
                            <w:sz w:val="48"/>
                            <w:szCs w:val="48"/>
                          </w:rPr>
                          <w:t>:</w:t>
                        </w:r>
                      </w:p>
                      <w:p w:rsidR="00AB127D" w:rsidRPr="00640782" w:rsidRDefault="00AB127D" w:rsidP="00DC00FD">
                        <w:pPr>
                          <w:ind w:left="567"/>
                          <w:rPr>
                            <w:rFonts w:ascii="MS Reference Sans Serif" w:hAnsi="MS Reference Sans Serif" w:cs="Tunga"/>
                            <w:color w:val="FFFFFF"/>
                            <w:spacing w:val="10"/>
                            <w:w w:val="99"/>
                            <w:kern w:val="44"/>
                            <w:sz w:val="48"/>
                            <w:szCs w:val="48"/>
                          </w:rPr>
                        </w:pPr>
                        <w:proofErr w:type="spellStart"/>
                        <w:r>
                          <w:rPr>
                            <w:rFonts w:ascii="MS Reference Sans Serif" w:hAnsi="MS Reference Sans Serif" w:cs="Tunga"/>
                            <w:color w:val="FFFFFF"/>
                            <w:spacing w:val="10"/>
                            <w:w w:val="99"/>
                            <w:kern w:val="44"/>
                            <w:sz w:val="48"/>
                            <w:szCs w:val="48"/>
                          </w:rPr>
                          <w:t>TransGrid</w:t>
                        </w:r>
                        <w:proofErr w:type="spellEnd"/>
                        <w:r>
                          <w:rPr>
                            <w:rFonts w:ascii="MS Reference Sans Serif" w:hAnsi="MS Reference Sans Serif" w:cs="Tunga"/>
                            <w:color w:val="FFFFFF"/>
                            <w:spacing w:val="10"/>
                            <w:w w:val="99"/>
                            <w:kern w:val="44"/>
                            <w:sz w:val="48"/>
                            <w:szCs w:val="48"/>
                          </w:rPr>
                          <w:t xml:space="preserve"> and Transend 2014-15</w:t>
                        </w:r>
                      </w:p>
                      <w:p w:rsidR="00AB127D" w:rsidRDefault="00AB127D" w:rsidP="00DC00FD">
                        <w:pPr>
                          <w:ind w:left="567" w:right="681"/>
                          <w:jc w:val="right"/>
                          <w:rPr>
                            <w:rFonts w:ascii="MS Reference Sans Serif" w:hAnsi="MS Reference Sans Serif" w:cs="Tunga"/>
                            <w:b/>
                            <w:color w:val="FFFFFF"/>
                            <w:w w:val="95"/>
                            <w:kern w:val="44"/>
                          </w:rPr>
                        </w:pPr>
                      </w:p>
                      <w:p w:rsidR="00AB127D" w:rsidRPr="00E83166" w:rsidRDefault="00AB127D" w:rsidP="00DC00FD">
                        <w:pPr>
                          <w:ind w:left="567" w:right="681"/>
                          <w:jc w:val="right"/>
                          <w:rPr>
                            <w:rFonts w:ascii="MS Reference Sans Serif" w:hAnsi="MS Reference Sans Serif" w:cs="Tunga"/>
                            <w:color w:val="FFFFFF"/>
                          </w:rPr>
                        </w:pPr>
                      </w:p>
                      <w:p w:rsidR="00AB127D" w:rsidRPr="00390BEB" w:rsidRDefault="00AB127D" w:rsidP="00DC00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p>
    <w:p w:rsidR="00DC00FD" w:rsidRDefault="00DC00FD" w:rsidP="00DC00FD">
      <w:pPr>
        <w:pStyle w:val="AERfactsheetsubtitle"/>
      </w:pPr>
    </w:p>
    <w:p w:rsidR="00180078" w:rsidRPr="00180078" w:rsidRDefault="00180078" w:rsidP="00180078">
      <w:pPr>
        <w:pStyle w:val="AERfactsheetsubtitle"/>
        <w:ind w:right="-24"/>
        <w:rPr>
          <w:sz w:val="10"/>
        </w:rPr>
      </w:pPr>
      <w:r>
        <w:t xml:space="preserve">We have made transitional decisions for the principal transmission network operators in New South Wales and Tasmania. Our transitional decisions set out the </w:t>
      </w:r>
      <w:r w:rsidR="00E71646">
        <w:t xml:space="preserve">placeholder </w:t>
      </w:r>
      <w:r>
        <w:t xml:space="preserve">revenue allowances and application of the regulatory framework for TransGrid and Transend for the transitional regulatory control period from 1 July 2014 to 30 June 2015. </w:t>
      </w:r>
      <w:r w:rsidR="00E71646">
        <w:t>Ultimately, the</w:t>
      </w:r>
      <w:r w:rsidR="00F124A5">
        <w:t xml:space="preserve"> placeholder revenue allowance</w:t>
      </w:r>
      <w:r w:rsidR="00E71646">
        <w:t>s</w:t>
      </w:r>
      <w:r w:rsidR="00F124A5">
        <w:t xml:space="preserve"> </w:t>
      </w:r>
      <w:r w:rsidR="00E71646">
        <w:t>will be replaced by the revenue allowance</w:t>
      </w:r>
      <w:r w:rsidR="00E80FE6">
        <w:t>s</w:t>
      </w:r>
      <w:r w:rsidR="00E71646">
        <w:t xml:space="preserve"> we approve in </w:t>
      </w:r>
      <w:r w:rsidR="00F124A5">
        <w:t>our full d</w:t>
      </w:r>
      <w:r w:rsidR="007251C8">
        <w:t>eterminations to be published by</w:t>
      </w:r>
      <w:r w:rsidR="00F124A5">
        <w:t xml:space="preserve"> 30 April 2015.</w:t>
      </w:r>
    </w:p>
    <w:p w:rsidR="00DC00FD" w:rsidRPr="00180078" w:rsidRDefault="00DC00FD" w:rsidP="00802EA1">
      <w:pPr>
        <w:pStyle w:val="AERfactsheetsubtitle"/>
        <w:ind w:right="-24"/>
        <w:rPr>
          <w:sz w:val="10"/>
        </w:rPr>
      </w:pPr>
    </w:p>
    <w:p w:rsidR="00E528FC" w:rsidRPr="002F6565" w:rsidRDefault="00E528FC" w:rsidP="00DC00FD">
      <w:pPr>
        <w:pStyle w:val="AERfactsheetbodytext"/>
        <w:rPr>
          <w:sz w:val="16"/>
        </w:rPr>
      </w:pPr>
    </w:p>
    <w:p w:rsidR="00DC00FD" w:rsidRPr="00241B78" w:rsidRDefault="00DC00FD" w:rsidP="00DC00FD">
      <w:pPr>
        <w:pStyle w:val="AERfactsheetbodytext"/>
        <w:rPr>
          <w:sz w:val="22"/>
        </w:rPr>
        <w:sectPr w:rsidR="00DC00FD" w:rsidRPr="00241B78" w:rsidSect="00A622E0">
          <w:pgSz w:w="11906" w:h="16838"/>
          <w:pgMar w:top="720" w:right="720" w:bottom="720" w:left="720" w:header="708" w:footer="708" w:gutter="0"/>
          <w:cols w:space="284"/>
          <w:docGrid w:linePitch="360"/>
        </w:sectPr>
      </w:pPr>
    </w:p>
    <w:p w:rsidR="00CD3BCF" w:rsidRPr="00697FF1" w:rsidRDefault="00CD3BCF" w:rsidP="00CD3BCF">
      <w:pPr>
        <w:pStyle w:val="AERFactsheetHeading1"/>
      </w:pPr>
      <w:r>
        <w:lastRenderedPageBreak/>
        <w:t xml:space="preserve">Overview </w:t>
      </w:r>
    </w:p>
    <w:p w:rsidR="00AB127D" w:rsidRDefault="00CD3BCF" w:rsidP="00CD3BCF">
      <w:pPr>
        <w:pStyle w:val="AERfactsheetbodytext"/>
      </w:pPr>
      <w:r>
        <w:t>We are Australia’s national energy market regulator</w:t>
      </w:r>
      <w:r w:rsidRPr="00CD3BCF">
        <w:t xml:space="preserve"> </w:t>
      </w:r>
      <w:r>
        <w:t>res</w:t>
      </w:r>
      <w:r w:rsidRPr="00CD3BCF">
        <w:t xml:space="preserve">ponsible for </w:t>
      </w:r>
      <w:r w:rsidR="00AB127D">
        <w:t>the</w:t>
      </w:r>
      <w:r w:rsidRPr="00CD3BCF">
        <w:t xml:space="preserve"> economic regulation of all</w:t>
      </w:r>
      <w:r>
        <w:t xml:space="preserve"> </w:t>
      </w:r>
      <w:r w:rsidRPr="00CD3BCF">
        <w:t>electricity transmission networks in eastern and southern</w:t>
      </w:r>
      <w:r>
        <w:t xml:space="preserve"> </w:t>
      </w:r>
      <w:r w:rsidRPr="00CD3BCF">
        <w:t>Australia</w:t>
      </w:r>
      <w:r w:rsidR="00AB127D">
        <w:t>.</w:t>
      </w:r>
      <w:r w:rsidRPr="00CD3BCF">
        <w:t xml:space="preserve"> </w:t>
      </w:r>
    </w:p>
    <w:p w:rsidR="00CD3BCF" w:rsidRDefault="00ED5850" w:rsidP="00CD3BCF">
      <w:pPr>
        <w:pStyle w:val="AERfactsheetbodytext"/>
      </w:pPr>
      <w:r>
        <w:t>TransGrid</w:t>
      </w:r>
      <w:r w:rsidR="00CD3BCF" w:rsidRPr="00CD3BCF">
        <w:t xml:space="preserve"> </w:t>
      </w:r>
      <w:r>
        <w:t>and Transend are</w:t>
      </w:r>
      <w:r w:rsidR="00CD3BCF" w:rsidRPr="00CD3BCF">
        <w:t xml:space="preserve"> the principal transmission network service</w:t>
      </w:r>
      <w:r w:rsidR="00CD3BCF">
        <w:t xml:space="preserve"> </w:t>
      </w:r>
      <w:r w:rsidR="00CD3BCF" w:rsidRPr="00CD3BCF">
        <w:t>provider</w:t>
      </w:r>
      <w:r>
        <w:t>s</w:t>
      </w:r>
      <w:r w:rsidR="00CD3BCF" w:rsidRPr="00CD3BCF">
        <w:t xml:space="preserve"> (TNSP) </w:t>
      </w:r>
      <w:r w:rsidR="00AB127D">
        <w:t>in New South Wales</w:t>
      </w:r>
      <w:r>
        <w:t xml:space="preserve"> </w:t>
      </w:r>
      <w:r w:rsidR="00E83CC3">
        <w:t xml:space="preserve">(NSW) </w:t>
      </w:r>
      <w:r>
        <w:t>and Tasmania, respectively</w:t>
      </w:r>
      <w:r w:rsidR="00CD3BCF" w:rsidRPr="00CD3BCF">
        <w:t xml:space="preserve">. </w:t>
      </w:r>
      <w:r>
        <w:t>They own and operate</w:t>
      </w:r>
      <w:r w:rsidR="00CD3BCF" w:rsidRPr="00CD3BCF">
        <w:t xml:space="preserve"> the</w:t>
      </w:r>
      <w:r w:rsidR="00CD3BCF">
        <w:t xml:space="preserve"> </w:t>
      </w:r>
      <w:r w:rsidR="00CD3BCF" w:rsidRPr="00CD3BCF">
        <w:t>‘towers and lines’ that deliver electricity from generators</w:t>
      </w:r>
      <w:r w:rsidR="00CD3BCF">
        <w:t xml:space="preserve"> </w:t>
      </w:r>
      <w:r w:rsidR="00CD3BCF" w:rsidRPr="00CD3BCF">
        <w:t>to consumers in cities and towns. Under the National</w:t>
      </w:r>
      <w:r w:rsidR="00CD3BCF">
        <w:t xml:space="preserve"> </w:t>
      </w:r>
      <w:r w:rsidR="00CD3BCF" w:rsidRPr="00CD3BCF">
        <w:t>Electricity Law (NEL) and National Electricity Rules (NER),</w:t>
      </w:r>
      <w:r w:rsidR="00CD3BCF">
        <w:t xml:space="preserve"> </w:t>
      </w:r>
      <w:r w:rsidR="00E939E5">
        <w:t xml:space="preserve">we periodically assess the revenue requirements of </w:t>
      </w:r>
      <w:r>
        <w:t xml:space="preserve">the </w:t>
      </w:r>
      <w:proofErr w:type="gramStart"/>
      <w:r>
        <w:t xml:space="preserve">TNSPs </w:t>
      </w:r>
      <w:r w:rsidR="00CD3BCF" w:rsidRPr="00CD3BCF">
        <w:t>.</w:t>
      </w:r>
      <w:proofErr w:type="gramEnd"/>
    </w:p>
    <w:p w:rsidR="00AD73B7" w:rsidRDefault="00AD73B7" w:rsidP="00CD3BCF">
      <w:pPr>
        <w:pStyle w:val="AERfactsheetbodytext"/>
      </w:pPr>
      <w:r w:rsidRPr="00AD73B7">
        <w:rPr>
          <w:rFonts w:ascii="Calibri" w:hAnsi="Calibri" w:cs="Times New Roman"/>
          <w:noProof/>
          <w:spacing w:val="0"/>
          <w:sz w:val="20"/>
          <w:szCs w:val="20"/>
          <w:lang w:eastAsia="en-AU"/>
        </w:rPr>
        <mc:AlternateContent>
          <mc:Choice Requires="wps">
            <w:drawing>
              <wp:inline distT="0" distB="0" distL="0" distR="0" wp14:anchorId="38E84A81" wp14:editId="427EFF78">
                <wp:extent cx="3168650" cy="1304925"/>
                <wp:effectExtent l="0" t="0" r="12700" b="28575"/>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304925"/>
                        </a:xfrm>
                        <a:prstGeom prst="rect">
                          <a:avLst/>
                        </a:prstGeom>
                        <a:solidFill>
                          <a:srgbClr val="DBE5F1"/>
                        </a:solidFill>
                        <a:ln w="9525">
                          <a:solidFill>
                            <a:srgbClr val="006A99"/>
                          </a:solidFill>
                          <a:miter lim="800000"/>
                          <a:headEnd/>
                          <a:tailEnd/>
                        </a:ln>
                      </wps:spPr>
                      <wps:txbx>
                        <w:txbxContent>
                          <w:p w:rsidR="00AB127D" w:rsidRDefault="00AB127D" w:rsidP="00AD73B7">
                            <w:pPr>
                              <w:pStyle w:val="AERfactsheetbodytext"/>
                              <w:rPr>
                                <w:szCs w:val="18"/>
                              </w:rPr>
                            </w:pPr>
                            <w:r>
                              <w:rPr>
                                <w:szCs w:val="18"/>
                              </w:rPr>
                              <w:t>Our transitional decision provides that:</w:t>
                            </w:r>
                          </w:p>
                          <w:p w:rsidR="00AB127D" w:rsidRDefault="00AB127D" w:rsidP="00AD73B7">
                            <w:pPr>
                              <w:pStyle w:val="AERfactsheetbulletlist"/>
                            </w:pPr>
                            <w:r>
                              <w:t xml:space="preserve">TransGrid will be able to recover a revenue allowance of $845.4 million ($nominal) for 2014-15, </w:t>
                            </w:r>
                            <w:r w:rsidRPr="00ED5850">
                              <w:t>which</w:t>
                            </w:r>
                            <w:r>
                              <w:t xml:space="preserve"> </w:t>
                            </w:r>
                            <w:r w:rsidR="00E71646">
                              <w:t xml:space="preserve">is </w:t>
                            </w:r>
                            <w:r>
                              <w:t>9.1 per cent per cent lower than proposed.</w:t>
                            </w:r>
                          </w:p>
                          <w:p w:rsidR="00AB127D" w:rsidRPr="00D12691" w:rsidRDefault="00AB127D" w:rsidP="00AD73B7">
                            <w:pPr>
                              <w:pStyle w:val="AERfactsheetbulletlist"/>
                            </w:pPr>
                            <w:r>
                              <w:t>Transend will be able to recover a revenue all</w:t>
                            </w:r>
                            <w:r w:rsidR="007251C8">
                              <w:t>owance of $205.1 million ($ nominal) for 20</w:t>
                            </w:r>
                            <w:r>
                              <w:t>14-15, which is 4.8 per cent lower than proposed.</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3" o:spid="_x0000_s1030" type="#_x0000_t202" style="width:249.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" fillcolor="#dbe5f1" strokecolor="#006a99">
                <v:textbox>
                  <w:txbxContent>
                    <w:p w:rsidR="00AB127D" w:rsidRDefault="00AB127D" w:rsidP="00AD73B7">
                      <w:pPr>
                        <w:pStyle w:val="AERfactsheetbodytext"/>
                        <w:rPr>
                          <w:szCs w:val="18"/>
                        </w:rPr>
                      </w:pPr>
                      <w:r>
                        <w:rPr>
                          <w:szCs w:val="18"/>
                        </w:rPr>
                        <w:t>Our transitional decision provides that:</w:t>
                      </w:r>
                    </w:p>
                    <w:p w:rsidR="00AB127D" w:rsidRDefault="00AB127D" w:rsidP="00AD73B7">
                      <w:pPr>
                        <w:pStyle w:val="AERfactsheetbulletlist"/>
                      </w:pPr>
                      <w:r>
                        <w:t xml:space="preserve">TransGrid will be able to recover a revenue allowance of $845.4 million ($nominal) for 2014-15, </w:t>
                      </w:r>
                      <w:r w:rsidRPr="00ED5850">
                        <w:t>which</w:t>
                      </w:r>
                      <w:r>
                        <w:t xml:space="preserve"> </w:t>
                      </w:r>
                      <w:r w:rsidR="00E71646">
                        <w:t xml:space="preserve">is </w:t>
                      </w:r>
                      <w:r>
                        <w:t>9.1 per cent per cent lower than proposed.</w:t>
                      </w:r>
                    </w:p>
                    <w:p w:rsidR="00AB127D" w:rsidRPr="00D12691" w:rsidRDefault="00AB127D" w:rsidP="00AD73B7">
                      <w:pPr>
                        <w:pStyle w:val="AERfactsheetbulletlist"/>
                      </w:pPr>
                      <w:r>
                        <w:t>Transend will be able to recover a revenue all</w:t>
                      </w:r>
                      <w:r w:rsidR="007251C8">
                        <w:t>owance of $205.1 million ($ nominal) for 20</w:t>
                      </w:r>
                      <w:r>
                        <w:t>14-15, which is 4.8 per cent lower than proposed.</w:t>
                      </w:r>
                    </w:p>
                  </w:txbxContent>
                </v:textbox>
                <w10:anchorlock/>
              </v:shape>
            </w:pict>
          </mc:Fallback>
        </mc:AlternateContent>
      </w:r>
    </w:p>
    <w:p w:rsidR="00DC00FD" w:rsidRPr="00697FF1" w:rsidRDefault="00F124A5" w:rsidP="00DC00FD">
      <w:pPr>
        <w:pStyle w:val="AERFactsheetHeading1"/>
      </w:pPr>
      <w:r>
        <w:t xml:space="preserve">What are </w:t>
      </w:r>
      <w:r w:rsidR="00E939E5">
        <w:t>placeholder</w:t>
      </w:r>
      <w:r>
        <w:t xml:space="preserve"> revenue determinations</w:t>
      </w:r>
      <w:r w:rsidR="006A4619">
        <w:t xml:space="preserve">? </w:t>
      </w:r>
    </w:p>
    <w:p w:rsidR="008A2795" w:rsidRDefault="00AB127D" w:rsidP="00A622E0">
      <w:pPr>
        <w:pStyle w:val="AERfactsheetbodytext"/>
      </w:pPr>
      <w:r>
        <w:t xml:space="preserve">The revenue determination </w:t>
      </w:r>
      <w:r w:rsidR="008A2795">
        <w:t xml:space="preserve">process involves the </w:t>
      </w:r>
      <w:r>
        <w:t>TNSPs</w:t>
      </w:r>
      <w:r w:rsidR="002951EE">
        <w:t xml:space="preserve"> submitting revenue proposals</w:t>
      </w:r>
      <w:r w:rsidR="008A2795">
        <w:t xml:space="preserve">, which include the proposed costs of efficiently operating the network businesses over a forecast period (typically for a five year forecast period). The network businesses are also required to propose other matters such as their proposed approach to network pricing.  </w:t>
      </w:r>
    </w:p>
    <w:p w:rsidR="008A2795" w:rsidRPr="008A2795" w:rsidRDefault="008A2795" w:rsidP="008A2795">
      <w:pPr>
        <w:pStyle w:val="AERfactsheetbodytext"/>
      </w:pPr>
      <w:r w:rsidRPr="008A2795">
        <w:t>The revenue determination process for the NSW and Tasmanian transmission network businesses was due to be completed in 201</w:t>
      </w:r>
      <w:r w:rsidR="0073131B">
        <w:t>4</w:t>
      </w:r>
      <w:r w:rsidRPr="008A2795">
        <w:t xml:space="preserve"> for TransGrid and Transend. However, the process was delayed so consumers would receive the benefit of the new network rules that were finalised by the AEMC in 2012 and to enable the AER </w:t>
      </w:r>
      <w:r w:rsidR="00E71646">
        <w:t>to</w:t>
      </w:r>
      <w:r w:rsidR="00E71646" w:rsidRPr="008A2795">
        <w:t xml:space="preserve"> </w:t>
      </w:r>
      <w:r w:rsidRPr="008A2795">
        <w:t xml:space="preserve">focus on developing and applying the Better </w:t>
      </w:r>
      <w:r w:rsidR="0073131B">
        <w:t>R</w:t>
      </w:r>
      <w:r w:rsidRPr="008A2795">
        <w:t xml:space="preserve">egulation guidelines under the new </w:t>
      </w:r>
      <w:r w:rsidRPr="008A2795">
        <w:lastRenderedPageBreak/>
        <w:t>rules. Consequently, the regulatory control period has been separated into</w:t>
      </w:r>
    </w:p>
    <w:p w:rsidR="008A2795" w:rsidRPr="008A2795" w:rsidRDefault="00E939E5" w:rsidP="008A2795">
      <w:pPr>
        <w:pStyle w:val="AERfactsheetbulletlist"/>
      </w:pPr>
      <w:r>
        <w:t xml:space="preserve">the </w:t>
      </w:r>
      <w:r w:rsidR="008A2795" w:rsidRPr="008A2795">
        <w:t>transitional regulatory control period (1 July 2014 - 30</w:t>
      </w:r>
      <w:r w:rsidR="0073131B">
        <w:t> </w:t>
      </w:r>
      <w:r w:rsidR="008A2795" w:rsidRPr="008A2795">
        <w:t>June 2015); and</w:t>
      </w:r>
    </w:p>
    <w:p w:rsidR="008A2795" w:rsidRPr="008A2795" w:rsidRDefault="00E939E5" w:rsidP="008A2795">
      <w:pPr>
        <w:pStyle w:val="AERfactsheetbulletlist"/>
      </w:pPr>
      <w:proofErr w:type="gramStart"/>
      <w:r>
        <w:t>the</w:t>
      </w:r>
      <w:proofErr w:type="gramEnd"/>
      <w:r>
        <w:t xml:space="preserve"> </w:t>
      </w:r>
      <w:r w:rsidR="008A2795" w:rsidRPr="008A2795">
        <w:t>subsequent regulatory control period (1 July 2015 - 30</w:t>
      </w:r>
      <w:r w:rsidR="0073131B">
        <w:t> </w:t>
      </w:r>
      <w:r w:rsidR="008A2795" w:rsidRPr="008A2795">
        <w:t xml:space="preserve">June 2019). </w:t>
      </w:r>
    </w:p>
    <w:p w:rsidR="00ED5850" w:rsidRDefault="00E71646" w:rsidP="008A2795">
      <w:pPr>
        <w:pStyle w:val="AERfactsheetbodytext"/>
      </w:pPr>
      <w:r>
        <w:t>W</w:t>
      </w:r>
      <w:r w:rsidR="008A2795">
        <w:t>e are</w:t>
      </w:r>
      <w:r w:rsidR="008A2795" w:rsidRPr="008A2795">
        <w:t xml:space="preserve"> required to make </w:t>
      </w:r>
      <w:r w:rsidR="00E939E5">
        <w:t>placeholder</w:t>
      </w:r>
      <w:r w:rsidR="008A2795" w:rsidRPr="008A2795">
        <w:t xml:space="preserve"> determination</w:t>
      </w:r>
      <w:r w:rsidR="006D4F79">
        <w:t>s</w:t>
      </w:r>
      <w:r w:rsidR="008A2795" w:rsidRPr="008A2795">
        <w:t xml:space="preserve"> for </w:t>
      </w:r>
      <w:r>
        <w:t>the</w:t>
      </w:r>
      <w:r w:rsidRPr="008A2795">
        <w:t xml:space="preserve"> </w:t>
      </w:r>
      <w:r w:rsidR="008A2795" w:rsidRPr="008A2795">
        <w:t xml:space="preserve">one year transitional period (2014-15) for TransGrid and Transend. </w:t>
      </w:r>
      <w:r w:rsidR="006D4F79">
        <w:t xml:space="preserve">In this shortened process we are required to approve the expected revenue allowance and </w:t>
      </w:r>
      <w:r>
        <w:t xml:space="preserve">other </w:t>
      </w:r>
      <w:r w:rsidR="006D4F79">
        <w:t>matters</w:t>
      </w:r>
      <w:r w:rsidR="008A2795" w:rsidRPr="008A2795">
        <w:t xml:space="preserve"> (e.g. application of incentive schemes)</w:t>
      </w:r>
      <w:r w:rsidR="006D4F79">
        <w:t xml:space="preserve"> </w:t>
      </w:r>
      <w:r>
        <w:t xml:space="preserve">for </w:t>
      </w:r>
      <w:r w:rsidR="006D4F79">
        <w:t>the transitional year</w:t>
      </w:r>
      <w:r w:rsidR="008A2795" w:rsidRPr="008A2795">
        <w:t xml:space="preserve">. </w:t>
      </w:r>
      <w:r w:rsidR="00E939E5">
        <w:t>T</w:t>
      </w:r>
      <w:r w:rsidR="008A2795" w:rsidRPr="008A2795">
        <w:t>he placeholder allowance</w:t>
      </w:r>
      <w:r w:rsidR="00E939E5">
        <w:t xml:space="preserve"> for the transitional year</w:t>
      </w:r>
      <w:r w:rsidR="008A2795" w:rsidRPr="008A2795">
        <w:t xml:space="preserve"> will be replaced by the revenue allowance the AER approves in the full determination.</w:t>
      </w:r>
      <w:r w:rsidR="00AD73B7" w:rsidRPr="00ED5850">
        <w:rPr>
          <w:rFonts w:ascii="Calibri" w:hAnsi="Calibri" w:cs="Times New Roman"/>
          <w:noProof/>
          <w:spacing w:val="0"/>
          <w:sz w:val="20"/>
          <w:szCs w:val="20"/>
          <w:lang w:eastAsia="en-AU"/>
        </w:rPr>
        <w:t xml:space="preserve"> </w:t>
      </w:r>
    </w:p>
    <w:p w:rsidR="008A2795" w:rsidRPr="008A2795" w:rsidRDefault="008A2795" w:rsidP="008A2795">
      <w:pPr>
        <w:pStyle w:val="AERfactsheetbodytext"/>
      </w:pPr>
      <w:r w:rsidRPr="008A2795">
        <w:t xml:space="preserve">The AER will commence a full determination process in </w:t>
      </w:r>
      <w:r w:rsidR="0073131B">
        <w:t>June</w:t>
      </w:r>
      <w:r w:rsidR="0073131B" w:rsidRPr="008A2795">
        <w:t xml:space="preserve"> </w:t>
      </w:r>
      <w:r w:rsidRPr="008A2795">
        <w:t>2014 and make its full determination</w:t>
      </w:r>
      <w:r w:rsidR="006D4F79">
        <w:t>s</w:t>
      </w:r>
      <w:r w:rsidRPr="008A2795">
        <w:t xml:space="preserve"> </w:t>
      </w:r>
      <w:r w:rsidR="006D4F79">
        <w:t>by</w:t>
      </w:r>
      <w:r w:rsidRPr="008A2795">
        <w:t xml:space="preserve"> 30 April 2015. This will establish the revenue allowance</w:t>
      </w:r>
      <w:r w:rsidR="00E71646">
        <w:t>s</w:t>
      </w:r>
      <w:r w:rsidRPr="008A2795">
        <w:t xml:space="preserve"> </w:t>
      </w:r>
      <w:r w:rsidR="006D4F79">
        <w:t xml:space="preserve">for TransGrid and Transend </w:t>
      </w:r>
      <w:r w:rsidRPr="008A2795">
        <w:t>for the whole regulatory control period from 1 July 2014 to 30 June 2019. In the full determination</w:t>
      </w:r>
      <w:r w:rsidR="00E71646">
        <w:t>s</w:t>
      </w:r>
      <w:r w:rsidRPr="008A2795">
        <w:t xml:space="preserve">, the AER will take into account for the subsequent regulatory control period any difference between the </w:t>
      </w:r>
      <w:r w:rsidR="0073131B">
        <w:t>placeholder</w:t>
      </w:r>
      <w:r w:rsidR="00DB71E1">
        <w:t xml:space="preserve"> </w:t>
      </w:r>
      <w:r w:rsidRPr="008A2795">
        <w:t>revenue allowance for the transitional year and the revenue allowance for the transitional year that is established in the full determination process. The AER will carry out this work under the new NER which incorporates t</w:t>
      </w:r>
      <w:r w:rsidR="004B7F1B">
        <w:t>he Better Regulation guidelines</w:t>
      </w:r>
      <w:r w:rsidR="00E83CC3">
        <w:t>.</w:t>
      </w:r>
    </w:p>
    <w:p w:rsidR="008A2795" w:rsidRDefault="008A2795" w:rsidP="008A2795">
      <w:pPr>
        <w:pStyle w:val="AERfactsheetbodytext"/>
      </w:pPr>
      <w:r w:rsidRPr="008A2795">
        <w:t>We consider th</w:t>
      </w:r>
      <w:r w:rsidR="00E939E5">
        <w:t xml:space="preserve">at our </w:t>
      </w:r>
      <w:r w:rsidRPr="008A2795">
        <w:t xml:space="preserve">approach </w:t>
      </w:r>
      <w:r w:rsidR="00E939E5">
        <w:t xml:space="preserve">for the placeholder determination </w:t>
      </w:r>
      <w:r w:rsidRPr="008A2795">
        <w:t xml:space="preserve">should not, in any way, be taken as an indication of our assessment of the full proposals in which a true up of revenue for the transitional regulatory control period will be conducted. The approach and conclusions in </w:t>
      </w:r>
      <w:r w:rsidR="00E71646" w:rsidRPr="008A2795">
        <w:t>th</w:t>
      </w:r>
      <w:r w:rsidR="00E71646">
        <w:t>ese</w:t>
      </w:r>
      <w:r w:rsidR="00E71646" w:rsidRPr="008A2795">
        <w:t xml:space="preserve"> </w:t>
      </w:r>
      <w:r w:rsidRPr="008A2795">
        <w:t>determination</w:t>
      </w:r>
      <w:r w:rsidR="00E71646">
        <w:t>s</w:t>
      </w:r>
      <w:r w:rsidRPr="008A2795">
        <w:t xml:space="preserve"> are only for the purposes of making the required assessment we must make for this transitional regulatory control period under the transitional rules.</w:t>
      </w:r>
    </w:p>
    <w:p w:rsidR="00133C91" w:rsidRPr="00697FF1" w:rsidRDefault="00133C91" w:rsidP="00133C91">
      <w:pPr>
        <w:pStyle w:val="AERFactsheetHeading1"/>
      </w:pPr>
      <w:r>
        <w:lastRenderedPageBreak/>
        <w:t>Our approach to the transitional revenue determinations</w:t>
      </w:r>
    </w:p>
    <w:p w:rsidR="00133C91" w:rsidRDefault="00133C91" w:rsidP="00133C91">
      <w:pPr>
        <w:pStyle w:val="AERfactsheetbodytext"/>
      </w:pPr>
      <w:r w:rsidRPr="00133C91">
        <w:t>TransGrid and Transend were required to submit an indicative range of revenue requirements and other relevant information for the purposes of this transitional determination.</w:t>
      </w:r>
      <w:r w:rsidRPr="00133C91">
        <w:rPr>
          <w:rStyle w:val="AERsuperscript"/>
        </w:rPr>
        <w:t xml:space="preserve"> </w:t>
      </w:r>
      <w:r w:rsidRPr="00133C91">
        <w:t xml:space="preserve">We are required to make a high level assessment of the proposed revenue estimate, having regard to the fact that it is an estimate based on indicative </w:t>
      </w:r>
      <w:r w:rsidR="008915B2">
        <w:t xml:space="preserve">cost </w:t>
      </w:r>
      <w:r w:rsidRPr="00133C91">
        <w:t xml:space="preserve">inputs and that any adjustments will be made to the </w:t>
      </w:r>
      <w:r>
        <w:t>allowed revenue cap</w:t>
      </w:r>
      <w:r w:rsidRPr="00133C91">
        <w:t xml:space="preserve"> </w:t>
      </w:r>
      <w:r w:rsidR="00D23390">
        <w:t xml:space="preserve">for the transitional year </w:t>
      </w:r>
      <w:r w:rsidRPr="00133C91">
        <w:t xml:space="preserve">in </w:t>
      </w:r>
      <w:r w:rsidR="008915B2">
        <w:t>our full determination.</w:t>
      </w:r>
    </w:p>
    <w:p w:rsidR="008915B2" w:rsidRPr="008A2795" w:rsidRDefault="008915B2" w:rsidP="00133C91">
      <w:pPr>
        <w:pStyle w:val="AERfactsheetbodytext"/>
      </w:pPr>
      <w:r w:rsidRPr="008915B2">
        <w:rPr>
          <w:rFonts w:ascii="Calibri" w:hAnsi="Calibri" w:cs="Times New Roman"/>
          <w:noProof/>
          <w:spacing w:val="0"/>
          <w:sz w:val="20"/>
          <w:szCs w:val="20"/>
          <w:lang w:eastAsia="en-AU"/>
        </w:rPr>
        <mc:AlternateContent>
          <mc:Choice Requires="wps">
            <w:drawing>
              <wp:inline distT="0" distB="0" distL="0" distR="0" wp14:anchorId="27C14DF6" wp14:editId="3DD8AE69">
                <wp:extent cx="3168650" cy="838200"/>
                <wp:effectExtent l="0" t="0" r="1270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838200"/>
                        </a:xfrm>
                        <a:prstGeom prst="rect">
                          <a:avLst/>
                        </a:prstGeom>
                        <a:solidFill>
                          <a:srgbClr val="DBE5F1"/>
                        </a:solidFill>
                        <a:ln w="9525">
                          <a:solidFill>
                            <a:srgbClr val="006A99"/>
                          </a:solidFill>
                          <a:miter lim="800000"/>
                          <a:headEnd/>
                          <a:tailEnd/>
                        </a:ln>
                      </wps:spPr>
                      <wps:txbx>
                        <w:txbxContent>
                          <w:p w:rsidR="00AB127D" w:rsidRPr="00697FF1" w:rsidRDefault="00AB127D" w:rsidP="008915B2">
                            <w:pPr>
                              <w:pStyle w:val="AERfactsheetbodytext"/>
                            </w:pPr>
                            <w:r w:rsidRPr="00FA4EF1">
                              <w:rPr>
                                <w:szCs w:val="18"/>
                              </w:rPr>
                              <w:t xml:space="preserve">Our decision to approve or not approve the proposed revenue allowance for the transitional regulatory control period requires us to form a view about the expected movement of prices not just for the transitional year but from 2013 to 2014, 2014 to 2015 and so on until 2019. </w:t>
                            </w:r>
                          </w:p>
                        </w:txbxContent>
                      </wps:txbx>
                      <wps:bodyPr rot="0" vert="horz" wrap="square" lIns="91440" tIns="45720" rIns="91440" bIns="45720" anchor="t" anchorCtr="0" upright="1">
                        <a:noAutofit/>
                      </wps:bodyPr>
                    </wps:wsp>
                  </a:graphicData>
                </a:graphic>
              </wp:inline>
            </w:drawing>
          </mc:Choice>
          <mc:Fallback>
            <w:pict>
              <v:shape id="Text Box 10" o:spid="_x0000_s1031" type="#_x0000_t202" style="width:24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" fillcolor="#dbe5f1" strokecolor="#006a99">
                <v:textbox>
                  <w:txbxContent>
                    <w:p w:rsidR="00AB127D" w:rsidRPr="00697FF1" w:rsidRDefault="00AB127D" w:rsidP="008915B2">
                      <w:pPr>
                        <w:pStyle w:val="AERfactsheetbodytext"/>
                      </w:pPr>
                      <w:r w:rsidRPr="00FA4EF1">
                        <w:rPr>
                          <w:szCs w:val="18"/>
                        </w:rPr>
                        <w:t xml:space="preserve">Our decision to approve or not approve the proposed revenue allowance for the transitional regulatory control period requires us to form a view about the expected movement of prices not just for the transitional year but from 2013 to 2014, 2014 to 2015 and so on until 2019. </w:t>
                      </w:r>
                    </w:p>
                  </w:txbxContent>
                </v:textbox>
                <w10:anchorlock/>
              </v:shape>
            </w:pict>
          </mc:Fallback>
        </mc:AlternateContent>
      </w:r>
    </w:p>
    <w:p w:rsidR="008915B2" w:rsidRDefault="008915B2" w:rsidP="00D23390">
      <w:pPr>
        <w:pStyle w:val="AERfactsheetbodytext"/>
      </w:pPr>
      <w:r w:rsidRPr="00D23390">
        <w:t xml:space="preserve">Our transitional decisions have not accepted the revenue proposals submitted by TransGrid and Transend. While we have </w:t>
      </w:r>
      <w:r w:rsidR="0073131B">
        <w:t>adopted</w:t>
      </w:r>
      <w:r w:rsidRPr="00D23390">
        <w:t xml:space="preserve"> most of the cost inputs provided by the businesses in making our assessment, we have </w:t>
      </w:r>
      <w:r w:rsidR="002951EE">
        <w:t>not accepted the i</w:t>
      </w:r>
      <w:r w:rsidRPr="00D23390">
        <w:t>ndicative rate of return proposed by the businesses</w:t>
      </w:r>
      <w:r w:rsidR="00AD73B7">
        <w:t xml:space="preserve">. </w:t>
      </w:r>
      <w:r w:rsidR="00AB127D">
        <w:t xml:space="preserve">Specifically we have had significant regard to our rate of return guideline and market information and trends in making our decision. </w:t>
      </w:r>
      <w:r w:rsidRPr="00D23390">
        <w:t xml:space="preserve">Given the significance of the rate of return in calculating revenue, small changes in the rate of return can have significant implications for prices. </w:t>
      </w:r>
    </w:p>
    <w:p w:rsidR="00D12691" w:rsidRDefault="00D12691" w:rsidP="00D23390">
      <w:pPr>
        <w:pStyle w:val="AERfactsheetbodytext"/>
      </w:pPr>
      <w:r w:rsidRPr="00D12691">
        <w:rPr>
          <w:rFonts w:ascii="Calibri" w:hAnsi="Calibri" w:cs="Times New Roman"/>
          <w:noProof/>
          <w:spacing w:val="0"/>
          <w:sz w:val="20"/>
          <w:szCs w:val="20"/>
          <w:lang w:eastAsia="en-AU"/>
        </w:rPr>
        <mc:AlternateContent>
          <mc:Choice Requires="wps">
            <w:drawing>
              <wp:inline distT="0" distB="0" distL="0" distR="0" wp14:anchorId="3CA7B608" wp14:editId="08FF1A1D">
                <wp:extent cx="3168650" cy="1085850"/>
                <wp:effectExtent l="0" t="0" r="12700"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085850"/>
                        </a:xfrm>
                        <a:prstGeom prst="rect">
                          <a:avLst/>
                        </a:prstGeom>
                        <a:solidFill>
                          <a:srgbClr val="DBE5F1"/>
                        </a:solidFill>
                        <a:ln w="9525">
                          <a:solidFill>
                            <a:srgbClr val="006A99"/>
                          </a:solidFill>
                          <a:miter lim="800000"/>
                          <a:headEnd/>
                          <a:tailEnd/>
                        </a:ln>
                      </wps:spPr>
                      <wps:txbx>
                        <w:txbxContent>
                          <w:p w:rsidR="00AB127D" w:rsidRPr="00D12691" w:rsidRDefault="00AB127D" w:rsidP="00D12691">
                            <w:pPr>
                              <w:pStyle w:val="AERfactsheetbodytext"/>
                              <w:rPr>
                                <w:szCs w:val="18"/>
                              </w:rPr>
                            </w:pPr>
                            <w:r w:rsidRPr="00D12691">
                              <w:rPr>
                                <w:szCs w:val="18"/>
                              </w:rPr>
                              <w:t xml:space="preserve">The allowed rate of return is </w:t>
                            </w:r>
                            <w:r w:rsidR="00E939E5">
                              <w:rPr>
                                <w:szCs w:val="18"/>
                              </w:rPr>
                              <w:t>a</w:t>
                            </w:r>
                            <w:r w:rsidR="00E939E5" w:rsidRPr="00D12691">
                              <w:rPr>
                                <w:szCs w:val="18"/>
                              </w:rPr>
                              <w:t xml:space="preserve"> </w:t>
                            </w:r>
                            <w:r w:rsidRPr="00D12691">
                              <w:rPr>
                                <w:szCs w:val="18"/>
                              </w:rPr>
                              <w:t xml:space="preserve">forecast of the </w:t>
                            </w:r>
                            <w:r w:rsidR="00E939E5">
                              <w:rPr>
                                <w:szCs w:val="18"/>
                              </w:rPr>
                              <w:t xml:space="preserve">return that </w:t>
                            </w:r>
                            <w:r w:rsidRPr="00D12691">
                              <w:rPr>
                                <w:szCs w:val="18"/>
                              </w:rPr>
                              <w:t>a network business requires to attract investment in the network. We published our rate of return guideline in December 201</w:t>
                            </w:r>
                            <w:r w:rsidR="0073131B">
                              <w:rPr>
                                <w:szCs w:val="18"/>
                              </w:rPr>
                              <w:t>3</w:t>
                            </w:r>
                            <w:r w:rsidRPr="00D12691">
                              <w:rPr>
                                <w:szCs w:val="18"/>
                              </w:rPr>
                              <w:t>. Our rate of return guideline sets out how we determine the return that electricity and gas network businesses can earn on their investment</w:t>
                            </w:r>
                            <w:r>
                              <w:rPr>
                                <w:szCs w:val="18"/>
                              </w:rPr>
                              <w:t>.</w:t>
                            </w:r>
                          </w:p>
                        </w:txbxContent>
                      </wps:txbx>
                      <wps:bodyPr rot="0" vert="horz" wrap="square" lIns="91440" tIns="45720" rIns="91440" bIns="45720" anchor="t" anchorCtr="0" upright="1">
                        <a:noAutofit/>
                      </wps:bodyPr>
                    </wps:wsp>
                  </a:graphicData>
                </a:graphic>
              </wp:inline>
            </w:drawing>
          </mc:Choice>
          <mc:Fallback>
            <w:pict>
              <v:shape id="Text Box 14" o:spid="_x0000_s1032" type="#_x0000_t202" style="width:249.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" fillcolor="#dbe5f1" strokecolor="#006a99">
                <v:textbox>
                  <w:txbxContent>
                    <w:p w:rsidR="00AB127D" w:rsidRPr="00D12691" w:rsidRDefault="00AB127D" w:rsidP="00D12691">
                      <w:pPr>
                        <w:pStyle w:val="AERfactsheetbodytext"/>
                        <w:rPr>
                          <w:szCs w:val="18"/>
                        </w:rPr>
                      </w:pPr>
                      <w:r w:rsidRPr="00D12691">
                        <w:rPr>
                          <w:szCs w:val="18"/>
                        </w:rPr>
                        <w:t xml:space="preserve">The allowed rate of return is </w:t>
                      </w:r>
                      <w:r w:rsidR="00E939E5">
                        <w:rPr>
                          <w:szCs w:val="18"/>
                        </w:rPr>
                        <w:t>a</w:t>
                      </w:r>
                      <w:r w:rsidR="00E939E5" w:rsidRPr="00D12691">
                        <w:rPr>
                          <w:szCs w:val="18"/>
                        </w:rPr>
                        <w:t xml:space="preserve"> </w:t>
                      </w:r>
                      <w:r w:rsidRPr="00D12691">
                        <w:rPr>
                          <w:szCs w:val="18"/>
                        </w:rPr>
                        <w:t xml:space="preserve">forecast of the </w:t>
                      </w:r>
                      <w:r w:rsidR="00E939E5">
                        <w:rPr>
                          <w:szCs w:val="18"/>
                        </w:rPr>
                        <w:t xml:space="preserve">return that </w:t>
                      </w:r>
                      <w:r w:rsidRPr="00D12691">
                        <w:rPr>
                          <w:szCs w:val="18"/>
                        </w:rPr>
                        <w:t>a network business requires to attract investment in the network. We published our rate of return guideline in December 201</w:t>
                      </w:r>
                      <w:r w:rsidR="0073131B">
                        <w:rPr>
                          <w:szCs w:val="18"/>
                        </w:rPr>
                        <w:t>3</w:t>
                      </w:r>
                      <w:r w:rsidRPr="00D12691">
                        <w:rPr>
                          <w:szCs w:val="18"/>
                        </w:rPr>
                        <w:t>. Our rate of return guideline sets out how we determine the return that electricity and gas network businesses can earn on their investment</w:t>
                      </w:r>
                      <w:r>
                        <w:rPr>
                          <w:szCs w:val="18"/>
                        </w:rPr>
                        <w:t>.</w:t>
                      </w:r>
                    </w:p>
                  </w:txbxContent>
                </v:textbox>
                <w10:anchorlock/>
              </v:shape>
            </w:pict>
          </mc:Fallback>
        </mc:AlternateContent>
      </w:r>
    </w:p>
    <w:p w:rsidR="008A2795" w:rsidRPr="00697FF1" w:rsidRDefault="008A2795" w:rsidP="008A2795">
      <w:pPr>
        <w:pStyle w:val="AERFactsheetHeading1"/>
      </w:pPr>
      <w:r>
        <w:t xml:space="preserve">Indicative impact on average </w:t>
      </w:r>
      <w:r w:rsidR="000E62BF">
        <w:t xml:space="preserve">annual </w:t>
      </w:r>
      <w:r>
        <w:t xml:space="preserve">electricity </w:t>
      </w:r>
      <w:r w:rsidR="000E62BF">
        <w:t xml:space="preserve">charges </w:t>
      </w:r>
    </w:p>
    <w:p w:rsidR="008A2795" w:rsidRPr="008A2795" w:rsidRDefault="008A2795" w:rsidP="008A2795">
      <w:pPr>
        <w:pStyle w:val="AERfactsheetbodytext"/>
      </w:pPr>
      <w:r w:rsidRPr="008A2795">
        <w:t xml:space="preserve">The </w:t>
      </w:r>
      <w:r w:rsidR="00E83CC3">
        <w:t>NER</w:t>
      </w:r>
      <w:r>
        <w:t xml:space="preserve"> do</w:t>
      </w:r>
      <w:r w:rsidRPr="008A2795">
        <w:t xml:space="preserve"> not require </w:t>
      </w:r>
      <w:r w:rsidR="009A3535">
        <w:t>us</w:t>
      </w:r>
      <w:r w:rsidR="00E83CC3">
        <w:t xml:space="preserve"> to establish the transmission </w:t>
      </w:r>
      <w:r w:rsidRPr="008A2795">
        <w:t xml:space="preserve">price changes for a revenue determination of a </w:t>
      </w:r>
      <w:r w:rsidR="00E83CC3">
        <w:t>TNSP</w:t>
      </w:r>
      <w:r w:rsidRPr="008A2795">
        <w:t xml:space="preserve">. Although we assess the TNSPs’ proposed pricing methodologies, actual transmission charges established at particular connection points are not determined by us. The TNSPs establish the transmission charges in accordance with their approved pricing methodologies and the </w:t>
      </w:r>
      <w:r w:rsidR="00E83CC3">
        <w:t>NER</w:t>
      </w:r>
      <w:r w:rsidRPr="008A2795">
        <w:t>.</w:t>
      </w:r>
    </w:p>
    <w:p w:rsidR="008A2795" w:rsidRPr="008A2795" w:rsidRDefault="008A2795" w:rsidP="008A2795">
      <w:pPr>
        <w:pStyle w:val="AERfactsheetbodytext"/>
      </w:pPr>
      <w:r w:rsidRPr="008A2795">
        <w:t>However, we can estimate some indicative average transmission price impacts flowing from our decision</w:t>
      </w:r>
      <w:r w:rsidR="00E71646">
        <w:t>s</w:t>
      </w:r>
      <w:r w:rsidRPr="008A2795">
        <w:t xml:space="preserve"> for the transitional </w:t>
      </w:r>
      <w:r w:rsidR="0073131B">
        <w:t>year.</w:t>
      </w:r>
      <w:r w:rsidRPr="008A2795">
        <w:t xml:space="preserve"> </w:t>
      </w:r>
      <w:r w:rsidR="0073131B">
        <w:t>We have</w:t>
      </w:r>
      <w:r w:rsidRPr="008A2795">
        <w:t xml:space="preserve"> appl</w:t>
      </w:r>
      <w:r w:rsidR="0073131B">
        <w:t>ied</w:t>
      </w:r>
      <w:r w:rsidRPr="008A2795">
        <w:t xml:space="preserve"> this analysis to typical annual electricity </w:t>
      </w:r>
      <w:r w:rsidR="0047051D">
        <w:t>charges</w:t>
      </w:r>
      <w:r w:rsidR="0047051D" w:rsidRPr="008A2795">
        <w:t xml:space="preserve"> </w:t>
      </w:r>
      <w:r w:rsidRPr="008A2795">
        <w:t>of residential and business customers in NSW and Tasmania</w:t>
      </w:r>
      <w:r w:rsidR="00E83CC3">
        <w:t>,</w:t>
      </w:r>
      <w:r w:rsidRPr="008A2795">
        <w:t xml:space="preserve"> respectively. In NSW, transmission charges represent approximately </w:t>
      </w:r>
      <w:r w:rsidR="0073131B">
        <w:t>7</w:t>
      </w:r>
      <w:r w:rsidRPr="008A2795">
        <w:t> per cent on average of a typical customer's electricity bill. In Tasmania, the proportion is higher at about 14 per cent.</w:t>
      </w:r>
      <w:r w:rsidRPr="009A3535">
        <w:rPr>
          <w:rStyle w:val="AERsuperscript"/>
        </w:rPr>
        <w:t xml:space="preserve"> </w:t>
      </w:r>
    </w:p>
    <w:p w:rsidR="008A2795" w:rsidRPr="008A2795" w:rsidRDefault="008A2795" w:rsidP="008A2795">
      <w:pPr>
        <w:pStyle w:val="AERfactsheetbodytext"/>
      </w:pPr>
      <w:r w:rsidRPr="008A2795">
        <w:t>We expect that our decision</w:t>
      </w:r>
      <w:r w:rsidR="00E80FE6">
        <w:t>s</w:t>
      </w:r>
      <w:r w:rsidR="000E62BF">
        <w:t>, other things being equal,</w:t>
      </w:r>
      <w:r w:rsidRPr="008A2795">
        <w:t xml:space="preserve"> will reduce the average residential customer electricity </w:t>
      </w:r>
      <w:r w:rsidR="000E62BF">
        <w:t xml:space="preserve">charges </w:t>
      </w:r>
      <w:r w:rsidRPr="008A2795">
        <w:t xml:space="preserve">in NSW and Tasmania. This is because we estimate that </w:t>
      </w:r>
      <w:r w:rsidR="00E80FE6" w:rsidRPr="008A2795">
        <w:t>th</w:t>
      </w:r>
      <w:r w:rsidR="00E80FE6">
        <w:t>ese</w:t>
      </w:r>
      <w:r w:rsidR="00E80FE6" w:rsidRPr="008A2795">
        <w:t xml:space="preserve"> </w:t>
      </w:r>
      <w:r w:rsidRPr="008A2795">
        <w:t>decision</w:t>
      </w:r>
      <w:r w:rsidR="00E80FE6">
        <w:t>s</w:t>
      </w:r>
      <w:r w:rsidRPr="008A2795">
        <w:t xml:space="preserve"> will result in lower transmission charges in 2014</w:t>
      </w:r>
      <w:r w:rsidR="0073131B">
        <w:t>-</w:t>
      </w:r>
      <w:r w:rsidRPr="008A2795">
        <w:t xml:space="preserve">15 compared to </w:t>
      </w:r>
      <w:r w:rsidR="00F1267B">
        <w:t>the TNSPs’</w:t>
      </w:r>
      <w:r w:rsidRPr="008A2795">
        <w:t xml:space="preserve"> proposals. If these lower transmission charges were passed through to end customers, the average residential electricity </w:t>
      </w:r>
      <w:r w:rsidR="000E62BF">
        <w:t>charges</w:t>
      </w:r>
      <w:r w:rsidR="000E62BF" w:rsidRPr="008A2795">
        <w:t xml:space="preserve"> </w:t>
      </w:r>
      <w:r w:rsidRPr="008A2795">
        <w:t>in NSW and Tasmania for 2014</w:t>
      </w:r>
      <w:r w:rsidR="0073131B">
        <w:t>-</w:t>
      </w:r>
      <w:r w:rsidRPr="008A2795">
        <w:t xml:space="preserve">15 could be expected to reduce by </w:t>
      </w:r>
      <w:r w:rsidR="009A3535">
        <w:t>around $4 and $20</w:t>
      </w:r>
      <w:r w:rsidRPr="008A2795">
        <w:t xml:space="preserve">, respectively. In comparison, if the </w:t>
      </w:r>
      <w:r w:rsidR="009A3535">
        <w:t xml:space="preserve">businesses </w:t>
      </w:r>
      <w:r w:rsidRPr="008A2795">
        <w:t xml:space="preserve">proposals were accepted by us, the average </w:t>
      </w:r>
      <w:r w:rsidR="000E62BF">
        <w:lastRenderedPageBreak/>
        <w:t>charge</w:t>
      </w:r>
      <w:r w:rsidR="000E62BF" w:rsidRPr="008A2795">
        <w:t xml:space="preserve"> </w:t>
      </w:r>
      <w:r w:rsidRPr="008A2795">
        <w:t>in NSW for 2014</w:t>
      </w:r>
      <w:r w:rsidR="0073131B">
        <w:t>-</w:t>
      </w:r>
      <w:r w:rsidRPr="008A2795">
        <w:t xml:space="preserve">15 would increase by approximately $12 and the average </w:t>
      </w:r>
      <w:r w:rsidR="000E62BF">
        <w:t>charge</w:t>
      </w:r>
      <w:r w:rsidR="000E62BF" w:rsidRPr="008A2795">
        <w:t xml:space="preserve"> </w:t>
      </w:r>
      <w:r w:rsidRPr="008A2795">
        <w:t>in Tasmania for 2014</w:t>
      </w:r>
      <w:r w:rsidR="0073131B">
        <w:t>-</w:t>
      </w:r>
      <w:r w:rsidRPr="008A2795">
        <w:t>15 would decrease</w:t>
      </w:r>
      <w:r w:rsidR="009A3535">
        <w:t xml:space="preserve"> by approximately $5</w:t>
      </w:r>
      <w:r w:rsidRPr="008A2795">
        <w:t xml:space="preserve">. </w:t>
      </w:r>
    </w:p>
    <w:p w:rsidR="00D12691" w:rsidRDefault="00E83CC3" w:rsidP="008A2795">
      <w:pPr>
        <w:pStyle w:val="AERfactsheetbodytext"/>
      </w:pPr>
      <w:r>
        <w:t>Table 1</w:t>
      </w:r>
      <w:r w:rsidR="008A2795" w:rsidRPr="008A2795">
        <w:t xml:space="preserve"> shows the estimated impact of our decision for the transitional regulatory control period and the TNSPs’ proposals on the average residential customer</w:t>
      </w:r>
      <w:r w:rsidR="00A74EDA">
        <w:t>’s</w:t>
      </w:r>
      <w:r w:rsidR="008A2795" w:rsidRPr="008A2795">
        <w:t xml:space="preserve"> electricity </w:t>
      </w:r>
      <w:r w:rsidR="000E62BF">
        <w:t>charges</w:t>
      </w:r>
      <w:r w:rsidR="000E62BF" w:rsidRPr="008A2795">
        <w:t xml:space="preserve"> </w:t>
      </w:r>
      <w:r w:rsidR="008A2795" w:rsidRPr="008A2795">
        <w:t>in NSW and Tasmania.</w:t>
      </w:r>
    </w:p>
    <w:p w:rsidR="00994728" w:rsidRPr="00994728" w:rsidRDefault="00994728" w:rsidP="00994728">
      <w:pPr>
        <w:pStyle w:val="Caption"/>
      </w:pPr>
      <w:bookmarkStart w:id="1" w:name="_Ref373506788"/>
      <w:r w:rsidRPr="00994728">
        <w:rPr>
          <w:rStyle w:val="AERtexthighlight"/>
          <w:shd w:val="clear" w:color="auto" w:fill="auto"/>
        </w:rPr>
        <w:t xml:space="preserve">Table </w:t>
      </w:r>
      <w:bookmarkEnd w:id="1"/>
      <w:r w:rsidR="00E83CC3">
        <w:rPr>
          <w:rStyle w:val="AERtexthighlight"/>
          <w:shd w:val="clear" w:color="auto" w:fill="auto"/>
        </w:rPr>
        <w:t>1</w:t>
      </w:r>
      <w:r w:rsidRPr="00994728">
        <w:tab/>
      </w:r>
      <w:r w:rsidRPr="00554926">
        <w:rPr>
          <w:sz w:val="18"/>
        </w:rPr>
        <w:t xml:space="preserve">AER’s estimated impact of transitional decision on the average residential customer electricity </w:t>
      </w:r>
      <w:r w:rsidR="000E62BF">
        <w:rPr>
          <w:sz w:val="18"/>
        </w:rPr>
        <w:t>charges</w:t>
      </w:r>
      <w:r w:rsidR="000E62BF" w:rsidRPr="00554926">
        <w:rPr>
          <w:sz w:val="18"/>
        </w:rPr>
        <w:t xml:space="preserve"> </w:t>
      </w:r>
      <w:r w:rsidRPr="00554926">
        <w:rPr>
          <w:sz w:val="18"/>
        </w:rPr>
        <w:t>in NSW and Tasmania for 2014–15</w:t>
      </w:r>
    </w:p>
    <w:tbl>
      <w:tblPr>
        <w:tblStyle w:val="AERtable-numbers"/>
        <w:tblW w:w="5143" w:type="dxa"/>
        <w:tblLook w:val="04A0" w:firstRow="1" w:lastRow="0" w:firstColumn="1" w:lastColumn="0" w:noHBand="0" w:noVBand="1"/>
      </w:tblPr>
      <w:tblGrid>
        <w:gridCol w:w="1384"/>
        <w:gridCol w:w="992"/>
        <w:gridCol w:w="1418"/>
        <w:gridCol w:w="1349"/>
      </w:tblGrid>
      <w:tr w:rsidR="009A3535" w:rsidRPr="0094292F" w:rsidTr="009E323C">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384" w:type="dxa"/>
          </w:tcPr>
          <w:p w:rsidR="009A3535" w:rsidRPr="0094292F" w:rsidRDefault="009A3535" w:rsidP="009A3535">
            <w:pPr>
              <w:pStyle w:val="AERtabletextleft"/>
              <w:rPr>
                <w:sz w:val="14"/>
                <w:szCs w:val="14"/>
              </w:rPr>
            </w:pPr>
            <w:r w:rsidRPr="0094292F">
              <w:rPr>
                <w:sz w:val="14"/>
                <w:szCs w:val="14"/>
              </w:rPr>
              <w:t>Annual bill</w:t>
            </w:r>
            <w:r w:rsidR="00994728">
              <w:rPr>
                <w:sz w:val="14"/>
                <w:szCs w:val="14"/>
              </w:rPr>
              <w:t xml:space="preserve"> ($nominal)</w:t>
            </w:r>
          </w:p>
        </w:tc>
        <w:tc>
          <w:tcPr>
            <w:tcW w:w="992" w:type="dxa"/>
          </w:tcPr>
          <w:p w:rsidR="009A3535" w:rsidRPr="0094292F" w:rsidRDefault="009A3535" w:rsidP="009A3535">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Average annual</w:t>
            </w:r>
            <w:r w:rsidR="000E62BF">
              <w:rPr>
                <w:sz w:val="14"/>
                <w:szCs w:val="14"/>
              </w:rPr>
              <w:t xml:space="preserve"> charge</w:t>
            </w:r>
            <w:r w:rsidRPr="0094292F">
              <w:rPr>
                <w:sz w:val="14"/>
                <w:szCs w:val="14"/>
              </w:rPr>
              <w:t xml:space="preserve"> </w:t>
            </w:r>
          </w:p>
        </w:tc>
        <w:tc>
          <w:tcPr>
            <w:tcW w:w="1418" w:type="dxa"/>
          </w:tcPr>
          <w:p w:rsidR="009A3535" w:rsidRPr="0094292F" w:rsidRDefault="009A3535" w:rsidP="009A3535">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Impact on annual </w:t>
            </w:r>
            <w:r w:rsidR="000E62BF">
              <w:rPr>
                <w:sz w:val="14"/>
                <w:szCs w:val="14"/>
              </w:rPr>
              <w:t>ch</w:t>
            </w:r>
            <w:r w:rsidR="00FA353F">
              <w:rPr>
                <w:sz w:val="14"/>
                <w:szCs w:val="14"/>
              </w:rPr>
              <w:t>a</w:t>
            </w:r>
            <w:r w:rsidR="000E62BF">
              <w:rPr>
                <w:sz w:val="14"/>
                <w:szCs w:val="14"/>
              </w:rPr>
              <w:t>rge</w:t>
            </w:r>
            <w:r w:rsidRPr="0094292F">
              <w:rPr>
                <w:sz w:val="14"/>
                <w:szCs w:val="14"/>
              </w:rPr>
              <w:t>—TNSP</w:t>
            </w:r>
          </w:p>
        </w:tc>
        <w:tc>
          <w:tcPr>
            <w:tcW w:w="1349" w:type="dxa"/>
          </w:tcPr>
          <w:p w:rsidR="009A3535" w:rsidRPr="0094292F" w:rsidRDefault="009A3535" w:rsidP="009A3535">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Impact on annual </w:t>
            </w:r>
            <w:r w:rsidR="000E62BF">
              <w:rPr>
                <w:sz w:val="14"/>
                <w:szCs w:val="14"/>
              </w:rPr>
              <w:t>ch</w:t>
            </w:r>
            <w:r w:rsidR="00FA353F">
              <w:rPr>
                <w:sz w:val="14"/>
                <w:szCs w:val="14"/>
              </w:rPr>
              <w:t>a</w:t>
            </w:r>
            <w:r w:rsidR="000E62BF">
              <w:rPr>
                <w:sz w:val="14"/>
                <w:szCs w:val="14"/>
              </w:rPr>
              <w:t>rge</w:t>
            </w:r>
            <w:r w:rsidRPr="0094292F">
              <w:rPr>
                <w:sz w:val="14"/>
                <w:szCs w:val="14"/>
              </w:rPr>
              <w:t>—AER</w:t>
            </w:r>
          </w:p>
        </w:tc>
      </w:tr>
      <w:tr w:rsidR="009A3535" w:rsidRPr="0094292F" w:rsidTr="009E323C">
        <w:trPr>
          <w:trHeight w:val="554"/>
        </w:trPr>
        <w:tc>
          <w:tcPr>
            <w:cnfStyle w:val="001000000000" w:firstRow="0" w:lastRow="0" w:firstColumn="1" w:lastColumn="0" w:oddVBand="0" w:evenVBand="0" w:oddHBand="0" w:evenHBand="0" w:firstRowFirstColumn="0" w:firstRowLastColumn="0" w:lastRowFirstColumn="0" w:lastRowLastColumn="0"/>
            <w:tcW w:w="1384" w:type="dxa"/>
          </w:tcPr>
          <w:p w:rsidR="009A3535" w:rsidRPr="0094292F" w:rsidRDefault="009A3535" w:rsidP="009A3535">
            <w:pPr>
              <w:pStyle w:val="AERtabletextleft"/>
              <w:rPr>
                <w:sz w:val="14"/>
                <w:szCs w:val="14"/>
              </w:rPr>
            </w:pPr>
            <w:r w:rsidRPr="0094292F">
              <w:rPr>
                <w:sz w:val="14"/>
                <w:szCs w:val="14"/>
              </w:rPr>
              <w:t xml:space="preserve">Weighted average residential annual </w:t>
            </w:r>
            <w:r w:rsidR="000E62BF">
              <w:rPr>
                <w:sz w:val="14"/>
                <w:szCs w:val="14"/>
              </w:rPr>
              <w:t>charge</w:t>
            </w:r>
            <w:r w:rsidRPr="0094292F">
              <w:rPr>
                <w:sz w:val="14"/>
                <w:szCs w:val="14"/>
              </w:rPr>
              <w:t xml:space="preserve"> for NSW</w:t>
            </w:r>
          </w:p>
        </w:tc>
        <w:tc>
          <w:tcPr>
            <w:tcW w:w="992" w:type="dxa"/>
          </w:tcPr>
          <w:p w:rsidR="009A3535" w:rsidRPr="00994728" w:rsidRDefault="009A3535" w:rsidP="009A3535">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$2227</w:t>
            </w:r>
          </w:p>
        </w:tc>
        <w:tc>
          <w:tcPr>
            <w:tcW w:w="1418" w:type="dxa"/>
          </w:tcPr>
          <w:p w:rsidR="009A3535" w:rsidRPr="00994728" w:rsidRDefault="009A3535" w:rsidP="009A3535">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$12 (</w:t>
            </w:r>
            <w:r w:rsidRPr="009E323C">
              <w:rPr>
                <w:sz w:val="14"/>
                <w:szCs w:val="14"/>
              </w:rPr>
              <w:t>or</w:t>
            </w:r>
            <w:r w:rsidRPr="00994728">
              <w:rPr>
                <w:szCs w:val="16"/>
              </w:rPr>
              <w:t xml:space="preserve"> 0.5%)</w:t>
            </w:r>
          </w:p>
        </w:tc>
        <w:tc>
          <w:tcPr>
            <w:tcW w:w="1349" w:type="dxa"/>
          </w:tcPr>
          <w:p w:rsidR="009A3535" w:rsidRPr="00994728" w:rsidRDefault="009A3535" w:rsidP="009E323C">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–$4 (</w:t>
            </w:r>
            <w:r w:rsidRPr="009E323C">
              <w:rPr>
                <w:sz w:val="14"/>
                <w:szCs w:val="14"/>
              </w:rPr>
              <w:t>or</w:t>
            </w:r>
            <w:r w:rsidRPr="00994728">
              <w:rPr>
                <w:szCs w:val="16"/>
              </w:rPr>
              <w:t xml:space="preserve"> –0.2%)</w:t>
            </w:r>
          </w:p>
        </w:tc>
      </w:tr>
      <w:tr w:rsidR="009A3535" w:rsidRPr="0094292F" w:rsidTr="009E323C">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384" w:type="dxa"/>
          </w:tcPr>
          <w:p w:rsidR="009A3535" w:rsidRPr="0094292F" w:rsidRDefault="009A3535" w:rsidP="009A3535">
            <w:pPr>
              <w:pStyle w:val="AERtabletextleft"/>
              <w:rPr>
                <w:sz w:val="14"/>
                <w:szCs w:val="14"/>
              </w:rPr>
            </w:pPr>
            <w:r w:rsidRPr="0094292F">
              <w:rPr>
                <w:sz w:val="14"/>
                <w:szCs w:val="14"/>
              </w:rPr>
              <w:t xml:space="preserve">Weighted average residential annual </w:t>
            </w:r>
            <w:r w:rsidR="000E62BF">
              <w:rPr>
                <w:sz w:val="14"/>
                <w:szCs w:val="14"/>
              </w:rPr>
              <w:t>charge</w:t>
            </w:r>
            <w:r w:rsidRPr="0094292F">
              <w:rPr>
                <w:sz w:val="14"/>
                <w:szCs w:val="14"/>
              </w:rPr>
              <w:t xml:space="preserve"> for Tasmania</w:t>
            </w:r>
          </w:p>
        </w:tc>
        <w:tc>
          <w:tcPr>
            <w:tcW w:w="992" w:type="dxa"/>
          </w:tcPr>
          <w:p w:rsidR="009A3535" w:rsidRPr="00994728" w:rsidRDefault="009A3535" w:rsidP="009A3535">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$2256</w:t>
            </w:r>
          </w:p>
        </w:tc>
        <w:tc>
          <w:tcPr>
            <w:tcW w:w="1418" w:type="dxa"/>
          </w:tcPr>
          <w:p w:rsidR="009A3535" w:rsidRPr="00994728" w:rsidRDefault="009A3535" w:rsidP="009E323C">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–$5 (</w:t>
            </w:r>
            <w:r w:rsidRPr="009E323C">
              <w:rPr>
                <w:sz w:val="14"/>
                <w:szCs w:val="14"/>
              </w:rPr>
              <w:t>or</w:t>
            </w:r>
            <w:r w:rsidRPr="00994728">
              <w:rPr>
                <w:szCs w:val="16"/>
              </w:rPr>
              <w:t xml:space="preserve"> –0.2%)</w:t>
            </w:r>
          </w:p>
        </w:tc>
        <w:tc>
          <w:tcPr>
            <w:tcW w:w="1349" w:type="dxa"/>
          </w:tcPr>
          <w:p w:rsidR="009A3535" w:rsidRPr="00994728" w:rsidRDefault="009A3535" w:rsidP="009E323C">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–$20</w:t>
            </w:r>
            <w:r w:rsidR="009E323C">
              <w:rPr>
                <w:szCs w:val="16"/>
              </w:rPr>
              <w:t xml:space="preserve"> </w:t>
            </w:r>
            <w:r w:rsidRPr="00994728">
              <w:rPr>
                <w:szCs w:val="16"/>
              </w:rPr>
              <w:t>(</w:t>
            </w:r>
            <w:r w:rsidRPr="009E323C">
              <w:rPr>
                <w:sz w:val="14"/>
                <w:szCs w:val="14"/>
              </w:rPr>
              <w:t>or</w:t>
            </w:r>
            <w:r w:rsidRPr="00994728">
              <w:rPr>
                <w:szCs w:val="16"/>
              </w:rPr>
              <w:t xml:space="preserve"> –0.9%)</w:t>
            </w:r>
          </w:p>
        </w:tc>
      </w:tr>
    </w:tbl>
    <w:p w:rsidR="009A3535" w:rsidRPr="00BD381A" w:rsidRDefault="009E323C" w:rsidP="00994728">
      <w:pPr>
        <w:pStyle w:val="AERfactsheetbodytext"/>
        <w:rPr>
          <w:sz w:val="14"/>
          <w:szCs w:val="14"/>
        </w:rPr>
      </w:pPr>
      <w:r w:rsidRPr="00BD381A">
        <w:rPr>
          <w:sz w:val="14"/>
          <w:szCs w:val="14"/>
        </w:rPr>
        <w:t>Source:</w:t>
      </w:r>
      <w:r>
        <w:rPr>
          <w:sz w:val="14"/>
          <w:szCs w:val="14"/>
        </w:rPr>
        <w:t xml:space="preserve"> AER, IPART, OTTER. </w:t>
      </w:r>
      <w:proofErr w:type="gramStart"/>
      <w:r>
        <w:rPr>
          <w:sz w:val="14"/>
          <w:szCs w:val="14"/>
        </w:rPr>
        <w:t>Based on typical annual usage of 6500 kWh in NSW and 8800 kWh in Tasmania.</w:t>
      </w:r>
      <w:proofErr w:type="gramEnd"/>
    </w:p>
    <w:p w:rsidR="00994728" w:rsidRPr="00994728" w:rsidRDefault="0073131B" w:rsidP="00994728">
      <w:pPr>
        <w:pStyle w:val="AERfactsheetbodytext"/>
      </w:pPr>
      <w:r>
        <w:t>Similarly</w:t>
      </w:r>
      <w:r w:rsidR="00994728" w:rsidRPr="00994728">
        <w:t xml:space="preserve">, the average small business customer </w:t>
      </w:r>
      <w:r w:rsidR="000E62BF">
        <w:t>charges</w:t>
      </w:r>
      <w:r w:rsidR="000E62BF" w:rsidRPr="00994728">
        <w:t xml:space="preserve"> </w:t>
      </w:r>
      <w:r w:rsidR="00994728" w:rsidRPr="00994728">
        <w:t>in NSW and Tasmania for 2014</w:t>
      </w:r>
      <w:r>
        <w:t>-</w:t>
      </w:r>
      <w:r w:rsidR="00994728" w:rsidRPr="00994728">
        <w:t>15 could be expected to reduce</w:t>
      </w:r>
      <w:r w:rsidR="00E83CC3">
        <w:t xml:space="preserve"> by about $6 and $34</w:t>
      </w:r>
      <w:r w:rsidR="00994728" w:rsidRPr="00994728">
        <w:t xml:space="preserve">, respectively. In comparison, if the TNSPs’ proposals were accepted by us, the average </w:t>
      </w:r>
      <w:r w:rsidR="000E62BF">
        <w:t>charge</w:t>
      </w:r>
      <w:r w:rsidR="000E62BF" w:rsidRPr="00994728">
        <w:t xml:space="preserve"> </w:t>
      </w:r>
      <w:r w:rsidR="00994728" w:rsidRPr="00994728">
        <w:t>in NSW for 2014</w:t>
      </w:r>
      <w:r>
        <w:t>-</w:t>
      </w:r>
      <w:r w:rsidR="00994728" w:rsidRPr="00994728">
        <w:t xml:space="preserve">15 would increase </w:t>
      </w:r>
      <w:r w:rsidR="00E83CC3">
        <w:t>by approximately $19</w:t>
      </w:r>
      <w:r w:rsidR="00994728" w:rsidRPr="00994728">
        <w:t xml:space="preserve"> and the average </w:t>
      </w:r>
      <w:r w:rsidR="000E62BF">
        <w:t>charge</w:t>
      </w:r>
      <w:r w:rsidR="000E62BF" w:rsidRPr="00994728">
        <w:t xml:space="preserve"> </w:t>
      </w:r>
      <w:r w:rsidR="00994728" w:rsidRPr="00994728">
        <w:t>in Tasmania for 2014</w:t>
      </w:r>
      <w:r>
        <w:t>-</w:t>
      </w:r>
      <w:r w:rsidR="00994728" w:rsidRPr="00994728">
        <w:t xml:space="preserve">15 </w:t>
      </w:r>
      <w:r w:rsidR="00554926">
        <w:t xml:space="preserve">would decrease by approximately </w:t>
      </w:r>
      <w:r w:rsidR="00E83CC3">
        <w:t>$9</w:t>
      </w:r>
      <w:r w:rsidR="00994728" w:rsidRPr="00994728">
        <w:t>.</w:t>
      </w:r>
    </w:p>
    <w:p w:rsidR="00FB0FB2" w:rsidRDefault="00E83CC3" w:rsidP="00994728">
      <w:pPr>
        <w:pStyle w:val="AERfactsheetbodytext"/>
      </w:pPr>
      <w:r>
        <w:t>Table 2</w:t>
      </w:r>
      <w:r w:rsidR="00994728">
        <w:t xml:space="preserve"> </w:t>
      </w:r>
      <w:r w:rsidR="00994728" w:rsidRPr="00994728">
        <w:t>shows our estimated impact of our decision for the transitional regulatory control period and the TNSPs’ proposals on the average business customer</w:t>
      </w:r>
      <w:r w:rsidR="00A74EDA">
        <w:t>’s</w:t>
      </w:r>
      <w:r w:rsidR="00994728" w:rsidRPr="00994728">
        <w:t xml:space="preserve"> electricity </w:t>
      </w:r>
      <w:r w:rsidR="000E62BF">
        <w:t xml:space="preserve">charges </w:t>
      </w:r>
      <w:r w:rsidR="00994728" w:rsidRPr="00994728">
        <w:t>in NSW and Tasmania.</w:t>
      </w:r>
    </w:p>
    <w:p w:rsidR="009A3535" w:rsidRDefault="00994728" w:rsidP="00FB0FB2">
      <w:pPr>
        <w:pStyle w:val="Caption"/>
        <w:rPr>
          <w:sz w:val="18"/>
        </w:rPr>
      </w:pPr>
      <w:r>
        <w:t xml:space="preserve"> </w:t>
      </w:r>
      <w:r w:rsidR="00E83CC3">
        <w:rPr>
          <w:rStyle w:val="AERtexthighlight"/>
          <w:shd w:val="clear" w:color="auto" w:fill="auto"/>
        </w:rPr>
        <w:t>Table 2</w:t>
      </w:r>
      <w:r w:rsidR="00FB0FB2" w:rsidRPr="00994728">
        <w:tab/>
      </w:r>
      <w:r w:rsidR="00FB0FB2" w:rsidRPr="00554926">
        <w:rPr>
          <w:sz w:val="18"/>
        </w:rPr>
        <w:t xml:space="preserve">AER’s estimated impact of transitional decision on the average </w:t>
      </w:r>
      <w:r w:rsidR="00554926" w:rsidRPr="00554926">
        <w:rPr>
          <w:sz w:val="18"/>
        </w:rPr>
        <w:t>small business</w:t>
      </w:r>
      <w:r w:rsidR="00FB0FB2" w:rsidRPr="00554926">
        <w:rPr>
          <w:sz w:val="18"/>
        </w:rPr>
        <w:t xml:space="preserve"> customer electricity </w:t>
      </w:r>
      <w:r w:rsidR="000E62BF">
        <w:rPr>
          <w:sz w:val="18"/>
        </w:rPr>
        <w:t>charges</w:t>
      </w:r>
      <w:r w:rsidR="000E62BF" w:rsidRPr="00554926">
        <w:rPr>
          <w:sz w:val="18"/>
        </w:rPr>
        <w:t xml:space="preserve"> </w:t>
      </w:r>
      <w:r w:rsidR="00FB0FB2" w:rsidRPr="00554926">
        <w:rPr>
          <w:sz w:val="18"/>
        </w:rPr>
        <w:t>in NSW and Tasmania for 2014–15</w:t>
      </w:r>
    </w:p>
    <w:tbl>
      <w:tblPr>
        <w:tblStyle w:val="AERtable-numbers"/>
        <w:tblW w:w="5143" w:type="dxa"/>
        <w:tblLook w:val="04A0" w:firstRow="1" w:lastRow="0" w:firstColumn="1" w:lastColumn="0" w:noHBand="0" w:noVBand="1"/>
      </w:tblPr>
      <w:tblGrid>
        <w:gridCol w:w="1384"/>
        <w:gridCol w:w="992"/>
        <w:gridCol w:w="1418"/>
        <w:gridCol w:w="1349"/>
      </w:tblGrid>
      <w:tr w:rsidR="00FF684B" w:rsidRPr="0094292F" w:rsidTr="004A1BB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384" w:type="dxa"/>
          </w:tcPr>
          <w:p w:rsidR="00FF684B" w:rsidRPr="0094292F" w:rsidRDefault="00FF684B" w:rsidP="004A1BB2">
            <w:pPr>
              <w:pStyle w:val="AERtabletextleft"/>
              <w:rPr>
                <w:sz w:val="14"/>
                <w:szCs w:val="14"/>
              </w:rPr>
            </w:pPr>
            <w:r w:rsidRPr="0094292F">
              <w:rPr>
                <w:sz w:val="14"/>
                <w:szCs w:val="14"/>
              </w:rPr>
              <w:t>Annual bill</w:t>
            </w:r>
            <w:r>
              <w:rPr>
                <w:sz w:val="14"/>
                <w:szCs w:val="14"/>
              </w:rPr>
              <w:t xml:space="preserve"> ($nominal)</w:t>
            </w:r>
          </w:p>
        </w:tc>
        <w:tc>
          <w:tcPr>
            <w:tcW w:w="992" w:type="dxa"/>
          </w:tcPr>
          <w:p w:rsidR="00FF684B" w:rsidRPr="0094292F" w:rsidRDefault="00FF684B" w:rsidP="004A1BB2">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Average annual </w:t>
            </w:r>
            <w:r w:rsidR="000E62BF">
              <w:rPr>
                <w:sz w:val="14"/>
                <w:szCs w:val="14"/>
              </w:rPr>
              <w:t>charge</w:t>
            </w:r>
            <w:r w:rsidRPr="0094292F">
              <w:rPr>
                <w:sz w:val="14"/>
                <w:szCs w:val="14"/>
              </w:rPr>
              <w:t xml:space="preserve"> </w:t>
            </w:r>
          </w:p>
        </w:tc>
        <w:tc>
          <w:tcPr>
            <w:tcW w:w="1418" w:type="dxa"/>
          </w:tcPr>
          <w:p w:rsidR="00FF684B" w:rsidRPr="0094292F" w:rsidRDefault="00FF684B" w:rsidP="004A1BB2">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Impact on annual </w:t>
            </w:r>
            <w:r w:rsidR="000E62BF">
              <w:rPr>
                <w:sz w:val="14"/>
                <w:szCs w:val="14"/>
              </w:rPr>
              <w:t>charge</w:t>
            </w:r>
            <w:r w:rsidRPr="0094292F">
              <w:rPr>
                <w:sz w:val="14"/>
                <w:szCs w:val="14"/>
              </w:rPr>
              <w:t>—TNSP</w:t>
            </w:r>
          </w:p>
        </w:tc>
        <w:tc>
          <w:tcPr>
            <w:tcW w:w="1349" w:type="dxa"/>
          </w:tcPr>
          <w:p w:rsidR="00FF684B" w:rsidRPr="0094292F" w:rsidRDefault="00FF684B" w:rsidP="004A1BB2">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Impact on annual </w:t>
            </w:r>
            <w:r w:rsidR="000E62BF">
              <w:rPr>
                <w:sz w:val="14"/>
                <w:szCs w:val="14"/>
              </w:rPr>
              <w:t>charge</w:t>
            </w:r>
            <w:r w:rsidRPr="0094292F">
              <w:rPr>
                <w:sz w:val="14"/>
                <w:szCs w:val="14"/>
              </w:rPr>
              <w:t>—AER</w:t>
            </w:r>
          </w:p>
        </w:tc>
      </w:tr>
      <w:tr w:rsidR="00FF684B" w:rsidRPr="0094292F" w:rsidTr="004A1BB2">
        <w:trPr>
          <w:trHeight w:val="554"/>
        </w:trPr>
        <w:tc>
          <w:tcPr>
            <w:cnfStyle w:val="001000000000" w:firstRow="0" w:lastRow="0" w:firstColumn="1" w:lastColumn="0" w:oddVBand="0" w:evenVBand="0" w:oddHBand="0" w:evenHBand="0" w:firstRowFirstColumn="0" w:firstRowLastColumn="0" w:lastRowFirstColumn="0" w:lastRowLastColumn="0"/>
            <w:tcW w:w="1384" w:type="dxa"/>
          </w:tcPr>
          <w:p w:rsidR="00FF684B" w:rsidRPr="0094292F" w:rsidRDefault="00FF684B" w:rsidP="00FF684B">
            <w:pPr>
              <w:pStyle w:val="AERtabletextleft"/>
              <w:rPr>
                <w:sz w:val="14"/>
                <w:szCs w:val="14"/>
              </w:rPr>
            </w:pPr>
            <w:r w:rsidRPr="0094292F">
              <w:rPr>
                <w:sz w:val="14"/>
                <w:szCs w:val="14"/>
              </w:rPr>
              <w:t xml:space="preserve">Weighted average </w:t>
            </w:r>
            <w:r>
              <w:rPr>
                <w:sz w:val="14"/>
                <w:szCs w:val="14"/>
              </w:rPr>
              <w:t>business</w:t>
            </w:r>
            <w:r w:rsidRPr="0094292F">
              <w:rPr>
                <w:sz w:val="14"/>
                <w:szCs w:val="14"/>
              </w:rPr>
              <w:t xml:space="preserve"> annual </w:t>
            </w:r>
            <w:r w:rsidR="000E62BF">
              <w:rPr>
                <w:sz w:val="14"/>
                <w:szCs w:val="14"/>
              </w:rPr>
              <w:t>charge</w:t>
            </w:r>
            <w:r w:rsidRPr="0094292F">
              <w:rPr>
                <w:sz w:val="14"/>
                <w:szCs w:val="14"/>
              </w:rPr>
              <w:t xml:space="preserve"> for NSW</w:t>
            </w:r>
          </w:p>
        </w:tc>
        <w:tc>
          <w:tcPr>
            <w:tcW w:w="992" w:type="dxa"/>
          </w:tcPr>
          <w:p w:rsidR="00FF684B" w:rsidRPr="00994728" w:rsidRDefault="00FF684B" w:rsidP="004A1BB2">
            <w:pPr>
              <w:pStyle w:val="AERtabletextright"/>
              <w:cnfStyle w:val="000000000000" w:firstRow="0" w:lastRow="0" w:firstColumn="0" w:lastColumn="0" w:oddVBand="0" w:evenVBand="0" w:oddHBand="0" w:evenHBand="0" w:firstRowFirstColumn="0" w:firstRowLastColumn="0" w:lastRowFirstColumn="0" w:lastRowLastColumn="0"/>
              <w:rPr>
                <w:szCs w:val="16"/>
              </w:rPr>
            </w:pPr>
            <w:r>
              <w:rPr>
                <w:szCs w:val="16"/>
              </w:rPr>
              <w:t>$3584</w:t>
            </w:r>
          </w:p>
        </w:tc>
        <w:tc>
          <w:tcPr>
            <w:tcW w:w="1418" w:type="dxa"/>
          </w:tcPr>
          <w:p w:rsidR="00FF684B" w:rsidRPr="00994728" w:rsidRDefault="00FF684B" w:rsidP="00FF684B">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$1</w:t>
            </w:r>
            <w:r>
              <w:rPr>
                <w:szCs w:val="16"/>
              </w:rPr>
              <w:t>9</w:t>
            </w:r>
            <w:r w:rsidRPr="00994728">
              <w:rPr>
                <w:szCs w:val="16"/>
              </w:rPr>
              <w:t xml:space="preserve"> (</w:t>
            </w:r>
            <w:r w:rsidRPr="009E323C">
              <w:rPr>
                <w:sz w:val="14"/>
                <w:szCs w:val="14"/>
              </w:rPr>
              <w:t>or</w:t>
            </w:r>
            <w:r w:rsidRPr="00994728">
              <w:rPr>
                <w:szCs w:val="16"/>
              </w:rPr>
              <w:t xml:space="preserve"> 0.5%)</w:t>
            </w:r>
          </w:p>
        </w:tc>
        <w:tc>
          <w:tcPr>
            <w:tcW w:w="1349" w:type="dxa"/>
          </w:tcPr>
          <w:p w:rsidR="00FF684B" w:rsidRPr="00994728" w:rsidRDefault="00FF684B" w:rsidP="00DB71E1">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w:t>
            </w:r>
            <w:r>
              <w:rPr>
                <w:szCs w:val="16"/>
              </w:rPr>
              <w:t>6</w:t>
            </w:r>
            <w:r w:rsidRPr="00994728">
              <w:rPr>
                <w:szCs w:val="16"/>
              </w:rPr>
              <w:t xml:space="preserve"> (</w:t>
            </w:r>
            <w:r w:rsidRPr="009E323C">
              <w:rPr>
                <w:sz w:val="14"/>
                <w:szCs w:val="14"/>
              </w:rPr>
              <w:t>or</w:t>
            </w:r>
            <w:r w:rsidRPr="00994728">
              <w:rPr>
                <w:szCs w:val="16"/>
              </w:rPr>
              <w:t xml:space="preserve"> –0.2%)</w:t>
            </w:r>
          </w:p>
        </w:tc>
      </w:tr>
      <w:tr w:rsidR="00FF684B" w:rsidRPr="0094292F" w:rsidTr="004A1BB2">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384" w:type="dxa"/>
          </w:tcPr>
          <w:p w:rsidR="00FF684B" w:rsidRPr="0094292F" w:rsidRDefault="00FF684B" w:rsidP="00FF684B">
            <w:pPr>
              <w:pStyle w:val="AERtabletextleft"/>
              <w:rPr>
                <w:sz w:val="14"/>
                <w:szCs w:val="14"/>
              </w:rPr>
            </w:pPr>
            <w:r w:rsidRPr="0094292F">
              <w:rPr>
                <w:sz w:val="14"/>
                <w:szCs w:val="14"/>
              </w:rPr>
              <w:t xml:space="preserve">Weighted average </w:t>
            </w:r>
            <w:r>
              <w:rPr>
                <w:sz w:val="14"/>
                <w:szCs w:val="14"/>
              </w:rPr>
              <w:t>business</w:t>
            </w:r>
            <w:r w:rsidRPr="0094292F">
              <w:rPr>
                <w:sz w:val="14"/>
                <w:szCs w:val="14"/>
              </w:rPr>
              <w:t xml:space="preserve"> annual </w:t>
            </w:r>
            <w:r w:rsidR="000E62BF">
              <w:rPr>
                <w:sz w:val="14"/>
                <w:szCs w:val="14"/>
              </w:rPr>
              <w:t>charge</w:t>
            </w:r>
            <w:r w:rsidRPr="0094292F">
              <w:rPr>
                <w:sz w:val="14"/>
                <w:szCs w:val="14"/>
              </w:rPr>
              <w:t xml:space="preserve"> for Tasmania</w:t>
            </w:r>
          </w:p>
        </w:tc>
        <w:tc>
          <w:tcPr>
            <w:tcW w:w="992" w:type="dxa"/>
          </w:tcPr>
          <w:p w:rsidR="00FF684B" w:rsidRPr="00994728" w:rsidRDefault="00FF684B" w:rsidP="00FF684B">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w:t>
            </w:r>
            <w:r>
              <w:rPr>
                <w:szCs w:val="16"/>
              </w:rPr>
              <w:t>3782</w:t>
            </w:r>
          </w:p>
        </w:tc>
        <w:tc>
          <w:tcPr>
            <w:tcW w:w="1418" w:type="dxa"/>
          </w:tcPr>
          <w:p w:rsidR="00FF684B" w:rsidRPr="00994728" w:rsidRDefault="00FF684B" w:rsidP="00DB71E1">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w:t>
            </w:r>
            <w:r>
              <w:rPr>
                <w:szCs w:val="16"/>
              </w:rPr>
              <w:t>9</w:t>
            </w:r>
            <w:r w:rsidRPr="00994728">
              <w:rPr>
                <w:szCs w:val="16"/>
              </w:rPr>
              <w:t xml:space="preserve"> (</w:t>
            </w:r>
            <w:r w:rsidRPr="009E323C">
              <w:rPr>
                <w:sz w:val="14"/>
                <w:szCs w:val="14"/>
              </w:rPr>
              <w:t>or</w:t>
            </w:r>
            <w:r w:rsidRPr="00994728">
              <w:rPr>
                <w:szCs w:val="16"/>
              </w:rPr>
              <w:t xml:space="preserve"> –0.2%)</w:t>
            </w:r>
          </w:p>
        </w:tc>
        <w:tc>
          <w:tcPr>
            <w:tcW w:w="1349" w:type="dxa"/>
          </w:tcPr>
          <w:p w:rsidR="00FF684B" w:rsidRPr="00994728" w:rsidRDefault="00FF684B">
            <w:pPr>
              <w:pStyle w:val="AERtabletextright"/>
              <w:cnfStyle w:val="000000010000" w:firstRow="0" w:lastRow="0" w:firstColumn="0" w:lastColumn="0" w:oddVBand="0" w:evenVBand="0" w:oddHBand="0" w:evenHBand="1" w:firstRowFirstColumn="0" w:firstRowLastColumn="0" w:lastRowFirstColumn="0" w:lastRowLastColumn="0"/>
              <w:rPr>
                <w:szCs w:val="16"/>
                <w:lang w:eastAsia="en-US"/>
              </w:rPr>
            </w:pPr>
            <w:r w:rsidRPr="00994728">
              <w:rPr>
                <w:szCs w:val="16"/>
              </w:rPr>
              <w:t>–$</w:t>
            </w:r>
            <w:r>
              <w:rPr>
                <w:szCs w:val="16"/>
              </w:rPr>
              <w:t xml:space="preserve">34 </w:t>
            </w:r>
            <w:r w:rsidRPr="00994728">
              <w:rPr>
                <w:szCs w:val="16"/>
              </w:rPr>
              <w:t>(</w:t>
            </w:r>
            <w:r w:rsidRPr="009E323C">
              <w:rPr>
                <w:sz w:val="14"/>
                <w:szCs w:val="14"/>
              </w:rPr>
              <w:t>or</w:t>
            </w:r>
            <w:r w:rsidRPr="00994728">
              <w:rPr>
                <w:szCs w:val="16"/>
              </w:rPr>
              <w:t xml:space="preserve"> –0.9%)</w:t>
            </w:r>
          </w:p>
        </w:tc>
      </w:tr>
    </w:tbl>
    <w:p w:rsidR="009E323C" w:rsidRDefault="009E323C" w:rsidP="00BD381A">
      <w:pPr>
        <w:pStyle w:val="AERfactsheetbodytext"/>
      </w:pPr>
      <w:r w:rsidRPr="004A1BB2">
        <w:rPr>
          <w:sz w:val="14"/>
          <w:szCs w:val="14"/>
        </w:rPr>
        <w:t>Source:</w:t>
      </w:r>
      <w:r>
        <w:rPr>
          <w:sz w:val="14"/>
          <w:szCs w:val="14"/>
        </w:rPr>
        <w:t xml:space="preserve"> AER, IPART, OTTER. </w:t>
      </w:r>
      <w:proofErr w:type="gramStart"/>
      <w:r>
        <w:rPr>
          <w:sz w:val="14"/>
          <w:szCs w:val="14"/>
        </w:rPr>
        <w:t>Based on</w:t>
      </w:r>
      <w:r w:rsidR="00FF684B">
        <w:rPr>
          <w:sz w:val="14"/>
          <w:szCs w:val="14"/>
        </w:rPr>
        <w:t xml:space="preserve"> </w:t>
      </w:r>
      <w:r>
        <w:rPr>
          <w:sz w:val="14"/>
          <w:szCs w:val="14"/>
        </w:rPr>
        <w:t xml:space="preserve">typical annual usage of 10 </w:t>
      </w:r>
      <w:proofErr w:type="spellStart"/>
      <w:r>
        <w:rPr>
          <w:sz w:val="14"/>
          <w:szCs w:val="14"/>
        </w:rPr>
        <w:t>MWh</w:t>
      </w:r>
      <w:proofErr w:type="spellEnd"/>
      <w:r>
        <w:rPr>
          <w:sz w:val="14"/>
          <w:szCs w:val="14"/>
        </w:rPr>
        <w:t xml:space="preserve"> in NSW and 11 </w:t>
      </w:r>
      <w:proofErr w:type="spellStart"/>
      <w:r>
        <w:rPr>
          <w:sz w:val="14"/>
          <w:szCs w:val="14"/>
        </w:rPr>
        <w:t>MWh</w:t>
      </w:r>
      <w:proofErr w:type="spellEnd"/>
      <w:r>
        <w:rPr>
          <w:sz w:val="14"/>
          <w:szCs w:val="14"/>
        </w:rPr>
        <w:t xml:space="preserve"> in Tasmania.</w:t>
      </w:r>
      <w:proofErr w:type="gramEnd"/>
    </w:p>
    <w:p w:rsidR="00FA353F" w:rsidRPr="00FA353F" w:rsidRDefault="00FA353F" w:rsidP="00802EA1">
      <w:pPr>
        <w:pStyle w:val="AERFactsheetHeading1"/>
        <w:rPr>
          <w:rFonts w:ascii="MS Reference Sans Serif" w:eastAsia="Calibri" w:hAnsi="MS Reference Sans Serif" w:cs="Shruti"/>
          <w:b w:val="0"/>
          <w:iCs w:val="0"/>
          <w:color w:val="auto"/>
          <w:spacing w:val="-10"/>
          <w:kern w:val="0"/>
          <w:sz w:val="18"/>
          <w:szCs w:val="22"/>
        </w:rPr>
      </w:pPr>
      <w:r w:rsidRPr="00FA353F">
        <w:rPr>
          <w:rFonts w:ascii="MS Reference Sans Serif" w:eastAsia="Calibri" w:hAnsi="MS Reference Sans Serif" w:cs="Shruti"/>
          <w:b w:val="0"/>
          <w:iCs w:val="0"/>
          <w:color w:val="auto"/>
          <w:spacing w:val="-10"/>
          <w:kern w:val="0"/>
          <w:sz w:val="18"/>
          <w:szCs w:val="22"/>
        </w:rPr>
        <w:t xml:space="preserve">The TNSPs </w:t>
      </w:r>
      <w:r>
        <w:rPr>
          <w:rFonts w:ascii="MS Reference Sans Serif" w:eastAsia="Calibri" w:hAnsi="MS Reference Sans Serif" w:cs="Shruti"/>
          <w:b w:val="0"/>
          <w:iCs w:val="0"/>
          <w:color w:val="auto"/>
          <w:spacing w:val="-10"/>
          <w:kern w:val="0"/>
          <w:sz w:val="18"/>
          <w:szCs w:val="22"/>
        </w:rPr>
        <w:t xml:space="preserve">may seek to recoup some shortfalls in revenue that are below the approved revenue allowance from the current period in future prices.  Any decision by the TNSPs to recover some of this revenue in 2014-15 would affect prices for customers independently of our </w:t>
      </w:r>
      <w:r w:rsidR="00F52348">
        <w:rPr>
          <w:rFonts w:ascii="MS Reference Sans Serif" w:eastAsia="Calibri" w:hAnsi="MS Reference Sans Serif" w:cs="Shruti"/>
          <w:b w:val="0"/>
          <w:iCs w:val="0"/>
          <w:color w:val="auto"/>
          <w:spacing w:val="-10"/>
          <w:kern w:val="0"/>
          <w:sz w:val="18"/>
          <w:szCs w:val="22"/>
        </w:rPr>
        <w:t>decision</w:t>
      </w:r>
      <w:r>
        <w:rPr>
          <w:rFonts w:ascii="MS Reference Sans Serif" w:eastAsia="Calibri" w:hAnsi="MS Reference Sans Serif" w:cs="Shruti"/>
          <w:b w:val="0"/>
          <w:iCs w:val="0"/>
          <w:color w:val="auto"/>
          <w:spacing w:val="-10"/>
          <w:kern w:val="0"/>
          <w:sz w:val="18"/>
          <w:szCs w:val="22"/>
        </w:rPr>
        <w:t xml:space="preserve">.  </w:t>
      </w:r>
    </w:p>
    <w:p w:rsidR="00802EA1" w:rsidRPr="00697FF1" w:rsidRDefault="00802EA1" w:rsidP="00802EA1">
      <w:pPr>
        <w:pStyle w:val="AERFactsheetHeading1"/>
      </w:pPr>
      <w:r>
        <w:t>M</w:t>
      </w:r>
      <w:r w:rsidRPr="00697FF1">
        <w:t>ore information</w:t>
      </w:r>
    </w:p>
    <w:p w:rsidR="00AB127D" w:rsidRDefault="008915B2">
      <w:pPr>
        <w:pStyle w:val="AERfactsheetbodytext"/>
      </w:pPr>
      <w:r>
        <w:t xml:space="preserve">The transitional decisions are </w:t>
      </w:r>
      <w:r w:rsidR="00802EA1" w:rsidRPr="006A4619">
        <w:t xml:space="preserve">available on our website at </w:t>
      </w:r>
      <w:hyperlink r:id="rId10" w:history="1">
        <w:r w:rsidR="00AB127D" w:rsidRPr="006D5AFF">
          <w:rPr>
            <w:rStyle w:val="Hyperlink"/>
          </w:rPr>
          <w:t>http://www.aer.gov.au/node/23137http://www.aer.gov.au/node/23140</w:t>
        </w:r>
      </w:hyperlink>
      <w:r w:rsidR="00E83CC3">
        <w:t xml:space="preserve">. </w:t>
      </w:r>
    </w:p>
    <w:sectPr w:rsidR="00AB127D" w:rsidSect="00802EA1">
      <w:type w:val="continuous"/>
      <w:pgSz w:w="11906" w:h="16838"/>
      <w:pgMar w:top="709" w:right="707" w:bottom="851" w:left="709" w:header="709" w:footer="709" w:gutter="0"/>
      <w:cols w:num="2"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7D" w:rsidRDefault="00AB127D" w:rsidP="008A2795">
      <w:r>
        <w:separator/>
      </w:r>
    </w:p>
  </w:endnote>
  <w:endnote w:type="continuationSeparator" w:id="0">
    <w:p w:rsidR="00AB127D" w:rsidRDefault="00AB127D" w:rsidP="008A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unga">
    <w:panose1 w:val="00000400000000000000"/>
    <w:charset w:val="00"/>
    <w:family w:val="auto"/>
    <w:pitch w:val="variable"/>
    <w:sig w:usb0="004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7D" w:rsidRDefault="00AB127D" w:rsidP="008A2795">
      <w:r>
        <w:separator/>
      </w:r>
    </w:p>
  </w:footnote>
  <w:footnote w:type="continuationSeparator" w:id="0">
    <w:p w:rsidR="00AB127D" w:rsidRDefault="00AB127D" w:rsidP="008A2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39D4C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D32CE"/>
    <w:multiLevelType w:val="hybridMultilevel"/>
    <w:tmpl w:val="7CCC3BD6"/>
    <w:lvl w:ilvl="0" w:tplc="D6EEF314">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44344A87"/>
    <w:multiLevelType w:val="hybridMultilevel"/>
    <w:tmpl w:val="8F506B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7AAC6DD7"/>
    <w:multiLevelType w:val="multilevel"/>
    <w:tmpl w:val="950A1C52"/>
    <w:lvl w:ilvl="0">
      <w:numFmt w:val="decimal"/>
      <w:pStyle w:val="UnnumberedHeading"/>
      <w:lvlText w:val=""/>
      <w:lvlJc w:val="left"/>
    </w:lvl>
    <w:lvl w:ilvl="1">
      <w:numFmt w:val="decimal"/>
      <w:pStyle w:val="Heading1"/>
      <w:lvlText w:val=""/>
      <w:lvlJc w:val="left"/>
    </w:lvl>
    <w:lvl w:ilvl="2">
      <w:numFmt w:val="decimal"/>
      <w:pStyle w:val="Heading2"/>
      <w:lvlText w:val=""/>
      <w:lvlJc w:val="left"/>
    </w:lvl>
    <w:lvl w:ilvl="3">
      <w:numFmt w:val="decimal"/>
      <w:pStyle w:val="Heading3"/>
      <w:lvlText w:val=""/>
      <w:lvlJc w:val="left"/>
    </w:lvl>
    <w:lvl w:ilvl="4">
      <w:numFmt w:val="decimal"/>
      <w:pStyle w:val="Heading7"/>
      <w:lvlText w:val=""/>
      <w:lvlJc w:val="left"/>
    </w:lvl>
    <w:lvl w:ilvl="5">
      <w:numFmt w:val="decimal"/>
      <w:pStyle w:val="Heading8"/>
      <w:lvlText w:val=""/>
      <w:lvlJc w:val="left"/>
    </w:lvl>
    <w:lvl w:ilvl="6">
      <w:numFmt w:val="decimal"/>
      <w:pStyle w:val="Heading9"/>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644\D14 36413  AER factsheet - TX transitioanl determinations.DOCX"/>
  </w:docVars>
  <w:rsids>
    <w:rsidRoot w:val="00DC00FD"/>
    <w:rsid w:val="00020200"/>
    <w:rsid w:val="0002382E"/>
    <w:rsid w:val="000C4DFC"/>
    <w:rsid w:val="000E62BF"/>
    <w:rsid w:val="00121FA7"/>
    <w:rsid w:val="00133C91"/>
    <w:rsid w:val="00180078"/>
    <w:rsid w:val="001E4853"/>
    <w:rsid w:val="00284B1D"/>
    <w:rsid w:val="002951EE"/>
    <w:rsid w:val="003120E0"/>
    <w:rsid w:val="003362D0"/>
    <w:rsid w:val="00364375"/>
    <w:rsid w:val="0036626C"/>
    <w:rsid w:val="0039113E"/>
    <w:rsid w:val="004019D1"/>
    <w:rsid w:val="0047051D"/>
    <w:rsid w:val="004B513B"/>
    <w:rsid w:val="004B7F1B"/>
    <w:rsid w:val="0055438E"/>
    <w:rsid w:val="00554926"/>
    <w:rsid w:val="005632C7"/>
    <w:rsid w:val="00593A3E"/>
    <w:rsid w:val="005A335E"/>
    <w:rsid w:val="005B7C89"/>
    <w:rsid w:val="00612B59"/>
    <w:rsid w:val="00614073"/>
    <w:rsid w:val="00635D18"/>
    <w:rsid w:val="00647310"/>
    <w:rsid w:val="0065171B"/>
    <w:rsid w:val="0067341D"/>
    <w:rsid w:val="00673C42"/>
    <w:rsid w:val="00673C5D"/>
    <w:rsid w:val="006A4619"/>
    <w:rsid w:val="006B497C"/>
    <w:rsid w:val="006D4F79"/>
    <w:rsid w:val="006F030F"/>
    <w:rsid w:val="007251C8"/>
    <w:rsid w:val="0073131B"/>
    <w:rsid w:val="00784E27"/>
    <w:rsid w:val="00802EA1"/>
    <w:rsid w:val="00816578"/>
    <w:rsid w:val="008915B2"/>
    <w:rsid w:val="008A2795"/>
    <w:rsid w:val="009117B9"/>
    <w:rsid w:val="00994728"/>
    <w:rsid w:val="009A3535"/>
    <w:rsid w:val="009E323C"/>
    <w:rsid w:val="009E4163"/>
    <w:rsid w:val="00A44A8B"/>
    <w:rsid w:val="00A50A1D"/>
    <w:rsid w:val="00A622E0"/>
    <w:rsid w:val="00A64734"/>
    <w:rsid w:val="00A74EDA"/>
    <w:rsid w:val="00AB127D"/>
    <w:rsid w:val="00AB7F92"/>
    <w:rsid w:val="00AD5323"/>
    <w:rsid w:val="00AD73B7"/>
    <w:rsid w:val="00AF4A1E"/>
    <w:rsid w:val="00B13376"/>
    <w:rsid w:val="00B278AE"/>
    <w:rsid w:val="00BD381A"/>
    <w:rsid w:val="00C73422"/>
    <w:rsid w:val="00CA1915"/>
    <w:rsid w:val="00CD2B5E"/>
    <w:rsid w:val="00CD3BCF"/>
    <w:rsid w:val="00D12691"/>
    <w:rsid w:val="00D23390"/>
    <w:rsid w:val="00D57D27"/>
    <w:rsid w:val="00DB71E1"/>
    <w:rsid w:val="00DC00FD"/>
    <w:rsid w:val="00DD3FB8"/>
    <w:rsid w:val="00DD7C18"/>
    <w:rsid w:val="00E15218"/>
    <w:rsid w:val="00E27061"/>
    <w:rsid w:val="00E528FC"/>
    <w:rsid w:val="00E655F6"/>
    <w:rsid w:val="00E71646"/>
    <w:rsid w:val="00E80FE6"/>
    <w:rsid w:val="00E83CC3"/>
    <w:rsid w:val="00E84C2B"/>
    <w:rsid w:val="00E939E5"/>
    <w:rsid w:val="00ED5850"/>
    <w:rsid w:val="00F124A5"/>
    <w:rsid w:val="00F1267B"/>
    <w:rsid w:val="00F52348"/>
    <w:rsid w:val="00F75D23"/>
    <w:rsid w:val="00FA3085"/>
    <w:rsid w:val="00FA353F"/>
    <w:rsid w:val="00FB0FB2"/>
    <w:rsid w:val="00FB509B"/>
    <w:rsid w:val="00FF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0FB2"/>
    <w:pPr>
      <w:spacing w:after="0" w:line="240" w:lineRule="auto"/>
    </w:pPr>
    <w:rPr>
      <w:rFonts w:ascii="Calibri" w:eastAsia="Calibri" w:hAnsi="Calibri" w:cs="Times New Roman"/>
      <w:sz w:val="20"/>
      <w:szCs w:val="20"/>
    </w:rPr>
  </w:style>
  <w:style w:type="paragraph" w:styleId="Heading1">
    <w:name w:val="heading 1"/>
    <w:next w:val="AERbodytext"/>
    <w:link w:val="Heading1Char"/>
    <w:uiPriority w:val="9"/>
    <w:qFormat/>
    <w:rsid w:val="00180078"/>
    <w:pPr>
      <w:keepNext/>
      <w:keepLines/>
      <w:pageBreakBefore/>
      <w:numPr>
        <w:ilvl w:val="1"/>
        <w:numId w:val="4"/>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180078"/>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180078"/>
    <w:pPr>
      <w:numPr>
        <w:ilvl w:val="3"/>
      </w:numPr>
      <w:outlineLvl w:val="2"/>
    </w:pPr>
    <w:rPr>
      <w:bCs/>
      <w:sz w:val="24"/>
    </w:rPr>
  </w:style>
  <w:style w:type="paragraph" w:styleId="Heading4">
    <w:name w:val="heading 4"/>
    <w:basedOn w:val="Normal"/>
    <w:next w:val="Normal"/>
    <w:link w:val="Heading4Char"/>
    <w:uiPriority w:val="9"/>
    <w:semiHidden/>
    <w:unhideWhenUsed/>
    <w:qFormat/>
    <w:rsid w:val="00DC00F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UnnumberedHeading"/>
    <w:next w:val="AERbodytext"/>
    <w:link w:val="Heading7Char"/>
    <w:uiPriority w:val="9"/>
    <w:qFormat/>
    <w:rsid w:val="00180078"/>
    <w:pPr>
      <w:numPr>
        <w:ilvl w:val="4"/>
      </w:numPr>
      <w:outlineLvl w:val="6"/>
    </w:pPr>
    <w:rPr>
      <w:iCs/>
      <w:szCs w:val="24"/>
    </w:rPr>
  </w:style>
  <w:style w:type="paragraph" w:styleId="Heading8">
    <w:name w:val="heading 8"/>
    <w:basedOn w:val="Heading7"/>
    <w:next w:val="AERbodytext"/>
    <w:link w:val="Heading8Char"/>
    <w:uiPriority w:val="9"/>
    <w:qFormat/>
    <w:rsid w:val="00180078"/>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180078"/>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F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DC00FD"/>
    <w:rPr>
      <w:color w:val="0000FF"/>
      <w:u w:val="single"/>
    </w:rPr>
  </w:style>
  <w:style w:type="paragraph" w:customStyle="1" w:styleId="AERfactsheetsubtitle">
    <w:name w:val="AER factsheet subtitle"/>
    <w:basedOn w:val="Subtitle"/>
    <w:next w:val="Normal"/>
    <w:qFormat/>
    <w:rsid w:val="00DC00FD"/>
    <w:pPr>
      <w:spacing w:line="276" w:lineRule="auto"/>
    </w:pPr>
    <w:rPr>
      <w:rFonts w:ascii="Tunga" w:eastAsia="Times New Roman" w:hAnsi="Tunga" w:cs="Tunga"/>
      <w:i w:val="0"/>
      <w:color w:val="000000"/>
      <w:spacing w:val="16"/>
      <w:kern w:val="20"/>
      <w:szCs w:val="28"/>
    </w:rPr>
  </w:style>
  <w:style w:type="paragraph" w:customStyle="1" w:styleId="AERFactsheetHeading1">
    <w:name w:val="AER Factsheet Heading 1"/>
    <w:basedOn w:val="Heading4"/>
    <w:qFormat/>
    <w:rsid w:val="00DC00FD"/>
    <w:pPr>
      <w:keepLines w:val="0"/>
      <w:spacing w:before="120" w:after="120"/>
    </w:pPr>
    <w:rPr>
      <w:rFonts w:ascii="Tunga" w:eastAsia="Times New Roman" w:hAnsi="Tunga" w:cs="Tunga"/>
      <w:bCs w:val="0"/>
      <w:i w:val="0"/>
      <w:color w:val="006A99"/>
      <w:kern w:val="24"/>
      <w:sz w:val="24"/>
      <w:szCs w:val="24"/>
    </w:rPr>
  </w:style>
  <w:style w:type="paragraph" w:customStyle="1" w:styleId="AERfactsheetbodytext">
    <w:name w:val="AER factsheet body text"/>
    <w:basedOn w:val="Normal"/>
    <w:qFormat/>
    <w:rsid w:val="00DC00FD"/>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Normal"/>
    <w:qFormat/>
    <w:rsid w:val="00E15218"/>
    <w:pPr>
      <w:numPr>
        <w:numId w:val="1"/>
      </w:numPr>
      <w:spacing w:after="120" w:line="252" w:lineRule="auto"/>
      <w:ind w:left="284" w:hanging="284"/>
    </w:pPr>
    <w:rPr>
      <w:rFonts w:ascii="MS Reference Sans Serif" w:eastAsia="Times New Roman" w:hAnsi="MS Reference Sans Serif" w:cs="Shruti"/>
      <w:spacing w:val="-10"/>
      <w:sz w:val="18"/>
      <w:szCs w:val="24"/>
    </w:rPr>
  </w:style>
  <w:style w:type="paragraph" w:styleId="Subtitle">
    <w:name w:val="Subtitle"/>
    <w:basedOn w:val="Normal"/>
    <w:next w:val="Normal"/>
    <w:link w:val="SubtitleChar"/>
    <w:uiPriority w:val="11"/>
    <w:qFormat/>
    <w:rsid w:val="00DC00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0F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DC00FD"/>
    <w:rPr>
      <w:rFonts w:asciiTheme="majorHAnsi" w:eastAsiaTheme="majorEastAsia" w:hAnsiTheme="majorHAnsi" w:cstheme="majorBidi"/>
      <w:b/>
      <w:bCs/>
      <w:i/>
      <w:iCs/>
      <w:color w:val="4F81BD" w:themeColor="accent1"/>
      <w:sz w:val="20"/>
      <w:szCs w:val="20"/>
    </w:rPr>
  </w:style>
  <w:style w:type="character" w:customStyle="1" w:styleId="AERtextbold">
    <w:name w:val="AER text bold"/>
    <w:qFormat/>
    <w:rsid w:val="006A4619"/>
    <w:rPr>
      <w:b/>
    </w:rPr>
  </w:style>
  <w:style w:type="paragraph" w:customStyle="1" w:styleId="Default">
    <w:name w:val="Default"/>
    <w:rsid w:val="006A4619"/>
    <w:pPr>
      <w:autoSpaceDE w:val="0"/>
      <w:autoSpaceDN w:val="0"/>
      <w:adjustRightInd w:val="0"/>
      <w:spacing w:after="0" w:line="240" w:lineRule="auto"/>
    </w:pPr>
    <w:rPr>
      <w:rFonts w:ascii="DINOT-Regular" w:eastAsia="Times New Roman" w:hAnsi="DINOT-Regular" w:cs="DINOT-Regular"/>
      <w:color w:val="000000"/>
      <w:sz w:val="24"/>
      <w:szCs w:val="24"/>
    </w:rPr>
  </w:style>
  <w:style w:type="character" w:customStyle="1" w:styleId="AERtextitalic">
    <w:name w:val="AER text italic"/>
    <w:qFormat/>
    <w:rsid w:val="006A4619"/>
    <w:rPr>
      <w:i/>
    </w:rPr>
  </w:style>
  <w:style w:type="paragraph" w:customStyle="1" w:styleId="AERbodytext">
    <w:name w:val="AER body text"/>
    <w:link w:val="AERbodytextChar"/>
    <w:qFormat/>
    <w:rsid w:val="006A4619"/>
    <w:pPr>
      <w:numPr>
        <w:numId w:val="2"/>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6A4619"/>
    <w:pPr>
      <w:numPr>
        <w:ilvl w:val="1"/>
      </w:numPr>
      <w:spacing w:after="200"/>
    </w:pPr>
  </w:style>
  <w:style w:type="paragraph" w:customStyle="1" w:styleId="AERnumberedlistsecondstyle">
    <w:name w:val="AER numbered list (second style)"/>
    <w:basedOn w:val="AERnumberedlistfirststyle"/>
    <w:qFormat/>
    <w:rsid w:val="006A4619"/>
    <w:pPr>
      <w:numPr>
        <w:ilvl w:val="2"/>
      </w:numPr>
    </w:pPr>
  </w:style>
  <w:style w:type="paragraph" w:customStyle="1" w:styleId="AERnumberedlistthirdstyle">
    <w:name w:val="AER numbered list (third style)"/>
    <w:basedOn w:val="AERnumberedlistsecondstyle"/>
    <w:qFormat/>
    <w:rsid w:val="006A4619"/>
    <w:pPr>
      <w:numPr>
        <w:ilvl w:val="3"/>
      </w:numPr>
    </w:pPr>
  </w:style>
  <w:style w:type="paragraph" w:customStyle="1" w:styleId="AERbodytextnospace">
    <w:name w:val="AER body text no space"/>
    <w:basedOn w:val="Normal"/>
    <w:qFormat/>
    <w:rsid w:val="006A4619"/>
    <w:pPr>
      <w:spacing w:line="288" w:lineRule="auto"/>
      <w:jc w:val="both"/>
    </w:pPr>
    <w:rPr>
      <w:rFonts w:ascii="Gautami" w:eastAsia="Times New Roman" w:hAnsi="Gautami"/>
      <w:szCs w:val="24"/>
    </w:rPr>
  </w:style>
  <w:style w:type="character" w:customStyle="1" w:styleId="AERbody">
    <w:name w:val="AER body"/>
    <w:basedOn w:val="DefaultParagraphFont"/>
    <w:qFormat/>
    <w:rsid w:val="00635D18"/>
    <w:rPr>
      <w:rFonts w:ascii="Gautami" w:hAnsi="Gautami"/>
      <w:color w:val="auto"/>
      <w:sz w:val="20"/>
    </w:rPr>
  </w:style>
  <w:style w:type="numbering" w:customStyle="1" w:styleId="AERnumberedlist">
    <w:name w:val="AER numbered list"/>
    <w:uiPriority w:val="99"/>
    <w:rsid w:val="00635D18"/>
  </w:style>
  <w:style w:type="paragraph" w:customStyle="1" w:styleId="AERnumberedlist2first">
    <w:name w:val="AER numbered list 2 first"/>
    <w:basedOn w:val="AERbodytext"/>
    <w:qFormat/>
    <w:rsid w:val="00635D18"/>
    <w:pPr>
      <w:numPr>
        <w:numId w:val="0"/>
      </w:numPr>
      <w:tabs>
        <w:tab w:val="num" w:pos="454"/>
      </w:tabs>
      <w:ind w:left="454" w:hanging="454"/>
    </w:pPr>
  </w:style>
  <w:style w:type="paragraph" w:customStyle="1" w:styleId="AERnumberedlist2second">
    <w:name w:val="AER numbered list 2 second"/>
    <w:basedOn w:val="AERnumberedlist2first"/>
    <w:qFormat/>
    <w:rsid w:val="00635D18"/>
    <w:pPr>
      <w:tabs>
        <w:tab w:val="clear" w:pos="454"/>
        <w:tab w:val="num" w:pos="811"/>
      </w:tabs>
      <w:ind w:left="811" w:hanging="357"/>
    </w:pPr>
  </w:style>
  <w:style w:type="paragraph" w:customStyle="1" w:styleId="AERnumberedlist2third">
    <w:name w:val="AER numbered list 2 third"/>
    <w:basedOn w:val="AERnumberedlist2second"/>
    <w:qFormat/>
    <w:rsid w:val="00635D18"/>
    <w:pPr>
      <w:tabs>
        <w:tab w:val="clear" w:pos="811"/>
        <w:tab w:val="num" w:pos="1446"/>
      </w:tabs>
      <w:ind w:left="1446" w:hanging="635"/>
    </w:pPr>
  </w:style>
  <w:style w:type="character" w:styleId="CommentReference">
    <w:name w:val="annotation reference"/>
    <w:basedOn w:val="DefaultParagraphFont"/>
    <w:uiPriority w:val="99"/>
    <w:semiHidden/>
    <w:unhideWhenUsed/>
    <w:rsid w:val="00A50A1D"/>
    <w:rPr>
      <w:sz w:val="16"/>
      <w:szCs w:val="16"/>
    </w:rPr>
  </w:style>
  <w:style w:type="paragraph" w:styleId="CommentText">
    <w:name w:val="annotation text"/>
    <w:basedOn w:val="Normal"/>
    <w:link w:val="CommentTextChar"/>
    <w:uiPriority w:val="99"/>
    <w:semiHidden/>
    <w:unhideWhenUsed/>
    <w:rsid w:val="00A50A1D"/>
  </w:style>
  <w:style w:type="character" w:customStyle="1" w:styleId="CommentTextChar">
    <w:name w:val="Comment Text Char"/>
    <w:basedOn w:val="DefaultParagraphFont"/>
    <w:link w:val="CommentText"/>
    <w:uiPriority w:val="99"/>
    <w:semiHidden/>
    <w:rsid w:val="00A50A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0A1D"/>
    <w:rPr>
      <w:b/>
      <w:bCs/>
    </w:rPr>
  </w:style>
  <w:style w:type="character" w:customStyle="1" w:styleId="CommentSubjectChar">
    <w:name w:val="Comment Subject Char"/>
    <w:basedOn w:val="CommentTextChar"/>
    <w:link w:val="CommentSubject"/>
    <w:uiPriority w:val="99"/>
    <w:semiHidden/>
    <w:rsid w:val="00A50A1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50A1D"/>
    <w:rPr>
      <w:rFonts w:ascii="Tahoma" w:hAnsi="Tahoma" w:cs="Tahoma"/>
      <w:sz w:val="16"/>
      <w:szCs w:val="16"/>
    </w:rPr>
  </w:style>
  <w:style w:type="character" w:customStyle="1" w:styleId="BalloonTextChar">
    <w:name w:val="Balloon Text Char"/>
    <w:basedOn w:val="DefaultParagraphFont"/>
    <w:link w:val="BalloonText"/>
    <w:uiPriority w:val="99"/>
    <w:semiHidden/>
    <w:rsid w:val="00A50A1D"/>
    <w:rPr>
      <w:rFonts w:ascii="Tahoma" w:eastAsia="Calibri" w:hAnsi="Tahoma" w:cs="Tahoma"/>
      <w:sz w:val="16"/>
      <w:szCs w:val="16"/>
    </w:rPr>
  </w:style>
  <w:style w:type="character" w:customStyle="1" w:styleId="Heading1Char">
    <w:name w:val="Heading 1 Char"/>
    <w:basedOn w:val="DefaultParagraphFont"/>
    <w:link w:val="Heading1"/>
    <w:uiPriority w:val="9"/>
    <w:rsid w:val="00180078"/>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180078"/>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180078"/>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180078"/>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180078"/>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180078"/>
    <w:rPr>
      <w:rFonts w:ascii="Gautami" w:eastAsia="Times New Roman" w:hAnsi="Gautami" w:cs="Times New Roman"/>
      <w:b/>
      <w:bCs/>
      <w:color w:val="E36C0A"/>
      <w:sz w:val="24"/>
      <w:szCs w:val="20"/>
    </w:rPr>
  </w:style>
  <w:style w:type="numbering" w:customStyle="1" w:styleId="AERHeadings">
    <w:name w:val="AER Headings"/>
    <w:uiPriority w:val="99"/>
    <w:rsid w:val="00180078"/>
    <w:pPr>
      <w:numPr>
        <w:numId w:val="3"/>
      </w:numPr>
    </w:pPr>
  </w:style>
  <w:style w:type="paragraph" w:customStyle="1" w:styleId="UnnumberedHeading">
    <w:name w:val="Unnumbered Heading"/>
    <w:basedOn w:val="Heading1"/>
    <w:next w:val="AERbodytext"/>
    <w:qFormat/>
    <w:rsid w:val="00180078"/>
    <w:pPr>
      <w:numPr>
        <w:ilvl w:val="0"/>
      </w:numPr>
    </w:pPr>
  </w:style>
  <w:style w:type="character" w:customStyle="1" w:styleId="AERbodytextChar">
    <w:name w:val="AER body text Char"/>
    <w:basedOn w:val="DefaultParagraphFont"/>
    <w:link w:val="AERbodytext"/>
    <w:rsid w:val="00180078"/>
    <w:rPr>
      <w:rFonts w:ascii="Gautami" w:eastAsia="Times New Roman" w:hAnsi="Gautami" w:cs="Times New Roman"/>
      <w:sz w:val="20"/>
      <w:szCs w:val="24"/>
    </w:rPr>
  </w:style>
  <w:style w:type="paragraph" w:styleId="ListParagraph">
    <w:name w:val="List Paragraph"/>
    <w:basedOn w:val="Normal"/>
    <w:uiPriority w:val="34"/>
    <w:unhideWhenUsed/>
    <w:qFormat/>
    <w:rsid w:val="008A2795"/>
    <w:pPr>
      <w:spacing w:after="240" w:line="288" w:lineRule="auto"/>
      <w:ind w:left="720"/>
      <w:contextualSpacing/>
      <w:jc w:val="both"/>
    </w:pPr>
    <w:rPr>
      <w:rFonts w:ascii="Gautami" w:hAnsi="Gautami"/>
    </w:rPr>
  </w:style>
  <w:style w:type="character" w:customStyle="1" w:styleId="AERsuperscript">
    <w:name w:val="AER superscript"/>
    <w:qFormat/>
    <w:rsid w:val="008A2795"/>
    <w:rPr>
      <w:rFonts w:ascii="Gautami" w:hAnsi="Gautami"/>
      <w:vertAlign w:val="superscript"/>
    </w:rPr>
  </w:style>
  <w:style w:type="character" w:customStyle="1" w:styleId="AERtexthighlight">
    <w:name w:val="AER text highlight"/>
    <w:qFormat/>
    <w:rsid w:val="008A2795"/>
    <w:rPr>
      <w:bdr w:val="none" w:sz="0" w:space="0" w:color="auto"/>
      <w:shd w:val="clear" w:color="auto" w:fill="FFFF00"/>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8A2795"/>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8A2795"/>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8A2795"/>
    <w:rPr>
      <w:vertAlign w:val="superscript"/>
    </w:rPr>
  </w:style>
  <w:style w:type="paragraph" w:styleId="Caption">
    <w:name w:val="caption"/>
    <w:basedOn w:val="Normal"/>
    <w:next w:val="Normal"/>
    <w:uiPriority w:val="35"/>
    <w:qFormat/>
    <w:rsid w:val="009A3535"/>
    <w:pPr>
      <w:keepNext/>
      <w:tabs>
        <w:tab w:val="left" w:pos="1440"/>
      </w:tabs>
      <w:spacing w:before="120" w:after="120" w:line="288" w:lineRule="auto"/>
      <w:ind w:left="1440" w:hanging="1440"/>
      <w:jc w:val="both"/>
    </w:pPr>
    <w:rPr>
      <w:rFonts w:ascii="Gautami" w:eastAsia="Times New Roman" w:hAnsi="Gautami"/>
      <w:b/>
      <w:bCs/>
      <w:szCs w:val="18"/>
    </w:rPr>
  </w:style>
  <w:style w:type="paragraph" w:customStyle="1" w:styleId="AERtablesource">
    <w:name w:val="AER table source"/>
    <w:next w:val="Normal"/>
    <w:qFormat/>
    <w:rsid w:val="009A3535"/>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paragraph" w:customStyle="1" w:styleId="AERtabletextleft">
    <w:name w:val="AER table text left"/>
    <w:qFormat/>
    <w:rsid w:val="009A3535"/>
    <w:pPr>
      <w:spacing w:before="80" w:after="120" w:line="288" w:lineRule="auto"/>
    </w:pPr>
    <w:rPr>
      <w:rFonts w:ascii="Gautami" w:eastAsia="Times New Roman" w:hAnsi="Gautami" w:cs="Times New Roman"/>
      <w:sz w:val="16"/>
      <w:szCs w:val="24"/>
    </w:rPr>
  </w:style>
  <w:style w:type="table" w:customStyle="1" w:styleId="AERtable-numbers">
    <w:name w:val="AER table - numbers"/>
    <w:basedOn w:val="TableNormal"/>
    <w:uiPriority w:val="99"/>
    <w:rsid w:val="009A3535"/>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AERtabletextright">
    <w:name w:val="AER table text right"/>
    <w:basedOn w:val="AERtabletextleft"/>
    <w:qFormat/>
    <w:rsid w:val="009A3535"/>
    <w:pPr>
      <w:spacing w:before="120" w:after="80"/>
      <w:jc w:val="right"/>
    </w:pPr>
  </w:style>
  <w:style w:type="numbering" w:customStyle="1" w:styleId="AERnumberedlist1">
    <w:name w:val="AER numbered list1"/>
    <w:uiPriority w:val="99"/>
    <w:rsid w:val="00891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0FB2"/>
    <w:pPr>
      <w:spacing w:after="0" w:line="240" w:lineRule="auto"/>
    </w:pPr>
    <w:rPr>
      <w:rFonts w:ascii="Calibri" w:eastAsia="Calibri" w:hAnsi="Calibri" w:cs="Times New Roman"/>
      <w:sz w:val="20"/>
      <w:szCs w:val="20"/>
    </w:rPr>
  </w:style>
  <w:style w:type="paragraph" w:styleId="Heading1">
    <w:name w:val="heading 1"/>
    <w:next w:val="AERbodytext"/>
    <w:link w:val="Heading1Char"/>
    <w:uiPriority w:val="9"/>
    <w:qFormat/>
    <w:rsid w:val="00180078"/>
    <w:pPr>
      <w:keepNext/>
      <w:keepLines/>
      <w:pageBreakBefore/>
      <w:numPr>
        <w:ilvl w:val="1"/>
        <w:numId w:val="4"/>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180078"/>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180078"/>
    <w:pPr>
      <w:numPr>
        <w:ilvl w:val="3"/>
      </w:numPr>
      <w:outlineLvl w:val="2"/>
    </w:pPr>
    <w:rPr>
      <w:bCs/>
      <w:sz w:val="24"/>
    </w:rPr>
  </w:style>
  <w:style w:type="paragraph" w:styleId="Heading4">
    <w:name w:val="heading 4"/>
    <w:basedOn w:val="Normal"/>
    <w:next w:val="Normal"/>
    <w:link w:val="Heading4Char"/>
    <w:uiPriority w:val="9"/>
    <w:semiHidden/>
    <w:unhideWhenUsed/>
    <w:qFormat/>
    <w:rsid w:val="00DC00F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UnnumberedHeading"/>
    <w:next w:val="AERbodytext"/>
    <w:link w:val="Heading7Char"/>
    <w:uiPriority w:val="9"/>
    <w:qFormat/>
    <w:rsid w:val="00180078"/>
    <w:pPr>
      <w:numPr>
        <w:ilvl w:val="4"/>
      </w:numPr>
      <w:outlineLvl w:val="6"/>
    </w:pPr>
    <w:rPr>
      <w:iCs/>
      <w:szCs w:val="24"/>
    </w:rPr>
  </w:style>
  <w:style w:type="paragraph" w:styleId="Heading8">
    <w:name w:val="heading 8"/>
    <w:basedOn w:val="Heading7"/>
    <w:next w:val="AERbodytext"/>
    <w:link w:val="Heading8Char"/>
    <w:uiPriority w:val="9"/>
    <w:qFormat/>
    <w:rsid w:val="00180078"/>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180078"/>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F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DC00FD"/>
    <w:rPr>
      <w:color w:val="0000FF"/>
      <w:u w:val="single"/>
    </w:rPr>
  </w:style>
  <w:style w:type="paragraph" w:customStyle="1" w:styleId="AERfactsheetsubtitle">
    <w:name w:val="AER factsheet subtitle"/>
    <w:basedOn w:val="Subtitle"/>
    <w:next w:val="Normal"/>
    <w:qFormat/>
    <w:rsid w:val="00DC00FD"/>
    <w:pPr>
      <w:spacing w:line="276" w:lineRule="auto"/>
    </w:pPr>
    <w:rPr>
      <w:rFonts w:ascii="Tunga" w:eastAsia="Times New Roman" w:hAnsi="Tunga" w:cs="Tunga"/>
      <w:i w:val="0"/>
      <w:color w:val="000000"/>
      <w:spacing w:val="16"/>
      <w:kern w:val="20"/>
      <w:szCs w:val="28"/>
    </w:rPr>
  </w:style>
  <w:style w:type="paragraph" w:customStyle="1" w:styleId="AERFactsheetHeading1">
    <w:name w:val="AER Factsheet Heading 1"/>
    <w:basedOn w:val="Heading4"/>
    <w:qFormat/>
    <w:rsid w:val="00DC00FD"/>
    <w:pPr>
      <w:keepLines w:val="0"/>
      <w:spacing w:before="120" w:after="120"/>
    </w:pPr>
    <w:rPr>
      <w:rFonts w:ascii="Tunga" w:eastAsia="Times New Roman" w:hAnsi="Tunga" w:cs="Tunga"/>
      <w:bCs w:val="0"/>
      <w:i w:val="0"/>
      <w:color w:val="006A99"/>
      <w:kern w:val="24"/>
      <w:sz w:val="24"/>
      <w:szCs w:val="24"/>
    </w:rPr>
  </w:style>
  <w:style w:type="paragraph" w:customStyle="1" w:styleId="AERfactsheetbodytext">
    <w:name w:val="AER factsheet body text"/>
    <w:basedOn w:val="Normal"/>
    <w:qFormat/>
    <w:rsid w:val="00DC00FD"/>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Normal"/>
    <w:qFormat/>
    <w:rsid w:val="00E15218"/>
    <w:pPr>
      <w:numPr>
        <w:numId w:val="1"/>
      </w:numPr>
      <w:spacing w:after="120" w:line="252" w:lineRule="auto"/>
      <w:ind w:left="284" w:hanging="284"/>
    </w:pPr>
    <w:rPr>
      <w:rFonts w:ascii="MS Reference Sans Serif" w:eastAsia="Times New Roman" w:hAnsi="MS Reference Sans Serif" w:cs="Shruti"/>
      <w:spacing w:val="-10"/>
      <w:sz w:val="18"/>
      <w:szCs w:val="24"/>
    </w:rPr>
  </w:style>
  <w:style w:type="paragraph" w:styleId="Subtitle">
    <w:name w:val="Subtitle"/>
    <w:basedOn w:val="Normal"/>
    <w:next w:val="Normal"/>
    <w:link w:val="SubtitleChar"/>
    <w:uiPriority w:val="11"/>
    <w:qFormat/>
    <w:rsid w:val="00DC00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0F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DC00FD"/>
    <w:rPr>
      <w:rFonts w:asciiTheme="majorHAnsi" w:eastAsiaTheme="majorEastAsia" w:hAnsiTheme="majorHAnsi" w:cstheme="majorBidi"/>
      <w:b/>
      <w:bCs/>
      <w:i/>
      <w:iCs/>
      <w:color w:val="4F81BD" w:themeColor="accent1"/>
      <w:sz w:val="20"/>
      <w:szCs w:val="20"/>
    </w:rPr>
  </w:style>
  <w:style w:type="character" w:customStyle="1" w:styleId="AERtextbold">
    <w:name w:val="AER text bold"/>
    <w:qFormat/>
    <w:rsid w:val="006A4619"/>
    <w:rPr>
      <w:b/>
    </w:rPr>
  </w:style>
  <w:style w:type="paragraph" w:customStyle="1" w:styleId="Default">
    <w:name w:val="Default"/>
    <w:rsid w:val="006A4619"/>
    <w:pPr>
      <w:autoSpaceDE w:val="0"/>
      <w:autoSpaceDN w:val="0"/>
      <w:adjustRightInd w:val="0"/>
      <w:spacing w:after="0" w:line="240" w:lineRule="auto"/>
    </w:pPr>
    <w:rPr>
      <w:rFonts w:ascii="DINOT-Regular" w:eastAsia="Times New Roman" w:hAnsi="DINOT-Regular" w:cs="DINOT-Regular"/>
      <w:color w:val="000000"/>
      <w:sz w:val="24"/>
      <w:szCs w:val="24"/>
    </w:rPr>
  </w:style>
  <w:style w:type="character" w:customStyle="1" w:styleId="AERtextitalic">
    <w:name w:val="AER text italic"/>
    <w:qFormat/>
    <w:rsid w:val="006A4619"/>
    <w:rPr>
      <w:i/>
    </w:rPr>
  </w:style>
  <w:style w:type="paragraph" w:customStyle="1" w:styleId="AERbodytext">
    <w:name w:val="AER body text"/>
    <w:link w:val="AERbodytextChar"/>
    <w:qFormat/>
    <w:rsid w:val="006A4619"/>
    <w:pPr>
      <w:numPr>
        <w:numId w:val="2"/>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6A4619"/>
    <w:pPr>
      <w:numPr>
        <w:ilvl w:val="1"/>
      </w:numPr>
      <w:spacing w:after="200"/>
    </w:pPr>
  </w:style>
  <w:style w:type="paragraph" w:customStyle="1" w:styleId="AERnumberedlistsecondstyle">
    <w:name w:val="AER numbered list (second style)"/>
    <w:basedOn w:val="AERnumberedlistfirststyle"/>
    <w:qFormat/>
    <w:rsid w:val="006A4619"/>
    <w:pPr>
      <w:numPr>
        <w:ilvl w:val="2"/>
      </w:numPr>
    </w:pPr>
  </w:style>
  <w:style w:type="paragraph" w:customStyle="1" w:styleId="AERnumberedlistthirdstyle">
    <w:name w:val="AER numbered list (third style)"/>
    <w:basedOn w:val="AERnumberedlistsecondstyle"/>
    <w:qFormat/>
    <w:rsid w:val="006A4619"/>
    <w:pPr>
      <w:numPr>
        <w:ilvl w:val="3"/>
      </w:numPr>
    </w:pPr>
  </w:style>
  <w:style w:type="paragraph" w:customStyle="1" w:styleId="AERbodytextnospace">
    <w:name w:val="AER body text no space"/>
    <w:basedOn w:val="Normal"/>
    <w:qFormat/>
    <w:rsid w:val="006A4619"/>
    <w:pPr>
      <w:spacing w:line="288" w:lineRule="auto"/>
      <w:jc w:val="both"/>
    </w:pPr>
    <w:rPr>
      <w:rFonts w:ascii="Gautami" w:eastAsia="Times New Roman" w:hAnsi="Gautami"/>
      <w:szCs w:val="24"/>
    </w:rPr>
  </w:style>
  <w:style w:type="character" w:customStyle="1" w:styleId="AERbody">
    <w:name w:val="AER body"/>
    <w:basedOn w:val="DefaultParagraphFont"/>
    <w:qFormat/>
    <w:rsid w:val="00635D18"/>
    <w:rPr>
      <w:rFonts w:ascii="Gautami" w:hAnsi="Gautami"/>
      <w:color w:val="auto"/>
      <w:sz w:val="20"/>
    </w:rPr>
  </w:style>
  <w:style w:type="numbering" w:customStyle="1" w:styleId="AERnumberedlist">
    <w:name w:val="AER numbered list"/>
    <w:uiPriority w:val="99"/>
    <w:rsid w:val="00635D18"/>
  </w:style>
  <w:style w:type="paragraph" w:customStyle="1" w:styleId="AERnumberedlist2first">
    <w:name w:val="AER numbered list 2 first"/>
    <w:basedOn w:val="AERbodytext"/>
    <w:qFormat/>
    <w:rsid w:val="00635D18"/>
    <w:pPr>
      <w:numPr>
        <w:numId w:val="0"/>
      </w:numPr>
      <w:tabs>
        <w:tab w:val="num" w:pos="454"/>
      </w:tabs>
      <w:ind w:left="454" w:hanging="454"/>
    </w:pPr>
  </w:style>
  <w:style w:type="paragraph" w:customStyle="1" w:styleId="AERnumberedlist2second">
    <w:name w:val="AER numbered list 2 second"/>
    <w:basedOn w:val="AERnumberedlist2first"/>
    <w:qFormat/>
    <w:rsid w:val="00635D18"/>
    <w:pPr>
      <w:tabs>
        <w:tab w:val="clear" w:pos="454"/>
        <w:tab w:val="num" w:pos="811"/>
      </w:tabs>
      <w:ind w:left="811" w:hanging="357"/>
    </w:pPr>
  </w:style>
  <w:style w:type="paragraph" w:customStyle="1" w:styleId="AERnumberedlist2third">
    <w:name w:val="AER numbered list 2 third"/>
    <w:basedOn w:val="AERnumberedlist2second"/>
    <w:qFormat/>
    <w:rsid w:val="00635D18"/>
    <w:pPr>
      <w:tabs>
        <w:tab w:val="clear" w:pos="811"/>
        <w:tab w:val="num" w:pos="1446"/>
      </w:tabs>
      <w:ind w:left="1446" w:hanging="635"/>
    </w:pPr>
  </w:style>
  <w:style w:type="character" w:styleId="CommentReference">
    <w:name w:val="annotation reference"/>
    <w:basedOn w:val="DefaultParagraphFont"/>
    <w:uiPriority w:val="99"/>
    <w:semiHidden/>
    <w:unhideWhenUsed/>
    <w:rsid w:val="00A50A1D"/>
    <w:rPr>
      <w:sz w:val="16"/>
      <w:szCs w:val="16"/>
    </w:rPr>
  </w:style>
  <w:style w:type="paragraph" w:styleId="CommentText">
    <w:name w:val="annotation text"/>
    <w:basedOn w:val="Normal"/>
    <w:link w:val="CommentTextChar"/>
    <w:uiPriority w:val="99"/>
    <w:semiHidden/>
    <w:unhideWhenUsed/>
    <w:rsid w:val="00A50A1D"/>
  </w:style>
  <w:style w:type="character" w:customStyle="1" w:styleId="CommentTextChar">
    <w:name w:val="Comment Text Char"/>
    <w:basedOn w:val="DefaultParagraphFont"/>
    <w:link w:val="CommentText"/>
    <w:uiPriority w:val="99"/>
    <w:semiHidden/>
    <w:rsid w:val="00A50A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0A1D"/>
    <w:rPr>
      <w:b/>
      <w:bCs/>
    </w:rPr>
  </w:style>
  <w:style w:type="character" w:customStyle="1" w:styleId="CommentSubjectChar">
    <w:name w:val="Comment Subject Char"/>
    <w:basedOn w:val="CommentTextChar"/>
    <w:link w:val="CommentSubject"/>
    <w:uiPriority w:val="99"/>
    <w:semiHidden/>
    <w:rsid w:val="00A50A1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50A1D"/>
    <w:rPr>
      <w:rFonts w:ascii="Tahoma" w:hAnsi="Tahoma" w:cs="Tahoma"/>
      <w:sz w:val="16"/>
      <w:szCs w:val="16"/>
    </w:rPr>
  </w:style>
  <w:style w:type="character" w:customStyle="1" w:styleId="BalloonTextChar">
    <w:name w:val="Balloon Text Char"/>
    <w:basedOn w:val="DefaultParagraphFont"/>
    <w:link w:val="BalloonText"/>
    <w:uiPriority w:val="99"/>
    <w:semiHidden/>
    <w:rsid w:val="00A50A1D"/>
    <w:rPr>
      <w:rFonts w:ascii="Tahoma" w:eastAsia="Calibri" w:hAnsi="Tahoma" w:cs="Tahoma"/>
      <w:sz w:val="16"/>
      <w:szCs w:val="16"/>
    </w:rPr>
  </w:style>
  <w:style w:type="character" w:customStyle="1" w:styleId="Heading1Char">
    <w:name w:val="Heading 1 Char"/>
    <w:basedOn w:val="DefaultParagraphFont"/>
    <w:link w:val="Heading1"/>
    <w:uiPriority w:val="9"/>
    <w:rsid w:val="00180078"/>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180078"/>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180078"/>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180078"/>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180078"/>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180078"/>
    <w:rPr>
      <w:rFonts w:ascii="Gautami" w:eastAsia="Times New Roman" w:hAnsi="Gautami" w:cs="Times New Roman"/>
      <w:b/>
      <w:bCs/>
      <w:color w:val="E36C0A"/>
      <w:sz w:val="24"/>
      <w:szCs w:val="20"/>
    </w:rPr>
  </w:style>
  <w:style w:type="numbering" w:customStyle="1" w:styleId="AERHeadings">
    <w:name w:val="AER Headings"/>
    <w:uiPriority w:val="99"/>
    <w:rsid w:val="00180078"/>
    <w:pPr>
      <w:numPr>
        <w:numId w:val="3"/>
      </w:numPr>
    </w:pPr>
  </w:style>
  <w:style w:type="paragraph" w:customStyle="1" w:styleId="UnnumberedHeading">
    <w:name w:val="Unnumbered Heading"/>
    <w:basedOn w:val="Heading1"/>
    <w:next w:val="AERbodytext"/>
    <w:qFormat/>
    <w:rsid w:val="00180078"/>
    <w:pPr>
      <w:numPr>
        <w:ilvl w:val="0"/>
      </w:numPr>
    </w:pPr>
  </w:style>
  <w:style w:type="character" w:customStyle="1" w:styleId="AERbodytextChar">
    <w:name w:val="AER body text Char"/>
    <w:basedOn w:val="DefaultParagraphFont"/>
    <w:link w:val="AERbodytext"/>
    <w:rsid w:val="00180078"/>
    <w:rPr>
      <w:rFonts w:ascii="Gautami" w:eastAsia="Times New Roman" w:hAnsi="Gautami" w:cs="Times New Roman"/>
      <w:sz w:val="20"/>
      <w:szCs w:val="24"/>
    </w:rPr>
  </w:style>
  <w:style w:type="paragraph" w:styleId="ListParagraph">
    <w:name w:val="List Paragraph"/>
    <w:basedOn w:val="Normal"/>
    <w:uiPriority w:val="34"/>
    <w:unhideWhenUsed/>
    <w:qFormat/>
    <w:rsid w:val="008A2795"/>
    <w:pPr>
      <w:spacing w:after="240" w:line="288" w:lineRule="auto"/>
      <w:ind w:left="720"/>
      <w:contextualSpacing/>
      <w:jc w:val="both"/>
    </w:pPr>
    <w:rPr>
      <w:rFonts w:ascii="Gautami" w:hAnsi="Gautami"/>
    </w:rPr>
  </w:style>
  <w:style w:type="character" w:customStyle="1" w:styleId="AERsuperscript">
    <w:name w:val="AER superscript"/>
    <w:qFormat/>
    <w:rsid w:val="008A2795"/>
    <w:rPr>
      <w:rFonts w:ascii="Gautami" w:hAnsi="Gautami"/>
      <w:vertAlign w:val="superscript"/>
    </w:rPr>
  </w:style>
  <w:style w:type="character" w:customStyle="1" w:styleId="AERtexthighlight">
    <w:name w:val="AER text highlight"/>
    <w:qFormat/>
    <w:rsid w:val="008A2795"/>
    <w:rPr>
      <w:bdr w:val="none" w:sz="0" w:space="0" w:color="auto"/>
      <w:shd w:val="clear" w:color="auto" w:fill="FFFF00"/>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8A2795"/>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8A2795"/>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8A2795"/>
    <w:rPr>
      <w:vertAlign w:val="superscript"/>
    </w:rPr>
  </w:style>
  <w:style w:type="paragraph" w:styleId="Caption">
    <w:name w:val="caption"/>
    <w:basedOn w:val="Normal"/>
    <w:next w:val="Normal"/>
    <w:uiPriority w:val="35"/>
    <w:qFormat/>
    <w:rsid w:val="009A3535"/>
    <w:pPr>
      <w:keepNext/>
      <w:tabs>
        <w:tab w:val="left" w:pos="1440"/>
      </w:tabs>
      <w:spacing w:before="120" w:after="120" w:line="288" w:lineRule="auto"/>
      <w:ind w:left="1440" w:hanging="1440"/>
      <w:jc w:val="both"/>
    </w:pPr>
    <w:rPr>
      <w:rFonts w:ascii="Gautami" w:eastAsia="Times New Roman" w:hAnsi="Gautami"/>
      <w:b/>
      <w:bCs/>
      <w:szCs w:val="18"/>
    </w:rPr>
  </w:style>
  <w:style w:type="paragraph" w:customStyle="1" w:styleId="AERtablesource">
    <w:name w:val="AER table source"/>
    <w:next w:val="Normal"/>
    <w:qFormat/>
    <w:rsid w:val="009A3535"/>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paragraph" w:customStyle="1" w:styleId="AERtabletextleft">
    <w:name w:val="AER table text left"/>
    <w:qFormat/>
    <w:rsid w:val="009A3535"/>
    <w:pPr>
      <w:spacing w:before="80" w:after="120" w:line="288" w:lineRule="auto"/>
    </w:pPr>
    <w:rPr>
      <w:rFonts w:ascii="Gautami" w:eastAsia="Times New Roman" w:hAnsi="Gautami" w:cs="Times New Roman"/>
      <w:sz w:val="16"/>
      <w:szCs w:val="24"/>
    </w:rPr>
  </w:style>
  <w:style w:type="table" w:customStyle="1" w:styleId="AERtable-numbers">
    <w:name w:val="AER table - numbers"/>
    <w:basedOn w:val="TableNormal"/>
    <w:uiPriority w:val="99"/>
    <w:rsid w:val="009A3535"/>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AERtabletextright">
    <w:name w:val="AER table text right"/>
    <w:basedOn w:val="AERtabletextleft"/>
    <w:qFormat/>
    <w:rsid w:val="009A3535"/>
    <w:pPr>
      <w:spacing w:before="120" w:after="80"/>
      <w:jc w:val="right"/>
    </w:pPr>
  </w:style>
  <w:style w:type="numbering" w:customStyle="1" w:styleId="AERnumberedlist1">
    <w:name w:val="AER numbered list1"/>
    <w:uiPriority w:val="99"/>
    <w:rsid w:val="0089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er.gov.au/node/23137http://www.aer.gov.au/node/2314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F03064EC.dotm</Template>
  <TotalTime>1</TotalTime>
  <Pages>2</Pages>
  <Words>1293</Words>
  <Characters>7374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AER factsheet - shared asset guideline</vt:lpstr>
    </vt:vector>
  </TitlesOfParts>
  <Company>ACCC</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factsheet - shared asset guideline</dc:title>
  <dc:subject/>
  <dc:creator>AER</dc:creator>
  <cp:keywords/>
  <dc:description/>
  <cp:lastModifiedBy>Wu, Patrick</cp:lastModifiedBy>
  <cp:revision>2</cp:revision>
  <dcterms:created xsi:type="dcterms:W3CDTF">2014-03-28T00:11:00Z</dcterms:created>
  <dcterms:modified xsi:type="dcterms:W3CDTF">2014-03-28T00:11:00Z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H:\TRIMDATA\TRIM\TEMP\HPTRIM.6644\D14 36413  AER factsheet - TX transitioanl determinations.DOCX</vt:lpwstr>
  </property>
</Properties>
</file>