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b/>
          <w:noProof/>
          <w:sz w:val="36"/>
          <w:szCs w:val="36"/>
          <w:lang w:eastAsia="en-AU"/>
        </w:rPr>
        <w:id w:val="1021519724"/>
        <w:docPartObj>
          <w:docPartGallery w:val="Cover Pages"/>
          <w:docPartUnique/>
        </w:docPartObj>
      </w:sdtPr>
      <w:sdtEndPr>
        <w:rPr>
          <w:sz w:val="56"/>
          <w:szCs w:val="56"/>
        </w:r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5B571D5C" wp14:editId="380E30E8">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13770FFF" wp14:editId="59AD69B3">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D22D3E" w:rsidRDefault="00D22D3E" w:rsidP="00D22D3E">
          <w:pPr>
            <w:pStyle w:val="ReportTitle"/>
          </w:pPr>
        </w:p>
        <w:p w:rsidR="00D22D3E" w:rsidRPr="00D22D3E" w:rsidRDefault="00D22D3E" w:rsidP="000F6915">
          <w:pPr>
            <w:pStyle w:val="ReportTitle"/>
          </w:pPr>
          <w:r w:rsidRPr="00D22D3E">
            <w:t>Annual Benchmarking Report</w:t>
          </w:r>
        </w:p>
        <w:p w:rsidR="00D22D3E" w:rsidRPr="00D22D3E" w:rsidRDefault="00D22D3E" w:rsidP="00D22D3E">
          <w:pPr>
            <w:rPr>
              <w:lang w:eastAsia="en-AU"/>
            </w:rPr>
          </w:pPr>
        </w:p>
        <w:p w:rsidR="00D22D3E" w:rsidRPr="00D22D3E" w:rsidRDefault="00D22D3E" w:rsidP="00D22D3E">
          <w:pPr>
            <w:pStyle w:val="ReportSubtitle"/>
          </w:pPr>
          <w:r w:rsidRPr="00D22D3E">
            <w:t xml:space="preserve">Electricity </w:t>
          </w:r>
          <w:r w:rsidR="00645B85">
            <w:t>distribution</w:t>
          </w:r>
          <w:r w:rsidRPr="00D22D3E">
            <w:t xml:space="preserve"> network service providers</w:t>
          </w:r>
        </w:p>
        <w:p w:rsidR="00D22D3E" w:rsidRPr="00D22D3E" w:rsidRDefault="00D22D3E" w:rsidP="00D22D3E">
          <w:pPr>
            <w:pStyle w:val="ReportSubtitle"/>
          </w:pPr>
        </w:p>
        <w:p w:rsidR="00D22D3E" w:rsidRPr="00D22D3E" w:rsidRDefault="00D22D3E" w:rsidP="00D22D3E">
          <w:pPr>
            <w:pStyle w:val="ReportDate"/>
          </w:pPr>
          <w:r w:rsidRPr="00D22D3E">
            <w:t>November 2016</w:t>
          </w:r>
        </w:p>
        <w:p w:rsidR="000A6C7B" w:rsidRPr="00327A1E" w:rsidRDefault="002306FF" w:rsidP="00D22D3E">
          <w:pPr>
            <w:pStyle w:val="ReportSubtitle"/>
            <w:tabs>
              <w:tab w:val="left" w:pos="1122"/>
              <w:tab w:val="center" w:pos="4238"/>
            </w:tabs>
            <w:jc w:val="left"/>
          </w:pP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474DF">
        <w:t>6</w:t>
      </w:r>
    </w:p>
    <w:p w:rsidR="00CE2A23" w:rsidRDefault="00CE2A23" w:rsidP="00761454">
      <w:r>
        <w:t xml:space="preserve">This work is copyright. In addition to any use permitted under the Copyright Act 1968, all material contained within this work </w:t>
      </w:r>
      <w:proofErr w:type="gramStart"/>
      <w:r>
        <w:t>is provided</w:t>
      </w:r>
      <w:proofErr w:type="gramEnd"/>
      <w:r>
        <w:t xml:space="preserve">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 xml:space="preserve">Requests and inquiries concerning reproduction and rights </w:t>
      </w:r>
      <w:proofErr w:type="gramStart"/>
      <w:r>
        <w:t>should be addressed</w:t>
      </w:r>
      <w:proofErr w:type="gramEnd"/>
      <w:r>
        <w:t xml:space="preserve">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 xml:space="preserve">Inquiries about this publication </w:t>
      </w:r>
      <w:proofErr w:type="gramStart"/>
      <w:r>
        <w:t>should be addressed</w:t>
      </w:r>
      <w:proofErr w:type="gramEnd"/>
      <w:r>
        <w:t xml:space="preserve">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645B85">
      <w:pPr>
        <w:pStyle w:val="TOCHeading"/>
      </w:pPr>
      <w:bookmarkStart w:id="1" w:name="_Toc403144133"/>
      <w:r>
        <w:lastRenderedPageBreak/>
        <w:t>Contents</w:t>
      </w:r>
      <w:bookmarkEnd w:id="1"/>
    </w:p>
    <w:sdt>
      <w:sdtPr>
        <w:id w:val="1269200322"/>
        <w:docPartObj>
          <w:docPartGallery w:val="Table of Contents"/>
          <w:docPartUnique/>
        </w:docPartObj>
      </w:sdtPr>
      <w:sdtContent>
        <w:p w:rsidR="005B1167"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8175050" w:history="1">
            <w:r w:rsidR="005B1167" w:rsidRPr="00F120E5">
              <w:rPr>
                <w:rStyle w:val="Hyperlink"/>
              </w:rPr>
              <w:t>Shortened forms</w:t>
            </w:r>
            <w:r w:rsidR="005B1167">
              <w:rPr>
                <w:webHidden/>
              </w:rPr>
              <w:tab/>
            </w:r>
            <w:r w:rsidR="005B1167">
              <w:rPr>
                <w:webHidden/>
              </w:rPr>
              <w:fldChar w:fldCharType="begin"/>
            </w:r>
            <w:r w:rsidR="005B1167">
              <w:rPr>
                <w:webHidden/>
              </w:rPr>
              <w:instrText xml:space="preserve"> PAGEREF _Toc468175050 \h </w:instrText>
            </w:r>
            <w:r w:rsidR="005B1167">
              <w:rPr>
                <w:webHidden/>
              </w:rPr>
            </w:r>
            <w:r w:rsidR="005B1167">
              <w:rPr>
                <w:webHidden/>
              </w:rPr>
              <w:fldChar w:fldCharType="separate"/>
            </w:r>
            <w:r w:rsidR="005B1167">
              <w:rPr>
                <w:webHidden/>
              </w:rPr>
              <w:t>3</w:t>
            </w:r>
            <w:r w:rsidR="005B1167">
              <w:rPr>
                <w:webHidden/>
              </w:rPr>
              <w:fldChar w:fldCharType="end"/>
            </w:r>
          </w:hyperlink>
        </w:p>
        <w:p w:rsidR="005B1167" w:rsidRDefault="002306FF">
          <w:pPr>
            <w:pStyle w:val="TOC1"/>
            <w:rPr>
              <w:rFonts w:asciiTheme="minorHAnsi" w:eastAsiaTheme="minorEastAsia" w:hAnsiTheme="minorHAnsi"/>
              <w:b w:val="0"/>
              <w:color w:val="auto"/>
              <w:sz w:val="22"/>
              <w:lang w:val="en-AU" w:eastAsia="en-AU"/>
            </w:rPr>
          </w:pPr>
          <w:hyperlink w:anchor="_Toc468175051" w:history="1">
            <w:r w:rsidR="005B1167" w:rsidRPr="00F120E5">
              <w:rPr>
                <w:rStyle w:val="Hyperlink"/>
              </w:rPr>
              <w:t>Glossary</w:t>
            </w:r>
            <w:r w:rsidR="005B1167">
              <w:rPr>
                <w:webHidden/>
              </w:rPr>
              <w:tab/>
            </w:r>
            <w:r w:rsidR="005B1167">
              <w:rPr>
                <w:webHidden/>
              </w:rPr>
              <w:fldChar w:fldCharType="begin"/>
            </w:r>
            <w:r w:rsidR="005B1167">
              <w:rPr>
                <w:webHidden/>
              </w:rPr>
              <w:instrText xml:space="preserve"> PAGEREF _Toc468175051 \h </w:instrText>
            </w:r>
            <w:r w:rsidR="005B1167">
              <w:rPr>
                <w:webHidden/>
              </w:rPr>
            </w:r>
            <w:r w:rsidR="005B1167">
              <w:rPr>
                <w:webHidden/>
              </w:rPr>
              <w:fldChar w:fldCharType="separate"/>
            </w:r>
            <w:r w:rsidR="005B1167">
              <w:rPr>
                <w:webHidden/>
              </w:rPr>
              <w:t>4</w:t>
            </w:r>
            <w:r w:rsidR="005B1167">
              <w:rPr>
                <w:webHidden/>
              </w:rPr>
              <w:fldChar w:fldCharType="end"/>
            </w:r>
          </w:hyperlink>
        </w:p>
        <w:p w:rsidR="005B1167" w:rsidRDefault="002306FF">
          <w:pPr>
            <w:pStyle w:val="TOC1"/>
            <w:rPr>
              <w:rFonts w:asciiTheme="minorHAnsi" w:eastAsiaTheme="minorEastAsia" w:hAnsiTheme="minorHAnsi"/>
              <w:b w:val="0"/>
              <w:color w:val="auto"/>
              <w:sz w:val="22"/>
              <w:lang w:val="en-AU" w:eastAsia="en-AU"/>
            </w:rPr>
          </w:pPr>
          <w:hyperlink w:anchor="_Toc468175052" w:history="1">
            <w:r w:rsidR="005B1167" w:rsidRPr="00F120E5">
              <w:rPr>
                <w:rStyle w:val="Hyperlink"/>
              </w:rPr>
              <w:t>Overview</w:t>
            </w:r>
            <w:r w:rsidR="005B1167">
              <w:rPr>
                <w:webHidden/>
              </w:rPr>
              <w:tab/>
            </w:r>
            <w:r w:rsidR="005B1167">
              <w:rPr>
                <w:webHidden/>
              </w:rPr>
              <w:fldChar w:fldCharType="begin"/>
            </w:r>
            <w:r w:rsidR="005B1167">
              <w:rPr>
                <w:webHidden/>
              </w:rPr>
              <w:instrText xml:space="preserve"> PAGEREF _Toc468175052 \h </w:instrText>
            </w:r>
            <w:r w:rsidR="005B1167">
              <w:rPr>
                <w:webHidden/>
              </w:rPr>
            </w:r>
            <w:r w:rsidR="005B1167">
              <w:rPr>
                <w:webHidden/>
              </w:rPr>
              <w:fldChar w:fldCharType="separate"/>
            </w:r>
            <w:r w:rsidR="005B1167">
              <w:rPr>
                <w:webHidden/>
              </w:rPr>
              <w:t>5</w:t>
            </w:r>
            <w:r w:rsidR="005B1167">
              <w:rPr>
                <w:webHidden/>
              </w:rPr>
              <w:fldChar w:fldCharType="end"/>
            </w:r>
          </w:hyperlink>
        </w:p>
        <w:p w:rsidR="005B1167" w:rsidRDefault="002306FF">
          <w:pPr>
            <w:pStyle w:val="TOC1"/>
            <w:rPr>
              <w:rFonts w:asciiTheme="minorHAnsi" w:eastAsiaTheme="minorEastAsia" w:hAnsiTheme="minorHAnsi"/>
              <w:b w:val="0"/>
              <w:color w:val="auto"/>
              <w:sz w:val="22"/>
              <w:lang w:val="en-AU" w:eastAsia="en-AU"/>
            </w:rPr>
          </w:pPr>
          <w:hyperlink w:anchor="_Toc468175053" w:history="1">
            <w:r w:rsidR="005B1167" w:rsidRPr="00F120E5">
              <w:rPr>
                <w:rStyle w:val="Hyperlink"/>
              </w:rPr>
              <w:t>1</w:t>
            </w:r>
            <w:r w:rsidR="005B1167">
              <w:rPr>
                <w:rFonts w:asciiTheme="minorHAnsi" w:eastAsiaTheme="minorEastAsia" w:hAnsiTheme="minorHAnsi"/>
                <w:b w:val="0"/>
                <w:color w:val="auto"/>
                <w:sz w:val="22"/>
                <w:lang w:val="en-AU" w:eastAsia="en-AU"/>
              </w:rPr>
              <w:tab/>
            </w:r>
            <w:r w:rsidR="005B1167" w:rsidRPr="00F120E5">
              <w:rPr>
                <w:rStyle w:val="Hyperlink"/>
              </w:rPr>
              <w:t>Introduction</w:t>
            </w:r>
            <w:r w:rsidR="005B1167">
              <w:rPr>
                <w:webHidden/>
              </w:rPr>
              <w:tab/>
            </w:r>
            <w:r w:rsidR="005B1167">
              <w:rPr>
                <w:webHidden/>
              </w:rPr>
              <w:fldChar w:fldCharType="begin"/>
            </w:r>
            <w:r w:rsidR="005B1167">
              <w:rPr>
                <w:webHidden/>
              </w:rPr>
              <w:instrText xml:space="preserve"> PAGEREF _Toc468175053 \h </w:instrText>
            </w:r>
            <w:r w:rsidR="005B1167">
              <w:rPr>
                <w:webHidden/>
              </w:rPr>
            </w:r>
            <w:r w:rsidR="005B1167">
              <w:rPr>
                <w:webHidden/>
              </w:rPr>
              <w:fldChar w:fldCharType="separate"/>
            </w:r>
            <w:r w:rsidR="005B1167">
              <w:rPr>
                <w:webHidden/>
              </w:rPr>
              <w:t>8</w:t>
            </w:r>
            <w:r w:rsidR="005B1167">
              <w:rPr>
                <w:webHidden/>
              </w:rPr>
              <w:fldChar w:fldCharType="end"/>
            </w:r>
          </w:hyperlink>
        </w:p>
        <w:p w:rsidR="005B1167" w:rsidRDefault="002306FF">
          <w:pPr>
            <w:pStyle w:val="TOC2"/>
            <w:rPr>
              <w:rFonts w:asciiTheme="minorHAnsi" w:eastAsiaTheme="minorEastAsia" w:hAnsiTheme="minorHAnsi"/>
              <w:b w:val="0"/>
              <w:color w:val="auto"/>
              <w:sz w:val="22"/>
              <w:lang w:eastAsia="en-AU"/>
            </w:rPr>
          </w:pPr>
          <w:hyperlink w:anchor="_Toc468175054" w:history="1">
            <w:r w:rsidR="005B1167" w:rsidRPr="00F120E5">
              <w:rPr>
                <w:rStyle w:val="Hyperlink"/>
              </w:rPr>
              <w:t>1.1</w:t>
            </w:r>
            <w:r w:rsidR="005B1167">
              <w:rPr>
                <w:rFonts w:asciiTheme="minorHAnsi" w:eastAsiaTheme="minorEastAsia" w:hAnsiTheme="minorHAnsi"/>
                <w:b w:val="0"/>
                <w:color w:val="auto"/>
                <w:sz w:val="22"/>
                <w:lang w:eastAsia="en-AU"/>
              </w:rPr>
              <w:tab/>
            </w:r>
            <w:r w:rsidR="005B1167" w:rsidRPr="00F120E5">
              <w:rPr>
                <w:rStyle w:val="Hyperlink"/>
              </w:rPr>
              <w:t>Who the report compares</w:t>
            </w:r>
            <w:r w:rsidR="005B1167">
              <w:rPr>
                <w:webHidden/>
              </w:rPr>
              <w:tab/>
            </w:r>
            <w:r w:rsidR="005B1167">
              <w:rPr>
                <w:webHidden/>
              </w:rPr>
              <w:fldChar w:fldCharType="begin"/>
            </w:r>
            <w:r w:rsidR="005B1167">
              <w:rPr>
                <w:webHidden/>
              </w:rPr>
              <w:instrText xml:space="preserve"> PAGEREF _Toc468175054 \h </w:instrText>
            </w:r>
            <w:r w:rsidR="005B1167">
              <w:rPr>
                <w:webHidden/>
              </w:rPr>
            </w:r>
            <w:r w:rsidR="005B1167">
              <w:rPr>
                <w:webHidden/>
              </w:rPr>
              <w:fldChar w:fldCharType="separate"/>
            </w:r>
            <w:r w:rsidR="005B1167">
              <w:rPr>
                <w:webHidden/>
              </w:rPr>
              <w:t>8</w:t>
            </w:r>
            <w:r w:rsidR="005B1167">
              <w:rPr>
                <w:webHidden/>
              </w:rPr>
              <w:fldChar w:fldCharType="end"/>
            </w:r>
          </w:hyperlink>
        </w:p>
        <w:p w:rsidR="005B1167" w:rsidRDefault="002306FF">
          <w:pPr>
            <w:pStyle w:val="TOC2"/>
            <w:rPr>
              <w:rFonts w:asciiTheme="minorHAnsi" w:eastAsiaTheme="minorEastAsia" w:hAnsiTheme="minorHAnsi"/>
              <w:b w:val="0"/>
              <w:color w:val="auto"/>
              <w:sz w:val="22"/>
              <w:lang w:eastAsia="en-AU"/>
            </w:rPr>
          </w:pPr>
          <w:hyperlink w:anchor="_Toc468175055" w:history="1">
            <w:r w:rsidR="005B1167" w:rsidRPr="00F120E5">
              <w:rPr>
                <w:rStyle w:val="Hyperlink"/>
              </w:rPr>
              <w:t>1.2</w:t>
            </w:r>
            <w:r w:rsidR="005B1167">
              <w:rPr>
                <w:rFonts w:asciiTheme="minorHAnsi" w:eastAsiaTheme="minorEastAsia" w:hAnsiTheme="minorHAnsi"/>
                <w:b w:val="0"/>
                <w:color w:val="auto"/>
                <w:sz w:val="22"/>
                <w:lang w:eastAsia="en-AU"/>
              </w:rPr>
              <w:tab/>
            </w:r>
            <w:r w:rsidR="005B1167" w:rsidRPr="00F120E5">
              <w:rPr>
                <w:rStyle w:val="Hyperlink"/>
              </w:rPr>
              <w:t>Benchmarking techniques</w:t>
            </w:r>
            <w:r w:rsidR="005B1167">
              <w:rPr>
                <w:webHidden/>
              </w:rPr>
              <w:tab/>
            </w:r>
            <w:r w:rsidR="005B1167">
              <w:rPr>
                <w:webHidden/>
              </w:rPr>
              <w:fldChar w:fldCharType="begin"/>
            </w:r>
            <w:r w:rsidR="005B1167">
              <w:rPr>
                <w:webHidden/>
              </w:rPr>
              <w:instrText xml:space="preserve"> PAGEREF _Toc468175055 \h </w:instrText>
            </w:r>
            <w:r w:rsidR="005B1167">
              <w:rPr>
                <w:webHidden/>
              </w:rPr>
            </w:r>
            <w:r w:rsidR="005B1167">
              <w:rPr>
                <w:webHidden/>
              </w:rPr>
              <w:fldChar w:fldCharType="separate"/>
            </w:r>
            <w:r w:rsidR="005B1167">
              <w:rPr>
                <w:webHidden/>
              </w:rPr>
              <w:t>9</w:t>
            </w:r>
            <w:r w:rsidR="005B1167">
              <w:rPr>
                <w:webHidden/>
              </w:rPr>
              <w:fldChar w:fldCharType="end"/>
            </w:r>
          </w:hyperlink>
        </w:p>
        <w:p w:rsidR="005B1167" w:rsidRDefault="002306FF">
          <w:pPr>
            <w:pStyle w:val="TOC2"/>
            <w:rPr>
              <w:rFonts w:asciiTheme="minorHAnsi" w:eastAsiaTheme="minorEastAsia" w:hAnsiTheme="minorHAnsi"/>
              <w:b w:val="0"/>
              <w:color w:val="auto"/>
              <w:sz w:val="22"/>
              <w:lang w:eastAsia="en-AU"/>
            </w:rPr>
          </w:pPr>
          <w:hyperlink w:anchor="_Toc468175056" w:history="1">
            <w:r w:rsidR="005B1167" w:rsidRPr="00F120E5">
              <w:rPr>
                <w:rStyle w:val="Hyperlink"/>
              </w:rPr>
              <w:t>1.3</w:t>
            </w:r>
            <w:r w:rsidR="005B1167">
              <w:rPr>
                <w:rFonts w:asciiTheme="minorHAnsi" w:eastAsiaTheme="minorEastAsia" w:hAnsiTheme="minorHAnsi"/>
                <w:b w:val="0"/>
                <w:color w:val="auto"/>
                <w:sz w:val="22"/>
                <w:lang w:eastAsia="en-AU"/>
              </w:rPr>
              <w:tab/>
            </w:r>
            <w:r w:rsidR="005B1167" w:rsidRPr="00F120E5">
              <w:rPr>
                <w:rStyle w:val="Hyperlink"/>
              </w:rPr>
              <w:t>Inputs and outputs</w:t>
            </w:r>
            <w:r w:rsidR="005B1167">
              <w:rPr>
                <w:webHidden/>
              </w:rPr>
              <w:tab/>
            </w:r>
            <w:r w:rsidR="005B1167">
              <w:rPr>
                <w:webHidden/>
              </w:rPr>
              <w:fldChar w:fldCharType="begin"/>
            </w:r>
            <w:r w:rsidR="005B1167">
              <w:rPr>
                <w:webHidden/>
              </w:rPr>
              <w:instrText xml:space="preserve"> PAGEREF _Toc468175056 \h </w:instrText>
            </w:r>
            <w:r w:rsidR="005B1167">
              <w:rPr>
                <w:webHidden/>
              </w:rPr>
            </w:r>
            <w:r w:rsidR="005B1167">
              <w:rPr>
                <w:webHidden/>
              </w:rPr>
              <w:fldChar w:fldCharType="separate"/>
            </w:r>
            <w:r w:rsidR="005B1167">
              <w:rPr>
                <w:webHidden/>
              </w:rPr>
              <w:t>10</w:t>
            </w:r>
            <w:r w:rsidR="005B1167">
              <w:rPr>
                <w:webHidden/>
              </w:rPr>
              <w:fldChar w:fldCharType="end"/>
            </w:r>
          </w:hyperlink>
        </w:p>
        <w:p w:rsidR="005B1167" w:rsidRDefault="002306FF">
          <w:pPr>
            <w:pStyle w:val="TOC2"/>
            <w:rPr>
              <w:rFonts w:asciiTheme="minorHAnsi" w:eastAsiaTheme="minorEastAsia" w:hAnsiTheme="minorHAnsi"/>
              <w:b w:val="0"/>
              <w:color w:val="auto"/>
              <w:sz w:val="22"/>
              <w:lang w:eastAsia="en-AU"/>
            </w:rPr>
          </w:pPr>
          <w:hyperlink w:anchor="_Toc468175057" w:history="1">
            <w:r w:rsidR="005B1167" w:rsidRPr="00F120E5">
              <w:rPr>
                <w:rStyle w:val="Hyperlink"/>
              </w:rPr>
              <w:t>1.4</w:t>
            </w:r>
            <w:r w:rsidR="005B1167">
              <w:rPr>
                <w:rFonts w:asciiTheme="minorHAnsi" w:eastAsiaTheme="minorEastAsia" w:hAnsiTheme="minorHAnsi"/>
                <w:b w:val="0"/>
                <w:color w:val="auto"/>
                <w:sz w:val="22"/>
                <w:lang w:eastAsia="en-AU"/>
              </w:rPr>
              <w:tab/>
            </w:r>
            <w:r w:rsidR="005B1167" w:rsidRPr="00F120E5">
              <w:rPr>
                <w:rStyle w:val="Hyperlink"/>
              </w:rPr>
              <w:t>Data</w:t>
            </w:r>
            <w:r w:rsidR="005B1167">
              <w:rPr>
                <w:webHidden/>
              </w:rPr>
              <w:tab/>
            </w:r>
            <w:r w:rsidR="005B1167">
              <w:rPr>
                <w:webHidden/>
              </w:rPr>
              <w:fldChar w:fldCharType="begin"/>
            </w:r>
            <w:r w:rsidR="005B1167">
              <w:rPr>
                <w:webHidden/>
              </w:rPr>
              <w:instrText xml:space="preserve"> PAGEREF _Toc468175057 \h </w:instrText>
            </w:r>
            <w:r w:rsidR="005B1167">
              <w:rPr>
                <w:webHidden/>
              </w:rPr>
            </w:r>
            <w:r w:rsidR="005B1167">
              <w:rPr>
                <w:webHidden/>
              </w:rPr>
              <w:fldChar w:fldCharType="separate"/>
            </w:r>
            <w:r w:rsidR="005B1167">
              <w:rPr>
                <w:webHidden/>
              </w:rPr>
              <w:t>11</w:t>
            </w:r>
            <w:r w:rsidR="005B1167">
              <w:rPr>
                <w:webHidden/>
              </w:rPr>
              <w:fldChar w:fldCharType="end"/>
            </w:r>
          </w:hyperlink>
        </w:p>
        <w:p w:rsidR="005B1167" w:rsidRDefault="002306FF">
          <w:pPr>
            <w:pStyle w:val="TOC2"/>
            <w:rPr>
              <w:rFonts w:asciiTheme="minorHAnsi" w:eastAsiaTheme="minorEastAsia" w:hAnsiTheme="minorHAnsi"/>
              <w:b w:val="0"/>
              <w:color w:val="auto"/>
              <w:sz w:val="22"/>
              <w:lang w:eastAsia="en-AU"/>
            </w:rPr>
          </w:pPr>
          <w:hyperlink w:anchor="_Toc468175058" w:history="1">
            <w:r w:rsidR="005B1167" w:rsidRPr="00F120E5">
              <w:rPr>
                <w:rStyle w:val="Hyperlink"/>
              </w:rPr>
              <w:t>1.5</w:t>
            </w:r>
            <w:r w:rsidR="005B1167">
              <w:rPr>
                <w:rFonts w:asciiTheme="minorHAnsi" w:eastAsiaTheme="minorEastAsia" w:hAnsiTheme="minorHAnsi"/>
                <w:b w:val="0"/>
                <w:color w:val="auto"/>
                <w:sz w:val="22"/>
                <w:lang w:eastAsia="en-AU"/>
              </w:rPr>
              <w:tab/>
            </w:r>
            <w:r w:rsidR="005B1167" w:rsidRPr="00F120E5">
              <w:rPr>
                <w:rStyle w:val="Hyperlink"/>
              </w:rPr>
              <w:t>Measuring productivity and efficiency</w:t>
            </w:r>
            <w:r w:rsidR="005B1167">
              <w:rPr>
                <w:webHidden/>
              </w:rPr>
              <w:tab/>
            </w:r>
            <w:r w:rsidR="005B1167">
              <w:rPr>
                <w:webHidden/>
              </w:rPr>
              <w:fldChar w:fldCharType="begin"/>
            </w:r>
            <w:r w:rsidR="005B1167">
              <w:rPr>
                <w:webHidden/>
              </w:rPr>
              <w:instrText xml:space="preserve"> PAGEREF _Toc468175058 \h </w:instrText>
            </w:r>
            <w:r w:rsidR="005B1167">
              <w:rPr>
                <w:webHidden/>
              </w:rPr>
            </w:r>
            <w:r w:rsidR="005B1167">
              <w:rPr>
                <w:webHidden/>
              </w:rPr>
              <w:fldChar w:fldCharType="separate"/>
            </w:r>
            <w:r w:rsidR="005B1167">
              <w:rPr>
                <w:webHidden/>
              </w:rPr>
              <w:t>12</w:t>
            </w:r>
            <w:r w:rsidR="005B1167">
              <w:rPr>
                <w:webHidden/>
              </w:rPr>
              <w:fldChar w:fldCharType="end"/>
            </w:r>
          </w:hyperlink>
        </w:p>
        <w:p w:rsidR="005B1167" w:rsidRDefault="002306FF">
          <w:pPr>
            <w:pStyle w:val="TOC1"/>
            <w:rPr>
              <w:rFonts w:asciiTheme="minorHAnsi" w:eastAsiaTheme="minorEastAsia" w:hAnsiTheme="minorHAnsi"/>
              <w:b w:val="0"/>
              <w:color w:val="auto"/>
              <w:sz w:val="22"/>
              <w:lang w:val="en-AU" w:eastAsia="en-AU"/>
            </w:rPr>
          </w:pPr>
          <w:hyperlink w:anchor="_Toc468175059" w:history="1">
            <w:r w:rsidR="005B1167" w:rsidRPr="00F120E5">
              <w:rPr>
                <w:rStyle w:val="Hyperlink"/>
              </w:rPr>
              <w:t>2</w:t>
            </w:r>
            <w:r w:rsidR="005B1167">
              <w:rPr>
                <w:rFonts w:asciiTheme="minorHAnsi" w:eastAsiaTheme="minorEastAsia" w:hAnsiTheme="minorHAnsi"/>
                <w:b w:val="0"/>
                <w:color w:val="auto"/>
                <w:sz w:val="22"/>
                <w:lang w:val="en-AU" w:eastAsia="en-AU"/>
              </w:rPr>
              <w:tab/>
            </w:r>
            <w:r w:rsidR="005B1167" w:rsidRPr="00F120E5">
              <w:rPr>
                <w:rStyle w:val="Hyperlink"/>
              </w:rPr>
              <w:t>Benchmarking results</w:t>
            </w:r>
            <w:r w:rsidR="005B1167">
              <w:rPr>
                <w:webHidden/>
              </w:rPr>
              <w:tab/>
            </w:r>
            <w:r w:rsidR="005B1167">
              <w:rPr>
                <w:webHidden/>
              </w:rPr>
              <w:fldChar w:fldCharType="begin"/>
            </w:r>
            <w:r w:rsidR="005B1167">
              <w:rPr>
                <w:webHidden/>
              </w:rPr>
              <w:instrText xml:space="preserve"> PAGEREF _Toc468175059 \h </w:instrText>
            </w:r>
            <w:r w:rsidR="005B1167">
              <w:rPr>
                <w:webHidden/>
              </w:rPr>
            </w:r>
            <w:r w:rsidR="005B1167">
              <w:rPr>
                <w:webHidden/>
              </w:rPr>
              <w:fldChar w:fldCharType="separate"/>
            </w:r>
            <w:r w:rsidR="005B1167">
              <w:rPr>
                <w:webHidden/>
              </w:rPr>
              <w:t>14</w:t>
            </w:r>
            <w:r w:rsidR="005B1167">
              <w:rPr>
                <w:webHidden/>
              </w:rPr>
              <w:fldChar w:fldCharType="end"/>
            </w:r>
          </w:hyperlink>
        </w:p>
        <w:p w:rsidR="005B1167" w:rsidRDefault="002306FF">
          <w:pPr>
            <w:pStyle w:val="TOC2"/>
            <w:rPr>
              <w:rFonts w:asciiTheme="minorHAnsi" w:eastAsiaTheme="minorEastAsia" w:hAnsiTheme="minorHAnsi"/>
              <w:b w:val="0"/>
              <w:color w:val="auto"/>
              <w:sz w:val="22"/>
              <w:lang w:eastAsia="en-AU"/>
            </w:rPr>
          </w:pPr>
          <w:hyperlink w:anchor="_Toc468175060" w:history="1">
            <w:r w:rsidR="005B1167" w:rsidRPr="00F120E5">
              <w:rPr>
                <w:rStyle w:val="Hyperlink"/>
              </w:rPr>
              <w:t>2.1</w:t>
            </w:r>
            <w:r w:rsidR="005B1167">
              <w:rPr>
                <w:rFonts w:asciiTheme="minorHAnsi" w:eastAsiaTheme="minorEastAsia" w:hAnsiTheme="minorHAnsi"/>
                <w:b w:val="0"/>
                <w:color w:val="auto"/>
                <w:sz w:val="22"/>
                <w:lang w:eastAsia="en-AU"/>
              </w:rPr>
              <w:tab/>
            </w:r>
            <w:r w:rsidR="005B1167" w:rsidRPr="00F120E5">
              <w:rPr>
                <w:rStyle w:val="Hyperlink"/>
              </w:rPr>
              <w:t>Multilateral total factor productivity results</w:t>
            </w:r>
            <w:r w:rsidR="005B1167">
              <w:rPr>
                <w:webHidden/>
              </w:rPr>
              <w:tab/>
            </w:r>
            <w:r w:rsidR="005B1167">
              <w:rPr>
                <w:webHidden/>
              </w:rPr>
              <w:fldChar w:fldCharType="begin"/>
            </w:r>
            <w:r w:rsidR="005B1167">
              <w:rPr>
                <w:webHidden/>
              </w:rPr>
              <w:instrText xml:space="preserve"> PAGEREF _Toc468175060 \h </w:instrText>
            </w:r>
            <w:r w:rsidR="005B1167">
              <w:rPr>
                <w:webHidden/>
              </w:rPr>
            </w:r>
            <w:r w:rsidR="005B1167">
              <w:rPr>
                <w:webHidden/>
              </w:rPr>
              <w:fldChar w:fldCharType="separate"/>
            </w:r>
            <w:r w:rsidR="005B1167">
              <w:rPr>
                <w:webHidden/>
              </w:rPr>
              <w:t>14</w:t>
            </w:r>
            <w:r w:rsidR="005B1167">
              <w:rPr>
                <w:webHidden/>
              </w:rPr>
              <w:fldChar w:fldCharType="end"/>
            </w:r>
          </w:hyperlink>
        </w:p>
        <w:p w:rsidR="005B1167" w:rsidRDefault="002306FF">
          <w:pPr>
            <w:pStyle w:val="TOC3"/>
            <w:rPr>
              <w:rFonts w:asciiTheme="minorHAnsi" w:eastAsiaTheme="minorEastAsia" w:hAnsiTheme="minorHAnsi"/>
              <w:lang w:eastAsia="en-AU"/>
            </w:rPr>
          </w:pPr>
          <w:hyperlink w:anchor="_Toc468175061" w:history="1">
            <w:r w:rsidR="005B1167" w:rsidRPr="00F120E5">
              <w:rPr>
                <w:rStyle w:val="Hyperlink"/>
              </w:rPr>
              <w:t>2.1.1</w:t>
            </w:r>
            <w:r w:rsidR="005B1167">
              <w:rPr>
                <w:rFonts w:asciiTheme="minorHAnsi" w:eastAsiaTheme="minorEastAsia" w:hAnsiTheme="minorHAnsi"/>
                <w:lang w:eastAsia="en-AU"/>
              </w:rPr>
              <w:tab/>
            </w:r>
            <w:r w:rsidR="005B1167" w:rsidRPr="00F120E5">
              <w:rPr>
                <w:rStyle w:val="Hyperlink"/>
              </w:rPr>
              <w:t>Industry MTFP</w:t>
            </w:r>
            <w:r w:rsidR="005B1167">
              <w:rPr>
                <w:webHidden/>
              </w:rPr>
              <w:tab/>
            </w:r>
            <w:r w:rsidR="005B1167">
              <w:rPr>
                <w:webHidden/>
              </w:rPr>
              <w:fldChar w:fldCharType="begin"/>
            </w:r>
            <w:r w:rsidR="005B1167">
              <w:rPr>
                <w:webHidden/>
              </w:rPr>
              <w:instrText xml:space="preserve"> PAGEREF _Toc468175061 \h </w:instrText>
            </w:r>
            <w:r w:rsidR="005B1167">
              <w:rPr>
                <w:webHidden/>
              </w:rPr>
            </w:r>
            <w:r w:rsidR="005B1167">
              <w:rPr>
                <w:webHidden/>
              </w:rPr>
              <w:fldChar w:fldCharType="separate"/>
            </w:r>
            <w:r w:rsidR="005B1167">
              <w:rPr>
                <w:webHidden/>
              </w:rPr>
              <w:t>14</w:t>
            </w:r>
            <w:r w:rsidR="005B1167">
              <w:rPr>
                <w:webHidden/>
              </w:rPr>
              <w:fldChar w:fldCharType="end"/>
            </w:r>
          </w:hyperlink>
        </w:p>
        <w:p w:rsidR="005B1167" w:rsidRDefault="002306FF">
          <w:pPr>
            <w:pStyle w:val="TOC3"/>
            <w:rPr>
              <w:rFonts w:asciiTheme="minorHAnsi" w:eastAsiaTheme="minorEastAsia" w:hAnsiTheme="minorHAnsi"/>
              <w:lang w:eastAsia="en-AU"/>
            </w:rPr>
          </w:pPr>
          <w:hyperlink w:anchor="_Toc468175062" w:history="1">
            <w:r w:rsidR="005B1167" w:rsidRPr="00F120E5">
              <w:rPr>
                <w:rStyle w:val="Hyperlink"/>
              </w:rPr>
              <w:t>2.1.2</w:t>
            </w:r>
            <w:r w:rsidR="005B1167">
              <w:rPr>
                <w:rFonts w:asciiTheme="minorHAnsi" w:eastAsiaTheme="minorEastAsia" w:hAnsiTheme="minorHAnsi"/>
                <w:lang w:eastAsia="en-AU"/>
              </w:rPr>
              <w:tab/>
            </w:r>
            <w:r w:rsidR="005B1167" w:rsidRPr="00F120E5">
              <w:rPr>
                <w:rStyle w:val="Hyperlink"/>
              </w:rPr>
              <w:t>MTFP by State</w:t>
            </w:r>
            <w:r w:rsidR="005B1167">
              <w:rPr>
                <w:webHidden/>
              </w:rPr>
              <w:tab/>
            </w:r>
            <w:r w:rsidR="005B1167">
              <w:rPr>
                <w:webHidden/>
              </w:rPr>
              <w:fldChar w:fldCharType="begin"/>
            </w:r>
            <w:r w:rsidR="005B1167">
              <w:rPr>
                <w:webHidden/>
              </w:rPr>
              <w:instrText xml:space="preserve"> PAGEREF _Toc468175062 \h </w:instrText>
            </w:r>
            <w:r w:rsidR="005B1167">
              <w:rPr>
                <w:webHidden/>
              </w:rPr>
            </w:r>
            <w:r w:rsidR="005B1167">
              <w:rPr>
                <w:webHidden/>
              </w:rPr>
              <w:fldChar w:fldCharType="separate"/>
            </w:r>
            <w:r w:rsidR="005B1167">
              <w:rPr>
                <w:webHidden/>
              </w:rPr>
              <w:t>15</w:t>
            </w:r>
            <w:r w:rsidR="005B1167">
              <w:rPr>
                <w:webHidden/>
              </w:rPr>
              <w:fldChar w:fldCharType="end"/>
            </w:r>
          </w:hyperlink>
        </w:p>
        <w:p w:rsidR="005B1167" w:rsidRDefault="002306FF">
          <w:pPr>
            <w:pStyle w:val="TOC3"/>
            <w:rPr>
              <w:rFonts w:asciiTheme="minorHAnsi" w:eastAsiaTheme="minorEastAsia" w:hAnsiTheme="minorHAnsi"/>
              <w:lang w:eastAsia="en-AU"/>
            </w:rPr>
          </w:pPr>
          <w:hyperlink w:anchor="_Toc468175063" w:history="1">
            <w:r w:rsidR="005B1167" w:rsidRPr="00F120E5">
              <w:rPr>
                <w:rStyle w:val="Hyperlink"/>
              </w:rPr>
              <w:t>2.1.3</w:t>
            </w:r>
            <w:r w:rsidR="005B1167">
              <w:rPr>
                <w:rFonts w:asciiTheme="minorHAnsi" w:eastAsiaTheme="minorEastAsia" w:hAnsiTheme="minorHAnsi"/>
                <w:lang w:eastAsia="en-AU"/>
              </w:rPr>
              <w:tab/>
            </w:r>
            <w:r w:rsidR="005B1167" w:rsidRPr="00F120E5">
              <w:rPr>
                <w:rStyle w:val="Hyperlink"/>
              </w:rPr>
              <w:t>MTFP by DNSP</w:t>
            </w:r>
            <w:r w:rsidR="005B1167">
              <w:rPr>
                <w:webHidden/>
              </w:rPr>
              <w:tab/>
            </w:r>
            <w:r w:rsidR="005B1167">
              <w:rPr>
                <w:webHidden/>
              </w:rPr>
              <w:fldChar w:fldCharType="begin"/>
            </w:r>
            <w:r w:rsidR="005B1167">
              <w:rPr>
                <w:webHidden/>
              </w:rPr>
              <w:instrText xml:space="preserve"> PAGEREF _Toc468175063 \h </w:instrText>
            </w:r>
            <w:r w:rsidR="005B1167">
              <w:rPr>
                <w:webHidden/>
              </w:rPr>
            </w:r>
            <w:r w:rsidR="005B1167">
              <w:rPr>
                <w:webHidden/>
              </w:rPr>
              <w:fldChar w:fldCharType="separate"/>
            </w:r>
            <w:r w:rsidR="005B1167">
              <w:rPr>
                <w:webHidden/>
              </w:rPr>
              <w:t>15</w:t>
            </w:r>
            <w:r w:rsidR="005B1167">
              <w:rPr>
                <w:webHidden/>
              </w:rPr>
              <w:fldChar w:fldCharType="end"/>
            </w:r>
          </w:hyperlink>
        </w:p>
        <w:p w:rsidR="005B1167" w:rsidRDefault="002306FF">
          <w:pPr>
            <w:pStyle w:val="TOC3"/>
            <w:rPr>
              <w:rFonts w:asciiTheme="minorHAnsi" w:eastAsiaTheme="minorEastAsia" w:hAnsiTheme="minorHAnsi"/>
              <w:lang w:eastAsia="en-AU"/>
            </w:rPr>
          </w:pPr>
          <w:hyperlink w:anchor="_Toc468175064" w:history="1">
            <w:r w:rsidR="005B1167" w:rsidRPr="00F120E5">
              <w:rPr>
                <w:rStyle w:val="Hyperlink"/>
              </w:rPr>
              <w:t>2.1.4</w:t>
            </w:r>
            <w:r w:rsidR="005B1167">
              <w:rPr>
                <w:rFonts w:asciiTheme="minorHAnsi" w:eastAsiaTheme="minorEastAsia" w:hAnsiTheme="minorHAnsi"/>
                <w:lang w:eastAsia="en-AU"/>
              </w:rPr>
              <w:tab/>
            </w:r>
            <w:r w:rsidR="005B1167" w:rsidRPr="00F120E5">
              <w:rPr>
                <w:rStyle w:val="Hyperlink"/>
              </w:rPr>
              <w:t>Observations for 2014–15</w:t>
            </w:r>
            <w:r w:rsidR="005B1167">
              <w:rPr>
                <w:webHidden/>
              </w:rPr>
              <w:tab/>
            </w:r>
            <w:r w:rsidR="005B1167">
              <w:rPr>
                <w:webHidden/>
              </w:rPr>
              <w:fldChar w:fldCharType="begin"/>
            </w:r>
            <w:r w:rsidR="005B1167">
              <w:rPr>
                <w:webHidden/>
              </w:rPr>
              <w:instrText xml:space="preserve"> PAGEREF _Toc468175064 \h </w:instrText>
            </w:r>
            <w:r w:rsidR="005B1167">
              <w:rPr>
                <w:webHidden/>
              </w:rPr>
            </w:r>
            <w:r w:rsidR="005B1167">
              <w:rPr>
                <w:webHidden/>
              </w:rPr>
              <w:fldChar w:fldCharType="separate"/>
            </w:r>
            <w:r w:rsidR="005B1167">
              <w:rPr>
                <w:webHidden/>
              </w:rPr>
              <w:t>16</w:t>
            </w:r>
            <w:r w:rsidR="005B1167">
              <w:rPr>
                <w:webHidden/>
              </w:rPr>
              <w:fldChar w:fldCharType="end"/>
            </w:r>
          </w:hyperlink>
        </w:p>
        <w:p w:rsidR="005B1167" w:rsidRDefault="002306FF">
          <w:pPr>
            <w:pStyle w:val="TOC2"/>
            <w:rPr>
              <w:rFonts w:asciiTheme="minorHAnsi" w:eastAsiaTheme="minorEastAsia" w:hAnsiTheme="minorHAnsi"/>
              <w:b w:val="0"/>
              <w:color w:val="auto"/>
              <w:sz w:val="22"/>
              <w:lang w:eastAsia="en-AU"/>
            </w:rPr>
          </w:pPr>
          <w:hyperlink w:anchor="_Toc468175065" w:history="1">
            <w:r w:rsidR="005B1167" w:rsidRPr="00F120E5">
              <w:rPr>
                <w:rStyle w:val="Hyperlink"/>
              </w:rPr>
              <w:t>2.2</w:t>
            </w:r>
            <w:r w:rsidR="005B1167">
              <w:rPr>
                <w:rFonts w:asciiTheme="minorHAnsi" w:eastAsiaTheme="minorEastAsia" w:hAnsiTheme="minorHAnsi"/>
                <w:b w:val="0"/>
                <w:color w:val="auto"/>
                <w:sz w:val="22"/>
                <w:lang w:eastAsia="en-AU"/>
              </w:rPr>
              <w:tab/>
            </w:r>
            <w:r w:rsidR="005B1167" w:rsidRPr="00F120E5">
              <w:rPr>
                <w:rStyle w:val="Hyperlink"/>
              </w:rPr>
              <w:t>Results from supporting benchmarking techniques</w:t>
            </w:r>
            <w:r w:rsidR="005B1167">
              <w:rPr>
                <w:webHidden/>
              </w:rPr>
              <w:tab/>
            </w:r>
            <w:r w:rsidR="005B1167">
              <w:rPr>
                <w:webHidden/>
              </w:rPr>
              <w:fldChar w:fldCharType="begin"/>
            </w:r>
            <w:r w:rsidR="005B1167">
              <w:rPr>
                <w:webHidden/>
              </w:rPr>
              <w:instrText xml:space="preserve"> PAGEREF _Toc468175065 \h </w:instrText>
            </w:r>
            <w:r w:rsidR="005B1167">
              <w:rPr>
                <w:webHidden/>
              </w:rPr>
            </w:r>
            <w:r w:rsidR="005B1167">
              <w:rPr>
                <w:webHidden/>
              </w:rPr>
              <w:fldChar w:fldCharType="separate"/>
            </w:r>
            <w:r w:rsidR="005B1167">
              <w:rPr>
                <w:webHidden/>
              </w:rPr>
              <w:t>18</w:t>
            </w:r>
            <w:r w:rsidR="005B1167">
              <w:rPr>
                <w:webHidden/>
              </w:rPr>
              <w:fldChar w:fldCharType="end"/>
            </w:r>
          </w:hyperlink>
        </w:p>
        <w:p w:rsidR="005B1167" w:rsidRDefault="002306FF">
          <w:pPr>
            <w:pStyle w:val="TOC3"/>
            <w:rPr>
              <w:rFonts w:asciiTheme="minorHAnsi" w:eastAsiaTheme="minorEastAsia" w:hAnsiTheme="minorHAnsi"/>
              <w:lang w:eastAsia="en-AU"/>
            </w:rPr>
          </w:pPr>
          <w:hyperlink w:anchor="_Toc468175066" w:history="1">
            <w:r w:rsidR="005B1167" w:rsidRPr="00F120E5">
              <w:rPr>
                <w:rStyle w:val="Hyperlink"/>
              </w:rPr>
              <w:t>2.2.1</w:t>
            </w:r>
            <w:r w:rsidR="005B1167">
              <w:rPr>
                <w:rFonts w:asciiTheme="minorHAnsi" w:eastAsiaTheme="minorEastAsia" w:hAnsiTheme="minorHAnsi"/>
                <w:lang w:eastAsia="en-AU"/>
              </w:rPr>
              <w:tab/>
            </w:r>
            <w:r w:rsidR="005B1167" w:rsidRPr="00F120E5">
              <w:rPr>
                <w:rStyle w:val="Hyperlink"/>
              </w:rPr>
              <w:t>Multilateral partial factor productivity</w:t>
            </w:r>
            <w:r w:rsidR="005B1167">
              <w:rPr>
                <w:webHidden/>
              </w:rPr>
              <w:tab/>
            </w:r>
            <w:r w:rsidR="005B1167">
              <w:rPr>
                <w:webHidden/>
              </w:rPr>
              <w:fldChar w:fldCharType="begin"/>
            </w:r>
            <w:r w:rsidR="005B1167">
              <w:rPr>
                <w:webHidden/>
              </w:rPr>
              <w:instrText xml:space="preserve"> PAGEREF _Toc468175066 \h </w:instrText>
            </w:r>
            <w:r w:rsidR="005B1167">
              <w:rPr>
                <w:webHidden/>
              </w:rPr>
            </w:r>
            <w:r w:rsidR="005B1167">
              <w:rPr>
                <w:webHidden/>
              </w:rPr>
              <w:fldChar w:fldCharType="separate"/>
            </w:r>
            <w:r w:rsidR="005B1167">
              <w:rPr>
                <w:webHidden/>
              </w:rPr>
              <w:t>18</w:t>
            </w:r>
            <w:r w:rsidR="005B1167">
              <w:rPr>
                <w:webHidden/>
              </w:rPr>
              <w:fldChar w:fldCharType="end"/>
            </w:r>
          </w:hyperlink>
        </w:p>
        <w:p w:rsidR="005B1167" w:rsidRDefault="002306FF">
          <w:pPr>
            <w:pStyle w:val="TOC3"/>
            <w:rPr>
              <w:rFonts w:asciiTheme="minorHAnsi" w:eastAsiaTheme="minorEastAsia" w:hAnsiTheme="minorHAnsi"/>
              <w:lang w:eastAsia="en-AU"/>
            </w:rPr>
          </w:pPr>
          <w:hyperlink w:anchor="_Toc468175067" w:history="1">
            <w:r w:rsidR="005B1167" w:rsidRPr="00F120E5">
              <w:rPr>
                <w:rStyle w:val="Hyperlink"/>
              </w:rPr>
              <w:t>2.2.2</w:t>
            </w:r>
            <w:r w:rsidR="005B1167">
              <w:rPr>
                <w:rFonts w:asciiTheme="minorHAnsi" w:eastAsiaTheme="minorEastAsia" w:hAnsiTheme="minorHAnsi"/>
                <w:lang w:eastAsia="en-AU"/>
              </w:rPr>
              <w:tab/>
            </w:r>
            <w:r w:rsidR="005B1167" w:rsidRPr="00F120E5">
              <w:rPr>
                <w:rStyle w:val="Hyperlink"/>
              </w:rPr>
              <w:t>Econometric opex modelling</w:t>
            </w:r>
            <w:r w:rsidR="005B1167">
              <w:rPr>
                <w:webHidden/>
              </w:rPr>
              <w:tab/>
            </w:r>
            <w:r w:rsidR="005B1167">
              <w:rPr>
                <w:webHidden/>
              </w:rPr>
              <w:fldChar w:fldCharType="begin"/>
            </w:r>
            <w:r w:rsidR="005B1167">
              <w:rPr>
                <w:webHidden/>
              </w:rPr>
              <w:instrText xml:space="preserve"> PAGEREF _Toc468175067 \h </w:instrText>
            </w:r>
            <w:r w:rsidR="005B1167">
              <w:rPr>
                <w:webHidden/>
              </w:rPr>
            </w:r>
            <w:r w:rsidR="005B1167">
              <w:rPr>
                <w:webHidden/>
              </w:rPr>
              <w:fldChar w:fldCharType="separate"/>
            </w:r>
            <w:r w:rsidR="005B1167">
              <w:rPr>
                <w:webHidden/>
              </w:rPr>
              <w:t>19</w:t>
            </w:r>
            <w:r w:rsidR="005B1167">
              <w:rPr>
                <w:webHidden/>
              </w:rPr>
              <w:fldChar w:fldCharType="end"/>
            </w:r>
          </w:hyperlink>
        </w:p>
        <w:p w:rsidR="005B1167" w:rsidRDefault="002306FF">
          <w:pPr>
            <w:pStyle w:val="TOC3"/>
            <w:rPr>
              <w:rFonts w:asciiTheme="minorHAnsi" w:eastAsiaTheme="minorEastAsia" w:hAnsiTheme="minorHAnsi"/>
              <w:lang w:eastAsia="en-AU"/>
            </w:rPr>
          </w:pPr>
          <w:hyperlink w:anchor="_Toc468175068" w:history="1">
            <w:r w:rsidR="005B1167" w:rsidRPr="00F120E5">
              <w:rPr>
                <w:rStyle w:val="Hyperlink"/>
              </w:rPr>
              <w:t>2.2.3</w:t>
            </w:r>
            <w:r w:rsidR="005B1167">
              <w:rPr>
                <w:rFonts w:asciiTheme="minorHAnsi" w:eastAsiaTheme="minorEastAsia" w:hAnsiTheme="minorHAnsi"/>
                <w:lang w:eastAsia="en-AU"/>
              </w:rPr>
              <w:tab/>
            </w:r>
            <w:r w:rsidR="005B1167" w:rsidRPr="00F120E5">
              <w:rPr>
                <w:rStyle w:val="Hyperlink"/>
              </w:rPr>
              <w:t>Partial performance indicators</w:t>
            </w:r>
            <w:r w:rsidR="005B1167">
              <w:rPr>
                <w:webHidden/>
              </w:rPr>
              <w:tab/>
            </w:r>
            <w:r w:rsidR="005B1167">
              <w:rPr>
                <w:webHidden/>
              </w:rPr>
              <w:fldChar w:fldCharType="begin"/>
            </w:r>
            <w:r w:rsidR="005B1167">
              <w:rPr>
                <w:webHidden/>
              </w:rPr>
              <w:instrText xml:space="preserve"> PAGEREF _Toc468175068 \h </w:instrText>
            </w:r>
            <w:r w:rsidR="005B1167">
              <w:rPr>
                <w:webHidden/>
              </w:rPr>
            </w:r>
            <w:r w:rsidR="005B1167">
              <w:rPr>
                <w:webHidden/>
              </w:rPr>
              <w:fldChar w:fldCharType="separate"/>
            </w:r>
            <w:r w:rsidR="005B1167">
              <w:rPr>
                <w:webHidden/>
              </w:rPr>
              <w:t>21</w:t>
            </w:r>
            <w:r w:rsidR="005B1167">
              <w:rPr>
                <w:webHidden/>
              </w:rPr>
              <w:fldChar w:fldCharType="end"/>
            </w:r>
          </w:hyperlink>
        </w:p>
        <w:p w:rsidR="005B1167" w:rsidRDefault="002306FF">
          <w:pPr>
            <w:pStyle w:val="TOC1"/>
            <w:rPr>
              <w:rFonts w:asciiTheme="minorHAnsi" w:eastAsiaTheme="minorEastAsia" w:hAnsiTheme="minorHAnsi"/>
              <w:b w:val="0"/>
              <w:color w:val="auto"/>
              <w:sz w:val="22"/>
              <w:lang w:val="en-AU" w:eastAsia="en-AU"/>
            </w:rPr>
          </w:pPr>
          <w:hyperlink w:anchor="_Toc468175069" w:history="1">
            <w:r w:rsidR="005B1167" w:rsidRPr="00F120E5">
              <w:rPr>
                <w:rStyle w:val="Hyperlink"/>
              </w:rPr>
              <w:t>3</w:t>
            </w:r>
            <w:r w:rsidR="005B1167">
              <w:rPr>
                <w:rFonts w:asciiTheme="minorHAnsi" w:eastAsiaTheme="minorEastAsia" w:hAnsiTheme="minorHAnsi"/>
                <w:b w:val="0"/>
                <w:color w:val="auto"/>
                <w:sz w:val="22"/>
                <w:lang w:val="en-AU" w:eastAsia="en-AU"/>
              </w:rPr>
              <w:tab/>
            </w:r>
            <w:r w:rsidR="005B1167" w:rsidRPr="00F120E5">
              <w:rPr>
                <w:rStyle w:val="Hyperlink"/>
              </w:rPr>
              <w:t>Interpreting the benchmarking results</w:t>
            </w:r>
            <w:r w:rsidR="005B1167">
              <w:rPr>
                <w:webHidden/>
              </w:rPr>
              <w:tab/>
            </w:r>
            <w:r w:rsidR="005B1167">
              <w:rPr>
                <w:webHidden/>
              </w:rPr>
              <w:fldChar w:fldCharType="begin"/>
            </w:r>
            <w:r w:rsidR="005B1167">
              <w:rPr>
                <w:webHidden/>
              </w:rPr>
              <w:instrText xml:space="preserve"> PAGEREF _Toc468175069 \h </w:instrText>
            </w:r>
            <w:r w:rsidR="005B1167">
              <w:rPr>
                <w:webHidden/>
              </w:rPr>
            </w:r>
            <w:r w:rsidR="005B1167">
              <w:rPr>
                <w:webHidden/>
              </w:rPr>
              <w:fldChar w:fldCharType="separate"/>
            </w:r>
            <w:r w:rsidR="005B1167">
              <w:rPr>
                <w:webHidden/>
              </w:rPr>
              <w:t>26</w:t>
            </w:r>
            <w:r w:rsidR="005B1167">
              <w:rPr>
                <w:webHidden/>
              </w:rPr>
              <w:fldChar w:fldCharType="end"/>
            </w:r>
          </w:hyperlink>
        </w:p>
        <w:p w:rsidR="005B1167" w:rsidRDefault="002306FF">
          <w:pPr>
            <w:pStyle w:val="TOC2"/>
            <w:rPr>
              <w:rFonts w:asciiTheme="minorHAnsi" w:eastAsiaTheme="minorEastAsia" w:hAnsiTheme="minorHAnsi"/>
              <w:b w:val="0"/>
              <w:color w:val="auto"/>
              <w:sz w:val="22"/>
              <w:lang w:eastAsia="en-AU"/>
            </w:rPr>
          </w:pPr>
          <w:hyperlink w:anchor="_Toc468175070" w:history="1">
            <w:r w:rsidR="005B1167" w:rsidRPr="00F120E5">
              <w:rPr>
                <w:rStyle w:val="Hyperlink"/>
              </w:rPr>
              <w:t>3.1</w:t>
            </w:r>
            <w:r w:rsidR="005B1167">
              <w:rPr>
                <w:rFonts w:asciiTheme="minorHAnsi" w:eastAsiaTheme="minorEastAsia" w:hAnsiTheme="minorHAnsi"/>
                <w:b w:val="0"/>
                <w:color w:val="auto"/>
                <w:sz w:val="22"/>
                <w:lang w:eastAsia="en-AU"/>
              </w:rPr>
              <w:tab/>
            </w:r>
            <w:r w:rsidR="005B1167" w:rsidRPr="00F120E5">
              <w:rPr>
                <w:rStyle w:val="Hyperlink"/>
              </w:rPr>
              <w:t>Variations in recent productivity performance</w:t>
            </w:r>
            <w:r w:rsidR="005B1167">
              <w:rPr>
                <w:webHidden/>
              </w:rPr>
              <w:tab/>
            </w:r>
            <w:r w:rsidR="005B1167">
              <w:rPr>
                <w:webHidden/>
              </w:rPr>
              <w:fldChar w:fldCharType="begin"/>
            </w:r>
            <w:r w:rsidR="005B1167">
              <w:rPr>
                <w:webHidden/>
              </w:rPr>
              <w:instrText xml:space="preserve"> PAGEREF _Toc468175070 \h </w:instrText>
            </w:r>
            <w:r w:rsidR="005B1167">
              <w:rPr>
                <w:webHidden/>
              </w:rPr>
            </w:r>
            <w:r w:rsidR="005B1167">
              <w:rPr>
                <w:webHidden/>
              </w:rPr>
              <w:fldChar w:fldCharType="separate"/>
            </w:r>
            <w:r w:rsidR="005B1167">
              <w:rPr>
                <w:webHidden/>
              </w:rPr>
              <w:t>26</w:t>
            </w:r>
            <w:r w:rsidR="005B1167">
              <w:rPr>
                <w:webHidden/>
              </w:rPr>
              <w:fldChar w:fldCharType="end"/>
            </w:r>
          </w:hyperlink>
        </w:p>
        <w:p w:rsidR="005B1167" w:rsidRDefault="002306FF">
          <w:pPr>
            <w:pStyle w:val="TOC2"/>
            <w:rPr>
              <w:rFonts w:asciiTheme="minorHAnsi" w:eastAsiaTheme="minorEastAsia" w:hAnsiTheme="minorHAnsi"/>
              <w:b w:val="0"/>
              <w:color w:val="auto"/>
              <w:sz w:val="22"/>
              <w:lang w:eastAsia="en-AU"/>
            </w:rPr>
          </w:pPr>
          <w:hyperlink w:anchor="_Toc468175071" w:history="1">
            <w:r w:rsidR="005B1167" w:rsidRPr="00F120E5">
              <w:rPr>
                <w:rStyle w:val="Hyperlink"/>
              </w:rPr>
              <w:t>3.2</w:t>
            </w:r>
            <w:r w:rsidR="005B1167">
              <w:rPr>
                <w:rFonts w:asciiTheme="minorHAnsi" w:eastAsiaTheme="minorEastAsia" w:hAnsiTheme="minorHAnsi"/>
                <w:b w:val="0"/>
                <w:color w:val="auto"/>
                <w:sz w:val="22"/>
                <w:lang w:eastAsia="en-AU"/>
              </w:rPr>
              <w:tab/>
            </w:r>
            <w:r w:rsidR="005B1167" w:rsidRPr="00F120E5">
              <w:rPr>
                <w:rStyle w:val="Hyperlink"/>
              </w:rPr>
              <w:t>Differences in operating environment</w:t>
            </w:r>
            <w:r w:rsidR="005B1167">
              <w:rPr>
                <w:webHidden/>
              </w:rPr>
              <w:tab/>
            </w:r>
            <w:r w:rsidR="005B1167">
              <w:rPr>
                <w:webHidden/>
              </w:rPr>
              <w:fldChar w:fldCharType="begin"/>
            </w:r>
            <w:r w:rsidR="005B1167">
              <w:rPr>
                <w:webHidden/>
              </w:rPr>
              <w:instrText xml:space="preserve"> PAGEREF _Toc468175071 \h </w:instrText>
            </w:r>
            <w:r w:rsidR="005B1167">
              <w:rPr>
                <w:webHidden/>
              </w:rPr>
            </w:r>
            <w:r w:rsidR="005B1167">
              <w:rPr>
                <w:webHidden/>
              </w:rPr>
              <w:fldChar w:fldCharType="separate"/>
            </w:r>
            <w:r w:rsidR="005B1167">
              <w:rPr>
                <w:webHidden/>
              </w:rPr>
              <w:t>29</w:t>
            </w:r>
            <w:r w:rsidR="005B1167">
              <w:rPr>
                <w:webHidden/>
              </w:rPr>
              <w:fldChar w:fldCharType="end"/>
            </w:r>
          </w:hyperlink>
        </w:p>
        <w:p w:rsidR="005B1167" w:rsidRDefault="002306FF">
          <w:pPr>
            <w:pStyle w:val="TOC1"/>
            <w:rPr>
              <w:rFonts w:asciiTheme="minorHAnsi" w:eastAsiaTheme="minorEastAsia" w:hAnsiTheme="minorHAnsi"/>
              <w:b w:val="0"/>
              <w:color w:val="auto"/>
              <w:sz w:val="22"/>
              <w:lang w:val="en-AU" w:eastAsia="en-AU"/>
            </w:rPr>
          </w:pPr>
          <w:hyperlink w:anchor="_Toc468175072" w:history="1">
            <w:r w:rsidR="005B1167" w:rsidRPr="00F120E5">
              <w:rPr>
                <w:rStyle w:val="Hyperlink"/>
              </w:rPr>
              <w:t>A</w:t>
            </w:r>
            <w:r w:rsidR="005B1167">
              <w:rPr>
                <w:rFonts w:asciiTheme="minorHAnsi" w:eastAsiaTheme="minorEastAsia" w:hAnsiTheme="minorHAnsi"/>
                <w:b w:val="0"/>
                <w:color w:val="auto"/>
                <w:sz w:val="22"/>
                <w:lang w:val="en-AU" w:eastAsia="en-AU"/>
              </w:rPr>
              <w:tab/>
            </w:r>
            <w:r w:rsidR="005B1167" w:rsidRPr="00F120E5">
              <w:rPr>
                <w:rStyle w:val="Hyperlink"/>
              </w:rPr>
              <w:t>References and further reading</w:t>
            </w:r>
            <w:r w:rsidR="005B1167">
              <w:rPr>
                <w:webHidden/>
              </w:rPr>
              <w:tab/>
            </w:r>
            <w:r w:rsidR="005B1167">
              <w:rPr>
                <w:webHidden/>
              </w:rPr>
              <w:fldChar w:fldCharType="begin"/>
            </w:r>
            <w:r w:rsidR="005B1167">
              <w:rPr>
                <w:webHidden/>
              </w:rPr>
              <w:instrText xml:space="preserve"> PAGEREF _Toc468175072 \h </w:instrText>
            </w:r>
            <w:r w:rsidR="005B1167">
              <w:rPr>
                <w:webHidden/>
              </w:rPr>
            </w:r>
            <w:r w:rsidR="005B1167">
              <w:rPr>
                <w:webHidden/>
              </w:rPr>
              <w:fldChar w:fldCharType="separate"/>
            </w:r>
            <w:r w:rsidR="005B1167">
              <w:rPr>
                <w:webHidden/>
              </w:rPr>
              <w:t>31</w:t>
            </w:r>
            <w:r w:rsidR="005B1167">
              <w:rPr>
                <w:webHidden/>
              </w:rPr>
              <w:fldChar w:fldCharType="end"/>
            </w:r>
          </w:hyperlink>
        </w:p>
        <w:p w:rsidR="005B1167" w:rsidRDefault="002306FF">
          <w:pPr>
            <w:pStyle w:val="TOC1"/>
            <w:rPr>
              <w:rFonts w:asciiTheme="minorHAnsi" w:eastAsiaTheme="minorEastAsia" w:hAnsiTheme="minorHAnsi"/>
              <w:b w:val="0"/>
              <w:color w:val="auto"/>
              <w:sz w:val="22"/>
              <w:lang w:val="en-AU" w:eastAsia="en-AU"/>
            </w:rPr>
          </w:pPr>
          <w:hyperlink w:anchor="_Toc468175073" w:history="1">
            <w:r w:rsidR="005B1167" w:rsidRPr="00F120E5">
              <w:rPr>
                <w:rStyle w:val="Hyperlink"/>
              </w:rPr>
              <w:t>B</w:t>
            </w:r>
            <w:r w:rsidR="005B1167">
              <w:rPr>
                <w:rFonts w:asciiTheme="minorHAnsi" w:eastAsiaTheme="minorEastAsia" w:hAnsiTheme="minorHAnsi"/>
                <w:b w:val="0"/>
                <w:color w:val="auto"/>
                <w:sz w:val="22"/>
                <w:lang w:val="en-AU" w:eastAsia="en-AU"/>
              </w:rPr>
              <w:tab/>
            </w:r>
            <w:r w:rsidR="005B1167" w:rsidRPr="00F120E5">
              <w:rPr>
                <w:rStyle w:val="Hyperlink"/>
              </w:rPr>
              <w:t>Inputs and outputs</w:t>
            </w:r>
            <w:r w:rsidR="005B1167">
              <w:rPr>
                <w:webHidden/>
              </w:rPr>
              <w:tab/>
            </w:r>
            <w:r w:rsidR="005B1167">
              <w:rPr>
                <w:webHidden/>
              </w:rPr>
              <w:fldChar w:fldCharType="begin"/>
            </w:r>
            <w:r w:rsidR="005B1167">
              <w:rPr>
                <w:webHidden/>
              </w:rPr>
              <w:instrText xml:space="preserve"> PAGEREF _Toc468175073 \h </w:instrText>
            </w:r>
            <w:r w:rsidR="005B1167">
              <w:rPr>
                <w:webHidden/>
              </w:rPr>
            </w:r>
            <w:r w:rsidR="005B1167">
              <w:rPr>
                <w:webHidden/>
              </w:rPr>
              <w:fldChar w:fldCharType="separate"/>
            </w:r>
            <w:r w:rsidR="005B1167">
              <w:rPr>
                <w:webHidden/>
              </w:rPr>
              <w:t>33</w:t>
            </w:r>
            <w:r w:rsidR="005B1167">
              <w:rPr>
                <w:webHidden/>
              </w:rPr>
              <w:fldChar w:fldCharType="end"/>
            </w:r>
          </w:hyperlink>
        </w:p>
        <w:p w:rsidR="005B1167" w:rsidRDefault="002306FF">
          <w:pPr>
            <w:pStyle w:val="TOC2"/>
            <w:rPr>
              <w:rFonts w:asciiTheme="minorHAnsi" w:eastAsiaTheme="minorEastAsia" w:hAnsiTheme="minorHAnsi"/>
              <w:b w:val="0"/>
              <w:color w:val="auto"/>
              <w:sz w:val="22"/>
              <w:lang w:eastAsia="en-AU"/>
            </w:rPr>
          </w:pPr>
          <w:hyperlink w:anchor="_Toc468175074" w:history="1">
            <w:r w:rsidR="005B1167" w:rsidRPr="00F120E5">
              <w:rPr>
                <w:rStyle w:val="Hyperlink"/>
              </w:rPr>
              <w:t>B.1</w:t>
            </w:r>
            <w:r w:rsidR="005B1167">
              <w:rPr>
                <w:rFonts w:asciiTheme="minorHAnsi" w:eastAsiaTheme="minorEastAsia" w:hAnsiTheme="minorHAnsi"/>
                <w:b w:val="0"/>
                <w:color w:val="auto"/>
                <w:sz w:val="22"/>
                <w:lang w:eastAsia="en-AU"/>
              </w:rPr>
              <w:tab/>
            </w:r>
            <w:r w:rsidR="005B1167" w:rsidRPr="00F120E5">
              <w:rPr>
                <w:rStyle w:val="Hyperlink"/>
              </w:rPr>
              <w:t>Outputs</w:t>
            </w:r>
            <w:r w:rsidR="005B1167">
              <w:rPr>
                <w:webHidden/>
              </w:rPr>
              <w:tab/>
            </w:r>
            <w:r w:rsidR="005B1167">
              <w:rPr>
                <w:webHidden/>
              </w:rPr>
              <w:fldChar w:fldCharType="begin"/>
            </w:r>
            <w:r w:rsidR="005B1167">
              <w:rPr>
                <w:webHidden/>
              </w:rPr>
              <w:instrText xml:space="preserve"> PAGEREF _Toc468175074 \h </w:instrText>
            </w:r>
            <w:r w:rsidR="005B1167">
              <w:rPr>
                <w:webHidden/>
              </w:rPr>
            </w:r>
            <w:r w:rsidR="005B1167">
              <w:rPr>
                <w:webHidden/>
              </w:rPr>
              <w:fldChar w:fldCharType="separate"/>
            </w:r>
            <w:r w:rsidR="005B1167">
              <w:rPr>
                <w:webHidden/>
              </w:rPr>
              <w:t>33</w:t>
            </w:r>
            <w:r w:rsidR="005B1167">
              <w:rPr>
                <w:webHidden/>
              </w:rPr>
              <w:fldChar w:fldCharType="end"/>
            </w:r>
          </w:hyperlink>
        </w:p>
        <w:p w:rsidR="005B1167" w:rsidRDefault="002306FF">
          <w:pPr>
            <w:pStyle w:val="TOC3"/>
            <w:rPr>
              <w:rFonts w:asciiTheme="minorHAnsi" w:eastAsiaTheme="minorEastAsia" w:hAnsiTheme="minorHAnsi"/>
              <w:lang w:eastAsia="en-AU"/>
            </w:rPr>
          </w:pPr>
          <w:hyperlink w:anchor="_Toc468175075" w:history="1">
            <w:r w:rsidR="005B1167" w:rsidRPr="00F120E5">
              <w:rPr>
                <w:rStyle w:val="Hyperlink"/>
              </w:rPr>
              <w:t>B.1.1</w:t>
            </w:r>
            <w:r w:rsidR="005B1167">
              <w:rPr>
                <w:rFonts w:asciiTheme="minorHAnsi" w:eastAsiaTheme="minorEastAsia" w:hAnsiTheme="minorHAnsi"/>
                <w:lang w:eastAsia="en-AU"/>
              </w:rPr>
              <w:tab/>
            </w:r>
            <w:r w:rsidR="005B1167" w:rsidRPr="00F120E5">
              <w:rPr>
                <w:rStyle w:val="Hyperlink"/>
              </w:rPr>
              <w:t>Customer numbers</w:t>
            </w:r>
            <w:r w:rsidR="005B1167">
              <w:rPr>
                <w:webHidden/>
              </w:rPr>
              <w:tab/>
            </w:r>
            <w:r w:rsidR="005B1167">
              <w:rPr>
                <w:webHidden/>
              </w:rPr>
              <w:fldChar w:fldCharType="begin"/>
            </w:r>
            <w:r w:rsidR="005B1167">
              <w:rPr>
                <w:webHidden/>
              </w:rPr>
              <w:instrText xml:space="preserve"> PAGEREF _Toc468175075 \h </w:instrText>
            </w:r>
            <w:r w:rsidR="005B1167">
              <w:rPr>
                <w:webHidden/>
              </w:rPr>
            </w:r>
            <w:r w:rsidR="005B1167">
              <w:rPr>
                <w:webHidden/>
              </w:rPr>
              <w:fldChar w:fldCharType="separate"/>
            </w:r>
            <w:r w:rsidR="005B1167">
              <w:rPr>
                <w:webHidden/>
              </w:rPr>
              <w:t>33</w:t>
            </w:r>
            <w:r w:rsidR="005B1167">
              <w:rPr>
                <w:webHidden/>
              </w:rPr>
              <w:fldChar w:fldCharType="end"/>
            </w:r>
          </w:hyperlink>
        </w:p>
        <w:p w:rsidR="005B1167" w:rsidRDefault="002306FF">
          <w:pPr>
            <w:pStyle w:val="TOC3"/>
            <w:rPr>
              <w:rFonts w:asciiTheme="minorHAnsi" w:eastAsiaTheme="minorEastAsia" w:hAnsiTheme="minorHAnsi"/>
              <w:lang w:eastAsia="en-AU"/>
            </w:rPr>
          </w:pPr>
          <w:hyperlink w:anchor="_Toc468175076" w:history="1">
            <w:r w:rsidR="005B1167" w:rsidRPr="00F120E5">
              <w:rPr>
                <w:rStyle w:val="Hyperlink"/>
              </w:rPr>
              <w:t>B.1.2</w:t>
            </w:r>
            <w:r w:rsidR="005B1167">
              <w:rPr>
                <w:rFonts w:asciiTheme="minorHAnsi" w:eastAsiaTheme="minorEastAsia" w:hAnsiTheme="minorHAnsi"/>
                <w:lang w:eastAsia="en-AU"/>
              </w:rPr>
              <w:tab/>
            </w:r>
            <w:r w:rsidR="005B1167" w:rsidRPr="00F120E5">
              <w:rPr>
                <w:rStyle w:val="Hyperlink"/>
              </w:rPr>
              <w:t>Line length</w:t>
            </w:r>
            <w:r w:rsidR="005B1167">
              <w:rPr>
                <w:webHidden/>
              </w:rPr>
              <w:tab/>
            </w:r>
            <w:r w:rsidR="005B1167">
              <w:rPr>
                <w:webHidden/>
              </w:rPr>
              <w:fldChar w:fldCharType="begin"/>
            </w:r>
            <w:r w:rsidR="005B1167">
              <w:rPr>
                <w:webHidden/>
              </w:rPr>
              <w:instrText xml:space="preserve"> PAGEREF _Toc468175076 \h </w:instrText>
            </w:r>
            <w:r w:rsidR="005B1167">
              <w:rPr>
                <w:webHidden/>
              </w:rPr>
            </w:r>
            <w:r w:rsidR="005B1167">
              <w:rPr>
                <w:webHidden/>
              </w:rPr>
              <w:fldChar w:fldCharType="separate"/>
            </w:r>
            <w:r w:rsidR="005B1167">
              <w:rPr>
                <w:webHidden/>
              </w:rPr>
              <w:t>34</w:t>
            </w:r>
            <w:r w:rsidR="005B1167">
              <w:rPr>
                <w:webHidden/>
              </w:rPr>
              <w:fldChar w:fldCharType="end"/>
            </w:r>
          </w:hyperlink>
        </w:p>
        <w:p w:rsidR="005B1167" w:rsidRDefault="002306FF">
          <w:pPr>
            <w:pStyle w:val="TOC3"/>
            <w:rPr>
              <w:rFonts w:asciiTheme="minorHAnsi" w:eastAsiaTheme="minorEastAsia" w:hAnsiTheme="minorHAnsi"/>
              <w:lang w:eastAsia="en-AU"/>
            </w:rPr>
          </w:pPr>
          <w:hyperlink w:anchor="_Toc468175077" w:history="1">
            <w:r w:rsidR="005B1167" w:rsidRPr="00F120E5">
              <w:rPr>
                <w:rStyle w:val="Hyperlink"/>
              </w:rPr>
              <w:t>B.1.3</w:t>
            </w:r>
            <w:r w:rsidR="005B1167">
              <w:rPr>
                <w:rFonts w:asciiTheme="minorHAnsi" w:eastAsiaTheme="minorEastAsia" w:hAnsiTheme="minorHAnsi"/>
                <w:lang w:eastAsia="en-AU"/>
              </w:rPr>
              <w:tab/>
            </w:r>
            <w:r w:rsidR="005B1167" w:rsidRPr="00F120E5">
              <w:rPr>
                <w:rStyle w:val="Hyperlink"/>
              </w:rPr>
              <w:t>Maximum demand and energy throughput</w:t>
            </w:r>
            <w:r w:rsidR="005B1167">
              <w:rPr>
                <w:webHidden/>
              </w:rPr>
              <w:tab/>
            </w:r>
            <w:r w:rsidR="005B1167">
              <w:rPr>
                <w:webHidden/>
              </w:rPr>
              <w:fldChar w:fldCharType="begin"/>
            </w:r>
            <w:r w:rsidR="005B1167">
              <w:rPr>
                <w:webHidden/>
              </w:rPr>
              <w:instrText xml:space="preserve"> PAGEREF _Toc468175077 \h </w:instrText>
            </w:r>
            <w:r w:rsidR="005B1167">
              <w:rPr>
                <w:webHidden/>
              </w:rPr>
            </w:r>
            <w:r w:rsidR="005B1167">
              <w:rPr>
                <w:webHidden/>
              </w:rPr>
              <w:fldChar w:fldCharType="separate"/>
            </w:r>
            <w:r w:rsidR="005B1167">
              <w:rPr>
                <w:webHidden/>
              </w:rPr>
              <w:t>35</w:t>
            </w:r>
            <w:r w:rsidR="005B1167">
              <w:rPr>
                <w:webHidden/>
              </w:rPr>
              <w:fldChar w:fldCharType="end"/>
            </w:r>
          </w:hyperlink>
        </w:p>
        <w:p w:rsidR="005B1167" w:rsidRDefault="002306FF">
          <w:pPr>
            <w:pStyle w:val="TOC3"/>
            <w:rPr>
              <w:rFonts w:asciiTheme="minorHAnsi" w:eastAsiaTheme="minorEastAsia" w:hAnsiTheme="minorHAnsi"/>
              <w:lang w:eastAsia="en-AU"/>
            </w:rPr>
          </w:pPr>
          <w:hyperlink w:anchor="_Toc468175078" w:history="1">
            <w:r w:rsidR="005B1167" w:rsidRPr="00F120E5">
              <w:rPr>
                <w:rStyle w:val="Hyperlink"/>
              </w:rPr>
              <w:t>B.1.4</w:t>
            </w:r>
            <w:r w:rsidR="005B1167">
              <w:rPr>
                <w:rFonts w:asciiTheme="minorHAnsi" w:eastAsiaTheme="minorEastAsia" w:hAnsiTheme="minorHAnsi"/>
                <w:lang w:eastAsia="en-AU"/>
              </w:rPr>
              <w:tab/>
            </w:r>
            <w:r w:rsidR="005B1167" w:rsidRPr="00F120E5">
              <w:rPr>
                <w:rStyle w:val="Hyperlink"/>
              </w:rPr>
              <w:t>Reliability</w:t>
            </w:r>
            <w:r w:rsidR="005B1167">
              <w:rPr>
                <w:webHidden/>
              </w:rPr>
              <w:tab/>
            </w:r>
            <w:r w:rsidR="005B1167">
              <w:rPr>
                <w:webHidden/>
              </w:rPr>
              <w:fldChar w:fldCharType="begin"/>
            </w:r>
            <w:r w:rsidR="005B1167">
              <w:rPr>
                <w:webHidden/>
              </w:rPr>
              <w:instrText xml:space="preserve"> PAGEREF _Toc468175078 \h </w:instrText>
            </w:r>
            <w:r w:rsidR="005B1167">
              <w:rPr>
                <w:webHidden/>
              </w:rPr>
            </w:r>
            <w:r w:rsidR="005B1167">
              <w:rPr>
                <w:webHidden/>
              </w:rPr>
              <w:fldChar w:fldCharType="separate"/>
            </w:r>
            <w:r w:rsidR="005B1167">
              <w:rPr>
                <w:webHidden/>
              </w:rPr>
              <w:t>36</w:t>
            </w:r>
            <w:r w:rsidR="005B1167">
              <w:rPr>
                <w:webHidden/>
              </w:rPr>
              <w:fldChar w:fldCharType="end"/>
            </w:r>
          </w:hyperlink>
        </w:p>
        <w:p w:rsidR="005B1167" w:rsidRDefault="002306FF">
          <w:pPr>
            <w:pStyle w:val="TOC2"/>
            <w:rPr>
              <w:rFonts w:asciiTheme="minorHAnsi" w:eastAsiaTheme="minorEastAsia" w:hAnsiTheme="minorHAnsi"/>
              <w:b w:val="0"/>
              <w:color w:val="auto"/>
              <w:sz w:val="22"/>
              <w:lang w:eastAsia="en-AU"/>
            </w:rPr>
          </w:pPr>
          <w:hyperlink w:anchor="_Toc468175079" w:history="1">
            <w:r w:rsidR="005B1167" w:rsidRPr="00F120E5">
              <w:rPr>
                <w:rStyle w:val="Hyperlink"/>
              </w:rPr>
              <w:t>B.2</w:t>
            </w:r>
            <w:r w:rsidR="005B1167">
              <w:rPr>
                <w:rFonts w:asciiTheme="minorHAnsi" w:eastAsiaTheme="minorEastAsia" w:hAnsiTheme="minorHAnsi"/>
                <w:b w:val="0"/>
                <w:color w:val="auto"/>
                <w:sz w:val="22"/>
                <w:lang w:eastAsia="en-AU"/>
              </w:rPr>
              <w:tab/>
            </w:r>
            <w:r w:rsidR="005B1167" w:rsidRPr="00F120E5">
              <w:rPr>
                <w:rStyle w:val="Hyperlink"/>
              </w:rPr>
              <w:t>Inputs</w:t>
            </w:r>
            <w:r w:rsidR="005B1167">
              <w:rPr>
                <w:webHidden/>
              </w:rPr>
              <w:tab/>
            </w:r>
            <w:r w:rsidR="005B1167">
              <w:rPr>
                <w:webHidden/>
              </w:rPr>
              <w:fldChar w:fldCharType="begin"/>
            </w:r>
            <w:r w:rsidR="005B1167">
              <w:rPr>
                <w:webHidden/>
              </w:rPr>
              <w:instrText xml:space="preserve"> PAGEREF _Toc468175079 \h </w:instrText>
            </w:r>
            <w:r w:rsidR="005B1167">
              <w:rPr>
                <w:webHidden/>
              </w:rPr>
            </w:r>
            <w:r w:rsidR="005B1167">
              <w:rPr>
                <w:webHidden/>
              </w:rPr>
              <w:fldChar w:fldCharType="separate"/>
            </w:r>
            <w:r w:rsidR="005B1167">
              <w:rPr>
                <w:webHidden/>
              </w:rPr>
              <w:t>38</w:t>
            </w:r>
            <w:r w:rsidR="005B1167">
              <w:rPr>
                <w:webHidden/>
              </w:rPr>
              <w:fldChar w:fldCharType="end"/>
            </w:r>
          </w:hyperlink>
        </w:p>
        <w:p w:rsidR="005B1167" w:rsidRDefault="002306FF">
          <w:pPr>
            <w:pStyle w:val="TOC1"/>
            <w:rPr>
              <w:rFonts w:asciiTheme="minorHAnsi" w:eastAsiaTheme="minorEastAsia" w:hAnsiTheme="minorHAnsi"/>
              <w:b w:val="0"/>
              <w:color w:val="auto"/>
              <w:sz w:val="22"/>
              <w:lang w:val="en-AU" w:eastAsia="en-AU"/>
            </w:rPr>
          </w:pPr>
          <w:hyperlink w:anchor="_Toc468175080" w:history="1">
            <w:r w:rsidR="005B1167" w:rsidRPr="00F120E5">
              <w:rPr>
                <w:rStyle w:val="Hyperlink"/>
              </w:rPr>
              <w:t>C</w:t>
            </w:r>
            <w:r w:rsidR="005B1167">
              <w:rPr>
                <w:rFonts w:asciiTheme="minorHAnsi" w:eastAsiaTheme="minorEastAsia" w:hAnsiTheme="minorHAnsi"/>
                <w:b w:val="0"/>
                <w:color w:val="auto"/>
                <w:sz w:val="22"/>
                <w:lang w:val="en-AU" w:eastAsia="en-AU"/>
              </w:rPr>
              <w:tab/>
            </w:r>
            <w:r w:rsidR="005B1167" w:rsidRPr="00F120E5">
              <w:rPr>
                <w:rStyle w:val="Hyperlink"/>
              </w:rPr>
              <w:t>Partial performance indicator trends</w:t>
            </w:r>
            <w:r w:rsidR="005B1167">
              <w:rPr>
                <w:webHidden/>
              </w:rPr>
              <w:tab/>
            </w:r>
            <w:r w:rsidR="005B1167">
              <w:rPr>
                <w:webHidden/>
              </w:rPr>
              <w:fldChar w:fldCharType="begin"/>
            </w:r>
            <w:r w:rsidR="005B1167">
              <w:rPr>
                <w:webHidden/>
              </w:rPr>
              <w:instrText xml:space="preserve"> PAGEREF _Toc468175080 \h </w:instrText>
            </w:r>
            <w:r w:rsidR="005B1167">
              <w:rPr>
                <w:webHidden/>
              </w:rPr>
            </w:r>
            <w:r w:rsidR="005B1167">
              <w:rPr>
                <w:webHidden/>
              </w:rPr>
              <w:fldChar w:fldCharType="separate"/>
            </w:r>
            <w:r w:rsidR="005B1167">
              <w:rPr>
                <w:webHidden/>
              </w:rPr>
              <w:t>40</w:t>
            </w:r>
            <w:r w:rsidR="005B1167">
              <w:rPr>
                <w:webHidden/>
              </w:rPr>
              <w:fldChar w:fldCharType="end"/>
            </w:r>
          </w:hyperlink>
        </w:p>
        <w:p w:rsidR="005B1167" w:rsidRDefault="002306FF">
          <w:pPr>
            <w:pStyle w:val="TOC1"/>
            <w:rPr>
              <w:rFonts w:asciiTheme="minorHAnsi" w:eastAsiaTheme="minorEastAsia" w:hAnsiTheme="minorHAnsi"/>
              <w:b w:val="0"/>
              <w:color w:val="auto"/>
              <w:sz w:val="22"/>
              <w:lang w:val="en-AU" w:eastAsia="en-AU"/>
            </w:rPr>
          </w:pPr>
          <w:hyperlink w:anchor="_Toc468175081" w:history="1">
            <w:r w:rsidR="005B1167" w:rsidRPr="00F120E5">
              <w:rPr>
                <w:rStyle w:val="Hyperlink"/>
              </w:rPr>
              <w:t>D</w:t>
            </w:r>
            <w:r w:rsidR="005B1167">
              <w:rPr>
                <w:rFonts w:asciiTheme="minorHAnsi" w:eastAsiaTheme="minorEastAsia" w:hAnsiTheme="minorHAnsi"/>
                <w:b w:val="0"/>
                <w:color w:val="auto"/>
                <w:sz w:val="22"/>
                <w:lang w:val="en-AU" w:eastAsia="en-AU"/>
              </w:rPr>
              <w:tab/>
            </w:r>
            <w:r w:rsidR="005B1167" w:rsidRPr="00F120E5">
              <w:rPr>
                <w:rStyle w:val="Hyperlink"/>
              </w:rPr>
              <w:t>Map of the National Electricity Market</w:t>
            </w:r>
            <w:r w:rsidR="005B1167">
              <w:rPr>
                <w:webHidden/>
              </w:rPr>
              <w:tab/>
            </w:r>
            <w:r w:rsidR="005B1167">
              <w:rPr>
                <w:webHidden/>
              </w:rPr>
              <w:fldChar w:fldCharType="begin"/>
            </w:r>
            <w:r w:rsidR="005B1167">
              <w:rPr>
                <w:webHidden/>
              </w:rPr>
              <w:instrText xml:space="preserve"> PAGEREF _Toc468175081 \h </w:instrText>
            </w:r>
            <w:r w:rsidR="005B1167">
              <w:rPr>
                <w:webHidden/>
              </w:rPr>
            </w:r>
            <w:r w:rsidR="005B1167">
              <w:rPr>
                <w:webHidden/>
              </w:rPr>
              <w:fldChar w:fldCharType="separate"/>
            </w:r>
            <w:r w:rsidR="005B1167">
              <w:rPr>
                <w:webHidden/>
              </w:rPr>
              <w:t>44</w:t>
            </w:r>
            <w:r w:rsidR="005B1167">
              <w:rPr>
                <w:webHidden/>
              </w:rPr>
              <w:fldChar w:fldCharType="end"/>
            </w:r>
          </w:hyperlink>
        </w:p>
        <w:p w:rsidR="005B1167" w:rsidRDefault="002306FF">
          <w:pPr>
            <w:pStyle w:val="TOC1"/>
            <w:rPr>
              <w:rFonts w:asciiTheme="minorHAnsi" w:eastAsiaTheme="minorEastAsia" w:hAnsiTheme="minorHAnsi"/>
              <w:b w:val="0"/>
              <w:color w:val="auto"/>
              <w:sz w:val="22"/>
              <w:lang w:val="en-AU" w:eastAsia="en-AU"/>
            </w:rPr>
          </w:pPr>
          <w:hyperlink w:anchor="_Toc468175082" w:history="1">
            <w:r w:rsidR="005B1167" w:rsidRPr="00F120E5">
              <w:rPr>
                <w:rStyle w:val="Hyperlink"/>
              </w:rPr>
              <w:t>E</w:t>
            </w:r>
            <w:r w:rsidR="005B1167">
              <w:rPr>
                <w:rFonts w:asciiTheme="minorHAnsi" w:eastAsiaTheme="minorEastAsia" w:hAnsiTheme="minorHAnsi"/>
                <w:b w:val="0"/>
                <w:color w:val="auto"/>
                <w:sz w:val="22"/>
                <w:lang w:val="en-AU" w:eastAsia="en-AU"/>
              </w:rPr>
              <w:tab/>
            </w:r>
            <w:r w:rsidR="005B1167" w:rsidRPr="00F120E5">
              <w:rPr>
                <w:rStyle w:val="Hyperlink"/>
              </w:rPr>
              <w:t>List of submissions</w:t>
            </w:r>
            <w:r w:rsidR="005B1167">
              <w:rPr>
                <w:webHidden/>
              </w:rPr>
              <w:tab/>
            </w:r>
            <w:r w:rsidR="005B1167">
              <w:rPr>
                <w:webHidden/>
              </w:rPr>
              <w:fldChar w:fldCharType="begin"/>
            </w:r>
            <w:r w:rsidR="005B1167">
              <w:rPr>
                <w:webHidden/>
              </w:rPr>
              <w:instrText xml:space="preserve"> PAGEREF _Toc468175082 \h </w:instrText>
            </w:r>
            <w:r w:rsidR="005B1167">
              <w:rPr>
                <w:webHidden/>
              </w:rPr>
            </w:r>
            <w:r w:rsidR="005B1167">
              <w:rPr>
                <w:webHidden/>
              </w:rPr>
              <w:fldChar w:fldCharType="separate"/>
            </w:r>
            <w:r w:rsidR="005B1167">
              <w:rPr>
                <w:webHidden/>
              </w:rPr>
              <w:t>45</w:t>
            </w:r>
            <w:r w:rsidR="005B1167">
              <w:rPr>
                <w:webHidden/>
              </w:rPr>
              <w:fldChar w:fldCharType="end"/>
            </w:r>
          </w:hyperlink>
        </w:p>
        <w:p w:rsidR="00CE2A23" w:rsidRDefault="00CD283C" w:rsidP="00CD283C">
          <w:pPr>
            <w:pStyle w:val="TOC1"/>
          </w:pPr>
          <w:r>
            <w:fldChar w:fldCharType="end"/>
          </w:r>
        </w:p>
      </w:sdtContent>
    </w:sdt>
    <w:p w:rsidR="00645B85" w:rsidRDefault="00CE2A23" w:rsidP="00645B85">
      <w:pPr>
        <w:pStyle w:val="UnnumberedHeading"/>
      </w:pPr>
      <w:r>
        <w:lastRenderedPageBreak/>
        <w:t xml:space="preserve"> </w:t>
      </w:r>
      <w:bookmarkStart w:id="2" w:name="_Toc435712619"/>
      <w:bookmarkStart w:id="3" w:name="_Toc468175050"/>
      <w:r w:rsidR="00645B85">
        <w:t>Shortened forms</w:t>
      </w:r>
      <w:bookmarkEnd w:id="2"/>
      <w:bookmarkEnd w:id="3"/>
    </w:p>
    <w:tbl>
      <w:tblPr>
        <w:tblStyle w:val="AERtable-text0"/>
        <w:tblW w:w="0" w:type="auto"/>
        <w:tblLook w:val="04A0" w:firstRow="1" w:lastRow="0" w:firstColumn="1" w:lastColumn="0" w:noHBand="0" w:noVBand="1"/>
      </w:tblPr>
      <w:tblGrid>
        <w:gridCol w:w="2235"/>
        <w:gridCol w:w="6458"/>
      </w:tblGrid>
      <w:tr w:rsidR="00645B85" w:rsidRPr="00063915" w:rsidTr="00645B85">
        <w:trPr>
          <w:cnfStyle w:val="100000000000" w:firstRow="1" w:lastRow="0" w:firstColumn="0" w:lastColumn="0" w:oddVBand="0" w:evenVBand="0" w:oddHBand="0" w:evenHBand="0" w:firstRowFirstColumn="0" w:firstRowLastColumn="0" w:lastRowFirstColumn="0" w:lastRowLastColumn="0"/>
        </w:trPr>
        <w:tc>
          <w:tcPr>
            <w:tcW w:w="2235" w:type="dxa"/>
            <w:noWrap/>
          </w:tcPr>
          <w:p w:rsidR="00645B85" w:rsidRPr="00645B85" w:rsidRDefault="00645B85" w:rsidP="00645B85">
            <w:r>
              <w:t>Shortened form</w:t>
            </w:r>
          </w:p>
        </w:tc>
        <w:tc>
          <w:tcPr>
            <w:tcW w:w="6458" w:type="dxa"/>
            <w:noWrap/>
          </w:tcPr>
          <w:p w:rsidR="00645B85" w:rsidRPr="00645B85" w:rsidRDefault="00645B85" w:rsidP="00645B85">
            <w:r>
              <w:t>Description</w:t>
            </w:r>
          </w:p>
        </w:tc>
      </w:tr>
      <w:tr w:rsidR="00645B85" w:rsidRPr="00063915" w:rsidTr="00645B85">
        <w:tc>
          <w:tcPr>
            <w:tcW w:w="2235" w:type="dxa"/>
            <w:noWrap/>
          </w:tcPr>
          <w:p w:rsidR="00645B85" w:rsidRPr="00645B85" w:rsidRDefault="00645B85" w:rsidP="00645B85">
            <w:r w:rsidRPr="00FE72F1">
              <w:t>AEMC</w:t>
            </w:r>
          </w:p>
        </w:tc>
        <w:tc>
          <w:tcPr>
            <w:tcW w:w="6458" w:type="dxa"/>
            <w:noWrap/>
          </w:tcPr>
          <w:p w:rsidR="00645B85" w:rsidRPr="00645B85" w:rsidRDefault="00645B85" w:rsidP="00645B85">
            <w:r w:rsidRPr="00FE72F1">
              <w:t>Australian Energy Market Commission</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AER</w:t>
            </w:r>
          </w:p>
        </w:tc>
        <w:tc>
          <w:tcPr>
            <w:tcW w:w="6458" w:type="dxa"/>
            <w:noWrap/>
          </w:tcPr>
          <w:p w:rsidR="00645B85" w:rsidRPr="00645B85" w:rsidRDefault="00645B85" w:rsidP="00645B85">
            <w:r w:rsidRPr="00FE72F1">
              <w:t xml:space="preserve">Australian </w:t>
            </w:r>
            <w:r w:rsidRPr="00645B85">
              <w:t>Energy Regulator</w:t>
            </w:r>
          </w:p>
        </w:tc>
      </w:tr>
      <w:tr w:rsidR="00645B85" w:rsidRPr="00063915" w:rsidTr="00645B85">
        <w:tc>
          <w:tcPr>
            <w:tcW w:w="2235" w:type="dxa"/>
            <w:noWrap/>
          </w:tcPr>
          <w:p w:rsidR="00645B85" w:rsidRPr="00645B85" w:rsidRDefault="00645B85" w:rsidP="00645B85">
            <w:r w:rsidRPr="00FE72F1">
              <w:t>ACT</w:t>
            </w:r>
          </w:p>
        </w:tc>
        <w:tc>
          <w:tcPr>
            <w:tcW w:w="6458" w:type="dxa"/>
            <w:noWrap/>
          </w:tcPr>
          <w:p w:rsidR="00645B85" w:rsidRPr="00645B85" w:rsidRDefault="00645B85" w:rsidP="00645B85">
            <w:proofErr w:type="spellStart"/>
            <w:r w:rsidRPr="00FE72F1">
              <w:t>ActewAGL</w:t>
            </w:r>
            <w:proofErr w:type="spellEnd"/>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AGD</w:t>
            </w:r>
          </w:p>
        </w:tc>
        <w:tc>
          <w:tcPr>
            <w:tcW w:w="6458" w:type="dxa"/>
            <w:noWrap/>
          </w:tcPr>
          <w:p w:rsidR="00645B85" w:rsidRPr="00645B85" w:rsidRDefault="00645B85" w:rsidP="00645B85">
            <w:proofErr w:type="spellStart"/>
            <w:r>
              <w:t>Ausg</w:t>
            </w:r>
            <w:r w:rsidRPr="00645B85">
              <w:t>rid</w:t>
            </w:r>
            <w:proofErr w:type="spellEnd"/>
          </w:p>
        </w:tc>
      </w:tr>
      <w:tr w:rsidR="00645B85" w:rsidRPr="00063915" w:rsidTr="00645B85">
        <w:tc>
          <w:tcPr>
            <w:tcW w:w="2235" w:type="dxa"/>
            <w:noWrap/>
          </w:tcPr>
          <w:p w:rsidR="00645B85" w:rsidRPr="00645B85" w:rsidRDefault="00645B85" w:rsidP="00645B85">
            <w:r>
              <w:t>AN</w:t>
            </w:r>
            <w:r w:rsidRPr="00645B85">
              <w:t>D</w:t>
            </w:r>
          </w:p>
        </w:tc>
        <w:tc>
          <w:tcPr>
            <w:tcW w:w="6458" w:type="dxa"/>
            <w:noWrap/>
          </w:tcPr>
          <w:p w:rsidR="00645B85" w:rsidRPr="00645B85" w:rsidRDefault="00645B85" w:rsidP="00645B85">
            <w:r w:rsidRPr="00FE72F1">
              <w:t>AusNet</w:t>
            </w:r>
            <w:r w:rsidRPr="00645B85">
              <w:t xml:space="preserve"> Services (distribution)</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t>C</w:t>
            </w:r>
            <w:r w:rsidRPr="00645B85">
              <w:t>apex</w:t>
            </w:r>
          </w:p>
        </w:tc>
        <w:tc>
          <w:tcPr>
            <w:tcW w:w="6458" w:type="dxa"/>
            <w:noWrap/>
          </w:tcPr>
          <w:p w:rsidR="00645B85" w:rsidRPr="00645B85" w:rsidRDefault="00645B85" w:rsidP="00645B85">
            <w:r w:rsidRPr="00FE72F1">
              <w:t>Capital expenditure</w:t>
            </w:r>
          </w:p>
        </w:tc>
      </w:tr>
      <w:tr w:rsidR="00645B85" w:rsidRPr="00063915" w:rsidTr="00645B85">
        <w:tc>
          <w:tcPr>
            <w:tcW w:w="2235" w:type="dxa"/>
            <w:noWrap/>
          </w:tcPr>
          <w:p w:rsidR="00645B85" w:rsidRPr="00645B85" w:rsidRDefault="00645B85" w:rsidP="00645B85">
            <w:r w:rsidRPr="00FE72F1">
              <w:t>CIT</w:t>
            </w:r>
          </w:p>
        </w:tc>
        <w:tc>
          <w:tcPr>
            <w:tcW w:w="6458" w:type="dxa"/>
            <w:noWrap/>
          </w:tcPr>
          <w:p w:rsidR="00645B85" w:rsidRPr="00645B85" w:rsidRDefault="00645B85" w:rsidP="00645B85">
            <w:r w:rsidRPr="00FE72F1">
              <w:t>Citi</w:t>
            </w:r>
            <w:r w:rsidRPr="00645B85">
              <w:t>Power</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t>DNSP</w:t>
            </w:r>
          </w:p>
        </w:tc>
        <w:tc>
          <w:tcPr>
            <w:tcW w:w="6458" w:type="dxa"/>
            <w:noWrap/>
          </w:tcPr>
          <w:p w:rsidR="00645B85" w:rsidRPr="00645B85" w:rsidRDefault="00645B85" w:rsidP="00645B85">
            <w:r>
              <w:t>Distribution network service provider</w:t>
            </w:r>
          </w:p>
        </w:tc>
      </w:tr>
      <w:tr w:rsidR="00645B85" w:rsidRPr="00063915" w:rsidTr="00645B85">
        <w:tc>
          <w:tcPr>
            <w:tcW w:w="2235" w:type="dxa"/>
            <w:noWrap/>
          </w:tcPr>
          <w:p w:rsidR="00645B85" w:rsidRPr="00645B85" w:rsidRDefault="00645B85" w:rsidP="00645B85">
            <w:r w:rsidRPr="00FE72F1">
              <w:t>END</w:t>
            </w:r>
          </w:p>
        </w:tc>
        <w:tc>
          <w:tcPr>
            <w:tcW w:w="6458" w:type="dxa"/>
            <w:noWrap/>
          </w:tcPr>
          <w:p w:rsidR="00645B85" w:rsidRPr="00645B85" w:rsidRDefault="00645B85" w:rsidP="00645B85">
            <w:r w:rsidRPr="00FE72F1">
              <w:t>Endeavour Energy</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ENX</w:t>
            </w:r>
          </w:p>
        </w:tc>
        <w:tc>
          <w:tcPr>
            <w:tcW w:w="6458" w:type="dxa"/>
            <w:noWrap/>
          </w:tcPr>
          <w:p w:rsidR="00645B85" w:rsidRPr="00645B85" w:rsidRDefault="00645B85" w:rsidP="00645B85">
            <w:r w:rsidRPr="00FE72F1">
              <w:t>Energex</w:t>
            </w:r>
          </w:p>
        </w:tc>
      </w:tr>
      <w:tr w:rsidR="00645B85" w:rsidRPr="00063915" w:rsidTr="00645B85">
        <w:tc>
          <w:tcPr>
            <w:tcW w:w="2235" w:type="dxa"/>
            <w:noWrap/>
          </w:tcPr>
          <w:p w:rsidR="00645B85" w:rsidRPr="00645B85" w:rsidRDefault="00645B85" w:rsidP="00645B85">
            <w:r w:rsidRPr="00FE72F1">
              <w:t>ERG</w:t>
            </w:r>
          </w:p>
        </w:tc>
        <w:tc>
          <w:tcPr>
            <w:tcW w:w="6458" w:type="dxa"/>
            <w:noWrap/>
          </w:tcPr>
          <w:p w:rsidR="00645B85" w:rsidRPr="00645B85" w:rsidRDefault="00645B85" w:rsidP="00645B85">
            <w:r w:rsidRPr="00FE72F1">
              <w:t>Ergon Energy</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ESS</w:t>
            </w:r>
          </w:p>
        </w:tc>
        <w:tc>
          <w:tcPr>
            <w:tcW w:w="6458" w:type="dxa"/>
            <w:noWrap/>
          </w:tcPr>
          <w:p w:rsidR="00645B85" w:rsidRPr="00645B85" w:rsidRDefault="00645B85" w:rsidP="00645B85">
            <w:r w:rsidRPr="00FE72F1">
              <w:t>Essential Energy</w:t>
            </w:r>
          </w:p>
        </w:tc>
      </w:tr>
      <w:tr w:rsidR="00645B85" w:rsidRPr="00063915" w:rsidTr="00645B85">
        <w:tc>
          <w:tcPr>
            <w:tcW w:w="2235" w:type="dxa"/>
            <w:noWrap/>
          </w:tcPr>
          <w:p w:rsidR="00645B85" w:rsidRPr="00645B85" w:rsidRDefault="00645B85" w:rsidP="00645B85">
            <w:r>
              <w:t>IEEE</w:t>
            </w:r>
          </w:p>
        </w:tc>
        <w:tc>
          <w:tcPr>
            <w:tcW w:w="6458" w:type="dxa"/>
            <w:noWrap/>
          </w:tcPr>
          <w:p w:rsidR="00645B85" w:rsidRPr="00645B85" w:rsidRDefault="00645B85" w:rsidP="00645B85">
            <w:r w:rsidRPr="006915AD">
              <w:t>Institute of Electrical and Electronics Engineers</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JEN</w:t>
            </w:r>
          </w:p>
        </w:tc>
        <w:tc>
          <w:tcPr>
            <w:tcW w:w="6458" w:type="dxa"/>
            <w:noWrap/>
          </w:tcPr>
          <w:p w:rsidR="00645B85" w:rsidRPr="00645B85" w:rsidRDefault="00645B85" w:rsidP="00645B85">
            <w:r w:rsidRPr="00FE72F1">
              <w:t xml:space="preserve">Jemena </w:t>
            </w:r>
            <w:r w:rsidRPr="00645B85">
              <w:t>Electricity Networks</w:t>
            </w:r>
          </w:p>
        </w:tc>
      </w:tr>
      <w:tr w:rsidR="00645B85" w:rsidRPr="00063915" w:rsidTr="00645B85">
        <w:tc>
          <w:tcPr>
            <w:tcW w:w="2235" w:type="dxa"/>
            <w:noWrap/>
          </w:tcPr>
          <w:p w:rsidR="00645B85" w:rsidRPr="00645B85" w:rsidRDefault="00645B85" w:rsidP="00645B85">
            <w:r>
              <w:t>MW</w:t>
            </w:r>
          </w:p>
        </w:tc>
        <w:tc>
          <w:tcPr>
            <w:tcW w:w="6458" w:type="dxa"/>
            <w:noWrap/>
          </w:tcPr>
          <w:p w:rsidR="00645B85" w:rsidRPr="00645B85" w:rsidRDefault="00645B85" w:rsidP="00645B85">
            <w:r>
              <w:t>Megawatt</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NEL</w:t>
            </w:r>
          </w:p>
        </w:tc>
        <w:tc>
          <w:tcPr>
            <w:tcW w:w="6458" w:type="dxa"/>
            <w:noWrap/>
          </w:tcPr>
          <w:p w:rsidR="00645B85" w:rsidRPr="00645B85" w:rsidRDefault="00645B85" w:rsidP="00645B85">
            <w:r w:rsidRPr="00FE72F1">
              <w:t>National Electricity Law</w:t>
            </w:r>
          </w:p>
        </w:tc>
      </w:tr>
      <w:tr w:rsidR="00645B85" w:rsidRPr="00063915" w:rsidTr="00645B85">
        <w:tc>
          <w:tcPr>
            <w:tcW w:w="2235" w:type="dxa"/>
            <w:noWrap/>
          </w:tcPr>
          <w:p w:rsidR="00645B85" w:rsidRPr="00645B85" w:rsidRDefault="00645B85" w:rsidP="00645B85">
            <w:r w:rsidRPr="00FE72F1">
              <w:t>NEM</w:t>
            </w:r>
          </w:p>
        </w:tc>
        <w:tc>
          <w:tcPr>
            <w:tcW w:w="6458" w:type="dxa"/>
            <w:noWrap/>
          </w:tcPr>
          <w:p w:rsidR="00645B85" w:rsidRPr="00645B85" w:rsidRDefault="00645B85" w:rsidP="00645B85">
            <w:r w:rsidRPr="00FE72F1">
              <w:t>National Electricity Market</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NER</w:t>
            </w:r>
          </w:p>
        </w:tc>
        <w:tc>
          <w:tcPr>
            <w:tcW w:w="6458" w:type="dxa"/>
            <w:noWrap/>
          </w:tcPr>
          <w:p w:rsidR="00645B85" w:rsidRPr="00645B85" w:rsidRDefault="00645B85" w:rsidP="00645B85">
            <w:r w:rsidRPr="00FE72F1">
              <w:t>National Electricity Rules</w:t>
            </w:r>
          </w:p>
        </w:tc>
      </w:tr>
      <w:tr w:rsidR="00645B85" w:rsidRPr="00063915" w:rsidTr="00645B85">
        <w:tc>
          <w:tcPr>
            <w:tcW w:w="2235" w:type="dxa"/>
            <w:noWrap/>
          </w:tcPr>
          <w:p w:rsidR="00645B85" w:rsidRPr="00645B85" w:rsidRDefault="00645B85" w:rsidP="00645B85">
            <w:proofErr w:type="spellStart"/>
            <w:r>
              <w:t>O</w:t>
            </w:r>
            <w:r w:rsidRPr="00645B85">
              <w:t>pex</w:t>
            </w:r>
            <w:proofErr w:type="spellEnd"/>
          </w:p>
        </w:tc>
        <w:tc>
          <w:tcPr>
            <w:tcW w:w="6458" w:type="dxa"/>
            <w:noWrap/>
          </w:tcPr>
          <w:p w:rsidR="00645B85" w:rsidRPr="00645B85" w:rsidRDefault="00645B85" w:rsidP="00645B85">
            <w:r w:rsidRPr="00FE72F1">
              <w:t>Operating expenditure</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PCR</w:t>
            </w:r>
          </w:p>
        </w:tc>
        <w:tc>
          <w:tcPr>
            <w:tcW w:w="6458" w:type="dxa"/>
            <w:noWrap/>
          </w:tcPr>
          <w:p w:rsidR="00645B85" w:rsidRPr="00645B85" w:rsidRDefault="00645B85" w:rsidP="00645B85">
            <w:proofErr w:type="spellStart"/>
            <w:r w:rsidRPr="00FE72F1">
              <w:t>Powercor</w:t>
            </w:r>
            <w:proofErr w:type="spellEnd"/>
          </w:p>
        </w:tc>
      </w:tr>
      <w:tr w:rsidR="00645B85" w:rsidRPr="00063915" w:rsidTr="00645B85">
        <w:tc>
          <w:tcPr>
            <w:tcW w:w="2235" w:type="dxa"/>
            <w:noWrap/>
          </w:tcPr>
          <w:p w:rsidR="00645B85" w:rsidRPr="00645B85" w:rsidRDefault="00645B85" w:rsidP="00645B85">
            <w:r w:rsidRPr="00FE72F1">
              <w:t>RAB</w:t>
            </w:r>
          </w:p>
        </w:tc>
        <w:tc>
          <w:tcPr>
            <w:tcW w:w="6458" w:type="dxa"/>
            <w:noWrap/>
          </w:tcPr>
          <w:p w:rsidR="00645B85" w:rsidRPr="00645B85" w:rsidRDefault="00645B85" w:rsidP="00645B85">
            <w:r w:rsidRPr="00FE72F1">
              <w:t>Regulatory asset base</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SAP</w:t>
            </w:r>
            <w:r w:rsidR="002A5958">
              <w:t>N</w:t>
            </w:r>
          </w:p>
        </w:tc>
        <w:tc>
          <w:tcPr>
            <w:tcW w:w="6458" w:type="dxa"/>
            <w:noWrap/>
          </w:tcPr>
          <w:p w:rsidR="00645B85" w:rsidRPr="00645B85" w:rsidRDefault="00645B85" w:rsidP="00645B85">
            <w:r w:rsidRPr="00FE72F1">
              <w:t>SA Power Networks</w:t>
            </w:r>
          </w:p>
        </w:tc>
      </w:tr>
      <w:tr w:rsidR="00645B85" w:rsidRPr="00063915" w:rsidTr="00645B85">
        <w:trPr>
          <w:trHeight w:val="142"/>
        </w:trPr>
        <w:tc>
          <w:tcPr>
            <w:tcW w:w="2235" w:type="dxa"/>
            <w:noWrap/>
          </w:tcPr>
          <w:p w:rsidR="00645B85" w:rsidRPr="00645B85" w:rsidRDefault="00645B85" w:rsidP="00645B85">
            <w:r>
              <w:t>TND</w:t>
            </w:r>
          </w:p>
        </w:tc>
        <w:tc>
          <w:tcPr>
            <w:tcW w:w="6458" w:type="dxa"/>
            <w:noWrap/>
          </w:tcPr>
          <w:p w:rsidR="00645B85" w:rsidRPr="00645B85" w:rsidRDefault="00645B85" w:rsidP="00645B85">
            <w:proofErr w:type="spellStart"/>
            <w:r>
              <w:t>TasNetworks</w:t>
            </w:r>
            <w:proofErr w:type="spellEnd"/>
            <w:r>
              <w:t xml:space="preserve"> (Distribution)</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Height w:val="142"/>
        </w:trPr>
        <w:tc>
          <w:tcPr>
            <w:tcW w:w="2235" w:type="dxa"/>
            <w:noWrap/>
          </w:tcPr>
          <w:p w:rsidR="00645B85" w:rsidRPr="00645B85" w:rsidRDefault="00645B85" w:rsidP="00645B85">
            <w:r w:rsidRPr="00FE72F1">
              <w:t>UED</w:t>
            </w:r>
          </w:p>
        </w:tc>
        <w:tc>
          <w:tcPr>
            <w:tcW w:w="6458" w:type="dxa"/>
            <w:noWrap/>
          </w:tcPr>
          <w:p w:rsidR="00645B85" w:rsidRPr="00645B85" w:rsidRDefault="00645B85" w:rsidP="00645B85">
            <w:r w:rsidRPr="00FE72F1">
              <w:t>United Energy Distribution</w:t>
            </w:r>
          </w:p>
        </w:tc>
      </w:tr>
    </w:tbl>
    <w:p w:rsidR="00645B85" w:rsidRDefault="00645B85" w:rsidP="00645B85">
      <w:pPr>
        <w:pStyle w:val="UnnumberedHeading"/>
      </w:pPr>
      <w:bookmarkStart w:id="4" w:name="_Toc435712620"/>
      <w:bookmarkStart w:id="5" w:name="_Toc468175051"/>
      <w:r>
        <w:lastRenderedPageBreak/>
        <w:t>Glossary</w:t>
      </w:r>
      <w:bookmarkEnd w:id="4"/>
      <w:bookmarkEnd w:id="5"/>
    </w:p>
    <w:tbl>
      <w:tblPr>
        <w:tblStyle w:val="AERtable-text0"/>
        <w:tblW w:w="0" w:type="auto"/>
        <w:tblLook w:val="04A0" w:firstRow="1" w:lastRow="0" w:firstColumn="1" w:lastColumn="0" w:noHBand="0" w:noVBand="1"/>
      </w:tblPr>
      <w:tblGrid>
        <w:gridCol w:w="3039"/>
        <w:gridCol w:w="5654"/>
      </w:tblGrid>
      <w:tr w:rsidR="00645B85" w:rsidRPr="005F6082" w:rsidTr="00645B85">
        <w:trPr>
          <w:cnfStyle w:val="100000000000" w:firstRow="1" w:lastRow="0" w:firstColumn="0" w:lastColumn="0" w:oddVBand="0" w:evenVBand="0" w:oddHBand="0" w:evenHBand="0" w:firstRowFirstColumn="0" w:firstRowLastColumn="0" w:lastRowFirstColumn="0" w:lastRowLastColumn="0"/>
        </w:trPr>
        <w:tc>
          <w:tcPr>
            <w:tcW w:w="3039" w:type="dxa"/>
          </w:tcPr>
          <w:p w:rsidR="00645B85" w:rsidRPr="00645B85" w:rsidRDefault="00645B85" w:rsidP="00645B85">
            <w:r>
              <w:t>T</w:t>
            </w:r>
            <w:r w:rsidRPr="00645B85">
              <w:t>erm</w:t>
            </w:r>
          </w:p>
        </w:tc>
        <w:tc>
          <w:tcPr>
            <w:tcW w:w="5654" w:type="dxa"/>
          </w:tcPr>
          <w:p w:rsidR="00645B85" w:rsidRPr="00645B85" w:rsidRDefault="00645B85" w:rsidP="00645B85">
            <w:r>
              <w:t>Description</w:t>
            </w:r>
          </w:p>
        </w:tc>
      </w:tr>
      <w:tr w:rsidR="00645B85" w:rsidRPr="00063915" w:rsidTr="00645B85">
        <w:tc>
          <w:tcPr>
            <w:tcW w:w="3039" w:type="dxa"/>
            <w:noWrap/>
          </w:tcPr>
          <w:p w:rsidR="00645B85" w:rsidRPr="00645B85" w:rsidRDefault="00645B85" w:rsidP="00645B85">
            <w:r>
              <w:t>Inputs</w:t>
            </w:r>
          </w:p>
        </w:tc>
        <w:tc>
          <w:tcPr>
            <w:tcW w:w="5654" w:type="dxa"/>
            <w:noWrap/>
          </w:tcPr>
          <w:p w:rsidR="00645B85" w:rsidRPr="00645B85" w:rsidRDefault="00645B85" w:rsidP="00645B85">
            <w:r>
              <w:t>Inputs are the resources DNSPs use to provide services</w:t>
            </w:r>
            <w:r w:rsidRPr="00645B85">
              <w:t>.</w:t>
            </w:r>
            <w:r w:rsidR="00F645E0">
              <w:t xml:space="preserve"> </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3039" w:type="dxa"/>
            <w:noWrap/>
          </w:tcPr>
          <w:p w:rsidR="00645B85" w:rsidRPr="00645B85" w:rsidRDefault="00645B85" w:rsidP="00645B85">
            <w:r>
              <w:t>LSE</w:t>
            </w:r>
          </w:p>
        </w:tc>
        <w:tc>
          <w:tcPr>
            <w:tcW w:w="5654" w:type="dxa"/>
            <w:noWrap/>
          </w:tcPr>
          <w:p w:rsidR="00645B85" w:rsidRPr="00645B85" w:rsidRDefault="00645B85" w:rsidP="00F645E0">
            <w:r>
              <w:t>Least squares econometrics</w:t>
            </w:r>
            <w:r w:rsidRPr="00645B85">
              <w:t xml:space="preserve">. LSE is an econometric modelling technique that uses </w:t>
            </w:r>
            <w:r w:rsidR="00F645E0" w:rsidRPr="00F645E0">
              <w:t xml:space="preserve">'line of best fit' statistical regression methods </w:t>
            </w:r>
            <w:r w:rsidRPr="00645B85">
              <w:t>to estimate the relationship between inputs and outputs. Because they are statistical models, LSE models</w:t>
            </w:r>
            <w:r w:rsidR="002A5958">
              <w:t xml:space="preserve"> with firm dummies</w:t>
            </w:r>
            <w:r w:rsidRPr="00645B85">
              <w:t xml:space="preserve"> allow for economies and diseconomies of scale and can distinguish between random variations in the data and systematic differences between DNSPs.</w:t>
            </w:r>
          </w:p>
        </w:tc>
      </w:tr>
      <w:tr w:rsidR="00645B85" w:rsidRPr="00063915" w:rsidTr="00645B85">
        <w:tc>
          <w:tcPr>
            <w:tcW w:w="3039" w:type="dxa"/>
            <w:noWrap/>
          </w:tcPr>
          <w:p w:rsidR="00645B85" w:rsidRPr="00645B85" w:rsidRDefault="00645B85" w:rsidP="00645B85">
            <w:r>
              <w:t>MPFP</w:t>
            </w:r>
          </w:p>
        </w:tc>
        <w:tc>
          <w:tcPr>
            <w:tcW w:w="5654" w:type="dxa"/>
            <w:noWrap/>
          </w:tcPr>
          <w:p w:rsidR="00645B85" w:rsidRPr="00645B85" w:rsidRDefault="00645B85" w:rsidP="00645B85">
            <w:r>
              <w:t>Multilateral partial factor productivity</w:t>
            </w:r>
            <w:r w:rsidRPr="00645B85">
              <w:t>. MPFP is a PIN technique that measures the relationship between total output and one input.</w:t>
            </w:r>
            <w:r w:rsidR="00F645E0">
              <w:t xml:space="preserve"> </w:t>
            </w:r>
            <w:r w:rsidR="00F645E0" w:rsidRPr="00F645E0">
              <w:t xml:space="preserve">It allows partial productivity levels as well as growth rates to </w:t>
            </w:r>
            <w:proofErr w:type="gramStart"/>
            <w:r w:rsidR="00F645E0" w:rsidRPr="00F645E0">
              <w:t>be compared</w:t>
            </w:r>
            <w:proofErr w:type="gramEnd"/>
            <w:r w:rsidR="00F645E0" w:rsidRPr="00F645E0">
              <w:t>.</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3039" w:type="dxa"/>
            <w:noWrap/>
          </w:tcPr>
          <w:p w:rsidR="00645B85" w:rsidRPr="00645B85" w:rsidRDefault="00645B85" w:rsidP="00645B85">
            <w:r w:rsidRPr="00FE72F1">
              <w:t>MTFP</w:t>
            </w:r>
          </w:p>
        </w:tc>
        <w:tc>
          <w:tcPr>
            <w:tcW w:w="5654" w:type="dxa"/>
            <w:noWrap/>
          </w:tcPr>
          <w:p w:rsidR="00645B85" w:rsidRPr="00645B85" w:rsidRDefault="00645B85" w:rsidP="00645B85">
            <w:r w:rsidRPr="00FE72F1">
              <w:t xml:space="preserve">Multilateral total </w:t>
            </w:r>
            <w:r w:rsidRPr="00645B85">
              <w:t>factor productivity. MTFP is a PIN technique that measures the relationship between total output and total input.</w:t>
            </w:r>
            <w:r w:rsidR="00F645E0">
              <w:t xml:space="preserve"> </w:t>
            </w:r>
            <w:r w:rsidR="00F645E0" w:rsidRPr="00F645E0">
              <w:t xml:space="preserve">It allows total productivity levels as well as growth rates to </w:t>
            </w:r>
            <w:proofErr w:type="gramStart"/>
            <w:r w:rsidR="00F645E0" w:rsidRPr="00F645E0">
              <w:t>be compared</w:t>
            </w:r>
            <w:proofErr w:type="gramEnd"/>
            <w:r w:rsidR="00F645E0" w:rsidRPr="00F645E0">
              <w:t>.</w:t>
            </w:r>
          </w:p>
        </w:tc>
      </w:tr>
      <w:tr w:rsidR="00645B85" w:rsidRPr="00063915" w:rsidTr="00645B85">
        <w:tc>
          <w:tcPr>
            <w:tcW w:w="3039" w:type="dxa"/>
            <w:noWrap/>
          </w:tcPr>
          <w:p w:rsidR="00645B85" w:rsidRPr="00645B85" w:rsidRDefault="00645B85" w:rsidP="00645B85">
            <w:r>
              <w:t xml:space="preserve">Network services </w:t>
            </w:r>
            <w:proofErr w:type="spellStart"/>
            <w:r>
              <w:t>opex</w:t>
            </w:r>
            <w:proofErr w:type="spellEnd"/>
          </w:p>
        </w:tc>
        <w:tc>
          <w:tcPr>
            <w:tcW w:w="5654" w:type="dxa"/>
            <w:noWrap/>
          </w:tcPr>
          <w:p w:rsidR="00645B85" w:rsidRPr="00645B85" w:rsidRDefault="00645B85" w:rsidP="00645B85">
            <w:proofErr w:type="spellStart"/>
            <w:r>
              <w:t>Opex</w:t>
            </w:r>
            <w:proofErr w:type="spellEnd"/>
            <w:r>
              <w:t xml:space="preserve"> for network services excludes amounts associated with metering, customer connections, street lighting, ancillary services and solar feed-in tariff payments.</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3039" w:type="dxa"/>
            <w:noWrap/>
          </w:tcPr>
          <w:p w:rsidR="00645B85" w:rsidRPr="00645B85" w:rsidRDefault="00645B85" w:rsidP="00645B85">
            <w:r>
              <w:t>OEF</w:t>
            </w:r>
            <w:r w:rsidRPr="00645B85">
              <w:t>s</w:t>
            </w:r>
          </w:p>
        </w:tc>
        <w:tc>
          <w:tcPr>
            <w:tcW w:w="5654" w:type="dxa"/>
            <w:noWrap/>
          </w:tcPr>
          <w:p w:rsidR="00645B85" w:rsidRPr="00645B85" w:rsidRDefault="00645B85" w:rsidP="00645B85">
            <w:r>
              <w:t>Operating environment factor</w:t>
            </w:r>
            <w:r w:rsidRPr="00645B85">
              <w:t xml:space="preserve">s. OEFs are factors beyond a DNSP’s control that can affect its costs and benchmarking performance. </w:t>
            </w:r>
          </w:p>
        </w:tc>
      </w:tr>
      <w:tr w:rsidR="00645B85" w:rsidRPr="00063915" w:rsidTr="00645B85">
        <w:tc>
          <w:tcPr>
            <w:tcW w:w="3039" w:type="dxa"/>
            <w:noWrap/>
          </w:tcPr>
          <w:p w:rsidR="00645B85" w:rsidRPr="00645B85" w:rsidRDefault="00645B85" w:rsidP="00645B85">
            <w:r>
              <w:t>Outputs</w:t>
            </w:r>
          </w:p>
        </w:tc>
        <w:tc>
          <w:tcPr>
            <w:tcW w:w="5654" w:type="dxa"/>
            <w:noWrap/>
          </w:tcPr>
          <w:p w:rsidR="00645B85" w:rsidRPr="00645B85" w:rsidRDefault="00645B85" w:rsidP="00645B85">
            <w:r>
              <w:t xml:space="preserve">Outputs are quantitative </w:t>
            </w:r>
            <w:r w:rsidRPr="00645B85">
              <w:t>or qualitative measures that represent the services DNSPs provide.</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3039" w:type="dxa"/>
            <w:noWrap/>
          </w:tcPr>
          <w:p w:rsidR="00645B85" w:rsidRPr="00645B85" w:rsidRDefault="00645B85" w:rsidP="00645B85">
            <w:r>
              <w:t>PIN</w:t>
            </w:r>
          </w:p>
        </w:tc>
        <w:tc>
          <w:tcPr>
            <w:tcW w:w="5654" w:type="dxa"/>
            <w:noWrap/>
          </w:tcPr>
          <w:p w:rsidR="00645B85" w:rsidRPr="00645B85" w:rsidRDefault="00645B85" w:rsidP="00C060AF">
            <w:r>
              <w:t>Productivity index number</w:t>
            </w:r>
            <w:r w:rsidRPr="00645B85">
              <w:t>. PIN techniques determine the relationship between inputs and outputs using a</w:t>
            </w:r>
            <w:r w:rsidR="00F645E0">
              <w:t xml:space="preserve"> mathematical </w:t>
            </w:r>
            <w:r w:rsidRPr="00645B85">
              <w:t>index.</w:t>
            </w:r>
          </w:p>
        </w:tc>
      </w:tr>
      <w:tr w:rsidR="00645B85" w:rsidRPr="00063915" w:rsidTr="00645B85">
        <w:tc>
          <w:tcPr>
            <w:tcW w:w="3039" w:type="dxa"/>
            <w:noWrap/>
          </w:tcPr>
          <w:p w:rsidR="00645B85" w:rsidRPr="00645B85" w:rsidRDefault="00645B85" w:rsidP="00645B85">
            <w:r>
              <w:t>PPI</w:t>
            </w:r>
          </w:p>
        </w:tc>
        <w:tc>
          <w:tcPr>
            <w:tcW w:w="5654" w:type="dxa"/>
            <w:noWrap/>
          </w:tcPr>
          <w:p w:rsidR="00645B85" w:rsidRPr="00645B85" w:rsidRDefault="00645B85" w:rsidP="00645B85">
            <w:r>
              <w:t>Partial performance indicator</w:t>
            </w:r>
            <w:r w:rsidRPr="00645B85">
              <w:t>. PPIs are simple techniques that measure the relationship between one input and one output.</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3039" w:type="dxa"/>
            <w:noWrap/>
          </w:tcPr>
          <w:p w:rsidR="00645B85" w:rsidRPr="00645B85" w:rsidRDefault="00645B85" w:rsidP="00645B85">
            <w:r>
              <w:t>Ratcheted maximum demand</w:t>
            </w:r>
          </w:p>
        </w:tc>
        <w:tc>
          <w:tcPr>
            <w:tcW w:w="5654" w:type="dxa"/>
            <w:noWrap/>
          </w:tcPr>
          <w:p w:rsidR="00645B85" w:rsidRPr="00645B85" w:rsidRDefault="00645B85" w:rsidP="00645B85">
            <w:r>
              <w:t xml:space="preserve">Ratcheted maximum demand is </w:t>
            </w:r>
            <w:r w:rsidRPr="00645B85">
              <w:t xml:space="preserve">the highest value of maximum demand for each DNSP, observed in the </w:t>
            </w:r>
            <w:proofErr w:type="gramStart"/>
            <w:r w:rsidRPr="00645B85">
              <w:t>time period</w:t>
            </w:r>
            <w:proofErr w:type="gramEnd"/>
            <w:r w:rsidRPr="00645B85">
              <w:t xml:space="preserve"> up to the year in question. It recognises capacity that </w:t>
            </w:r>
            <w:proofErr w:type="gramStart"/>
            <w:r w:rsidRPr="00645B85">
              <w:t>has been used</w:t>
            </w:r>
            <w:proofErr w:type="gramEnd"/>
            <w:r w:rsidRPr="00645B85">
              <w:t xml:space="preserve"> to satisfy demand and gives the DNSP credit for this capacity in subsequent years, even though annual maximum demand may be lower in subsequent years.</w:t>
            </w:r>
          </w:p>
        </w:tc>
      </w:tr>
      <w:tr w:rsidR="00645B85" w:rsidRPr="00063915" w:rsidTr="00645B85">
        <w:tc>
          <w:tcPr>
            <w:tcW w:w="3039" w:type="dxa"/>
            <w:noWrap/>
          </w:tcPr>
          <w:p w:rsidR="00645B85" w:rsidRPr="00645B85" w:rsidRDefault="00645B85" w:rsidP="00645B85">
            <w:r>
              <w:t>SFA</w:t>
            </w:r>
          </w:p>
        </w:tc>
        <w:tc>
          <w:tcPr>
            <w:tcW w:w="5654" w:type="dxa"/>
            <w:noWrap/>
          </w:tcPr>
          <w:p w:rsidR="00645B85" w:rsidRPr="00645B85" w:rsidRDefault="00645B85" w:rsidP="002A5958">
            <w:r>
              <w:t>Stochastic frontier analysis</w:t>
            </w:r>
            <w:r w:rsidRPr="00645B85">
              <w:t xml:space="preserve">. SFA is an econometric modelling technique that uses </w:t>
            </w:r>
            <w:r w:rsidR="00F645E0">
              <w:t xml:space="preserve">advanced </w:t>
            </w:r>
            <w:r w:rsidRPr="00645B85">
              <w:t>statistic</w:t>
            </w:r>
            <w:r w:rsidR="00F645E0">
              <w:t>al methods</w:t>
            </w:r>
            <w:r w:rsidRPr="00645B85">
              <w:t xml:space="preserve"> to estimate the </w:t>
            </w:r>
            <w:r w:rsidR="00F645E0">
              <w:t xml:space="preserve">frontier </w:t>
            </w:r>
            <w:r w:rsidRPr="00645B85">
              <w:t>relationship between inputs and outputs. SFA models allow for economies and diseconomies of scale and directly estimates efficiency for each DNSP</w:t>
            </w:r>
            <w:r w:rsidR="00F645E0">
              <w:t xml:space="preserve"> relative to estimated best performance</w:t>
            </w:r>
            <w:r w:rsidRPr="00645B85">
              <w:t>.</w:t>
            </w:r>
          </w:p>
        </w:tc>
      </w:tr>
    </w:tbl>
    <w:p w:rsidR="00645B85" w:rsidRDefault="00645B85" w:rsidP="00645B85">
      <w:pPr>
        <w:pStyle w:val="UnnumberedHeading"/>
      </w:pPr>
      <w:bookmarkStart w:id="6" w:name="_Toc404010808"/>
      <w:bookmarkStart w:id="7" w:name="_Toc404244858"/>
      <w:bookmarkStart w:id="8" w:name="_Toc435712622"/>
      <w:bookmarkStart w:id="9" w:name="_Toc468175052"/>
      <w:bookmarkStart w:id="10" w:name="_Toc213047617"/>
      <w:r>
        <w:lastRenderedPageBreak/>
        <w:t>Overview</w:t>
      </w:r>
      <w:bookmarkEnd w:id="6"/>
      <w:bookmarkEnd w:id="7"/>
      <w:bookmarkEnd w:id="8"/>
      <w:bookmarkEnd w:id="9"/>
    </w:p>
    <w:p w:rsidR="009773FF" w:rsidRDefault="009773FF">
      <w:r w:rsidRPr="009773FF">
        <w:t xml:space="preserve">This benchmarking report sets out our findings on the overall efficiency of each </w:t>
      </w:r>
      <w:r>
        <w:t>distribution</w:t>
      </w:r>
      <w:r w:rsidRPr="009773FF">
        <w:t xml:space="preserve"> network service provider (</w:t>
      </w:r>
      <w:r>
        <w:t>D</w:t>
      </w:r>
      <w:r w:rsidRPr="009773FF">
        <w:t xml:space="preserve">NSP) in the National </w:t>
      </w:r>
      <w:r w:rsidR="00582B5C">
        <w:t>Electricity</w:t>
      </w:r>
      <w:r w:rsidR="00582B5C" w:rsidRPr="009773FF">
        <w:t xml:space="preserve"> </w:t>
      </w:r>
      <w:r w:rsidRPr="009773FF">
        <w:t>Market (NEM).</w:t>
      </w:r>
    </w:p>
    <w:p w:rsidR="007101EF" w:rsidRPr="006D53B5" w:rsidRDefault="007101EF">
      <w:r w:rsidRPr="006D53B5">
        <w:t>This is the third annual benchmarking report. As with the previous reports, the benchmarking models presented in this report are the culmination of a substantial work program</w:t>
      </w:r>
      <w:r w:rsidR="002F5076">
        <w:t>. This</w:t>
      </w:r>
      <w:r w:rsidRPr="006D53B5">
        <w:t xml:space="preserve"> </w:t>
      </w:r>
      <w:r w:rsidR="002F5076">
        <w:t>program</w:t>
      </w:r>
      <w:r w:rsidRPr="006D53B5">
        <w:t xml:space="preserve"> commenced in 2012 after changes to the electricity rules removed impediments to the use of benchmarking in making regulatory determinations. </w:t>
      </w:r>
      <w:r w:rsidR="00DC1C2E">
        <w:t>W</w:t>
      </w:r>
      <w:r w:rsidRPr="006D53B5">
        <w:t>e worked with leading economic experts</w:t>
      </w:r>
      <w:r w:rsidR="008B6B1E">
        <w:t>, Economic Insights,</w:t>
      </w:r>
      <w:r w:rsidRPr="006D53B5">
        <w:t xml:space="preserve"> and consulted extensively with the DNSPs and electricity consumers to establish benchmarking data requirements, model specifications and a guideline setting out how benchmarking would be used in determinations. </w:t>
      </w:r>
    </w:p>
    <w:p w:rsidR="002F64DE" w:rsidRDefault="002F64DE" w:rsidP="00EE76B7">
      <w:r>
        <w:t>Benchmarking enables us to compare the performance of DNSP</w:t>
      </w:r>
      <w:r w:rsidR="001B29A8">
        <w:t>s relative to each other and over time</w:t>
      </w:r>
      <w:r>
        <w:t xml:space="preserve">. This is important in an industry where the service providers are natural monopolies because they may not face the same pressures to operate efficiently as firms in a competitive market.  </w:t>
      </w:r>
      <w:r w:rsidR="005A4331">
        <w:t>By reporting comparative performance, we create an incentive</w:t>
      </w:r>
      <w:r w:rsidR="005A4331" w:rsidRPr="00F67BA7">
        <w:t xml:space="preserve"> for </w:t>
      </w:r>
      <w:r w:rsidR="005A4331">
        <w:t>D</w:t>
      </w:r>
      <w:r w:rsidR="005A4331" w:rsidRPr="00F67BA7">
        <w:t xml:space="preserve">NSPs to </w:t>
      </w:r>
      <w:r w:rsidR="005A4331">
        <w:t xml:space="preserve">learn from each </w:t>
      </w:r>
      <w:proofErr w:type="gramStart"/>
      <w:r w:rsidR="005A4331">
        <w:t xml:space="preserve">other and </w:t>
      </w:r>
      <w:r w:rsidR="005A4331" w:rsidRPr="00F67BA7">
        <w:t xml:space="preserve">improve their </w:t>
      </w:r>
      <w:r w:rsidR="005A4331">
        <w:t>performance</w:t>
      </w:r>
      <w:proofErr w:type="gramEnd"/>
      <w:r w:rsidR="005A4331">
        <w:t xml:space="preserve"> and provide </w:t>
      </w:r>
      <w:r w:rsidR="005A4331" w:rsidRPr="00F67BA7">
        <w:t>meaningful information to consumers and othe</w:t>
      </w:r>
      <w:r w:rsidR="005A4331">
        <w:t xml:space="preserve">r stakeholders for better </w:t>
      </w:r>
      <w:r w:rsidR="005A4331" w:rsidRPr="00F67BA7">
        <w:t xml:space="preserve">engagement in </w:t>
      </w:r>
      <w:r w:rsidR="005A4331">
        <w:t>our</w:t>
      </w:r>
      <w:r w:rsidR="005A4331" w:rsidRPr="00F67BA7">
        <w:t xml:space="preserve"> regulatory processes</w:t>
      </w:r>
      <w:r w:rsidR="005A4331">
        <w:t xml:space="preserve">.  </w:t>
      </w:r>
      <w:r w:rsidR="005A4331" w:rsidRPr="00A65C8D">
        <w:t>There has been a long history of benchmarking by international regulators for electricity distribution network</w:t>
      </w:r>
      <w:r w:rsidR="005A4331">
        <w:t>s</w:t>
      </w:r>
      <w:r w:rsidR="005A4331" w:rsidRPr="00A65C8D">
        <w:t>.</w:t>
      </w:r>
      <w:r>
        <w:t xml:space="preserve">  </w:t>
      </w:r>
      <w:r w:rsidR="001B29A8">
        <w:t xml:space="preserve">This </w:t>
      </w:r>
      <w:proofErr w:type="gramStart"/>
      <w:r w:rsidR="001B29A8">
        <w:t>has been detailed</w:t>
      </w:r>
      <w:proofErr w:type="gramEnd"/>
      <w:r w:rsidR="001B29A8">
        <w:t xml:space="preserve"> in the ACCC/AER working paper on benchmarking </w:t>
      </w:r>
      <w:proofErr w:type="spellStart"/>
      <w:r w:rsidR="001B29A8">
        <w:t>opex</w:t>
      </w:r>
      <w:proofErr w:type="spellEnd"/>
      <w:r w:rsidR="001B29A8">
        <w:t xml:space="preserve"> and capex in electricity networks (see Appendix A). </w:t>
      </w:r>
    </w:p>
    <w:p w:rsidR="007101EF" w:rsidRPr="00A12669" w:rsidRDefault="00981881" w:rsidP="00EE76B7">
      <w:r>
        <w:t>W</w:t>
      </w:r>
      <w:r w:rsidR="007101EF" w:rsidRPr="00251E77">
        <w:t>e ha</w:t>
      </w:r>
      <w:r w:rsidR="00BA637A">
        <w:t>ve</w:t>
      </w:r>
      <w:r w:rsidR="007101EF" w:rsidRPr="00251E77">
        <w:t xml:space="preserve"> regard to </w:t>
      </w:r>
      <w:r w:rsidR="00BA637A">
        <w:t xml:space="preserve">the </w:t>
      </w:r>
      <w:r w:rsidR="007101EF" w:rsidRPr="00251E77">
        <w:t xml:space="preserve">annual benchmarking report in our determinations for the DNSPs. </w:t>
      </w:r>
      <w:r w:rsidR="005A4331">
        <w:t xml:space="preserve">We consider that </w:t>
      </w:r>
      <w:r w:rsidR="007101EF" w:rsidRPr="00A12669">
        <w:t>our benchmarking models are the most robust measures of overall efficiency available. At the same time</w:t>
      </w:r>
      <w:r w:rsidR="002B07BD">
        <w:t>,</w:t>
      </w:r>
      <w:r w:rsidR="007101EF" w:rsidRPr="00A12669">
        <w:t xml:space="preserve"> we recognise that there is no perfect benchmarking model, and have been cautious in our application of </w:t>
      </w:r>
      <w:r w:rsidR="002B07BD">
        <w:t>benchmarking</w:t>
      </w:r>
      <w:r w:rsidR="007101EF" w:rsidRPr="00A12669">
        <w:t xml:space="preserve"> in recent distribution determinations. Benchmarking is a critical exercise in assessing the efficiency of the DNSPs’ regulatory proposals and we will continue to invest in refining our benchmarking techniques into the future.</w:t>
      </w:r>
    </w:p>
    <w:p w:rsidR="007101EF" w:rsidRPr="00A12669" w:rsidRDefault="007101EF" w:rsidP="00A12669">
      <w:r w:rsidRPr="00A12669">
        <w:t xml:space="preserve">The benchmarking techniques in </w:t>
      </w:r>
      <w:r w:rsidR="001B29A8">
        <w:t>this report</w:t>
      </w:r>
      <w:r w:rsidRPr="00A12669">
        <w:t xml:space="preserve"> are consistent with those presented in previous reports, but updated </w:t>
      </w:r>
      <w:r w:rsidR="008B6B1E">
        <w:t xml:space="preserve">by Economic Insights </w:t>
      </w:r>
      <w:r w:rsidRPr="00A12669">
        <w:t xml:space="preserve">with data for 2015. We have focused on an economic benchmarking technique—multilateral total factor productivity (MTFP)—as the primary technique to compare efficiency. MTFP is a sophisticated ‘top down’ technique that enables us to measure each DNSP’s overall efficiency at providing electricity services. </w:t>
      </w:r>
    </w:p>
    <w:p w:rsidR="007101EF" w:rsidRPr="007101EF" w:rsidRDefault="007101EF" w:rsidP="007101EF">
      <w:pPr>
        <w:pStyle w:val="HeadingBoldBlue"/>
      </w:pPr>
      <w:r>
        <w:t>Key messages</w:t>
      </w:r>
      <w:r w:rsidRPr="007101EF">
        <w:tab/>
      </w:r>
    </w:p>
    <w:p w:rsidR="007101EF" w:rsidRDefault="0057126E" w:rsidP="007101EF">
      <w:r>
        <w:t>The long term industry trend of declining p</w:t>
      </w:r>
      <w:r w:rsidR="007101EF">
        <w:t xml:space="preserve">roductivity </w:t>
      </w:r>
      <w:r w:rsidR="006B240B" w:rsidRPr="006B240B">
        <w:t>continued</w:t>
      </w:r>
      <w:r w:rsidR="006B240B">
        <w:t xml:space="preserve"> </w:t>
      </w:r>
      <w:r w:rsidR="006B240B" w:rsidRPr="006B240B">
        <w:t xml:space="preserve">in the twelve months between 2014 and 2015. </w:t>
      </w:r>
      <w:r w:rsidR="007101EF">
        <w:t xml:space="preserve">This </w:t>
      </w:r>
      <w:proofErr w:type="gramStart"/>
      <w:r w:rsidR="007101EF">
        <w:t>can be seen</w:t>
      </w:r>
      <w:proofErr w:type="gramEnd"/>
      <w:r w:rsidR="007101EF">
        <w:t xml:space="preserve"> in </w:t>
      </w:r>
      <w:r w:rsidR="00FE5E65">
        <w:fldChar w:fldCharType="begin"/>
      </w:r>
      <w:r w:rsidR="00FE5E65">
        <w:instrText xml:space="preserve"> REF  _Ref433272773 \* Lower \h </w:instrText>
      </w:r>
      <w:r w:rsidR="00FE5E65">
        <w:fldChar w:fldCharType="separate"/>
      </w:r>
      <w:r w:rsidR="00BE7268">
        <w:t xml:space="preserve">figure </w:t>
      </w:r>
      <w:r w:rsidR="00BE7268">
        <w:rPr>
          <w:noProof/>
        </w:rPr>
        <w:t>1</w:t>
      </w:r>
      <w:r w:rsidR="00FE5E65">
        <w:fldChar w:fldCharType="end"/>
      </w:r>
      <w:r w:rsidR="007101EF">
        <w:t xml:space="preserve">, which shows the combined industry inputs have increased at a greater rate than outputs since 2007. </w:t>
      </w:r>
    </w:p>
    <w:p w:rsidR="007101EF" w:rsidRDefault="007101EF" w:rsidP="007101EF">
      <w:pPr>
        <w:pStyle w:val="Caption"/>
      </w:pPr>
      <w:bookmarkStart w:id="11" w:name="_Ref433272773"/>
      <w:r>
        <w:lastRenderedPageBreak/>
        <w:t xml:space="preserve">Figure </w:t>
      </w:r>
      <w:r w:rsidRPr="00F50135">
        <w:fldChar w:fldCharType="begin"/>
      </w:r>
      <w:r>
        <w:instrText xml:space="preserve"> SEQ Figure \* ARABIC </w:instrText>
      </w:r>
      <w:r w:rsidRPr="00F50135">
        <w:fldChar w:fldCharType="separate"/>
      </w:r>
      <w:r w:rsidR="00BE7268">
        <w:rPr>
          <w:noProof/>
        </w:rPr>
        <w:t>1</w:t>
      </w:r>
      <w:r w:rsidRPr="00F50135">
        <w:fldChar w:fldCharType="end"/>
      </w:r>
      <w:bookmarkEnd w:id="11"/>
      <w:r>
        <w:tab/>
      </w:r>
      <w:r w:rsidR="00AA4573">
        <w:tab/>
      </w:r>
      <w:r w:rsidR="0060396E">
        <w:t>Industry</w:t>
      </w:r>
      <w:r>
        <w:t xml:space="preserve"> input, output and </w:t>
      </w:r>
      <w:r w:rsidR="00E25EAC">
        <w:t xml:space="preserve">productivity </w:t>
      </w:r>
      <w:r>
        <w:t>indices</w:t>
      </w:r>
      <w:r w:rsidR="00E25EAC">
        <w:t>,</w:t>
      </w:r>
      <w:r w:rsidR="005713FC">
        <w:t xml:space="preserve"> </w:t>
      </w:r>
      <w:r>
        <w:t>2006</w:t>
      </w:r>
      <w:r w:rsidR="00E25EAC">
        <w:t xml:space="preserve"> to 20</w:t>
      </w:r>
      <w:r>
        <w:t>15</w:t>
      </w:r>
    </w:p>
    <w:p w:rsidR="007101EF" w:rsidRDefault="000810FD" w:rsidP="0057126E">
      <w:pPr>
        <w:pStyle w:val="Caption"/>
      </w:pPr>
      <w:r w:rsidRPr="000810FD">
        <w:rPr>
          <w:b w:val="0"/>
          <w:bCs w:val="0"/>
          <w:noProof/>
          <w:lang w:eastAsia="en-AU"/>
        </w:rPr>
        <w:drawing>
          <wp:inline distT="0" distB="0" distL="0" distR="0" wp14:anchorId="49E251CF" wp14:editId="0A694DEA">
            <wp:extent cx="5109376" cy="318314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09387" cy="3183154"/>
                    </a:xfrm>
                    <a:prstGeom prst="rect">
                      <a:avLst/>
                    </a:prstGeom>
                    <a:noFill/>
                    <a:ln>
                      <a:noFill/>
                    </a:ln>
                  </pic:spPr>
                </pic:pic>
              </a:graphicData>
            </a:graphic>
          </wp:inline>
        </w:drawing>
      </w:r>
      <w:r w:rsidR="00CE371D" w:rsidRPr="00CE371D">
        <w:t xml:space="preserve">  </w:t>
      </w:r>
    </w:p>
    <w:p w:rsidR="00871857" w:rsidRDefault="0082574E" w:rsidP="000A22BF">
      <w:r>
        <w:t>Despite the downward trend at the industry level, there are promising results in 2015 at the individual network level</w:t>
      </w:r>
      <w:r w:rsidR="006B7173">
        <w:t>. F</w:t>
      </w:r>
      <w:r w:rsidR="000A22BF">
        <w:t xml:space="preserve">igure 2 shows that </w:t>
      </w:r>
      <w:r w:rsidR="000A22BF" w:rsidRPr="000A22BF">
        <w:t xml:space="preserve">in 2015, over half of the networks go against the declining productivity trend. </w:t>
      </w:r>
      <w:proofErr w:type="spellStart"/>
      <w:r w:rsidR="000A22BF" w:rsidRPr="000A22BF">
        <w:t>TasNetworks</w:t>
      </w:r>
      <w:proofErr w:type="spellEnd"/>
      <w:r w:rsidR="000A22BF" w:rsidRPr="000A22BF">
        <w:t xml:space="preserve">, </w:t>
      </w:r>
      <w:proofErr w:type="spellStart"/>
      <w:r w:rsidR="000A22BF" w:rsidRPr="000A22BF">
        <w:t>ActewAGL</w:t>
      </w:r>
      <w:proofErr w:type="spellEnd"/>
      <w:r w:rsidR="000A22BF" w:rsidRPr="000A22BF">
        <w:t xml:space="preserve">, CitiPower, United Energy, </w:t>
      </w:r>
      <w:proofErr w:type="spellStart"/>
      <w:r w:rsidR="000A22BF" w:rsidRPr="000A22BF">
        <w:t>Powercor</w:t>
      </w:r>
      <w:proofErr w:type="spellEnd"/>
      <w:r w:rsidR="000A22BF" w:rsidRPr="000A22BF">
        <w:t xml:space="preserve"> and SA Power Networks all improved their productivity in 2015</w:t>
      </w:r>
      <w:r w:rsidR="000A22BF">
        <w:t>.</w:t>
      </w:r>
      <w:r w:rsidR="00735CCB">
        <w:t xml:space="preserve">  However, </w:t>
      </w:r>
      <w:r w:rsidR="00871857">
        <w:t>t</w:t>
      </w:r>
      <w:r w:rsidR="000A22BF" w:rsidRPr="000A22BF">
        <w:t xml:space="preserve">hese productivity gains </w:t>
      </w:r>
      <w:proofErr w:type="gramStart"/>
      <w:r w:rsidR="000A22BF" w:rsidRPr="000A22BF">
        <w:t>were offset</w:t>
      </w:r>
      <w:proofErr w:type="gramEnd"/>
      <w:r w:rsidR="000A22BF" w:rsidRPr="000A22BF">
        <w:t xml:space="preserve"> by productivity declines in networks operating in New South Wales and Queensland</w:t>
      </w:r>
      <w:r w:rsidR="00DE257A">
        <w:t xml:space="preserve">. </w:t>
      </w:r>
      <w:r w:rsidR="00BA251D">
        <w:t xml:space="preserve">A number if the New South Wales and Queensland networks are </w:t>
      </w:r>
      <w:r w:rsidR="00735CCB">
        <w:t>currently undertaking restructuring programs</w:t>
      </w:r>
      <w:r w:rsidR="000A22BF" w:rsidRPr="000A22BF">
        <w:t xml:space="preserve">.  Given their relatively large size, </w:t>
      </w:r>
      <w:r w:rsidR="00871857">
        <w:t xml:space="preserve">their decline drove down </w:t>
      </w:r>
      <w:r w:rsidR="000A22BF" w:rsidRPr="000A22BF">
        <w:t>the overall industry productivity.</w:t>
      </w:r>
      <w:r w:rsidR="000A22BF">
        <w:t xml:space="preserve"> </w:t>
      </w:r>
    </w:p>
    <w:p w:rsidR="00735CCB" w:rsidRDefault="006B240B" w:rsidP="00735CCB">
      <w:r w:rsidRPr="006B240B">
        <w:fldChar w:fldCharType="begin"/>
      </w:r>
      <w:r w:rsidRPr="006B240B">
        <w:instrText xml:space="preserve"> REF _Ref433019412 \h </w:instrText>
      </w:r>
      <w:r w:rsidRPr="006B240B">
        <w:fldChar w:fldCharType="separate"/>
      </w:r>
      <w:r w:rsidR="00BE7268">
        <w:t xml:space="preserve">Figure </w:t>
      </w:r>
      <w:r w:rsidR="00BE7268">
        <w:rPr>
          <w:noProof/>
        </w:rPr>
        <w:t>2</w:t>
      </w:r>
      <w:r w:rsidRPr="006B240B">
        <w:fldChar w:fldCharType="end"/>
      </w:r>
      <w:r w:rsidRPr="006B240B">
        <w:t xml:space="preserve"> suggests that while the productivity gap between the DNSPs had narrowed in recent years, in 2015 the gap has started to widen again.</w:t>
      </w:r>
      <w:r w:rsidR="00735CCB" w:rsidRPr="00735CCB">
        <w:t xml:space="preserve"> </w:t>
      </w:r>
      <w:r w:rsidR="00735CCB" w:rsidRPr="006B240B">
        <w:t xml:space="preserve">In 2015, the four most productive DNSPs are CitiPower, United Energy, SA Power Networks and Jemena and the four least productive DNSPs are </w:t>
      </w:r>
      <w:proofErr w:type="spellStart"/>
      <w:r w:rsidR="00735CCB" w:rsidRPr="006B240B">
        <w:t>Ausgrid</w:t>
      </w:r>
      <w:proofErr w:type="spellEnd"/>
      <w:r w:rsidR="00735CCB" w:rsidRPr="006B240B">
        <w:t xml:space="preserve">, Essential Energy, </w:t>
      </w:r>
      <w:proofErr w:type="spellStart"/>
      <w:r w:rsidR="00735CCB" w:rsidRPr="006B240B">
        <w:t>ActewAGL</w:t>
      </w:r>
      <w:proofErr w:type="spellEnd"/>
      <w:r w:rsidR="00735CCB" w:rsidRPr="006B240B">
        <w:t xml:space="preserve"> and Ergon Energy. These DNSPs have consistently been among the best and worst performers, respectively, over the period. </w:t>
      </w:r>
    </w:p>
    <w:p w:rsidR="007101EF" w:rsidRDefault="007101EF" w:rsidP="007101EF">
      <w:pPr>
        <w:pStyle w:val="Caption"/>
      </w:pPr>
      <w:bookmarkStart w:id="12" w:name="_Ref433019412"/>
      <w:r>
        <w:lastRenderedPageBreak/>
        <w:t xml:space="preserve">Figure </w:t>
      </w:r>
      <w:r w:rsidRPr="00F50135">
        <w:fldChar w:fldCharType="begin"/>
      </w:r>
      <w:r>
        <w:instrText xml:space="preserve"> SEQ Figure \* ARABIC </w:instrText>
      </w:r>
      <w:r w:rsidRPr="00F50135">
        <w:fldChar w:fldCharType="separate"/>
      </w:r>
      <w:proofErr w:type="gramStart"/>
      <w:r w:rsidR="00BE7268">
        <w:rPr>
          <w:noProof/>
        </w:rPr>
        <w:t>2</w:t>
      </w:r>
      <w:r w:rsidRPr="00F50135">
        <w:fldChar w:fldCharType="end"/>
      </w:r>
      <w:bookmarkEnd w:id="12"/>
      <w:r>
        <w:tab/>
      </w:r>
      <w:r w:rsidR="00AA4573">
        <w:tab/>
      </w:r>
      <w:r>
        <w:t>Multilateral total factor productivity by DNSP</w:t>
      </w:r>
      <w:proofErr w:type="gramEnd"/>
      <w:r>
        <w:t xml:space="preserve"> for 2006–15</w:t>
      </w:r>
    </w:p>
    <w:p w:rsidR="007101EF" w:rsidRPr="007101EF" w:rsidRDefault="00147CF5" w:rsidP="007101EF">
      <w:r w:rsidRPr="00147CF5">
        <w:rPr>
          <w:noProof/>
          <w:lang w:eastAsia="en-AU"/>
        </w:rPr>
        <w:drawing>
          <wp:inline distT="0" distB="0" distL="0" distR="0" wp14:anchorId="04DECA13" wp14:editId="71FAF9FD">
            <wp:extent cx="5382895" cy="3307185"/>
            <wp:effectExtent l="0" t="0" r="8255"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307185"/>
                    </a:xfrm>
                    <a:prstGeom prst="rect">
                      <a:avLst/>
                    </a:prstGeom>
                    <a:noFill/>
                    <a:ln>
                      <a:noFill/>
                    </a:ln>
                  </pic:spPr>
                </pic:pic>
              </a:graphicData>
            </a:graphic>
          </wp:inline>
        </w:drawing>
      </w:r>
    </w:p>
    <w:p w:rsidR="007101EF" w:rsidRDefault="007101EF" w:rsidP="007101EF">
      <w:r>
        <w:t>In addition to MTFP, this report presents several supporting metrics, which provide alternative measures of comparative performance. These metrics include partial productivity indices, econometric</w:t>
      </w:r>
      <w:r w:rsidR="002A5958">
        <w:t xml:space="preserve"> </w:t>
      </w:r>
      <w:proofErr w:type="spellStart"/>
      <w:r w:rsidR="002A5958">
        <w:t>opex</w:t>
      </w:r>
      <w:proofErr w:type="spellEnd"/>
      <w:r>
        <w:t xml:space="preserve"> model</w:t>
      </w:r>
      <w:r w:rsidR="002A5958">
        <w:t>ling</w:t>
      </w:r>
      <w:r>
        <w:t xml:space="preserve"> and partial performance indicators. While the best and worst performers on a supporting metric</w:t>
      </w:r>
      <w:r w:rsidR="00AA5678">
        <w:t xml:space="preserve"> may</w:t>
      </w:r>
      <w:r>
        <w:t xml:space="preserve"> rank similarly to those on MTFP, the supporting techniques do </w:t>
      </w:r>
      <w:r w:rsidR="0060396E">
        <w:t xml:space="preserve">not </w:t>
      </w:r>
      <w:r w:rsidR="0015757A">
        <w:t xml:space="preserve">reflect </w:t>
      </w:r>
      <w:r w:rsidR="0060396E">
        <w:t>overall efficiency.</w:t>
      </w:r>
      <w:r>
        <w:t xml:space="preserve"> </w:t>
      </w:r>
      <w:r w:rsidR="00BA251D">
        <w:t xml:space="preserve">They either </w:t>
      </w:r>
      <w:r w:rsidR="00BA251D" w:rsidRPr="00BA251D">
        <w:t xml:space="preserve">examine relative efficiency of total output to one input or </w:t>
      </w:r>
      <w:r w:rsidR="00BA251D">
        <w:t xml:space="preserve">provide a general indication of </w:t>
      </w:r>
      <w:r w:rsidR="00BA251D" w:rsidRPr="00BA251D">
        <w:t>comparative performance</w:t>
      </w:r>
      <w:r>
        <w:t xml:space="preserve">. </w:t>
      </w:r>
      <w:r w:rsidR="002B07BD">
        <w:t>Nevertheless, the</w:t>
      </w:r>
      <w:r>
        <w:t xml:space="preserve"> supporting metrics are</w:t>
      </w:r>
      <w:r w:rsidR="002B07BD">
        <w:t xml:space="preserve"> </w:t>
      </w:r>
      <w:r>
        <w:t xml:space="preserve">useful for assessing </w:t>
      </w:r>
      <w:proofErr w:type="spellStart"/>
      <w:r w:rsidR="002A5958">
        <w:t>opex</w:t>
      </w:r>
      <w:proofErr w:type="spellEnd"/>
      <w:r w:rsidR="003050C8">
        <w:t xml:space="preserve"> and/or capital</w:t>
      </w:r>
      <w:r w:rsidR="002A5958">
        <w:t xml:space="preserve"> </w:t>
      </w:r>
      <w:r>
        <w:t xml:space="preserve">efficiency </w:t>
      </w:r>
      <w:r w:rsidR="002A5958">
        <w:t xml:space="preserve">in </w:t>
      </w:r>
      <w:r w:rsidR="002B07BD">
        <w:t>conjunction with the MTFP and other assessments of efficiency</w:t>
      </w:r>
      <w:r>
        <w:t>.</w:t>
      </w:r>
    </w:p>
    <w:p w:rsidR="008D0342" w:rsidRDefault="008D0342" w:rsidP="00645B85"/>
    <w:p w:rsidR="00645B85" w:rsidRDefault="00645B85" w:rsidP="00645B85">
      <w:pPr>
        <w:sectPr w:rsidR="00645B85" w:rsidSect="002A601D">
          <w:footerReference w:type="default" r:id="rId18"/>
          <w:pgSz w:w="11906" w:h="16838" w:code="9"/>
          <w:pgMar w:top="1440" w:right="1700" w:bottom="1582" w:left="1729" w:header="720" w:footer="409" w:gutter="0"/>
          <w:pgNumType w:start="1"/>
          <w:cols w:space="720"/>
          <w:docGrid w:linePitch="326"/>
        </w:sectPr>
      </w:pPr>
    </w:p>
    <w:p w:rsidR="00645B85" w:rsidRDefault="00645B85" w:rsidP="00645B85">
      <w:pPr>
        <w:pStyle w:val="Heading1"/>
      </w:pPr>
      <w:bookmarkStart w:id="13" w:name="_Toc435712623"/>
      <w:bookmarkStart w:id="14" w:name="_Toc468175053"/>
      <w:r>
        <w:lastRenderedPageBreak/>
        <w:t>Introduction</w:t>
      </w:r>
      <w:bookmarkEnd w:id="13"/>
      <w:bookmarkEnd w:id="14"/>
    </w:p>
    <w:p w:rsidR="007E64DF" w:rsidRDefault="00BE5DFC" w:rsidP="007E64DF">
      <w:r w:rsidRPr="00BE5DFC">
        <w:t xml:space="preserve">Electricity networks are 'natural monopolies' which, without regulation, could increase their prices above efficient levels and </w:t>
      </w:r>
      <w:r>
        <w:t xml:space="preserve">would </w:t>
      </w:r>
      <w:r w:rsidRPr="00BE5DFC">
        <w:t>face limited pressure to operate or invest efficiently</w:t>
      </w:r>
      <w:r w:rsidR="00F645E0">
        <w:t xml:space="preserve">. </w:t>
      </w:r>
      <w:r w:rsidR="007E64DF">
        <w:t xml:space="preserve">The AER regulates all electricity networks in the NEM. We </w:t>
      </w:r>
      <w:r w:rsidR="00C5752D">
        <w:t>regulate network prices with the goal of ensuring</w:t>
      </w:r>
      <w:r w:rsidR="007E64DF">
        <w:t xml:space="preserve"> that energy consumers pay no more than necessary for the safe and reliable delivery of electricity services. Benchmarking underpins this by enabling us to identify the relative efficiency of electricity networks, and to track changes in efficiency over time.  </w:t>
      </w:r>
    </w:p>
    <w:p w:rsidR="00C5752D" w:rsidRDefault="007E64DF" w:rsidP="00C5752D">
      <w:r>
        <w:t xml:space="preserve">This report uses 'top down' benchmarking techniques to measure each DNSP’s efficiency in delivering network services to consumers. We rank the DNSPs according to their relative efficiency based on their costs of providing </w:t>
      </w:r>
      <w:r w:rsidR="00AD062C">
        <w:t xml:space="preserve">network </w:t>
      </w:r>
      <w:r>
        <w:t xml:space="preserve">services. We present three different types of techniques to do this, drawing on data provided by the DNSPs. </w:t>
      </w:r>
    </w:p>
    <w:p w:rsidR="00C5752D" w:rsidRPr="00F67BA7" w:rsidRDefault="00C5752D" w:rsidP="00C5752D">
      <w:r>
        <w:t xml:space="preserve">Many benefits flow from reporting the comparative performance of electricity networks. It </w:t>
      </w:r>
      <w:r w:rsidRPr="00F67BA7">
        <w:t>provide</w:t>
      </w:r>
      <w:r>
        <w:t>s</w:t>
      </w:r>
      <w:r w:rsidRPr="00F67BA7">
        <w:t xml:space="preserve"> meaningful information to consumers and othe</w:t>
      </w:r>
      <w:r>
        <w:t xml:space="preserve">r stakeholders and </w:t>
      </w:r>
      <w:r w:rsidRPr="00F67BA7">
        <w:t>encourage</w:t>
      </w:r>
      <w:r>
        <w:t>s</w:t>
      </w:r>
      <w:r w:rsidRPr="00F67BA7">
        <w:t xml:space="preserve"> participation and engagement in </w:t>
      </w:r>
      <w:r w:rsidR="00710EFE">
        <w:t>our</w:t>
      </w:r>
      <w:r w:rsidRPr="00F67BA7">
        <w:t xml:space="preserve"> regulatory processes</w:t>
      </w:r>
      <w:r>
        <w:t>. Also, by comparing the performance of DNSPs, we create an incentive</w:t>
      </w:r>
      <w:r w:rsidRPr="00F67BA7">
        <w:t xml:space="preserve"> for </w:t>
      </w:r>
      <w:r>
        <w:t>D</w:t>
      </w:r>
      <w:r w:rsidRPr="00F67BA7">
        <w:t xml:space="preserve">NSPs to </w:t>
      </w:r>
      <w:r>
        <w:t xml:space="preserve">learn from each other and </w:t>
      </w:r>
      <w:r w:rsidRPr="00F67BA7">
        <w:t xml:space="preserve">improve their </w:t>
      </w:r>
      <w:r>
        <w:t>performance</w:t>
      </w:r>
      <w:r w:rsidRPr="00F67BA7">
        <w:t>.</w:t>
      </w:r>
    </w:p>
    <w:p w:rsidR="007E64DF" w:rsidRDefault="00DC702C" w:rsidP="007E64DF">
      <w:r>
        <w:t xml:space="preserve">This report </w:t>
      </w:r>
      <w:proofErr w:type="gramStart"/>
      <w:r>
        <w:t>is informed</w:t>
      </w:r>
      <w:proofErr w:type="gramEnd"/>
      <w:r>
        <w:t xml:space="preserve"> by expert advice provided by Economic Insights.</w:t>
      </w:r>
      <w:r>
        <w:rPr>
          <w:rStyle w:val="FootnoteReference"/>
        </w:rPr>
        <w:footnoteReference w:id="1"/>
      </w:r>
      <w:r>
        <w:t xml:space="preserve"> </w:t>
      </w:r>
      <w:r w:rsidR="007E64DF">
        <w:t xml:space="preserve">We consider that </w:t>
      </w:r>
      <w:r w:rsidR="00E9102F">
        <w:t>the</w:t>
      </w:r>
      <w:r w:rsidR="007E64DF">
        <w:t xml:space="preserve"> benchmarking models</w:t>
      </w:r>
      <w:r w:rsidR="00E9102F">
        <w:t xml:space="preserve"> presented in </w:t>
      </w:r>
      <w:r>
        <w:t>it</w:t>
      </w:r>
      <w:r w:rsidR="007E64DF">
        <w:t xml:space="preserve"> are the most robust measures of overall efficiency available</w:t>
      </w:r>
      <w:r w:rsidR="00E9102F">
        <w:t xml:space="preserve"> to us</w:t>
      </w:r>
      <w:r w:rsidR="007E64DF">
        <w:t>. At the same time, however, we recognise that no model is perfect, and have been cautious in our initial application of these results in recent distribution determinations. Benchmarking is a critical exercise in assessing the efficiency of the DNSPs’ regulatory proposals and we will continue to invest in refining our benchmarking techniques into the future.</w:t>
      </w:r>
      <w:r w:rsidRPr="00DC702C">
        <w:t xml:space="preserve"> </w:t>
      </w:r>
    </w:p>
    <w:p w:rsidR="007E64DF" w:rsidRDefault="00E9102F" w:rsidP="007E64DF">
      <w:r>
        <w:t xml:space="preserve">The benchmarking presented in this report is one of a number of factors we consider when making our </w:t>
      </w:r>
      <w:r w:rsidR="00DD014F">
        <w:t xml:space="preserve">revenue </w:t>
      </w:r>
      <w:r>
        <w:t>determinations.</w:t>
      </w:r>
      <w:r w:rsidR="00DD014F">
        <w:t xml:space="preserve"> In o</w:t>
      </w:r>
      <w:r>
        <w:t xml:space="preserve">ur </w:t>
      </w:r>
      <w:r w:rsidR="00DD014F">
        <w:t>determinations,</w:t>
      </w:r>
      <w:r>
        <w:t xml:space="preserve"> w</w:t>
      </w:r>
      <w:r w:rsidRPr="005D7805">
        <w:t xml:space="preserve">e examine the efficiency of </w:t>
      </w:r>
      <w:r>
        <w:t>an individual DNSP's</w:t>
      </w:r>
      <w:r w:rsidRPr="005D7805">
        <w:t xml:space="preserve"> forecast </w:t>
      </w:r>
      <w:proofErr w:type="spellStart"/>
      <w:r w:rsidRPr="005D7805">
        <w:t>opex</w:t>
      </w:r>
      <w:proofErr w:type="spellEnd"/>
      <w:r w:rsidRPr="005D7805">
        <w:t xml:space="preserve"> and capex. </w:t>
      </w:r>
      <w:r w:rsidR="00DD014F">
        <w:t>In this report we</w:t>
      </w:r>
      <w:r w:rsidR="007E64DF" w:rsidRPr="005D7805">
        <w:t xml:space="preserve"> </w:t>
      </w:r>
      <w:r w:rsidR="00D67BF2">
        <w:t xml:space="preserve">primarily </w:t>
      </w:r>
      <w:r w:rsidR="007E64DF" w:rsidRPr="005D7805">
        <w:t xml:space="preserve">examine the efficiency of </w:t>
      </w:r>
      <w:r w:rsidR="007E64DF">
        <w:t xml:space="preserve">distribution networks overall. </w:t>
      </w:r>
      <w:r w:rsidR="00DD014F">
        <w:t xml:space="preserve">Though the efficiency of networks as a whole is relevant to our determinations, we </w:t>
      </w:r>
      <w:r w:rsidR="00F645E0">
        <w:t xml:space="preserve">also </w:t>
      </w:r>
      <w:r w:rsidR="00DD014F">
        <w:t>undertake</w:t>
      </w:r>
      <w:r>
        <w:t xml:space="preserve"> </w:t>
      </w:r>
      <w:r w:rsidR="007E64DF">
        <w:t>further</w:t>
      </w:r>
      <w:r w:rsidR="00DD014F">
        <w:t xml:space="preserve"> </w:t>
      </w:r>
      <w:r w:rsidR="007E64DF">
        <w:t>analysis</w:t>
      </w:r>
      <w:r w:rsidR="007E64DF" w:rsidRPr="005D7805">
        <w:t xml:space="preserve"> </w:t>
      </w:r>
      <w:r w:rsidR="00DD014F">
        <w:t>when reviewing</w:t>
      </w:r>
      <w:r w:rsidR="007E64DF">
        <w:t xml:space="preserve"> </w:t>
      </w:r>
      <w:proofErr w:type="spellStart"/>
      <w:r w:rsidR="007E64DF">
        <w:t>opex</w:t>
      </w:r>
      <w:proofErr w:type="spellEnd"/>
      <w:r w:rsidR="007E64DF">
        <w:t xml:space="preserve"> and capex forecasts</w:t>
      </w:r>
      <w:r w:rsidR="007E64DF" w:rsidRPr="005D7805">
        <w:t>.</w:t>
      </w:r>
    </w:p>
    <w:p w:rsidR="00645B85" w:rsidRDefault="00645B85" w:rsidP="00645B85">
      <w:pPr>
        <w:pStyle w:val="Heading2"/>
      </w:pPr>
      <w:bookmarkStart w:id="15" w:name="_Toc468175054"/>
      <w:r>
        <w:t>Who the report compares</w:t>
      </w:r>
      <w:bookmarkEnd w:id="15"/>
    </w:p>
    <w:p w:rsidR="00645B85" w:rsidRDefault="00645B85" w:rsidP="00645B85">
      <w:r w:rsidRPr="00012AD8">
        <w:t xml:space="preserve">The electricity industry in </w:t>
      </w:r>
      <w:r>
        <w:t xml:space="preserve">Australia </w:t>
      </w:r>
      <w:r w:rsidRPr="00012AD8">
        <w:t>is divided into four distinct parts, with a specific role for each stage of the supply chain—generation, transmission, distribution and retail.</w:t>
      </w:r>
      <w:r>
        <w:t xml:space="preserve"> </w:t>
      </w:r>
    </w:p>
    <w:p w:rsidR="00645B85" w:rsidRDefault="00645B85" w:rsidP="00645B85">
      <w:r>
        <w:lastRenderedPageBreak/>
        <w:t>Electricity generators are usually located near fuel sources, and often long distances from most electricity customers. The supply chain, therefore, requires networks to transport power from generators to customers:</w:t>
      </w:r>
    </w:p>
    <w:p w:rsidR="00645B85" w:rsidRPr="00645B85" w:rsidRDefault="00645B85" w:rsidP="00645B85">
      <w:pPr>
        <w:pStyle w:val="ListParagraph"/>
      </w:pPr>
      <w:r>
        <w:t>High voltage transmission lines transport electricity from generators to distribution networks in metropolitan and regional areas</w:t>
      </w:r>
      <w:r w:rsidR="00735CCB">
        <w:t>.</w:t>
      </w:r>
    </w:p>
    <w:p w:rsidR="00645B85" w:rsidRPr="00645B85" w:rsidRDefault="00645B85" w:rsidP="00645B85">
      <w:pPr>
        <w:pStyle w:val="ListParagraph"/>
      </w:pPr>
      <w:r>
        <w:t xml:space="preserve">Distribution networks convert electricity from the high voltage transmission network into medium and low voltages and transport electricity from points along the transmission lines to residential and business customers.  </w:t>
      </w:r>
    </w:p>
    <w:p w:rsidR="00645B85" w:rsidRDefault="00645B85" w:rsidP="00645B85">
      <w:r>
        <w:t xml:space="preserve">This report focuses on the distribution sector. Thirteen DNSPs operate in the NEM.  Appendix </w:t>
      </w:r>
      <w:r w:rsidR="00465844">
        <w:t xml:space="preserve">D </w:t>
      </w:r>
      <w:r>
        <w:t xml:space="preserve">presents a map of the NEM showing the service area for each DNSP. </w:t>
      </w:r>
    </w:p>
    <w:p w:rsidR="00645B85" w:rsidRDefault="00707A36" w:rsidP="00645B85">
      <w:pPr>
        <w:pStyle w:val="Heading2"/>
      </w:pPr>
      <w:bookmarkStart w:id="16" w:name="_Toc468175055"/>
      <w:r>
        <w:t>Benchmarking techniques</w:t>
      </w:r>
      <w:bookmarkEnd w:id="16"/>
    </w:p>
    <w:p w:rsidR="007E64DF" w:rsidRDefault="007E64DF" w:rsidP="007E64DF">
      <w:r>
        <w:t>B</w:t>
      </w:r>
      <w:r w:rsidRPr="00F67BA7">
        <w:t xml:space="preserve">enchmarking </w:t>
      </w:r>
      <w:r>
        <w:t xml:space="preserve">approaches </w:t>
      </w:r>
      <w:proofErr w:type="gramStart"/>
      <w:r w:rsidRPr="00F67BA7">
        <w:t>may be broadly classified</w:t>
      </w:r>
      <w:proofErr w:type="gramEnd"/>
      <w:r w:rsidRPr="00F67BA7">
        <w:t xml:space="preserve"> into ‘top d</w:t>
      </w:r>
      <w:r>
        <w:t>own’ and ‘bottom up’ techniques:</w:t>
      </w:r>
      <w:r w:rsidRPr="00F67BA7">
        <w:t xml:space="preserve"> </w:t>
      </w:r>
    </w:p>
    <w:p w:rsidR="007E64DF" w:rsidRPr="00F67BA7" w:rsidRDefault="007E64DF" w:rsidP="007E64DF">
      <w:pPr>
        <w:pStyle w:val="AERbulletlistfirststyle"/>
      </w:pPr>
      <w:r w:rsidRPr="00977992">
        <w:t>Top down techniques measure</w:t>
      </w:r>
      <w:r w:rsidRPr="00F67BA7">
        <w:t xml:space="preserve"> a business’s efficiency overall, </w:t>
      </w:r>
      <w:r>
        <w:t xml:space="preserve">taking </w:t>
      </w:r>
      <w:r w:rsidRPr="00F67BA7">
        <w:t xml:space="preserve">into account efficiency trade-offs between components that make up the total. </w:t>
      </w:r>
    </w:p>
    <w:p w:rsidR="007E64DF" w:rsidRPr="00F67BA7" w:rsidRDefault="007E64DF" w:rsidP="007E64DF">
      <w:pPr>
        <w:pStyle w:val="AERbulletlistfirststyle"/>
      </w:pPr>
      <w:r>
        <w:t>Bottom up techniques</w:t>
      </w:r>
      <w:r w:rsidRPr="00F67BA7">
        <w:t xml:space="preserve"> separately examine the components that make up the total</w:t>
      </w:r>
      <w:r>
        <w:t>,</w:t>
      </w:r>
      <w:r w:rsidRPr="00F67BA7">
        <w:t xml:space="preserve"> </w:t>
      </w:r>
      <w:r>
        <w:t xml:space="preserve">which </w:t>
      </w:r>
      <w:proofErr w:type="gramStart"/>
      <w:r w:rsidRPr="00F67BA7">
        <w:t>are then built up</w:t>
      </w:r>
      <w:proofErr w:type="gramEnd"/>
      <w:r w:rsidRPr="00F67BA7">
        <w:t xml:space="preserve"> to form the total. </w:t>
      </w:r>
      <w:r w:rsidR="005B559A">
        <w:t>B</w:t>
      </w:r>
      <w:r w:rsidR="005B559A" w:rsidRPr="00F67BA7">
        <w:t xml:space="preserve">ottom up techniques </w:t>
      </w:r>
      <w:r w:rsidR="005B559A">
        <w:t xml:space="preserve">generally do not take into account </w:t>
      </w:r>
      <w:r w:rsidR="00E86380">
        <w:t xml:space="preserve">efficiency </w:t>
      </w:r>
      <w:r w:rsidR="005B559A" w:rsidRPr="00F67BA7">
        <w:t>trade-offs between all of</w:t>
      </w:r>
      <w:r w:rsidR="005B559A">
        <w:t xml:space="preserve"> the different components of a D</w:t>
      </w:r>
      <w:r w:rsidR="005B559A" w:rsidRPr="00F67BA7">
        <w:t>NSP’s operations.</w:t>
      </w:r>
      <w:r w:rsidR="005B559A" w:rsidRPr="00F67BA7">
        <w:rPr>
          <w:rStyle w:val="FootnoteReference"/>
        </w:rPr>
        <w:footnoteReference w:id="2"/>
      </w:r>
      <w:r w:rsidR="005B559A" w:rsidRPr="00F67BA7">
        <w:t xml:space="preserve"> They are also </w:t>
      </w:r>
      <w:r w:rsidR="005B559A">
        <w:t xml:space="preserve">quite </w:t>
      </w:r>
      <w:r w:rsidR="005B559A" w:rsidRPr="00F67BA7">
        <w:t>resource intensive</w:t>
      </w:r>
      <w:r w:rsidR="005B559A">
        <w:t xml:space="preserve"> to implement</w:t>
      </w:r>
      <w:r w:rsidR="005B559A" w:rsidRPr="00F67BA7">
        <w:t xml:space="preserve">. Most regulators overseas use top down economic benchmarking techniques rather than bottom up </w:t>
      </w:r>
      <w:r w:rsidR="00E86380">
        <w:t xml:space="preserve">benchmarking </w:t>
      </w:r>
      <w:r w:rsidR="005B559A" w:rsidRPr="00F67BA7">
        <w:t>techniques.</w:t>
      </w:r>
      <w:r w:rsidR="005B559A" w:rsidRPr="00F67BA7">
        <w:rPr>
          <w:rStyle w:val="FootnoteReference"/>
        </w:rPr>
        <w:footnoteReference w:id="3"/>
      </w:r>
      <w:r w:rsidR="00F11FB3">
        <w:t xml:space="preserve"> </w:t>
      </w:r>
    </w:p>
    <w:p w:rsidR="00F11FB3" w:rsidRPr="00F11FB3" w:rsidRDefault="00F11FB3" w:rsidP="00F11FB3">
      <w:r w:rsidRPr="00F11FB3">
        <w:t xml:space="preserve">For more information on regulatory application of benchmarking, see the </w:t>
      </w:r>
      <w:r>
        <w:t>ACCC/AER</w:t>
      </w:r>
      <w:r w:rsidRPr="00F11FB3">
        <w:t xml:space="preserve"> </w:t>
      </w:r>
      <w:r w:rsidR="00BA251D">
        <w:t>reports</w:t>
      </w:r>
      <w:r w:rsidRPr="00F11FB3">
        <w:t xml:space="preserve"> </w:t>
      </w:r>
      <w:r w:rsidR="00735CCB">
        <w:t xml:space="preserve">that provide a comprehensive overview of the benchmarking approaches used by overseas regulators (see Appendix A). </w:t>
      </w:r>
      <w:r w:rsidRPr="00F11FB3">
        <w:t xml:space="preserve"> </w:t>
      </w:r>
    </w:p>
    <w:p w:rsidR="007E64DF" w:rsidRDefault="004F7DC1" w:rsidP="007E64DF">
      <w:r>
        <w:t xml:space="preserve">In this </w:t>
      </w:r>
      <w:proofErr w:type="gramStart"/>
      <w:r>
        <w:t>report</w:t>
      </w:r>
      <w:proofErr w:type="gramEnd"/>
      <w:r>
        <w:t xml:space="preserve"> we present the results of top down benchmarking</w:t>
      </w:r>
      <w:r w:rsidR="002E5198" w:rsidRPr="002E5198">
        <w:t xml:space="preserve"> </w:t>
      </w:r>
      <w:r w:rsidR="002E5198">
        <w:t>which use</w:t>
      </w:r>
      <w:r w:rsidR="002E5198" w:rsidRPr="00F67BA7">
        <w:t xml:space="preserve"> an inputs and outputs framework</w:t>
      </w:r>
      <w:r>
        <w:t xml:space="preserve">. </w:t>
      </w:r>
      <w:r w:rsidR="007E64DF">
        <w:t xml:space="preserve">The report </w:t>
      </w:r>
      <w:r w:rsidR="007E64DF" w:rsidRPr="00F67BA7">
        <w:t>present</w:t>
      </w:r>
      <w:r w:rsidR="007E64DF">
        <w:t>s</w:t>
      </w:r>
      <w:r w:rsidR="007E64DF" w:rsidRPr="00F67BA7">
        <w:t xml:space="preserve"> </w:t>
      </w:r>
      <w:r w:rsidR="007E64DF">
        <w:t>three types of top down benchmarking techniques. E</w:t>
      </w:r>
      <w:r w:rsidR="007E64DF" w:rsidRPr="00F67BA7">
        <w:t>ach use</w:t>
      </w:r>
      <w:r w:rsidR="007E64DF">
        <w:t>s</w:t>
      </w:r>
      <w:r w:rsidR="007E64DF" w:rsidRPr="00F67BA7">
        <w:t xml:space="preserve"> different </w:t>
      </w:r>
      <w:r w:rsidR="007E64DF">
        <w:t>methods for relating outputs to inputs (further information</w:t>
      </w:r>
      <w:r w:rsidR="007E64DF" w:rsidRPr="00F67BA7">
        <w:t xml:space="preserve"> </w:t>
      </w:r>
      <w:r w:rsidR="007E64DF">
        <w:t xml:space="preserve">is at </w:t>
      </w:r>
      <w:r w:rsidR="007E64DF" w:rsidRPr="00F67BA7">
        <w:t xml:space="preserve">Appendix </w:t>
      </w:r>
      <w:r w:rsidR="007E64DF" w:rsidRPr="00F67BA7">
        <w:fldChar w:fldCharType="begin"/>
      </w:r>
      <w:r w:rsidR="007E64DF" w:rsidRPr="00F67BA7">
        <w:instrText xml:space="preserve"> REF _Ref432603789 \n \h </w:instrText>
      </w:r>
      <w:r w:rsidR="007E64DF" w:rsidRPr="00F67BA7">
        <w:fldChar w:fldCharType="separate"/>
      </w:r>
      <w:r w:rsidR="00BE7268">
        <w:t>A</w:t>
      </w:r>
      <w:r w:rsidR="007E64DF" w:rsidRPr="00F67BA7">
        <w:fldChar w:fldCharType="end"/>
      </w:r>
      <w:r w:rsidR="007E64DF">
        <w:t>):</w:t>
      </w:r>
      <w:r w:rsidR="007E64DF" w:rsidRPr="00F67BA7">
        <w:t xml:space="preserve"> </w:t>
      </w:r>
    </w:p>
    <w:p w:rsidR="007E64DF" w:rsidRDefault="007E64DF" w:rsidP="007E64DF">
      <w:pPr>
        <w:pStyle w:val="AERbulletlistfirststyle"/>
      </w:pPr>
      <w:r>
        <w:t>P</w:t>
      </w:r>
      <w:r w:rsidRPr="00F67BA7">
        <w:t>roductivity index number (PIN) techniques</w:t>
      </w:r>
      <w:r>
        <w:t xml:space="preserve">. These </w:t>
      </w:r>
      <w:r w:rsidRPr="00F67BA7">
        <w:t>use a</w:t>
      </w:r>
      <w:r w:rsidR="00F645E0">
        <w:t xml:space="preserve"> mathematical</w:t>
      </w:r>
      <w:r w:rsidRPr="00F67BA7">
        <w:t xml:space="preserve"> index to determine the relationship between outputs and inputs. </w:t>
      </w:r>
      <w:r>
        <w:t xml:space="preserve">The </w:t>
      </w:r>
      <w:r w:rsidRPr="00F67BA7">
        <w:t xml:space="preserve">PIN analysis </w:t>
      </w:r>
      <w:r>
        <w:t xml:space="preserve">techniques </w:t>
      </w:r>
      <w:r w:rsidRPr="00F67BA7">
        <w:t xml:space="preserve">used in this report </w:t>
      </w:r>
      <w:r>
        <w:t>include:</w:t>
      </w:r>
    </w:p>
    <w:p w:rsidR="007E64DF" w:rsidRDefault="007E64DF" w:rsidP="007E64DF">
      <w:pPr>
        <w:pStyle w:val="AERbulletlistsecondstyle"/>
      </w:pPr>
      <w:r>
        <w:lastRenderedPageBreak/>
        <w:t>M</w:t>
      </w:r>
      <w:r w:rsidRPr="00F67BA7">
        <w:t xml:space="preserve">ultilateral total factor productivity (MTFP). </w:t>
      </w:r>
      <w:r>
        <w:t xml:space="preserve">This </w:t>
      </w:r>
      <w:r w:rsidRPr="00F67BA7">
        <w:t xml:space="preserve">relates total inputs to total outputs. The ‘multilateral’ method enables comparison of </w:t>
      </w:r>
      <w:r w:rsidR="00F645E0">
        <w:t xml:space="preserve">both </w:t>
      </w:r>
      <w:r w:rsidRPr="00F67BA7">
        <w:t xml:space="preserve">productivity </w:t>
      </w:r>
      <w:r>
        <w:t>levels and productivity trends.</w:t>
      </w:r>
    </w:p>
    <w:p w:rsidR="007E64DF" w:rsidRDefault="007E64DF" w:rsidP="007E64DF">
      <w:pPr>
        <w:pStyle w:val="AERbulletlistsecondstyle"/>
        <w:rPr>
          <w:rStyle w:val="AERbody"/>
        </w:rPr>
      </w:pPr>
      <w:r>
        <w:rPr>
          <w:rStyle w:val="AERbody"/>
        </w:rPr>
        <w:t>Multilateral partial factor productivity (</w:t>
      </w:r>
      <w:r w:rsidRPr="00FB4405">
        <w:rPr>
          <w:rStyle w:val="AERbody"/>
        </w:rPr>
        <w:t>MPFP</w:t>
      </w:r>
      <w:r>
        <w:rPr>
          <w:rStyle w:val="AERbody"/>
        </w:rPr>
        <w:t xml:space="preserve">). MPFP </w:t>
      </w:r>
      <w:r w:rsidRPr="00FB4405">
        <w:rPr>
          <w:rStyle w:val="AERbody"/>
        </w:rPr>
        <w:t>use</w:t>
      </w:r>
      <w:r>
        <w:rPr>
          <w:rStyle w:val="AERbody"/>
        </w:rPr>
        <w:t>s</w:t>
      </w:r>
      <w:r w:rsidRPr="00FB4405">
        <w:rPr>
          <w:rStyle w:val="AERbody"/>
        </w:rPr>
        <w:t xml:space="preserve"> the same output specification as MTFP but examine</w:t>
      </w:r>
      <w:r>
        <w:rPr>
          <w:rStyle w:val="AERbody"/>
        </w:rPr>
        <w:t>s</w:t>
      </w:r>
      <w:r w:rsidRPr="00FB4405">
        <w:rPr>
          <w:rStyle w:val="AERbody"/>
        </w:rPr>
        <w:t xml:space="preserve"> the productivity of either </w:t>
      </w:r>
      <w:proofErr w:type="spellStart"/>
      <w:r w:rsidRPr="00FB4405">
        <w:rPr>
          <w:rStyle w:val="AERbody"/>
        </w:rPr>
        <w:t>opex</w:t>
      </w:r>
      <w:proofErr w:type="spellEnd"/>
      <w:r w:rsidRPr="00FB4405">
        <w:rPr>
          <w:rStyle w:val="AERbody"/>
        </w:rPr>
        <w:t xml:space="preserve"> or capital in isolation rather than both. </w:t>
      </w:r>
    </w:p>
    <w:p w:rsidR="007E64DF" w:rsidRPr="00FC6C11" w:rsidRDefault="007E64DF" w:rsidP="007E64DF">
      <w:pPr>
        <w:pStyle w:val="AERbulletlistfirststyle"/>
      </w:pPr>
      <w:r w:rsidRPr="00FC6C11">
        <w:t xml:space="preserve">Econometric </w:t>
      </w:r>
      <w:proofErr w:type="spellStart"/>
      <w:r w:rsidRPr="00FC6C11">
        <w:t>opex</w:t>
      </w:r>
      <w:proofErr w:type="spellEnd"/>
      <w:r w:rsidRPr="00FC6C11">
        <w:t xml:space="preserve"> modelling techniques. </w:t>
      </w:r>
      <w:r w:rsidR="000B26CF">
        <w:t>These</w:t>
      </w:r>
      <w:r w:rsidR="000B26CF" w:rsidRPr="00FC6C11">
        <w:t xml:space="preserve"> </w:t>
      </w:r>
      <w:r w:rsidRPr="00FC6C11">
        <w:t xml:space="preserve">model the relationship between </w:t>
      </w:r>
      <w:proofErr w:type="spellStart"/>
      <w:r w:rsidRPr="00FC6C11">
        <w:t>opex</w:t>
      </w:r>
      <w:proofErr w:type="spellEnd"/>
      <w:r w:rsidRPr="00FC6C11">
        <w:t xml:space="preserve"> (as the input) and total output, so they measure partial efficiency. The report presents two types of econometric </w:t>
      </w:r>
      <w:proofErr w:type="spellStart"/>
      <w:r w:rsidRPr="00FC6C11">
        <w:t>opex</w:t>
      </w:r>
      <w:proofErr w:type="spellEnd"/>
      <w:r w:rsidRPr="00FC6C11">
        <w:t xml:space="preserve"> models—least squares econometrics (LSE) and stoc</w:t>
      </w:r>
      <w:r>
        <w:t>hastic frontier analysis (SFA).</w:t>
      </w:r>
    </w:p>
    <w:p w:rsidR="007E64DF" w:rsidRPr="00FC6C11" w:rsidRDefault="007E64DF" w:rsidP="007E64DF">
      <w:pPr>
        <w:pStyle w:val="AERbulletlistfirststyle"/>
      </w:pPr>
      <w:r w:rsidRPr="00FC6C11">
        <w:t>Partial performance indicators (PPIs). These techniques relate one input to one output (contrasting with the above techniques that relate inputs to multiple outputs).</w:t>
      </w:r>
      <w:r>
        <w:t xml:space="preserve"> They measure the </w:t>
      </w:r>
      <w:r w:rsidR="004D6077">
        <w:t xml:space="preserve">average </w:t>
      </w:r>
      <w:r>
        <w:t xml:space="preserve">amount of input that </w:t>
      </w:r>
      <w:proofErr w:type="gramStart"/>
      <w:r>
        <w:t>is used</w:t>
      </w:r>
      <w:proofErr w:type="gramEnd"/>
      <w:r>
        <w:t xml:space="preserve"> to produce one unit of the chosen output.</w:t>
      </w:r>
      <w:r w:rsidRPr="00FC6C11">
        <w:t xml:space="preserve"> </w:t>
      </w:r>
    </w:p>
    <w:p w:rsidR="007E64DF" w:rsidRDefault="007E64DF" w:rsidP="007E64DF">
      <w:r w:rsidRPr="00F67BA7">
        <w:t>MTFP is the primary technique we use to compare relative efficiency in this report.</w:t>
      </w:r>
      <w:r>
        <w:t xml:space="preserve"> The supporting metrics provide alternative measures of comparative performance. While, in some cases, the best and worst performers on a supporting metric rank similarly to those on MTFP, the supporting techniques do not measure overall efficiency. MPFP and the econometric </w:t>
      </w:r>
      <w:proofErr w:type="spellStart"/>
      <w:r w:rsidR="00D372FD">
        <w:t>opex</w:t>
      </w:r>
      <w:proofErr w:type="spellEnd"/>
      <w:r w:rsidR="00D372FD">
        <w:t xml:space="preserve"> modelling </w:t>
      </w:r>
      <w:r>
        <w:t>examine relative efficiency of total output to one input and PPIs examine the relationship between input</w:t>
      </w:r>
      <w:r w:rsidR="000B26CF">
        <w:t>s</w:t>
      </w:r>
      <w:r>
        <w:t xml:space="preserve"> and</w:t>
      </w:r>
      <w:r w:rsidR="000B26CF">
        <w:t xml:space="preserve"> only</w:t>
      </w:r>
      <w:r>
        <w:t xml:space="preserve"> one output. Therefore, the results of the supporting metrics, while useful for assessing </w:t>
      </w:r>
      <w:r w:rsidR="00D731B4">
        <w:t xml:space="preserve">some aspects of </w:t>
      </w:r>
      <w:r>
        <w:t>efficiency, will not be the same as they are for MTFP.</w:t>
      </w:r>
    </w:p>
    <w:p w:rsidR="00645B85" w:rsidRDefault="00645B85" w:rsidP="00645B85">
      <w:pPr>
        <w:pStyle w:val="Heading2"/>
      </w:pPr>
      <w:bookmarkStart w:id="17" w:name="_Toc468175056"/>
      <w:r>
        <w:t>Inputs and outputs</w:t>
      </w:r>
      <w:bookmarkEnd w:id="17"/>
    </w:p>
    <w:p w:rsidR="00C73590" w:rsidRDefault="00C73590" w:rsidP="00C73590">
      <w:bookmarkStart w:id="18" w:name="_Ref435703616"/>
      <w:r>
        <w:t xml:space="preserve">The benchmarking in this report </w:t>
      </w:r>
      <w:r w:rsidRPr="00F67BA7">
        <w:t>examine</w:t>
      </w:r>
      <w:r>
        <w:t>s</w:t>
      </w:r>
      <w:r w:rsidRPr="00F67BA7">
        <w:t xml:space="preserve"> the combination of inputs the </w:t>
      </w:r>
      <w:r>
        <w:t xml:space="preserve">DNSPs </w:t>
      </w:r>
      <w:r w:rsidRPr="00F67BA7">
        <w:t>use to deliver their outputs.</w:t>
      </w:r>
      <w:r>
        <w:t xml:space="preserve"> </w:t>
      </w:r>
      <w:r w:rsidRPr="00F67BA7">
        <w:t>Inputs are the resources</w:t>
      </w:r>
      <w:r w:rsidR="00D731B4">
        <w:t xml:space="preserve"> (such as capital and labour) </w:t>
      </w:r>
      <w:r w:rsidRPr="00F67BA7">
        <w:t xml:space="preserve">a </w:t>
      </w:r>
      <w:r>
        <w:t>DNSP</w:t>
      </w:r>
      <w:r w:rsidRPr="00F67BA7">
        <w:t xml:space="preserve"> uses to provide servi</w:t>
      </w:r>
      <w:r>
        <w:t>ces.</w:t>
      </w:r>
      <w:r w:rsidRPr="00F67BA7">
        <w:t xml:space="preserve"> </w:t>
      </w:r>
      <w:r>
        <w:t>O</w:t>
      </w:r>
      <w:r w:rsidRPr="00F67BA7">
        <w:t xml:space="preserve">utputs are measures that represent those services (such as the number of customers and how much electricity they </w:t>
      </w:r>
      <w:r w:rsidR="00D731B4">
        <w:t>consume</w:t>
      </w:r>
      <w:r w:rsidRPr="00F67BA7">
        <w:t xml:space="preserve">). </w:t>
      </w:r>
    </w:p>
    <w:p w:rsidR="007E64DF" w:rsidRDefault="007E64DF" w:rsidP="007E64DF">
      <w:r w:rsidRPr="00F67BA7">
        <w:t xml:space="preserve">Since </w:t>
      </w:r>
      <w:r>
        <w:t>DNSPs</w:t>
      </w:r>
      <w:r w:rsidRPr="00F67BA7">
        <w:t xml:space="preserve"> use multiple inputs to provide multiple outputs, </w:t>
      </w:r>
      <w:r>
        <w:t xml:space="preserve">we </w:t>
      </w:r>
      <w:r w:rsidR="00DD014F">
        <w:t xml:space="preserve">aggregate them to produce a top down </w:t>
      </w:r>
      <w:r w:rsidRPr="00F67BA7">
        <w:t xml:space="preserve">efficiency measure. </w:t>
      </w:r>
      <w:r>
        <w:t xml:space="preserve">On the input side, DNSPs </w:t>
      </w:r>
      <w:r w:rsidRPr="00F67BA7">
        <w:t xml:space="preserve">use a mix of assets and </w:t>
      </w:r>
      <w:r>
        <w:t>operating expenditure</w:t>
      </w:r>
      <w:r w:rsidRPr="00F67BA7">
        <w:t xml:space="preserve"> to deliver services</w:t>
      </w:r>
      <w:r>
        <w:t>:</w:t>
      </w:r>
    </w:p>
    <w:p w:rsidR="007E64DF" w:rsidRDefault="007E64DF" w:rsidP="007E64DF">
      <w:pPr>
        <w:pStyle w:val="AERbulletlistfirststyle"/>
      </w:pPr>
      <w:r>
        <w:t>Operating expenditure (</w:t>
      </w:r>
      <w:proofErr w:type="spellStart"/>
      <w:r>
        <w:t>opex</w:t>
      </w:r>
      <w:proofErr w:type="spellEnd"/>
      <w:r>
        <w:t>) is expenditure on operating</w:t>
      </w:r>
      <w:r w:rsidRPr="00F67BA7">
        <w:t xml:space="preserve"> and maintain</w:t>
      </w:r>
      <w:r>
        <w:t>ing their network</w:t>
      </w:r>
      <w:r w:rsidRPr="00F67BA7">
        <w:t>.</w:t>
      </w:r>
      <w:r>
        <w:t xml:space="preserve"> </w:t>
      </w:r>
      <w:proofErr w:type="spellStart"/>
      <w:r w:rsidR="007975E2">
        <w:t>Opex</w:t>
      </w:r>
      <w:proofErr w:type="spellEnd"/>
      <w:r w:rsidR="007975E2">
        <w:t xml:space="preserve"> is an immediate and short term input into providing services.</w:t>
      </w:r>
    </w:p>
    <w:p w:rsidR="007E64DF" w:rsidRDefault="007E64DF" w:rsidP="007E64DF">
      <w:pPr>
        <w:pStyle w:val="AERbulletlistfirststyle"/>
      </w:pPr>
      <w:r>
        <w:t>Capital stock (assets)</w:t>
      </w:r>
      <w:r w:rsidR="00C73590">
        <w:t xml:space="preserve"> </w:t>
      </w:r>
      <w:r w:rsidR="005E0803">
        <w:t>is</w:t>
      </w:r>
      <w:r w:rsidR="005E0803" w:rsidRPr="00F67BA7">
        <w:t xml:space="preserve"> </w:t>
      </w:r>
      <w:r>
        <w:t xml:space="preserve">the physical assets DNSPs invest in </w:t>
      </w:r>
      <w:r w:rsidRPr="00F67BA7">
        <w:t>to replac</w:t>
      </w:r>
      <w:r>
        <w:t xml:space="preserve">e, </w:t>
      </w:r>
      <w:r w:rsidRPr="00F67BA7">
        <w:t xml:space="preserve">upgrade </w:t>
      </w:r>
      <w:r>
        <w:t xml:space="preserve">or expand </w:t>
      </w:r>
      <w:r w:rsidRPr="00F67BA7">
        <w:t xml:space="preserve">their </w:t>
      </w:r>
      <w:r>
        <w:t>networks</w:t>
      </w:r>
      <w:r w:rsidRPr="00F67BA7">
        <w:t>.</w:t>
      </w:r>
      <w:r>
        <w:t xml:space="preserve"> </w:t>
      </w:r>
      <w:r w:rsidRPr="00F67BA7">
        <w:t xml:space="preserve">Electricity </w:t>
      </w:r>
      <w:r>
        <w:t xml:space="preserve">distribution </w:t>
      </w:r>
      <w:r w:rsidRPr="00F67BA7">
        <w:t xml:space="preserve">assets provide useful service over </w:t>
      </w:r>
      <w:r w:rsidR="000B26CF">
        <w:t xml:space="preserve">a number of years or even </w:t>
      </w:r>
      <w:r w:rsidRPr="00F67BA7">
        <w:t xml:space="preserve">several decades. </w:t>
      </w:r>
      <w:r>
        <w:t>We split capital</w:t>
      </w:r>
      <w:r w:rsidRPr="001255F5">
        <w:t xml:space="preserve"> into overhead distribution (</w:t>
      </w:r>
      <w:r w:rsidR="000B26CF">
        <w:t>below 33kV</w:t>
      </w:r>
      <w:r w:rsidRPr="001255F5">
        <w:t xml:space="preserve">) lines, overhead </w:t>
      </w:r>
      <w:proofErr w:type="spellStart"/>
      <w:r w:rsidRPr="001255F5">
        <w:t>subtransmission</w:t>
      </w:r>
      <w:proofErr w:type="spellEnd"/>
      <w:r w:rsidRPr="001255F5">
        <w:t xml:space="preserve"> (</w:t>
      </w:r>
      <w:r w:rsidR="000B26CF">
        <w:t>33kV and above</w:t>
      </w:r>
      <w:r w:rsidRPr="001255F5">
        <w:t xml:space="preserve">) lines, underground distribution cables, underground </w:t>
      </w:r>
      <w:proofErr w:type="spellStart"/>
      <w:r w:rsidRPr="001255F5">
        <w:t>subtransmission</w:t>
      </w:r>
      <w:proofErr w:type="spellEnd"/>
      <w:r w:rsidRPr="001255F5">
        <w:t xml:space="preserve"> cables</w:t>
      </w:r>
      <w:r w:rsidR="00D731B4">
        <w:t>,</w:t>
      </w:r>
      <w:r w:rsidRPr="001255F5">
        <w:t xml:space="preserve"> and transformers and other capital. </w:t>
      </w:r>
    </w:p>
    <w:p w:rsidR="007E64DF" w:rsidRPr="00707A36" w:rsidRDefault="007E64DF" w:rsidP="007E64DF">
      <w:r w:rsidRPr="00707A36">
        <w:lastRenderedPageBreak/>
        <w:t xml:space="preserve">Outputs are measures that represent the services the </w:t>
      </w:r>
      <w:r>
        <w:t>DNSPs</w:t>
      </w:r>
      <w:r w:rsidRPr="00707A36">
        <w:t xml:space="preserve"> provide. </w:t>
      </w:r>
      <w:r>
        <w:t>DNSPs</w:t>
      </w:r>
      <w:r w:rsidRPr="00707A36">
        <w:t xml:space="preserve"> exist to provide customers with access to a safe and reliable supply of electricity. </w:t>
      </w:r>
      <w:r w:rsidR="00C73590">
        <w:t xml:space="preserve">The outputs we have selected reflect this. </w:t>
      </w:r>
      <w:r w:rsidRPr="00707A36">
        <w:t>The outputs we use are:</w:t>
      </w:r>
    </w:p>
    <w:p w:rsidR="007E64DF" w:rsidRDefault="007E64DF" w:rsidP="007E64DF">
      <w:pPr>
        <w:pStyle w:val="AERbulletlistfirststyle"/>
      </w:pPr>
      <w:r>
        <w:t xml:space="preserve">Customer numbers. </w:t>
      </w:r>
      <w:r w:rsidRPr="008F6A2B">
        <w:t>The number of customers is a significant driver of the services a DNSP must provide. We measure the number of customers as the number of active connections on a network, represented by each energised national metering identifier.</w:t>
      </w:r>
    </w:p>
    <w:p w:rsidR="007E64DF" w:rsidRDefault="007E64DF" w:rsidP="007E64DF">
      <w:pPr>
        <w:pStyle w:val="AERbulletlistfirststyle"/>
      </w:pPr>
      <w:r>
        <w:t xml:space="preserve">Circuit line length. </w:t>
      </w:r>
      <w:r w:rsidRPr="008F6A2B">
        <w:t xml:space="preserve">Line length reflects the distances over which DNSPs deliver electricity to their customers. </w:t>
      </w:r>
    </w:p>
    <w:p w:rsidR="007E64DF" w:rsidRDefault="007E64DF" w:rsidP="00BF19C1">
      <w:pPr>
        <w:pStyle w:val="AERbulletlistfirststyle"/>
      </w:pPr>
      <w:r>
        <w:t xml:space="preserve">Maximum demand. DNSPs endeavour to meet the demand for energy from their customers when that demand is greatest. </w:t>
      </w:r>
      <w:r w:rsidR="00BF19C1" w:rsidRPr="00BF19C1">
        <w:t>This means that they must build and operate their networks with sufficient capacity to meet the expected peak demand for electricity.</w:t>
      </w:r>
      <w:r w:rsidR="00BF19C1">
        <w:rPr>
          <w:rStyle w:val="FootnoteReference"/>
        </w:rPr>
        <w:footnoteReference w:id="4"/>
      </w:r>
      <w:r w:rsidR="00BF19C1" w:rsidRPr="00BF19C1">
        <w:t xml:space="preserve"> </w:t>
      </w:r>
    </w:p>
    <w:p w:rsidR="007E64DF" w:rsidRDefault="007E64DF" w:rsidP="007E64DF">
      <w:pPr>
        <w:pStyle w:val="AERbulletlistfirststyle"/>
      </w:pPr>
      <w:r>
        <w:t xml:space="preserve">Energy delivered. </w:t>
      </w:r>
      <w:r w:rsidRPr="008F6A2B">
        <w:t>Energy throughput is a measure of the amount of electricity that DNSPs deliver to their customers.</w:t>
      </w:r>
    </w:p>
    <w:p w:rsidR="00707A36" w:rsidRDefault="007E64DF" w:rsidP="00645B85">
      <w:pPr>
        <w:pStyle w:val="AERbulletlistfirststyle"/>
      </w:pPr>
      <w:r>
        <w:t xml:space="preserve">Reliability. Reliability measures the extent to which networks are able to maintain </w:t>
      </w:r>
      <w:r w:rsidR="00C73590">
        <w:t xml:space="preserve">a </w:t>
      </w:r>
      <w:r w:rsidR="00D731B4">
        <w:t xml:space="preserve">continuous </w:t>
      </w:r>
      <w:r>
        <w:t>supply of electricity.</w:t>
      </w:r>
      <w:bookmarkEnd w:id="18"/>
    </w:p>
    <w:p w:rsidR="0013535F" w:rsidRPr="0013535F" w:rsidRDefault="00892EC0" w:rsidP="0013535F">
      <w:r>
        <w:t xml:space="preserve">The November 2014 </w:t>
      </w:r>
      <w:r w:rsidR="0013535F" w:rsidRPr="0013535F">
        <w:t xml:space="preserve">Economic Insights </w:t>
      </w:r>
      <w:r>
        <w:t>referenced in Appendix A</w:t>
      </w:r>
      <w:r w:rsidR="0013535F" w:rsidRPr="0013535F">
        <w:t xml:space="preserve"> details the input and output weights applied to constructing the productivity index numbers.  </w:t>
      </w:r>
    </w:p>
    <w:p w:rsidR="00AF1FD6" w:rsidRDefault="00AF1FD6" w:rsidP="00AF1FD6">
      <w:pPr>
        <w:pStyle w:val="Heading2"/>
      </w:pPr>
      <w:bookmarkStart w:id="19" w:name="_Toc461111745"/>
      <w:bookmarkStart w:id="20" w:name="_Toc468175057"/>
      <w:r w:rsidRPr="00F67BA7">
        <w:t>Data</w:t>
      </w:r>
      <w:bookmarkEnd w:id="19"/>
      <w:bookmarkEnd w:id="20"/>
    </w:p>
    <w:p w:rsidR="00AF1FD6" w:rsidRDefault="00AF1FD6" w:rsidP="00AF1FD6">
      <w:r>
        <w:t xml:space="preserve">The benchmarking </w:t>
      </w:r>
      <w:r w:rsidRPr="00F67BA7">
        <w:t>techniques in this r</w:t>
      </w:r>
      <w:r>
        <w:t>eport use data provided by the D</w:t>
      </w:r>
      <w:r w:rsidRPr="00F67BA7">
        <w:t xml:space="preserve">NSPs in response to our economic benchmarking regulatory information notices (EB </w:t>
      </w:r>
      <w:r>
        <w:t>RINs). The EB RINs require all D</w:t>
      </w:r>
      <w:r w:rsidRPr="00F67BA7">
        <w:t>NSPs to provide consiste</w:t>
      </w:r>
      <w:r>
        <w:t>nt data and is verified by the D</w:t>
      </w:r>
      <w:r w:rsidRPr="00F67BA7">
        <w:t xml:space="preserve">NSP’s chief executive officer and independently audited. </w:t>
      </w:r>
      <w:r>
        <w:t xml:space="preserve">We have tested and validated this data and </w:t>
      </w:r>
      <w:r w:rsidR="002849D6">
        <w:t xml:space="preserve">it, along with the </w:t>
      </w:r>
      <w:r w:rsidR="00735CCB">
        <w:t>B</w:t>
      </w:r>
      <w:r w:rsidR="002849D6">
        <w:t xml:space="preserve">asis of </w:t>
      </w:r>
      <w:r w:rsidR="00735CCB">
        <w:t>P</w:t>
      </w:r>
      <w:r w:rsidR="002849D6">
        <w:t>reparation provided by each DNSP,</w:t>
      </w:r>
      <w:r>
        <w:t xml:space="preserve"> </w:t>
      </w:r>
      <w:proofErr w:type="gramStart"/>
      <w:r w:rsidR="002849D6">
        <w:t>is</w:t>
      </w:r>
      <w:r>
        <w:t xml:space="preserve"> published</w:t>
      </w:r>
      <w:proofErr w:type="gramEnd"/>
      <w:r>
        <w:t xml:space="preserve"> on our website.</w:t>
      </w:r>
      <w:r>
        <w:rPr>
          <w:rStyle w:val="FootnoteReference"/>
        </w:rPr>
        <w:footnoteReference w:id="5"/>
      </w:r>
      <w:r>
        <w:t xml:space="preserve"> </w:t>
      </w:r>
      <w:r w:rsidR="00335F4A">
        <w:t xml:space="preserve">As Economic Insights states: </w:t>
      </w:r>
      <w:r w:rsidR="00335F4A" w:rsidRPr="00335F4A">
        <w:t>While no dataset will likely ever be perfect, the AER’s economic benchmarking RIN data provides the most consistent and thoroughly examined DNSP dataset yet assembled in Australia</w:t>
      </w:r>
      <w:r w:rsidR="00335F4A">
        <w:t>.</w:t>
      </w:r>
      <w:r w:rsidR="00335F4A">
        <w:rPr>
          <w:rStyle w:val="FootnoteReference"/>
        </w:rPr>
        <w:footnoteReference w:id="6"/>
      </w:r>
    </w:p>
    <w:p w:rsidR="00302AF2" w:rsidRDefault="00302AF2" w:rsidP="00302AF2">
      <w:r>
        <w:t xml:space="preserve">For the econometric modelling techniques, we also </w:t>
      </w:r>
      <w:r w:rsidR="008B6B1E">
        <w:t>use</w:t>
      </w:r>
      <w:r>
        <w:t xml:space="preserve"> overseas data. The data intensive nature of these techniques means that robust results </w:t>
      </w:r>
      <w:proofErr w:type="gramStart"/>
      <w:r>
        <w:t>cannot be produced</w:t>
      </w:r>
      <w:proofErr w:type="gramEnd"/>
      <w:r>
        <w:t xml:space="preserve"> with only the Australian DNSP data. As such, Economic Insights supplemented the </w:t>
      </w:r>
      <w:r>
        <w:lastRenderedPageBreak/>
        <w:t>Australian data with comparable data from Ontario and New Zealand. This significantly increases the size o</w:t>
      </w:r>
      <w:r w:rsidR="008B6B1E">
        <w:t xml:space="preserve">f the dataset, enabling robust </w:t>
      </w:r>
      <w:r>
        <w:t>estim</w:t>
      </w:r>
      <w:r w:rsidR="008B6B1E">
        <w:t xml:space="preserve">ation of the </w:t>
      </w:r>
      <w:proofErr w:type="spellStart"/>
      <w:r w:rsidR="008B6B1E">
        <w:t>opex</w:t>
      </w:r>
      <w:proofErr w:type="spellEnd"/>
      <w:r w:rsidR="008B6B1E">
        <w:t xml:space="preserve"> cost function</w:t>
      </w:r>
      <w:r>
        <w:t xml:space="preserve">. Appendix </w:t>
      </w:r>
      <w:r>
        <w:fldChar w:fldCharType="begin"/>
      </w:r>
      <w:r>
        <w:instrText xml:space="preserve"> REF _Ref432603789 \n \h </w:instrText>
      </w:r>
      <w:r>
        <w:fldChar w:fldCharType="separate"/>
      </w:r>
      <w:r w:rsidR="00BE7268">
        <w:t>A</w:t>
      </w:r>
      <w:r>
        <w:fldChar w:fldCharType="end"/>
      </w:r>
      <w:r>
        <w:t xml:space="preserve"> contains references to further reading on how Economic Insights incorporated overseas data into the econometric models.</w:t>
      </w:r>
    </w:p>
    <w:p w:rsidR="00D35D7F" w:rsidRPr="00F6239A" w:rsidRDefault="00D35D7F" w:rsidP="00D35D7F">
      <w:pPr>
        <w:pStyle w:val="Heading2"/>
      </w:pPr>
      <w:bookmarkStart w:id="21" w:name="_Toc468175058"/>
      <w:r>
        <w:t>Measuring productivity and efficiency</w:t>
      </w:r>
      <w:bookmarkEnd w:id="21"/>
    </w:p>
    <w:p w:rsidR="00D35D7F" w:rsidRDefault="00D35D7F" w:rsidP="00D35D7F">
      <w:r w:rsidRPr="00F6239A">
        <w:t>Our benchmarking report consider</w:t>
      </w:r>
      <w:r>
        <w:t>s</w:t>
      </w:r>
      <w:r w:rsidRPr="00F6239A">
        <w:t xml:space="preserve"> the efficiency and productivity of individual network service providers</w:t>
      </w:r>
      <w:r>
        <w:t xml:space="preserve">. </w:t>
      </w:r>
      <w:r w:rsidR="00C51A30">
        <w:t>W</w:t>
      </w:r>
      <w:r>
        <w:t>e focus on the p</w:t>
      </w:r>
      <w:r w:rsidRPr="0060016C">
        <w:t>roductive efficiency</w:t>
      </w:r>
      <w:r>
        <w:t xml:space="preserve"> of the DNSPs.</w:t>
      </w:r>
      <w:r>
        <w:rPr>
          <w:rStyle w:val="FootnoteReference"/>
        </w:rPr>
        <w:footnoteReference w:id="7"/>
      </w:r>
      <w:r>
        <w:t xml:space="preserve"> DNSPs are productively efficient when they</w:t>
      </w:r>
      <w:r w:rsidRPr="0060016C">
        <w:t xml:space="preserve"> produce their goods and services at least possible cost</w:t>
      </w:r>
      <w:r>
        <w:t xml:space="preserve"> given their operating environments and prevailing input prices</w:t>
      </w:r>
      <w:r w:rsidRPr="0060016C">
        <w:t>.</w:t>
      </w:r>
      <w:r>
        <w:t xml:space="preserve"> </w:t>
      </w:r>
    </w:p>
    <w:p w:rsidR="00D35D7F" w:rsidRDefault="00D35D7F" w:rsidP="00D35D7F">
      <w:r>
        <w:t xml:space="preserve">The efficiency and productivity measurement techniques we use </w:t>
      </w:r>
      <w:proofErr w:type="gramStart"/>
      <w:r>
        <w:t>are discussed</w:t>
      </w:r>
      <w:proofErr w:type="gramEnd"/>
      <w:r>
        <w:t xml:space="preserve"> in section 1.2. MTFP </w:t>
      </w:r>
      <w:r w:rsidR="00EA0B6D">
        <w:t>show</w:t>
      </w:r>
      <w:r>
        <w:t xml:space="preserve">s the relative productivity of DNSPs, </w:t>
      </w:r>
      <w:r w:rsidR="00EA0B6D">
        <w:t>where productivity</w:t>
      </w:r>
      <w:r>
        <w:t xml:space="preserve"> </w:t>
      </w:r>
      <w:proofErr w:type="gramStart"/>
      <w:r>
        <w:t xml:space="preserve">is </w:t>
      </w:r>
      <w:r w:rsidR="00EA0B6D">
        <w:t>measured</w:t>
      </w:r>
      <w:proofErr w:type="gramEnd"/>
      <w:r w:rsidR="00EA0B6D">
        <w:t xml:space="preserve"> as </w:t>
      </w:r>
      <w:r>
        <w:t xml:space="preserve">the ratio of the quantity of </w:t>
      </w:r>
      <w:r w:rsidR="003050C8">
        <w:t xml:space="preserve">total </w:t>
      </w:r>
      <w:r>
        <w:t xml:space="preserve">outputs produced to the quantity of </w:t>
      </w:r>
      <w:r w:rsidR="003050C8">
        <w:t xml:space="preserve">total </w:t>
      </w:r>
      <w:r>
        <w:t xml:space="preserve">inputs used. </w:t>
      </w:r>
      <w:r w:rsidR="00EA0B6D">
        <w:t>T</w:t>
      </w:r>
      <w:r>
        <w:t xml:space="preserve">he relative productivity of the DNSPs reflects their efficiency.  </w:t>
      </w:r>
      <w:r w:rsidR="003050C8">
        <w:rPr>
          <w:rStyle w:val="AERbody"/>
        </w:rPr>
        <w:t xml:space="preserve">MPFP </w:t>
      </w:r>
      <w:r w:rsidR="003050C8" w:rsidRPr="00FB4405">
        <w:rPr>
          <w:rStyle w:val="AERbody"/>
        </w:rPr>
        <w:t>examine</w:t>
      </w:r>
      <w:r w:rsidR="003050C8">
        <w:rPr>
          <w:rStyle w:val="AERbody"/>
        </w:rPr>
        <w:t>s</w:t>
      </w:r>
      <w:r w:rsidR="003050C8" w:rsidRPr="00FB4405">
        <w:rPr>
          <w:rStyle w:val="AERbody"/>
        </w:rPr>
        <w:t xml:space="preserve"> the productivity of either </w:t>
      </w:r>
      <w:proofErr w:type="spellStart"/>
      <w:r w:rsidR="003050C8" w:rsidRPr="00FB4405">
        <w:rPr>
          <w:rStyle w:val="AERbody"/>
        </w:rPr>
        <w:t>opex</w:t>
      </w:r>
      <w:proofErr w:type="spellEnd"/>
      <w:r w:rsidR="003050C8" w:rsidRPr="00FB4405">
        <w:rPr>
          <w:rStyle w:val="AERbody"/>
        </w:rPr>
        <w:t xml:space="preserve"> or capital in isolation</w:t>
      </w:r>
      <w:r w:rsidR="003050C8">
        <w:rPr>
          <w:rStyle w:val="AERbody"/>
        </w:rPr>
        <w:t>.</w:t>
      </w:r>
    </w:p>
    <w:p w:rsidR="00D35D7F" w:rsidRPr="00F6239A" w:rsidRDefault="00D35D7F" w:rsidP="00D35D7F">
      <w:proofErr w:type="gramStart"/>
      <w:r>
        <w:t xml:space="preserve">The econometric cost modelling measures </w:t>
      </w:r>
      <w:proofErr w:type="spellStart"/>
      <w:r>
        <w:t>opex</w:t>
      </w:r>
      <w:proofErr w:type="spellEnd"/>
      <w:r>
        <w:t xml:space="preserve"> efficiency by modelling the technology, input prices, output quantit</w:t>
      </w:r>
      <w:r w:rsidR="00C51A30">
        <w:t>ies</w:t>
      </w:r>
      <w:r>
        <w:t xml:space="preserve"> and some operating environment factors.</w:t>
      </w:r>
      <w:proofErr w:type="gramEnd"/>
      <w:r>
        <w:t xml:space="preserve"> The efficiency scores</w:t>
      </w:r>
      <w:r w:rsidR="000C3A7E">
        <w:t xml:space="preserve"> derived</w:t>
      </w:r>
      <w:r>
        <w:t xml:space="preserve"> from these models are representative of </w:t>
      </w:r>
      <w:r w:rsidR="000C3A7E">
        <w:t xml:space="preserve">individual </w:t>
      </w:r>
      <w:r>
        <w:t>DNSPs</w:t>
      </w:r>
      <w:r w:rsidR="000C3A7E">
        <w:t>'</w:t>
      </w:r>
      <w:r>
        <w:t xml:space="preserve"> ability </w:t>
      </w:r>
      <w:proofErr w:type="gramStart"/>
      <w:r>
        <w:t xml:space="preserve">to efficiently </w:t>
      </w:r>
      <w:r w:rsidR="003050C8">
        <w:t>provide</w:t>
      </w:r>
      <w:proofErr w:type="gramEnd"/>
      <w:r w:rsidR="003050C8">
        <w:t xml:space="preserve"> network </w:t>
      </w:r>
      <w:r w:rsidR="00B20337">
        <w:t>services</w:t>
      </w:r>
      <w:r w:rsidR="003050C8">
        <w:t xml:space="preserve"> </w:t>
      </w:r>
      <w:r>
        <w:t xml:space="preserve">given their operating environment. </w:t>
      </w:r>
    </w:p>
    <w:p w:rsidR="00D35D7F" w:rsidRDefault="00D35D7F" w:rsidP="00D35D7F">
      <w:r>
        <w:t xml:space="preserve">Each benchmarking technique </w:t>
      </w:r>
      <w:r w:rsidRPr="00F6239A">
        <w:t xml:space="preserve">cannot </w:t>
      </w:r>
      <w:r>
        <w:t xml:space="preserve">readily </w:t>
      </w:r>
      <w:r w:rsidRPr="00F6239A">
        <w:t xml:space="preserve">incorporate every possible exogenous factor that may affect </w:t>
      </w:r>
      <w:r>
        <w:t>a DNSP's</w:t>
      </w:r>
      <w:r w:rsidRPr="00F6239A">
        <w:t xml:space="preserve"> costs.  </w:t>
      </w:r>
      <w:r>
        <w:t xml:space="preserve">Therefore, the performance measures are reflective of, but do not precisely represent, the underlying efficiency of DNSPs.  </w:t>
      </w:r>
      <w:r w:rsidRPr="00F6239A">
        <w:t xml:space="preserve">For </w:t>
      </w:r>
      <w:r>
        <w:t>this benchmarking report</w:t>
      </w:r>
      <w:r w:rsidRPr="00F6239A">
        <w:t xml:space="preserve">, our approach is to derive raw efficiency and productivity results and where possible, explain drivers for the performance differences and changes. These include those factors that </w:t>
      </w:r>
      <w:proofErr w:type="gramStart"/>
      <w:r w:rsidRPr="00F6239A">
        <w:t>may not have been accounted for</w:t>
      </w:r>
      <w:proofErr w:type="gramEnd"/>
      <w:r w:rsidRPr="00F6239A">
        <w:t xml:space="preserve"> in the benchmarking modelling.  </w:t>
      </w:r>
    </w:p>
    <w:p w:rsidR="00D35D7F" w:rsidRDefault="00D35D7F" w:rsidP="00302AF2"/>
    <w:p w:rsidR="008B347D" w:rsidRDefault="008B347D" w:rsidP="00645B85">
      <w:pPr>
        <w:pStyle w:val="Heading1"/>
      </w:pPr>
      <w:bookmarkStart w:id="22" w:name="_Toc433207592"/>
      <w:bookmarkStart w:id="23" w:name="_Toc433217769"/>
      <w:bookmarkStart w:id="24" w:name="_Toc433270044"/>
      <w:bookmarkStart w:id="25" w:name="_Toc468175059"/>
      <w:bookmarkStart w:id="26" w:name="_Ref433013054"/>
      <w:bookmarkStart w:id="27" w:name="_Toc435712625"/>
      <w:bookmarkEnd w:id="22"/>
      <w:bookmarkEnd w:id="23"/>
      <w:bookmarkEnd w:id="24"/>
      <w:r>
        <w:lastRenderedPageBreak/>
        <w:t>Benchmarking results</w:t>
      </w:r>
      <w:bookmarkEnd w:id="25"/>
    </w:p>
    <w:p w:rsidR="00645B85" w:rsidRDefault="00645B85" w:rsidP="008B347D">
      <w:pPr>
        <w:pStyle w:val="Heading2"/>
      </w:pPr>
      <w:bookmarkStart w:id="28" w:name="_Toc468175060"/>
      <w:r>
        <w:t>Multilateral total factor productivity results</w:t>
      </w:r>
      <w:bookmarkEnd w:id="26"/>
      <w:bookmarkEnd w:id="27"/>
      <w:bookmarkEnd w:id="28"/>
    </w:p>
    <w:p w:rsidR="00645B85" w:rsidRDefault="00645B85" w:rsidP="00645B85">
      <w:r>
        <w:t xml:space="preserve">This section presents the benchmarking results for MTFP, the primary technique used to measure overall relative efficiency. Results </w:t>
      </w:r>
      <w:proofErr w:type="gramStart"/>
      <w:r>
        <w:t>are presented</w:t>
      </w:r>
      <w:proofErr w:type="gramEnd"/>
      <w:r>
        <w:t xml:space="preserve"> over a </w:t>
      </w:r>
      <w:r w:rsidR="002A5958">
        <w:t xml:space="preserve">ten </w:t>
      </w:r>
      <w:r>
        <w:t>year period, from 2006 to 201</w:t>
      </w:r>
      <w:r w:rsidR="002A5958">
        <w:t>5</w:t>
      </w:r>
      <w:r>
        <w:t>.</w:t>
      </w:r>
    </w:p>
    <w:p w:rsidR="008B347D" w:rsidRDefault="008B347D" w:rsidP="008B347D">
      <w:pPr>
        <w:pStyle w:val="Heading3"/>
      </w:pPr>
      <w:bookmarkStart w:id="29" w:name="_Toc468175061"/>
      <w:r>
        <w:t>Industry MTFP</w:t>
      </w:r>
      <w:bookmarkEnd w:id="29"/>
    </w:p>
    <w:p w:rsidR="00645B85" w:rsidRDefault="00C418DB" w:rsidP="00645B85">
      <w:r>
        <w:t xml:space="preserve">Productivity across the industry has been declining </w:t>
      </w:r>
      <w:r w:rsidR="00D372FD">
        <w:t>since 2007</w:t>
      </w:r>
      <w:r>
        <w:t xml:space="preserve"> and</w:t>
      </w:r>
      <w:r w:rsidR="004B4CD2">
        <w:t xml:space="preserve"> </w:t>
      </w:r>
      <w:r w:rsidR="006E04E2">
        <w:t xml:space="preserve">has continued </w:t>
      </w:r>
      <w:r>
        <w:t xml:space="preserve">to decline </w:t>
      </w:r>
      <w:r w:rsidR="006E04E2">
        <w:t>in the twel</w:t>
      </w:r>
      <w:r>
        <w:t xml:space="preserve">ve months between 2014 and 2015. </w:t>
      </w:r>
      <w:r>
        <w:fldChar w:fldCharType="begin"/>
      </w:r>
      <w:r>
        <w:instrText xml:space="preserve"> REF _Ref432682392 \h </w:instrText>
      </w:r>
      <w:r>
        <w:fldChar w:fldCharType="separate"/>
      </w:r>
      <w:r w:rsidR="00BE7268">
        <w:t xml:space="preserve">Figure </w:t>
      </w:r>
      <w:r w:rsidR="00BE7268">
        <w:rPr>
          <w:noProof/>
        </w:rPr>
        <w:t>3</w:t>
      </w:r>
      <w:r>
        <w:fldChar w:fldCharType="end"/>
      </w:r>
      <w:r>
        <w:t xml:space="preserve"> </w:t>
      </w:r>
      <w:r w:rsidR="00645B85">
        <w:t xml:space="preserve">displays the output and input indices and the resultant </w:t>
      </w:r>
      <w:r w:rsidR="006E04E2">
        <w:t>M</w:t>
      </w:r>
      <w:r w:rsidR="00645B85">
        <w:t>TFP index at the industry level (all DNSPs).</w:t>
      </w:r>
      <w:r w:rsidR="006E04E2">
        <w:t xml:space="preserve"> </w:t>
      </w:r>
    </w:p>
    <w:p w:rsidR="00645B85" w:rsidRDefault="00645B85" w:rsidP="00645B85">
      <w:pPr>
        <w:pStyle w:val="Caption"/>
      </w:pPr>
      <w:bookmarkStart w:id="30" w:name="_Ref432682392"/>
      <w:r>
        <w:t xml:space="preserve">Figure </w:t>
      </w:r>
      <w:r w:rsidRPr="00F50135">
        <w:fldChar w:fldCharType="begin"/>
      </w:r>
      <w:r>
        <w:instrText xml:space="preserve"> SEQ Figure \* ARABIC </w:instrText>
      </w:r>
      <w:r w:rsidRPr="00F50135">
        <w:fldChar w:fldCharType="separate"/>
      </w:r>
      <w:r w:rsidR="00BE7268">
        <w:rPr>
          <w:noProof/>
        </w:rPr>
        <w:t>3</w:t>
      </w:r>
      <w:r w:rsidRPr="00F50135">
        <w:fldChar w:fldCharType="end"/>
      </w:r>
      <w:bookmarkEnd w:id="30"/>
      <w:r>
        <w:tab/>
      </w:r>
      <w:r w:rsidR="00AA4573">
        <w:tab/>
      </w:r>
      <w:r w:rsidR="0060396E">
        <w:t>Industry</w:t>
      </w:r>
      <w:r>
        <w:t xml:space="preserve"> input, output and TFP indices</w:t>
      </w:r>
      <w:r w:rsidR="005713FC">
        <w:t xml:space="preserve"> for</w:t>
      </w:r>
      <w:r>
        <w:t xml:space="preserve"> 2006–1</w:t>
      </w:r>
      <w:r w:rsidR="005713FC">
        <w:t>5</w:t>
      </w:r>
    </w:p>
    <w:p w:rsidR="008B347D" w:rsidRDefault="000810FD" w:rsidP="00645B85">
      <w:r w:rsidRPr="000810FD">
        <w:rPr>
          <w:noProof/>
          <w:lang w:eastAsia="en-AU"/>
        </w:rPr>
        <w:drawing>
          <wp:inline distT="0" distB="0" distL="0" distR="0" wp14:anchorId="44555CDD" wp14:editId="19D8712A">
            <wp:extent cx="4915527" cy="3062378"/>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16639" cy="3063071"/>
                    </a:xfrm>
                    <a:prstGeom prst="rect">
                      <a:avLst/>
                    </a:prstGeom>
                    <a:noFill/>
                    <a:ln>
                      <a:noFill/>
                    </a:ln>
                  </pic:spPr>
                </pic:pic>
              </a:graphicData>
            </a:graphic>
          </wp:inline>
        </w:drawing>
      </w:r>
    </w:p>
    <w:p w:rsidR="00767CBF" w:rsidRDefault="00645B85" w:rsidP="004B4CD2">
      <w:r>
        <w:fldChar w:fldCharType="begin"/>
      </w:r>
      <w:r>
        <w:instrText xml:space="preserve"> REF _Ref432682392 \h </w:instrText>
      </w:r>
      <w:r>
        <w:fldChar w:fldCharType="separate"/>
      </w:r>
      <w:r w:rsidR="00BE7268">
        <w:t xml:space="preserve">Figure </w:t>
      </w:r>
      <w:r w:rsidR="00BE7268">
        <w:rPr>
          <w:noProof/>
        </w:rPr>
        <w:t>3</w:t>
      </w:r>
      <w:r>
        <w:fldChar w:fldCharType="end"/>
      </w:r>
      <w:r>
        <w:t xml:space="preserve"> shows that since 2007, inputs have increased at a greater rate than outputs. In other words, </w:t>
      </w:r>
      <w:r w:rsidR="000A22BF" w:rsidRPr="000A22BF">
        <w:t>the resources used to maintain, replace and augment the networks are increasing at a greater rate than electricity network services delivered (measured in terms of customer numbers, line length, energy throughput, maximum demand, and reliability)</w:t>
      </w:r>
      <w:r>
        <w:t xml:space="preserve">. </w:t>
      </w:r>
      <w:r w:rsidR="008B347D">
        <w:t xml:space="preserve">As </w:t>
      </w:r>
      <w:proofErr w:type="gramStart"/>
      <w:r w:rsidR="008B347D">
        <w:t>such</w:t>
      </w:r>
      <w:proofErr w:type="gramEnd"/>
      <w:r w:rsidR="008B347D">
        <w:t xml:space="preserve"> the measure of </w:t>
      </w:r>
      <w:r w:rsidR="008B347D" w:rsidRPr="00F67BA7">
        <w:t xml:space="preserve">productivity </w:t>
      </w:r>
      <w:r w:rsidR="008B347D">
        <w:t xml:space="preserve">is declining </w:t>
      </w:r>
      <w:r w:rsidR="008B347D" w:rsidRPr="00F67BA7">
        <w:t xml:space="preserve">across the </w:t>
      </w:r>
      <w:r w:rsidR="008B347D">
        <w:t>sector,</w:t>
      </w:r>
      <w:r w:rsidR="008B347D" w:rsidRPr="00F67BA7">
        <w:t xml:space="preserve"> </w:t>
      </w:r>
      <w:r w:rsidR="008B347D">
        <w:t>w</w:t>
      </w:r>
      <w:r w:rsidR="008B347D" w:rsidRPr="00F67BA7">
        <w:t>ith the exception of 201</w:t>
      </w:r>
      <w:r w:rsidR="0036234B">
        <w:t>3</w:t>
      </w:r>
      <w:r w:rsidR="008B347D" w:rsidRPr="00F67BA7">
        <w:t xml:space="preserve"> which showed </w:t>
      </w:r>
      <w:r w:rsidR="008B347D">
        <w:t xml:space="preserve">small positive productivity growth. </w:t>
      </w:r>
      <w:r w:rsidR="002849D6" w:rsidRPr="002849D6">
        <w:t xml:space="preserve">We discuss the drivers of declining </w:t>
      </w:r>
      <w:r w:rsidR="00A81414">
        <w:t xml:space="preserve">industry </w:t>
      </w:r>
      <w:r w:rsidR="002849D6" w:rsidRPr="002849D6">
        <w:t>productivity further in section</w:t>
      </w:r>
      <w:r w:rsidR="006B27B1">
        <w:t> </w:t>
      </w:r>
      <w:r w:rsidR="002849D6" w:rsidRPr="002849D6">
        <w:t>3.1.</w:t>
      </w:r>
    </w:p>
    <w:p w:rsidR="000A22BF" w:rsidRDefault="000A22BF" w:rsidP="004B4CD2"/>
    <w:p w:rsidR="000A22BF" w:rsidRDefault="000A22BF" w:rsidP="004B4CD2"/>
    <w:p w:rsidR="000A22BF" w:rsidRDefault="000A22BF">
      <w:pPr>
        <w:spacing w:line="240" w:lineRule="auto"/>
      </w:pPr>
    </w:p>
    <w:p w:rsidR="003F5D00" w:rsidRPr="003F5D00" w:rsidRDefault="003F5D00" w:rsidP="003F5D00">
      <w:pPr>
        <w:pStyle w:val="Heading3"/>
      </w:pPr>
      <w:bookmarkStart w:id="31" w:name="_Toc468175062"/>
      <w:r w:rsidRPr="003F5D00">
        <w:lastRenderedPageBreak/>
        <w:t>MTFP by State</w:t>
      </w:r>
      <w:bookmarkEnd w:id="31"/>
      <w:r w:rsidRPr="003F5D00">
        <w:t xml:space="preserve"> </w:t>
      </w:r>
    </w:p>
    <w:p w:rsidR="003F5D00" w:rsidRDefault="003F5D00" w:rsidP="003F5D00">
      <w:r>
        <w:fldChar w:fldCharType="begin"/>
      </w:r>
      <w:r>
        <w:instrText xml:space="preserve"> REF _Ref460579867 \h </w:instrText>
      </w:r>
      <w:r>
        <w:fldChar w:fldCharType="separate"/>
      </w:r>
      <w:r w:rsidR="00BE7268">
        <w:t xml:space="preserve">Figure </w:t>
      </w:r>
      <w:r w:rsidR="00BE7268">
        <w:rPr>
          <w:noProof/>
        </w:rPr>
        <w:t>4</w:t>
      </w:r>
      <w:r>
        <w:fldChar w:fldCharType="end"/>
      </w:r>
      <w:r>
        <w:t xml:space="preserve"> shows the MTFP results above, grouped by state. It shows that the declines in the productivity of N</w:t>
      </w:r>
      <w:r w:rsidR="00EE3204">
        <w:t xml:space="preserve">ew </w:t>
      </w:r>
      <w:r>
        <w:t>S</w:t>
      </w:r>
      <w:r w:rsidR="00EE3204">
        <w:t xml:space="preserve">outh </w:t>
      </w:r>
      <w:r>
        <w:t>W</w:t>
      </w:r>
      <w:r w:rsidR="00EE3204">
        <w:t>ales</w:t>
      </w:r>
      <w:r>
        <w:t xml:space="preserve"> and Queensland DNSPs </w:t>
      </w:r>
      <w:r w:rsidR="00A1688A">
        <w:t xml:space="preserve">in 2015 </w:t>
      </w:r>
      <w:r>
        <w:t>are driving the decline in industry wide productivity</w:t>
      </w:r>
      <w:r w:rsidR="00BF19C1">
        <w:t>, given their relatively large size</w:t>
      </w:r>
      <w:r>
        <w:t xml:space="preserve">. Distributors in all the other states have improved their productivity in 2015. </w:t>
      </w:r>
      <w:r w:rsidRPr="003F5D00">
        <w:t xml:space="preserve">The Tasmanian and </w:t>
      </w:r>
      <w:r w:rsidR="00EE3204">
        <w:t xml:space="preserve">the </w:t>
      </w:r>
      <w:r w:rsidRPr="003F5D00">
        <w:t>A</w:t>
      </w:r>
      <w:r w:rsidR="00EE3204">
        <w:t xml:space="preserve">ustralian </w:t>
      </w:r>
      <w:r w:rsidRPr="003F5D00">
        <w:t>C</w:t>
      </w:r>
      <w:r w:rsidR="00EE3204">
        <w:t xml:space="preserve">apital </w:t>
      </w:r>
      <w:r w:rsidRPr="003F5D00">
        <w:t>T</w:t>
      </w:r>
      <w:r w:rsidR="00EE3204">
        <w:t>erritory</w:t>
      </w:r>
      <w:r w:rsidRPr="003F5D00">
        <w:t xml:space="preserve"> DNSPs have made significant productivity improvements.</w:t>
      </w:r>
    </w:p>
    <w:p w:rsidR="003F5D00" w:rsidRDefault="003F5D00" w:rsidP="003F5D00">
      <w:pPr>
        <w:pStyle w:val="Caption"/>
      </w:pPr>
      <w:bookmarkStart w:id="32" w:name="_Ref460579867"/>
      <w:r>
        <w:t xml:space="preserve">Figure </w:t>
      </w:r>
      <w:fldSimple w:instr=" SEQ Figure \* ARABIC ">
        <w:r w:rsidR="00BE7268">
          <w:rPr>
            <w:noProof/>
          </w:rPr>
          <w:t>4</w:t>
        </w:r>
      </w:fldSimple>
      <w:bookmarkEnd w:id="32"/>
      <w:r>
        <w:tab/>
      </w:r>
      <w:r>
        <w:tab/>
        <w:t>MTFP by state for 2006–15</w:t>
      </w:r>
    </w:p>
    <w:p w:rsidR="00041D0A" w:rsidRPr="00041D0A" w:rsidRDefault="00041D0A" w:rsidP="00041D0A">
      <w:bookmarkStart w:id="33" w:name="_Toc456274492"/>
      <w:r w:rsidRPr="00041D0A">
        <w:rPr>
          <w:noProof/>
          <w:lang w:eastAsia="en-AU"/>
        </w:rPr>
        <w:drawing>
          <wp:inline distT="0" distB="0" distL="0" distR="0" wp14:anchorId="1F7A1ACC" wp14:editId="2A62C2FA">
            <wp:extent cx="5163568" cy="3329797"/>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68651" cy="3333075"/>
                    </a:xfrm>
                    <a:prstGeom prst="rect">
                      <a:avLst/>
                    </a:prstGeom>
                    <a:noFill/>
                    <a:ln>
                      <a:noFill/>
                    </a:ln>
                  </pic:spPr>
                </pic:pic>
              </a:graphicData>
            </a:graphic>
          </wp:inline>
        </w:drawing>
      </w:r>
    </w:p>
    <w:p w:rsidR="008B347D" w:rsidRPr="008B347D" w:rsidRDefault="008B347D" w:rsidP="008B347D">
      <w:pPr>
        <w:pStyle w:val="Heading3"/>
      </w:pPr>
      <w:bookmarkStart w:id="34" w:name="_Toc468175063"/>
      <w:r w:rsidRPr="008B347D">
        <w:t xml:space="preserve">MTFP by </w:t>
      </w:r>
      <w:r>
        <w:t>D</w:t>
      </w:r>
      <w:r w:rsidRPr="008B347D">
        <w:t>NSP</w:t>
      </w:r>
      <w:bookmarkEnd w:id="33"/>
      <w:bookmarkEnd w:id="34"/>
      <w:r w:rsidRPr="008B347D">
        <w:t xml:space="preserve"> </w:t>
      </w:r>
    </w:p>
    <w:p w:rsidR="00FF6D1C" w:rsidRDefault="002F0CF8" w:rsidP="00FF6D1C">
      <w:r>
        <w:t xml:space="preserve">Despite the downward trend at the industry level, there are promising results in 2015 at the individual network level. Figure 5 shows that </w:t>
      </w:r>
      <w:r w:rsidRPr="000A22BF">
        <w:t xml:space="preserve">in 2015 over half of the networks go against the declining productivity trend. </w:t>
      </w:r>
      <w:proofErr w:type="spellStart"/>
      <w:r>
        <w:t>TasNetworks</w:t>
      </w:r>
      <w:proofErr w:type="spellEnd"/>
      <w:r>
        <w:t xml:space="preserve">, </w:t>
      </w:r>
      <w:proofErr w:type="spellStart"/>
      <w:r>
        <w:t>ActewAGL</w:t>
      </w:r>
      <w:proofErr w:type="spellEnd"/>
      <w:r>
        <w:t xml:space="preserve">, CitiPower, United Energy, </w:t>
      </w:r>
      <w:proofErr w:type="spellStart"/>
      <w:r>
        <w:t>Powercor</w:t>
      </w:r>
      <w:proofErr w:type="spellEnd"/>
      <w:r>
        <w:t xml:space="preserve"> and SA Power Networks all improved their productivity from 2014.  </w:t>
      </w:r>
      <w:r>
        <w:fldChar w:fldCharType="begin"/>
      </w:r>
      <w:r>
        <w:instrText xml:space="preserve"> REF _Ref432690569 \h </w:instrText>
      </w:r>
      <w:r>
        <w:fldChar w:fldCharType="separate"/>
      </w:r>
      <w:r w:rsidR="00BE7268">
        <w:t xml:space="preserve">Figure </w:t>
      </w:r>
      <w:r w:rsidR="00BE7268">
        <w:rPr>
          <w:noProof/>
        </w:rPr>
        <w:t>5</w:t>
      </w:r>
      <w:r>
        <w:fldChar w:fldCharType="end"/>
      </w:r>
      <w:r>
        <w:t xml:space="preserve"> also shows some considerable shifts in productivity in 2015 </w:t>
      </w:r>
      <w:r w:rsidR="006E04E2">
        <w:t>as</w:t>
      </w:r>
      <w:r w:rsidR="00773DDB">
        <w:t xml:space="preserve"> </w:t>
      </w:r>
      <w:r w:rsidR="00FF6D1C">
        <w:t xml:space="preserve">the productivity of </w:t>
      </w:r>
      <w:r w:rsidR="00773DDB">
        <w:t>Ergon</w:t>
      </w:r>
      <w:r w:rsidR="00CD7725">
        <w:t xml:space="preserve"> Energy</w:t>
      </w:r>
      <w:r w:rsidR="00773DDB">
        <w:t xml:space="preserve">, </w:t>
      </w:r>
      <w:proofErr w:type="spellStart"/>
      <w:r w:rsidR="00773DDB">
        <w:t>Aus</w:t>
      </w:r>
      <w:r w:rsidR="005713FC">
        <w:t>g</w:t>
      </w:r>
      <w:r w:rsidR="00773DDB">
        <w:t>rid</w:t>
      </w:r>
      <w:proofErr w:type="spellEnd"/>
      <w:r w:rsidR="00CD7725">
        <w:t>, Essential Energy</w:t>
      </w:r>
      <w:r w:rsidR="00AA5678">
        <w:t>, Energex</w:t>
      </w:r>
      <w:r w:rsidR="00773DDB">
        <w:t xml:space="preserve"> and Endeavour</w:t>
      </w:r>
      <w:r w:rsidR="00CD7725">
        <w:t xml:space="preserve"> Energy</w:t>
      </w:r>
      <w:r w:rsidR="00773DDB">
        <w:t xml:space="preserve"> declined</w:t>
      </w:r>
      <w:r w:rsidR="005713FC">
        <w:t xml:space="preserve"> from 2014</w:t>
      </w:r>
      <w:r w:rsidR="00773DDB">
        <w:t xml:space="preserve">. </w:t>
      </w:r>
    </w:p>
    <w:p w:rsidR="00645B85" w:rsidRDefault="00645B85" w:rsidP="00645B85">
      <w:pPr>
        <w:pStyle w:val="Caption"/>
      </w:pPr>
      <w:bookmarkStart w:id="35" w:name="_Ref432690569"/>
      <w:r>
        <w:lastRenderedPageBreak/>
        <w:t xml:space="preserve">Figure </w:t>
      </w:r>
      <w:r w:rsidRPr="00F50135">
        <w:fldChar w:fldCharType="begin"/>
      </w:r>
      <w:r>
        <w:instrText xml:space="preserve"> SEQ Figure \* ARABIC </w:instrText>
      </w:r>
      <w:r w:rsidRPr="00F50135">
        <w:fldChar w:fldCharType="separate"/>
      </w:r>
      <w:proofErr w:type="gramStart"/>
      <w:r w:rsidR="00BE7268">
        <w:rPr>
          <w:noProof/>
        </w:rPr>
        <w:t>5</w:t>
      </w:r>
      <w:r w:rsidRPr="00F50135">
        <w:fldChar w:fldCharType="end"/>
      </w:r>
      <w:bookmarkEnd w:id="35"/>
      <w:r>
        <w:tab/>
      </w:r>
      <w:r w:rsidR="00AA4573">
        <w:tab/>
      </w:r>
      <w:r>
        <w:t>Multilateral total factor productivity by DNSP</w:t>
      </w:r>
      <w:proofErr w:type="gramEnd"/>
      <w:r>
        <w:t xml:space="preserve"> for 2006–1</w:t>
      </w:r>
      <w:r w:rsidR="00C418DB">
        <w:t>5</w:t>
      </w:r>
    </w:p>
    <w:p w:rsidR="00041D0A" w:rsidRDefault="00147CF5" w:rsidP="00645B85">
      <w:r w:rsidRPr="00147CF5">
        <w:rPr>
          <w:noProof/>
          <w:lang w:eastAsia="en-AU"/>
        </w:rPr>
        <w:drawing>
          <wp:inline distT="0" distB="0" distL="0" distR="0" wp14:anchorId="29DEB382" wp14:editId="5F994F07">
            <wp:extent cx="4914233" cy="3019245"/>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19094" cy="3022231"/>
                    </a:xfrm>
                    <a:prstGeom prst="rect">
                      <a:avLst/>
                    </a:prstGeom>
                    <a:noFill/>
                    <a:ln>
                      <a:noFill/>
                    </a:ln>
                  </pic:spPr>
                </pic:pic>
              </a:graphicData>
            </a:graphic>
          </wp:inline>
        </w:drawing>
      </w:r>
    </w:p>
    <w:p w:rsidR="00FF6D1C" w:rsidRDefault="003C06C2" w:rsidP="00645B85">
      <w:r>
        <w:t>T</w:t>
      </w:r>
      <w:r w:rsidR="00FF6D1C">
        <w:t>he productivity gap between the DNSPs has narrow</w:t>
      </w:r>
      <w:r w:rsidR="00D67BF2">
        <w:t>ed</w:t>
      </w:r>
      <w:r w:rsidR="00187CC5">
        <w:t xml:space="preserve"> </w:t>
      </w:r>
      <w:proofErr w:type="gramStart"/>
      <w:r w:rsidR="00187CC5">
        <w:t>in more recent years</w:t>
      </w:r>
      <w:r w:rsidR="00D67BF2">
        <w:t>,</w:t>
      </w:r>
      <w:r w:rsidR="00FF6D1C">
        <w:t xml:space="preserve"> </w:t>
      </w:r>
      <w:r w:rsidR="00D67BF2">
        <w:t>however,</w:t>
      </w:r>
      <w:proofErr w:type="gramEnd"/>
      <w:r w:rsidR="00D67BF2">
        <w:t xml:space="preserve"> in 2015, the gap has started to widen again. </w:t>
      </w:r>
      <w:r w:rsidR="00FF6D1C">
        <w:t xml:space="preserve">In 2015, the four most productive DNSPs are CitiPower, United Energy, SA Power Networks and Jemena and the four least productive DNSPs are </w:t>
      </w:r>
      <w:proofErr w:type="spellStart"/>
      <w:r w:rsidR="0012525D">
        <w:t>Ausgrid</w:t>
      </w:r>
      <w:proofErr w:type="spellEnd"/>
      <w:r w:rsidR="0012525D">
        <w:t xml:space="preserve">, Essential Energy, </w:t>
      </w:r>
      <w:proofErr w:type="spellStart"/>
      <w:r w:rsidR="0012525D">
        <w:t>ActewAGL</w:t>
      </w:r>
      <w:proofErr w:type="spellEnd"/>
      <w:r w:rsidR="0012525D">
        <w:t xml:space="preserve"> and </w:t>
      </w:r>
      <w:r w:rsidR="00FF6D1C">
        <w:t>Ergon</w:t>
      </w:r>
      <w:r w:rsidR="00CD7725">
        <w:t xml:space="preserve"> Energy</w:t>
      </w:r>
      <w:r w:rsidR="00FF6D1C">
        <w:t>. These DNSPs have consistently been among the best and worst performers, respectively, over the</w:t>
      </w:r>
      <w:r w:rsidR="002306FF">
        <w:t xml:space="preserve"> 2006–15</w:t>
      </w:r>
      <w:r w:rsidR="00FF6D1C">
        <w:t xml:space="preserve"> period. </w:t>
      </w:r>
      <w:r w:rsidR="006B27B1">
        <w:t xml:space="preserve">The earlier </w:t>
      </w:r>
      <w:r w:rsidR="006B27B1" w:rsidRPr="006B27B1">
        <w:t xml:space="preserve">reduction in the efficiency gap </w:t>
      </w:r>
      <w:r w:rsidR="006B27B1">
        <w:t>was the result of</w:t>
      </w:r>
      <w:r w:rsidR="00FF6D1C">
        <w:t xml:space="preserve"> general declines in productivity from the more productive DNSPs, combined with </w:t>
      </w:r>
      <w:proofErr w:type="spellStart"/>
      <w:r w:rsidR="00C02AC7">
        <w:t>opex</w:t>
      </w:r>
      <w:proofErr w:type="spellEnd"/>
      <w:r w:rsidR="00FA5013">
        <w:t xml:space="preserve"> </w:t>
      </w:r>
      <w:r w:rsidR="00FF6D1C">
        <w:t xml:space="preserve">improvements from </w:t>
      </w:r>
      <w:proofErr w:type="spellStart"/>
      <w:r w:rsidR="00FF6D1C">
        <w:t>TasNetworks</w:t>
      </w:r>
      <w:proofErr w:type="spellEnd"/>
      <w:r w:rsidR="00FF6D1C">
        <w:t>.</w:t>
      </w:r>
      <w:r w:rsidR="00C02AC7">
        <w:rPr>
          <w:rStyle w:val="FootnoteReference"/>
        </w:rPr>
        <w:footnoteReference w:id="8"/>
      </w:r>
    </w:p>
    <w:p w:rsidR="00D372FD" w:rsidRPr="000210C4" w:rsidRDefault="00D372FD" w:rsidP="000210C4">
      <w:r>
        <w:t xml:space="preserve">We </w:t>
      </w:r>
      <w:r w:rsidRPr="000210C4">
        <w:t xml:space="preserve">discuss variations in recent productivity performance further in section </w:t>
      </w:r>
      <w:r w:rsidRPr="000210C4">
        <w:fldChar w:fldCharType="begin"/>
      </w:r>
      <w:r w:rsidRPr="000210C4">
        <w:instrText xml:space="preserve"> REF _Ref460523954 \r \h </w:instrText>
      </w:r>
      <w:r w:rsidR="000210C4">
        <w:instrText xml:space="preserve"> \* MERGEFORMAT </w:instrText>
      </w:r>
      <w:r w:rsidRPr="000210C4">
        <w:fldChar w:fldCharType="separate"/>
      </w:r>
      <w:r w:rsidR="00BE7268">
        <w:t>3.1</w:t>
      </w:r>
      <w:r w:rsidRPr="000210C4">
        <w:fldChar w:fldCharType="end"/>
      </w:r>
      <w:r w:rsidRPr="000210C4">
        <w:t>.</w:t>
      </w:r>
    </w:p>
    <w:p w:rsidR="000210C4" w:rsidRDefault="00A634DF" w:rsidP="000210C4">
      <w:pPr>
        <w:pStyle w:val="Heading3"/>
      </w:pPr>
      <w:bookmarkStart w:id="36" w:name="_Toc460570099"/>
      <w:bookmarkStart w:id="37" w:name="_Toc460570100"/>
      <w:bookmarkStart w:id="38" w:name="_Toc468175064"/>
      <w:bookmarkEnd w:id="36"/>
      <w:bookmarkEnd w:id="37"/>
      <w:r w:rsidRPr="000210C4">
        <w:t>Observations for 2014–15</w:t>
      </w:r>
      <w:bookmarkEnd w:id="38"/>
    </w:p>
    <w:p w:rsidR="009973D3" w:rsidRDefault="003B3142" w:rsidP="00DA2578">
      <w:r>
        <w:t>Consistent with the rules, this report describes the relative efficiency of each</w:t>
      </w:r>
      <w:r w:rsidR="00751552">
        <w:t xml:space="preserve"> distribution</w:t>
      </w:r>
      <w:r>
        <w:t xml:space="preserve"> network service provider </w:t>
      </w:r>
      <w:r w:rsidR="009973D3">
        <w:t>in 2015</w:t>
      </w:r>
      <w:r>
        <w:t>.</w:t>
      </w:r>
      <w:r w:rsidR="00957F72">
        <w:rPr>
          <w:rStyle w:val="FootnoteReference"/>
        </w:rPr>
        <w:footnoteReference w:id="9"/>
      </w:r>
      <w:r>
        <w:t xml:space="preserve"> Table 1</w:t>
      </w:r>
      <w:r w:rsidR="009973D3">
        <w:t xml:space="preserve"> presents the MTFP score of each network in 2015. However, </w:t>
      </w:r>
      <w:r w:rsidR="00247F1C">
        <w:t>it</w:t>
      </w:r>
      <w:r w:rsidR="009973D3">
        <w:t xml:space="preserve"> also present</w:t>
      </w:r>
      <w:r w:rsidR="00247F1C">
        <w:t>s</w:t>
      </w:r>
      <w:r w:rsidR="009973D3">
        <w:t xml:space="preserve"> the </w:t>
      </w:r>
      <w:r w:rsidR="009973D3" w:rsidRPr="00F67BA7">
        <w:t>aver</w:t>
      </w:r>
      <w:r w:rsidR="009973D3">
        <w:t xml:space="preserve">age performance from 2006 to 2015. This is </w:t>
      </w:r>
      <w:r w:rsidR="009973D3" w:rsidRPr="00F67BA7">
        <w:t xml:space="preserve">because one off factors in a particular year can influence the </w:t>
      </w:r>
      <w:r w:rsidR="009973D3">
        <w:t>results.</w:t>
      </w:r>
      <w:r w:rsidR="009973D3">
        <w:rPr>
          <w:rStyle w:val="FootnoteReference"/>
        </w:rPr>
        <w:footnoteReference w:id="10"/>
      </w:r>
      <w:r w:rsidR="009973D3">
        <w:t xml:space="preserve"> </w:t>
      </w:r>
    </w:p>
    <w:p w:rsidR="009973D3" w:rsidRDefault="003B3142" w:rsidP="00463737">
      <w:r w:rsidRPr="00AA7177">
        <w:lastRenderedPageBreak/>
        <w:fldChar w:fldCharType="begin"/>
      </w:r>
      <w:r w:rsidRPr="00AA7177">
        <w:instrText xml:space="preserve"> REF _Ref432692634 \h  \* MERGEFORMAT </w:instrText>
      </w:r>
      <w:r w:rsidRPr="00AA7177">
        <w:fldChar w:fldCharType="separate"/>
      </w:r>
      <w:r w:rsidR="00BE7268" w:rsidRPr="00B33BF0">
        <w:t xml:space="preserve">Table </w:t>
      </w:r>
      <w:r w:rsidR="00BE7268">
        <w:t>1</w:t>
      </w:r>
      <w:r w:rsidRPr="00AA7177">
        <w:fldChar w:fldCharType="end"/>
      </w:r>
      <w:r w:rsidRPr="00AA7177">
        <w:t xml:space="preserve"> also shows</w:t>
      </w:r>
      <w:r w:rsidR="00751552">
        <w:t>, for each DNSP,</w:t>
      </w:r>
      <w:r w:rsidRPr="00AA7177">
        <w:t xml:space="preserve"> the percentage change in </w:t>
      </w:r>
      <w:r w:rsidR="00751552">
        <w:t xml:space="preserve">its 2015 </w:t>
      </w:r>
      <w:r w:rsidRPr="00AA7177">
        <w:t xml:space="preserve">score </w:t>
      </w:r>
      <w:r w:rsidR="00751552">
        <w:t>from its</w:t>
      </w:r>
      <w:r w:rsidR="009973D3">
        <w:t xml:space="preserve"> average performance</w:t>
      </w:r>
      <w:r w:rsidR="00751552">
        <w:t xml:space="preserve">, </w:t>
      </w:r>
      <w:r w:rsidR="009973D3">
        <w:t xml:space="preserve">and </w:t>
      </w:r>
      <w:r w:rsidR="00751552">
        <w:t xml:space="preserve">from own </w:t>
      </w:r>
      <w:r w:rsidR="009973D3">
        <w:t xml:space="preserve">performance in </w:t>
      </w:r>
      <w:r w:rsidRPr="00AA7177">
        <w:t>2014</w:t>
      </w:r>
      <w:r w:rsidR="009973D3">
        <w:t>.</w:t>
      </w:r>
      <w:r>
        <w:t xml:space="preserve"> </w:t>
      </w:r>
      <w:r w:rsidR="009973D3">
        <w:t>This shows how the DNSPs</w:t>
      </w:r>
      <w:r w:rsidR="00957F72">
        <w:t>'</w:t>
      </w:r>
      <w:r w:rsidR="009973D3">
        <w:t xml:space="preserve"> performance in 2015 compares to its performance in the previous year and </w:t>
      </w:r>
      <w:r w:rsidR="00247F1C">
        <w:t>over the longer term</w:t>
      </w:r>
      <w:r w:rsidR="009973D3">
        <w:t>.</w:t>
      </w:r>
    </w:p>
    <w:p w:rsidR="003B3142" w:rsidRDefault="003B3142" w:rsidP="00463737">
      <w:r>
        <w:t>The rankings in this table are only indicative</w:t>
      </w:r>
      <w:r w:rsidR="00751552">
        <w:t xml:space="preserve"> of the DNSPs' relative performance</w:t>
      </w:r>
      <w:r>
        <w:t xml:space="preserve"> because there may be operating environment factors (OEFs) not captured in the MTFP model. </w:t>
      </w:r>
      <w:r w:rsidRPr="001528E9">
        <w:t>OEFs are factors beyond a DNSP’s control that can affect its costs and benchmarking performance.</w:t>
      </w:r>
    </w:p>
    <w:p w:rsidR="00645B85" w:rsidRPr="00A21A46" w:rsidRDefault="00645B85" w:rsidP="00645B85">
      <w:pPr>
        <w:pStyle w:val="Caption"/>
      </w:pPr>
      <w:bookmarkStart w:id="39" w:name="_Ref432692634"/>
      <w:r w:rsidRPr="00B33BF0">
        <w:t xml:space="preserve">Table </w:t>
      </w:r>
      <w:r w:rsidRPr="00120085">
        <w:fldChar w:fldCharType="begin"/>
      </w:r>
      <w:r>
        <w:instrText xml:space="preserve"> SEQ Table \* ARABIC </w:instrText>
      </w:r>
      <w:r w:rsidRPr="00120085">
        <w:fldChar w:fldCharType="separate"/>
      </w:r>
      <w:r w:rsidR="00BE7268">
        <w:rPr>
          <w:noProof/>
        </w:rPr>
        <w:t>1</w:t>
      </w:r>
      <w:r w:rsidRPr="00120085">
        <w:fldChar w:fldCharType="end"/>
      </w:r>
      <w:bookmarkEnd w:id="39"/>
      <w:r w:rsidRPr="00B33BF0">
        <w:tab/>
      </w:r>
      <w:r w:rsidR="00AA4573">
        <w:tab/>
      </w:r>
      <w:r w:rsidR="002E5198">
        <w:t>DNSP MTFP scores and rankings</w:t>
      </w:r>
    </w:p>
    <w:tbl>
      <w:tblPr>
        <w:tblStyle w:val="AERtable-numbers"/>
        <w:tblW w:w="4873" w:type="pct"/>
        <w:tblLook w:val="04A0" w:firstRow="1" w:lastRow="0" w:firstColumn="1" w:lastColumn="0" w:noHBand="0" w:noVBand="1"/>
      </w:tblPr>
      <w:tblGrid>
        <w:gridCol w:w="1663"/>
        <w:gridCol w:w="1135"/>
        <w:gridCol w:w="1135"/>
        <w:gridCol w:w="1135"/>
        <w:gridCol w:w="1135"/>
        <w:gridCol w:w="1135"/>
        <w:gridCol w:w="1134"/>
      </w:tblGrid>
      <w:tr w:rsidR="00463737" w:rsidTr="00E84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tcPr>
          <w:p w:rsidR="00463737" w:rsidRPr="00645B85" w:rsidRDefault="00463737" w:rsidP="00645B85">
            <w:r>
              <w:t>DNSP</w:t>
            </w:r>
          </w:p>
        </w:tc>
        <w:tc>
          <w:tcPr>
            <w:tcW w:w="670" w:type="pct"/>
          </w:tcPr>
          <w:p w:rsidR="00463737" w:rsidRPr="00645B85" w:rsidRDefault="00463737" w:rsidP="00645B85">
            <w:pPr>
              <w:cnfStyle w:val="100000000000" w:firstRow="1" w:lastRow="0" w:firstColumn="0" w:lastColumn="0" w:oddVBand="0" w:evenVBand="0" w:oddHBand="0" w:evenHBand="0" w:firstRowFirstColumn="0" w:firstRowLastColumn="0" w:lastRowFirstColumn="0" w:lastRowLastColumn="0"/>
            </w:pPr>
            <w:r>
              <w:t>Average Rank</w:t>
            </w:r>
          </w:p>
        </w:tc>
        <w:tc>
          <w:tcPr>
            <w:tcW w:w="670" w:type="pct"/>
          </w:tcPr>
          <w:p w:rsidR="00463737" w:rsidRPr="00645B85" w:rsidRDefault="00463737" w:rsidP="00AF5355">
            <w:pPr>
              <w:cnfStyle w:val="100000000000" w:firstRow="1" w:lastRow="0" w:firstColumn="0" w:lastColumn="0" w:oddVBand="0" w:evenVBand="0" w:oddHBand="0" w:evenHBand="0" w:firstRowFirstColumn="0" w:firstRowLastColumn="0" w:lastRowFirstColumn="0" w:lastRowLastColumn="0"/>
            </w:pPr>
            <w:r>
              <w:t>2015 Rank</w:t>
            </w:r>
          </w:p>
        </w:tc>
        <w:tc>
          <w:tcPr>
            <w:tcW w:w="670" w:type="pct"/>
          </w:tcPr>
          <w:p w:rsidR="00463737" w:rsidRPr="00645B85" w:rsidRDefault="00463737" w:rsidP="00645B85">
            <w:pPr>
              <w:cnfStyle w:val="100000000000" w:firstRow="1" w:lastRow="0" w:firstColumn="0" w:lastColumn="0" w:oddVBand="0" w:evenVBand="0" w:oddHBand="0" w:evenHBand="0" w:firstRowFirstColumn="0" w:firstRowLastColumn="0" w:lastRowFirstColumn="0" w:lastRowLastColumn="0"/>
            </w:pPr>
            <w:r>
              <w:t>Average Score</w:t>
            </w:r>
          </w:p>
        </w:tc>
        <w:tc>
          <w:tcPr>
            <w:tcW w:w="670" w:type="pct"/>
          </w:tcPr>
          <w:p w:rsidR="00463737" w:rsidRPr="00645B85" w:rsidRDefault="00463737" w:rsidP="00AF5355">
            <w:pPr>
              <w:cnfStyle w:val="100000000000" w:firstRow="1" w:lastRow="0" w:firstColumn="0" w:lastColumn="0" w:oddVBand="0" w:evenVBand="0" w:oddHBand="0" w:evenHBand="0" w:firstRowFirstColumn="0" w:firstRowLastColumn="0" w:lastRowFirstColumn="0" w:lastRowLastColumn="0"/>
            </w:pPr>
            <w:r>
              <w:t>2015 Score</w:t>
            </w:r>
          </w:p>
        </w:tc>
        <w:tc>
          <w:tcPr>
            <w:tcW w:w="670" w:type="pct"/>
          </w:tcPr>
          <w:p w:rsidR="00463737" w:rsidRDefault="003B3142">
            <w:pPr>
              <w:cnfStyle w:val="100000000000" w:firstRow="1" w:lastRow="0" w:firstColumn="0" w:lastColumn="0" w:oddVBand="0" w:evenVBand="0" w:oddHBand="0" w:evenHBand="0" w:firstRowFirstColumn="0" w:firstRowLastColumn="0" w:lastRowFirstColumn="0" w:lastRowLastColumn="0"/>
            </w:pPr>
            <w:r>
              <w:t xml:space="preserve">% change </w:t>
            </w:r>
            <w:r w:rsidR="00247F1C">
              <w:t xml:space="preserve">between </w:t>
            </w:r>
            <w:r>
              <w:t>average</w:t>
            </w:r>
            <w:r w:rsidR="009973D3">
              <w:t xml:space="preserve"> </w:t>
            </w:r>
            <w:r w:rsidR="00247F1C">
              <w:t>and</w:t>
            </w:r>
            <w:r w:rsidR="009973D3">
              <w:t xml:space="preserve"> 2015</w:t>
            </w:r>
          </w:p>
        </w:tc>
        <w:tc>
          <w:tcPr>
            <w:tcW w:w="669" w:type="pct"/>
          </w:tcPr>
          <w:p w:rsidR="00463737" w:rsidRPr="00645B85" w:rsidRDefault="00463737">
            <w:pPr>
              <w:cnfStyle w:val="100000000000" w:firstRow="1" w:lastRow="0" w:firstColumn="0" w:lastColumn="0" w:oddVBand="0" w:evenVBand="0" w:oddHBand="0" w:evenHBand="0" w:firstRowFirstColumn="0" w:firstRowLastColumn="0" w:lastRowFirstColumn="0" w:lastRowLastColumn="0"/>
            </w:pPr>
            <w:r>
              <w:t>% change</w:t>
            </w:r>
            <w:r w:rsidR="00247F1C">
              <w:t xml:space="preserve"> between 2014 and 2015</w:t>
            </w:r>
          </w:p>
        </w:tc>
      </w:tr>
      <w:tr w:rsidR="00287A7D" w:rsidTr="00BD395C">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CitiPower</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1.576</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1.491</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-5%</w:t>
            </w:r>
          </w:p>
        </w:tc>
        <w:tc>
          <w:tcPr>
            <w:tcW w:w="669"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3%</w:t>
            </w:r>
          </w:p>
        </w:tc>
      </w:tr>
      <w:tr w:rsidR="00287A7D" w:rsidTr="00BD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SA Power Networks</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2</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3</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1.386</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1.267</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-9%</w:t>
            </w:r>
          </w:p>
        </w:tc>
        <w:tc>
          <w:tcPr>
            <w:tcW w:w="669"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2%</w:t>
            </w:r>
          </w:p>
        </w:tc>
      </w:tr>
      <w:tr w:rsidR="00287A7D" w:rsidTr="00BD395C">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United Energy</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3</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2</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1.367</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1.321</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-3%</w:t>
            </w:r>
          </w:p>
        </w:tc>
        <w:tc>
          <w:tcPr>
            <w:tcW w:w="669"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4%</w:t>
            </w:r>
          </w:p>
        </w:tc>
      </w:tr>
      <w:tr w:rsidR="00287A7D" w:rsidTr="00BD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Jemena</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4</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4</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1.261</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1.204</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-4%</w:t>
            </w:r>
          </w:p>
        </w:tc>
        <w:tc>
          <w:tcPr>
            <w:tcW w:w="669"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0%</w:t>
            </w:r>
          </w:p>
        </w:tc>
      </w:tr>
      <w:tr w:rsidR="00287A7D" w:rsidRPr="00341258" w:rsidTr="00BD395C">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proofErr w:type="spellStart"/>
            <w:r w:rsidRPr="00287A7D">
              <w:t>Powercor</w:t>
            </w:r>
            <w:proofErr w:type="spellEnd"/>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5</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5</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1.174</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1.118</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-5%</w:t>
            </w:r>
          </w:p>
        </w:tc>
        <w:tc>
          <w:tcPr>
            <w:tcW w:w="669"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2%</w:t>
            </w:r>
          </w:p>
        </w:tc>
      </w:tr>
      <w:tr w:rsidR="00287A7D" w:rsidTr="00BD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Energex</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6</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6</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1.164</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1.085</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-7%</w:t>
            </w:r>
          </w:p>
        </w:tc>
        <w:tc>
          <w:tcPr>
            <w:tcW w:w="669"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-3%</w:t>
            </w:r>
          </w:p>
        </w:tc>
      </w:tr>
      <w:tr w:rsidR="00287A7D" w:rsidTr="00BD395C">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Endeavour Energy</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7</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7</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1.125</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1.039</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-8%</w:t>
            </w:r>
          </w:p>
        </w:tc>
        <w:tc>
          <w:tcPr>
            <w:tcW w:w="669"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-2%</w:t>
            </w:r>
          </w:p>
        </w:tc>
      </w:tr>
      <w:tr w:rsidR="00287A7D" w:rsidTr="00BD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AusNet Services</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8</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8</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1.120</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1.017</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-9%</w:t>
            </w:r>
          </w:p>
        </w:tc>
        <w:tc>
          <w:tcPr>
            <w:tcW w:w="669"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0%</w:t>
            </w:r>
          </w:p>
        </w:tc>
      </w:tr>
      <w:tr w:rsidR="00287A7D" w:rsidTr="00BD395C">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proofErr w:type="spellStart"/>
            <w:r w:rsidRPr="00287A7D">
              <w:t>TasNetworks</w:t>
            </w:r>
            <w:proofErr w:type="spellEnd"/>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9</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9</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0.996</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1.008</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w:t>
            </w:r>
          </w:p>
        </w:tc>
        <w:tc>
          <w:tcPr>
            <w:tcW w:w="669"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10%</w:t>
            </w:r>
          </w:p>
        </w:tc>
      </w:tr>
      <w:tr w:rsidR="00287A7D" w:rsidTr="00BD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Ergon Energy</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10</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10</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0.935</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0.911</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-3%</w:t>
            </w:r>
          </w:p>
        </w:tc>
        <w:tc>
          <w:tcPr>
            <w:tcW w:w="669"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-10%</w:t>
            </w:r>
          </w:p>
        </w:tc>
      </w:tr>
      <w:tr w:rsidR="00287A7D" w:rsidRPr="00550989" w:rsidTr="00BD395C">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proofErr w:type="spellStart"/>
            <w:r w:rsidRPr="00287A7D">
              <w:t>ActewAGL</w:t>
            </w:r>
            <w:proofErr w:type="spellEnd"/>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11</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11</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0.932</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0.862</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-7%</w:t>
            </w:r>
          </w:p>
        </w:tc>
        <w:tc>
          <w:tcPr>
            <w:tcW w:w="669"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3%</w:t>
            </w:r>
          </w:p>
        </w:tc>
      </w:tr>
      <w:tr w:rsidR="00287A7D" w:rsidTr="00BD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Essential Energy</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12</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12</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0.913</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0.855</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-6%</w:t>
            </w:r>
          </w:p>
        </w:tc>
        <w:tc>
          <w:tcPr>
            <w:tcW w:w="669"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-4%</w:t>
            </w:r>
          </w:p>
        </w:tc>
      </w:tr>
      <w:tr w:rsidR="00287A7D" w:rsidTr="00BD395C">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proofErr w:type="spellStart"/>
            <w:r w:rsidRPr="00287A7D">
              <w:t>Ausgrid</w:t>
            </w:r>
            <w:proofErr w:type="spellEnd"/>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13</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13</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0.907</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0.813</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-10%</w:t>
            </w:r>
          </w:p>
        </w:tc>
        <w:tc>
          <w:tcPr>
            <w:tcW w:w="669"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-6%</w:t>
            </w:r>
          </w:p>
        </w:tc>
      </w:tr>
    </w:tbl>
    <w:p w:rsidR="00D52A19" w:rsidRDefault="00247F1C" w:rsidP="001528E9">
      <w:pPr>
        <w:pStyle w:val="AERtablesource"/>
      </w:pPr>
      <w:bookmarkStart w:id="40" w:name="_Ref432605896"/>
      <w:bookmarkStart w:id="41" w:name="_Ref432607030"/>
      <w:bookmarkStart w:id="42" w:name="_Toc435712626"/>
      <w:r>
        <w:t>Note:</w:t>
      </w:r>
      <w:r>
        <w:tab/>
      </w:r>
      <w:r w:rsidR="00D52A19">
        <w:t xml:space="preserve">1. </w:t>
      </w:r>
      <w:r>
        <w:t>Period average is for 2006–15.</w:t>
      </w:r>
      <w:r w:rsidR="004F2987">
        <w:t xml:space="preserve"> This reviews performance in the longer term.</w:t>
      </w:r>
    </w:p>
    <w:p w:rsidR="009F773C" w:rsidRDefault="009F773C" w:rsidP="001528E9">
      <w:pPr>
        <w:pStyle w:val="AERtablesource"/>
      </w:pPr>
      <w:r w:rsidRPr="009F773C">
        <w:t xml:space="preserve"> </w:t>
      </w:r>
      <w:r w:rsidR="00D52A19">
        <w:tab/>
        <w:t>2. A</w:t>
      </w:r>
      <w:r w:rsidR="00D52A19" w:rsidRPr="009F773C">
        <w:t xml:space="preserve">ll scores </w:t>
      </w:r>
      <w:proofErr w:type="gramStart"/>
      <w:r w:rsidR="00D52A19" w:rsidRPr="009F773C">
        <w:t>are calibrated</w:t>
      </w:r>
      <w:proofErr w:type="gramEnd"/>
      <w:r w:rsidR="00D52A19" w:rsidRPr="009F773C">
        <w:t xml:space="preserve"> relative to the 2006 </w:t>
      </w:r>
      <w:proofErr w:type="spellStart"/>
      <w:r w:rsidR="00D52A19" w:rsidRPr="009F773C">
        <w:t>ActewAGL</w:t>
      </w:r>
      <w:proofErr w:type="spellEnd"/>
      <w:r w:rsidR="00D52A19" w:rsidRPr="009F773C">
        <w:t xml:space="preserve"> score which is set equal to one.</w:t>
      </w:r>
    </w:p>
    <w:p w:rsidR="009F773C" w:rsidRDefault="009F773C" w:rsidP="001528E9">
      <w:pPr>
        <w:pStyle w:val="AERtablesource"/>
      </w:pPr>
      <w:r>
        <w:tab/>
      </w:r>
      <w:r w:rsidR="00D52A19">
        <w:t>3. Since last year's benchmarking report, w</w:t>
      </w:r>
      <w:r>
        <w:t xml:space="preserve">e </w:t>
      </w:r>
      <w:r w:rsidR="00A81414">
        <w:t xml:space="preserve">have </w:t>
      </w:r>
      <w:r>
        <w:t xml:space="preserve">amended </w:t>
      </w:r>
      <w:proofErr w:type="spellStart"/>
      <w:r>
        <w:t>ActewAGL's</w:t>
      </w:r>
      <w:proofErr w:type="spellEnd"/>
      <w:r>
        <w:t xml:space="preserve"> historic data to be consistent with the cost allocation method (CAM) we approved in </w:t>
      </w:r>
      <w:r w:rsidR="0056331C">
        <w:t>2013</w:t>
      </w:r>
      <w:r>
        <w:t xml:space="preserve">.  </w:t>
      </w:r>
      <w:r w:rsidR="001D7466">
        <w:t xml:space="preserve">The CAM </w:t>
      </w:r>
      <w:r w:rsidR="009B27D3">
        <w:t>put in place since June</w:t>
      </w:r>
      <w:r w:rsidR="001D7466">
        <w:t xml:space="preserve"> 2013 brings </w:t>
      </w:r>
      <w:proofErr w:type="spellStart"/>
      <w:r w:rsidR="009B27D3">
        <w:t>ActewAGL</w:t>
      </w:r>
      <w:proofErr w:type="spellEnd"/>
      <w:r w:rsidR="001D7466">
        <w:t xml:space="preserve"> more in line with other DNSPs</w:t>
      </w:r>
      <w:r w:rsidR="009B27D3">
        <w:t>' capitalisation policy</w:t>
      </w:r>
      <w:r w:rsidR="001D7466">
        <w:t xml:space="preserve">. </w:t>
      </w:r>
      <w:r w:rsidR="00767CBF">
        <w:t xml:space="preserve">To provide a consistent time series, </w:t>
      </w:r>
      <w:proofErr w:type="spellStart"/>
      <w:r w:rsidR="0056331C">
        <w:t>ActewAGL</w:t>
      </w:r>
      <w:proofErr w:type="spellEnd"/>
      <w:r w:rsidR="0056331C">
        <w:t xml:space="preserve"> back cast its</w:t>
      </w:r>
      <w:r>
        <w:t xml:space="preserve"> historic</w:t>
      </w:r>
      <w:r w:rsidR="0056331C">
        <w:t>al</w:t>
      </w:r>
      <w:r>
        <w:t xml:space="preserve"> data </w:t>
      </w:r>
      <w:r w:rsidR="00767CBF">
        <w:t>consistent with the approved CAM</w:t>
      </w:r>
      <w:r w:rsidR="001D7466">
        <w:t>.</w:t>
      </w:r>
      <w:r>
        <w:t xml:space="preserve"> </w:t>
      </w:r>
      <w:r w:rsidR="00D52A19">
        <w:t>This</w:t>
      </w:r>
      <w:r w:rsidR="00A81414">
        <w:t xml:space="preserve"> has</w:t>
      </w:r>
      <w:r w:rsidR="00D52A19">
        <w:t xml:space="preserve"> resulted in </w:t>
      </w:r>
      <w:r w:rsidR="009B27D3">
        <w:t xml:space="preserve">lower </w:t>
      </w:r>
      <w:proofErr w:type="spellStart"/>
      <w:r w:rsidR="009B27D3">
        <w:t>opex</w:t>
      </w:r>
      <w:proofErr w:type="spellEnd"/>
      <w:r w:rsidR="009B27D3">
        <w:t xml:space="preserve"> reported for </w:t>
      </w:r>
      <w:proofErr w:type="spellStart"/>
      <w:r w:rsidR="009B27D3">
        <w:t>ActewAGL</w:t>
      </w:r>
      <w:proofErr w:type="spellEnd"/>
      <w:r w:rsidR="009B27D3">
        <w:t xml:space="preserve"> in the years 2006 to 2014. </w:t>
      </w:r>
      <w:r w:rsidR="007F3852">
        <w:t xml:space="preserve">Therefore, </w:t>
      </w:r>
      <w:proofErr w:type="spellStart"/>
      <w:r w:rsidR="007F3852">
        <w:t>ActewAGL's</w:t>
      </w:r>
      <w:proofErr w:type="spellEnd"/>
      <w:r w:rsidR="007F3852">
        <w:t xml:space="preserve"> 2006 to 2014 performance improves relative to what it was previously and to other DNSPs.  </w:t>
      </w:r>
    </w:p>
    <w:p w:rsidR="002B07BD" w:rsidRDefault="009F773C" w:rsidP="001528E9">
      <w:pPr>
        <w:pStyle w:val="AERtablesource"/>
      </w:pPr>
      <w:r>
        <w:tab/>
      </w:r>
      <w:r w:rsidR="00D52A19">
        <w:t>4.</w:t>
      </w:r>
      <w:r w:rsidRPr="009F773C">
        <w:t xml:space="preserve"> </w:t>
      </w:r>
      <w:r w:rsidR="001C636D">
        <w:t xml:space="preserve">We </w:t>
      </w:r>
      <w:r w:rsidR="007F3852">
        <w:t xml:space="preserve">continue to </w:t>
      </w:r>
      <w:r w:rsidR="001C636D">
        <w:t xml:space="preserve">set </w:t>
      </w:r>
      <w:proofErr w:type="spellStart"/>
      <w:r w:rsidR="00D52A19">
        <w:t>ActewAGL's</w:t>
      </w:r>
      <w:proofErr w:type="spellEnd"/>
      <w:r w:rsidR="00D52A19">
        <w:t xml:space="preserve"> new</w:t>
      </w:r>
      <w:r w:rsidRPr="009F773C">
        <w:t xml:space="preserve"> score </w:t>
      </w:r>
      <w:r w:rsidR="00D52A19">
        <w:t xml:space="preserve">for 2006 </w:t>
      </w:r>
      <w:r w:rsidRPr="009F773C">
        <w:t>equal to one</w:t>
      </w:r>
      <w:r w:rsidR="00D52A19">
        <w:t>.</w:t>
      </w:r>
      <w:r w:rsidRPr="009F773C">
        <w:t xml:space="preserve"> </w:t>
      </w:r>
      <w:r w:rsidR="007F3852">
        <w:t>B</w:t>
      </w:r>
      <w:r w:rsidRPr="009F773C">
        <w:t xml:space="preserve">ecause all other DNSPs’ scores </w:t>
      </w:r>
      <w:proofErr w:type="gramStart"/>
      <w:r w:rsidRPr="009F773C">
        <w:t>are calibrated</w:t>
      </w:r>
      <w:proofErr w:type="gramEnd"/>
      <w:r w:rsidRPr="009F773C">
        <w:t xml:space="preserve"> relative to this </w:t>
      </w:r>
      <w:r w:rsidR="009B27D3">
        <w:t>observation</w:t>
      </w:r>
      <w:r w:rsidR="007F3852">
        <w:t xml:space="preserve">, they now </w:t>
      </w:r>
      <w:r w:rsidRPr="009F773C">
        <w:t xml:space="preserve">receive lower scores. </w:t>
      </w:r>
      <w:r w:rsidR="00D52A19">
        <w:t>Importantly</w:t>
      </w:r>
      <w:r w:rsidRPr="009F773C">
        <w:t xml:space="preserve">, the relativities between all other DNSPs remain the same. </w:t>
      </w:r>
      <w:proofErr w:type="gramStart"/>
      <w:r w:rsidRPr="009F773C">
        <w:t xml:space="preserve">It is only the relationship between each of the other </w:t>
      </w:r>
      <w:r w:rsidR="000C3A7E">
        <w:t>distributor</w:t>
      </w:r>
      <w:r w:rsidR="000C3A7E" w:rsidRPr="009F773C">
        <w:t xml:space="preserve">s </w:t>
      </w:r>
      <w:r w:rsidRPr="009F773C">
        <w:t xml:space="preserve">and </w:t>
      </w:r>
      <w:proofErr w:type="spellStart"/>
      <w:r w:rsidRPr="009F773C">
        <w:t>ActewAGL</w:t>
      </w:r>
      <w:proofErr w:type="spellEnd"/>
      <w:r w:rsidRPr="009F773C">
        <w:t xml:space="preserve"> that</w:t>
      </w:r>
      <w:r w:rsidR="001C636D">
        <w:t xml:space="preserve"> has changed</w:t>
      </w:r>
      <w:r w:rsidRPr="009F773C">
        <w:t>.</w:t>
      </w:r>
      <w:proofErr w:type="gramEnd"/>
      <w:r w:rsidR="00247F1C">
        <w:t xml:space="preserve"> </w:t>
      </w:r>
    </w:p>
    <w:p w:rsidR="00645B85" w:rsidRDefault="00645B85" w:rsidP="003C48F2">
      <w:pPr>
        <w:pStyle w:val="Heading2"/>
      </w:pPr>
      <w:bookmarkStart w:id="43" w:name="_Toc468175065"/>
      <w:r>
        <w:lastRenderedPageBreak/>
        <w:t xml:space="preserve">Results from supporting </w:t>
      </w:r>
      <w:r w:rsidR="003C48F2">
        <w:t xml:space="preserve">benchmarking </w:t>
      </w:r>
      <w:r>
        <w:t>techniques</w:t>
      </w:r>
      <w:bookmarkEnd w:id="40"/>
      <w:bookmarkEnd w:id="41"/>
      <w:bookmarkEnd w:id="42"/>
      <w:bookmarkEnd w:id="43"/>
    </w:p>
    <w:p w:rsidR="00645B85" w:rsidRDefault="00645B85" w:rsidP="003C48F2">
      <w:pPr>
        <w:pStyle w:val="Heading3"/>
      </w:pPr>
      <w:bookmarkStart w:id="44" w:name="_Ref432694081"/>
      <w:bookmarkStart w:id="45" w:name="_Toc468175066"/>
      <w:r>
        <w:t>Multilateral partial factor productivity</w:t>
      </w:r>
      <w:bookmarkEnd w:id="44"/>
      <w:bookmarkEnd w:id="45"/>
    </w:p>
    <w:p w:rsidR="00645B85" w:rsidRDefault="00645B85" w:rsidP="00645B85">
      <w:r>
        <w:t>The MPFP techniques use the same output specification but examine the productivity of eithe</w:t>
      </w:r>
      <w:r w:rsidR="004C66DB">
        <w:t xml:space="preserve">r </w:t>
      </w:r>
      <w:proofErr w:type="spellStart"/>
      <w:r w:rsidR="004C66DB">
        <w:t>opex</w:t>
      </w:r>
      <w:proofErr w:type="spellEnd"/>
      <w:r w:rsidR="004C66DB">
        <w:t xml:space="preserve"> or capital in isolation </w:t>
      </w:r>
      <w:r>
        <w:t>rathe</w:t>
      </w:r>
      <w:r w:rsidR="004C66DB">
        <w:t>r than both</w:t>
      </w:r>
      <w:r w:rsidR="00D731B4">
        <w:t xml:space="preserve"> together</w:t>
      </w:r>
      <w:r>
        <w:t xml:space="preserve">. This is why they are ‘partial’ factor productivity metrics. </w:t>
      </w:r>
    </w:p>
    <w:p w:rsidR="00645B85" w:rsidRDefault="00645B85" w:rsidP="00645B85">
      <w:r>
        <w:fldChar w:fldCharType="begin"/>
      </w:r>
      <w:r>
        <w:instrText xml:space="preserve"> REF _Ref404162208 \h </w:instrText>
      </w:r>
      <w:r>
        <w:fldChar w:fldCharType="separate"/>
      </w:r>
      <w:r w:rsidR="00BE7268">
        <w:t xml:space="preserve">Figure </w:t>
      </w:r>
      <w:r w:rsidR="00BE7268">
        <w:rPr>
          <w:noProof/>
        </w:rPr>
        <w:t>6</w:t>
      </w:r>
      <w:r>
        <w:fldChar w:fldCharType="end"/>
      </w:r>
      <w:r>
        <w:t xml:space="preserve"> displays capital MPF</w:t>
      </w:r>
      <w:r w:rsidR="004C66DB">
        <w:t>P for all DNSPs over the 2006–15</w:t>
      </w:r>
      <w:r>
        <w:t xml:space="preserve"> </w:t>
      </w:r>
      <w:proofErr w:type="gramStart"/>
      <w:r>
        <w:t>period</w:t>
      </w:r>
      <w:proofErr w:type="gramEnd"/>
      <w:r>
        <w:t xml:space="preserve">. The input specification is the same as the capital index in the MTFP model so it considers the productivity of each DNSP’s use of overhead lines and underground cables (split into distribution and </w:t>
      </w:r>
      <w:proofErr w:type="spellStart"/>
      <w:r>
        <w:t>subtransmission</w:t>
      </w:r>
      <w:proofErr w:type="spellEnd"/>
      <w:r>
        <w:t xml:space="preserve"> voltages) and transformers and other capital</w:t>
      </w:r>
      <w:r w:rsidR="004C66DB">
        <w:t xml:space="preserve"> at the same time</w:t>
      </w:r>
      <w:r>
        <w:t xml:space="preserve">. </w:t>
      </w:r>
    </w:p>
    <w:p w:rsidR="00645B85" w:rsidRDefault="00645B85" w:rsidP="00645B85">
      <w:pPr>
        <w:pStyle w:val="Caption"/>
      </w:pPr>
      <w:bookmarkStart w:id="46" w:name="_Ref404162208"/>
      <w:r>
        <w:t xml:space="preserve">Figure </w:t>
      </w:r>
      <w:r w:rsidRPr="00F50135">
        <w:fldChar w:fldCharType="begin"/>
      </w:r>
      <w:r>
        <w:instrText xml:space="preserve"> SEQ Figure \* ARABIC </w:instrText>
      </w:r>
      <w:r w:rsidRPr="00F50135">
        <w:fldChar w:fldCharType="separate"/>
      </w:r>
      <w:proofErr w:type="gramStart"/>
      <w:r w:rsidR="00BE7268">
        <w:rPr>
          <w:noProof/>
        </w:rPr>
        <w:t>6</w:t>
      </w:r>
      <w:r w:rsidRPr="00F50135">
        <w:fldChar w:fldCharType="end"/>
      </w:r>
      <w:bookmarkEnd w:id="46"/>
      <w:r>
        <w:tab/>
      </w:r>
      <w:r w:rsidR="00AA4573">
        <w:tab/>
      </w:r>
      <w:r>
        <w:t>Capital partial factor productivity</w:t>
      </w:r>
      <w:proofErr w:type="gramEnd"/>
      <w:r>
        <w:t xml:space="preserve"> for 2006–</w:t>
      </w:r>
      <w:r w:rsidR="006B3A94">
        <w:t>15</w:t>
      </w:r>
    </w:p>
    <w:p w:rsidR="004C66DB" w:rsidRDefault="00147CF5" w:rsidP="00645B85">
      <w:bookmarkStart w:id="47" w:name="_Ref404162237"/>
      <w:r w:rsidRPr="00147CF5">
        <w:rPr>
          <w:noProof/>
          <w:lang w:eastAsia="en-AU"/>
        </w:rPr>
        <w:drawing>
          <wp:inline distT="0" distB="0" distL="0" distR="0" wp14:anchorId="1779A05A" wp14:editId="30096A3F">
            <wp:extent cx="5382895" cy="3223188"/>
            <wp:effectExtent l="0" t="0" r="825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2895" cy="3223188"/>
                    </a:xfrm>
                    <a:prstGeom prst="rect">
                      <a:avLst/>
                    </a:prstGeom>
                    <a:noFill/>
                    <a:ln>
                      <a:noFill/>
                    </a:ln>
                  </pic:spPr>
                </pic:pic>
              </a:graphicData>
            </a:graphic>
          </wp:inline>
        </w:drawing>
      </w:r>
    </w:p>
    <w:p w:rsidR="00645B85" w:rsidRDefault="00EC5029" w:rsidP="00645B85">
      <w:r>
        <w:fldChar w:fldCharType="begin"/>
      </w:r>
      <w:r>
        <w:instrText xml:space="preserve"> REF _Ref404162208 \h </w:instrText>
      </w:r>
      <w:r>
        <w:fldChar w:fldCharType="separate"/>
      </w:r>
      <w:r w:rsidR="00BE7268">
        <w:t xml:space="preserve">Figure </w:t>
      </w:r>
      <w:r w:rsidR="00BE7268">
        <w:rPr>
          <w:noProof/>
        </w:rPr>
        <w:t>6</w:t>
      </w:r>
      <w:r>
        <w:fldChar w:fldCharType="end"/>
      </w:r>
      <w:r>
        <w:t xml:space="preserve"> shows that while there has been a general downward trend in capital productivity</w:t>
      </w:r>
      <w:r w:rsidR="004B0B4C">
        <w:t xml:space="preserve"> since 2006</w:t>
      </w:r>
      <w:r>
        <w:t>, the capital productivity of around half of the DNSPs improved</w:t>
      </w:r>
      <w:r w:rsidR="00C060AF" w:rsidRPr="00C060AF">
        <w:t xml:space="preserve"> </w:t>
      </w:r>
      <w:r w:rsidR="00C060AF">
        <w:t>in 2015</w:t>
      </w:r>
      <w:r>
        <w:t xml:space="preserve">. Specifically, the capital productivity of CitiPower, </w:t>
      </w:r>
      <w:r w:rsidR="00124C19">
        <w:t>United Energy</w:t>
      </w:r>
      <w:r>
        <w:t xml:space="preserve">, </w:t>
      </w:r>
      <w:r w:rsidR="00124C19">
        <w:t>SA Power Networks</w:t>
      </w:r>
      <w:r>
        <w:t xml:space="preserve">, </w:t>
      </w:r>
      <w:proofErr w:type="spellStart"/>
      <w:r>
        <w:t>Powercor</w:t>
      </w:r>
      <w:proofErr w:type="spellEnd"/>
      <w:r>
        <w:t xml:space="preserve"> and </w:t>
      </w:r>
      <w:proofErr w:type="spellStart"/>
      <w:r>
        <w:t>TasNetworks</w:t>
      </w:r>
      <w:proofErr w:type="spellEnd"/>
      <w:r>
        <w:t xml:space="preserve"> improved in 2015. For several DNSPs, the rate of capital productivity decline is more modest than observed for MTFP in </w:t>
      </w:r>
      <w:r w:rsidR="005713FC">
        <w:fldChar w:fldCharType="begin"/>
      </w:r>
      <w:r w:rsidR="005713FC">
        <w:instrText xml:space="preserve"> REF  _Ref432690569 \* Lower \h </w:instrText>
      </w:r>
      <w:r w:rsidR="005713FC">
        <w:fldChar w:fldCharType="separate"/>
      </w:r>
      <w:r w:rsidR="00BE7268">
        <w:t xml:space="preserve">figure </w:t>
      </w:r>
      <w:r w:rsidR="00BE7268">
        <w:rPr>
          <w:noProof/>
        </w:rPr>
        <w:t>5</w:t>
      </w:r>
      <w:r w:rsidR="005713FC">
        <w:fldChar w:fldCharType="end"/>
      </w:r>
      <w:r>
        <w:t>.</w:t>
      </w:r>
    </w:p>
    <w:p w:rsidR="00217B9A" w:rsidRDefault="00645B85" w:rsidP="00645B85">
      <w:r>
        <w:fldChar w:fldCharType="begin"/>
      </w:r>
      <w:r>
        <w:instrText xml:space="preserve"> REF _Ref429654538 \h </w:instrText>
      </w:r>
      <w:r>
        <w:fldChar w:fldCharType="separate"/>
      </w:r>
      <w:r w:rsidR="00BE7268">
        <w:t xml:space="preserve">Figure </w:t>
      </w:r>
      <w:r w:rsidR="00BE7268">
        <w:rPr>
          <w:noProof/>
        </w:rPr>
        <w:t>7</w:t>
      </w:r>
      <w:r>
        <w:fldChar w:fldCharType="end"/>
      </w:r>
      <w:r>
        <w:t xml:space="preserve"> displays </w:t>
      </w:r>
      <w:r w:rsidR="00217B9A">
        <w:t xml:space="preserve">the </w:t>
      </w:r>
      <w:proofErr w:type="spellStart"/>
      <w:r>
        <w:t>opex</w:t>
      </w:r>
      <w:proofErr w:type="spellEnd"/>
      <w:r>
        <w:t xml:space="preserve"> MPFP for all DNSPs over the same period. </w:t>
      </w:r>
      <w:r w:rsidR="00217B9A">
        <w:t xml:space="preserve">It </w:t>
      </w:r>
      <w:r w:rsidR="00EC5029">
        <w:t>shows</w:t>
      </w:r>
      <w:r w:rsidR="00217B9A">
        <w:t xml:space="preserve"> that while the </w:t>
      </w:r>
      <w:proofErr w:type="spellStart"/>
      <w:r w:rsidR="00217B9A">
        <w:t>opex</w:t>
      </w:r>
      <w:proofErr w:type="spellEnd"/>
      <w:r w:rsidR="00217B9A">
        <w:t xml:space="preserve"> productivity measure significantly declined for some DNSPs</w:t>
      </w:r>
      <w:r w:rsidR="00217B9A" w:rsidRPr="00411E4E">
        <w:t xml:space="preserve"> </w:t>
      </w:r>
      <w:r w:rsidR="00217B9A">
        <w:t xml:space="preserve">over the </w:t>
      </w:r>
      <w:r w:rsidR="00EC5029">
        <w:t xml:space="preserve">first half of the </w:t>
      </w:r>
      <w:r w:rsidR="00217B9A">
        <w:t xml:space="preserve">period, </w:t>
      </w:r>
      <w:r w:rsidR="00EC5029">
        <w:t xml:space="preserve">in the last few years </w:t>
      </w:r>
      <w:r w:rsidR="00217B9A">
        <w:t xml:space="preserve">the </w:t>
      </w:r>
      <w:r w:rsidR="00EC5029">
        <w:t>general</w:t>
      </w:r>
      <w:r w:rsidR="00217B9A">
        <w:t xml:space="preserve"> rate of decline has reduced </w:t>
      </w:r>
      <w:r w:rsidR="00EC5029">
        <w:t>and</w:t>
      </w:r>
      <w:r w:rsidR="00217B9A">
        <w:t xml:space="preserve"> even reversed for some DNSPs.</w:t>
      </w:r>
      <w:r w:rsidR="00F10A7D">
        <w:t xml:space="preserve"> </w:t>
      </w:r>
      <w:r w:rsidR="00217B9A">
        <w:t>A</w:t>
      </w:r>
      <w:r w:rsidR="00F10A7D">
        <w:t xml:space="preserve"> number of DNSPs improve</w:t>
      </w:r>
      <w:r w:rsidR="00411E4E">
        <w:t>d</w:t>
      </w:r>
      <w:r w:rsidR="00F10A7D">
        <w:t xml:space="preserve"> their </w:t>
      </w:r>
      <w:proofErr w:type="spellStart"/>
      <w:r w:rsidR="00411E4E">
        <w:t>opex</w:t>
      </w:r>
      <w:proofErr w:type="spellEnd"/>
      <w:r w:rsidR="00411E4E">
        <w:t xml:space="preserve"> </w:t>
      </w:r>
      <w:r w:rsidR="00F10A7D">
        <w:t xml:space="preserve">performance in 2015. </w:t>
      </w:r>
      <w:proofErr w:type="spellStart"/>
      <w:r w:rsidR="00F10A7D">
        <w:t>TasNetworks</w:t>
      </w:r>
      <w:proofErr w:type="spellEnd"/>
      <w:r w:rsidR="00F10A7D">
        <w:t xml:space="preserve"> has a sizable improvement and is the second best performer in 2015. Citi</w:t>
      </w:r>
      <w:r w:rsidR="00217B9A">
        <w:t>P</w:t>
      </w:r>
      <w:r w:rsidR="00F10A7D">
        <w:t xml:space="preserve">ower, </w:t>
      </w:r>
      <w:r w:rsidR="00124C19">
        <w:t>United Energy</w:t>
      </w:r>
      <w:r w:rsidR="00F10A7D">
        <w:t xml:space="preserve"> and </w:t>
      </w:r>
      <w:proofErr w:type="spellStart"/>
      <w:r w:rsidR="00F10A7D">
        <w:t>ActewAGL</w:t>
      </w:r>
      <w:proofErr w:type="spellEnd"/>
      <w:r w:rsidR="00F10A7D">
        <w:t xml:space="preserve"> also improve</w:t>
      </w:r>
      <w:r w:rsidR="002306FF">
        <w:t>d</w:t>
      </w:r>
      <w:r w:rsidR="00F10A7D">
        <w:t xml:space="preserve"> their </w:t>
      </w:r>
      <w:proofErr w:type="spellStart"/>
      <w:r w:rsidR="00F10A7D">
        <w:t>opex</w:t>
      </w:r>
      <w:proofErr w:type="spellEnd"/>
      <w:r w:rsidR="00F10A7D">
        <w:t xml:space="preserve"> partial factor productivity in 2015.</w:t>
      </w:r>
      <w:r w:rsidR="005713FC">
        <w:t xml:space="preserve"> </w:t>
      </w:r>
      <w:r w:rsidR="00217B9A">
        <w:fldChar w:fldCharType="begin"/>
      </w:r>
      <w:r w:rsidR="00217B9A">
        <w:instrText xml:space="preserve"> REF _Ref429654538 \h </w:instrText>
      </w:r>
      <w:r w:rsidR="00217B9A">
        <w:fldChar w:fldCharType="separate"/>
      </w:r>
      <w:r w:rsidR="00BE7268">
        <w:t xml:space="preserve">Figure </w:t>
      </w:r>
      <w:r w:rsidR="00BE7268">
        <w:rPr>
          <w:noProof/>
        </w:rPr>
        <w:t>7</w:t>
      </w:r>
      <w:r w:rsidR="00217B9A">
        <w:fldChar w:fldCharType="end"/>
      </w:r>
      <w:r w:rsidR="00217B9A">
        <w:t xml:space="preserve"> also shows that the </w:t>
      </w:r>
      <w:proofErr w:type="spellStart"/>
      <w:r w:rsidR="00217B9A">
        <w:t>opex</w:t>
      </w:r>
      <w:proofErr w:type="spellEnd"/>
      <w:r w:rsidR="00217B9A">
        <w:t xml:space="preserve"> productivity gap </w:t>
      </w:r>
      <w:r w:rsidR="00217B9A">
        <w:lastRenderedPageBreak/>
        <w:t>between the DNSPs has narrowed over time</w:t>
      </w:r>
      <w:r w:rsidR="00D67BF2">
        <w:t xml:space="preserve"> but may be starting to widen again in 2015</w:t>
      </w:r>
      <w:r w:rsidR="00217B9A">
        <w:t>.</w:t>
      </w:r>
    </w:p>
    <w:p w:rsidR="00645B85" w:rsidRDefault="00645B85" w:rsidP="00645B85">
      <w:pPr>
        <w:pStyle w:val="Caption"/>
      </w:pPr>
      <w:bookmarkStart w:id="48" w:name="_Ref429654538"/>
      <w:r>
        <w:t xml:space="preserve">Figure </w:t>
      </w:r>
      <w:r w:rsidRPr="00F50135">
        <w:fldChar w:fldCharType="begin"/>
      </w:r>
      <w:r>
        <w:instrText xml:space="preserve"> SEQ Figure \* ARABIC </w:instrText>
      </w:r>
      <w:r w:rsidRPr="00F50135">
        <w:fldChar w:fldCharType="separate"/>
      </w:r>
      <w:proofErr w:type="gramStart"/>
      <w:r w:rsidR="00BE7268">
        <w:rPr>
          <w:noProof/>
        </w:rPr>
        <w:t>7</w:t>
      </w:r>
      <w:r w:rsidRPr="00F50135">
        <w:fldChar w:fldCharType="end"/>
      </w:r>
      <w:bookmarkEnd w:id="47"/>
      <w:bookmarkEnd w:id="48"/>
      <w:r>
        <w:tab/>
      </w:r>
      <w:r w:rsidR="00AA4573">
        <w:tab/>
      </w:r>
      <w:proofErr w:type="spellStart"/>
      <w:r>
        <w:t>Opex</w:t>
      </w:r>
      <w:proofErr w:type="spellEnd"/>
      <w:r>
        <w:t xml:space="preserve"> partial factor productivity</w:t>
      </w:r>
      <w:proofErr w:type="gramEnd"/>
      <w:r>
        <w:t xml:space="preserve"> for 2006–</w:t>
      </w:r>
      <w:r w:rsidR="006B3A94">
        <w:t>15</w:t>
      </w:r>
    </w:p>
    <w:p w:rsidR="003F5D00" w:rsidRDefault="00147CF5" w:rsidP="00645B85">
      <w:r w:rsidRPr="00147CF5">
        <w:rPr>
          <w:noProof/>
          <w:lang w:eastAsia="en-AU"/>
        </w:rPr>
        <w:drawing>
          <wp:inline distT="0" distB="0" distL="0" distR="0" wp14:anchorId="743DCCA6" wp14:editId="01E0ED60">
            <wp:extent cx="5382895" cy="3223188"/>
            <wp:effectExtent l="0" t="0" r="825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2895" cy="3223188"/>
                    </a:xfrm>
                    <a:prstGeom prst="rect">
                      <a:avLst/>
                    </a:prstGeom>
                    <a:noFill/>
                    <a:ln>
                      <a:noFill/>
                    </a:ln>
                  </pic:spPr>
                </pic:pic>
              </a:graphicData>
            </a:graphic>
          </wp:inline>
        </w:drawing>
      </w:r>
      <w:r w:rsidR="003F5D00" w:rsidRPr="003F5D00">
        <w:t xml:space="preserve"> </w:t>
      </w:r>
    </w:p>
    <w:p w:rsidR="00582B1B" w:rsidRDefault="003F5D00" w:rsidP="00645B85">
      <w:r>
        <w:t xml:space="preserve">The ranking of the DNSPs changes somewhat under the two MPFP results, which </w:t>
      </w:r>
      <w:r w:rsidR="00645B85">
        <w:t xml:space="preserve">reflects differing input combinations. </w:t>
      </w:r>
      <w:r w:rsidR="00582B1B">
        <w:t xml:space="preserve">For </w:t>
      </w:r>
      <w:proofErr w:type="gramStart"/>
      <w:r w:rsidR="00582B1B">
        <w:t>example</w:t>
      </w:r>
      <w:proofErr w:type="gramEnd"/>
      <w:r w:rsidR="00582B1B">
        <w:t xml:space="preserve"> </w:t>
      </w:r>
      <w:proofErr w:type="spellStart"/>
      <w:r w:rsidR="00645B85">
        <w:t>Powercor</w:t>
      </w:r>
      <w:proofErr w:type="spellEnd"/>
      <w:r w:rsidR="00645B85">
        <w:t xml:space="preserve"> and </w:t>
      </w:r>
      <w:proofErr w:type="spellStart"/>
      <w:r w:rsidR="00645B85">
        <w:t>TasNetworks</w:t>
      </w:r>
      <w:proofErr w:type="spellEnd"/>
      <w:r w:rsidR="00645B85">
        <w:t xml:space="preserve"> </w:t>
      </w:r>
      <w:r w:rsidR="00582B1B">
        <w:t xml:space="preserve">both have </w:t>
      </w:r>
      <w:r w:rsidR="00645B85">
        <w:t xml:space="preserve">relatively </w:t>
      </w:r>
      <w:r w:rsidR="00582B1B">
        <w:t xml:space="preserve">low scores on </w:t>
      </w:r>
      <w:r w:rsidR="00645B85">
        <w:t>capital MPFP</w:t>
      </w:r>
      <w:r w:rsidR="00582B1B">
        <w:t>,</w:t>
      </w:r>
      <w:r w:rsidR="00645B85">
        <w:t xml:space="preserve"> but are among the top five </w:t>
      </w:r>
      <w:r w:rsidR="00582B1B">
        <w:t xml:space="preserve">highest </w:t>
      </w:r>
      <w:r w:rsidR="00645B85">
        <w:t xml:space="preserve">for </w:t>
      </w:r>
      <w:proofErr w:type="spellStart"/>
      <w:r w:rsidR="00645B85">
        <w:t>opex</w:t>
      </w:r>
      <w:proofErr w:type="spellEnd"/>
      <w:r w:rsidR="00645B85">
        <w:t xml:space="preserve"> MPFP.</w:t>
      </w:r>
      <w:r w:rsidR="004B3B87">
        <w:t xml:space="preserve"> In contrast, </w:t>
      </w:r>
      <w:r w:rsidR="00645B85">
        <w:t xml:space="preserve">CitiPower and United Energy </w:t>
      </w:r>
      <w:r w:rsidR="00582B1B">
        <w:t xml:space="preserve">perform well </w:t>
      </w:r>
      <w:r w:rsidR="00F10A7D">
        <w:t xml:space="preserve">both </w:t>
      </w:r>
      <w:r w:rsidR="00645B85">
        <w:t xml:space="preserve">on the </w:t>
      </w:r>
      <w:proofErr w:type="spellStart"/>
      <w:r w:rsidR="00645B85">
        <w:t>opex</w:t>
      </w:r>
      <w:proofErr w:type="spellEnd"/>
      <w:r w:rsidR="00645B85">
        <w:t xml:space="preserve"> and capital MPFP measures. </w:t>
      </w:r>
    </w:p>
    <w:p w:rsidR="00645B85" w:rsidRDefault="00645B85" w:rsidP="00582B1B">
      <w:pPr>
        <w:pStyle w:val="Heading3"/>
      </w:pPr>
      <w:bookmarkStart w:id="49" w:name="_Toc460570104"/>
      <w:bookmarkStart w:id="50" w:name="_Ref436386204"/>
      <w:bookmarkStart w:id="51" w:name="_Toc468175067"/>
      <w:bookmarkEnd w:id="49"/>
      <w:r>
        <w:t xml:space="preserve">Econometric </w:t>
      </w:r>
      <w:proofErr w:type="spellStart"/>
      <w:r>
        <w:t>opex</w:t>
      </w:r>
      <w:proofErr w:type="spellEnd"/>
      <w:r>
        <w:t xml:space="preserve"> modelling</w:t>
      </w:r>
      <w:bookmarkEnd w:id="50"/>
      <w:bookmarkEnd w:id="51"/>
    </w:p>
    <w:p w:rsidR="00645B85" w:rsidRDefault="00645B85" w:rsidP="00645B85">
      <w:r>
        <w:t>This section presents the results of the three econometric models:</w:t>
      </w:r>
    </w:p>
    <w:p w:rsidR="00645B85" w:rsidRDefault="00645B85" w:rsidP="00645B85">
      <w:pPr>
        <w:pStyle w:val="AERbulletlistfirststyle"/>
      </w:pPr>
      <w:r>
        <w:t>Cobb-Douglas stochastic frontier analysis (SFA)</w:t>
      </w:r>
    </w:p>
    <w:p w:rsidR="00645B85" w:rsidRDefault="00645B85" w:rsidP="00645B85">
      <w:pPr>
        <w:pStyle w:val="AERbulletlistfirststyle"/>
      </w:pPr>
      <w:proofErr w:type="spellStart"/>
      <w:r>
        <w:t>Translog</w:t>
      </w:r>
      <w:proofErr w:type="spellEnd"/>
      <w:r>
        <w:t xml:space="preserve"> least squares econometrics (LSE)</w:t>
      </w:r>
    </w:p>
    <w:p w:rsidR="00645B85" w:rsidRDefault="00645B85" w:rsidP="00645B85">
      <w:pPr>
        <w:pStyle w:val="AERbulletlistfirststyle"/>
      </w:pPr>
      <w:r>
        <w:t>Cobb-Douglas LSE.</w:t>
      </w:r>
    </w:p>
    <w:p w:rsidR="00F17EB8" w:rsidRDefault="00645B85" w:rsidP="00645B85">
      <w:r>
        <w:t xml:space="preserve">These models </w:t>
      </w:r>
      <w:r w:rsidR="00C66D01">
        <w:t xml:space="preserve">provide a </w:t>
      </w:r>
      <w:r>
        <w:t xml:space="preserve">measure </w:t>
      </w:r>
      <w:r w:rsidR="00C66D01">
        <w:t xml:space="preserve">of the </w:t>
      </w:r>
      <w:r>
        <w:t xml:space="preserve">efficiency of </w:t>
      </w:r>
      <w:proofErr w:type="spellStart"/>
      <w:r>
        <w:t>opex</w:t>
      </w:r>
      <w:proofErr w:type="spellEnd"/>
      <w:r w:rsidR="00C66D01">
        <w:t xml:space="preserve"> and </w:t>
      </w:r>
      <w:proofErr w:type="gramStart"/>
      <w:r>
        <w:t>were developed</w:t>
      </w:r>
      <w:proofErr w:type="gramEnd"/>
      <w:r>
        <w:t xml:space="preserve"> </w:t>
      </w:r>
      <w:r w:rsidR="00C66D01">
        <w:t xml:space="preserve">as part of our assessment of the </w:t>
      </w:r>
      <w:r>
        <w:t xml:space="preserve">efficiency of DNSPs’ </w:t>
      </w:r>
      <w:proofErr w:type="spellStart"/>
      <w:r>
        <w:t>opex</w:t>
      </w:r>
      <w:proofErr w:type="spellEnd"/>
      <w:r>
        <w:t xml:space="preserve"> proposals in recent distribution determinations. Each model uses the same specification. It compares </w:t>
      </w:r>
      <w:proofErr w:type="spellStart"/>
      <w:r>
        <w:t>opex</w:t>
      </w:r>
      <w:proofErr w:type="spellEnd"/>
      <w:r>
        <w:t xml:space="preserve"> as the input to multiple outputs (customer numbers, circuit length and ratcheted maximum demand). This output specification differs from that used in MTFP and MPFP </w:t>
      </w:r>
      <w:r w:rsidR="00D731B4">
        <w:t xml:space="preserve">in that </w:t>
      </w:r>
      <w:r>
        <w:t>it does not include energy delivered or reliability. However, the econometric model specification includes the proportion of network underground as an operating environment factor.</w:t>
      </w:r>
      <w:r w:rsidR="00F17EB8">
        <w:t xml:space="preserve"> The three </w:t>
      </w:r>
      <w:r>
        <w:t>model</w:t>
      </w:r>
      <w:r w:rsidR="00F17EB8">
        <w:t>s differ</w:t>
      </w:r>
      <w:r>
        <w:t xml:space="preserve"> </w:t>
      </w:r>
      <w:r w:rsidR="00F10A7D">
        <w:t xml:space="preserve">in </w:t>
      </w:r>
      <w:r>
        <w:t>functi</w:t>
      </w:r>
      <w:r w:rsidR="00F17EB8">
        <w:t xml:space="preserve">onal form or estimation method. </w:t>
      </w:r>
      <w:r>
        <w:lastRenderedPageBreak/>
        <w:t xml:space="preserve">Cobb-Douglas and </w:t>
      </w:r>
      <w:proofErr w:type="spellStart"/>
      <w:r>
        <w:t>translog</w:t>
      </w:r>
      <w:proofErr w:type="spellEnd"/>
      <w:r>
        <w:t xml:space="preserve"> are different functional forms. SFA and LSE are different estimation methods. </w:t>
      </w:r>
    </w:p>
    <w:p w:rsidR="002B636B" w:rsidRDefault="002B636B" w:rsidP="00645B85">
      <w:r>
        <w:t xml:space="preserve">The econometric modelling results </w:t>
      </w:r>
      <w:proofErr w:type="gramStart"/>
      <w:r>
        <w:t>are presented</w:t>
      </w:r>
      <w:proofErr w:type="gramEnd"/>
      <w:r>
        <w:t xml:space="preserve"> in the Economic Insights memo.</w:t>
      </w:r>
      <w:r>
        <w:rPr>
          <w:rStyle w:val="FootnoteReference"/>
        </w:rPr>
        <w:footnoteReference w:id="11"/>
      </w:r>
    </w:p>
    <w:p w:rsidR="00645B85" w:rsidRDefault="00645B85" w:rsidP="00645B85">
      <w:r>
        <w:fldChar w:fldCharType="begin"/>
      </w:r>
      <w:r>
        <w:instrText xml:space="preserve"> REF _Ref432773728 \h </w:instrText>
      </w:r>
      <w:r>
        <w:fldChar w:fldCharType="separate"/>
      </w:r>
      <w:r w:rsidR="00BE7268">
        <w:t xml:space="preserve">Figure </w:t>
      </w:r>
      <w:r w:rsidR="00BE7268">
        <w:rPr>
          <w:noProof/>
        </w:rPr>
        <w:t>8</w:t>
      </w:r>
      <w:r>
        <w:fldChar w:fldCharType="end"/>
      </w:r>
      <w:r>
        <w:t xml:space="preserve"> presents the results from the three econometric models and the </w:t>
      </w:r>
      <w:proofErr w:type="spellStart"/>
      <w:r>
        <w:t>opex</w:t>
      </w:r>
      <w:proofErr w:type="spellEnd"/>
      <w:r>
        <w:t xml:space="preserve"> MPFP model from section</w:t>
      </w:r>
      <w:r w:rsidR="002306FF">
        <w:t xml:space="preserve"> </w:t>
      </w:r>
      <w:r w:rsidR="002306FF">
        <w:fldChar w:fldCharType="begin"/>
      </w:r>
      <w:r w:rsidR="002306FF">
        <w:instrText xml:space="preserve"> REF _Ref432694081 \w \h </w:instrText>
      </w:r>
      <w:r w:rsidR="002306FF">
        <w:fldChar w:fldCharType="separate"/>
      </w:r>
      <w:r w:rsidR="002306FF">
        <w:t>2.2.1</w:t>
      </w:r>
      <w:r w:rsidR="002306FF">
        <w:fldChar w:fldCharType="end"/>
      </w:r>
      <w:r>
        <w:t>.</w:t>
      </w:r>
      <w:r w:rsidR="006248E4">
        <w:t xml:space="preserve"> The results are the average efficiency scores for the 2006–1</w:t>
      </w:r>
      <w:r w:rsidR="00F10A7D">
        <w:t>5</w:t>
      </w:r>
      <w:r w:rsidR="006248E4">
        <w:t xml:space="preserve"> </w:t>
      </w:r>
      <w:proofErr w:type="gramStart"/>
      <w:r w:rsidR="006248E4">
        <w:t>period</w:t>
      </w:r>
      <w:proofErr w:type="gramEnd"/>
      <w:r w:rsidR="006248E4">
        <w:t>.</w:t>
      </w:r>
      <w:r w:rsidR="00A34119">
        <w:rPr>
          <w:rStyle w:val="FootnoteReference"/>
        </w:rPr>
        <w:footnoteReference w:id="12"/>
      </w:r>
      <w:r w:rsidR="006248E4">
        <w:t xml:space="preserve"> A score of 1.0 is the highest possible score. CitiPower, </w:t>
      </w:r>
      <w:proofErr w:type="spellStart"/>
      <w:r w:rsidR="006248E4">
        <w:t>Powercor</w:t>
      </w:r>
      <w:proofErr w:type="spellEnd"/>
      <w:r w:rsidR="006248E4">
        <w:t xml:space="preserve">, SA Power Networks and United Energy have the highest efficiency scores on the majority of metrics. </w:t>
      </w:r>
      <w:proofErr w:type="spellStart"/>
      <w:r w:rsidR="006248E4">
        <w:t>ActewAGL</w:t>
      </w:r>
      <w:proofErr w:type="spellEnd"/>
      <w:r w:rsidR="006248E4">
        <w:t xml:space="preserve">, </w:t>
      </w:r>
      <w:proofErr w:type="spellStart"/>
      <w:r w:rsidR="006248E4">
        <w:t>Ausgrid</w:t>
      </w:r>
      <w:proofErr w:type="spellEnd"/>
      <w:r w:rsidR="006248E4">
        <w:t>, and Ergon Energy have the lowest scores.</w:t>
      </w:r>
    </w:p>
    <w:p w:rsidR="00645B85" w:rsidRPr="00C8689D" w:rsidRDefault="00645B85" w:rsidP="00645B85">
      <w:pPr>
        <w:pStyle w:val="Caption"/>
        <w:rPr>
          <w:rStyle w:val="AERtexthighlight"/>
        </w:rPr>
      </w:pPr>
      <w:bookmarkStart w:id="52" w:name="_Ref432773728"/>
      <w:r>
        <w:t xml:space="preserve">Figure </w:t>
      </w:r>
      <w:r w:rsidRPr="00F50135">
        <w:fldChar w:fldCharType="begin"/>
      </w:r>
      <w:r>
        <w:instrText xml:space="preserve"> SEQ Figure \* ARABIC </w:instrText>
      </w:r>
      <w:r w:rsidRPr="00F50135">
        <w:fldChar w:fldCharType="separate"/>
      </w:r>
      <w:r w:rsidR="00BE7268">
        <w:rPr>
          <w:noProof/>
        </w:rPr>
        <w:t>8</w:t>
      </w:r>
      <w:r w:rsidRPr="00F50135">
        <w:fldChar w:fldCharType="end"/>
      </w:r>
      <w:bookmarkEnd w:id="52"/>
      <w:r>
        <w:tab/>
      </w:r>
      <w:r w:rsidR="00AA4573">
        <w:tab/>
      </w:r>
      <w:r>
        <w:t xml:space="preserve">Econometric modelling and </w:t>
      </w:r>
      <w:proofErr w:type="spellStart"/>
      <w:r>
        <w:t>opex</w:t>
      </w:r>
      <w:proofErr w:type="spellEnd"/>
      <w:r>
        <w:t xml:space="preserve"> MPFP results (2006–1</w:t>
      </w:r>
      <w:r w:rsidR="00F10A7D">
        <w:t>5</w:t>
      </w:r>
      <w:r>
        <w:t xml:space="preserve"> average) </w:t>
      </w:r>
    </w:p>
    <w:p w:rsidR="00645B85" w:rsidRDefault="0082574E" w:rsidP="00645B85">
      <w:r w:rsidRPr="0082574E">
        <w:rPr>
          <w:noProof/>
          <w:lang w:eastAsia="en-AU"/>
        </w:rPr>
        <w:drawing>
          <wp:inline distT="0" distB="0" distL="0" distR="0" wp14:anchorId="2CFF3319" wp14:editId="55581AE7">
            <wp:extent cx="5122800" cy="3664800"/>
            <wp:effectExtent l="0" t="0" r="19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45B85" w:rsidRDefault="00645B85" w:rsidP="00645B85">
      <w:r>
        <w:fldChar w:fldCharType="begin"/>
      </w:r>
      <w:r>
        <w:instrText xml:space="preserve"> REF _Ref432773728 \h </w:instrText>
      </w:r>
      <w:r>
        <w:fldChar w:fldCharType="separate"/>
      </w:r>
      <w:r w:rsidR="00BE7268">
        <w:t xml:space="preserve">Figure </w:t>
      </w:r>
      <w:r w:rsidR="00BE7268">
        <w:rPr>
          <w:noProof/>
        </w:rPr>
        <w:t>8</w:t>
      </w:r>
      <w:r>
        <w:fldChar w:fldCharType="end"/>
      </w:r>
      <w:r>
        <w:t xml:space="preserve"> </w:t>
      </w:r>
      <w:r w:rsidR="004B3B87">
        <w:t xml:space="preserve">shows the results </w:t>
      </w:r>
      <w:r>
        <w:t>for each model</w:t>
      </w:r>
      <w:r w:rsidR="004B3B87">
        <w:t xml:space="preserve"> are </w:t>
      </w:r>
      <w:r w:rsidR="00D731B4">
        <w:t xml:space="preserve">broadly </w:t>
      </w:r>
      <w:r w:rsidR="004B3B87">
        <w:t>comparable</w:t>
      </w:r>
      <w:r>
        <w:t xml:space="preserve">, despite their differing functional forms and estimation methods. In particular, the similarity in results between the </w:t>
      </w:r>
      <w:proofErr w:type="spellStart"/>
      <w:r>
        <w:t>opex</w:t>
      </w:r>
      <w:proofErr w:type="spellEnd"/>
      <w:r>
        <w:t xml:space="preserve"> MPFP model and the econometric models is noteworthy. </w:t>
      </w:r>
      <w:proofErr w:type="spellStart"/>
      <w:r>
        <w:t>Opex</w:t>
      </w:r>
      <w:proofErr w:type="spellEnd"/>
      <w:r>
        <w:t xml:space="preserve"> MPFP is a </w:t>
      </w:r>
      <w:r w:rsidR="004B0B4C">
        <w:t>productivity index number (</w:t>
      </w:r>
      <w:r>
        <w:t>PIN</w:t>
      </w:r>
      <w:r w:rsidR="004B0B4C">
        <w:t>)</w:t>
      </w:r>
      <w:r>
        <w:t xml:space="preserve"> technique</w:t>
      </w:r>
      <w:r w:rsidR="004B0B4C">
        <w:rPr>
          <w:rStyle w:val="FootnoteReference"/>
        </w:rPr>
        <w:footnoteReference w:id="13"/>
      </w:r>
      <w:r>
        <w:t xml:space="preserve"> that uses Australian data only whereas the three econometric models use Australian data</w:t>
      </w:r>
      <w:r w:rsidR="006248E4">
        <w:t xml:space="preserve"> and overseas data. </w:t>
      </w:r>
      <w:r>
        <w:t xml:space="preserve"> </w:t>
      </w:r>
    </w:p>
    <w:p w:rsidR="00645B85" w:rsidRDefault="00645B85" w:rsidP="00645B85">
      <w:r>
        <w:lastRenderedPageBreak/>
        <w:t xml:space="preserve">In recent distribution determinations, we have used the Cobb-Douglas SFA model as our preferred technique for forming a view about efficient total </w:t>
      </w:r>
      <w:proofErr w:type="spellStart"/>
      <w:r>
        <w:t>opex</w:t>
      </w:r>
      <w:proofErr w:type="spellEnd"/>
      <w:r>
        <w:t>. When we do this, we make three adjustments to the above ‘raw’ score of the DNSP we are assessing</w:t>
      </w:r>
      <w:r w:rsidR="00D731B4">
        <w:t xml:space="preserve"> </w:t>
      </w:r>
      <w:proofErr w:type="gramStart"/>
      <w:r w:rsidR="00D731B4">
        <w:t>by</w:t>
      </w:r>
      <w:proofErr w:type="gramEnd"/>
      <w:r>
        <w:t>:</w:t>
      </w:r>
    </w:p>
    <w:p w:rsidR="00645B85" w:rsidRDefault="00645B85" w:rsidP="00645B85">
      <w:pPr>
        <w:pStyle w:val="AERbulletlistfirststyle"/>
      </w:pPr>
      <w:r>
        <w:t>apply</w:t>
      </w:r>
      <w:r w:rsidR="00D731B4">
        <w:t>ing</w:t>
      </w:r>
      <w:r>
        <w:t xml:space="preserve"> an adjustment for </w:t>
      </w:r>
      <w:r w:rsidR="00CA3064">
        <w:t>operating environment factors (</w:t>
      </w:r>
      <w:r>
        <w:t>OEFs</w:t>
      </w:r>
      <w:r w:rsidR="00CA3064">
        <w:t>)</w:t>
      </w:r>
      <w:r>
        <w:t xml:space="preserve"> that are beyond the DNSP’s control and not already accounted for in the model</w:t>
      </w:r>
    </w:p>
    <w:p w:rsidR="00645B85" w:rsidRDefault="00645B85" w:rsidP="00645B85">
      <w:pPr>
        <w:pStyle w:val="AERbulletlistfirststyle"/>
      </w:pPr>
      <w:r>
        <w:t>compar</w:t>
      </w:r>
      <w:r w:rsidR="00D731B4">
        <w:t>ing</w:t>
      </w:r>
      <w:r>
        <w:t xml:space="preserve"> the DNSP’s efficiency score to a target efficiency score (previously we have used the top quartile of possible scores) to provide an error margin for potential data or modelling issues</w:t>
      </w:r>
    </w:p>
    <w:p w:rsidR="00645B85" w:rsidRDefault="00645B85" w:rsidP="00645B85">
      <w:pPr>
        <w:pStyle w:val="AERbulletlistfirststyle"/>
      </w:pPr>
      <w:proofErr w:type="gramStart"/>
      <w:r>
        <w:t>conduct</w:t>
      </w:r>
      <w:r w:rsidR="00D731B4">
        <w:t>ing</w:t>
      </w:r>
      <w:proofErr w:type="gramEnd"/>
      <w:r>
        <w:t xml:space="preserve"> a ‘roll forward’ process to transform the </w:t>
      </w:r>
      <w:r w:rsidR="00620AF0">
        <w:t xml:space="preserve">period </w:t>
      </w:r>
      <w:r>
        <w:t xml:space="preserve">average efficiency results to an </w:t>
      </w:r>
      <w:proofErr w:type="spellStart"/>
      <w:r>
        <w:t>opex</w:t>
      </w:r>
      <w:proofErr w:type="spellEnd"/>
      <w:r>
        <w:t xml:space="preserve"> amount for a particular year.</w:t>
      </w:r>
    </w:p>
    <w:p w:rsidR="00645B85" w:rsidRPr="003367D3" w:rsidRDefault="00645B85" w:rsidP="00645B85">
      <w:r>
        <w:t xml:space="preserve">Appendix </w:t>
      </w:r>
      <w:r>
        <w:fldChar w:fldCharType="begin"/>
      </w:r>
      <w:r>
        <w:instrText xml:space="preserve"> REF _Ref432682897 \n \h </w:instrText>
      </w:r>
      <w:r>
        <w:fldChar w:fldCharType="separate"/>
      </w:r>
      <w:r w:rsidR="00BE7268">
        <w:t>A</w:t>
      </w:r>
      <w:r>
        <w:fldChar w:fldCharType="end"/>
      </w:r>
      <w:r>
        <w:t xml:space="preserve"> contains references to determinations where we have used the Cobb-Douglas SFA model to form a view on efficient total </w:t>
      </w:r>
      <w:proofErr w:type="spellStart"/>
      <w:r>
        <w:t>opex</w:t>
      </w:r>
      <w:proofErr w:type="spellEnd"/>
      <w:r>
        <w:t>.</w:t>
      </w:r>
    </w:p>
    <w:p w:rsidR="00645B85" w:rsidRDefault="00645B85" w:rsidP="006248E4">
      <w:pPr>
        <w:pStyle w:val="Heading3"/>
      </w:pPr>
      <w:bookmarkStart w:id="53" w:name="_Ref433210826"/>
      <w:bookmarkStart w:id="54" w:name="_Toc468175068"/>
      <w:r>
        <w:t>Partial performance indicators</w:t>
      </w:r>
      <w:bookmarkEnd w:id="53"/>
      <w:bookmarkEnd w:id="54"/>
    </w:p>
    <w:p w:rsidR="00CB580A" w:rsidRDefault="00CB580A" w:rsidP="00CB580A">
      <w:r>
        <w:t xml:space="preserve">PPIs provide a simple visual representation of input costs </w:t>
      </w:r>
      <w:r w:rsidR="00D731B4">
        <w:t>relative to</w:t>
      </w:r>
      <w:r>
        <w:t xml:space="preserve"> a particular output.</w:t>
      </w:r>
      <w:r w:rsidRPr="00F67BA7">
        <w:t xml:space="preserve"> The PPIs </w:t>
      </w:r>
      <w:r>
        <w:t xml:space="preserve">we use </w:t>
      </w:r>
      <w:r w:rsidRPr="00F67BA7">
        <w:t xml:space="preserve">support the MTFP </w:t>
      </w:r>
      <w:r>
        <w:t>analysis</w:t>
      </w:r>
      <w:r w:rsidRPr="00F67BA7">
        <w:t xml:space="preserve"> because they provide a </w:t>
      </w:r>
      <w:r w:rsidRPr="0041677A">
        <w:t>general indication of comparative performance</w:t>
      </w:r>
      <w:r>
        <w:t xml:space="preserve"> of the DNSPs in delivering one type of output.</w:t>
      </w:r>
      <w:r w:rsidRPr="0041677A">
        <w:t xml:space="preserve"> </w:t>
      </w:r>
      <w:r>
        <w:t xml:space="preserve">However, PPIs do not take interrelationships between outputs into account. Therefore, PPIs are most useful when used in conjunction with other benchmarking techniques (such as MTFP). </w:t>
      </w:r>
    </w:p>
    <w:p w:rsidR="00CB580A" w:rsidRDefault="00CB580A" w:rsidP="00CB580A">
      <w:r>
        <w:t>The inputs we use are the D</w:t>
      </w:r>
      <w:r w:rsidRPr="00047621">
        <w:t xml:space="preserve">NSPs’ total cost, </w:t>
      </w:r>
      <w:r>
        <w:t>made up of</w:t>
      </w:r>
      <w:r w:rsidRPr="00047621">
        <w:t xml:space="preserve"> </w:t>
      </w:r>
      <w:proofErr w:type="spellStart"/>
      <w:r w:rsidRPr="00047621">
        <w:t>opex</w:t>
      </w:r>
      <w:proofErr w:type="spellEnd"/>
      <w:r w:rsidRPr="00047621">
        <w:t xml:space="preserve"> and </w:t>
      </w:r>
      <w:r w:rsidR="00223935">
        <w:t>asset cost</w:t>
      </w:r>
      <w:r w:rsidRPr="00047621">
        <w:t>.</w:t>
      </w:r>
      <w:r w:rsidR="00223935">
        <w:rPr>
          <w:rStyle w:val="FootnoteReference"/>
        </w:rPr>
        <w:footnoteReference w:id="14"/>
      </w:r>
      <w:r w:rsidRPr="00047621">
        <w:t xml:space="preserve"> The outputs we use are </w:t>
      </w:r>
      <w:r>
        <w:t>customer numbers</w:t>
      </w:r>
      <w:r w:rsidRPr="00047621">
        <w:t xml:space="preserve">, </w:t>
      </w:r>
      <w:r>
        <w:t>maximum demand and circuit</w:t>
      </w:r>
      <w:r w:rsidRPr="00047621">
        <w:t xml:space="preserve"> line length.</w:t>
      </w:r>
      <w:r>
        <w:t xml:space="preserve"> We also use unplanned minutes off supply per customer to </w:t>
      </w:r>
      <w:proofErr w:type="gramStart"/>
      <w:r>
        <w:t xml:space="preserve">provide a </w:t>
      </w:r>
      <w:r w:rsidR="000C259C">
        <w:t>'</w:t>
      </w:r>
      <w:r>
        <w:t>per</w:t>
      </w:r>
      <w:proofErr w:type="gramEnd"/>
      <w:r>
        <w:t xml:space="preserve"> customer</w:t>
      </w:r>
      <w:r w:rsidR="000C259C">
        <w:t>'</w:t>
      </w:r>
      <w:r>
        <w:t xml:space="preserve"> reliability metric.</w:t>
      </w:r>
      <w:r>
        <w:rPr>
          <w:rStyle w:val="FootnoteReference"/>
        </w:rPr>
        <w:footnoteReference w:id="15"/>
      </w:r>
    </w:p>
    <w:p w:rsidR="00CB580A" w:rsidRDefault="00CB580A" w:rsidP="00CB580A">
      <w:r>
        <w:t xml:space="preserve">We note that on </w:t>
      </w:r>
      <w:r w:rsidR="000C259C">
        <w:t>'</w:t>
      </w:r>
      <w:r>
        <w:t>per customer</w:t>
      </w:r>
      <w:r w:rsidR="000C259C">
        <w:t>'</w:t>
      </w:r>
      <w:r w:rsidRPr="00122D4E">
        <w:t xml:space="preserve"> metric</w:t>
      </w:r>
      <w:r>
        <w:t>s,</w:t>
      </w:r>
      <w:r w:rsidRPr="00122D4E">
        <w:t xml:space="preserve"> </w:t>
      </w:r>
      <w:r>
        <w:t xml:space="preserve">large rural DNSPs will perform more poorly. </w:t>
      </w:r>
      <w:r w:rsidRPr="00122D4E">
        <w:t xml:space="preserve">The longer and sparser a DNSP’s network, the more assets </w:t>
      </w:r>
      <w:r>
        <w:t xml:space="preserve">it must operate and maintain </w:t>
      </w:r>
      <w:r w:rsidRPr="00645B85">
        <w:t>per customer</w:t>
      </w:r>
      <w:r>
        <w:t xml:space="preserve"> </w:t>
      </w:r>
      <w:r w:rsidRPr="00122D4E">
        <w:t xml:space="preserve">because </w:t>
      </w:r>
      <w:r>
        <w:t>of the need to connect</w:t>
      </w:r>
      <w:r w:rsidRPr="00122D4E">
        <w:t xml:space="preserve"> the few customers in </w:t>
      </w:r>
      <w:r>
        <w:t xml:space="preserve">such </w:t>
      </w:r>
      <w:r w:rsidRPr="00122D4E">
        <w:t>a sparse area</w:t>
      </w:r>
      <w:r>
        <w:t xml:space="preserve">. A similar pattern is expected on </w:t>
      </w:r>
      <w:r w:rsidR="000C259C">
        <w:t>'</w:t>
      </w:r>
      <w:r>
        <w:t>per MW</w:t>
      </w:r>
      <w:r w:rsidR="000C259C">
        <w:t xml:space="preserve">' </w:t>
      </w:r>
      <w:r>
        <w:t xml:space="preserve">metrics. Conversely, on </w:t>
      </w:r>
      <w:r w:rsidR="000C259C">
        <w:t>'</w:t>
      </w:r>
      <w:r>
        <w:t>per km</w:t>
      </w:r>
      <w:r w:rsidR="000C259C">
        <w:t>'</w:t>
      </w:r>
      <w:r>
        <w:t xml:space="preserve"> metrics,</w:t>
      </w:r>
      <w:r w:rsidRPr="00913F08">
        <w:t xml:space="preserve"> </w:t>
      </w:r>
      <w:r>
        <w:t>large rural DNSPs will perform better because their costs are spread over a longer network. Therefore, we plot the PPIs against customer density where possible, so readers can visualise and account for these effects when interpreting the results.</w:t>
      </w:r>
      <w:r>
        <w:rPr>
          <w:rStyle w:val="FootnoteReference"/>
        </w:rPr>
        <w:footnoteReference w:id="16"/>
      </w:r>
    </w:p>
    <w:p w:rsidR="00CB580A" w:rsidRDefault="00CB580A" w:rsidP="00CB580A">
      <w:r>
        <w:lastRenderedPageBreak/>
        <w:t xml:space="preserve">All the PPIs in this report measure average costs over a five year period (from 2011 to 2015). We use an average to mitigate the effect of one-off changes in </w:t>
      </w:r>
      <w:proofErr w:type="spellStart"/>
      <w:r>
        <w:t>opex</w:t>
      </w:r>
      <w:proofErr w:type="spellEnd"/>
      <w:r>
        <w:t xml:space="preserve"> or assets in a particular year. Five years is the length of a typical regulatory period.</w:t>
      </w:r>
    </w:p>
    <w:p w:rsidR="00CB580A" w:rsidRPr="00251E77" w:rsidRDefault="00CB580A" w:rsidP="00251E77">
      <w:pPr>
        <w:pStyle w:val="HeadingBoldItalic"/>
      </w:pPr>
      <w:r w:rsidRPr="00251E77">
        <w:t xml:space="preserve">Total cost per customer </w:t>
      </w:r>
    </w:p>
    <w:p w:rsidR="00CB580A" w:rsidRDefault="00CB580A" w:rsidP="00CB580A">
      <w:r>
        <w:fldChar w:fldCharType="begin"/>
      </w:r>
      <w:r>
        <w:instrText xml:space="preserve"> REF _Ref432778045 \h </w:instrText>
      </w:r>
      <w:r>
        <w:fldChar w:fldCharType="separate"/>
      </w:r>
      <w:r w:rsidR="00BE7268">
        <w:t xml:space="preserve">Figure </w:t>
      </w:r>
      <w:r w:rsidR="00BE7268">
        <w:rPr>
          <w:noProof/>
        </w:rPr>
        <w:t>9</w:t>
      </w:r>
      <w:r>
        <w:fldChar w:fldCharType="end"/>
      </w:r>
      <w:r>
        <w:t xml:space="preserve"> shows total cost per customer on the vertical axis and customer density on the horizontal axis. </w:t>
      </w:r>
      <w:r w:rsidRPr="000C0D60">
        <w:t xml:space="preserve">Customer numbers are arguably the most significant output DNSPs </w:t>
      </w:r>
      <w:r w:rsidR="00D731B4">
        <w:t>provide</w:t>
      </w:r>
      <w:r w:rsidR="00D731B4" w:rsidRPr="000C0D60">
        <w:t xml:space="preserve"> </w:t>
      </w:r>
      <w:r w:rsidRPr="000C0D60">
        <w:t>because the number of customers connected to the network drives the demand and the infrastructure required to meet that demand.</w:t>
      </w:r>
      <w:r>
        <w:rPr>
          <w:rStyle w:val="FootnoteReference"/>
        </w:rPr>
        <w:footnoteReference w:id="17"/>
      </w:r>
      <w:r>
        <w:t xml:space="preserve"> A</w:t>
      </w:r>
      <w:r w:rsidRPr="00E504E2">
        <w:t>s expected, this measure favo</w:t>
      </w:r>
      <w:r>
        <w:t>u</w:t>
      </w:r>
      <w:r w:rsidRPr="00E504E2">
        <w:t>rs DNSPs with higher customer density.</w:t>
      </w:r>
    </w:p>
    <w:p w:rsidR="00CB580A" w:rsidRDefault="00CB580A" w:rsidP="00CB580A">
      <w:pPr>
        <w:pStyle w:val="Caption"/>
      </w:pPr>
      <w:bookmarkStart w:id="55" w:name="_Ref432778045"/>
      <w:r>
        <w:t xml:space="preserve">Figure </w:t>
      </w:r>
      <w:r w:rsidRPr="00AB7DA0">
        <w:fldChar w:fldCharType="begin"/>
      </w:r>
      <w:r>
        <w:instrText xml:space="preserve"> SEQ Figure \* ARABIC </w:instrText>
      </w:r>
      <w:r w:rsidRPr="00AB7DA0">
        <w:fldChar w:fldCharType="separate"/>
      </w:r>
      <w:r w:rsidR="00BE7268">
        <w:rPr>
          <w:noProof/>
        </w:rPr>
        <w:t>9</w:t>
      </w:r>
      <w:r w:rsidRPr="00AB7DA0">
        <w:fldChar w:fldCharType="end"/>
      </w:r>
      <w:bookmarkEnd w:id="55"/>
      <w:r>
        <w:tab/>
      </w:r>
      <w:r w:rsidR="00AA4573">
        <w:tab/>
      </w:r>
      <w:r>
        <w:t xml:space="preserve">Total cost per customer ($2015) against customer density (average 2011–15) </w:t>
      </w:r>
    </w:p>
    <w:p w:rsidR="00CB580A" w:rsidRDefault="00185078" w:rsidP="00CB580A">
      <w:r>
        <w:rPr>
          <w:noProof/>
          <w:lang w:eastAsia="en-AU"/>
        </w:rPr>
        <w:drawing>
          <wp:inline distT="0" distB="0" distL="0" distR="0" wp14:anchorId="300CF213" wp14:editId="7BAF9ACA">
            <wp:extent cx="5124090" cy="3664277"/>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21951" cy="3662747"/>
                    </a:xfrm>
                    <a:prstGeom prst="rect">
                      <a:avLst/>
                    </a:prstGeom>
                    <a:noFill/>
                  </pic:spPr>
                </pic:pic>
              </a:graphicData>
            </a:graphic>
          </wp:inline>
        </w:drawing>
      </w:r>
    </w:p>
    <w:p w:rsidR="00CB580A" w:rsidRDefault="00CB580A" w:rsidP="00CB580A">
      <w:r>
        <w:t xml:space="preserve">Under this measure, the Victorian and South Australian DNSPs perform the best in their combined use of </w:t>
      </w:r>
      <w:proofErr w:type="spellStart"/>
      <w:r>
        <w:t>opex</w:t>
      </w:r>
      <w:proofErr w:type="spellEnd"/>
      <w:r>
        <w:t xml:space="preserve"> and assets. They have the lowest ratio of cost to customers, despite their differing customer densities, of between approximately $400 and $800 per customer. </w:t>
      </w:r>
    </w:p>
    <w:p w:rsidR="00CB580A" w:rsidRDefault="00CB580A" w:rsidP="00CB580A">
      <w:r>
        <w:lastRenderedPageBreak/>
        <w:t>Ergon Energy and Essential Energy have the highest cost per customer, spending approximately double</w:t>
      </w:r>
      <w:r w:rsidRPr="00FA3723">
        <w:t xml:space="preserve"> the </w:t>
      </w:r>
      <w:r>
        <w:t>cost</w:t>
      </w:r>
      <w:r w:rsidRPr="00FA3723">
        <w:t xml:space="preserve"> per customer </w:t>
      </w:r>
      <w:r>
        <w:t xml:space="preserve">than many DNSPs including SA Power Networks and </w:t>
      </w:r>
      <w:proofErr w:type="spellStart"/>
      <w:r>
        <w:t>Powercor</w:t>
      </w:r>
      <w:proofErr w:type="spellEnd"/>
      <w:r>
        <w:t xml:space="preserve"> which are also </w:t>
      </w:r>
      <w:r w:rsidR="005E19AA">
        <w:t>low density</w:t>
      </w:r>
      <w:r>
        <w:t xml:space="preserve"> networks. This </w:t>
      </w:r>
      <w:proofErr w:type="gramStart"/>
      <w:r>
        <w:t>may be partially explained</w:t>
      </w:r>
      <w:proofErr w:type="gramEnd"/>
      <w:r>
        <w:t xml:space="preserve"> by</w:t>
      </w:r>
      <w:r w:rsidRPr="00FA3723">
        <w:t xml:space="preserve"> </w:t>
      </w:r>
      <w:r>
        <w:t>their</w:t>
      </w:r>
      <w:r w:rsidRPr="00FA3723">
        <w:t xml:space="preserve"> </w:t>
      </w:r>
      <w:r>
        <w:t xml:space="preserve">relatively </w:t>
      </w:r>
      <w:r w:rsidRPr="00FA3723">
        <w:t>low customer density</w:t>
      </w:r>
      <w:r>
        <w:t xml:space="preserve"> as discussed earlier. </w:t>
      </w:r>
      <w:proofErr w:type="spellStart"/>
      <w:r>
        <w:t>Ausgrid</w:t>
      </w:r>
      <w:proofErr w:type="spellEnd"/>
      <w:r>
        <w:t xml:space="preserve">, </w:t>
      </w:r>
      <w:proofErr w:type="spellStart"/>
      <w:r>
        <w:t>ActewAGL</w:t>
      </w:r>
      <w:proofErr w:type="spellEnd"/>
      <w:r>
        <w:t xml:space="preserve">, Endeavour Energy, Energex and </w:t>
      </w:r>
      <w:proofErr w:type="spellStart"/>
      <w:r>
        <w:t>TasNetworks</w:t>
      </w:r>
      <w:proofErr w:type="spellEnd"/>
      <w:r>
        <w:t xml:space="preserve"> have </w:t>
      </w:r>
      <w:r w:rsidR="000C259C">
        <w:t xml:space="preserve">either </w:t>
      </w:r>
      <w:r>
        <w:t xml:space="preserve">higher </w:t>
      </w:r>
      <w:r w:rsidR="000C259C">
        <w:t xml:space="preserve">or comparable </w:t>
      </w:r>
      <w:r>
        <w:t xml:space="preserve">costs per customer than SA Power Networks and </w:t>
      </w:r>
      <w:proofErr w:type="spellStart"/>
      <w:r>
        <w:t>Powercor</w:t>
      </w:r>
      <w:proofErr w:type="spellEnd"/>
      <w:r>
        <w:t xml:space="preserve">. We would expect them to </w:t>
      </w:r>
      <w:proofErr w:type="gramStart"/>
      <w:r>
        <w:t>be positioned</w:t>
      </w:r>
      <w:proofErr w:type="gramEnd"/>
      <w:r>
        <w:t xml:space="preserve"> lower on the chart given their comparatively higher customer densities.</w:t>
      </w:r>
    </w:p>
    <w:p w:rsidR="00CB580A" w:rsidRPr="00251E77" w:rsidRDefault="00CB580A" w:rsidP="00251E77">
      <w:pPr>
        <w:pStyle w:val="HeadingBoldItalic"/>
      </w:pPr>
      <w:r w:rsidRPr="00251E77">
        <w:t>Total cost per MW of maximum d</w:t>
      </w:r>
      <w:bookmarkStart w:id="56" w:name="_GoBack"/>
      <w:bookmarkEnd w:id="56"/>
      <w:r w:rsidRPr="00251E77">
        <w:t>emand</w:t>
      </w:r>
    </w:p>
    <w:p w:rsidR="00CB580A" w:rsidRDefault="00CB580A" w:rsidP="00CB580A">
      <w:r>
        <w:fldChar w:fldCharType="begin"/>
      </w:r>
      <w:r>
        <w:instrText xml:space="preserve"> REF _Ref424223495 \h </w:instrText>
      </w:r>
      <w:r>
        <w:fldChar w:fldCharType="separate"/>
      </w:r>
      <w:r w:rsidR="00BE7268">
        <w:t xml:space="preserve">Figure </w:t>
      </w:r>
      <w:r w:rsidR="00BE7268">
        <w:rPr>
          <w:noProof/>
        </w:rPr>
        <w:t>10</w:t>
      </w:r>
      <w:r>
        <w:fldChar w:fldCharType="end"/>
      </w:r>
      <w:r>
        <w:t xml:space="preserve"> shows </w:t>
      </w:r>
      <w:r w:rsidRPr="00235329">
        <w:t xml:space="preserve">total cost </w:t>
      </w:r>
      <w:r>
        <w:t xml:space="preserve">per </w:t>
      </w:r>
      <w:r w:rsidRPr="00235329">
        <w:t>MW of maximum demand</w:t>
      </w:r>
      <w:r>
        <w:t xml:space="preserve"> on the vertical axis and customer density on the horizontal axis. </w:t>
      </w:r>
      <w:r w:rsidR="00D447E9">
        <w:t xml:space="preserve">DNSPs aim to ensure that they meet demand when it is at its peak. </w:t>
      </w:r>
      <w:proofErr w:type="gramStart"/>
      <w:r w:rsidR="00D447E9">
        <w:t>Thus</w:t>
      </w:r>
      <w:proofErr w:type="gramEnd"/>
      <w:r w:rsidR="00D447E9">
        <w:t xml:space="preserve"> they will install assets to meet maximum demand</w:t>
      </w:r>
      <w:r>
        <w:t xml:space="preserve">. Maximum demand is also an indirect driver of </w:t>
      </w:r>
      <w:proofErr w:type="spellStart"/>
      <w:r>
        <w:t>opex</w:t>
      </w:r>
      <w:proofErr w:type="spellEnd"/>
      <w:r>
        <w:t xml:space="preserve"> because the assets installed to meet demand will ultimately require maintenance (</w:t>
      </w:r>
      <w:proofErr w:type="spellStart"/>
      <w:r>
        <w:t>opex</w:t>
      </w:r>
      <w:proofErr w:type="spellEnd"/>
      <w:r>
        <w:t>). A</w:t>
      </w:r>
      <w:r w:rsidRPr="00E504E2">
        <w:t>s expected, this measure favo</w:t>
      </w:r>
      <w:r>
        <w:t>u</w:t>
      </w:r>
      <w:r w:rsidRPr="00E504E2">
        <w:t>rs DNSPs with higher customer density</w:t>
      </w:r>
      <w:r>
        <w:t>. However, the spread of results is narrower than for some other metrics.</w:t>
      </w:r>
    </w:p>
    <w:p w:rsidR="00CB580A" w:rsidRPr="00E13C51" w:rsidRDefault="00CB580A" w:rsidP="00CB580A">
      <w:pPr>
        <w:pStyle w:val="Caption"/>
      </w:pPr>
      <w:bookmarkStart w:id="57" w:name="_Ref404162592"/>
      <w:bookmarkStart w:id="58" w:name="_Ref424223495"/>
      <w:r>
        <w:t xml:space="preserve">Figure </w:t>
      </w:r>
      <w:r w:rsidRPr="00AB7DA0">
        <w:fldChar w:fldCharType="begin"/>
      </w:r>
      <w:r>
        <w:instrText xml:space="preserve"> SEQ Figure \* ARABIC </w:instrText>
      </w:r>
      <w:r w:rsidRPr="00AB7DA0">
        <w:fldChar w:fldCharType="separate"/>
      </w:r>
      <w:r w:rsidR="00BE7268">
        <w:rPr>
          <w:noProof/>
        </w:rPr>
        <w:t>10</w:t>
      </w:r>
      <w:r w:rsidRPr="00AB7DA0">
        <w:fldChar w:fldCharType="end"/>
      </w:r>
      <w:bookmarkEnd w:id="57"/>
      <w:bookmarkEnd w:id="58"/>
      <w:r>
        <w:tab/>
        <w:t>Total cost per MW of maximum demand ($2015) against customer density (average 2011–15)</w:t>
      </w:r>
    </w:p>
    <w:p w:rsidR="00CB580A" w:rsidRPr="00645B85" w:rsidRDefault="00185078" w:rsidP="00CB580A">
      <w:r>
        <w:rPr>
          <w:noProof/>
          <w:lang w:eastAsia="en-AU"/>
        </w:rPr>
        <w:drawing>
          <wp:inline distT="0" distB="0" distL="0" distR="0" wp14:anchorId="1AD23A0F" wp14:editId="0E0A22E6">
            <wp:extent cx="4902848" cy="3459193"/>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04296" cy="3460215"/>
                    </a:xfrm>
                    <a:prstGeom prst="rect">
                      <a:avLst/>
                    </a:prstGeom>
                    <a:noFill/>
                  </pic:spPr>
                </pic:pic>
              </a:graphicData>
            </a:graphic>
          </wp:inline>
        </w:drawing>
      </w:r>
    </w:p>
    <w:p w:rsidR="00CB580A" w:rsidRDefault="00CB580A" w:rsidP="00CB580A">
      <w:r>
        <w:t xml:space="preserve">Under this measure, the Victorian DNSPs (excluding AusNet Services) perform the best in their combined use of </w:t>
      </w:r>
      <w:proofErr w:type="spellStart"/>
      <w:r>
        <w:t>opex</w:t>
      </w:r>
      <w:proofErr w:type="spellEnd"/>
      <w:r>
        <w:t xml:space="preserve"> and assets. They spend the least per MW of maximum demand, despite their differing customer densities. </w:t>
      </w:r>
      <w:proofErr w:type="spellStart"/>
      <w:r>
        <w:t>TasNetworks</w:t>
      </w:r>
      <w:proofErr w:type="spellEnd"/>
      <w:r>
        <w:t xml:space="preserve"> and Endeavour Energy spend comparable amounts to SA Power Networks. However, AusNet Services, Energex, </w:t>
      </w:r>
      <w:proofErr w:type="spellStart"/>
      <w:r>
        <w:t>Ausgrid</w:t>
      </w:r>
      <w:proofErr w:type="spellEnd"/>
      <w:r>
        <w:t xml:space="preserve"> and </w:t>
      </w:r>
      <w:proofErr w:type="spellStart"/>
      <w:r>
        <w:t>ActewAGL</w:t>
      </w:r>
      <w:proofErr w:type="spellEnd"/>
      <w:r>
        <w:t xml:space="preserve"> spend more than these DNSPs, despite having similar or higher customer densities. </w:t>
      </w:r>
    </w:p>
    <w:p w:rsidR="006B27B1" w:rsidRDefault="006B27B1" w:rsidP="00CB580A"/>
    <w:p w:rsidR="00E76D75" w:rsidRDefault="00E76D75" w:rsidP="00CB580A"/>
    <w:p w:rsidR="00CB580A" w:rsidRPr="00251E77" w:rsidRDefault="00CB580A" w:rsidP="00251E77">
      <w:pPr>
        <w:pStyle w:val="HeadingBoldItalic"/>
      </w:pPr>
      <w:r w:rsidRPr="00251E77">
        <w:t xml:space="preserve">Total cost per km of </w:t>
      </w:r>
      <w:r w:rsidR="00142163">
        <w:t xml:space="preserve">circuit </w:t>
      </w:r>
      <w:r w:rsidRPr="00251E77">
        <w:t>line length</w:t>
      </w:r>
    </w:p>
    <w:p w:rsidR="00CB580A" w:rsidRDefault="00CB580A" w:rsidP="00CB580A">
      <w:r>
        <w:fldChar w:fldCharType="begin"/>
      </w:r>
      <w:r>
        <w:instrText xml:space="preserve"> REF _Ref433216981 \h </w:instrText>
      </w:r>
      <w:r>
        <w:fldChar w:fldCharType="separate"/>
      </w:r>
      <w:r w:rsidR="00BE7268" w:rsidRPr="00CB3108">
        <w:t xml:space="preserve">Figure </w:t>
      </w:r>
      <w:r w:rsidR="00BE7268">
        <w:rPr>
          <w:noProof/>
        </w:rPr>
        <w:t>11</w:t>
      </w:r>
      <w:r>
        <w:fldChar w:fldCharType="end"/>
      </w:r>
      <w:r>
        <w:t xml:space="preserve"> presents</w:t>
      </w:r>
      <w:r w:rsidRPr="00235329">
        <w:t xml:space="preserve"> total cost per km of </w:t>
      </w:r>
      <w:r>
        <w:t xml:space="preserve">circuit </w:t>
      </w:r>
      <w:r w:rsidRPr="00235329">
        <w:t xml:space="preserve">line length against customer density. </w:t>
      </w:r>
      <w:r w:rsidR="00142163">
        <w:t>Circuit l</w:t>
      </w:r>
      <w:r>
        <w:t xml:space="preserve">ine length is a driver of costs because it </w:t>
      </w:r>
      <w:r w:rsidRPr="004E4B4A">
        <w:t xml:space="preserve">reflects the distances over which DNSPs </w:t>
      </w:r>
      <w:r>
        <w:t xml:space="preserve">must </w:t>
      </w:r>
      <w:r w:rsidRPr="004E4B4A">
        <w:t>deliver electricity to their customers</w:t>
      </w:r>
      <w:r>
        <w:t xml:space="preserve">. </w:t>
      </w:r>
      <w:r w:rsidRPr="00D04A09">
        <w:t xml:space="preserve">As expected, this measure favours DNSPs with </w:t>
      </w:r>
      <w:r>
        <w:t>lower</w:t>
      </w:r>
      <w:r w:rsidRPr="00D04A09">
        <w:t xml:space="preserve"> customer density</w:t>
      </w:r>
      <w:r>
        <w:t>.</w:t>
      </w:r>
      <w:r w:rsidRPr="00235329">
        <w:t xml:space="preserve"> </w:t>
      </w:r>
      <w:bookmarkStart w:id="59" w:name="_Ref404157683"/>
    </w:p>
    <w:p w:rsidR="00CB580A" w:rsidRPr="00CB3108" w:rsidRDefault="00CB580A" w:rsidP="00CB580A">
      <w:pPr>
        <w:pStyle w:val="Caption"/>
      </w:pPr>
      <w:bookmarkStart w:id="60" w:name="_Ref433216981"/>
      <w:r w:rsidRPr="00CB3108">
        <w:t xml:space="preserve">Figure </w:t>
      </w:r>
      <w:r w:rsidRPr="00AB7DA0">
        <w:fldChar w:fldCharType="begin"/>
      </w:r>
      <w:r>
        <w:instrText xml:space="preserve"> SEQ Figure \* ARABIC </w:instrText>
      </w:r>
      <w:r w:rsidRPr="00AB7DA0">
        <w:fldChar w:fldCharType="separate"/>
      </w:r>
      <w:r w:rsidR="00BE7268">
        <w:rPr>
          <w:noProof/>
        </w:rPr>
        <w:t>11</w:t>
      </w:r>
      <w:r w:rsidRPr="00AB7DA0">
        <w:fldChar w:fldCharType="end"/>
      </w:r>
      <w:bookmarkEnd w:id="59"/>
      <w:bookmarkEnd w:id="60"/>
      <w:r w:rsidRPr="00CB3108">
        <w:tab/>
        <w:t xml:space="preserve">Total cost per km of </w:t>
      </w:r>
      <w:r>
        <w:t xml:space="preserve">circuit </w:t>
      </w:r>
      <w:r w:rsidRPr="00CB3108">
        <w:t>line length</w:t>
      </w:r>
      <w:r>
        <w:t xml:space="preserve"> ($2015)</w:t>
      </w:r>
      <w:r w:rsidRPr="00CB3108">
        <w:t xml:space="preserve"> </w:t>
      </w:r>
      <w:r>
        <w:t>against customer density (average 2011–2015</w:t>
      </w:r>
      <w:r w:rsidRPr="00CB3108">
        <w:t>)</w:t>
      </w:r>
    </w:p>
    <w:p w:rsidR="00CB580A" w:rsidRPr="00645B85" w:rsidRDefault="00185078" w:rsidP="00CB580A">
      <w:r>
        <w:rPr>
          <w:noProof/>
          <w:lang w:eastAsia="en-AU"/>
        </w:rPr>
        <w:drawing>
          <wp:inline distT="0" distB="0" distL="0" distR="0" wp14:anchorId="35E9960A" wp14:editId="5D2DD838">
            <wp:extent cx="4886977" cy="349369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86792" cy="3493566"/>
                    </a:xfrm>
                    <a:prstGeom prst="rect">
                      <a:avLst/>
                    </a:prstGeom>
                    <a:noFill/>
                  </pic:spPr>
                </pic:pic>
              </a:graphicData>
            </a:graphic>
          </wp:inline>
        </w:drawing>
      </w:r>
    </w:p>
    <w:p w:rsidR="00CB580A" w:rsidRDefault="00CB580A" w:rsidP="00CB580A">
      <w:r>
        <w:fldChar w:fldCharType="begin"/>
      </w:r>
      <w:r>
        <w:instrText xml:space="preserve"> REF _Ref433216981 \h </w:instrText>
      </w:r>
      <w:r>
        <w:fldChar w:fldCharType="separate"/>
      </w:r>
      <w:r w:rsidR="00BE7268" w:rsidRPr="00CB3108">
        <w:t xml:space="preserve">Figure </w:t>
      </w:r>
      <w:r w:rsidR="00BE7268">
        <w:rPr>
          <w:noProof/>
        </w:rPr>
        <w:t>11</w:t>
      </w:r>
      <w:r>
        <w:fldChar w:fldCharType="end"/>
      </w:r>
      <w:r>
        <w:t xml:space="preserve"> shows</w:t>
      </w:r>
      <w:r w:rsidRPr="00235329">
        <w:t xml:space="preserve"> </w:t>
      </w:r>
      <w:proofErr w:type="spellStart"/>
      <w:r w:rsidRPr="00235329">
        <w:t>Ausgrid</w:t>
      </w:r>
      <w:proofErr w:type="spellEnd"/>
      <w:r w:rsidRPr="00235329">
        <w:t xml:space="preserve"> and </w:t>
      </w:r>
      <w:proofErr w:type="spellStart"/>
      <w:r w:rsidRPr="00235329">
        <w:t>ActewAGL</w:t>
      </w:r>
      <w:proofErr w:type="spellEnd"/>
      <w:r w:rsidRPr="00235329">
        <w:t xml:space="preserve"> spend more per km </w:t>
      </w:r>
      <w:r>
        <w:t xml:space="preserve">of circuit line length </w:t>
      </w:r>
      <w:r w:rsidRPr="00235329">
        <w:t xml:space="preserve">than </w:t>
      </w:r>
      <w:r>
        <w:t>Jemena</w:t>
      </w:r>
      <w:r w:rsidRPr="00235329">
        <w:t xml:space="preserve"> and United Energy, </w:t>
      </w:r>
      <w:r>
        <w:t xml:space="preserve">who </w:t>
      </w:r>
      <w:r w:rsidRPr="00235329">
        <w:t>both have a higher customer density.</w:t>
      </w:r>
      <w:r>
        <w:t xml:space="preserve"> Also, Ergon Energy and Essential Energy have comparable costs per kilometre to SA Power Networks and </w:t>
      </w:r>
      <w:proofErr w:type="spellStart"/>
      <w:r>
        <w:t>Powercor</w:t>
      </w:r>
      <w:proofErr w:type="spellEnd"/>
      <w:r>
        <w:t xml:space="preserve">, despite their lower customer density. </w:t>
      </w:r>
    </w:p>
    <w:p w:rsidR="00CB580A" w:rsidRPr="00251E77" w:rsidRDefault="00CB580A" w:rsidP="00251E77">
      <w:pPr>
        <w:pStyle w:val="HeadingBoldItalic"/>
      </w:pPr>
      <w:r w:rsidRPr="00251E77">
        <w:t>Total cost per customer and reliability</w:t>
      </w:r>
    </w:p>
    <w:p w:rsidR="00CB580A" w:rsidRPr="007B16CB" w:rsidRDefault="00CB580A" w:rsidP="00CB580A">
      <w:r w:rsidRPr="007B16CB">
        <w:fldChar w:fldCharType="begin"/>
      </w:r>
      <w:r w:rsidRPr="007B16CB">
        <w:instrText xml:space="preserve"> REF _Ref404162620 \h </w:instrText>
      </w:r>
      <w:r w:rsidRPr="007B16CB">
        <w:fldChar w:fldCharType="separate"/>
      </w:r>
      <w:r w:rsidR="00BE7268" w:rsidRPr="00DB2FF3">
        <w:t xml:space="preserve">Figure </w:t>
      </w:r>
      <w:r w:rsidR="00BE7268">
        <w:rPr>
          <w:noProof/>
        </w:rPr>
        <w:t>12</w:t>
      </w:r>
      <w:r w:rsidRPr="007B16CB">
        <w:fldChar w:fldCharType="end"/>
      </w:r>
      <w:r w:rsidRPr="007B16CB">
        <w:t xml:space="preserve"> </w:t>
      </w:r>
      <w:proofErr w:type="gramStart"/>
      <w:r>
        <w:t>is a ‘per</w:t>
      </w:r>
      <w:proofErr w:type="gramEnd"/>
      <w:r>
        <w:t xml:space="preserve"> customer’ reliability metric. It compares the total cost per customer against unplanned </w:t>
      </w:r>
      <w:r w:rsidRPr="007B16CB">
        <w:t>minutes off supply per customer</w:t>
      </w:r>
      <w:r>
        <w:t xml:space="preserve">. This reliability measure excludes </w:t>
      </w:r>
      <w:r w:rsidRPr="00DB2FF3">
        <w:t>the effect of large, abnormal outage events</w:t>
      </w:r>
      <w:r>
        <w:t xml:space="preserve"> (known as major event days, or MEDs)</w:t>
      </w:r>
      <w:r w:rsidRPr="00DB2FF3">
        <w:t xml:space="preserve">. </w:t>
      </w:r>
      <w:r>
        <w:t>MEDs</w:t>
      </w:r>
      <w:r w:rsidRPr="00DB2FF3">
        <w:t xml:space="preserve"> can be unforeseeable, uncontrollable and may affect measured </w:t>
      </w:r>
      <w:r w:rsidRPr="007B16CB">
        <w:t>performance.</w:t>
      </w:r>
      <w:r>
        <w:t xml:space="preserve"> Reliability is an important service DNSPs provide to their customers and is a significant driver of DNSPs' costs. </w:t>
      </w:r>
    </w:p>
    <w:p w:rsidR="00CB580A" w:rsidRPr="00DB2FF3" w:rsidRDefault="00CB580A" w:rsidP="00CB580A">
      <w:pPr>
        <w:pStyle w:val="Caption"/>
      </w:pPr>
      <w:bookmarkStart w:id="61" w:name="_Ref404162620"/>
      <w:r w:rsidRPr="00DB2FF3">
        <w:lastRenderedPageBreak/>
        <w:t xml:space="preserve">Figure </w:t>
      </w:r>
      <w:r w:rsidRPr="00AB7DA0">
        <w:fldChar w:fldCharType="begin"/>
      </w:r>
      <w:r>
        <w:instrText xml:space="preserve"> SEQ Figure \* ARABIC </w:instrText>
      </w:r>
      <w:r w:rsidRPr="00AB7DA0">
        <w:fldChar w:fldCharType="separate"/>
      </w:r>
      <w:r w:rsidR="00BE7268">
        <w:rPr>
          <w:noProof/>
        </w:rPr>
        <w:t>12</w:t>
      </w:r>
      <w:r w:rsidRPr="00AB7DA0">
        <w:fldChar w:fldCharType="end"/>
      </w:r>
      <w:bookmarkEnd w:id="61"/>
      <w:r w:rsidRPr="00DB2FF3">
        <w:tab/>
        <w:t xml:space="preserve">Total cost per customer </w:t>
      </w:r>
      <w:r>
        <w:t xml:space="preserve">($2015) </w:t>
      </w:r>
      <w:r w:rsidRPr="00DB2FF3">
        <w:t>a</w:t>
      </w:r>
      <w:r>
        <w:t>gainst</w:t>
      </w:r>
      <w:r w:rsidRPr="00DB2FF3">
        <w:t xml:space="preserve"> </w:t>
      </w:r>
      <w:r>
        <w:t xml:space="preserve">unplanned </w:t>
      </w:r>
      <w:r w:rsidRPr="00F16D00">
        <w:t>minutes off supply per customer</w:t>
      </w:r>
      <w:r>
        <w:t xml:space="preserve"> (excluding MEDs, average 2011–15)</w:t>
      </w:r>
    </w:p>
    <w:p w:rsidR="00CB580A" w:rsidRPr="00645B85" w:rsidRDefault="00185078" w:rsidP="00CB580A">
      <w:r>
        <w:rPr>
          <w:noProof/>
          <w:lang w:eastAsia="en-AU"/>
        </w:rPr>
        <w:drawing>
          <wp:inline distT="0" distB="0" distL="0" distR="0" wp14:anchorId="42CCCD56" wp14:editId="45EE32C9">
            <wp:extent cx="4973587" cy="354545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73399" cy="3545323"/>
                    </a:xfrm>
                    <a:prstGeom prst="rect">
                      <a:avLst/>
                    </a:prstGeom>
                    <a:noFill/>
                  </pic:spPr>
                </pic:pic>
              </a:graphicData>
            </a:graphic>
          </wp:inline>
        </w:drawing>
      </w:r>
    </w:p>
    <w:p w:rsidR="007E64DF" w:rsidRPr="00A302E8" w:rsidRDefault="00CB580A" w:rsidP="00CB580A">
      <w:r w:rsidRPr="007B16CB">
        <w:t xml:space="preserve">We would </w:t>
      </w:r>
      <w:r>
        <w:t xml:space="preserve">generally </w:t>
      </w:r>
      <w:r w:rsidRPr="007B16CB">
        <w:t xml:space="preserve">expect those </w:t>
      </w:r>
      <w:r>
        <w:t>DNSPs</w:t>
      </w:r>
      <w:r w:rsidRPr="007B16CB">
        <w:t xml:space="preserve"> with </w:t>
      </w:r>
      <w:r>
        <w:t>longer network</w:t>
      </w:r>
      <w:r w:rsidR="00251E77">
        <w:t>s</w:t>
      </w:r>
      <w:r w:rsidRPr="007B16CB">
        <w:t xml:space="preserve"> </w:t>
      </w:r>
      <w:r>
        <w:t xml:space="preserve">(such as Essential Energy and Ergon Energy) </w:t>
      </w:r>
      <w:r w:rsidRPr="007B16CB">
        <w:t>to incur higher minutes off supply per customer, as they</w:t>
      </w:r>
      <w:r>
        <w:t xml:space="preserve"> may </w:t>
      </w:r>
      <w:r w:rsidRPr="007B16CB">
        <w:t>need to travel further distances when responding to outages.</w:t>
      </w:r>
      <w:r>
        <w:t xml:space="preserve"> However, Ergon Energy's minutes off supply (and its costs) are much greater than its peers, including Essential Energy, </w:t>
      </w:r>
      <w:proofErr w:type="spellStart"/>
      <w:r>
        <w:t>Powercor</w:t>
      </w:r>
      <w:proofErr w:type="spellEnd"/>
      <w:r>
        <w:t>, AusNet Services and SA Power Networks, who also operate rural networks.</w:t>
      </w:r>
    </w:p>
    <w:p w:rsidR="00A51479" w:rsidRPr="00645B85" w:rsidRDefault="00A51479" w:rsidP="00645B85"/>
    <w:p w:rsidR="00645B85" w:rsidRDefault="006F56DF" w:rsidP="00645B85">
      <w:pPr>
        <w:pStyle w:val="Heading1"/>
      </w:pPr>
      <w:bookmarkStart w:id="62" w:name="_Toc468175069"/>
      <w:r>
        <w:lastRenderedPageBreak/>
        <w:t>Interpret</w:t>
      </w:r>
      <w:r w:rsidR="000E0573">
        <w:t>ing</w:t>
      </w:r>
      <w:r>
        <w:t xml:space="preserve"> </w:t>
      </w:r>
      <w:r w:rsidR="000E0573">
        <w:t xml:space="preserve">the </w:t>
      </w:r>
      <w:r>
        <w:t>benchmarking results</w:t>
      </w:r>
      <w:bookmarkEnd w:id="62"/>
    </w:p>
    <w:p w:rsidR="00E3481D" w:rsidRPr="00E3481D" w:rsidRDefault="00E3481D" w:rsidP="00E3481D">
      <w:r>
        <w:t xml:space="preserve">In this </w:t>
      </w:r>
      <w:proofErr w:type="gramStart"/>
      <w:r>
        <w:t>section</w:t>
      </w:r>
      <w:proofErr w:type="gramEnd"/>
      <w:r>
        <w:t xml:space="preserve"> we </w:t>
      </w:r>
      <w:r w:rsidR="006F56DF">
        <w:t xml:space="preserve">consider </w:t>
      </w:r>
      <w:r>
        <w:t xml:space="preserve">the </w:t>
      </w:r>
      <w:r w:rsidR="00AA11BB">
        <w:t xml:space="preserve">variations in recent </w:t>
      </w:r>
      <w:r>
        <w:t xml:space="preserve">productivity </w:t>
      </w:r>
      <w:r w:rsidR="00AA11BB">
        <w:t>performance across the DNSPs</w:t>
      </w:r>
      <w:r>
        <w:t>, as well as the importance of considering operating environment factors.</w:t>
      </w:r>
    </w:p>
    <w:p w:rsidR="00FC6C11" w:rsidRDefault="00AA11BB" w:rsidP="00FC6C11">
      <w:pPr>
        <w:pStyle w:val="Heading2"/>
      </w:pPr>
      <w:bookmarkStart w:id="63" w:name="_Ref460523954"/>
      <w:bookmarkStart w:id="64" w:name="_Toc468175070"/>
      <w:r>
        <w:t xml:space="preserve">Variations in recent </w:t>
      </w:r>
      <w:r w:rsidR="00FC6C11">
        <w:t>productivity</w:t>
      </w:r>
      <w:r>
        <w:t xml:space="preserve"> performance</w:t>
      </w:r>
      <w:bookmarkEnd w:id="63"/>
      <w:bookmarkEnd w:id="64"/>
      <w:r w:rsidR="00FC6C11">
        <w:t xml:space="preserve"> </w:t>
      </w:r>
    </w:p>
    <w:p w:rsidR="008B347D" w:rsidRDefault="00645B85" w:rsidP="008B347D">
      <w:r>
        <w:t xml:space="preserve">Productivity </w:t>
      </w:r>
      <w:r w:rsidR="00AA11BB">
        <w:t xml:space="preserve">at </w:t>
      </w:r>
      <w:r>
        <w:t xml:space="preserve">the industry </w:t>
      </w:r>
      <w:r w:rsidR="00AA11BB">
        <w:t xml:space="preserve">level </w:t>
      </w:r>
      <w:r>
        <w:t xml:space="preserve">has been declining </w:t>
      </w:r>
      <w:r w:rsidR="006F56DF">
        <w:t>since 2007</w:t>
      </w:r>
      <w:r>
        <w:t xml:space="preserve">. </w:t>
      </w:r>
      <w:r w:rsidR="006F56DF">
        <w:t>There are a number of drivers of this, which include</w:t>
      </w:r>
      <w:r w:rsidR="008B347D">
        <w:t>:</w:t>
      </w:r>
    </w:p>
    <w:p w:rsidR="008B347D" w:rsidRDefault="00A761F0" w:rsidP="008B347D">
      <w:pPr>
        <w:pStyle w:val="AERbulletlistfirststyle"/>
      </w:pPr>
      <w:r>
        <w:t>d</w:t>
      </w:r>
      <w:r w:rsidR="006F56DF">
        <w:t xml:space="preserve">emand for network services only </w:t>
      </w:r>
      <w:r w:rsidR="004B0B4C">
        <w:t xml:space="preserve">increased </w:t>
      </w:r>
      <w:r w:rsidR="008B347D">
        <w:t>moderately or remain</w:t>
      </w:r>
      <w:r w:rsidR="004B0B4C">
        <w:t>ed</w:t>
      </w:r>
      <w:r w:rsidR="008B347D">
        <w:t xml:space="preserve"> relatively flat</w:t>
      </w:r>
      <w:r w:rsidR="00A26A17">
        <w:t xml:space="preserve"> </w:t>
      </w:r>
    </w:p>
    <w:p w:rsidR="008B347D" w:rsidRDefault="00A761F0" w:rsidP="008B347D">
      <w:pPr>
        <w:pStyle w:val="AERbulletlistfirststyle"/>
      </w:pPr>
      <w:r>
        <w:t>c</w:t>
      </w:r>
      <w:r w:rsidR="003D68DD">
        <w:t>hanges</w:t>
      </w:r>
      <w:r w:rsidR="006F56DF">
        <w:t xml:space="preserve"> to j</w:t>
      </w:r>
      <w:r w:rsidR="008B347D">
        <w:t xml:space="preserve">urisdictional regulatory </w:t>
      </w:r>
      <w:r w:rsidR="003D68DD">
        <w:t xml:space="preserve">obligations </w:t>
      </w:r>
      <w:r w:rsidR="008B347D">
        <w:t>requir</w:t>
      </w:r>
      <w:r w:rsidR="004B0B4C">
        <w:t>ed</w:t>
      </w:r>
      <w:r w:rsidR="008B347D">
        <w:t xml:space="preserve"> some DNSPs to increas</w:t>
      </w:r>
      <w:r w:rsidR="006F56DF">
        <w:t>e</w:t>
      </w:r>
      <w:r w:rsidR="008B347D">
        <w:t xml:space="preserve"> input</w:t>
      </w:r>
      <w:r w:rsidR="006F56DF">
        <w:t>s</w:t>
      </w:r>
      <w:r w:rsidR="008B347D">
        <w:t xml:space="preserve"> but without a corresponding increas</w:t>
      </w:r>
      <w:r w:rsidR="003D68DD">
        <w:t>e in</w:t>
      </w:r>
      <w:r w:rsidR="008B347D">
        <w:t xml:space="preserve"> output</w:t>
      </w:r>
      <w:r w:rsidR="003D68DD">
        <w:t>s</w:t>
      </w:r>
    </w:p>
    <w:p w:rsidR="008B347D" w:rsidRDefault="00F21B6A" w:rsidP="008B347D">
      <w:pPr>
        <w:pStyle w:val="AERbulletlistfirststyle"/>
      </w:pPr>
      <w:proofErr w:type="gramStart"/>
      <w:r>
        <w:t>inefficient</w:t>
      </w:r>
      <w:proofErr w:type="gramEnd"/>
      <w:r>
        <w:t xml:space="preserve"> use of inputs by some DNSPs</w:t>
      </w:r>
      <w:r w:rsidR="00A761F0">
        <w:t>.</w:t>
      </w:r>
    </w:p>
    <w:p w:rsidR="007101EF" w:rsidRDefault="00AA11BB" w:rsidP="00F10A7D">
      <w:r>
        <w:t>Despite the declin</w:t>
      </w:r>
      <w:r w:rsidR="00F74BE6">
        <w:t>ing</w:t>
      </w:r>
      <w:r>
        <w:t xml:space="preserve"> industry productivity</w:t>
      </w:r>
      <w:r w:rsidR="00F74BE6">
        <w:t xml:space="preserve"> trend</w:t>
      </w:r>
      <w:r>
        <w:t xml:space="preserve">, </w:t>
      </w:r>
      <w:r w:rsidR="00F74BE6">
        <w:t xml:space="preserve">there have been some considerable variations in recent productivity performance </w:t>
      </w:r>
      <w:r>
        <w:t>across the DNSPs</w:t>
      </w:r>
      <w:r w:rsidR="00F74BE6">
        <w:t xml:space="preserve">.  </w:t>
      </w:r>
      <w:r w:rsidR="009221B7">
        <w:t xml:space="preserve">As part of our ongoing benchmarking </w:t>
      </w:r>
      <w:r w:rsidR="003D68DD">
        <w:t>work,</w:t>
      </w:r>
      <w:r w:rsidR="009221B7">
        <w:t xml:space="preserve"> we intend to investigate the drivers of the declining productivity trend. In particular</w:t>
      </w:r>
      <w:r w:rsidR="00E2727B">
        <w:t xml:space="preserve">, </w:t>
      </w:r>
      <w:r w:rsidR="003D68DD">
        <w:t>we are interested in how exogenous drive</w:t>
      </w:r>
      <w:r w:rsidR="00A761F0">
        <w:t>r</w:t>
      </w:r>
      <w:r w:rsidR="003D68DD">
        <w:t>s of costs</w:t>
      </w:r>
      <w:r w:rsidR="009221B7">
        <w:t xml:space="preserve"> </w:t>
      </w:r>
      <w:r w:rsidR="003D68DD">
        <w:t xml:space="preserve">affect </w:t>
      </w:r>
      <w:r w:rsidR="009221B7">
        <w:t xml:space="preserve">productivity. </w:t>
      </w:r>
      <w:r w:rsidR="003D68DD">
        <w:t xml:space="preserve">For example, in our recent </w:t>
      </w:r>
      <w:r w:rsidR="009221B7" w:rsidRPr="009221B7">
        <w:t>Victorian DNSP determinations</w:t>
      </w:r>
      <w:r w:rsidR="003D68DD">
        <w:t xml:space="preserve"> we </w:t>
      </w:r>
      <w:r w:rsidR="003748F3">
        <w:t xml:space="preserve">considered the reasons for increasing </w:t>
      </w:r>
      <w:proofErr w:type="spellStart"/>
      <w:r w:rsidR="003748F3">
        <w:t>opex</w:t>
      </w:r>
      <w:proofErr w:type="spellEnd"/>
      <w:r w:rsidR="003748F3">
        <w:t xml:space="preserve"> and </w:t>
      </w:r>
      <w:r w:rsidR="00243B38">
        <w:t xml:space="preserve">the </w:t>
      </w:r>
      <w:r w:rsidR="003748F3">
        <w:t xml:space="preserve">decline in </w:t>
      </w:r>
      <w:proofErr w:type="spellStart"/>
      <w:r w:rsidR="003748F3">
        <w:t>opex</w:t>
      </w:r>
      <w:proofErr w:type="spellEnd"/>
      <w:r w:rsidR="003748F3">
        <w:t xml:space="preserve"> MPFP</w:t>
      </w:r>
      <w:r w:rsidR="00243B38">
        <w:t xml:space="preserve"> for the Victorian DNSPs</w:t>
      </w:r>
      <w:r w:rsidR="003748F3">
        <w:t>.</w:t>
      </w:r>
      <w:r w:rsidR="00E2727B">
        <w:rPr>
          <w:rStyle w:val="FootnoteReference"/>
        </w:rPr>
        <w:footnoteReference w:id="18"/>
      </w:r>
      <w:r w:rsidR="009221B7">
        <w:t xml:space="preserve"> </w:t>
      </w:r>
    </w:p>
    <w:p w:rsidR="000142B0" w:rsidRPr="00F10A7D" w:rsidRDefault="00243B38" w:rsidP="00F10A7D">
      <w:pPr>
        <w:rPr>
          <w:rStyle w:val="AERbody"/>
        </w:rPr>
      </w:pPr>
      <w:r>
        <w:t xml:space="preserve">We found </w:t>
      </w:r>
      <w:r>
        <w:rPr>
          <w:rStyle w:val="AERbody"/>
        </w:rPr>
        <w:t>t</w:t>
      </w:r>
      <w:r w:rsidRPr="00243B38">
        <w:rPr>
          <w:rStyle w:val="AERbody"/>
        </w:rPr>
        <w:t>here</w:t>
      </w:r>
      <w:r w:rsidR="003D68DD" w:rsidRPr="00F10A7D">
        <w:rPr>
          <w:rStyle w:val="AERbody"/>
        </w:rPr>
        <w:t xml:space="preserve"> were </w:t>
      </w:r>
      <w:r>
        <w:rPr>
          <w:rStyle w:val="AERbody"/>
        </w:rPr>
        <w:t>three main drivers of</w:t>
      </w:r>
      <w:r w:rsidR="000142B0" w:rsidRPr="00F10A7D">
        <w:rPr>
          <w:rStyle w:val="AERbody"/>
        </w:rPr>
        <w:t xml:space="preserve"> the increase in </w:t>
      </w:r>
      <w:proofErr w:type="spellStart"/>
      <w:r w:rsidR="000142B0" w:rsidRPr="00F10A7D">
        <w:rPr>
          <w:rStyle w:val="AERbody"/>
        </w:rPr>
        <w:t>opex</w:t>
      </w:r>
      <w:proofErr w:type="spellEnd"/>
      <w:r w:rsidR="000142B0" w:rsidRPr="00F10A7D">
        <w:rPr>
          <w:rStyle w:val="AERbody"/>
        </w:rPr>
        <w:t>:</w:t>
      </w:r>
    </w:p>
    <w:p w:rsidR="003D68DD" w:rsidRPr="003D68DD" w:rsidRDefault="00A761F0" w:rsidP="00F10A7D">
      <w:pPr>
        <w:pStyle w:val="ListNumber"/>
      </w:pPr>
      <w:r>
        <w:t>M</w:t>
      </w:r>
      <w:r w:rsidR="003D68DD" w:rsidRPr="003D68DD">
        <w:t>ore stringent</w:t>
      </w:r>
      <w:r w:rsidR="00CF721B" w:rsidRPr="003D68DD">
        <w:t xml:space="preserve"> </w:t>
      </w:r>
      <w:r w:rsidR="00026AB2" w:rsidRPr="003D68DD">
        <w:t>vegetation clearance</w:t>
      </w:r>
      <w:r w:rsidR="00CF721B" w:rsidRPr="003D68DD">
        <w:t xml:space="preserve"> requirements </w:t>
      </w:r>
      <w:r w:rsidR="000142B0" w:rsidRPr="003D68DD">
        <w:t>put in place under</w:t>
      </w:r>
      <w:r w:rsidR="00CF721B" w:rsidRPr="003D68DD">
        <w:t xml:space="preserve"> </w:t>
      </w:r>
      <w:r w:rsidR="00CC053F" w:rsidRPr="003D68DD">
        <w:t xml:space="preserve">the </w:t>
      </w:r>
      <w:r w:rsidR="00CC053F" w:rsidRPr="00ED2DEB">
        <w:rPr>
          <w:rStyle w:val="AERtextitalic"/>
        </w:rPr>
        <w:t>Electric</w:t>
      </w:r>
      <w:r w:rsidR="006C12DD" w:rsidRPr="00ED2DEB">
        <w:rPr>
          <w:rStyle w:val="AERtextitalic"/>
        </w:rPr>
        <w:t>ity</w:t>
      </w:r>
      <w:r w:rsidR="00CC053F" w:rsidRPr="00ED2DEB">
        <w:rPr>
          <w:rStyle w:val="AERtextitalic"/>
        </w:rPr>
        <w:t xml:space="preserve"> Safety (Electric Line Clearance) Regulations 2010</w:t>
      </w:r>
      <w:r w:rsidR="00CC053F" w:rsidRPr="003D68DD">
        <w:t xml:space="preserve"> </w:t>
      </w:r>
      <w:r>
        <w:t xml:space="preserve">had </w:t>
      </w:r>
      <w:r w:rsidR="003D68DD" w:rsidRPr="003D68DD">
        <w:t xml:space="preserve">led to higher vegetation management </w:t>
      </w:r>
      <w:proofErr w:type="spellStart"/>
      <w:r w:rsidR="003D68DD" w:rsidRPr="003D68DD">
        <w:t>opex</w:t>
      </w:r>
      <w:proofErr w:type="spellEnd"/>
      <w:r w:rsidR="00CF721B" w:rsidRPr="003D68DD">
        <w:t xml:space="preserve">. </w:t>
      </w:r>
      <w:r w:rsidR="00026AB2" w:rsidRPr="003D68DD">
        <w:t>These regulations</w:t>
      </w:r>
      <w:r w:rsidR="000142B0" w:rsidRPr="003D68DD">
        <w:t xml:space="preserve"> </w:t>
      </w:r>
      <w:proofErr w:type="gramStart"/>
      <w:r w:rsidR="003D68DD" w:rsidRPr="003D68DD">
        <w:t>were</w:t>
      </w:r>
      <w:r w:rsidR="003D68DD">
        <w:t xml:space="preserve"> </w:t>
      </w:r>
      <w:r w:rsidR="003D68DD" w:rsidRPr="003D68DD">
        <w:t>introduced</w:t>
      </w:r>
      <w:proofErr w:type="gramEnd"/>
      <w:r w:rsidR="00CF721B" w:rsidRPr="003D68DD">
        <w:t xml:space="preserve"> in June 2010 following the Black Saturday Bushfires.</w:t>
      </w:r>
    </w:p>
    <w:p w:rsidR="000142B0" w:rsidRPr="003D68DD" w:rsidRDefault="00A761F0" w:rsidP="00F10A7D">
      <w:pPr>
        <w:pStyle w:val="ListNumber"/>
      </w:pPr>
      <w:r>
        <w:t>I</w:t>
      </w:r>
      <w:r w:rsidR="000142B0" w:rsidRPr="003D68DD">
        <w:t xml:space="preserve">ncreases in vegetation management </w:t>
      </w:r>
      <w:proofErr w:type="spellStart"/>
      <w:r w:rsidR="000142B0" w:rsidRPr="003D68DD">
        <w:t>opex</w:t>
      </w:r>
      <w:proofErr w:type="spellEnd"/>
      <w:r w:rsidR="000142B0" w:rsidRPr="003D68DD">
        <w:t xml:space="preserve"> across the Victorian DNSPs </w:t>
      </w:r>
      <w:proofErr w:type="gramStart"/>
      <w:r w:rsidR="000142B0" w:rsidRPr="003D68DD">
        <w:t xml:space="preserve">were </w:t>
      </w:r>
      <w:r w:rsidR="004B0B4C">
        <w:t xml:space="preserve">probably </w:t>
      </w:r>
      <w:r w:rsidR="000142B0" w:rsidRPr="003D68DD">
        <w:t>affected</w:t>
      </w:r>
      <w:proofErr w:type="gramEnd"/>
      <w:r w:rsidR="000142B0" w:rsidRPr="003D68DD">
        <w:t xml:space="preserve"> by heavy rainfall during the period. </w:t>
      </w:r>
    </w:p>
    <w:p w:rsidR="000142B0" w:rsidRPr="003D68DD" w:rsidRDefault="004B0B4C" w:rsidP="00F10A7D">
      <w:pPr>
        <w:pStyle w:val="ListNumber"/>
      </w:pPr>
      <w:r>
        <w:t>Other additions to</w:t>
      </w:r>
      <w:r w:rsidR="00026AB2" w:rsidRPr="003D68DD">
        <w:t xml:space="preserve"> regulatory obligations following the Black Saturday bushfires</w:t>
      </w:r>
      <w:r>
        <w:t xml:space="preserve"> increased maintenance </w:t>
      </w:r>
      <w:r w:rsidRPr="00674D1B">
        <w:t>expenditure</w:t>
      </w:r>
      <w:r w:rsidR="00026AB2" w:rsidRPr="003D68DD">
        <w:t>.</w:t>
      </w:r>
      <w:r>
        <w:rPr>
          <w:rStyle w:val="FootnoteReference"/>
        </w:rPr>
        <w:footnoteReference w:id="19"/>
      </w:r>
      <w:r w:rsidR="00026AB2" w:rsidRPr="003D68DD">
        <w:t xml:space="preserve">  </w:t>
      </w:r>
      <w:r w:rsidR="000142B0" w:rsidRPr="003D68DD">
        <w:t xml:space="preserve">  </w:t>
      </w:r>
    </w:p>
    <w:p w:rsidR="007101EF" w:rsidRDefault="003F5D00" w:rsidP="00F10A7D">
      <w:r>
        <w:fldChar w:fldCharType="begin"/>
      </w:r>
      <w:r>
        <w:instrText xml:space="preserve"> REF _Ref460586872 \h </w:instrText>
      </w:r>
      <w:r>
        <w:fldChar w:fldCharType="separate"/>
      </w:r>
      <w:r w:rsidR="00BE7268">
        <w:t xml:space="preserve">Figure </w:t>
      </w:r>
      <w:r w:rsidR="00BE7268">
        <w:rPr>
          <w:noProof/>
        </w:rPr>
        <w:t>13</w:t>
      </w:r>
      <w:r>
        <w:fldChar w:fldCharType="end"/>
      </w:r>
      <w:r w:rsidR="007101EF">
        <w:t xml:space="preserve"> shows the effect of these drivers on </w:t>
      </w:r>
      <w:proofErr w:type="spellStart"/>
      <w:r w:rsidR="007101EF">
        <w:t>opex</w:t>
      </w:r>
      <w:proofErr w:type="spellEnd"/>
      <w:r w:rsidR="007101EF">
        <w:t>.</w:t>
      </w:r>
    </w:p>
    <w:p w:rsidR="007101EF" w:rsidRDefault="007101EF" w:rsidP="007101EF">
      <w:pPr>
        <w:pStyle w:val="Caption"/>
      </w:pPr>
      <w:bookmarkStart w:id="65" w:name="_Ref460586872"/>
      <w:r>
        <w:lastRenderedPageBreak/>
        <w:t xml:space="preserve">Figure </w:t>
      </w:r>
      <w:fldSimple w:instr=" SEQ Figure \* ARABIC ">
        <w:r w:rsidR="00BE7268">
          <w:rPr>
            <w:noProof/>
          </w:rPr>
          <w:t>13</w:t>
        </w:r>
      </w:fldSimple>
      <w:bookmarkEnd w:id="65"/>
      <w:r>
        <w:tab/>
      </w:r>
      <w:r w:rsidRPr="007101EF">
        <w:t xml:space="preserve">Change in </w:t>
      </w:r>
      <w:r w:rsidR="00D731B4">
        <w:t xml:space="preserve">Victorian DNSP </w:t>
      </w:r>
      <w:proofErr w:type="spellStart"/>
      <w:r w:rsidRPr="007101EF">
        <w:t>opex</w:t>
      </w:r>
      <w:proofErr w:type="spellEnd"/>
      <w:r w:rsidRPr="007101EF">
        <w:t xml:space="preserve"> </w:t>
      </w:r>
      <w:r w:rsidR="00500960">
        <w:t xml:space="preserve">($2015) </w:t>
      </w:r>
      <w:r w:rsidRPr="007101EF">
        <w:t>relative to 2009</w:t>
      </w:r>
      <w:r w:rsidR="00632A9E">
        <w:t xml:space="preserve"> –</w:t>
      </w:r>
      <w:r w:rsidRPr="007101EF">
        <w:t xml:space="preserve"> index measure </w:t>
      </w:r>
    </w:p>
    <w:p w:rsidR="007101EF" w:rsidRDefault="007101EF" w:rsidP="007101EF">
      <w:r w:rsidRPr="007101EF">
        <w:rPr>
          <w:noProof/>
          <w:lang w:eastAsia="en-AU"/>
        </w:rPr>
        <w:drawing>
          <wp:inline distT="0" distB="0" distL="0" distR="0" wp14:anchorId="5E1F1AFD" wp14:editId="6A5B512C">
            <wp:extent cx="5382895" cy="3502025"/>
            <wp:effectExtent l="0" t="0" r="825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82895" cy="3502025"/>
                    </a:xfrm>
                    <a:prstGeom prst="rect">
                      <a:avLst/>
                    </a:prstGeom>
                    <a:noFill/>
                    <a:ln>
                      <a:noFill/>
                    </a:ln>
                  </pic:spPr>
                </pic:pic>
              </a:graphicData>
            </a:graphic>
          </wp:inline>
        </w:drawing>
      </w:r>
    </w:p>
    <w:p w:rsidR="007101EF" w:rsidRPr="004D6077" w:rsidRDefault="00500960" w:rsidP="004D6077">
      <w:pPr>
        <w:pStyle w:val="AERtablesource"/>
      </w:pPr>
      <w:r w:rsidRPr="004D6077">
        <w:t>S</w:t>
      </w:r>
      <w:r w:rsidR="004D6077">
        <w:t>ource:</w:t>
      </w:r>
      <w:r w:rsidR="004B100C">
        <w:t xml:space="preserve"> </w:t>
      </w:r>
      <w:r w:rsidR="004B100C">
        <w:tab/>
        <w:t xml:space="preserve">AER, </w:t>
      </w:r>
      <w:proofErr w:type="spellStart"/>
      <w:r w:rsidR="004B100C" w:rsidRPr="004B100C">
        <w:t>Powercor</w:t>
      </w:r>
      <w:proofErr w:type="spellEnd"/>
      <w:r w:rsidR="004B100C" w:rsidRPr="004B100C">
        <w:t xml:space="preserve"> distribution determination final decision 2016–20</w:t>
      </w:r>
      <w:r w:rsidR="004B100C">
        <w:t xml:space="preserve">, </w:t>
      </w:r>
      <w:r w:rsidR="004B100C" w:rsidRPr="004B100C">
        <w:t>Attachment 7 – Operating expenditure</w:t>
      </w:r>
      <w:r w:rsidR="004B100C">
        <w:t xml:space="preserve">, </w:t>
      </w:r>
      <w:r w:rsidRPr="004D6077">
        <w:t>AER</w:t>
      </w:r>
      <w:r w:rsidR="004B100C">
        <w:t>, May 2016</w:t>
      </w:r>
      <w:proofErr w:type="gramStart"/>
      <w:r w:rsidR="004B100C">
        <w:t>,,</w:t>
      </w:r>
      <w:proofErr w:type="gramEnd"/>
      <w:r w:rsidR="004B100C">
        <w:t xml:space="preserve"> p. 7-35.</w:t>
      </w:r>
    </w:p>
    <w:p w:rsidR="00A307B2" w:rsidRPr="003D68DD" w:rsidRDefault="003D68DD" w:rsidP="00F10A7D">
      <w:r>
        <w:t xml:space="preserve">Going forward we do not expect </w:t>
      </w:r>
      <w:r w:rsidR="00243B38">
        <w:t xml:space="preserve">these </w:t>
      </w:r>
      <w:r w:rsidR="00A761F0">
        <w:t xml:space="preserve">drivers </w:t>
      </w:r>
      <w:r>
        <w:t>will contribute to further productivity declines. This is borne out by our benchmarking which indicates that productivity of the Victorian DNSPs improved in 2015.</w:t>
      </w:r>
    </w:p>
    <w:p w:rsidR="00500960" w:rsidRDefault="00243B38" w:rsidP="00F10A7D">
      <w:pPr>
        <w:rPr>
          <w:rStyle w:val="AERbody"/>
        </w:rPr>
      </w:pPr>
      <w:r w:rsidRPr="00F10A7D">
        <w:rPr>
          <w:rStyle w:val="AERbody"/>
        </w:rPr>
        <w:t xml:space="preserve">Another observation from our benchmarking analysis is the improvement in </w:t>
      </w:r>
      <w:proofErr w:type="spellStart"/>
      <w:r w:rsidRPr="00F10A7D">
        <w:rPr>
          <w:rStyle w:val="AERbody"/>
        </w:rPr>
        <w:t>TasNetworks</w:t>
      </w:r>
      <w:proofErr w:type="spellEnd"/>
      <w:r w:rsidRPr="00F10A7D">
        <w:rPr>
          <w:rStyle w:val="AERbody"/>
        </w:rPr>
        <w:t xml:space="preserve">’ performance. </w:t>
      </w:r>
      <w:r w:rsidR="00A307B2" w:rsidRPr="00F10A7D">
        <w:rPr>
          <w:rStyle w:val="AERbody"/>
        </w:rPr>
        <w:t xml:space="preserve">Compared to other DNSPs, </w:t>
      </w:r>
      <w:proofErr w:type="spellStart"/>
      <w:r w:rsidR="00A307B2" w:rsidRPr="00F10A7D">
        <w:rPr>
          <w:rStyle w:val="AERbody"/>
        </w:rPr>
        <w:t>TasNetworks</w:t>
      </w:r>
      <w:proofErr w:type="spellEnd"/>
      <w:r w:rsidR="00A307B2" w:rsidRPr="00F10A7D">
        <w:rPr>
          <w:rStyle w:val="AERbody"/>
        </w:rPr>
        <w:t xml:space="preserve"> has improved its</w:t>
      </w:r>
      <w:r w:rsidR="005F456B">
        <w:rPr>
          <w:rStyle w:val="AERbody"/>
        </w:rPr>
        <w:t xml:space="preserve"> </w:t>
      </w:r>
      <w:r w:rsidR="00A307B2" w:rsidRPr="00F10A7D">
        <w:rPr>
          <w:rStyle w:val="AERbody"/>
        </w:rPr>
        <w:t xml:space="preserve">productivity in recent years and now is one of the leading </w:t>
      </w:r>
      <w:r w:rsidRPr="00F10A7D">
        <w:rPr>
          <w:rStyle w:val="AERbody"/>
        </w:rPr>
        <w:t>performers</w:t>
      </w:r>
      <w:r w:rsidR="00A307B2" w:rsidRPr="00F10A7D">
        <w:rPr>
          <w:rStyle w:val="AERbody"/>
        </w:rPr>
        <w:t xml:space="preserve"> on </w:t>
      </w:r>
      <w:proofErr w:type="spellStart"/>
      <w:r w:rsidRPr="00F10A7D">
        <w:rPr>
          <w:rStyle w:val="AERbody"/>
        </w:rPr>
        <w:t>opex</w:t>
      </w:r>
      <w:proofErr w:type="spellEnd"/>
      <w:r w:rsidRPr="00F10A7D">
        <w:rPr>
          <w:rStyle w:val="AERbody"/>
        </w:rPr>
        <w:t xml:space="preserve"> MPFP</w:t>
      </w:r>
      <w:r w:rsidR="00A307B2" w:rsidRPr="00F10A7D">
        <w:rPr>
          <w:rStyle w:val="AERbody"/>
        </w:rPr>
        <w:t>.</w:t>
      </w:r>
      <w:r>
        <w:rPr>
          <w:rStyle w:val="AERbody"/>
        </w:rPr>
        <w:t xml:space="preserve"> In 2010</w:t>
      </w:r>
      <w:r w:rsidR="00CA3064">
        <w:rPr>
          <w:rStyle w:val="AERbody"/>
        </w:rPr>
        <w:t>,</w:t>
      </w:r>
      <w:r>
        <w:rPr>
          <w:rStyle w:val="AERbody"/>
        </w:rPr>
        <w:t xml:space="preserve"> </w:t>
      </w:r>
      <w:proofErr w:type="spellStart"/>
      <w:r>
        <w:rPr>
          <w:rStyle w:val="AERbody"/>
        </w:rPr>
        <w:t>TasNetworks</w:t>
      </w:r>
      <w:proofErr w:type="spellEnd"/>
      <w:r>
        <w:rPr>
          <w:rStyle w:val="AERbody"/>
        </w:rPr>
        <w:t xml:space="preserve"> was one of the five least productive networks under our </w:t>
      </w:r>
      <w:proofErr w:type="spellStart"/>
      <w:r w:rsidR="00F21B6A">
        <w:rPr>
          <w:rStyle w:val="AERbody"/>
        </w:rPr>
        <w:t>opex</w:t>
      </w:r>
      <w:proofErr w:type="spellEnd"/>
      <w:r w:rsidR="00F21B6A">
        <w:rPr>
          <w:rStyle w:val="AERbody"/>
        </w:rPr>
        <w:t xml:space="preserve"> </w:t>
      </w:r>
      <w:r>
        <w:rPr>
          <w:rStyle w:val="AERbody"/>
        </w:rPr>
        <w:t>M</w:t>
      </w:r>
      <w:r w:rsidR="00500960">
        <w:rPr>
          <w:rStyle w:val="AERbody"/>
        </w:rPr>
        <w:t>P</w:t>
      </w:r>
      <w:r>
        <w:rPr>
          <w:rStyle w:val="AERbody"/>
        </w:rPr>
        <w:t>FP measure</w:t>
      </w:r>
      <w:r w:rsidR="004B0B4C">
        <w:rPr>
          <w:rStyle w:val="AERbody"/>
        </w:rPr>
        <w:t>.</w:t>
      </w:r>
      <w:r>
        <w:rPr>
          <w:rStyle w:val="AERbody"/>
        </w:rPr>
        <w:t xml:space="preserve"> </w:t>
      </w:r>
      <w:r w:rsidR="004B0B4C">
        <w:rPr>
          <w:rStyle w:val="AERbody"/>
        </w:rPr>
        <w:t>By</w:t>
      </w:r>
      <w:r>
        <w:rPr>
          <w:rStyle w:val="AERbody"/>
        </w:rPr>
        <w:t xml:space="preserve"> </w:t>
      </w:r>
      <w:proofErr w:type="gramStart"/>
      <w:r>
        <w:rPr>
          <w:rStyle w:val="AERbody"/>
        </w:rPr>
        <w:t>2015</w:t>
      </w:r>
      <w:proofErr w:type="gramEnd"/>
      <w:r>
        <w:rPr>
          <w:rStyle w:val="AERbody"/>
        </w:rPr>
        <w:t xml:space="preserve"> </w:t>
      </w:r>
      <w:proofErr w:type="spellStart"/>
      <w:r>
        <w:rPr>
          <w:rStyle w:val="AERbody"/>
        </w:rPr>
        <w:t>TasNetworks</w:t>
      </w:r>
      <w:proofErr w:type="spellEnd"/>
      <w:r>
        <w:rPr>
          <w:rStyle w:val="AERbody"/>
        </w:rPr>
        <w:t xml:space="preserve"> </w:t>
      </w:r>
      <w:r w:rsidR="004B0B4C">
        <w:rPr>
          <w:rStyle w:val="AERbody"/>
        </w:rPr>
        <w:t xml:space="preserve">was </w:t>
      </w:r>
      <w:r>
        <w:rPr>
          <w:rStyle w:val="AERbody"/>
        </w:rPr>
        <w:t xml:space="preserve">the second most productive DNSP. </w:t>
      </w:r>
      <w:proofErr w:type="spellStart"/>
      <w:r>
        <w:rPr>
          <w:rStyle w:val="AERbody"/>
        </w:rPr>
        <w:t>TasNetworks</w:t>
      </w:r>
      <w:proofErr w:type="spellEnd"/>
      <w:r>
        <w:rPr>
          <w:rStyle w:val="AERbody"/>
        </w:rPr>
        <w:t xml:space="preserve"> achieved these efficiencies by reducing its overhead costs when it merged with the Tasmanian transmission network service provider. </w:t>
      </w:r>
    </w:p>
    <w:p w:rsidR="001753E8" w:rsidRDefault="003F5D00" w:rsidP="00F10A7D">
      <w:pPr>
        <w:rPr>
          <w:rStyle w:val="AERbody"/>
        </w:rPr>
      </w:pPr>
      <w:r>
        <w:rPr>
          <w:rStyle w:val="AERbody"/>
        </w:rPr>
        <w:fldChar w:fldCharType="begin"/>
      </w:r>
      <w:r>
        <w:rPr>
          <w:rStyle w:val="AERbody"/>
        </w:rPr>
        <w:instrText xml:space="preserve"> REF _Ref460586902 \h </w:instrText>
      </w:r>
      <w:r>
        <w:rPr>
          <w:rStyle w:val="AERbody"/>
        </w:rPr>
      </w:r>
      <w:r>
        <w:rPr>
          <w:rStyle w:val="AERbody"/>
        </w:rPr>
        <w:fldChar w:fldCharType="separate"/>
      </w:r>
      <w:r w:rsidR="00BE7268">
        <w:t xml:space="preserve">Figure </w:t>
      </w:r>
      <w:r w:rsidR="00BE7268">
        <w:rPr>
          <w:noProof/>
        </w:rPr>
        <w:t>14</w:t>
      </w:r>
      <w:r>
        <w:rPr>
          <w:rStyle w:val="AERbody"/>
        </w:rPr>
        <w:fldChar w:fldCharType="end"/>
      </w:r>
      <w:r>
        <w:rPr>
          <w:rStyle w:val="AERbody"/>
        </w:rPr>
        <w:t xml:space="preserve"> </w:t>
      </w:r>
      <w:r w:rsidR="001753E8">
        <w:rPr>
          <w:rStyle w:val="AERbody"/>
        </w:rPr>
        <w:t xml:space="preserve">shows that </w:t>
      </w:r>
      <w:proofErr w:type="spellStart"/>
      <w:r w:rsidR="001753E8">
        <w:rPr>
          <w:rStyle w:val="AERbody"/>
        </w:rPr>
        <w:t>TasNetworks</w:t>
      </w:r>
      <w:proofErr w:type="spellEnd"/>
      <w:r w:rsidR="00F10A7D">
        <w:rPr>
          <w:rStyle w:val="AERbody"/>
        </w:rPr>
        <w:t>'</w:t>
      </w:r>
      <w:r w:rsidR="001753E8">
        <w:rPr>
          <w:rStyle w:val="AERbody"/>
        </w:rPr>
        <w:t xml:space="preserve"> maintenance has remained relatively steady</w:t>
      </w:r>
      <w:r w:rsidR="00F10A7D">
        <w:rPr>
          <w:rStyle w:val="AERbody"/>
        </w:rPr>
        <w:t>,</w:t>
      </w:r>
      <w:r w:rsidR="001753E8">
        <w:rPr>
          <w:rStyle w:val="AERbody"/>
        </w:rPr>
        <w:t xml:space="preserve"> however, its overheads have fallen since 2012.</w:t>
      </w:r>
    </w:p>
    <w:p w:rsidR="001753E8" w:rsidRDefault="001753E8" w:rsidP="00F10A7D">
      <w:pPr>
        <w:pStyle w:val="Caption"/>
        <w:rPr>
          <w:rStyle w:val="AERbody"/>
        </w:rPr>
      </w:pPr>
      <w:bookmarkStart w:id="66" w:name="_Ref460586902"/>
      <w:r>
        <w:lastRenderedPageBreak/>
        <w:t xml:space="preserve">Figure </w:t>
      </w:r>
      <w:fldSimple w:instr=" SEQ Figure \* ARABIC ">
        <w:r w:rsidR="00BE7268">
          <w:rPr>
            <w:noProof/>
          </w:rPr>
          <w:t>14</w:t>
        </w:r>
      </w:fldSimple>
      <w:bookmarkEnd w:id="66"/>
      <w:r w:rsidR="00F931F0">
        <w:t xml:space="preserve"> </w:t>
      </w:r>
      <w:r w:rsidR="00AA4573">
        <w:tab/>
      </w:r>
      <w:proofErr w:type="spellStart"/>
      <w:r>
        <w:t>TasNetworks</w:t>
      </w:r>
      <w:proofErr w:type="spellEnd"/>
      <w:r>
        <w:t xml:space="preserve"> maintenance and ove</w:t>
      </w:r>
      <w:r w:rsidRPr="001753E8">
        <w:t xml:space="preserve">rheads </w:t>
      </w:r>
      <w:proofErr w:type="spellStart"/>
      <w:r>
        <w:t>opex</w:t>
      </w:r>
      <w:proofErr w:type="spellEnd"/>
      <w:r>
        <w:t xml:space="preserve"> </w:t>
      </w:r>
      <w:r w:rsidR="00AA4573">
        <w:t>2006–</w:t>
      </w:r>
      <w:r w:rsidR="00981881">
        <w:t xml:space="preserve">2015 </w:t>
      </w:r>
      <w:r>
        <w:t>($m</w:t>
      </w:r>
      <w:r w:rsidR="007101EF">
        <w:t>illion,</w:t>
      </w:r>
      <w:r>
        <w:t xml:space="preserve"> 2015)</w:t>
      </w:r>
    </w:p>
    <w:p w:rsidR="00026AB2" w:rsidRDefault="001753E8" w:rsidP="004D6077">
      <w:pPr>
        <w:pStyle w:val="AERtablesource"/>
      </w:pPr>
      <w:r w:rsidRPr="001753E8">
        <w:rPr>
          <w:noProof/>
          <w:lang w:eastAsia="en-AU"/>
        </w:rPr>
        <w:drawing>
          <wp:inline distT="0" distB="0" distL="0" distR="0" wp14:anchorId="4C45E917" wp14:editId="310BE49C">
            <wp:extent cx="5705475" cy="2737485"/>
            <wp:effectExtent l="0" t="0" r="952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05475" cy="2737485"/>
                    </a:xfrm>
                    <a:prstGeom prst="rect">
                      <a:avLst/>
                    </a:prstGeom>
                    <a:noFill/>
                    <a:ln>
                      <a:noFill/>
                    </a:ln>
                  </pic:spPr>
                </pic:pic>
              </a:graphicData>
            </a:graphic>
          </wp:inline>
        </w:drawing>
      </w:r>
      <w:r w:rsidR="00500960" w:rsidRPr="004D6077">
        <w:t>S</w:t>
      </w:r>
      <w:r w:rsidR="004D6077">
        <w:t>ource:</w:t>
      </w:r>
      <w:r w:rsidR="004D6077">
        <w:tab/>
      </w:r>
      <w:r w:rsidR="004D6077">
        <w:tab/>
      </w:r>
      <w:r w:rsidR="00500960" w:rsidRPr="004D6077">
        <w:t>AER analysis</w:t>
      </w:r>
    </w:p>
    <w:p w:rsidR="00AD64BE" w:rsidRDefault="00C060AF" w:rsidP="00C060AF">
      <w:r w:rsidRPr="00293045">
        <w:t xml:space="preserve">The networks operating in New South Wales, Queensland, and the Australian Capital Territory continue to benchmark poorly, though we expect recent cost cutting initiatives </w:t>
      </w:r>
      <w:r w:rsidR="00ED2DEB">
        <w:t>will improve their performance</w:t>
      </w:r>
      <w:r w:rsidRPr="00293045">
        <w:t xml:space="preserve">. </w:t>
      </w:r>
      <w:proofErr w:type="spellStart"/>
      <w:r w:rsidRPr="00293045">
        <w:t>ActewAGL</w:t>
      </w:r>
      <w:proofErr w:type="spellEnd"/>
      <w:r w:rsidRPr="00293045">
        <w:t xml:space="preserve"> managed to improve its </w:t>
      </w:r>
      <w:proofErr w:type="spellStart"/>
      <w:r w:rsidRPr="00293045">
        <w:t>opex</w:t>
      </w:r>
      <w:proofErr w:type="spellEnd"/>
      <w:r w:rsidRPr="00293045">
        <w:t xml:space="preserve"> efficiency </w:t>
      </w:r>
      <w:r w:rsidR="00C10675">
        <w:t>from</w:t>
      </w:r>
      <w:r w:rsidR="00A81414">
        <w:t xml:space="preserve"> 201</w:t>
      </w:r>
      <w:r w:rsidR="00C10675">
        <w:t>4</w:t>
      </w:r>
      <w:r w:rsidR="00A81414">
        <w:t xml:space="preserve"> </w:t>
      </w:r>
      <w:r w:rsidRPr="00293045">
        <w:t xml:space="preserve">and Essential </w:t>
      </w:r>
      <w:proofErr w:type="gramStart"/>
      <w:r w:rsidRPr="00293045">
        <w:t xml:space="preserve">Energy </w:t>
      </w:r>
      <w:r w:rsidR="00775DBD">
        <w:t>also</w:t>
      </w:r>
      <w:proofErr w:type="gramEnd"/>
      <w:r w:rsidR="00775DBD">
        <w:t xml:space="preserve"> </w:t>
      </w:r>
      <w:r w:rsidRPr="00293045">
        <w:t xml:space="preserve">made </w:t>
      </w:r>
      <w:r w:rsidR="00775DBD">
        <w:t xml:space="preserve">a </w:t>
      </w:r>
      <w:r w:rsidRPr="00293045">
        <w:t xml:space="preserve">marginal improvement. </w:t>
      </w:r>
      <w:r w:rsidR="00AD64BE">
        <w:t xml:space="preserve">However, </w:t>
      </w:r>
      <w:r w:rsidRPr="00293045">
        <w:t xml:space="preserve">Ergon showed </w:t>
      </w:r>
      <w:r w:rsidR="00D67BF2">
        <w:t xml:space="preserve">a </w:t>
      </w:r>
      <w:r w:rsidRPr="00293045">
        <w:t xml:space="preserve">sizable decline in both </w:t>
      </w:r>
      <w:proofErr w:type="spellStart"/>
      <w:r w:rsidRPr="00293045">
        <w:t>opex</w:t>
      </w:r>
      <w:proofErr w:type="spellEnd"/>
      <w:r w:rsidRPr="00293045">
        <w:t xml:space="preserve"> and capex productivity. </w:t>
      </w:r>
      <w:r w:rsidR="00187CC5">
        <w:t xml:space="preserve">  It attributed its </w:t>
      </w:r>
      <w:proofErr w:type="spellStart"/>
      <w:r w:rsidR="00187CC5">
        <w:t>opex</w:t>
      </w:r>
      <w:proofErr w:type="spellEnd"/>
      <w:r w:rsidR="00187CC5">
        <w:t xml:space="preserve"> increase in 2015 to a number of reasons, including lower than normal preventative maintenance costs in 2014, higher </w:t>
      </w:r>
      <w:proofErr w:type="spellStart"/>
      <w:r w:rsidR="00187CC5">
        <w:t>opex</w:t>
      </w:r>
      <w:proofErr w:type="spellEnd"/>
      <w:r w:rsidR="00187CC5">
        <w:t xml:space="preserve"> due to weather and storm events in 2015, and writing</w:t>
      </w:r>
      <w:r w:rsidR="005B14F7">
        <w:t xml:space="preserve"> </w:t>
      </w:r>
      <w:r w:rsidR="00187CC5">
        <w:t xml:space="preserve">off non-proceeding capital works in 2015.  </w:t>
      </w:r>
    </w:p>
    <w:p w:rsidR="005B14F7" w:rsidRDefault="00C060AF" w:rsidP="00C060AF">
      <w:proofErr w:type="spellStart"/>
      <w:r w:rsidRPr="00293045">
        <w:t>Ausgrid</w:t>
      </w:r>
      <w:proofErr w:type="spellEnd"/>
      <w:r w:rsidRPr="00293045">
        <w:t xml:space="preserve"> increased </w:t>
      </w:r>
      <w:proofErr w:type="spellStart"/>
      <w:r w:rsidR="00C10675" w:rsidRPr="00293045">
        <w:t>opex</w:t>
      </w:r>
      <w:proofErr w:type="spellEnd"/>
      <w:r w:rsidR="00C10675" w:rsidRPr="00293045">
        <w:t xml:space="preserve"> </w:t>
      </w:r>
      <w:r w:rsidRPr="00293045">
        <w:t xml:space="preserve">significantly from 2014, </w:t>
      </w:r>
      <w:r w:rsidR="00AD7EBE">
        <w:t>in large part</w:t>
      </w:r>
      <w:r w:rsidRPr="00293045">
        <w:t xml:space="preserve"> </w:t>
      </w:r>
      <w:r w:rsidR="00C10675">
        <w:t>due to</w:t>
      </w:r>
      <w:r w:rsidRPr="00293045">
        <w:t xml:space="preserve"> </w:t>
      </w:r>
      <w:r w:rsidR="00532502" w:rsidRPr="00532502">
        <w:t>exit costs for long term employees, higher rent e</w:t>
      </w:r>
      <w:r w:rsidR="00740E75">
        <w:t xml:space="preserve">xpenses, and higher expenses </w:t>
      </w:r>
      <w:r w:rsidR="00532502" w:rsidRPr="00532502">
        <w:t xml:space="preserve">relating to </w:t>
      </w:r>
      <w:r w:rsidR="00740E75">
        <w:t xml:space="preserve">storms in </w:t>
      </w:r>
      <w:r w:rsidR="00532502" w:rsidRPr="00532502">
        <w:t>April</w:t>
      </w:r>
      <w:r w:rsidR="00740E75">
        <w:t xml:space="preserve"> 2015</w:t>
      </w:r>
      <w:r w:rsidR="00532502" w:rsidRPr="00532502">
        <w:t>.</w:t>
      </w:r>
      <w:r w:rsidR="00532502">
        <w:rPr>
          <w:rStyle w:val="FootnoteReference"/>
        </w:rPr>
        <w:footnoteReference w:id="20"/>
      </w:r>
      <w:r w:rsidRPr="00293045">
        <w:t xml:space="preserve"> </w:t>
      </w:r>
      <w:r w:rsidR="004B100C">
        <w:t xml:space="preserve">The effect of the exit costs is </w:t>
      </w:r>
      <w:proofErr w:type="gramStart"/>
      <w:r w:rsidR="004B100C">
        <w:t>significant</w:t>
      </w:r>
      <w:proofErr w:type="gramEnd"/>
      <w:r w:rsidR="004B100C">
        <w:t xml:space="preserve"> as </w:t>
      </w:r>
      <w:proofErr w:type="spellStart"/>
      <w:r w:rsidR="004B100C" w:rsidRPr="007659E0">
        <w:t>Ausgrid</w:t>
      </w:r>
      <w:proofErr w:type="spellEnd"/>
      <w:r w:rsidR="004B100C" w:rsidRPr="007659E0">
        <w:t xml:space="preserve"> </w:t>
      </w:r>
      <w:r w:rsidR="004B100C">
        <w:t>has reduced its</w:t>
      </w:r>
      <w:r w:rsidR="004B100C" w:rsidRPr="007659E0">
        <w:t xml:space="preserve"> staff numbers by 29 per cent between 2011 and 2015.</w:t>
      </w:r>
      <w:r w:rsidR="004B100C" w:rsidRPr="007659E0">
        <w:rPr>
          <w:rStyle w:val="FootnoteReference"/>
        </w:rPr>
        <w:footnoteReference w:id="21"/>
      </w:r>
      <w:r w:rsidR="004B100C" w:rsidRPr="007659E0">
        <w:t xml:space="preserve"> </w:t>
      </w:r>
      <w:r w:rsidR="005B14F7">
        <w:t xml:space="preserve">If we were </w:t>
      </w:r>
      <w:r w:rsidR="00C10675">
        <w:t>to simply</w:t>
      </w:r>
      <w:r w:rsidR="005B14F7">
        <w:t xml:space="preserve"> adjust </w:t>
      </w:r>
      <w:proofErr w:type="spellStart"/>
      <w:r w:rsidR="005B14F7">
        <w:t>Ausgrid's</w:t>
      </w:r>
      <w:proofErr w:type="spellEnd"/>
      <w:r w:rsidR="00954D8B">
        <w:t xml:space="preserve"> </w:t>
      </w:r>
      <w:proofErr w:type="spellStart"/>
      <w:r w:rsidR="00FF67AA">
        <w:t>opex</w:t>
      </w:r>
      <w:proofErr w:type="spellEnd"/>
      <w:r w:rsidR="00FF67AA">
        <w:t xml:space="preserve"> to </w:t>
      </w:r>
      <w:r w:rsidR="00954D8B">
        <w:t>exclude</w:t>
      </w:r>
      <w:r w:rsidR="00FF67AA">
        <w:t xml:space="preserve"> </w:t>
      </w:r>
      <w:r w:rsidR="00040490">
        <w:t xml:space="preserve">voluntary </w:t>
      </w:r>
      <w:r w:rsidR="00FF67AA">
        <w:t>redundancy costs</w:t>
      </w:r>
      <w:r w:rsidR="00040490">
        <w:t xml:space="preserve"> </w:t>
      </w:r>
      <w:r w:rsidR="00FF67AA">
        <w:t xml:space="preserve">and </w:t>
      </w:r>
      <w:r w:rsidR="00040490">
        <w:t xml:space="preserve">pass through cost relating to </w:t>
      </w:r>
      <w:r w:rsidR="006B27B1">
        <w:t xml:space="preserve">the </w:t>
      </w:r>
      <w:r w:rsidR="00040490">
        <w:t>April 2015 storm</w:t>
      </w:r>
      <w:r w:rsidR="00954D8B">
        <w:t>,</w:t>
      </w:r>
      <w:r w:rsidR="00FF67AA">
        <w:t xml:space="preserve"> </w:t>
      </w:r>
      <w:r w:rsidR="005B14F7">
        <w:t>its</w:t>
      </w:r>
      <w:r w:rsidR="00954D8B">
        <w:t xml:space="preserve"> MTFP and </w:t>
      </w:r>
      <w:proofErr w:type="spellStart"/>
      <w:r w:rsidR="00954D8B">
        <w:t>opex</w:t>
      </w:r>
      <w:proofErr w:type="spellEnd"/>
      <w:r w:rsidR="00954D8B">
        <w:t xml:space="preserve"> MPFP scores in 2015 increase by 9 per cent and 27 per cent respect</w:t>
      </w:r>
      <w:r w:rsidR="00AD64BE">
        <w:t>i</w:t>
      </w:r>
      <w:r w:rsidR="00954D8B">
        <w:t>vely relative to unadjusted scores (as reported in section 2).</w:t>
      </w:r>
      <w:r w:rsidR="007659E0">
        <w:rPr>
          <w:rStyle w:val="FootnoteReference"/>
        </w:rPr>
        <w:footnoteReference w:id="22"/>
      </w:r>
      <w:r w:rsidR="00954D8B">
        <w:t xml:space="preserve"> </w:t>
      </w:r>
      <w:r w:rsidR="005B14F7">
        <w:t>We have not done this, however, because</w:t>
      </w:r>
      <w:r w:rsidR="004B100C">
        <w:t xml:space="preserve"> other DNSPs have also incurred storm and redundancy costs and </w:t>
      </w:r>
      <w:r w:rsidR="005B14F7">
        <w:t xml:space="preserve">we do not </w:t>
      </w:r>
      <w:r w:rsidR="004B100C">
        <w:t xml:space="preserve">currently </w:t>
      </w:r>
      <w:r w:rsidR="005B14F7">
        <w:t xml:space="preserve">have the data to make consistent </w:t>
      </w:r>
      <w:r w:rsidR="005B14F7">
        <w:lastRenderedPageBreak/>
        <w:t>adjustments across all DNSPs.</w:t>
      </w:r>
      <w:r w:rsidR="00244A15">
        <w:rPr>
          <w:rStyle w:val="FootnoteReference"/>
        </w:rPr>
        <w:footnoteReference w:id="23"/>
      </w:r>
      <w:r w:rsidR="005B14F7">
        <w:t xml:space="preserve"> </w:t>
      </w:r>
      <w:r w:rsidR="004B100C">
        <w:t xml:space="preserve">Further, careful consideration </w:t>
      </w:r>
      <w:proofErr w:type="gramStart"/>
      <w:r w:rsidR="004B100C">
        <w:t>must be given</w:t>
      </w:r>
      <w:proofErr w:type="gramEnd"/>
      <w:r w:rsidR="004B100C">
        <w:t xml:space="preserve"> to if</w:t>
      </w:r>
      <w:r w:rsidR="00C10675">
        <w:t>,</w:t>
      </w:r>
      <w:r w:rsidR="004B100C">
        <w:t xml:space="preserve"> and when</w:t>
      </w:r>
      <w:r w:rsidR="00C10675">
        <w:t>,</w:t>
      </w:r>
      <w:r w:rsidR="004B100C">
        <w:t xml:space="preserve"> costs are excluded from the benchmarking analysis.</w:t>
      </w:r>
    </w:p>
    <w:p w:rsidR="00C060AF" w:rsidRDefault="007659E0" w:rsidP="00C060AF">
      <w:r>
        <w:t>We consider these significant downsizing of labour force and restructuring programs</w:t>
      </w:r>
      <w:r w:rsidR="00F95625">
        <w:t xml:space="preserve"> </w:t>
      </w:r>
      <w:r w:rsidR="006A5439">
        <w:t xml:space="preserve">currently </w:t>
      </w:r>
      <w:r w:rsidR="00F95625">
        <w:t>undertaken by the New South Wales networks</w:t>
      </w:r>
      <w:r>
        <w:t xml:space="preserve"> will ultimately flow through to productivity improvements in the future. It </w:t>
      </w:r>
      <w:r w:rsidR="00F95625">
        <w:t>may not be</w:t>
      </w:r>
      <w:r>
        <w:t xml:space="preserve"> evident </w:t>
      </w:r>
      <w:r w:rsidR="00F95625">
        <w:t xml:space="preserve">in </w:t>
      </w:r>
      <w:r>
        <w:t>the productivity performance</w:t>
      </w:r>
      <w:r w:rsidR="00F95625">
        <w:t xml:space="preserve"> results in 2015 in part because of the high transitional costs </w:t>
      </w:r>
      <w:r w:rsidR="005B14F7">
        <w:t xml:space="preserve">these DNSPs have </w:t>
      </w:r>
      <w:r w:rsidR="00F95625">
        <w:t xml:space="preserve">incurred </w:t>
      </w:r>
      <w:r w:rsidR="005B14F7">
        <w:t>in</w:t>
      </w:r>
      <w:r w:rsidR="00F95625">
        <w:t xml:space="preserve"> reforming their businesses.    </w:t>
      </w:r>
      <w:r>
        <w:t xml:space="preserve">    </w:t>
      </w:r>
      <w:r w:rsidR="00AD64BE">
        <w:t xml:space="preserve"> </w:t>
      </w:r>
      <w:r w:rsidR="00954D8B">
        <w:t xml:space="preserve"> </w:t>
      </w:r>
    </w:p>
    <w:p w:rsidR="00FC6C11" w:rsidRPr="00714E19" w:rsidRDefault="00FC6C11">
      <w:pPr>
        <w:pStyle w:val="Heading2"/>
      </w:pPr>
      <w:bookmarkStart w:id="67" w:name="_Toc460570109"/>
      <w:bookmarkStart w:id="68" w:name="_Toc460570110"/>
      <w:bookmarkStart w:id="69" w:name="_Toc460570111"/>
      <w:bookmarkStart w:id="70" w:name="_Toc460570112"/>
      <w:bookmarkStart w:id="71" w:name="_Toc460570113"/>
      <w:bookmarkStart w:id="72" w:name="_Toc460570114"/>
      <w:bookmarkStart w:id="73" w:name="_Toc460570115"/>
      <w:bookmarkStart w:id="74" w:name="_Toc460570116"/>
      <w:bookmarkStart w:id="75" w:name="_Toc460570117"/>
      <w:bookmarkStart w:id="76" w:name="_Toc460570118"/>
      <w:bookmarkStart w:id="77" w:name="_Toc460570119"/>
      <w:bookmarkStart w:id="78" w:name="_Toc460570120"/>
      <w:bookmarkStart w:id="79" w:name="_Toc460570121"/>
      <w:bookmarkStart w:id="80" w:name="_Toc460570122"/>
      <w:bookmarkStart w:id="81" w:name="_Toc460570123"/>
      <w:bookmarkStart w:id="82" w:name="_Toc460570124"/>
      <w:bookmarkStart w:id="83" w:name="_Toc460570125"/>
      <w:bookmarkStart w:id="84" w:name="_Toc460570126"/>
      <w:bookmarkStart w:id="85" w:name="_Toc460570127"/>
      <w:bookmarkStart w:id="86" w:name="_Toc460570128"/>
      <w:bookmarkStart w:id="87" w:name="_Toc460570129"/>
      <w:bookmarkStart w:id="88" w:name="_Toc460570130"/>
      <w:bookmarkStart w:id="89" w:name="_Toc460570131"/>
      <w:bookmarkStart w:id="90" w:name="_Toc460570132"/>
      <w:bookmarkStart w:id="91" w:name="_Toc460570133"/>
      <w:bookmarkStart w:id="92" w:name="_Toc460570134"/>
      <w:bookmarkStart w:id="93" w:name="_Toc460570135"/>
      <w:bookmarkStart w:id="94" w:name="_Toc460570136"/>
      <w:bookmarkStart w:id="95" w:name="_Toc460570137"/>
      <w:bookmarkStart w:id="96" w:name="_Toc460570138"/>
      <w:bookmarkStart w:id="97" w:name="_Toc460570139"/>
      <w:bookmarkStart w:id="98" w:name="_Toc460570140"/>
      <w:bookmarkStart w:id="99" w:name="_Toc460570141"/>
      <w:bookmarkStart w:id="100" w:name="_Toc460570142"/>
      <w:bookmarkStart w:id="101" w:name="_Toc460570143"/>
      <w:bookmarkStart w:id="102" w:name="_Toc460570144"/>
      <w:bookmarkStart w:id="103" w:name="_Toc460570145"/>
      <w:bookmarkStart w:id="104" w:name="_Ref435609895"/>
      <w:bookmarkStart w:id="105" w:name="_Toc46817507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714E19">
        <w:t>Differences in operating environment</w:t>
      </w:r>
      <w:bookmarkEnd w:id="104"/>
      <w:bookmarkEnd w:id="105"/>
    </w:p>
    <w:p w:rsidR="00FC6C11" w:rsidRPr="008E122C" w:rsidRDefault="00FC6C11" w:rsidP="00FC6C11">
      <w:r w:rsidRPr="008E122C">
        <w:t xml:space="preserve">The networks we compare operate in different environments. The differences in operating environment can affect the relative expenditures of networks and hence their performance under benchmarking. However, differences in operating environment do not preclude us from measuring the efficiency of networks. This is because DNSPs are inherently comparable. They use a similar set of assets, such as poles, wires, transformers and cables, to provide their services to customers. Because of their similarity, distribution networks are commonly the subject of benchmarking studies and </w:t>
      </w:r>
      <w:r>
        <w:t xml:space="preserve">energy </w:t>
      </w:r>
      <w:r w:rsidRPr="008E122C">
        <w:t>regulators commonly use benchmarking.</w:t>
      </w:r>
      <w:r>
        <w:rPr>
          <w:rStyle w:val="FootnoteReference"/>
        </w:rPr>
        <w:footnoteReference w:id="24"/>
      </w:r>
      <w:r w:rsidRPr="008E122C">
        <w:t xml:space="preserve">  </w:t>
      </w:r>
    </w:p>
    <w:p w:rsidR="00500960" w:rsidRPr="008E122C" w:rsidRDefault="004E604C" w:rsidP="00500960">
      <w:proofErr w:type="gramStart"/>
      <w:r>
        <w:t>Our economic benchmarking accounts for the most significant operating environment factors (OEFs).</w:t>
      </w:r>
      <w:proofErr w:type="gramEnd"/>
      <w:r>
        <w:t xml:space="preserve">  </w:t>
      </w:r>
      <w:r w:rsidR="00500960">
        <w:t>In economic benchmarking, w</w:t>
      </w:r>
      <w:r w:rsidR="00500960" w:rsidRPr="008E122C">
        <w:t>e have adjusted</w:t>
      </w:r>
      <w:r w:rsidR="00500960">
        <w:t xml:space="preserve"> the inputs </w:t>
      </w:r>
      <w:r w:rsidR="00500960" w:rsidRPr="008E122C">
        <w:t xml:space="preserve">to </w:t>
      </w:r>
      <w:r w:rsidR="00AD7EBE">
        <w:t>e</w:t>
      </w:r>
      <w:r w:rsidR="00500960">
        <w:t>nsure similar coverage of DNSP activities</w:t>
      </w:r>
      <w:r w:rsidR="00500960" w:rsidRPr="008E122C">
        <w:t xml:space="preserve">. </w:t>
      </w:r>
      <w:r w:rsidR="00500960">
        <w:t>W</w:t>
      </w:r>
      <w:r w:rsidR="00500960" w:rsidRPr="008E122C">
        <w:t>e have chosen to benchmark only the core 'poles and wires' component of distribution services</w:t>
      </w:r>
      <w:r w:rsidR="00500960">
        <w:t xml:space="preserve"> by </w:t>
      </w:r>
      <w:r w:rsidR="00500960" w:rsidRPr="008E122C">
        <w:t>exclud</w:t>
      </w:r>
      <w:r w:rsidR="00500960">
        <w:t>ing</w:t>
      </w:r>
      <w:r w:rsidR="00500960" w:rsidRPr="008E122C">
        <w:t xml:space="preserve"> </w:t>
      </w:r>
      <w:proofErr w:type="spellStart"/>
      <w:r w:rsidR="00500960">
        <w:t>opex</w:t>
      </w:r>
      <w:proofErr w:type="spellEnd"/>
      <w:r w:rsidR="00500960" w:rsidRPr="008E122C">
        <w:t xml:space="preserve"> and assets associated with other services that distributors </w:t>
      </w:r>
      <w:r w:rsidR="00500960">
        <w:t xml:space="preserve">sometimes </w:t>
      </w:r>
      <w:r w:rsidR="00500960" w:rsidRPr="008E122C">
        <w:t xml:space="preserve">provide including metering and public lighting. We have also excluded the costs of solar feed in tariffs </w:t>
      </w:r>
      <w:r w:rsidR="00244A15">
        <w:t xml:space="preserve">and </w:t>
      </w:r>
      <w:r w:rsidR="00500960" w:rsidRPr="008E122C">
        <w:t>account</w:t>
      </w:r>
      <w:r w:rsidR="00244A15">
        <w:t>ed</w:t>
      </w:r>
      <w:r w:rsidR="00500960" w:rsidRPr="008E122C">
        <w:t xml:space="preserve"> for differences in the boundary between transmission and distribution </w:t>
      </w:r>
      <w:r w:rsidR="00244A15">
        <w:t>that affect some DNSPs.</w:t>
      </w:r>
      <w:r w:rsidR="00244A15">
        <w:rPr>
          <w:rStyle w:val="FootnoteReference"/>
        </w:rPr>
        <w:footnoteReference w:id="25"/>
      </w:r>
    </w:p>
    <w:p w:rsidR="00500960" w:rsidRPr="008E122C" w:rsidRDefault="00500960" w:rsidP="00500960">
      <w:r w:rsidRPr="008E122C">
        <w:t xml:space="preserve">By including customer numbers, network length, energy throughput and ratcheted peak demand as </w:t>
      </w:r>
      <w:proofErr w:type="gramStart"/>
      <w:r w:rsidRPr="008E122C">
        <w:t>outputs</w:t>
      </w:r>
      <w:proofErr w:type="gramEnd"/>
      <w:r w:rsidRPr="008E122C">
        <w:t xml:space="preserve"> we</w:t>
      </w:r>
      <w:r>
        <w:t xml:space="preserve"> account for the relative size of the networks. The inclusion of these variables also</w:t>
      </w:r>
      <w:r w:rsidRPr="008E122C">
        <w:t xml:space="preserve"> allow</w:t>
      </w:r>
      <w:r>
        <w:t>s</w:t>
      </w:r>
      <w:r w:rsidRPr="008E122C">
        <w:t xml:space="preserve"> for differences in</w:t>
      </w:r>
      <w:r>
        <w:t xml:space="preserve"> density such as</w:t>
      </w:r>
      <w:r w:rsidRPr="008E122C">
        <w:t xml:space="preserve"> customer density (customers per line/cable kilometre), energy density (energy delivered per customer) and demand densities (peak demand per customer and peak demand per line/c</w:t>
      </w:r>
      <w:r>
        <w:t xml:space="preserve">able </w:t>
      </w:r>
      <w:r>
        <w:lastRenderedPageBreak/>
        <w:t>kilometre) in the analysis</w:t>
      </w:r>
      <w:r w:rsidRPr="008E122C">
        <w:t>.</w:t>
      </w:r>
      <w:r>
        <w:rPr>
          <w:rStyle w:val="FootnoteReference"/>
        </w:rPr>
        <w:footnoteReference w:id="26"/>
      </w:r>
      <w:r w:rsidRPr="008E122C">
        <w:t xml:space="preserve"> </w:t>
      </w:r>
      <w:r>
        <w:t xml:space="preserve">The econometric modelling also allows for the impact of undergrounding on </w:t>
      </w:r>
      <w:proofErr w:type="spellStart"/>
      <w:r>
        <w:t>opex</w:t>
      </w:r>
      <w:proofErr w:type="spellEnd"/>
      <w:r>
        <w:t xml:space="preserve"> by including a variable for the proportion of undergrounding. </w:t>
      </w:r>
    </w:p>
    <w:p w:rsidR="00A767A1" w:rsidRPr="000359F3" w:rsidRDefault="00500960" w:rsidP="00F409D4">
      <w:pPr>
        <w:numPr>
          <w:ilvl w:val="0"/>
          <w:numId w:val="24"/>
        </w:numPr>
      </w:pPr>
      <w:r>
        <w:t>Like other economic models, our benchmarking models are simplifications of reality</w:t>
      </w:r>
      <w:r w:rsidR="0033539F">
        <w:t>. As such,</w:t>
      </w:r>
      <w:r>
        <w:t xml:space="preserve"> </w:t>
      </w:r>
      <w:r w:rsidR="00E84F1A">
        <w:t>they</w:t>
      </w:r>
      <w:r>
        <w:t xml:space="preserve"> cannot directly account for every possible difference in operating environment</w:t>
      </w:r>
      <w:r w:rsidR="0033539F">
        <w:t xml:space="preserve"> between service providers. </w:t>
      </w:r>
      <w:r w:rsidR="00036BA5">
        <w:t xml:space="preserve">Further, </w:t>
      </w:r>
      <w:r w:rsidR="00711371" w:rsidRPr="00711371">
        <w:t xml:space="preserve">we practically </w:t>
      </w:r>
      <w:r w:rsidR="00711371">
        <w:t>cannot</w:t>
      </w:r>
      <w:r w:rsidR="00A51BC8">
        <w:t xml:space="preserve"> consider all differences in operating environment </w:t>
      </w:r>
      <w:r w:rsidR="00F409D4">
        <w:t>for the purposes of</w:t>
      </w:r>
      <w:r w:rsidR="00A51BC8">
        <w:t xml:space="preserve"> this report</w:t>
      </w:r>
      <w:r w:rsidR="00E84F1A" w:rsidRPr="00E84F1A">
        <w:t xml:space="preserve">. </w:t>
      </w:r>
      <w:r w:rsidR="0033539F">
        <w:t>That said,</w:t>
      </w:r>
      <w:r w:rsidR="00036BA5">
        <w:t xml:space="preserve"> </w:t>
      </w:r>
      <w:r w:rsidR="0033539F">
        <w:t>in our determinations we consider operating environments in further detail</w:t>
      </w:r>
      <w:r w:rsidR="00711371" w:rsidRPr="00711371">
        <w:t xml:space="preserve"> where necessary</w:t>
      </w:r>
      <w:r w:rsidR="0033539F">
        <w:t xml:space="preserve">. </w:t>
      </w:r>
    </w:p>
    <w:p w:rsidR="00FC6C11" w:rsidRDefault="00861BBE" w:rsidP="00645B85">
      <w:r>
        <w:t xml:space="preserve"> </w:t>
      </w:r>
      <w:r w:rsidR="00500960">
        <w:t xml:space="preserve"> </w:t>
      </w:r>
    </w:p>
    <w:p w:rsidR="00645B85" w:rsidRDefault="00645B85" w:rsidP="00645B85">
      <w:pPr>
        <w:pStyle w:val="Heading7"/>
      </w:pPr>
      <w:bookmarkStart w:id="106" w:name="_Toc462144246"/>
      <w:bookmarkStart w:id="107" w:name="_Ref432682897"/>
      <w:bookmarkStart w:id="108" w:name="_Toc435712629"/>
      <w:bookmarkStart w:id="109" w:name="_Toc468175072"/>
      <w:bookmarkStart w:id="110" w:name="_Ref432603789"/>
      <w:bookmarkEnd w:id="106"/>
      <w:r>
        <w:lastRenderedPageBreak/>
        <w:t>References and further reading</w:t>
      </w:r>
      <w:bookmarkEnd w:id="107"/>
      <w:bookmarkEnd w:id="108"/>
      <w:bookmarkEnd w:id="109"/>
    </w:p>
    <w:p w:rsidR="00645B85" w:rsidRDefault="00645B85" w:rsidP="00645B85">
      <w:r>
        <w:t xml:space="preserve">This benchmarking report </w:t>
      </w:r>
      <w:proofErr w:type="gramStart"/>
      <w:r>
        <w:t>is informed</w:t>
      </w:r>
      <w:proofErr w:type="gramEnd"/>
      <w:r>
        <w:t xml:space="preserve"> by several sources. These include ACCC/AER research and expert advice provided by Economic Insights. </w:t>
      </w:r>
    </w:p>
    <w:p w:rsidR="00645B85" w:rsidRDefault="00645B85" w:rsidP="00645B85">
      <w:pPr>
        <w:pStyle w:val="HeadingBoldBlue"/>
      </w:pPr>
      <w:r>
        <w:t>Economic Insights publications</w:t>
      </w:r>
    </w:p>
    <w:p w:rsidR="00645B85" w:rsidRPr="000C6771" w:rsidRDefault="00645B85" w:rsidP="000C6771">
      <w:r w:rsidRPr="000C6771">
        <w:t>The following publications explain in detail how Economic Insights developed and applied the economic benchmarking techniques used by the AER.</w:t>
      </w:r>
    </w:p>
    <w:p w:rsidR="002B1670" w:rsidRPr="00645B85" w:rsidRDefault="002B1670" w:rsidP="002B1670">
      <w:pPr>
        <w:pStyle w:val="AERbulletlistfirststyle"/>
      </w:pPr>
      <w:r w:rsidRPr="000A6D1B">
        <w:t xml:space="preserve">Economic Insights, </w:t>
      </w:r>
      <w:r w:rsidRPr="000A6D1B">
        <w:rPr>
          <w:rStyle w:val="AERtextitalic"/>
        </w:rPr>
        <w:t xml:space="preserve">Memorandum – DNSP </w:t>
      </w:r>
      <w:r>
        <w:rPr>
          <w:rStyle w:val="AERtextitalic"/>
        </w:rPr>
        <w:t>Economic Benchmarking</w:t>
      </w:r>
      <w:r w:rsidRPr="000A6D1B">
        <w:rPr>
          <w:rStyle w:val="AERtextitalic"/>
        </w:rPr>
        <w:t xml:space="preserve"> Results</w:t>
      </w:r>
      <w:r>
        <w:rPr>
          <w:rStyle w:val="AERtextitalic"/>
        </w:rPr>
        <w:t xml:space="preserve"> Report</w:t>
      </w:r>
      <w:r>
        <w:t xml:space="preserve">, </w:t>
      </w:r>
      <w:r w:rsidR="0013535F">
        <w:t>November</w:t>
      </w:r>
      <w:r w:rsidR="00DF204E">
        <w:t xml:space="preserve"> </w:t>
      </w:r>
      <w:r>
        <w:t>2016</w:t>
      </w:r>
    </w:p>
    <w:p w:rsidR="00645B85" w:rsidRPr="000A6D1B" w:rsidRDefault="00645B85" w:rsidP="00645B85">
      <w:pPr>
        <w:pStyle w:val="AERbulletlistfirststyle"/>
      </w:pPr>
      <w:r w:rsidRPr="000A6D1B">
        <w:t xml:space="preserve">Economic Insights, </w:t>
      </w:r>
      <w:r w:rsidRPr="000A6D1B">
        <w:rPr>
          <w:rStyle w:val="AERtextitalic"/>
        </w:rPr>
        <w:t xml:space="preserve">Memorandum – DNSP MTFP and </w:t>
      </w:r>
      <w:proofErr w:type="spellStart"/>
      <w:r w:rsidRPr="000A6D1B">
        <w:rPr>
          <w:rStyle w:val="AERtextitalic"/>
        </w:rPr>
        <w:t>Opex</w:t>
      </w:r>
      <w:proofErr w:type="spellEnd"/>
      <w:r w:rsidRPr="000A6D1B">
        <w:rPr>
          <w:rStyle w:val="AERtextitalic"/>
        </w:rPr>
        <w:t xml:space="preserve"> Cost Function Results</w:t>
      </w:r>
      <w:r w:rsidR="000C6771">
        <w:t xml:space="preserve">, </w:t>
      </w:r>
      <w:r>
        <w:t>13 November 2015</w:t>
      </w:r>
    </w:p>
    <w:p w:rsidR="00645B85" w:rsidRDefault="00645B85" w:rsidP="00645B85">
      <w:pPr>
        <w:pStyle w:val="AERbulletlistfirststyle"/>
      </w:pPr>
      <w:r>
        <w:t xml:space="preserve">Economic Insights, </w:t>
      </w:r>
      <w:r w:rsidRPr="00A302E8">
        <w:rPr>
          <w:rStyle w:val="AERtextitalic"/>
        </w:rPr>
        <w:t>Economic Benchmarking Assessment of Operating Expenditure for NSW and ACT Electricity DNSPs</w:t>
      </w:r>
      <w:r>
        <w:t>, 17 November 2014 (</w:t>
      </w:r>
      <w:hyperlink r:id="rId31" w:history="1">
        <w:r w:rsidRPr="000A6D1B">
          <w:rPr>
            <w:rStyle w:val="Hyperlink"/>
          </w:rPr>
          <w:t>link</w:t>
        </w:r>
      </w:hyperlink>
      <w:r>
        <w:t xml:space="preserve">). </w:t>
      </w:r>
    </w:p>
    <w:p w:rsidR="00645B85" w:rsidRDefault="00645B85" w:rsidP="00645B85">
      <w:pPr>
        <w:pStyle w:val="AERbulletlistfirststyle"/>
      </w:pPr>
      <w:r>
        <w:t xml:space="preserve">Economic Insights, </w:t>
      </w:r>
      <w:r w:rsidRPr="00A302E8">
        <w:rPr>
          <w:rStyle w:val="AERtextitalic"/>
        </w:rPr>
        <w:t>Response to Consultants’ Reports on Economic Benchmarking of Electricity DNSPs</w:t>
      </w:r>
      <w:r>
        <w:t>, 22 April 2015 (</w:t>
      </w:r>
      <w:hyperlink r:id="rId32" w:history="1">
        <w:r w:rsidRPr="000A6D1B">
          <w:rPr>
            <w:rStyle w:val="Hyperlink"/>
          </w:rPr>
          <w:t>link</w:t>
        </w:r>
      </w:hyperlink>
      <w:r>
        <w:t>).</w:t>
      </w:r>
    </w:p>
    <w:p w:rsidR="00645B85" w:rsidRDefault="00645B85" w:rsidP="00645B85">
      <w:pPr>
        <w:pStyle w:val="HeadingBoldBlue"/>
      </w:pPr>
      <w:r>
        <w:t>ACCC/AER publications</w:t>
      </w:r>
    </w:p>
    <w:p w:rsidR="00645B85" w:rsidRDefault="00645B85" w:rsidP="00645B85">
      <w:r>
        <w:t>These publications provide a comprehensive overview of the benchmarking approaches used by overseas regulators.</w:t>
      </w:r>
    </w:p>
    <w:p w:rsidR="00645B85" w:rsidRDefault="00645B85" w:rsidP="00645B85">
      <w:pPr>
        <w:pStyle w:val="AERbulletlistfirststyle"/>
      </w:pPr>
      <w:r>
        <w:t xml:space="preserve">ACCC/AER, </w:t>
      </w:r>
      <w:r w:rsidRPr="000A6D1B">
        <w:rPr>
          <w:rStyle w:val="AERtextitalic"/>
        </w:rPr>
        <w:t xml:space="preserve">Benchmarking </w:t>
      </w:r>
      <w:proofErr w:type="spellStart"/>
      <w:r w:rsidRPr="000A6D1B">
        <w:rPr>
          <w:rStyle w:val="AERtextitalic"/>
        </w:rPr>
        <w:t>Opex</w:t>
      </w:r>
      <w:proofErr w:type="spellEnd"/>
      <w:r w:rsidRPr="000A6D1B">
        <w:rPr>
          <w:rStyle w:val="AERtextitalic"/>
        </w:rPr>
        <w:t xml:space="preserve"> and Capex in Energy Networks – Working Paper no. 6</w:t>
      </w:r>
      <w:r>
        <w:t>, May 2012 (</w:t>
      </w:r>
      <w:hyperlink r:id="rId33" w:history="1">
        <w:r w:rsidRPr="000A6D1B">
          <w:rPr>
            <w:rStyle w:val="Hyperlink"/>
          </w:rPr>
          <w:t>link</w:t>
        </w:r>
      </w:hyperlink>
      <w:r>
        <w:t>).</w:t>
      </w:r>
    </w:p>
    <w:p w:rsidR="00645B85" w:rsidRDefault="00645B85" w:rsidP="00645B85">
      <w:pPr>
        <w:pStyle w:val="AERbulletlistfirststyle"/>
      </w:pPr>
      <w:r>
        <w:t xml:space="preserve">ACCC/AER, </w:t>
      </w:r>
      <w:r w:rsidRPr="000A6D1B">
        <w:rPr>
          <w:rStyle w:val="AERtextitalic"/>
        </w:rPr>
        <w:t xml:space="preserve">Regulatory Practices in Other Countries – Benchmarking </w:t>
      </w:r>
      <w:proofErr w:type="spellStart"/>
      <w:r w:rsidRPr="000A6D1B">
        <w:rPr>
          <w:rStyle w:val="AERtextitalic"/>
        </w:rPr>
        <w:t>opex</w:t>
      </w:r>
      <w:proofErr w:type="spellEnd"/>
      <w:r w:rsidRPr="000A6D1B">
        <w:rPr>
          <w:rStyle w:val="AERtextitalic"/>
        </w:rPr>
        <w:t xml:space="preserve"> and capex in energy networks</w:t>
      </w:r>
      <w:r>
        <w:t>, May 2012 (</w:t>
      </w:r>
      <w:hyperlink r:id="rId34" w:history="1">
        <w:r w:rsidRPr="000A6D1B">
          <w:rPr>
            <w:rStyle w:val="Hyperlink"/>
          </w:rPr>
          <w:t>link</w:t>
        </w:r>
      </w:hyperlink>
      <w:r>
        <w:t>).</w:t>
      </w:r>
    </w:p>
    <w:p w:rsidR="00645B85" w:rsidRDefault="00645B85" w:rsidP="00645B85">
      <w:pPr>
        <w:pStyle w:val="AERbulletlistfirststyle"/>
      </w:pPr>
      <w:r>
        <w:t xml:space="preserve">WIK Consult, </w:t>
      </w:r>
      <w:r w:rsidRPr="003F49AB">
        <w:rPr>
          <w:rStyle w:val="AERtextitalic"/>
        </w:rPr>
        <w:t>Cost Benchmarking in Energy Regulation in European Countries</w:t>
      </w:r>
      <w:r>
        <w:t>, December 2011 (</w:t>
      </w:r>
      <w:hyperlink r:id="rId35" w:history="1">
        <w:r w:rsidRPr="003F49AB">
          <w:rPr>
            <w:rStyle w:val="Hyperlink"/>
          </w:rPr>
          <w:t>link</w:t>
        </w:r>
      </w:hyperlink>
      <w:r>
        <w:t>).</w:t>
      </w:r>
    </w:p>
    <w:p w:rsidR="00645B85" w:rsidRDefault="00645B85" w:rsidP="00645B85">
      <w:pPr>
        <w:pStyle w:val="HeadingBoldBlue"/>
      </w:pPr>
      <w:r>
        <w:t>AER distribution determinations</w:t>
      </w:r>
    </w:p>
    <w:p w:rsidR="00645B85" w:rsidRDefault="00645B85" w:rsidP="00645B85">
      <w:r>
        <w:t xml:space="preserve">In each of the following determinations, the AER applied economic benchmarking to determine efficient total forecast </w:t>
      </w:r>
      <w:proofErr w:type="spellStart"/>
      <w:r>
        <w:t>opex</w:t>
      </w:r>
      <w:proofErr w:type="spellEnd"/>
      <w:r>
        <w:t>.</w:t>
      </w:r>
    </w:p>
    <w:p w:rsidR="00EE60AB" w:rsidRDefault="00EE60AB" w:rsidP="00645B85">
      <w:pPr>
        <w:pStyle w:val="AERbulletlistfirststyle"/>
      </w:pPr>
      <w:r w:rsidRPr="00EE60AB">
        <w:t xml:space="preserve">AER, </w:t>
      </w:r>
      <w:r w:rsidR="00611A26" w:rsidRPr="00611A26">
        <w:rPr>
          <w:rStyle w:val="AERtextitalic"/>
        </w:rPr>
        <w:t>Jemena</w:t>
      </w:r>
      <w:r w:rsidRPr="00611A26">
        <w:rPr>
          <w:rStyle w:val="AERtextitalic"/>
        </w:rPr>
        <w:t xml:space="preserve"> distribution determination </w:t>
      </w:r>
      <w:r w:rsidR="00611A26">
        <w:rPr>
          <w:rStyle w:val="AERtextitalic"/>
        </w:rPr>
        <w:t>2016 to 20</w:t>
      </w:r>
      <w:r w:rsidRPr="00EE60AB">
        <w:rPr>
          <w:rStyle w:val="AERtextitalic"/>
        </w:rPr>
        <w:t>20, Attachment 7 – Operating Expenditure</w:t>
      </w:r>
      <w:r w:rsidRPr="00EE60AB">
        <w:t xml:space="preserve">, </w:t>
      </w:r>
      <w:r w:rsidR="00611A26">
        <w:t>May 2016, p. 7-22 (</w:t>
      </w:r>
      <w:hyperlink r:id="rId36" w:history="1">
        <w:r w:rsidR="00611A26">
          <w:rPr>
            <w:rStyle w:val="Hyperlink"/>
          </w:rPr>
          <w:t>link</w:t>
        </w:r>
      </w:hyperlink>
      <w:r w:rsidR="00611A26">
        <w:t>).</w:t>
      </w:r>
      <w:r>
        <w:t xml:space="preserve">  </w:t>
      </w:r>
    </w:p>
    <w:p w:rsidR="00EE60AB" w:rsidRDefault="00EE60AB" w:rsidP="00645B85">
      <w:pPr>
        <w:pStyle w:val="AERbulletlistfirststyle"/>
      </w:pPr>
      <w:r>
        <w:t xml:space="preserve">AER, </w:t>
      </w:r>
      <w:r w:rsidRPr="00611A26">
        <w:rPr>
          <w:rStyle w:val="AERtextitalic"/>
        </w:rPr>
        <w:t>SA Power Networks distribution determination</w:t>
      </w:r>
      <w:r>
        <w:t xml:space="preserve"> </w:t>
      </w:r>
      <w:r>
        <w:rPr>
          <w:rStyle w:val="AERtextitalic"/>
        </w:rPr>
        <w:t>2015–16 to 2019–20</w:t>
      </w:r>
      <w:r w:rsidRPr="000A6D1B">
        <w:rPr>
          <w:rStyle w:val="AERtextitalic"/>
        </w:rPr>
        <w:t>, Attachment 7 – Operating Expenditure</w:t>
      </w:r>
      <w:r>
        <w:t xml:space="preserve">, </w:t>
      </w:r>
      <w:r w:rsidR="00611A26">
        <w:t>October</w:t>
      </w:r>
      <w:r>
        <w:t xml:space="preserve"> 2015</w:t>
      </w:r>
      <w:r w:rsidR="00611A26">
        <w:t xml:space="preserve"> (</w:t>
      </w:r>
      <w:hyperlink r:id="rId37" w:history="1">
        <w:r w:rsidR="00611A26">
          <w:rPr>
            <w:rStyle w:val="Hyperlink"/>
          </w:rPr>
          <w:t>link</w:t>
        </w:r>
      </w:hyperlink>
      <w:r w:rsidR="00611A26">
        <w:t>).</w:t>
      </w:r>
    </w:p>
    <w:p w:rsidR="00645B85" w:rsidRDefault="00645B85" w:rsidP="00645B85">
      <w:pPr>
        <w:pStyle w:val="AERbulletlistfirststyle"/>
      </w:pPr>
      <w:r>
        <w:t xml:space="preserve">AER, </w:t>
      </w:r>
      <w:r w:rsidRPr="000A6D1B">
        <w:rPr>
          <w:rStyle w:val="AERtextitalic"/>
        </w:rPr>
        <w:t>Final decision, Endeavour Energy distribution determination 2015–16 to 2018–19, Attachment 7 – Operating Expenditure</w:t>
      </w:r>
      <w:r>
        <w:t>, April 2015 (</w:t>
      </w:r>
      <w:hyperlink r:id="rId38" w:history="1">
        <w:r w:rsidRPr="000A6D1B">
          <w:rPr>
            <w:rStyle w:val="Hyperlink"/>
          </w:rPr>
          <w:t>link</w:t>
        </w:r>
      </w:hyperlink>
      <w:r>
        <w:t>).</w:t>
      </w:r>
    </w:p>
    <w:p w:rsidR="00645B85" w:rsidRDefault="00645B85" w:rsidP="00645B85">
      <w:pPr>
        <w:pStyle w:val="AERbulletlistfirststyle"/>
      </w:pPr>
      <w:r>
        <w:t xml:space="preserve">AER, </w:t>
      </w:r>
      <w:r w:rsidRPr="000A6D1B">
        <w:rPr>
          <w:rStyle w:val="AERtextitalic"/>
        </w:rPr>
        <w:t>Draft decision, Endeavour Energy distribution determination 2015–16 to 2018–19, Attachment 7 – Operating Expenditure</w:t>
      </w:r>
      <w:r>
        <w:t>, November 2014 (</w:t>
      </w:r>
      <w:hyperlink r:id="rId39" w:history="1">
        <w:r w:rsidRPr="000A6D1B">
          <w:rPr>
            <w:rStyle w:val="Hyperlink"/>
          </w:rPr>
          <w:t>link</w:t>
        </w:r>
      </w:hyperlink>
      <w:r>
        <w:t>).</w:t>
      </w:r>
    </w:p>
    <w:p w:rsidR="00645B85" w:rsidRDefault="00645B85" w:rsidP="00645B85">
      <w:pPr>
        <w:pStyle w:val="AERbulletlistfirststyle"/>
      </w:pPr>
      <w:r>
        <w:lastRenderedPageBreak/>
        <w:t xml:space="preserve">AER, </w:t>
      </w:r>
      <w:r w:rsidRPr="000A6D1B">
        <w:rPr>
          <w:rStyle w:val="AERtextitalic"/>
        </w:rPr>
        <w:t>Preliminary decision, Energex determination 2015–16 to 2019–20, Attachment 7 – Operating Expenditure</w:t>
      </w:r>
      <w:r>
        <w:t>, April 2015 (</w:t>
      </w:r>
      <w:hyperlink r:id="rId40" w:history="1">
        <w:r w:rsidRPr="000A6D1B">
          <w:rPr>
            <w:rStyle w:val="Hyperlink"/>
          </w:rPr>
          <w:t>link</w:t>
        </w:r>
      </w:hyperlink>
      <w:r>
        <w:t>).</w:t>
      </w:r>
    </w:p>
    <w:p w:rsidR="00645B85" w:rsidRPr="00A302E8" w:rsidRDefault="00645B85" w:rsidP="00645B85">
      <w:pPr>
        <w:pStyle w:val="AERbulletlistfirststyle"/>
      </w:pPr>
      <w:r>
        <w:t xml:space="preserve">AER, </w:t>
      </w:r>
      <w:r w:rsidRPr="000A6D1B">
        <w:rPr>
          <w:rStyle w:val="AERtextitalic"/>
        </w:rPr>
        <w:t>Preliminary decision, Ergon Energy determination 2015–16 to 2019–20, Attachment 7 – Operating Expenditure</w:t>
      </w:r>
      <w:r>
        <w:t>, April 2015 (</w:t>
      </w:r>
      <w:hyperlink r:id="rId41" w:history="1">
        <w:r w:rsidRPr="000A6D1B">
          <w:rPr>
            <w:rStyle w:val="Hyperlink"/>
          </w:rPr>
          <w:t>link</w:t>
        </w:r>
      </w:hyperlink>
      <w:r>
        <w:t>).</w:t>
      </w:r>
    </w:p>
    <w:p w:rsidR="00645B85" w:rsidRDefault="00645B85" w:rsidP="00645B85">
      <w:pPr>
        <w:pStyle w:val="Heading7"/>
      </w:pPr>
      <w:bookmarkStart w:id="111" w:name="_Ref433113873"/>
      <w:bookmarkStart w:id="112" w:name="_Toc435712630"/>
      <w:bookmarkStart w:id="113" w:name="_Toc468175073"/>
      <w:r>
        <w:lastRenderedPageBreak/>
        <w:t>Inputs and outputs</w:t>
      </w:r>
      <w:bookmarkEnd w:id="110"/>
      <w:bookmarkEnd w:id="111"/>
      <w:bookmarkEnd w:id="112"/>
      <w:bookmarkEnd w:id="113"/>
    </w:p>
    <w:p w:rsidR="00645B85" w:rsidRPr="00D050A0" w:rsidRDefault="00645B85" w:rsidP="00645B85">
      <w:pPr>
        <w:rPr>
          <w:rStyle w:val="AERbody"/>
        </w:rPr>
      </w:pPr>
      <w:r w:rsidRPr="00D050A0">
        <w:rPr>
          <w:rStyle w:val="AERbody"/>
        </w:rPr>
        <w:t xml:space="preserve">This </w:t>
      </w:r>
      <w:r>
        <w:rPr>
          <w:rStyle w:val="AERbody"/>
        </w:rPr>
        <w:t xml:space="preserve">appendix contains further information on the outputs and inputs used in the benchmarking techniques. The November 2014 Economic Insights report referenced in Appendix </w:t>
      </w:r>
      <w:r>
        <w:rPr>
          <w:rStyle w:val="AERbody"/>
        </w:rPr>
        <w:fldChar w:fldCharType="begin"/>
      </w:r>
      <w:r>
        <w:rPr>
          <w:rStyle w:val="AERbody"/>
        </w:rPr>
        <w:instrText xml:space="preserve"> REF _Ref432682897 \n \h </w:instrText>
      </w:r>
      <w:r>
        <w:rPr>
          <w:rStyle w:val="AERbody"/>
        </w:rPr>
      </w:r>
      <w:r>
        <w:rPr>
          <w:rStyle w:val="AERbody"/>
        </w:rPr>
        <w:fldChar w:fldCharType="separate"/>
      </w:r>
      <w:r w:rsidR="00BE7268">
        <w:rPr>
          <w:rStyle w:val="AERbody"/>
        </w:rPr>
        <w:t>A</w:t>
      </w:r>
      <w:r>
        <w:rPr>
          <w:rStyle w:val="AERbody"/>
        </w:rPr>
        <w:fldChar w:fldCharType="end"/>
      </w:r>
      <w:r>
        <w:rPr>
          <w:rStyle w:val="AERbody"/>
        </w:rPr>
        <w:t xml:space="preserve"> explains and justifies the input and output specifications used in this report.</w:t>
      </w:r>
    </w:p>
    <w:p w:rsidR="00645B85" w:rsidRPr="008F31F7" w:rsidRDefault="00645B85" w:rsidP="00645B85">
      <w:pPr>
        <w:pStyle w:val="Heading8"/>
      </w:pPr>
      <w:bookmarkStart w:id="114" w:name="_Toc404010811"/>
      <w:bookmarkStart w:id="115" w:name="_Ref429588987"/>
      <w:bookmarkStart w:id="116" w:name="_Ref429649021"/>
      <w:bookmarkStart w:id="117" w:name="_Toc468175074"/>
      <w:r>
        <w:t>O</w:t>
      </w:r>
      <w:r w:rsidRPr="008F31F7">
        <w:t>utputs</w:t>
      </w:r>
      <w:bookmarkEnd w:id="114"/>
      <w:bookmarkEnd w:id="115"/>
      <w:bookmarkEnd w:id="116"/>
      <w:bookmarkEnd w:id="117"/>
    </w:p>
    <w:p w:rsidR="00645B85" w:rsidRDefault="00645B85" w:rsidP="00645B85">
      <w:r>
        <w:t xml:space="preserve">The techniques in the report measure output using some or all of customer numbers, </w:t>
      </w:r>
      <w:r w:rsidR="003903A7">
        <w:t xml:space="preserve">circuit </w:t>
      </w:r>
      <w:r>
        <w:t xml:space="preserve">line length, maximum demand, energy throughput and reliability. </w:t>
      </w:r>
    </w:p>
    <w:p w:rsidR="00645B85" w:rsidRPr="008F31F7" w:rsidRDefault="00645B85" w:rsidP="00645B85">
      <w:pPr>
        <w:pStyle w:val="Heading9"/>
      </w:pPr>
      <w:bookmarkStart w:id="118" w:name="_Toc429645839"/>
      <w:bookmarkStart w:id="119" w:name="_Toc429645934"/>
      <w:bookmarkStart w:id="120" w:name="_Toc429648210"/>
      <w:bookmarkStart w:id="121" w:name="_Toc429661402"/>
      <w:bookmarkStart w:id="122" w:name="_Toc429661430"/>
      <w:bookmarkStart w:id="123" w:name="_Ref429646220"/>
      <w:bookmarkStart w:id="124" w:name="_Toc468175075"/>
      <w:bookmarkEnd w:id="118"/>
      <w:bookmarkEnd w:id="119"/>
      <w:bookmarkEnd w:id="120"/>
      <w:bookmarkEnd w:id="121"/>
      <w:bookmarkEnd w:id="122"/>
      <w:r w:rsidRPr="008F31F7">
        <w:t>Customer numbers</w:t>
      </w:r>
      <w:bookmarkEnd w:id="123"/>
      <w:bookmarkEnd w:id="124"/>
    </w:p>
    <w:p w:rsidR="00645B85" w:rsidRPr="008F31F7" w:rsidRDefault="00645B85" w:rsidP="00645B85">
      <w:r>
        <w:t>The primary function of a</w:t>
      </w:r>
      <w:r w:rsidRPr="008F31F7">
        <w:t xml:space="preserve"> distribution network is </w:t>
      </w:r>
      <w:r>
        <w:t>providing its</w:t>
      </w:r>
      <w:r w:rsidRPr="008F31F7">
        <w:t xml:space="preserve"> customers </w:t>
      </w:r>
      <w:r>
        <w:t xml:space="preserve">with </w:t>
      </w:r>
      <w:r w:rsidRPr="008F31F7">
        <w:t xml:space="preserve">access to electricity. </w:t>
      </w:r>
      <w:r>
        <w:t xml:space="preserve">Regardless of how much electricity a customer consumes, infrastructure is required to connect every customer to the network. </w:t>
      </w:r>
      <w:r w:rsidRPr="008F31F7">
        <w:t>The number of customers</w:t>
      </w:r>
      <w:r>
        <w:t xml:space="preserve">, therefore, </w:t>
      </w:r>
      <w:r w:rsidRPr="008F31F7">
        <w:t xml:space="preserve">reflects </w:t>
      </w:r>
      <w:r>
        <w:t>a significant driver of the services a DNSP provides</w:t>
      </w:r>
      <w:r w:rsidRPr="008F31F7">
        <w:t>.  We measure the number of customers as the number of active connections on a network</w:t>
      </w:r>
      <w:r>
        <w:t>, represented by each energised national metering identifier</w:t>
      </w:r>
      <w:r w:rsidRPr="008F31F7">
        <w:t>.</w:t>
      </w:r>
      <w:r>
        <w:t xml:space="preserve"> </w:t>
      </w:r>
    </w:p>
    <w:p w:rsidR="00645B85" w:rsidRPr="008F31F7" w:rsidRDefault="00645B85" w:rsidP="00645B85">
      <w:r w:rsidRPr="008F31F7">
        <w:fldChar w:fldCharType="begin"/>
      </w:r>
      <w:r w:rsidRPr="008F31F7">
        <w:instrText xml:space="preserve"> REF _Ref404155621 \h </w:instrText>
      </w:r>
      <w:r w:rsidRPr="008F31F7">
        <w:fldChar w:fldCharType="separate"/>
      </w:r>
      <w:r w:rsidR="00BE7268" w:rsidRPr="008F31F7">
        <w:t xml:space="preserve">Figure </w:t>
      </w:r>
      <w:r w:rsidR="00BE7268">
        <w:rPr>
          <w:noProof/>
        </w:rPr>
        <w:t>15</w:t>
      </w:r>
      <w:r w:rsidRPr="008F31F7">
        <w:fldChar w:fldCharType="end"/>
      </w:r>
      <w:r w:rsidRPr="008F31F7">
        <w:t xml:space="preserve"> </w:t>
      </w:r>
      <w:r>
        <w:t>shows</w:t>
      </w:r>
      <w:r w:rsidRPr="008F31F7">
        <w:t xml:space="preserve"> the average customer numbers of </w:t>
      </w:r>
      <w:r>
        <w:t>each</w:t>
      </w:r>
      <w:r w:rsidRPr="008F31F7">
        <w:t xml:space="preserve"> </w:t>
      </w:r>
      <w:r>
        <w:t>DNSP</w:t>
      </w:r>
      <w:r w:rsidRPr="008F31F7">
        <w:t xml:space="preserve"> over </w:t>
      </w:r>
      <w:r>
        <w:t>the</w:t>
      </w:r>
      <w:r w:rsidRPr="008F31F7">
        <w:t xml:space="preserve"> five year period</w:t>
      </w:r>
      <w:r>
        <w:t xml:space="preserve"> from </w:t>
      </w:r>
      <w:r w:rsidR="00632A9E">
        <w:t xml:space="preserve">2011 </w:t>
      </w:r>
      <w:r>
        <w:t>to 201</w:t>
      </w:r>
      <w:r w:rsidR="00632A9E">
        <w:t>5</w:t>
      </w:r>
      <w:r w:rsidRPr="008F31F7">
        <w:t>.</w:t>
      </w:r>
    </w:p>
    <w:p w:rsidR="00645B85" w:rsidRPr="008F31F7" w:rsidRDefault="00645B85" w:rsidP="00645B85">
      <w:pPr>
        <w:pStyle w:val="Caption"/>
      </w:pPr>
      <w:bookmarkStart w:id="125" w:name="_Ref404155621"/>
      <w:r w:rsidRPr="008F31F7">
        <w:t xml:space="preserve">Figure </w:t>
      </w:r>
      <w:r w:rsidRPr="00645B85">
        <w:fldChar w:fldCharType="begin"/>
      </w:r>
      <w:r>
        <w:instrText xml:space="preserve"> SEQ Figure \* ARABIC </w:instrText>
      </w:r>
      <w:r w:rsidRPr="00645B85">
        <w:fldChar w:fldCharType="separate"/>
      </w:r>
      <w:r w:rsidR="00BE7268">
        <w:rPr>
          <w:noProof/>
        </w:rPr>
        <w:t>15</w:t>
      </w:r>
      <w:r w:rsidRPr="00645B85">
        <w:fldChar w:fldCharType="end"/>
      </w:r>
      <w:bookmarkEnd w:id="125"/>
      <w:r w:rsidRPr="008F31F7">
        <w:tab/>
      </w:r>
      <w:r>
        <w:t>F</w:t>
      </w:r>
      <w:r w:rsidRPr="008F31F7">
        <w:t>ive yea</w:t>
      </w:r>
      <w:r>
        <w:t>r average customer numbers by DNSP (201</w:t>
      </w:r>
      <w:r w:rsidR="00EA44EB">
        <w:t>1</w:t>
      </w:r>
      <w:r>
        <w:t>–</w:t>
      </w:r>
      <w:r w:rsidR="006B3A94">
        <w:t>15</w:t>
      </w:r>
      <w:r w:rsidRPr="008F31F7">
        <w:t>)</w:t>
      </w:r>
    </w:p>
    <w:p w:rsidR="00645B85" w:rsidRDefault="00645B85" w:rsidP="00645B85"/>
    <w:p w:rsidR="00582B5C" w:rsidRDefault="00185078" w:rsidP="00645B85">
      <w:r>
        <w:rPr>
          <w:noProof/>
          <w:lang w:eastAsia="en-AU"/>
        </w:rPr>
        <w:drawing>
          <wp:inline distT="0" distB="0" distL="0" distR="0" wp14:anchorId="304DF290" wp14:editId="395F5980">
            <wp:extent cx="4972827" cy="33211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72996" cy="3321283"/>
                    </a:xfrm>
                    <a:prstGeom prst="rect">
                      <a:avLst/>
                    </a:prstGeom>
                    <a:noFill/>
                  </pic:spPr>
                </pic:pic>
              </a:graphicData>
            </a:graphic>
          </wp:inline>
        </w:drawing>
      </w:r>
    </w:p>
    <w:p w:rsidR="00582B5C" w:rsidRDefault="00582B5C" w:rsidP="00645B85"/>
    <w:p w:rsidR="00645B85" w:rsidRPr="0069742C" w:rsidRDefault="00645B85" w:rsidP="00645B85">
      <w:pPr>
        <w:pStyle w:val="Heading9"/>
      </w:pPr>
      <w:bookmarkStart w:id="126" w:name="_Toc468175076"/>
      <w:r w:rsidRPr="0069742C">
        <w:lastRenderedPageBreak/>
        <w:t>Line length</w:t>
      </w:r>
      <w:bookmarkEnd w:id="126"/>
    </w:p>
    <w:p w:rsidR="00645B85" w:rsidRPr="00120085" w:rsidRDefault="00645B85" w:rsidP="00645B85">
      <w:r>
        <w:t xml:space="preserve">Line length reflects the distances over which DNSPs deliver electricity </w:t>
      </w:r>
      <w:r w:rsidRPr="00120085">
        <w:t xml:space="preserve">to their customers. To provide their customers with access to electricity, </w:t>
      </w:r>
      <w:r>
        <w:t>DNSPs must</w:t>
      </w:r>
      <w:r w:rsidRPr="00120085">
        <w:t xml:space="preserve"> transport electricity from</w:t>
      </w:r>
      <w:r>
        <w:t xml:space="preserve"> the transmission network to their</w:t>
      </w:r>
      <w:r w:rsidRPr="00120085">
        <w:t xml:space="preserve"> customers' premises. D</w:t>
      </w:r>
      <w:r>
        <w:t xml:space="preserve">NSPs </w:t>
      </w:r>
      <w:r w:rsidRPr="00120085">
        <w:t>will typically operate networks that transport electricity over thousands of kilometres.</w:t>
      </w:r>
    </w:p>
    <w:p w:rsidR="00645B85" w:rsidRDefault="00645B85" w:rsidP="00645B85">
      <w:r>
        <w:t xml:space="preserve">In this report, line length </w:t>
      </w:r>
      <w:proofErr w:type="gramStart"/>
      <w:r>
        <w:t>is measured</w:t>
      </w:r>
      <w:proofErr w:type="gramEnd"/>
      <w:r>
        <w:t xml:space="preserve"> in terms of</w:t>
      </w:r>
      <w:r w:rsidRPr="00120085">
        <w:t xml:space="preserve"> </w:t>
      </w:r>
      <w:r>
        <w:t xml:space="preserve">the length of 'circuit' or the length of </w:t>
      </w:r>
      <w:r w:rsidRPr="00120085">
        <w:t>'route</w:t>
      </w:r>
      <w:r>
        <w:t>’</w:t>
      </w:r>
      <w:r w:rsidRPr="00120085">
        <w:t xml:space="preserve">. </w:t>
      </w:r>
      <w:r w:rsidRPr="00731ED0">
        <w:t xml:space="preserve">Route length is the distance between a </w:t>
      </w:r>
      <w:r>
        <w:t>DNSP’s</w:t>
      </w:r>
      <w:r w:rsidRPr="00731ED0">
        <w:t xml:space="preserve"> poles. Circuit length is the length of lines in service, where a double circuit line counts as twice the length. Circuit and route length can differ because </w:t>
      </w:r>
      <w:r>
        <w:t>distributors may</w:t>
      </w:r>
      <w:r w:rsidRPr="00731ED0">
        <w:t xml:space="preserve"> run multiple lines on the same route.</w:t>
      </w:r>
    </w:p>
    <w:p w:rsidR="00645B85" w:rsidRDefault="00645B85" w:rsidP="00645B85">
      <w:r>
        <w:t>In economic benchmarking metrics</w:t>
      </w:r>
      <w:r w:rsidR="0060396E">
        <w:t xml:space="preserve"> and PPI metrics</w:t>
      </w:r>
      <w:r>
        <w:t>, we use circuit length because, in addition to measuring network size, it also approximates the line length dimension of system</w:t>
      </w:r>
      <w:r w:rsidRPr="00731ED0">
        <w:t xml:space="preserve"> </w:t>
      </w:r>
      <w:r>
        <w:t>capacity</w:t>
      </w:r>
      <w:r w:rsidRPr="00731ED0">
        <w:t xml:space="preserve">. </w:t>
      </w:r>
      <w:r>
        <w:t xml:space="preserve">System capacity represents </w:t>
      </w:r>
      <w:r w:rsidRPr="00731ED0">
        <w:t xml:space="preserve">the amount of network </w:t>
      </w:r>
      <w:r>
        <w:t>a DNSP must</w:t>
      </w:r>
      <w:r w:rsidRPr="00731ED0">
        <w:t xml:space="preserve"> install and maintain to supply consumers with the quantity of electricity demanded at the places where they are located.</w:t>
      </w:r>
      <w:r>
        <w:t xml:space="preserve"> </w:t>
      </w:r>
      <w:r>
        <w:fldChar w:fldCharType="begin"/>
      </w:r>
      <w:r>
        <w:instrText xml:space="preserve"> REF _Ref429650900 \h </w:instrText>
      </w:r>
      <w:r>
        <w:fldChar w:fldCharType="separate"/>
      </w:r>
      <w:r w:rsidR="00BE7268">
        <w:t xml:space="preserve">Figure </w:t>
      </w:r>
      <w:r w:rsidR="00BE7268">
        <w:rPr>
          <w:noProof/>
        </w:rPr>
        <w:t>16</w:t>
      </w:r>
      <w:r>
        <w:fldChar w:fldCharType="end"/>
      </w:r>
      <w:r>
        <w:t xml:space="preserve"> shows each DNSP’s circuit length, on average, over the five years from </w:t>
      </w:r>
      <w:r w:rsidR="00632A9E">
        <w:t xml:space="preserve">2011 </w:t>
      </w:r>
      <w:r>
        <w:t xml:space="preserve">to </w:t>
      </w:r>
      <w:r w:rsidR="00632A9E">
        <w:t>2015</w:t>
      </w:r>
      <w:r>
        <w:t>.</w:t>
      </w:r>
    </w:p>
    <w:p w:rsidR="00645B85" w:rsidRDefault="00645B85" w:rsidP="00645B85">
      <w:pPr>
        <w:pStyle w:val="Caption"/>
      </w:pPr>
      <w:bookmarkStart w:id="127" w:name="_Ref429650900"/>
      <w:r>
        <w:t xml:space="preserve">Figure </w:t>
      </w:r>
      <w:r w:rsidRPr="00120085">
        <w:fldChar w:fldCharType="begin"/>
      </w:r>
      <w:r>
        <w:instrText xml:space="preserve"> SEQ Figure \* ARABIC </w:instrText>
      </w:r>
      <w:r w:rsidRPr="00120085">
        <w:fldChar w:fldCharType="separate"/>
      </w:r>
      <w:r w:rsidR="00BE7268">
        <w:rPr>
          <w:noProof/>
        </w:rPr>
        <w:t>16</w:t>
      </w:r>
      <w:r w:rsidRPr="00120085">
        <w:fldChar w:fldCharType="end"/>
      </w:r>
      <w:bookmarkEnd w:id="127"/>
      <w:r>
        <w:tab/>
        <w:t>Five year average circuit length by DNSP (201</w:t>
      </w:r>
      <w:r w:rsidR="00EA44EB">
        <w:t>1</w:t>
      </w:r>
      <w:r>
        <w:t>–</w:t>
      </w:r>
      <w:r w:rsidR="006B3A94">
        <w:t>15</w:t>
      </w:r>
      <w:r>
        <w:t>)</w:t>
      </w:r>
    </w:p>
    <w:p w:rsidR="00645B85" w:rsidRPr="00645B85" w:rsidRDefault="0096569A" w:rsidP="00645B85">
      <w:r>
        <w:rPr>
          <w:noProof/>
          <w:lang w:eastAsia="en-AU"/>
        </w:rPr>
        <w:drawing>
          <wp:inline distT="0" distB="0" distL="0" distR="0" wp14:anchorId="19F95F84" wp14:editId="0ED20088">
            <wp:extent cx="4942935" cy="3295290"/>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43939" cy="3295959"/>
                    </a:xfrm>
                    <a:prstGeom prst="rect">
                      <a:avLst/>
                    </a:prstGeom>
                    <a:noFill/>
                  </pic:spPr>
                </pic:pic>
              </a:graphicData>
            </a:graphic>
          </wp:inline>
        </w:drawing>
      </w:r>
    </w:p>
    <w:p w:rsidR="00645B85" w:rsidRDefault="00645B85" w:rsidP="00645B85">
      <w:r>
        <w:t xml:space="preserve">For PPI metrics, we use route length </w:t>
      </w:r>
      <w:r w:rsidR="00CA3064">
        <w:t>to calculate</w:t>
      </w:r>
      <w:r>
        <w:t xml:space="preserve"> customer density (measured as customers per km of line length)</w:t>
      </w:r>
      <w:r w:rsidR="00CA3064">
        <w:t xml:space="preserve"> because it is a measure of network size</w:t>
      </w:r>
      <w:r>
        <w:t xml:space="preserve">. For this purpose, route length </w:t>
      </w:r>
      <w:r w:rsidRPr="00211D82">
        <w:t xml:space="preserve">is </w:t>
      </w:r>
      <w:r>
        <w:t>a measure of a DNSP’s physical network footprint because it does not count multiple circuits on the same route</w:t>
      </w:r>
      <w:r w:rsidRPr="00211D82">
        <w:t>.</w:t>
      </w:r>
      <w:r>
        <w:t xml:space="preserve"> </w:t>
      </w:r>
      <w:r>
        <w:fldChar w:fldCharType="begin"/>
      </w:r>
      <w:r>
        <w:instrText xml:space="preserve"> REF _Ref429650871 \h </w:instrText>
      </w:r>
      <w:r>
        <w:fldChar w:fldCharType="separate"/>
      </w:r>
      <w:r w:rsidR="00BE7268">
        <w:t xml:space="preserve">Figure </w:t>
      </w:r>
      <w:r w:rsidR="00BE7268">
        <w:rPr>
          <w:noProof/>
        </w:rPr>
        <w:t>17</w:t>
      </w:r>
      <w:r>
        <w:fldChar w:fldCharType="end"/>
      </w:r>
      <w:r>
        <w:t xml:space="preserve"> demonstrates that, for all DNSPs, route length is shorter than circuit length but there is no change in DNSP ranking between the two line length measures.</w:t>
      </w:r>
    </w:p>
    <w:p w:rsidR="00645B85" w:rsidRDefault="00645B85" w:rsidP="00645B85">
      <w:pPr>
        <w:pStyle w:val="Caption"/>
      </w:pPr>
      <w:bookmarkStart w:id="128" w:name="_Ref429650871"/>
      <w:r>
        <w:lastRenderedPageBreak/>
        <w:t xml:space="preserve">Figure </w:t>
      </w:r>
      <w:r w:rsidRPr="00120085">
        <w:fldChar w:fldCharType="begin"/>
      </w:r>
      <w:r>
        <w:instrText xml:space="preserve"> SEQ Figure \* ARABIC </w:instrText>
      </w:r>
      <w:r w:rsidRPr="00120085">
        <w:fldChar w:fldCharType="separate"/>
      </w:r>
      <w:r w:rsidR="00BE7268">
        <w:rPr>
          <w:noProof/>
        </w:rPr>
        <w:t>17</w:t>
      </w:r>
      <w:r w:rsidRPr="00120085">
        <w:fldChar w:fldCharType="end"/>
      </w:r>
      <w:bookmarkEnd w:id="128"/>
      <w:r>
        <w:tab/>
        <w:t>Five year average route line length by DNSP (201</w:t>
      </w:r>
      <w:r w:rsidR="00EA44EB">
        <w:t>1</w:t>
      </w:r>
      <w:r>
        <w:t>–1</w:t>
      </w:r>
      <w:r w:rsidR="006B3A94">
        <w:t>5</w:t>
      </w:r>
      <w:r>
        <w:t>)</w:t>
      </w:r>
    </w:p>
    <w:p w:rsidR="00645B85" w:rsidRPr="00645B85" w:rsidRDefault="0096569A" w:rsidP="00645B85">
      <w:r>
        <w:rPr>
          <w:noProof/>
          <w:lang w:eastAsia="en-AU"/>
        </w:rPr>
        <w:drawing>
          <wp:inline distT="0" distB="0" distL="0" distR="0" wp14:anchorId="296B1003" wp14:editId="0B521C2F">
            <wp:extent cx="5007634" cy="3338423"/>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08651" cy="3339101"/>
                    </a:xfrm>
                    <a:prstGeom prst="rect">
                      <a:avLst/>
                    </a:prstGeom>
                    <a:noFill/>
                  </pic:spPr>
                </pic:pic>
              </a:graphicData>
            </a:graphic>
          </wp:inline>
        </w:drawing>
      </w:r>
    </w:p>
    <w:p w:rsidR="00645B85" w:rsidRPr="0069742C" w:rsidRDefault="00645B85" w:rsidP="00645B85">
      <w:pPr>
        <w:pStyle w:val="Heading9"/>
      </w:pPr>
      <w:bookmarkStart w:id="129" w:name="_Toc468175077"/>
      <w:r>
        <w:t>M</w:t>
      </w:r>
      <w:r w:rsidRPr="0069742C">
        <w:t>aximum demand and energy throughput</w:t>
      </w:r>
      <w:bookmarkEnd w:id="129"/>
    </w:p>
    <w:p w:rsidR="00645B85" w:rsidRDefault="00645B85" w:rsidP="00645B85">
      <w:r>
        <w:t xml:space="preserve">DNSPs </w:t>
      </w:r>
      <w:r w:rsidRPr="00120085">
        <w:t xml:space="preserve">are required to meet and manage the demand of their customers. This means that they must build and operate their networks </w:t>
      </w:r>
      <w:r>
        <w:t>with</w:t>
      </w:r>
      <w:r w:rsidRPr="00120085">
        <w:t xml:space="preserve"> sufficient capacity to meet the expected </w:t>
      </w:r>
      <w:r>
        <w:t xml:space="preserve">peak </w:t>
      </w:r>
      <w:r w:rsidRPr="00120085">
        <w:t>demand for electricity. Maximum demand is a measure of the overall peak in demand experienced by the network</w:t>
      </w:r>
      <w:r>
        <w:t>.</w:t>
      </w:r>
      <w:r w:rsidRPr="00057140">
        <w:t xml:space="preserve"> </w:t>
      </w:r>
      <w:r>
        <w:t>The maximum demand measure we use is non-coincident summated raw system annual maximum demand, at the transmission connection point.</w:t>
      </w:r>
    </w:p>
    <w:p w:rsidR="00645B85" w:rsidRPr="00120085" w:rsidRDefault="00645B85" w:rsidP="00645B85">
      <w:r>
        <w:t xml:space="preserve">The economic benchmarking techniques use 'ratcheted' maximum demand as an output rather than observed maximum demand. Ratcheted maximum demand is </w:t>
      </w:r>
      <w:r w:rsidRPr="00211D82">
        <w:t xml:space="preserve">the highest value of peak demand observed in the </w:t>
      </w:r>
      <w:proofErr w:type="gramStart"/>
      <w:r w:rsidRPr="00211D82">
        <w:t>time period</w:t>
      </w:r>
      <w:proofErr w:type="gramEnd"/>
      <w:r w:rsidRPr="00211D82">
        <w:t xml:space="preserve"> up to the year in question for each </w:t>
      </w:r>
      <w:r>
        <w:t>DNSP</w:t>
      </w:r>
      <w:r w:rsidRPr="00211D82">
        <w:t xml:space="preserve">. It thus recognises capacity that </w:t>
      </w:r>
      <w:proofErr w:type="gramStart"/>
      <w:r w:rsidRPr="00211D82">
        <w:t>has actually been used</w:t>
      </w:r>
      <w:proofErr w:type="gramEnd"/>
      <w:r w:rsidRPr="00211D82">
        <w:t xml:space="preserve"> to satisfy demand and gives the </w:t>
      </w:r>
      <w:r>
        <w:t xml:space="preserve">DNSP </w:t>
      </w:r>
      <w:r w:rsidRPr="00211D82">
        <w:t>credit for this capacity in subsequent years, even though annual peak demand may be lower in subsequent years.</w:t>
      </w:r>
      <w:r w:rsidR="00620AF0">
        <w:t xml:space="preserve">  For PPI analysis, we choose to use observed maximum demand. </w:t>
      </w:r>
    </w:p>
    <w:p w:rsidR="00BE7268" w:rsidRPr="00120085" w:rsidRDefault="00645B85" w:rsidP="00645B85">
      <w:r>
        <w:t xml:space="preserve">Energy throughput is </w:t>
      </w:r>
      <w:r w:rsidRPr="00120085">
        <w:t xml:space="preserve">a measure of the amount of electricity that </w:t>
      </w:r>
      <w:r>
        <w:t xml:space="preserve">DNSPs </w:t>
      </w:r>
      <w:r w:rsidRPr="00120085">
        <w:t xml:space="preserve">deliver to their customers. </w:t>
      </w:r>
      <w:r>
        <w:t>While e</w:t>
      </w:r>
      <w:r w:rsidRPr="00120085">
        <w:t xml:space="preserve">nergy </w:t>
      </w:r>
      <w:r>
        <w:t xml:space="preserve">throughput </w:t>
      </w:r>
      <w:r w:rsidRPr="00120085">
        <w:t xml:space="preserve">is not </w:t>
      </w:r>
      <w:r>
        <w:t xml:space="preserve">considered </w:t>
      </w:r>
      <w:r w:rsidRPr="00120085">
        <w:t xml:space="preserve">a </w:t>
      </w:r>
      <w:r w:rsidR="00714E19">
        <w:t xml:space="preserve">significant </w:t>
      </w:r>
      <w:r w:rsidRPr="00120085">
        <w:t xml:space="preserve">driver of </w:t>
      </w:r>
      <w:proofErr w:type="gramStart"/>
      <w:r w:rsidRPr="00120085">
        <w:t>costs</w:t>
      </w:r>
      <w:proofErr w:type="gramEnd"/>
      <w:r w:rsidRPr="00120085">
        <w:t xml:space="preserve"> </w:t>
      </w:r>
      <w:r>
        <w:t>(</w:t>
      </w:r>
      <w:r w:rsidRPr="00120085">
        <w:t>distribution networks are typically engineered to manage maximum demand</w:t>
      </w:r>
      <w:r>
        <w:t xml:space="preserve"> rather than throughput)</w:t>
      </w:r>
      <w:r w:rsidRPr="00120085">
        <w:t xml:space="preserve"> energy </w:t>
      </w:r>
      <w:r>
        <w:t>throughput reflects a service provided directly to</w:t>
      </w:r>
      <w:r w:rsidRPr="00120085">
        <w:t xml:space="preserve"> customers.</w:t>
      </w:r>
      <w:r w:rsidRPr="00120085">
        <w:fldChar w:fldCharType="begin"/>
      </w:r>
      <w:r w:rsidRPr="00120085">
        <w:instrText xml:space="preserve"> REF _Ref389495168 \h </w:instrText>
      </w:r>
      <w:r>
        <w:instrText xml:space="preserve"> \* MERGEFORMAT </w:instrText>
      </w:r>
      <w:r w:rsidRPr="00120085">
        <w:fldChar w:fldCharType="separate"/>
      </w:r>
    </w:p>
    <w:p w:rsidR="00645B85" w:rsidRPr="00120085" w:rsidRDefault="00BE7268" w:rsidP="00645B85">
      <w:r w:rsidRPr="00B33BF0">
        <w:t xml:space="preserve">Table </w:t>
      </w:r>
      <w:r>
        <w:t>2</w:t>
      </w:r>
      <w:r w:rsidR="00645B85" w:rsidRPr="00120085">
        <w:fldChar w:fldCharType="end"/>
      </w:r>
      <w:r w:rsidR="00645B85" w:rsidRPr="00120085">
        <w:t xml:space="preserve"> presents maximum demand and energy delivered for each </w:t>
      </w:r>
      <w:r w:rsidR="00645B85">
        <w:t xml:space="preserve">of the DNSPs, on average, for the five years between </w:t>
      </w:r>
      <w:r w:rsidR="00632A9E">
        <w:t xml:space="preserve">2011 </w:t>
      </w:r>
      <w:r w:rsidR="00645B85">
        <w:t xml:space="preserve">and </w:t>
      </w:r>
      <w:r w:rsidR="00632A9E" w:rsidRPr="00120085">
        <w:t>2</w:t>
      </w:r>
      <w:r w:rsidR="00632A9E">
        <w:t>015</w:t>
      </w:r>
      <w:r w:rsidR="00645B85" w:rsidRPr="00120085">
        <w:t>.</w:t>
      </w:r>
      <w:bookmarkStart w:id="130" w:name="_Ref389495168"/>
    </w:p>
    <w:p w:rsidR="00645B85" w:rsidRPr="00B33BF0" w:rsidRDefault="00645B85" w:rsidP="00645B85">
      <w:pPr>
        <w:pStyle w:val="Caption"/>
      </w:pPr>
      <w:r w:rsidRPr="00B33BF0">
        <w:lastRenderedPageBreak/>
        <w:t xml:space="preserve">Table </w:t>
      </w:r>
      <w:r w:rsidRPr="00120085">
        <w:fldChar w:fldCharType="begin"/>
      </w:r>
      <w:r>
        <w:instrText xml:space="preserve"> SEQ Table \* ARABIC </w:instrText>
      </w:r>
      <w:r w:rsidRPr="00120085">
        <w:fldChar w:fldCharType="separate"/>
      </w:r>
      <w:r w:rsidR="00BE7268">
        <w:rPr>
          <w:noProof/>
        </w:rPr>
        <w:t>2</w:t>
      </w:r>
      <w:r w:rsidRPr="00120085">
        <w:fldChar w:fldCharType="end"/>
      </w:r>
      <w:bookmarkEnd w:id="130"/>
      <w:r w:rsidRPr="00B33BF0">
        <w:tab/>
      </w:r>
      <w:r w:rsidR="00AA4573">
        <w:tab/>
      </w:r>
      <w:r>
        <w:t>M</w:t>
      </w:r>
      <w:r w:rsidRPr="00B33BF0">
        <w:t xml:space="preserve">aximum demand and energy </w:t>
      </w:r>
      <w:r>
        <w:t>throughput (201</w:t>
      </w:r>
      <w:r w:rsidR="00EA44EB">
        <w:t>1</w:t>
      </w:r>
      <w:r>
        <w:t>–1</w:t>
      </w:r>
      <w:r w:rsidR="006B3A94">
        <w:t>5</w:t>
      </w:r>
      <w:r>
        <w:t xml:space="preserve"> average)</w:t>
      </w:r>
    </w:p>
    <w:tbl>
      <w:tblPr>
        <w:tblStyle w:val="AERtable-numbers"/>
        <w:tblW w:w="5000" w:type="pct"/>
        <w:tblLayout w:type="fixed"/>
        <w:tblLook w:val="04A0" w:firstRow="1" w:lastRow="0" w:firstColumn="1" w:lastColumn="0" w:noHBand="0" w:noVBand="1"/>
      </w:tblPr>
      <w:tblGrid>
        <w:gridCol w:w="2502"/>
        <w:gridCol w:w="2933"/>
        <w:gridCol w:w="3258"/>
      </w:tblGrid>
      <w:tr w:rsidR="00645B85" w:rsidRPr="00E96A49" w:rsidTr="00714B7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645B85" w:rsidRPr="00874D49" w:rsidRDefault="00645B85" w:rsidP="00645B85">
            <w:pPr>
              <w:pStyle w:val="Source"/>
            </w:pPr>
          </w:p>
        </w:tc>
        <w:tc>
          <w:tcPr>
            <w:tcW w:w="1687" w:type="pct"/>
            <w:noWrap/>
            <w:hideMark/>
          </w:tcPr>
          <w:p w:rsidR="00645B85" w:rsidRPr="00645B85" w:rsidRDefault="00645B85" w:rsidP="00645B85">
            <w:pPr>
              <w:pStyle w:val="Source"/>
              <w:cnfStyle w:val="100000000000" w:firstRow="1" w:lastRow="0" w:firstColumn="0" w:lastColumn="0" w:oddVBand="0" w:evenVBand="0" w:oddHBand="0" w:evenHBand="0" w:firstRowFirstColumn="0" w:firstRowLastColumn="0" w:lastRowFirstColumn="0" w:lastRowLastColumn="0"/>
            </w:pPr>
            <w:r>
              <w:t>Maximum</w:t>
            </w:r>
            <w:r w:rsidRPr="00645B85">
              <w:t xml:space="preserve"> demand (MW)</w:t>
            </w:r>
          </w:p>
        </w:tc>
        <w:tc>
          <w:tcPr>
            <w:tcW w:w="1874" w:type="pct"/>
            <w:noWrap/>
            <w:hideMark/>
          </w:tcPr>
          <w:p w:rsidR="00645B85" w:rsidRPr="00645B85" w:rsidRDefault="00645B85" w:rsidP="00645B85">
            <w:pPr>
              <w:pStyle w:val="Source"/>
              <w:cnfStyle w:val="100000000000" w:firstRow="1" w:lastRow="0" w:firstColumn="0" w:lastColumn="0" w:oddVBand="0" w:evenVBand="0" w:oddHBand="0" w:evenHBand="0" w:firstRowFirstColumn="0" w:firstRowLastColumn="0" w:lastRowFirstColumn="0" w:lastRowLastColumn="0"/>
            </w:pPr>
            <w:r>
              <w:t>E</w:t>
            </w:r>
            <w:r w:rsidRPr="00645B85">
              <w:t>nergy throughput (MWh)</w:t>
            </w:r>
          </w:p>
        </w:tc>
      </w:tr>
      <w:tr w:rsidR="006B3A94" w:rsidRPr="00E96A49" w:rsidTr="00714B7A">
        <w:trPr>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6B3A94" w:rsidRPr="006B3A94" w:rsidRDefault="006B3A94" w:rsidP="006B3A94">
            <w:pPr>
              <w:pStyle w:val="Source"/>
            </w:pPr>
            <w:proofErr w:type="spellStart"/>
            <w:r w:rsidRPr="006B3A94">
              <w:t>ActewAGL</w:t>
            </w:r>
            <w:proofErr w:type="spellEnd"/>
            <w:r w:rsidRPr="006B3A94">
              <w:t xml:space="preserve"> (ACT)</w:t>
            </w:r>
          </w:p>
        </w:tc>
        <w:tc>
          <w:tcPr>
            <w:tcW w:w="1687" w:type="pct"/>
            <w:noWrap/>
          </w:tcPr>
          <w:p w:rsidR="006B3A94" w:rsidRPr="006B3A94" w:rsidRDefault="006B3A94" w:rsidP="006B3A94">
            <w:pPr>
              <w:pStyle w:val="Source"/>
              <w:cnfStyle w:val="000000000000" w:firstRow="0" w:lastRow="0" w:firstColumn="0" w:lastColumn="0" w:oddVBand="0" w:evenVBand="0" w:oddHBand="0" w:evenHBand="0" w:firstRowFirstColumn="0" w:firstRowLastColumn="0" w:lastRowFirstColumn="0" w:lastRowLastColumn="0"/>
            </w:pPr>
            <w:r w:rsidRPr="006B3A94">
              <w:t>683</w:t>
            </w:r>
          </w:p>
        </w:tc>
        <w:tc>
          <w:tcPr>
            <w:tcW w:w="1874" w:type="pct"/>
            <w:noWrap/>
          </w:tcPr>
          <w:p w:rsidR="006B3A94" w:rsidRPr="006B3A94" w:rsidRDefault="006B3A94" w:rsidP="006B3A94">
            <w:pPr>
              <w:pStyle w:val="Source"/>
              <w:cnfStyle w:val="000000000000" w:firstRow="0" w:lastRow="0" w:firstColumn="0" w:lastColumn="0" w:oddVBand="0" w:evenVBand="0" w:oddHBand="0" w:evenHBand="0" w:firstRowFirstColumn="0" w:firstRowLastColumn="0" w:lastRowFirstColumn="0" w:lastRowLastColumn="0"/>
            </w:pPr>
            <w:r w:rsidRPr="006B3A94">
              <w:t>2,878,157</w:t>
            </w:r>
          </w:p>
        </w:tc>
      </w:tr>
      <w:tr w:rsidR="006B3A94" w:rsidRPr="00E96A49" w:rsidTr="00714B7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6B3A94" w:rsidRPr="006B3A94" w:rsidRDefault="006B3A94" w:rsidP="006B3A94">
            <w:pPr>
              <w:pStyle w:val="Source"/>
            </w:pPr>
            <w:proofErr w:type="spellStart"/>
            <w:r w:rsidRPr="006B3A94">
              <w:t>Ausgrid</w:t>
            </w:r>
            <w:proofErr w:type="spellEnd"/>
            <w:r w:rsidRPr="006B3A94">
              <w:t xml:space="preserve"> (AGD)</w:t>
            </w:r>
          </w:p>
        </w:tc>
        <w:tc>
          <w:tcPr>
            <w:tcW w:w="1687" w:type="pct"/>
            <w:noWrap/>
          </w:tcPr>
          <w:p w:rsidR="006B3A94" w:rsidRPr="006B3A94" w:rsidRDefault="006B3A94" w:rsidP="006B3A94">
            <w:pPr>
              <w:pStyle w:val="Source"/>
              <w:cnfStyle w:val="000000010000" w:firstRow="0" w:lastRow="0" w:firstColumn="0" w:lastColumn="0" w:oddVBand="0" w:evenVBand="0" w:oddHBand="0" w:evenHBand="1" w:firstRowFirstColumn="0" w:firstRowLastColumn="0" w:lastRowFirstColumn="0" w:lastRowLastColumn="0"/>
            </w:pPr>
            <w:r w:rsidRPr="006B3A94">
              <w:t>5,810</w:t>
            </w:r>
          </w:p>
        </w:tc>
        <w:tc>
          <w:tcPr>
            <w:tcW w:w="1874" w:type="pct"/>
            <w:noWrap/>
          </w:tcPr>
          <w:p w:rsidR="006B3A94" w:rsidRPr="006B3A94" w:rsidRDefault="006B3A94" w:rsidP="006B3A94">
            <w:pPr>
              <w:pStyle w:val="Source"/>
              <w:cnfStyle w:val="000000010000" w:firstRow="0" w:lastRow="0" w:firstColumn="0" w:lastColumn="0" w:oddVBand="0" w:evenVBand="0" w:oddHBand="0" w:evenHBand="1" w:firstRowFirstColumn="0" w:firstRowLastColumn="0" w:lastRowFirstColumn="0" w:lastRowLastColumn="0"/>
            </w:pPr>
            <w:r w:rsidRPr="006B3A94">
              <w:t>27,481,192</w:t>
            </w:r>
          </w:p>
        </w:tc>
      </w:tr>
      <w:tr w:rsidR="006B3A94" w:rsidRPr="00E96A49" w:rsidTr="00714B7A">
        <w:trPr>
          <w:trHeight w:val="300"/>
        </w:trPr>
        <w:tc>
          <w:tcPr>
            <w:cnfStyle w:val="001000000000" w:firstRow="0" w:lastRow="0" w:firstColumn="1" w:lastColumn="0" w:oddVBand="0" w:evenVBand="0" w:oddHBand="0" w:evenHBand="0" w:firstRowFirstColumn="0" w:firstRowLastColumn="0" w:lastRowFirstColumn="0" w:lastRowLastColumn="0"/>
            <w:tcW w:w="1439" w:type="pct"/>
            <w:noWrap/>
          </w:tcPr>
          <w:p w:rsidR="006B3A94" w:rsidRPr="006B3A94" w:rsidRDefault="006B3A94" w:rsidP="006B3A94">
            <w:pPr>
              <w:pStyle w:val="Source"/>
            </w:pPr>
            <w:r w:rsidRPr="006B3A94">
              <w:t>AusNet Services (AND)</w:t>
            </w:r>
          </w:p>
        </w:tc>
        <w:tc>
          <w:tcPr>
            <w:tcW w:w="1687" w:type="pct"/>
            <w:noWrap/>
          </w:tcPr>
          <w:p w:rsidR="006B3A94" w:rsidRPr="006B3A94" w:rsidRDefault="00FD2BDF" w:rsidP="006B3A94">
            <w:pPr>
              <w:pStyle w:val="Source"/>
              <w:cnfStyle w:val="000000000000" w:firstRow="0" w:lastRow="0" w:firstColumn="0" w:lastColumn="0" w:oddVBand="0" w:evenVBand="0" w:oddHBand="0" w:evenHBand="0" w:firstRowFirstColumn="0" w:firstRowLastColumn="0" w:lastRowFirstColumn="0" w:lastRowLastColumn="0"/>
            </w:pPr>
            <w:r>
              <w:t>1,855</w:t>
            </w:r>
          </w:p>
        </w:tc>
        <w:tc>
          <w:tcPr>
            <w:tcW w:w="1874" w:type="pct"/>
            <w:noWrap/>
          </w:tcPr>
          <w:p w:rsidR="006B3A94" w:rsidRPr="006B3A94" w:rsidRDefault="00FD2BDF" w:rsidP="006B3A94">
            <w:pPr>
              <w:pStyle w:val="Source"/>
              <w:cnfStyle w:val="000000000000" w:firstRow="0" w:lastRow="0" w:firstColumn="0" w:lastColumn="0" w:oddVBand="0" w:evenVBand="0" w:oddHBand="0" w:evenHBand="0" w:firstRowFirstColumn="0" w:firstRowLastColumn="0" w:lastRowFirstColumn="0" w:lastRowLastColumn="0"/>
            </w:pPr>
            <w:r>
              <w:t>7,571,841</w:t>
            </w:r>
          </w:p>
        </w:tc>
      </w:tr>
      <w:tr w:rsidR="00FD2BDF" w:rsidRPr="00E96A49" w:rsidTr="00714B7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FD2BDF" w:rsidRPr="00FD2BDF" w:rsidRDefault="00FD2BDF" w:rsidP="00FD2BDF">
            <w:pPr>
              <w:pStyle w:val="Source"/>
            </w:pPr>
            <w:r w:rsidRPr="006B3A94">
              <w:t>CitiPower (CIT)</w:t>
            </w:r>
          </w:p>
        </w:tc>
        <w:tc>
          <w:tcPr>
            <w:tcW w:w="1687" w:type="pct"/>
            <w:noWrap/>
          </w:tcPr>
          <w:p w:rsidR="00FD2BDF" w:rsidRPr="00FD2BDF" w:rsidRDefault="00FD2BDF" w:rsidP="00FD2BDF">
            <w:pPr>
              <w:pStyle w:val="Source"/>
              <w:cnfStyle w:val="000000010000" w:firstRow="0" w:lastRow="0" w:firstColumn="0" w:lastColumn="0" w:oddVBand="0" w:evenVBand="0" w:oddHBand="0" w:evenHBand="1" w:firstRowFirstColumn="0" w:firstRowLastColumn="0" w:lastRowFirstColumn="0" w:lastRowLastColumn="0"/>
            </w:pPr>
            <w:r w:rsidRPr="006B3A94">
              <w:t>1,385</w:t>
            </w:r>
          </w:p>
        </w:tc>
        <w:tc>
          <w:tcPr>
            <w:tcW w:w="1874" w:type="pct"/>
            <w:noWrap/>
          </w:tcPr>
          <w:p w:rsidR="00FD2BDF" w:rsidRPr="00FD2BDF" w:rsidRDefault="00FD2BDF" w:rsidP="00FD2BDF">
            <w:pPr>
              <w:pStyle w:val="Source"/>
              <w:cnfStyle w:val="000000010000" w:firstRow="0" w:lastRow="0" w:firstColumn="0" w:lastColumn="0" w:oddVBand="0" w:evenVBand="0" w:oddHBand="0" w:evenHBand="1" w:firstRowFirstColumn="0" w:firstRowLastColumn="0" w:lastRowFirstColumn="0" w:lastRowLastColumn="0"/>
            </w:pPr>
            <w:r w:rsidRPr="006B3A94">
              <w:t>6,007,022</w:t>
            </w:r>
          </w:p>
        </w:tc>
      </w:tr>
      <w:tr w:rsidR="00FD2BDF" w:rsidRPr="00E96A49" w:rsidTr="00714B7A">
        <w:trPr>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FD2BDF" w:rsidRPr="00FD2BDF" w:rsidRDefault="00FD2BDF" w:rsidP="00FD2BDF">
            <w:pPr>
              <w:pStyle w:val="Source"/>
            </w:pPr>
            <w:r w:rsidRPr="006B3A94">
              <w:t xml:space="preserve">Endeavour Energy </w:t>
            </w:r>
            <w:r w:rsidRPr="00FD2BDF">
              <w:t>(END)</w:t>
            </w:r>
          </w:p>
        </w:tc>
        <w:tc>
          <w:tcPr>
            <w:tcW w:w="1687" w:type="pct"/>
            <w:noWrap/>
          </w:tcPr>
          <w:p w:rsidR="00FD2BDF" w:rsidRPr="00FD2BDF" w:rsidRDefault="00FD2BDF" w:rsidP="00FD2BDF">
            <w:pPr>
              <w:pStyle w:val="Source"/>
              <w:cnfStyle w:val="000000000000" w:firstRow="0" w:lastRow="0" w:firstColumn="0" w:lastColumn="0" w:oddVBand="0" w:evenVBand="0" w:oddHBand="0" w:evenHBand="0" w:firstRowFirstColumn="0" w:firstRowLastColumn="0" w:lastRowFirstColumn="0" w:lastRowLastColumn="0"/>
            </w:pPr>
            <w:r w:rsidRPr="006B3A94">
              <w:t>3,664</w:t>
            </w:r>
          </w:p>
        </w:tc>
        <w:tc>
          <w:tcPr>
            <w:tcW w:w="1874" w:type="pct"/>
            <w:noWrap/>
          </w:tcPr>
          <w:p w:rsidR="00FD2BDF" w:rsidRPr="00FD2BDF" w:rsidRDefault="00FD2BDF" w:rsidP="00FD2BDF">
            <w:pPr>
              <w:pStyle w:val="Source"/>
              <w:cnfStyle w:val="000000000000" w:firstRow="0" w:lastRow="0" w:firstColumn="0" w:lastColumn="0" w:oddVBand="0" w:evenVBand="0" w:oddHBand="0" w:evenHBand="0" w:firstRowFirstColumn="0" w:firstRowLastColumn="0" w:lastRowFirstColumn="0" w:lastRowLastColumn="0"/>
            </w:pPr>
            <w:r w:rsidRPr="006B3A94">
              <w:t>16,354,449</w:t>
            </w:r>
          </w:p>
        </w:tc>
      </w:tr>
      <w:tr w:rsidR="00FD2BDF" w:rsidRPr="00E96A49" w:rsidTr="00714B7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FD2BDF" w:rsidRPr="00FD2BDF" w:rsidRDefault="00FD2BDF" w:rsidP="00FD2BDF">
            <w:pPr>
              <w:pStyle w:val="Source"/>
            </w:pPr>
            <w:r w:rsidRPr="006B3A94">
              <w:t>Energex (ENX)</w:t>
            </w:r>
          </w:p>
        </w:tc>
        <w:tc>
          <w:tcPr>
            <w:tcW w:w="1687" w:type="pct"/>
            <w:noWrap/>
          </w:tcPr>
          <w:p w:rsidR="00FD2BDF" w:rsidRPr="00FD2BDF" w:rsidRDefault="00FD2BDF" w:rsidP="00FD2BDF">
            <w:pPr>
              <w:pStyle w:val="Source"/>
              <w:cnfStyle w:val="000000010000" w:firstRow="0" w:lastRow="0" w:firstColumn="0" w:lastColumn="0" w:oddVBand="0" w:evenVBand="0" w:oddHBand="0" w:evenHBand="1" w:firstRowFirstColumn="0" w:firstRowLastColumn="0" w:lastRowFirstColumn="0" w:lastRowLastColumn="0"/>
            </w:pPr>
            <w:r w:rsidRPr="006B3A94">
              <w:t>4,726</w:t>
            </w:r>
          </w:p>
        </w:tc>
        <w:tc>
          <w:tcPr>
            <w:tcW w:w="1874" w:type="pct"/>
            <w:noWrap/>
          </w:tcPr>
          <w:p w:rsidR="00FD2BDF" w:rsidRPr="00FD2BDF" w:rsidRDefault="00FD2BDF" w:rsidP="00FD2BDF">
            <w:pPr>
              <w:pStyle w:val="Source"/>
              <w:cnfStyle w:val="000000010000" w:firstRow="0" w:lastRow="0" w:firstColumn="0" w:lastColumn="0" w:oddVBand="0" w:evenVBand="0" w:oddHBand="0" w:evenHBand="1" w:firstRowFirstColumn="0" w:firstRowLastColumn="0" w:lastRowFirstColumn="0" w:lastRowLastColumn="0"/>
            </w:pPr>
            <w:r w:rsidRPr="006B3A94">
              <w:t>21,142,308</w:t>
            </w:r>
          </w:p>
        </w:tc>
      </w:tr>
      <w:tr w:rsidR="00FD2BDF" w:rsidRPr="00E96A49" w:rsidTr="00714B7A">
        <w:trPr>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FD2BDF" w:rsidRPr="00FD2BDF" w:rsidRDefault="00FD2BDF" w:rsidP="00FD2BDF">
            <w:pPr>
              <w:pStyle w:val="Source"/>
            </w:pPr>
            <w:r w:rsidRPr="006B3A94">
              <w:t>Ergon Energy (ERG)</w:t>
            </w:r>
          </w:p>
        </w:tc>
        <w:tc>
          <w:tcPr>
            <w:tcW w:w="1687" w:type="pct"/>
            <w:noWrap/>
          </w:tcPr>
          <w:p w:rsidR="00FD2BDF" w:rsidRPr="00FD2BDF" w:rsidRDefault="00FD2BDF" w:rsidP="00FD2BDF">
            <w:pPr>
              <w:pStyle w:val="Source"/>
              <w:cnfStyle w:val="000000000000" w:firstRow="0" w:lastRow="0" w:firstColumn="0" w:lastColumn="0" w:oddVBand="0" w:evenVBand="0" w:oddHBand="0" w:evenHBand="0" w:firstRowFirstColumn="0" w:firstRowLastColumn="0" w:lastRowFirstColumn="0" w:lastRowLastColumn="0"/>
            </w:pPr>
            <w:r w:rsidRPr="006B3A94">
              <w:t>3,123</w:t>
            </w:r>
          </w:p>
        </w:tc>
        <w:tc>
          <w:tcPr>
            <w:tcW w:w="1874" w:type="pct"/>
            <w:noWrap/>
          </w:tcPr>
          <w:p w:rsidR="00FD2BDF" w:rsidRPr="00FD2BDF" w:rsidRDefault="00FD2BDF" w:rsidP="00FD2BDF">
            <w:pPr>
              <w:pStyle w:val="Source"/>
              <w:cnfStyle w:val="000000000000" w:firstRow="0" w:lastRow="0" w:firstColumn="0" w:lastColumn="0" w:oddVBand="0" w:evenVBand="0" w:oddHBand="0" w:evenHBand="0" w:firstRowFirstColumn="0" w:firstRowLastColumn="0" w:lastRowFirstColumn="0" w:lastRowLastColumn="0"/>
            </w:pPr>
            <w:r w:rsidRPr="006B3A94">
              <w:t>13,557,356</w:t>
            </w:r>
          </w:p>
        </w:tc>
      </w:tr>
      <w:tr w:rsidR="00FD2BDF" w:rsidRPr="00E96A49" w:rsidTr="00714B7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FD2BDF" w:rsidRPr="00FD2BDF" w:rsidRDefault="00FD2BDF" w:rsidP="00FD2BDF">
            <w:pPr>
              <w:pStyle w:val="Source"/>
            </w:pPr>
            <w:r w:rsidRPr="006B3A94">
              <w:t>Essential Energy (ESS)</w:t>
            </w:r>
          </w:p>
        </w:tc>
        <w:tc>
          <w:tcPr>
            <w:tcW w:w="1687" w:type="pct"/>
            <w:noWrap/>
          </w:tcPr>
          <w:p w:rsidR="00FD2BDF" w:rsidRPr="00FD2BDF" w:rsidRDefault="00FD2BDF" w:rsidP="00FD2BDF">
            <w:pPr>
              <w:pStyle w:val="Source"/>
              <w:cnfStyle w:val="000000010000" w:firstRow="0" w:lastRow="0" w:firstColumn="0" w:lastColumn="0" w:oddVBand="0" w:evenVBand="0" w:oddHBand="0" w:evenHBand="1" w:firstRowFirstColumn="0" w:firstRowLastColumn="0" w:lastRowFirstColumn="0" w:lastRowLastColumn="0"/>
            </w:pPr>
            <w:r w:rsidRPr="006B3A94">
              <w:t>2,652</w:t>
            </w:r>
          </w:p>
        </w:tc>
        <w:tc>
          <w:tcPr>
            <w:tcW w:w="1874" w:type="pct"/>
            <w:noWrap/>
          </w:tcPr>
          <w:p w:rsidR="00FD2BDF" w:rsidRPr="00FD2BDF" w:rsidRDefault="00FD2BDF" w:rsidP="00FD2BDF">
            <w:pPr>
              <w:pStyle w:val="Source"/>
              <w:cnfStyle w:val="000000010000" w:firstRow="0" w:lastRow="0" w:firstColumn="0" w:lastColumn="0" w:oddVBand="0" w:evenVBand="0" w:oddHBand="0" w:evenHBand="1" w:firstRowFirstColumn="0" w:firstRowLastColumn="0" w:lastRowFirstColumn="0" w:lastRowLastColumn="0"/>
            </w:pPr>
            <w:r w:rsidRPr="006B3A94">
              <w:t>12,077,640</w:t>
            </w:r>
          </w:p>
        </w:tc>
      </w:tr>
      <w:tr w:rsidR="00FD2BDF" w:rsidRPr="00E96A49" w:rsidTr="00714B7A">
        <w:trPr>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FD2BDF" w:rsidRPr="00FD2BDF" w:rsidRDefault="00FD2BDF" w:rsidP="00FD2BDF">
            <w:pPr>
              <w:pStyle w:val="Source"/>
            </w:pPr>
            <w:r w:rsidRPr="006B3A94">
              <w:t>Jemena (JEN)</w:t>
            </w:r>
          </w:p>
        </w:tc>
        <w:tc>
          <w:tcPr>
            <w:tcW w:w="1687" w:type="pct"/>
            <w:noWrap/>
          </w:tcPr>
          <w:p w:rsidR="00FD2BDF" w:rsidRPr="00FD2BDF" w:rsidRDefault="00FD2BDF" w:rsidP="00FD2BDF">
            <w:pPr>
              <w:pStyle w:val="Source"/>
              <w:cnfStyle w:val="000000000000" w:firstRow="0" w:lastRow="0" w:firstColumn="0" w:lastColumn="0" w:oddVBand="0" w:evenVBand="0" w:oddHBand="0" w:evenHBand="0" w:firstRowFirstColumn="0" w:firstRowLastColumn="0" w:lastRowFirstColumn="0" w:lastRowLastColumn="0"/>
            </w:pPr>
            <w:r w:rsidRPr="006B3A94">
              <w:t>955</w:t>
            </w:r>
          </w:p>
        </w:tc>
        <w:tc>
          <w:tcPr>
            <w:tcW w:w="1874" w:type="pct"/>
            <w:noWrap/>
          </w:tcPr>
          <w:p w:rsidR="00FD2BDF" w:rsidRPr="00FD2BDF" w:rsidRDefault="00FD2BDF" w:rsidP="00FD2BDF">
            <w:pPr>
              <w:pStyle w:val="Source"/>
              <w:cnfStyle w:val="000000000000" w:firstRow="0" w:lastRow="0" w:firstColumn="0" w:lastColumn="0" w:oddVBand="0" w:evenVBand="0" w:oddHBand="0" w:evenHBand="0" w:firstRowFirstColumn="0" w:firstRowLastColumn="0" w:lastRowFirstColumn="0" w:lastRowLastColumn="0"/>
            </w:pPr>
            <w:r w:rsidRPr="006B3A94">
              <w:t>4,276,308</w:t>
            </w:r>
          </w:p>
        </w:tc>
      </w:tr>
      <w:tr w:rsidR="00FD2BDF" w:rsidRPr="00E96A49" w:rsidTr="00714B7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FD2BDF" w:rsidRPr="00FD2BDF" w:rsidRDefault="00FD2BDF" w:rsidP="00FD2BDF">
            <w:pPr>
              <w:pStyle w:val="Source"/>
            </w:pPr>
            <w:proofErr w:type="spellStart"/>
            <w:r w:rsidRPr="006B3A94">
              <w:t>Powercor</w:t>
            </w:r>
            <w:proofErr w:type="spellEnd"/>
            <w:r w:rsidRPr="006B3A94">
              <w:t xml:space="preserve"> (PCR)</w:t>
            </w:r>
          </w:p>
        </w:tc>
        <w:tc>
          <w:tcPr>
            <w:tcW w:w="1687" w:type="pct"/>
            <w:noWrap/>
          </w:tcPr>
          <w:p w:rsidR="00FD2BDF" w:rsidRPr="00FD2BDF" w:rsidRDefault="00FD2BDF" w:rsidP="00FD2BDF">
            <w:pPr>
              <w:pStyle w:val="Source"/>
              <w:cnfStyle w:val="000000010000" w:firstRow="0" w:lastRow="0" w:firstColumn="0" w:lastColumn="0" w:oddVBand="0" w:evenVBand="0" w:oddHBand="0" w:evenHBand="1" w:firstRowFirstColumn="0" w:firstRowLastColumn="0" w:lastRowFirstColumn="0" w:lastRowLastColumn="0"/>
            </w:pPr>
            <w:r w:rsidRPr="006B3A94">
              <w:t>2,387</w:t>
            </w:r>
          </w:p>
        </w:tc>
        <w:tc>
          <w:tcPr>
            <w:tcW w:w="1874" w:type="pct"/>
            <w:noWrap/>
          </w:tcPr>
          <w:p w:rsidR="00FD2BDF" w:rsidRPr="00FD2BDF" w:rsidRDefault="00FD2BDF" w:rsidP="00FD2BDF">
            <w:pPr>
              <w:pStyle w:val="Source"/>
              <w:cnfStyle w:val="000000010000" w:firstRow="0" w:lastRow="0" w:firstColumn="0" w:lastColumn="0" w:oddVBand="0" w:evenVBand="0" w:oddHBand="0" w:evenHBand="1" w:firstRowFirstColumn="0" w:firstRowLastColumn="0" w:lastRowFirstColumn="0" w:lastRowLastColumn="0"/>
            </w:pPr>
            <w:r w:rsidRPr="006B3A94">
              <w:t>10,563,196</w:t>
            </w:r>
          </w:p>
        </w:tc>
      </w:tr>
      <w:tr w:rsidR="00FD2BDF" w:rsidRPr="00E96A49" w:rsidTr="00714B7A">
        <w:trPr>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FD2BDF" w:rsidRPr="00FD2BDF" w:rsidRDefault="00FD2BDF" w:rsidP="00FD2BDF">
            <w:pPr>
              <w:pStyle w:val="Source"/>
            </w:pPr>
            <w:r w:rsidRPr="006B3A94">
              <w:t>SA Power Networks (SAP)</w:t>
            </w:r>
          </w:p>
        </w:tc>
        <w:tc>
          <w:tcPr>
            <w:tcW w:w="1687" w:type="pct"/>
            <w:noWrap/>
          </w:tcPr>
          <w:p w:rsidR="00FD2BDF" w:rsidRPr="00FD2BDF" w:rsidRDefault="00FD2BDF" w:rsidP="00FD2BDF">
            <w:pPr>
              <w:pStyle w:val="Source"/>
              <w:cnfStyle w:val="000000000000" w:firstRow="0" w:lastRow="0" w:firstColumn="0" w:lastColumn="0" w:oddVBand="0" w:evenVBand="0" w:oddHBand="0" w:evenHBand="0" w:firstRowFirstColumn="0" w:firstRowLastColumn="0" w:lastRowFirstColumn="0" w:lastRowLastColumn="0"/>
            </w:pPr>
            <w:r w:rsidRPr="006B3A94">
              <w:t>2,912</w:t>
            </w:r>
          </w:p>
        </w:tc>
        <w:tc>
          <w:tcPr>
            <w:tcW w:w="1874" w:type="pct"/>
            <w:noWrap/>
          </w:tcPr>
          <w:p w:rsidR="00FD2BDF" w:rsidRPr="00FD2BDF" w:rsidRDefault="00FD2BDF" w:rsidP="00FD2BDF">
            <w:pPr>
              <w:pStyle w:val="Source"/>
              <w:cnfStyle w:val="000000000000" w:firstRow="0" w:lastRow="0" w:firstColumn="0" w:lastColumn="0" w:oddVBand="0" w:evenVBand="0" w:oddHBand="0" w:evenHBand="0" w:firstRowFirstColumn="0" w:firstRowLastColumn="0" w:lastRowFirstColumn="0" w:lastRowLastColumn="0"/>
            </w:pPr>
            <w:r w:rsidRPr="006B3A94">
              <w:t>10,846,268</w:t>
            </w:r>
          </w:p>
        </w:tc>
      </w:tr>
      <w:tr w:rsidR="006B3A94" w:rsidRPr="00E96A49" w:rsidTr="00714B7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6B3A94" w:rsidRPr="006B3A94" w:rsidRDefault="006B3A94" w:rsidP="006B3A94">
            <w:pPr>
              <w:pStyle w:val="Source"/>
            </w:pPr>
            <w:proofErr w:type="spellStart"/>
            <w:r w:rsidRPr="006B3A94">
              <w:t>TasNetworks</w:t>
            </w:r>
            <w:proofErr w:type="spellEnd"/>
            <w:r w:rsidRPr="006B3A94">
              <w:t xml:space="preserve"> (TND)</w:t>
            </w:r>
          </w:p>
        </w:tc>
        <w:tc>
          <w:tcPr>
            <w:tcW w:w="1687" w:type="pct"/>
            <w:noWrap/>
          </w:tcPr>
          <w:p w:rsidR="006B3A94" w:rsidRPr="006B3A94" w:rsidRDefault="006B3A94" w:rsidP="006B3A94">
            <w:pPr>
              <w:pStyle w:val="Source"/>
              <w:cnfStyle w:val="000000010000" w:firstRow="0" w:lastRow="0" w:firstColumn="0" w:lastColumn="0" w:oddVBand="0" w:evenVBand="0" w:oddHBand="0" w:evenHBand="1" w:firstRowFirstColumn="0" w:firstRowLastColumn="0" w:lastRowFirstColumn="0" w:lastRowLastColumn="0"/>
            </w:pPr>
            <w:r w:rsidRPr="006B3A94">
              <w:t>1,049</w:t>
            </w:r>
          </w:p>
        </w:tc>
        <w:tc>
          <w:tcPr>
            <w:tcW w:w="1874" w:type="pct"/>
            <w:noWrap/>
          </w:tcPr>
          <w:p w:rsidR="006B3A94" w:rsidRPr="006B3A94" w:rsidRDefault="006B3A94" w:rsidP="006B3A94">
            <w:pPr>
              <w:pStyle w:val="Source"/>
              <w:cnfStyle w:val="000000010000" w:firstRow="0" w:lastRow="0" w:firstColumn="0" w:lastColumn="0" w:oddVBand="0" w:evenVBand="0" w:oddHBand="0" w:evenHBand="1" w:firstRowFirstColumn="0" w:firstRowLastColumn="0" w:lastRowFirstColumn="0" w:lastRowLastColumn="0"/>
            </w:pPr>
            <w:r w:rsidRPr="006B3A94">
              <w:t>4,261,589</w:t>
            </w:r>
          </w:p>
        </w:tc>
      </w:tr>
      <w:tr w:rsidR="006B3A94" w:rsidRPr="00E96A49" w:rsidTr="00714B7A">
        <w:trPr>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6B3A94" w:rsidRPr="006B3A94" w:rsidRDefault="006B3A94" w:rsidP="006B3A94">
            <w:pPr>
              <w:pStyle w:val="Source"/>
            </w:pPr>
            <w:r w:rsidRPr="006B3A94">
              <w:t>United Energy (UED)</w:t>
            </w:r>
          </w:p>
        </w:tc>
        <w:tc>
          <w:tcPr>
            <w:tcW w:w="1687" w:type="pct"/>
            <w:noWrap/>
          </w:tcPr>
          <w:p w:rsidR="006B3A94" w:rsidRPr="006B3A94" w:rsidRDefault="006B3A94" w:rsidP="006B3A94">
            <w:pPr>
              <w:pStyle w:val="Source"/>
              <w:cnfStyle w:val="000000000000" w:firstRow="0" w:lastRow="0" w:firstColumn="0" w:lastColumn="0" w:oddVBand="0" w:evenVBand="0" w:oddHBand="0" w:evenHBand="0" w:firstRowFirstColumn="0" w:firstRowLastColumn="0" w:lastRowFirstColumn="0" w:lastRowLastColumn="0"/>
            </w:pPr>
            <w:r w:rsidRPr="006B3A94">
              <w:t>1,959</w:t>
            </w:r>
          </w:p>
        </w:tc>
        <w:tc>
          <w:tcPr>
            <w:tcW w:w="1874" w:type="pct"/>
            <w:noWrap/>
          </w:tcPr>
          <w:p w:rsidR="006B3A94" w:rsidRPr="006B3A94" w:rsidRDefault="006B3A94" w:rsidP="006B3A94">
            <w:pPr>
              <w:pStyle w:val="Source"/>
              <w:cnfStyle w:val="000000000000" w:firstRow="0" w:lastRow="0" w:firstColumn="0" w:lastColumn="0" w:oddVBand="0" w:evenVBand="0" w:oddHBand="0" w:evenHBand="0" w:firstRowFirstColumn="0" w:firstRowLastColumn="0" w:lastRowFirstColumn="0" w:lastRowLastColumn="0"/>
            </w:pPr>
            <w:r w:rsidRPr="006B3A94">
              <w:t>7,859,951</w:t>
            </w:r>
          </w:p>
        </w:tc>
      </w:tr>
    </w:tbl>
    <w:p w:rsidR="00645B85" w:rsidRPr="0069742C" w:rsidRDefault="00645B85" w:rsidP="00645B85">
      <w:pPr>
        <w:pStyle w:val="Heading9"/>
      </w:pPr>
      <w:bookmarkStart w:id="131" w:name="_Toc468175078"/>
      <w:r>
        <w:t>Reliability</w:t>
      </w:r>
      <w:bookmarkEnd w:id="131"/>
    </w:p>
    <w:p w:rsidR="00645B85" w:rsidRDefault="00645B85" w:rsidP="00645B85">
      <w:r>
        <w:t xml:space="preserve">Another dimension of the outputs of DNSPs is the reliability of their electricity supply. This </w:t>
      </w:r>
      <w:proofErr w:type="gramStart"/>
      <w:r>
        <w:t>is c</w:t>
      </w:r>
      <w:r w:rsidRPr="00843183">
        <w:t>ommonly measured</w:t>
      </w:r>
      <w:proofErr w:type="gramEnd"/>
      <w:r w:rsidRPr="00843183">
        <w:t xml:space="preserve"> as the average number of minutes off supply per customer (per annum) or the average number of interruptions per customer. </w:t>
      </w:r>
      <w:r w:rsidRPr="00843183">
        <w:fldChar w:fldCharType="begin"/>
      </w:r>
      <w:r w:rsidRPr="00843183">
        <w:instrText xml:space="preserve"> REF _Ref393099232 \h </w:instrText>
      </w:r>
      <w:r w:rsidRPr="00843183">
        <w:fldChar w:fldCharType="separate"/>
      </w:r>
      <w:r w:rsidR="00BE7268">
        <w:t xml:space="preserve">Figure </w:t>
      </w:r>
      <w:r w:rsidR="00BE7268">
        <w:rPr>
          <w:noProof/>
        </w:rPr>
        <w:t>18</w:t>
      </w:r>
      <w:r w:rsidRPr="00843183">
        <w:fldChar w:fldCharType="end"/>
      </w:r>
      <w:r w:rsidRPr="00843183">
        <w:t xml:space="preserve"> presents the average number of minutes off supply per customer</w:t>
      </w:r>
      <w:r>
        <w:t>, excluding the effects of major events, planned outages and transmission outages</w:t>
      </w:r>
      <w:r w:rsidRPr="00843183">
        <w:t>.</w:t>
      </w:r>
    </w:p>
    <w:p w:rsidR="00645B85" w:rsidRDefault="00645B85" w:rsidP="00645B85">
      <w:pPr>
        <w:pStyle w:val="Caption"/>
      </w:pPr>
      <w:bookmarkStart w:id="132" w:name="_Ref393099232"/>
      <w:r>
        <w:lastRenderedPageBreak/>
        <w:t xml:space="preserve">Figure </w:t>
      </w:r>
      <w:r w:rsidRPr="00843183">
        <w:fldChar w:fldCharType="begin"/>
      </w:r>
      <w:r>
        <w:instrText xml:space="preserve"> SEQ Figure \* ARABIC </w:instrText>
      </w:r>
      <w:r w:rsidRPr="00843183">
        <w:fldChar w:fldCharType="separate"/>
      </w:r>
      <w:r w:rsidR="00BE7268">
        <w:rPr>
          <w:noProof/>
        </w:rPr>
        <w:t>18</w:t>
      </w:r>
      <w:r w:rsidRPr="00843183">
        <w:fldChar w:fldCharType="end"/>
      </w:r>
      <w:bookmarkEnd w:id="132"/>
      <w:r>
        <w:tab/>
        <w:t>Average minutes off supply per customer (201</w:t>
      </w:r>
      <w:r w:rsidR="00EA44EB">
        <w:t>1</w:t>
      </w:r>
      <w:r>
        <w:t>–201</w:t>
      </w:r>
      <w:r w:rsidR="00EA44EB">
        <w:t>5</w:t>
      </w:r>
      <w:r>
        <w:t>)</w:t>
      </w:r>
    </w:p>
    <w:p w:rsidR="00645B85" w:rsidRPr="00645B85" w:rsidRDefault="0096569A" w:rsidP="00645B85">
      <w:r>
        <w:rPr>
          <w:noProof/>
          <w:lang w:eastAsia="en-AU"/>
        </w:rPr>
        <w:drawing>
          <wp:inline distT="0" distB="0" distL="0" distR="0" wp14:anchorId="680FE96D" wp14:editId="457AD6D6">
            <wp:extent cx="4783173" cy="3174521"/>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89728" cy="3178872"/>
                    </a:xfrm>
                    <a:prstGeom prst="rect">
                      <a:avLst/>
                    </a:prstGeom>
                    <a:noFill/>
                  </pic:spPr>
                </pic:pic>
              </a:graphicData>
            </a:graphic>
          </wp:inline>
        </w:drawing>
      </w:r>
    </w:p>
    <w:bookmarkStart w:id="133" w:name="_Ref393099246"/>
    <w:p w:rsidR="00645B85" w:rsidRDefault="00645B85" w:rsidP="00645B85">
      <w:r>
        <w:fldChar w:fldCharType="begin"/>
      </w:r>
      <w:r>
        <w:instrText xml:space="preserve"> REF _Ref429650155 \h </w:instrText>
      </w:r>
      <w:r>
        <w:fldChar w:fldCharType="separate"/>
      </w:r>
      <w:r w:rsidR="00BE7268">
        <w:t xml:space="preserve">Figure </w:t>
      </w:r>
      <w:r w:rsidR="00BE7268">
        <w:rPr>
          <w:noProof/>
        </w:rPr>
        <w:t>19</w:t>
      </w:r>
      <w:r>
        <w:fldChar w:fldCharType="end"/>
      </w:r>
      <w:r w:rsidRPr="00843183">
        <w:t xml:space="preserve"> presents the average number of interruptions to supply per customer</w:t>
      </w:r>
      <w:r>
        <w:t>, excluding the effects of major events, planned outages and transmission outages</w:t>
      </w:r>
      <w:r w:rsidRPr="00843183">
        <w:t>. There are other measurements of reliability</w:t>
      </w:r>
      <w:r>
        <w:t xml:space="preserve"> but</w:t>
      </w:r>
      <w:r w:rsidRPr="00843183">
        <w:t xml:space="preserve"> the frequency and duration of interruptions to supply per customer are the </w:t>
      </w:r>
      <w:r w:rsidR="004F7473" w:rsidRPr="004F7473">
        <w:t xml:space="preserve">Institute of Electrical and Electronics Engineers </w:t>
      </w:r>
      <w:r w:rsidR="004F7473">
        <w:t>(</w:t>
      </w:r>
      <w:r>
        <w:t>IEEE</w:t>
      </w:r>
      <w:r w:rsidR="004F7473">
        <w:t>)</w:t>
      </w:r>
      <w:r>
        <w:t xml:space="preserve"> </w:t>
      </w:r>
      <w:r w:rsidRPr="00843183">
        <w:t xml:space="preserve">standard measures for </w:t>
      </w:r>
      <w:r>
        <w:t>DNSPs</w:t>
      </w:r>
      <w:r w:rsidRPr="00843183">
        <w:t>.</w:t>
      </w:r>
    </w:p>
    <w:p w:rsidR="00645B85" w:rsidRDefault="00645B85" w:rsidP="00645B85">
      <w:pPr>
        <w:pStyle w:val="Caption"/>
      </w:pPr>
      <w:bookmarkStart w:id="134" w:name="_Ref429650155"/>
      <w:r>
        <w:t xml:space="preserve">Figure </w:t>
      </w:r>
      <w:r w:rsidRPr="00843183">
        <w:fldChar w:fldCharType="begin"/>
      </w:r>
      <w:r>
        <w:instrText xml:space="preserve"> SEQ Figure \* ARABIC </w:instrText>
      </w:r>
      <w:r w:rsidRPr="00843183">
        <w:fldChar w:fldCharType="separate"/>
      </w:r>
      <w:proofErr w:type="gramStart"/>
      <w:r w:rsidR="00BE7268">
        <w:rPr>
          <w:noProof/>
        </w:rPr>
        <w:t>19</w:t>
      </w:r>
      <w:r w:rsidRPr="00843183">
        <w:fldChar w:fldCharType="end"/>
      </w:r>
      <w:bookmarkEnd w:id="133"/>
      <w:bookmarkEnd w:id="134"/>
      <w:r>
        <w:tab/>
        <w:t>Average number</w:t>
      </w:r>
      <w:proofErr w:type="gramEnd"/>
      <w:r>
        <w:t xml:space="preserve"> of interruptions per customer (201</w:t>
      </w:r>
      <w:r w:rsidR="00EA44EB">
        <w:t>1</w:t>
      </w:r>
      <w:r>
        <w:t>–201</w:t>
      </w:r>
      <w:r w:rsidR="00EA44EB">
        <w:t>5</w:t>
      </w:r>
      <w:r>
        <w:t>)</w:t>
      </w:r>
    </w:p>
    <w:p w:rsidR="00645B85" w:rsidRPr="00645B85" w:rsidRDefault="00901F19" w:rsidP="00645B85">
      <w:r>
        <w:rPr>
          <w:noProof/>
          <w:lang w:eastAsia="en-AU"/>
        </w:rPr>
        <w:drawing>
          <wp:inline distT="0" distB="0" distL="0" distR="0" wp14:anchorId="14909A39" wp14:editId="0A794551">
            <wp:extent cx="4826549" cy="3200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27529" cy="3201050"/>
                    </a:xfrm>
                    <a:prstGeom prst="rect">
                      <a:avLst/>
                    </a:prstGeom>
                    <a:noFill/>
                  </pic:spPr>
                </pic:pic>
              </a:graphicData>
            </a:graphic>
          </wp:inline>
        </w:drawing>
      </w:r>
    </w:p>
    <w:p w:rsidR="00645B85" w:rsidRPr="0069742C" w:rsidRDefault="00645B85" w:rsidP="00645B85">
      <w:pPr>
        <w:pStyle w:val="Heading8"/>
      </w:pPr>
      <w:bookmarkStart w:id="135" w:name="_Toc404010812"/>
      <w:bookmarkStart w:id="136" w:name="_Toc468175079"/>
      <w:r>
        <w:lastRenderedPageBreak/>
        <w:t>I</w:t>
      </w:r>
      <w:r w:rsidRPr="002F74A2">
        <w:t>nputs</w:t>
      </w:r>
      <w:bookmarkEnd w:id="135"/>
      <w:bookmarkEnd w:id="136"/>
    </w:p>
    <w:p w:rsidR="00645B85" w:rsidRDefault="00645B85" w:rsidP="00645B85">
      <w:r>
        <w:t xml:space="preserve">The inputs used in this report are assets and </w:t>
      </w:r>
      <w:proofErr w:type="spellStart"/>
      <w:r>
        <w:t>opex</w:t>
      </w:r>
      <w:proofErr w:type="spellEnd"/>
      <w:r>
        <w:t xml:space="preserve">. DNSPs use a mix of assets and </w:t>
      </w:r>
      <w:proofErr w:type="spellStart"/>
      <w:r>
        <w:t>opex</w:t>
      </w:r>
      <w:proofErr w:type="spellEnd"/>
      <w:r>
        <w:t xml:space="preserve"> to deliver services. Electricity assets can provide useful service over several decades. However, benchmarking studies typically focus on a shorter </w:t>
      </w:r>
      <w:proofErr w:type="gramStart"/>
      <w:r>
        <w:t>period of time</w:t>
      </w:r>
      <w:proofErr w:type="gramEnd"/>
      <w:r>
        <w:t>.</w:t>
      </w:r>
    </w:p>
    <w:p w:rsidR="00645B85" w:rsidRDefault="00645B85" w:rsidP="00645B85">
      <w:r>
        <w:t xml:space="preserve">For our MTFP </w:t>
      </w:r>
      <w:proofErr w:type="gramStart"/>
      <w:r>
        <w:t>analysis</w:t>
      </w:r>
      <w:proofErr w:type="gramEnd"/>
      <w:r>
        <w:t xml:space="preserve"> we use physical measures of capital inputs. Using physical values for</w:t>
      </w:r>
      <w:r w:rsidR="004F058B">
        <w:t xml:space="preserve"> capital</w:t>
      </w:r>
      <w:r>
        <w:t xml:space="preserve"> inputs has the advantage </w:t>
      </w:r>
      <w:r w:rsidRPr="0051793E">
        <w:t xml:space="preserve">of best reflecting the physical depreciation profile of DNSP assets. </w:t>
      </w:r>
      <w:r>
        <w:t>Our MTFP analysis</w:t>
      </w:r>
      <w:r w:rsidRPr="0051793E">
        <w:t xml:space="preserve"> </w:t>
      </w:r>
      <w:r>
        <w:t xml:space="preserve">uses five physical measures of capital inputs: the capacity of transformers, overhead lines above 33kV, overhead lines below 33kV, underground cables above 33kV and underground cables below 33kV. The MTFP analysis also uses constant dollar </w:t>
      </w:r>
      <w:proofErr w:type="spellStart"/>
      <w:r>
        <w:t>opex</w:t>
      </w:r>
      <w:proofErr w:type="spellEnd"/>
      <w:r>
        <w:t xml:space="preserve"> as an input. The November 2014 Economic Insights report referred to in Appendix </w:t>
      </w:r>
      <w:r>
        <w:fldChar w:fldCharType="begin"/>
      </w:r>
      <w:r>
        <w:instrText xml:space="preserve"> REF _Ref432682897 \n \h </w:instrText>
      </w:r>
      <w:r>
        <w:fldChar w:fldCharType="separate"/>
      </w:r>
      <w:r w:rsidR="00BE7268">
        <w:t>A</w:t>
      </w:r>
      <w:r>
        <w:fldChar w:fldCharType="end"/>
      </w:r>
      <w:r>
        <w:t xml:space="preserve"> provides further detail on the capital inputs for MTFP.</w:t>
      </w:r>
    </w:p>
    <w:p w:rsidR="00645B85" w:rsidRDefault="00645B85" w:rsidP="00645B85">
      <w:r>
        <w:t>F</w:t>
      </w:r>
      <w:r w:rsidRPr="00F2218C">
        <w:t xml:space="preserve">or the purpose of </w:t>
      </w:r>
      <w:r>
        <w:t>PPI</w:t>
      </w:r>
      <w:r w:rsidRPr="00F2218C">
        <w:t xml:space="preserve"> analysis we </w:t>
      </w:r>
      <w:r>
        <w:t>use</w:t>
      </w:r>
      <w:r w:rsidRPr="00F2218C">
        <w:t xml:space="preserve"> the</w:t>
      </w:r>
      <w:r>
        <w:t xml:space="preserve"> real value of the regulatory asset base as the proxy for assets</w:t>
      </w:r>
      <w:r w:rsidR="00714E19">
        <w:t xml:space="preserve"> as the starting point in deriving the real cost of using those assets</w:t>
      </w:r>
      <w:r w:rsidRPr="00062D57">
        <w:t>.</w:t>
      </w:r>
      <w:r w:rsidR="00AA200A">
        <w:t xml:space="preserve"> To be consistent with</w:t>
      </w:r>
      <w:r w:rsidRPr="00062D57">
        <w:t xml:space="preserve"> </w:t>
      </w:r>
      <w:r w:rsidR="00AA200A" w:rsidRPr="00AA200A">
        <w:t xml:space="preserve">Economic Insights' MTFP analysis, </w:t>
      </w:r>
      <w:r w:rsidR="00AA200A">
        <w:t xml:space="preserve">and in response to a submission by </w:t>
      </w:r>
      <w:proofErr w:type="spellStart"/>
      <w:r w:rsidR="00AA200A">
        <w:t>Ausgrid</w:t>
      </w:r>
      <w:proofErr w:type="spellEnd"/>
      <w:r w:rsidR="008D29CC">
        <w:t>,</w:t>
      </w:r>
      <w:r w:rsidR="00AA200A">
        <w:rPr>
          <w:rStyle w:val="FootnoteReference"/>
        </w:rPr>
        <w:footnoteReference w:id="27"/>
      </w:r>
      <w:r w:rsidR="00AA200A">
        <w:t xml:space="preserve"> we have adjusted </w:t>
      </w:r>
      <w:r w:rsidR="00AA200A" w:rsidRPr="00AA200A">
        <w:t xml:space="preserve">the PPI analysis </w:t>
      </w:r>
      <w:r w:rsidR="00AA200A">
        <w:t>to remove</w:t>
      </w:r>
      <w:r w:rsidR="00AA200A" w:rsidRPr="00AA200A">
        <w:t xml:space="preserve"> assets associated with the first-stage of the two-step transformation at the zone substation level</w:t>
      </w:r>
      <w:r w:rsidR="008D29CC" w:rsidRPr="008D29CC">
        <w:t xml:space="preserve"> for those DNSPs with more complex system structures</w:t>
      </w:r>
      <w:r w:rsidR="00AA200A" w:rsidRPr="00AA200A">
        <w:t xml:space="preserve">.  </w:t>
      </w:r>
      <w:r w:rsidR="008D29CC">
        <w:t xml:space="preserve">This allows better like-with-like comparisons to </w:t>
      </w:r>
      <w:proofErr w:type="gramStart"/>
      <w:r w:rsidR="008D29CC">
        <w:t>be made</w:t>
      </w:r>
      <w:proofErr w:type="gramEnd"/>
      <w:r w:rsidR="008D29CC">
        <w:t xml:space="preserve"> across DNSPs. </w:t>
      </w:r>
      <w:r w:rsidR="00AA200A" w:rsidRPr="00AA200A">
        <w:t xml:space="preserve">  </w:t>
      </w:r>
    </w:p>
    <w:p w:rsidR="00645B85" w:rsidRPr="00062D57" w:rsidRDefault="00645B85" w:rsidP="00645B85">
      <w:r>
        <w:t>A</w:t>
      </w:r>
      <w:r w:rsidRPr="00062D57">
        <w:t>sset cost is the sum of annual depreciation and return on investment.</w:t>
      </w:r>
      <w:r w:rsidR="008157DC" w:rsidRPr="008157DC">
        <w:rPr>
          <w:rStyle w:val="FootnoteReference"/>
        </w:rPr>
        <w:t xml:space="preserve"> </w:t>
      </w:r>
      <w:r w:rsidR="008157DC">
        <w:rPr>
          <w:rStyle w:val="FootnoteReference"/>
        </w:rPr>
        <w:footnoteReference w:id="28"/>
      </w:r>
      <w:r w:rsidRPr="00062D57">
        <w:t xml:space="preserve"> This measure has the advantage of reflecting the total cost of assets for which customers </w:t>
      </w:r>
      <w:proofErr w:type="gramStart"/>
      <w:r w:rsidRPr="00062D57">
        <w:t>are billed</w:t>
      </w:r>
      <w:proofErr w:type="gramEnd"/>
      <w:r w:rsidRPr="00242D2F">
        <w:t xml:space="preserve"> </w:t>
      </w:r>
      <w:r>
        <w:t xml:space="preserve">on an </w:t>
      </w:r>
      <w:r w:rsidRPr="00062D57">
        <w:t>annual</w:t>
      </w:r>
      <w:r>
        <w:t xml:space="preserve"> basis, using</w:t>
      </w:r>
      <w:r w:rsidRPr="008B5C2A">
        <w:t xml:space="preserve"> the average return on capital over the period</w:t>
      </w:r>
      <w:r>
        <w:t>. This</w:t>
      </w:r>
      <w:r w:rsidRPr="008B5C2A">
        <w:t xml:space="preserve"> accounts for variations in the return on capital across </w:t>
      </w:r>
      <w:r>
        <w:t>DNSPs</w:t>
      </w:r>
      <w:r w:rsidRPr="008B5C2A">
        <w:t xml:space="preserve"> and over time</w:t>
      </w:r>
      <w:r>
        <w:t>.</w:t>
      </w:r>
    </w:p>
    <w:p w:rsidR="00645B85" w:rsidRDefault="00645B85" w:rsidP="00645B85">
      <w:r w:rsidRPr="00062D57">
        <w:fldChar w:fldCharType="begin"/>
      </w:r>
      <w:r w:rsidRPr="00062D57">
        <w:instrText xml:space="preserve"> REF _Ref404353491 \h </w:instrText>
      </w:r>
      <w:r w:rsidRPr="00062D57">
        <w:fldChar w:fldCharType="separate"/>
      </w:r>
      <w:r w:rsidR="00BE7268" w:rsidRPr="002F74A2">
        <w:t xml:space="preserve">Table </w:t>
      </w:r>
      <w:r w:rsidR="00BE7268">
        <w:rPr>
          <w:noProof/>
        </w:rPr>
        <w:t>3</w:t>
      </w:r>
      <w:r w:rsidRPr="00062D57">
        <w:fldChar w:fldCharType="end"/>
      </w:r>
      <w:r w:rsidRPr="00062D57">
        <w:t xml:space="preserve"> presents measures of the cost of network inputs </w:t>
      </w:r>
      <w:r>
        <w:t xml:space="preserve">relevant to </w:t>
      </w:r>
      <w:proofErr w:type="spellStart"/>
      <w:r>
        <w:t>opex</w:t>
      </w:r>
      <w:proofErr w:type="spellEnd"/>
      <w:r>
        <w:t xml:space="preserve"> and assets </w:t>
      </w:r>
      <w:r w:rsidRPr="00062D57">
        <w:t xml:space="preserve">for all </w:t>
      </w:r>
      <w:r>
        <w:t>DNSPs</w:t>
      </w:r>
      <w:r w:rsidRPr="00062D57">
        <w:t xml:space="preserve">. We have presented the average annual network costs over five years in this table to moderate the effect of any one-off fluctuations in </w:t>
      </w:r>
      <w:r>
        <w:t>cost</w:t>
      </w:r>
      <w:r w:rsidRPr="00062D57">
        <w:t>.</w:t>
      </w:r>
      <w:bookmarkStart w:id="137" w:name="_Ref389743239"/>
      <w:r>
        <w:t xml:space="preserve"> </w:t>
      </w:r>
    </w:p>
    <w:p w:rsidR="00714B7A" w:rsidRDefault="00714B7A" w:rsidP="00645B85"/>
    <w:p w:rsidR="00714B7A" w:rsidRDefault="00714B7A" w:rsidP="00645B85"/>
    <w:p w:rsidR="00714B7A" w:rsidRPr="00062D57" w:rsidRDefault="00714B7A" w:rsidP="00645B85"/>
    <w:p w:rsidR="00645B85" w:rsidRPr="002F74A2" w:rsidRDefault="00645B85" w:rsidP="00645B85">
      <w:pPr>
        <w:pStyle w:val="Caption"/>
      </w:pPr>
      <w:bookmarkStart w:id="138" w:name="_Ref404353491"/>
      <w:r w:rsidRPr="002F74A2">
        <w:t xml:space="preserve">Table </w:t>
      </w:r>
      <w:r w:rsidRPr="00062D57">
        <w:fldChar w:fldCharType="begin"/>
      </w:r>
      <w:r>
        <w:instrText xml:space="preserve"> SEQ Table \* ARABIC </w:instrText>
      </w:r>
      <w:r w:rsidRPr="00062D57">
        <w:fldChar w:fldCharType="separate"/>
      </w:r>
      <w:r w:rsidR="00BE7268">
        <w:rPr>
          <w:noProof/>
        </w:rPr>
        <w:t>3</w:t>
      </w:r>
      <w:r w:rsidRPr="00062D57">
        <w:fldChar w:fldCharType="end"/>
      </w:r>
      <w:bookmarkEnd w:id="137"/>
      <w:bookmarkEnd w:id="138"/>
      <w:r w:rsidRPr="002F74A2">
        <w:tab/>
        <w:t xml:space="preserve">Average </w:t>
      </w:r>
      <w:r>
        <w:t>annual costs for network inputs for 201</w:t>
      </w:r>
      <w:r w:rsidR="00EA44EB">
        <w:t>1</w:t>
      </w:r>
      <w:r w:rsidRPr="002F74A2">
        <w:t>–1</w:t>
      </w:r>
      <w:r w:rsidR="00EA44EB">
        <w:t>5</w:t>
      </w:r>
      <w:r>
        <w:t xml:space="preserve"> ($m, 201</w:t>
      </w:r>
      <w:r w:rsidR="00EA44EB">
        <w:t>5</w:t>
      </w:r>
      <w:r>
        <w:t>)</w:t>
      </w:r>
    </w:p>
    <w:tbl>
      <w:tblPr>
        <w:tblStyle w:val="AERtable-numbers"/>
        <w:tblW w:w="5000" w:type="pct"/>
        <w:tblLayout w:type="fixed"/>
        <w:tblLook w:val="04A0" w:firstRow="1" w:lastRow="0" w:firstColumn="1" w:lastColumn="0" w:noHBand="0" w:noVBand="1"/>
      </w:tblPr>
      <w:tblGrid>
        <w:gridCol w:w="2425"/>
        <w:gridCol w:w="1360"/>
        <w:gridCol w:w="1711"/>
        <w:gridCol w:w="1526"/>
        <w:gridCol w:w="1671"/>
      </w:tblGrid>
      <w:tr w:rsidR="00645B85" w:rsidRPr="002F74A2" w:rsidTr="00734DA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645B85" w:rsidRPr="00062D57" w:rsidRDefault="00645B85" w:rsidP="004D6077">
            <w:pPr>
              <w:pStyle w:val="AERtabletextleft"/>
            </w:pPr>
          </w:p>
        </w:tc>
        <w:tc>
          <w:tcPr>
            <w:tcW w:w="782" w:type="pct"/>
            <w:noWrap/>
            <w:hideMark/>
          </w:tcPr>
          <w:p w:rsidR="00645B85" w:rsidRPr="00062D57" w:rsidRDefault="00645B85" w:rsidP="004D6077">
            <w:pPr>
              <w:pStyle w:val="AERtabletextleft"/>
              <w:cnfStyle w:val="100000000000" w:firstRow="1" w:lastRow="0" w:firstColumn="0" w:lastColumn="0" w:oddVBand="0" w:evenVBand="0" w:oddHBand="0" w:evenHBand="0" w:firstRowFirstColumn="0" w:firstRowLastColumn="0" w:lastRowFirstColumn="0" w:lastRowLastColumn="0"/>
            </w:pPr>
            <w:proofErr w:type="spellStart"/>
            <w:r w:rsidRPr="002F74A2">
              <w:t>Opex</w:t>
            </w:r>
            <w:proofErr w:type="spellEnd"/>
          </w:p>
        </w:tc>
        <w:tc>
          <w:tcPr>
            <w:tcW w:w="984" w:type="pct"/>
            <w:noWrap/>
            <w:hideMark/>
          </w:tcPr>
          <w:p w:rsidR="00645B85" w:rsidRPr="00062D57" w:rsidRDefault="00645B85" w:rsidP="004D6077">
            <w:pPr>
              <w:pStyle w:val="AERtabletextleft"/>
              <w:cnfStyle w:val="100000000000" w:firstRow="1" w:lastRow="0" w:firstColumn="0" w:lastColumn="0" w:oddVBand="0" w:evenVBand="0" w:oddHBand="0" w:evenHBand="0" w:firstRowFirstColumn="0" w:firstRowLastColumn="0" w:lastRowFirstColumn="0" w:lastRowLastColumn="0"/>
            </w:pPr>
            <w:r w:rsidRPr="002F74A2">
              <w:t>RAB</w:t>
            </w:r>
          </w:p>
        </w:tc>
        <w:tc>
          <w:tcPr>
            <w:tcW w:w="878" w:type="pct"/>
          </w:tcPr>
          <w:p w:rsidR="00645B85" w:rsidRPr="00062D57" w:rsidRDefault="00645B85" w:rsidP="004D6077">
            <w:pPr>
              <w:pStyle w:val="AERtabletextleft"/>
              <w:cnfStyle w:val="100000000000" w:firstRow="1" w:lastRow="0" w:firstColumn="0" w:lastColumn="0" w:oddVBand="0" w:evenVBand="0" w:oddHBand="0" w:evenHBand="0" w:firstRowFirstColumn="0" w:firstRowLastColumn="0" w:lastRowFirstColumn="0" w:lastRowLastColumn="0"/>
            </w:pPr>
            <w:r>
              <w:t>Depreciation</w:t>
            </w:r>
          </w:p>
        </w:tc>
        <w:tc>
          <w:tcPr>
            <w:tcW w:w="961" w:type="pct"/>
          </w:tcPr>
          <w:p w:rsidR="00645B85" w:rsidRPr="00062D57" w:rsidRDefault="00645B85" w:rsidP="004D6077">
            <w:pPr>
              <w:pStyle w:val="AERtabletextleft"/>
              <w:cnfStyle w:val="100000000000" w:firstRow="1" w:lastRow="0" w:firstColumn="0" w:lastColumn="0" w:oddVBand="0" w:evenVBand="0" w:oddHBand="0" w:evenHBand="0" w:firstRowFirstColumn="0" w:firstRowLastColumn="0" w:lastRowFirstColumn="0" w:lastRowLastColumn="0"/>
            </w:pPr>
            <w:r w:rsidRPr="002F74A2">
              <w:t>Asset cost</w:t>
            </w:r>
          </w:p>
        </w:tc>
      </w:tr>
      <w:tr w:rsidR="00EA44EB" w:rsidRPr="002F74A2" w:rsidTr="00734DA1">
        <w:trPr>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EA44EB" w:rsidRPr="00EA44EB" w:rsidRDefault="00EA44EB" w:rsidP="004D6077">
            <w:pPr>
              <w:pStyle w:val="AERtabletextleft"/>
            </w:pPr>
            <w:proofErr w:type="spellStart"/>
            <w:r w:rsidRPr="00EA44EB">
              <w:t>ActewAGL</w:t>
            </w:r>
            <w:proofErr w:type="spellEnd"/>
            <w:r w:rsidRPr="00EA44EB">
              <w:t xml:space="preserve"> (ACT)</w:t>
            </w:r>
          </w:p>
        </w:tc>
        <w:tc>
          <w:tcPr>
            <w:tcW w:w="782" w:type="pct"/>
            <w:noWrap/>
          </w:tcPr>
          <w:p w:rsidR="00EA44EB" w:rsidRPr="00EA44EB" w:rsidRDefault="00BD395C" w:rsidP="004D6077">
            <w:pPr>
              <w:pStyle w:val="AERtabletextleft"/>
              <w:cnfStyle w:val="000000000000" w:firstRow="0" w:lastRow="0" w:firstColumn="0" w:lastColumn="0" w:oddVBand="0" w:evenVBand="0" w:oddHBand="0" w:evenHBand="0" w:firstRowFirstColumn="0" w:firstRowLastColumn="0" w:lastRowFirstColumn="0" w:lastRowLastColumn="0"/>
            </w:pPr>
            <w:r>
              <w:t>69.73</w:t>
            </w:r>
          </w:p>
        </w:tc>
        <w:tc>
          <w:tcPr>
            <w:tcW w:w="984" w:type="pct"/>
            <w:noWrap/>
          </w:tcPr>
          <w:p w:rsidR="00EA44EB" w:rsidRPr="00EA44EB" w:rsidRDefault="00EA44EB" w:rsidP="004D6077">
            <w:pPr>
              <w:pStyle w:val="AERtabletextleft"/>
              <w:cnfStyle w:val="000000000000" w:firstRow="0" w:lastRow="0" w:firstColumn="0" w:lastColumn="0" w:oddVBand="0" w:evenVBand="0" w:oddHBand="0" w:evenHBand="0" w:firstRowFirstColumn="0" w:firstRowLastColumn="0" w:lastRowFirstColumn="0" w:lastRowLastColumn="0"/>
            </w:pPr>
            <w:r w:rsidRPr="00EA44EB">
              <w:t>824.51</w:t>
            </w:r>
          </w:p>
        </w:tc>
        <w:tc>
          <w:tcPr>
            <w:tcW w:w="878" w:type="pct"/>
          </w:tcPr>
          <w:p w:rsidR="00EA44EB" w:rsidRPr="00EA44EB" w:rsidRDefault="00EA44EB" w:rsidP="004D6077">
            <w:pPr>
              <w:pStyle w:val="AERtabletextleft"/>
              <w:cnfStyle w:val="000000000000" w:firstRow="0" w:lastRow="0" w:firstColumn="0" w:lastColumn="0" w:oddVBand="0" w:evenVBand="0" w:oddHBand="0" w:evenHBand="0" w:firstRowFirstColumn="0" w:firstRowLastColumn="0" w:lastRowFirstColumn="0" w:lastRowLastColumn="0"/>
            </w:pPr>
            <w:r w:rsidRPr="00EA44EB">
              <w:t xml:space="preserve">44.98 </w:t>
            </w:r>
          </w:p>
        </w:tc>
        <w:tc>
          <w:tcPr>
            <w:tcW w:w="961" w:type="pct"/>
          </w:tcPr>
          <w:p w:rsidR="00EA44EB" w:rsidRPr="00EA44EB" w:rsidRDefault="00EA44EB" w:rsidP="004D6077">
            <w:pPr>
              <w:pStyle w:val="AERtabletextleft"/>
              <w:cnfStyle w:val="000000000000" w:firstRow="0" w:lastRow="0" w:firstColumn="0" w:lastColumn="0" w:oddVBand="0" w:evenVBand="0" w:oddHBand="0" w:evenHBand="0" w:firstRowFirstColumn="0" w:firstRowLastColumn="0" w:lastRowFirstColumn="0" w:lastRowLastColumn="0"/>
            </w:pPr>
            <w:r w:rsidRPr="00EA44EB">
              <w:t>90.90</w:t>
            </w:r>
          </w:p>
        </w:tc>
      </w:tr>
      <w:tr w:rsidR="004D6077" w:rsidRPr="002F74A2" w:rsidTr="00734DA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EA44EB" w:rsidRPr="00EA44EB" w:rsidRDefault="00EA44EB" w:rsidP="004D6077">
            <w:pPr>
              <w:pStyle w:val="AERtabletextleft"/>
            </w:pPr>
            <w:proofErr w:type="spellStart"/>
            <w:r w:rsidRPr="00EA44EB">
              <w:t>Ausgrid</w:t>
            </w:r>
            <w:proofErr w:type="spellEnd"/>
            <w:r w:rsidRPr="00EA44EB">
              <w:t xml:space="preserve"> (AGD)</w:t>
            </w:r>
          </w:p>
        </w:tc>
        <w:tc>
          <w:tcPr>
            <w:tcW w:w="782" w:type="pct"/>
            <w:noWrap/>
          </w:tcPr>
          <w:p w:rsidR="00EA44EB" w:rsidRPr="00EA44EB" w:rsidRDefault="00EA44EB" w:rsidP="004D6077">
            <w:pPr>
              <w:pStyle w:val="AERtabletextleft"/>
              <w:cnfStyle w:val="000000010000" w:firstRow="0" w:lastRow="0" w:firstColumn="0" w:lastColumn="0" w:oddVBand="0" w:evenVBand="0" w:oddHBand="0" w:evenHBand="1" w:firstRowFirstColumn="0" w:firstRowLastColumn="0" w:lastRowFirstColumn="0" w:lastRowLastColumn="0"/>
            </w:pPr>
            <w:r w:rsidRPr="00EA44EB">
              <w:t>582.23</w:t>
            </w:r>
          </w:p>
        </w:tc>
        <w:tc>
          <w:tcPr>
            <w:tcW w:w="984" w:type="pct"/>
            <w:noWrap/>
          </w:tcPr>
          <w:p w:rsidR="00EA44EB" w:rsidRPr="00EA44EB" w:rsidRDefault="00192D49" w:rsidP="004D6077">
            <w:pPr>
              <w:pStyle w:val="AERtabletextleft"/>
              <w:cnfStyle w:val="000000010000" w:firstRow="0" w:lastRow="0" w:firstColumn="0" w:lastColumn="0" w:oddVBand="0" w:evenVBand="0" w:oddHBand="0" w:evenHBand="1" w:firstRowFirstColumn="0" w:firstRowLastColumn="0" w:lastRowFirstColumn="0" w:lastRowLastColumn="0"/>
            </w:pPr>
            <w:r>
              <w:t>12,305.34</w:t>
            </w:r>
          </w:p>
        </w:tc>
        <w:tc>
          <w:tcPr>
            <w:tcW w:w="878" w:type="pct"/>
          </w:tcPr>
          <w:p w:rsidR="00EA44EB" w:rsidRPr="00EA44EB" w:rsidRDefault="00BD395C" w:rsidP="004D6077">
            <w:pPr>
              <w:pStyle w:val="AERtabletextleft"/>
              <w:cnfStyle w:val="000000010000" w:firstRow="0" w:lastRow="0" w:firstColumn="0" w:lastColumn="0" w:oddVBand="0" w:evenVBand="0" w:oddHBand="0" w:evenHBand="1" w:firstRowFirstColumn="0" w:firstRowLastColumn="0" w:lastRowFirstColumn="0" w:lastRowLastColumn="0"/>
            </w:pPr>
            <w:r>
              <w:t>434.55</w:t>
            </w:r>
            <w:r w:rsidR="00EA44EB" w:rsidRPr="00EA44EB">
              <w:t xml:space="preserve"> </w:t>
            </w:r>
          </w:p>
        </w:tc>
        <w:tc>
          <w:tcPr>
            <w:tcW w:w="961" w:type="pct"/>
          </w:tcPr>
          <w:p w:rsidR="00EA44EB" w:rsidRPr="00EA44EB" w:rsidRDefault="00BD395C" w:rsidP="004D6077">
            <w:pPr>
              <w:pStyle w:val="AERtabletextleft"/>
              <w:cnfStyle w:val="000000010000" w:firstRow="0" w:lastRow="0" w:firstColumn="0" w:lastColumn="0" w:oddVBand="0" w:evenVBand="0" w:oddHBand="0" w:evenHBand="1" w:firstRowFirstColumn="0" w:firstRowLastColumn="0" w:lastRowFirstColumn="0" w:lastRowLastColumn="0"/>
            </w:pPr>
            <w:r>
              <w:t>1,119.76</w:t>
            </w:r>
          </w:p>
        </w:tc>
      </w:tr>
      <w:tr w:rsidR="00FD2BDF" w:rsidRPr="002F74A2" w:rsidTr="00734DA1">
        <w:trPr>
          <w:trHeight w:val="300"/>
        </w:trPr>
        <w:tc>
          <w:tcPr>
            <w:cnfStyle w:val="001000000000" w:firstRow="0" w:lastRow="0" w:firstColumn="1" w:lastColumn="0" w:oddVBand="0" w:evenVBand="0" w:oddHBand="0" w:evenHBand="0" w:firstRowFirstColumn="0" w:firstRowLastColumn="0" w:lastRowFirstColumn="0" w:lastRowLastColumn="0"/>
            <w:tcW w:w="1395" w:type="pct"/>
            <w:noWrap/>
          </w:tcPr>
          <w:p w:rsidR="00FD2BDF" w:rsidRPr="00FD2BDF" w:rsidRDefault="00FD2BDF" w:rsidP="00FD2BDF">
            <w:pPr>
              <w:pStyle w:val="AERtabletextleft"/>
            </w:pPr>
            <w:r w:rsidRPr="00EA44EB">
              <w:t>AusNet Services (AND)</w:t>
            </w:r>
          </w:p>
        </w:tc>
        <w:tc>
          <w:tcPr>
            <w:tcW w:w="782" w:type="pct"/>
            <w:noWrap/>
          </w:tcPr>
          <w:p w:rsidR="00FD2BDF" w:rsidRPr="00FD2BDF" w:rsidRDefault="00BD395C" w:rsidP="00FD2BDF">
            <w:pPr>
              <w:pStyle w:val="AERtabletextleft"/>
              <w:cnfStyle w:val="000000000000" w:firstRow="0" w:lastRow="0" w:firstColumn="0" w:lastColumn="0" w:oddVBand="0" w:evenVBand="0" w:oddHBand="0" w:evenHBand="0" w:firstRowFirstColumn="0" w:firstRowLastColumn="0" w:lastRowFirstColumn="0" w:lastRowLastColumn="0"/>
            </w:pPr>
            <w:r>
              <w:t>184.90</w:t>
            </w:r>
          </w:p>
        </w:tc>
        <w:tc>
          <w:tcPr>
            <w:tcW w:w="984" w:type="pct"/>
            <w:noWrap/>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2,859.89</w:t>
            </w:r>
          </w:p>
        </w:tc>
        <w:tc>
          <w:tcPr>
            <w:tcW w:w="878" w:type="pct"/>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 xml:space="preserve">133.98 </w:t>
            </w:r>
          </w:p>
        </w:tc>
        <w:tc>
          <w:tcPr>
            <w:tcW w:w="961" w:type="pct"/>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293.23</w:t>
            </w:r>
          </w:p>
        </w:tc>
      </w:tr>
      <w:tr w:rsidR="00FD2BDF" w:rsidRPr="002F74A2" w:rsidTr="00734DA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r w:rsidRPr="00EA44EB">
              <w:t>CitiPower (CIT)</w:t>
            </w:r>
          </w:p>
        </w:tc>
        <w:tc>
          <w:tcPr>
            <w:tcW w:w="782" w:type="pct"/>
            <w:noWrap/>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55.26</w:t>
            </w:r>
          </w:p>
        </w:tc>
        <w:tc>
          <w:tcPr>
            <w:tcW w:w="984" w:type="pct"/>
            <w:noWrap/>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1,301.76</w:t>
            </w:r>
          </w:p>
        </w:tc>
        <w:tc>
          <w:tcPr>
            <w:tcW w:w="878" w:type="pct"/>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 xml:space="preserve">63.18 </w:t>
            </w:r>
          </w:p>
        </w:tc>
        <w:tc>
          <w:tcPr>
            <w:tcW w:w="961" w:type="pct"/>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135.67</w:t>
            </w:r>
          </w:p>
        </w:tc>
      </w:tr>
      <w:tr w:rsidR="00FD2BDF" w:rsidRPr="002F74A2" w:rsidTr="00734DA1">
        <w:trPr>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r w:rsidRPr="00EA44EB">
              <w:t>Endeavour Energy (END)</w:t>
            </w:r>
          </w:p>
        </w:tc>
        <w:tc>
          <w:tcPr>
            <w:tcW w:w="782" w:type="pct"/>
            <w:noWrap/>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259.55</w:t>
            </w:r>
          </w:p>
        </w:tc>
        <w:tc>
          <w:tcPr>
            <w:tcW w:w="984" w:type="pct"/>
            <w:noWrap/>
          </w:tcPr>
          <w:p w:rsidR="00FD2BDF" w:rsidRPr="00FD2BDF" w:rsidRDefault="00192D49" w:rsidP="00FD2BDF">
            <w:pPr>
              <w:pStyle w:val="AERtabletextleft"/>
              <w:cnfStyle w:val="000000000000" w:firstRow="0" w:lastRow="0" w:firstColumn="0" w:lastColumn="0" w:oddVBand="0" w:evenVBand="0" w:oddHBand="0" w:evenHBand="0" w:firstRowFirstColumn="0" w:firstRowLastColumn="0" w:lastRowFirstColumn="0" w:lastRowLastColumn="0"/>
            </w:pPr>
            <w:r>
              <w:t>4,416.33</w:t>
            </w:r>
          </w:p>
        </w:tc>
        <w:tc>
          <w:tcPr>
            <w:tcW w:w="878" w:type="pct"/>
          </w:tcPr>
          <w:p w:rsidR="00FD2BDF" w:rsidRPr="00FD2BDF" w:rsidRDefault="00BD395C" w:rsidP="00FD2BDF">
            <w:pPr>
              <w:pStyle w:val="AERtabletextleft"/>
              <w:cnfStyle w:val="000000000000" w:firstRow="0" w:lastRow="0" w:firstColumn="0" w:lastColumn="0" w:oddVBand="0" w:evenVBand="0" w:oddHBand="0" w:evenHBand="0" w:firstRowFirstColumn="0" w:firstRowLastColumn="0" w:lastRowFirstColumn="0" w:lastRowLastColumn="0"/>
            </w:pPr>
            <w:r>
              <w:t>210.76</w:t>
            </w:r>
            <w:r w:rsidR="00FD2BDF" w:rsidRPr="00EA44EB">
              <w:t xml:space="preserve"> </w:t>
            </w:r>
          </w:p>
        </w:tc>
        <w:tc>
          <w:tcPr>
            <w:tcW w:w="961" w:type="pct"/>
          </w:tcPr>
          <w:p w:rsidR="00FD2BDF" w:rsidRPr="00FD2BDF" w:rsidRDefault="00BD395C" w:rsidP="00FD2BDF">
            <w:pPr>
              <w:pStyle w:val="AERtabletextleft"/>
              <w:cnfStyle w:val="000000000000" w:firstRow="0" w:lastRow="0" w:firstColumn="0" w:lastColumn="0" w:oddVBand="0" w:evenVBand="0" w:oddHBand="0" w:evenHBand="0" w:firstRowFirstColumn="0" w:firstRowLastColumn="0" w:lastRowFirstColumn="0" w:lastRowLastColumn="0"/>
            </w:pPr>
            <w:r>
              <w:t>456.67</w:t>
            </w:r>
          </w:p>
        </w:tc>
      </w:tr>
      <w:tr w:rsidR="00FD2BDF" w:rsidRPr="002F74A2" w:rsidTr="00734DA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r w:rsidRPr="00EA44EB">
              <w:t>Energex (ENX)</w:t>
            </w:r>
          </w:p>
        </w:tc>
        <w:tc>
          <w:tcPr>
            <w:tcW w:w="782" w:type="pct"/>
            <w:noWrap/>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382.99</w:t>
            </w:r>
          </w:p>
        </w:tc>
        <w:tc>
          <w:tcPr>
            <w:tcW w:w="984" w:type="pct"/>
            <w:noWrap/>
          </w:tcPr>
          <w:p w:rsidR="00FD2BDF" w:rsidRPr="00FD2BDF" w:rsidRDefault="00192D49" w:rsidP="00FD2BDF">
            <w:pPr>
              <w:pStyle w:val="AERtabletextleft"/>
              <w:cnfStyle w:val="000000010000" w:firstRow="0" w:lastRow="0" w:firstColumn="0" w:lastColumn="0" w:oddVBand="0" w:evenVBand="0" w:oddHBand="0" w:evenHBand="1" w:firstRowFirstColumn="0" w:firstRowLastColumn="0" w:lastRowFirstColumn="0" w:lastRowLastColumn="0"/>
            </w:pPr>
            <w:r>
              <w:t>7,127.86</w:t>
            </w:r>
          </w:p>
        </w:tc>
        <w:tc>
          <w:tcPr>
            <w:tcW w:w="878" w:type="pct"/>
          </w:tcPr>
          <w:p w:rsidR="00FD2BDF" w:rsidRPr="00FD2BDF" w:rsidRDefault="00BD395C" w:rsidP="00FD2BDF">
            <w:pPr>
              <w:pStyle w:val="AERtabletextleft"/>
              <w:cnfStyle w:val="000000010000" w:firstRow="0" w:lastRow="0" w:firstColumn="0" w:lastColumn="0" w:oddVBand="0" w:evenVBand="0" w:oddHBand="0" w:evenHBand="1" w:firstRowFirstColumn="0" w:firstRowLastColumn="0" w:lastRowFirstColumn="0" w:lastRowLastColumn="0"/>
            </w:pPr>
            <w:r>
              <w:t>300.24</w:t>
            </w:r>
            <w:r w:rsidR="00FD2BDF" w:rsidRPr="00EA44EB">
              <w:t xml:space="preserve"> </w:t>
            </w:r>
          </w:p>
        </w:tc>
        <w:tc>
          <w:tcPr>
            <w:tcW w:w="961" w:type="pct"/>
          </w:tcPr>
          <w:p w:rsidR="00FD2BDF" w:rsidRPr="00FD2BDF" w:rsidRDefault="00BD395C" w:rsidP="00FD2BDF">
            <w:pPr>
              <w:pStyle w:val="AERtabletextleft"/>
              <w:cnfStyle w:val="000000010000" w:firstRow="0" w:lastRow="0" w:firstColumn="0" w:lastColumn="0" w:oddVBand="0" w:evenVBand="0" w:oddHBand="0" w:evenHBand="1" w:firstRowFirstColumn="0" w:firstRowLastColumn="0" w:lastRowFirstColumn="0" w:lastRowLastColumn="0"/>
            </w:pPr>
            <w:r>
              <w:t>697.14</w:t>
            </w:r>
          </w:p>
        </w:tc>
      </w:tr>
      <w:tr w:rsidR="00FD2BDF" w:rsidRPr="002F74A2" w:rsidTr="00734DA1">
        <w:trPr>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r w:rsidRPr="00EA44EB">
              <w:t xml:space="preserve">Ergon </w:t>
            </w:r>
            <w:r w:rsidRPr="00FD2BDF">
              <w:t>Energy (ERG)</w:t>
            </w:r>
          </w:p>
        </w:tc>
        <w:tc>
          <w:tcPr>
            <w:tcW w:w="782" w:type="pct"/>
            <w:noWrap/>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357.24</w:t>
            </w:r>
          </w:p>
        </w:tc>
        <w:tc>
          <w:tcPr>
            <w:tcW w:w="984" w:type="pct"/>
            <w:noWrap/>
          </w:tcPr>
          <w:p w:rsidR="00FD2BDF" w:rsidRPr="00FD2BDF" w:rsidRDefault="00192D49" w:rsidP="00FD2BDF">
            <w:pPr>
              <w:pStyle w:val="AERtabletextleft"/>
              <w:cnfStyle w:val="000000000000" w:firstRow="0" w:lastRow="0" w:firstColumn="0" w:lastColumn="0" w:oddVBand="0" w:evenVBand="0" w:oddHBand="0" w:evenHBand="0" w:firstRowFirstColumn="0" w:firstRowLastColumn="0" w:lastRowFirstColumn="0" w:lastRowLastColumn="0"/>
            </w:pPr>
            <w:r>
              <w:t>7,011.37</w:t>
            </w:r>
          </w:p>
        </w:tc>
        <w:tc>
          <w:tcPr>
            <w:tcW w:w="878" w:type="pct"/>
          </w:tcPr>
          <w:p w:rsidR="00FD2BDF" w:rsidRPr="00FD2BDF" w:rsidRDefault="00BD395C" w:rsidP="00FD2BDF">
            <w:pPr>
              <w:pStyle w:val="AERtabletextleft"/>
              <w:cnfStyle w:val="000000000000" w:firstRow="0" w:lastRow="0" w:firstColumn="0" w:lastColumn="0" w:oddVBand="0" w:evenVBand="0" w:oddHBand="0" w:evenHBand="0" w:firstRowFirstColumn="0" w:firstRowLastColumn="0" w:lastRowFirstColumn="0" w:lastRowLastColumn="0"/>
            </w:pPr>
            <w:r>
              <w:t>307.59</w:t>
            </w:r>
            <w:r w:rsidR="00FD2BDF" w:rsidRPr="00EA44EB">
              <w:t xml:space="preserve"> </w:t>
            </w:r>
          </w:p>
        </w:tc>
        <w:tc>
          <w:tcPr>
            <w:tcW w:w="961" w:type="pct"/>
          </w:tcPr>
          <w:p w:rsidR="00FD2BDF" w:rsidRPr="00FD2BDF" w:rsidRDefault="00BD395C" w:rsidP="00FD2BDF">
            <w:pPr>
              <w:pStyle w:val="AERtabletextleft"/>
              <w:cnfStyle w:val="000000000000" w:firstRow="0" w:lastRow="0" w:firstColumn="0" w:lastColumn="0" w:oddVBand="0" w:evenVBand="0" w:oddHBand="0" w:evenHBand="0" w:firstRowFirstColumn="0" w:firstRowLastColumn="0" w:lastRowFirstColumn="0" w:lastRowLastColumn="0"/>
            </w:pPr>
            <w:r>
              <w:t>698.01</w:t>
            </w:r>
          </w:p>
        </w:tc>
      </w:tr>
      <w:tr w:rsidR="00FD2BDF" w:rsidRPr="002F74A2" w:rsidTr="00734DA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r w:rsidRPr="00EA44EB">
              <w:t>Essential Energy (ESS)</w:t>
            </w:r>
          </w:p>
        </w:tc>
        <w:tc>
          <w:tcPr>
            <w:tcW w:w="782" w:type="pct"/>
            <w:noWrap/>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414.26</w:t>
            </w:r>
          </w:p>
        </w:tc>
        <w:tc>
          <w:tcPr>
            <w:tcW w:w="984" w:type="pct"/>
            <w:noWrap/>
          </w:tcPr>
          <w:p w:rsidR="00FD2BDF" w:rsidRPr="00FD2BDF" w:rsidRDefault="00192D49" w:rsidP="00FD2BDF">
            <w:pPr>
              <w:pStyle w:val="AERtabletextleft"/>
              <w:cnfStyle w:val="000000010000" w:firstRow="0" w:lastRow="0" w:firstColumn="0" w:lastColumn="0" w:oddVBand="0" w:evenVBand="0" w:oddHBand="0" w:evenHBand="1" w:firstRowFirstColumn="0" w:firstRowLastColumn="0" w:lastRowFirstColumn="0" w:lastRowLastColumn="0"/>
            </w:pPr>
            <w:r>
              <w:t>6,226.92</w:t>
            </w:r>
          </w:p>
        </w:tc>
        <w:tc>
          <w:tcPr>
            <w:tcW w:w="878" w:type="pct"/>
          </w:tcPr>
          <w:p w:rsidR="00FD2BDF" w:rsidRPr="00FD2BDF" w:rsidRDefault="00BD395C" w:rsidP="00FD2BDF">
            <w:pPr>
              <w:pStyle w:val="AERtabletextleft"/>
              <w:cnfStyle w:val="000000010000" w:firstRow="0" w:lastRow="0" w:firstColumn="0" w:lastColumn="0" w:oddVBand="0" w:evenVBand="0" w:oddHBand="0" w:evenHBand="1" w:firstRowFirstColumn="0" w:firstRowLastColumn="0" w:lastRowFirstColumn="0" w:lastRowLastColumn="0"/>
            </w:pPr>
            <w:r>
              <w:t>290.63</w:t>
            </w:r>
            <w:r w:rsidR="00FD2BDF" w:rsidRPr="00EA44EB">
              <w:t xml:space="preserve"> </w:t>
            </w:r>
          </w:p>
        </w:tc>
        <w:tc>
          <w:tcPr>
            <w:tcW w:w="961" w:type="pct"/>
          </w:tcPr>
          <w:p w:rsidR="00FD2BDF" w:rsidRPr="00FD2BDF" w:rsidRDefault="00BD395C" w:rsidP="00FD2BDF">
            <w:pPr>
              <w:pStyle w:val="AERtabletextleft"/>
              <w:cnfStyle w:val="000000010000" w:firstRow="0" w:lastRow="0" w:firstColumn="0" w:lastColumn="0" w:oddVBand="0" w:evenVBand="0" w:oddHBand="0" w:evenHBand="1" w:firstRowFirstColumn="0" w:firstRowLastColumn="0" w:lastRowFirstColumn="0" w:lastRowLastColumn="0"/>
            </w:pPr>
            <w:r>
              <w:t>637.37</w:t>
            </w:r>
          </w:p>
        </w:tc>
      </w:tr>
      <w:tr w:rsidR="00FD2BDF" w:rsidRPr="002F74A2" w:rsidTr="00734DA1">
        <w:trPr>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r w:rsidRPr="00EA44EB">
              <w:t>Jemena (JEN)</w:t>
            </w:r>
          </w:p>
        </w:tc>
        <w:tc>
          <w:tcPr>
            <w:tcW w:w="782" w:type="pct"/>
            <w:noWrap/>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71.86</w:t>
            </w:r>
          </w:p>
        </w:tc>
        <w:tc>
          <w:tcPr>
            <w:tcW w:w="984" w:type="pct"/>
            <w:noWrap/>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881.17</w:t>
            </w:r>
          </w:p>
        </w:tc>
        <w:tc>
          <w:tcPr>
            <w:tcW w:w="878" w:type="pct"/>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 xml:space="preserve">53.12 </w:t>
            </w:r>
          </w:p>
        </w:tc>
        <w:tc>
          <w:tcPr>
            <w:tcW w:w="961" w:type="pct"/>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102.19</w:t>
            </w:r>
          </w:p>
        </w:tc>
      </w:tr>
      <w:tr w:rsidR="00FD2BDF" w:rsidRPr="002F74A2" w:rsidTr="00734DA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proofErr w:type="spellStart"/>
            <w:r w:rsidRPr="00EA44EB">
              <w:t>Powercor</w:t>
            </w:r>
            <w:proofErr w:type="spellEnd"/>
            <w:r w:rsidRPr="00EA44EB">
              <w:t xml:space="preserve"> (PCR)</w:t>
            </w:r>
          </w:p>
        </w:tc>
        <w:tc>
          <w:tcPr>
            <w:tcW w:w="782" w:type="pct"/>
            <w:noWrap/>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181.55</w:t>
            </w:r>
          </w:p>
        </w:tc>
        <w:tc>
          <w:tcPr>
            <w:tcW w:w="984" w:type="pct"/>
            <w:noWrap/>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2,373.69</w:t>
            </w:r>
          </w:p>
        </w:tc>
        <w:tc>
          <w:tcPr>
            <w:tcW w:w="878" w:type="pct"/>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 xml:space="preserve">118.76 </w:t>
            </w:r>
          </w:p>
        </w:tc>
        <w:tc>
          <w:tcPr>
            <w:tcW w:w="961" w:type="pct"/>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250.93</w:t>
            </w:r>
          </w:p>
        </w:tc>
      </w:tr>
      <w:tr w:rsidR="00FD2BDF" w:rsidRPr="002F74A2" w:rsidTr="00734DA1">
        <w:trPr>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r w:rsidRPr="00EA44EB">
              <w:t>SA Power Networks (SAP)</w:t>
            </w:r>
          </w:p>
        </w:tc>
        <w:tc>
          <w:tcPr>
            <w:tcW w:w="782" w:type="pct"/>
            <w:noWrap/>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233.19</w:t>
            </w:r>
          </w:p>
        </w:tc>
        <w:tc>
          <w:tcPr>
            <w:tcW w:w="984" w:type="pct"/>
            <w:noWrap/>
          </w:tcPr>
          <w:p w:rsidR="00FD2BDF" w:rsidRPr="00FD2BDF" w:rsidRDefault="00192D49" w:rsidP="00FD2BDF">
            <w:pPr>
              <w:pStyle w:val="AERtabletextleft"/>
              <w:cnfStyle w:val="000000000000" w:firstRow="0" w:lastRow="0" w:firstColumn="0" w:lastColumn="0" w:oddVBand="0" w:evenVBand="0" w:oddHBand="0" w:evenHBand="0" w:firstRowFirstColumn="0" w:firstRowLastColumn="0" w:lastRowFirstColumn="0" w:lastRowLastColumn="0"/>
            </w:pPr>
            <w:r>
              <w:t>3,346.40</w:t>
            </w:r>
          </w:p>
        </w:tc>
        <w:tc>
          <w:tcPr>
            <w:tcW w:w="878" w:type="pct"/>
          </w:tcPr>
          <w:p w:rsidR="00FD2BDF" w:rsidRPr="00FD2BDF" w:rsidRDefault="001E6199" w:rsidP="00FD2BDF">
            <w:pPr>
              <w:pStyle w:val="AERtabletextleft"/>
              <w:cnfStyle w:val="000000000000" w:firstRow="0" w:lastRow="0" w:firstColumn="0" w:lastColumn="0" w:oddVBand="0" w:evenVBand="0" w:oddHBand="0" w:evenHBand="0" w:firstRowFirstColumn="0" w:firstRowLastColumn="0" w:lastRowFirstColumn="0" w:lastRowLastColumn="0"/>
            </w:pPr>
            <w:r>
              <w:t>206.07</w:t>
            </w:r>
            <w:r w:rsidR="00FD2BDF" w:rsidRPr="00EA44EB">
              <w:t xml:space="preserve"> </w:t>
            </w:r>
          </w:p>
        </w:tc>
        <w:tc>
          <w:tcPr>
            <w:tcW w:w="961" w:type="pct"/>
          </w:tcPr>
          <w:p w:rsidR="00FD2BDF" w:rsidRPr="00FD2BDF" w:rsidRDefault="00BD395C" w:rsidP="00FD2BDF">
            <w:pPr>
              <w:pStyle w:val="AERtabletextleft"/>
              <w:cnfStyle w:val="000000000000" w:firstRow="0" w:lastRow="0" w:firstColumn="0" w:lastColumn="0" w:oddVBand="0" w:evenVBand="0" w:oddHBand="0" w:evenHBand="0" w:firstRowFirstColumn="0" w:firstRowLastColumn="0" w:lastRowFirstColumn="0" w:lastRowLastColumn="0"/>
            </w:pPr>
            <w:r>
              <w:t>392.41</w:t>
            </w:r>
          </w:p>
        </w:tc>
      </w:tr>
      <w:tr w:rsidR="00FD2BDF" w:rsidRPr="002F74A2" w:rsidTr="00734DA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proofErr w:type="spellStart"/>
            <w:r w:rsidRPr="00EA44EB">
              <w:t>TasNetworks</w:t>
            </w:r>
            <w:proofErr w:type="spellEnd"/>
            <w:r w:rsidRPr="00EA44EB">
              <w:t xml:space="preserve"> </w:t>
            </w:r>
            <w:r w:rsidRPr="00FD2BDF">
              <w:t>(TND)</w:t>
            </w:r>
          </w:p>
        </w:tc>
        <w:tc>
          <w:tcPr>
            <w:tcW w:w="782" w:type="pct"/>
            <w:noWrap/>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78.47</w:t>
            </w:r>
          </w:p>
        </w:tc>
        <w:tc>
          <w:tcPr>
            <w:tcW w:w="984" w:type="pct"/>
            <w:noWrap/>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1,422.51</w:t>
            </w:r>
          </w:p>
        </w:tc>
        <w:tc>
          <w:tcPr>
            <w:tcW w:w="878" w:type="pct"/>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 xml:space="preserve">74.09 </w:t>
            </w:r>
          </w:p>
        </w:tc>
        <w:tc>
          <w:tcPr>
            <w:tcW w:w="961" w:type="pct"/>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153.30</w:t>
            </w:r>
          </w:p>
        </w:tc>
      </w:tr>
      <w:tr w:rsidR="00FD2BDF" w:rsidRPr="002F74A2" w:rsidTr="00734DA1">
        <w:trPr>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r w:rsidRPr="00EA44EB">
              <w:t>United Energy (UED)</w:t>
            </w:r>
          </w:p>
        </w:tc>
        <w:tc>
          <w:tcPr>
            <w:tcW w:w="782" w:type="pct"/>
            <w:noWrap/>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127.17</w:t>
            </w:r>
          </w:p>
        </w:tc>
        <w:tc>
          <w:tcPr>
            <w:tcW w:w="984" w:type="pct"/>
            <w:noWrap/>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1,742.51</w:t>
            </w:r>
          </w:p>
        </w:tc>
        <w:tc>
          <w:tcPr>
            <w:tcW w:w="878" w:type="pct"/>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 xml:space="preserve">96.66 </w:t>
            </w:r>
          </w:p>
        </w:tc>
        <w:tc>
          <w:tcPr>
            <w:tcW w:w="961" w:type="pct"/>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193.69</w:t>
            </w:r>
          </w:p>
        </w:tc>
      </w:tr>
    </w:tbl>
    <w:p w:rsidR="00645B85" w:rsidRPr="00645B85" w:rsidRDefault="00645B85" w:rsidP="00645B85">
      <w:pPr>
        <w:pStyle w:val="Source"/>
      </w:pPr>
      <w:r w:rsidRPr="00DC3B53">
        <w:t>Note</w:t>
      </w:r>
      <w:r w:rsidRPr="00645B85">
        <w:t>:</w:t>
      </w:r>
      <w:r w:rsidRPr="00645B85">
        <w:tab/>
        <w:t>Data for the Victorian distributors is for calendar years whereas the data for the other DNSPs is for financial years. RAB values are the average of opening and closing values.</w:t>
      </w:r>
    </w:p>
    <w:p w:rsidR="00FF2A55" w:rsidRDefault="00FF2A55" w:rsidP="00FF2A55">
      <w:pPr>
        <w:pStyle w:val="Heading7"/>
      </w:pPr>
      <w:bookmarkStart w:id="139" w:name="_Toc468175080"/>
      <w:r>
        <w:lastRenderedPageBreak/>
        <w:t>Partial performance indicator trends</w:t>
      </w:r>
      <w:bookmarkEnd w:id="139"/>
    </w:p>
    <w:p w:rsidR="00FF2A55" w:rsidRDefault="00FF2A55" w:rsidP="00FF2A55">
      <w:r>
        <w:t xml:space="preserve">The partial performance indicators that we present in section </w:t>
      </w:r>
      <w:r>
        <w:fldChar w:fldCharType="begin"/>
      </w:r>
      <w:r>
        <w:instrText xml:space="preserve"> REF _Ref433210826 \w \h </w:instrText>
      </w:r>
      <w:r>
        <w:fldChar w:fldCharType="separate"/>
      </w:r>
      <w:r w:rsidR="00BE7268">
        <w:t>2.2.3</w:t>
      </w:r>
      <w:r>
        <w:fldChar w:fldCharType="end"/>
      </w:r>
      <w:r>
        <w:t xml:space="preserve"> are average results for 201</w:t>
      </w:r>
      <w:r w:rsidR="000B1DCB">
        <w:t>1</w:t>
      </w:r>
      <w:r>
        <w:t xml:space="preserve">–15. These metrics provide insight into the relative performance of the networks over the </w:t>
      </w:r>
      <w:r w:rsidR="000B1DCB">
        <w:t>most recent five years</w:t>
      </w:r>
      <w:r>
        <w:t>. However, they do</w:t>
      </w:r>
      <w:r w:rsidR="000B1DCB">
        <w:t xml:space="preserve"> not</w:t>
      </w:r>
      <w:r>
        <w:t xml:space="preserve"> show the change in performance over time. In this appendix, we present trends in PPI performance</w:t>
      </w:r>
      <w:r w:rsidR="000B1DCB">
        <w:t xml:space="preserve"> over the period 2006 to 2015</w:t>
      </w:r>
      <w:r>
        <w:t>.</w:t>
      </w:r>
    </w:p>
    <w:p w:rsidR="00FF2A55" w:rsidRDefault="00FF2A55" w:rsidP="00FF2A55">
      <w:r>
        <w:t>In this appendix, we present PPI</w:t>
      </w:r>
      <w:r w:rsidR="00840EAF">
        <w:t xml:space="preserve"> </w:t>
      </w:r>
      <w:r w:rsidR="000B1DCB">
        <w:t>results</w:t>
      </w:r>
      <w:r>
        <w:t xml:space="preserve"> on a state by state basis. This is because there is less variability in customer density across states than across DNSPs.  As we note in section </w:t>
      </w:r>
      <w:r>
        <w:fldChar w:fldCharType="begin"/>
      </w:r>
      <w:r>
        <w:instrText xml:space="preserve"> REF _Ref433210826 \w \h </w:instrText>
      </w:r>
      <w:r>
        <w:fldChar w:fldCharType="separate"/>
      </w:r>
      <w:r w:rsidR="00BE7268">
        <w:t>2.2.3</w:t>
      </w:r>
      <w:r>
        <w:fldChar w:fldCharType="end"/>
      </w:r>
      <w:r w:rsidR="000B1DCB">
        <w:t>,</w:t>
      </w:r>
      <w:r>
        <w:t xml:space="preserve"> </w:t>
      </w:r>
      <w:r w:rsidR="002C309F">
        <w:t xml:space="preserve">customer </w:t>
      </w:r>
      <w:r>
        <w:t>density</w:t>
      </w:r>
      <w:r w:rsidR="002C309F">
        <w:t xml:space="preserve"> differences</w:t>
      </w:r>
      <w:r>
        <w:t xml:space="preserve"> </w:t>
      </w:r>
      <w:proofErr w:type="gramStart"/>
      <w:r>
        <w:t>should be taken</w:t>
      </w:r>
      <w:proofErr w:type="gramEnd"/>
      <w:r>
        <w:t xml:space="preserve"> into account when comparing PPI</w:t>
      </w:r>
      <w:r w:rsidR="000B1DCB">
        <w:t>s</w:t>
      </w:r>
      <w:r>
        <w:t xml:space="preserve">. </w:t>
      </w:r>
      <w:r w:rsidR="00B20337">
        <w:t>Figure 20</w:t>
      </w:r>
      <w:r>
        <w:t xml:space="preserve"> presents customer density by state. </w:t>
      </w:r>
    </w:p>
    <w:p w:rsidR="00FF2A55" w:rsidRDefault="00FF2A55" w:rsidP="00FF2A55">
      <w:pPr>
        <w:pStyle w:val="Caption"/>
      </w:pPr>
      <w:r>
        <w:t xml:space="preserve">Figure </w:t>
      </w:r>
      <w:r w:rsidR="002306FF">
        <w:fldChar w:fldCharType="begin"/>
      </w:r>
      <w:r w:rsidR="002306FF">
        <w:instrText xml:space="preserve"> SEQ Figure \* ARABIC </w:instrText>
      </w:r>
      <w:r w:rsidR="002306FF">
        <w:fldChar w:fldCharType="separate"/>
      </w:r>
      <w:proofErr w:type="gramStart"/>
      <w:r w:rsidR="00BE7268">
        <w:rPr>
          <w:noProof/>
        </w:rPr>
        <w:t>20</w:t>
      </w:r>
      <w:r w:rsidR="002306FF">
        <w:rPr>
          <w:noProof/>
        </w:rPr>
        <w:fldChar w:fldCharType="end"/>
      </w:r>
      <w:r>
        <w:tab/>
        <w:t>customer density</w:t>
      </w:r>
      <w:proofErr w:type="gramEnd"/>
      <w:r>
        <w:t xml:space="preserve"> by state (customers/km route line length)</w:t>
      </w:r>
    </w:p>
    <w:p w:rsidR="00FF2A55" w:rsidRDefault="00FF2A55" w:rsidP="00FF2A55">
      <w:r>
        <w:t xml:space="preserve"> </w:t>
      </w:r>
      <w:r w:rsidRPr="00FF2A55">
        <w:rPr>
          <w:noProof/>
          <w:lang w:eastAsia="en-AU"/>
        </w:rPr>
        <w:drawing>
          <wp:inline distT="0" distB="0" distL="0" distR="0" wp14:anchorId="6964E846" wp14:editId="5F2FB9F1">
            <wp:extent cx="4572635" cy="27393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572635" cy="2739390"/>
                    </a:xfrm>
                    <a:prstGeom prst="rect">
                      <a:avLst/>
                    </a:prstGeom>
                    <a:noFill/>
                    <a:ln>
                      <a:noFill/>
                    </a:ln>
                  </pic:spPr>
                </pic:pic>
              </a:graphicData>
            </a:graphic>
          </wp:inline>
        </w:drawing>
      </w:r>
    </w:p>
    <w:p w:rsidR="00FF2A55" w:rsidRPr="00FF2A55" w:rsidRDefault="00FF2A55" w:rsidP="00FF2A55">
      <w:r>
        <w:br w:type="page"/>
      </w:r>
    </w:p>
    <w:p w:rsidR="00FF2A55" w:rsidRDefault="00C8019A" w:rsidP="00FF2A55">
      <w:r>
        <w:lastRenderedPageBreak/>
        <w:t xml:space="preserve">Figure 21 </w:t>
      </w:r>
      <w:r w:rsidR="00FF2A55">
        <w:t>shows the trend in total cost per customer by state. This figure shows that total cost per customer has increased between 2006</w:t>
      </w:r>
      <w:r w:rsidR="00FF2A55">
        <w:softHyphen/>
      </w:r>
      <w:r w:rsidR="000B1DCB">
        <w:t xml:space="preserve"> and </w:t>
      </w:r>
      <w:r w:rsidR="00FF2A55">
        <w:t xml:space="preserve">2015 in every state. This means that the growth in total cost has outpaced the growth in customer numbers. In recent years, </w:t>
      </w:r>
      <w:proofErr w:type="spellStart"/>
      <w:r w:rsidR="00FF2A55">
        <w:t>TasNetworks</w:t>
      </w:r>
      <w:proofErr w:type="spellEnd"/>
      <w:r w:rsidR="00FF2A55">
        <w:t xml:space="preserve"> has reduced its total cost per customer. </w:t>
      </w:r>
    </w:p>
    <w:p w:rsidR="00FF2A55" w:rsidRDefault="00C8019A" w:rsidP="00FF2A55">
      <w:r>
        <w:t>States with relatively low density network</w:t>
      </w:r>
      <w:r w:rsidRPr="002563F4">
        <w:t xml:space="preserve"> will </w:t>
      </w:r>
      <w:r w:rsidR="00840EAF">
        <w:t>be disadvantaged</w:t>
      </w:r>
      <w:r>
        <w:t xml:space="preserve"> under this PPI measure</w:t>
      </w:r>
      <w:r w:rsidRPr="002563F4">
        <w:t xml:space="preserve">. The longer and sparser a network, the more assets it must operate and maintain per customer because of the need to connect the few customers in such a sparse area. </w:t>
      </w:r>
      <w:r>
        <w:t>Given their relatively high densit</w:t>
      </w:r>
      <w:r w:rsidR="00840EAF">
        <w:t>ies</w:t>
      </w:r>
      <w:r>
        <w:t xml:space="preserve">, the Australian Capital Territory and Victoria should be at an advantage under this PPI.  However, </w:t>
      </w:r>
      <w:r w:rsidR="00024C95">
        <w:t xml:space="preserve">total cost per customer in the </w:t>
      </w:r>
      <w:r w:rsidR="00EC7862">
        <w:t>Australian</w:t>
      </w:r>
      <w:r w:rsidR="00024C95">
        <w:t xml:space="preserve"> Capital Territory is comparable to New South Wales in 2006 and 2015, but the path diverges in the intervening years.   </w:t>
      </w:r>
      <w:r w:rsidR="00FF2A55">
        <w:t>Despite having similar customer density</w:t>
      </w:r>
      <w:r w:rsidR="00EE3204">
        <w:t xml:space="preserve"> at the state level</w:t>
      </w:r>
      <w:r w:rsidR="00FF2A55">
        <w:t>, Queensland and N</w:t>
      </w:r>
      <w:r w:rsidR="00EE3204">
        <w:t xml:space="preserve">ew </w:t>
      </w:r>
      <w:r w:rsidR="00FF2A55">
        <w:t>S</w:t>
      </w:r>
      <w:r w:rsidR="00EE3204">
        <w:t xml:space="preserve">outh </w:t>
      </w:r>
      <w:r w:rsidR="00FF2A55">
        <w:t>W</w:t>
      </w:r>
      <w:r w:rsidR="00EE3204">
        <w:t>ales</w:t>
      </w:r>
      <w:r w:rsidR="00FF2A55">
        <w:t xml:space="preserve"> have much higher costs per customer than South Australia and Tasmania. </w:t>
      </w:r>
    </w:p>
    <w:p w:rsidR="00FF2A55" w:rsidRDefault="00FF2A55" w:rsidP="00FF2A55">
      <w:pPr>
        <w:pStyle w:val="Caption"/>
      </w:pPr>
      <w:bookmarkStart w:id="140" w:name="_Ref467591345"/>
      <w:r>
        <w:t xml:space="preserve">Figure </w:t>
      </w:r>
      <w:r w:rsidRPr="00FF2A55">
        <w:fldChar w:fldCharType="begin"/>
      </w:r>
      <w:r>
        <w:instrText xml:space="preserve"> SEQ Figure \* ARABIC </w:instrText>
      </w:r>
      <w:r w:rsidRPr="00FF2A55">
        <w:fldChar w:fldCharType="separate"/>
      </w:r>
      <w:r w:rsidR="00BE7268">
        <w:rPr>
          <w:noProof/>
        </w:rPr>
        <w:t>21</w:t>
      </w:r>
      <w:r w:rsidRPr="00FF2A55">
        <w:fldChar w:fldCharType="end"/>
      </w:r>
      <w:bookmarkEnd w:id="140"/>
      <w:r>
        <w:tab/>
        <w:t>Trend in total costs per customer ($2015)</w:t>
      </w:r>
    </w:p>
    <w:p w:rsidR="00FF2A55" w:rsidRDefault="00FF2A55" w:rsidP="00FF2A55">
      <w:r w:rsidRPr="00FF2A55">
        <w:rPr>
          <w:noProof/>
          <w:lang w:eastAsia="en-AU"/>
        </w:rPr>
        <w:drawing>
          <wp:inline distT="0" distB="0" distL="0" distR="0" wp14:anchorId="44FD3DB3" wp14:editId="4234CC20">
            <wp:extent cx="5400675" cy="2874645"/>
            <wp:effectExtent l="0" t="0" r="952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00675" cy="2874645"/>
                    </a:xfrm>
                    <a:prstGeom prst="rect">
                      <a:avLst/>
                    </a:prstGeom>
                    <a:noFill/>
                    <a:ln>
                      <a:noFill/>
                    </a:ln>
                  </pic:spPr>
                </pic:pic>
              </a:graphicData>
            </a:graphic>
          </wp:inline>
        </w:drawing>
      </w:r>
    </w:p>
    <w:p w:rsidR="00FF2A55" w:rsidRDefault="00FF2A55" w:rsidP="00FF2A55">
      <w:r>
        <w:fldChar w:fldCharType="begin"/>
      </w:r>
      <w:r>
        <w:instrText xml:space="preserve"> REF _Ref467594002 \h </w:instrText>
      </w:r>
      <w:r>
        <w:fldChar w:fldCharType="separate"/>
      </w:r>
      <w:r w:rsidR="00BE7268">
        <w:t xml:space="preserve">Figure </w:t>
      </w:r>
      <w:r w:rsidR="00BE7268">
        <w:rPr>
          <w:noProof/>
        </w:rPr>
        <w:t>22</w:t>
      </w:r>
      <w:r>
        <w:fldChar w:fldCharType="end"/>
      </w:r>
      <w:r>
        <w:t xml:space="preserve"> shows the trend in total costs per MW of maximum demand. This time series is much more volatile than the trend in total cost per customer, which reflects the volatility in </w:t>
      </w:r>
      <w:r w:rsidR="00A73F29">
        <w:t xml:space="preserve">annual </w:t>
      </w:r>
      <w:r>
        <w:t>maximum demand. N</w:t>
      </w:r>
      <w:r w:rsidR="00024C95">
        <w:t xml:space="preserve">ew </w:t>
      </w:r>
      <w:r>
        <w:t>S</w:t>
      </w:r>
      <w:r w:rsidR="00024C95">
        <w:t xml:space="preserve">outh </w:t>
      </w:r>
      <w:r>
        <w:t>W</w:t>
      </w:r>
      <w:r w:rsidR="00024C95">
        <w:t>ales</w:t>
      </w:r>
      <w:r>
        <w:t xml:space="preserve"> and Queensland also have the highest costs per MW </w:t>
      </w:r>
      <w:r w:rsidR="00024C95">
        <w:t xml:space="preserve">of </w:t>
      </w:r>
      <w:r>
        <w:t xml:space="preserve">maximum demand. </w:t>
      </w:r>
      <w:r w:rsidR="002563F4">
        <w:t xml:space="preserve">Again, given their relatively high density, </w:t>
      </w:r>
      <w:r w:rsidR="00EC7862">
        <w:t xml:space="preserve">the </w:t>
      </w:r>
      <w:r w:rsidR="002563F4">
        <w:t>A</w:t>
      </w:r>
      <w:r w:rsidR="00EC7862">
        <w:t xml:space="preserve">ustralian </w:t>
      </w:r>
      <w:r w:rsidR="002563F4">
        <w:t>C</w:t>
      </w:r>
      <w:r w:rsidR="00EC7862">
        <w:t xml:space="preserve">apital </w:t>
      </w:r>
      <w:r w:rsidR="002563F4">
        <w:t>T</w:t>
      </w:r>
      <w:r w:rsidR="00EC7862">
        <w:t>erritory</w:t>
      </w:r>
      <w:r w:rsidR="002563F4">
        <w:t xml:space="preserve"> and Victoria should be at an advantage under this PPI</w:t>
      </w:r>
      <w:r w:rsidR="00024C95">
        <w:t xml:space="preserve"> measure</w:t>
      </w:r>
      <w:r w:rsidR="002563F4">
        <w:t>.</w:t>
      </w:r>
      <w:r w:rsidR="00EC7862" w:rsidRPr="00EC7862">
        <w:t xml:space="preserve"> </w:t>
      </w:r>
      <w:r w:rsidR="00EC7862">
        <w:t xml:space="preserve"> However, total cost per MW of maximum demand in the Australian Capital Territory is comparable to South Australia in 2006, 2012 and 2015, but higher in other years.   </w:t>
      </w:r>
    </w:p>
    <w:p w:rsidR="00FF2A55" w:rsidRDefault="00FF2A55" w:rsidP="00FF2A55"/>
    <w:p w:rsidR="00FF2A55" w:rsidRDefault="00FF2A55" w:rsidP="00FF2A55">
      <w:pPr>
        <w:pStyle w:val="Caption"/>
      </w:pPr>
      <w:bookmarkStart w:id="141" w:name="_Ref467594002"/>
      <w:r>
        <w:lastRenderedPageBreak/>
        <w:t xml:space="preserve">Figure </w:t>
      </w:r>
      <w:r w:rsidRPr="00FF2A55">
        <w:fldChar w:fldCharType="begin"/>
      </w:r>
      <w:r>
        <w:instrText xml:space="preserve"> SEQ Figure \* ARABIC </w:instrText>
      </w:r>
      <w:r w:rsidRPr="00FF2A55">
        <w:fldChar w:fldCharType="separate"/>
      </w:r>
      <w:r w:rsidR="00BE7268">
        <w:rPr>
          <w:noProof/>
        </w:rPr>
        <w:t>22</w:t>
      </w:r>
      <w:r w:rsidRPr="00FF2A55">
        <w:fldChar w:fldCharType="end"/>
      </w:r>
      <w:bookmarkEnd w:id="141"/>
      <w:r>
        <w:tab/>
        <w:t>Trend in total cost ($2015) per MW maximum demand</w:t>
      </w:r>
    </w:p>
    <w:p w:rsidR="00FF2A55" w:rsidRDefault="00FF2A55" w:rsidP="00FF2A55">
      <w:r w:rsidRPr="00FF2A55">
        <w:rPr>
          <w:noProof/>
          <w:lang w:eastAsia="en-AU"/>
        </w:rPr>
        <w:drawing>
          <wp:inline distT="0" distB="0" distL="0" distR="0" wp14:anchorId="7E87C821" wp14:editId="3A159865">
            <wp:extent cx="5400675" cy="2874645"/>
            <wp:effectExtent l="0" t="0" r="952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00675" cy="2874645"/>
                    </a:xfrm>
                    <a:prstGeom prst="rect">
                      <a:avLst/>
                    </a:prstGeom>
                    <a:noFill/>
                    <a:ln>
                      <a:noFill/>
                    </a:ln>
                  </pic:spPr>
                </pic:pic>
              </a:graphicData>
            </a:graphic>
          </wp:inline>
        </w:drawing>
      </w:r>
    </w:p>
    <w:p w:rsidR="00577968" w:rsidRDefault="00B20337" w:rsidP="00FF2A55">
      <w:bookmarkStart w:id="142" w:name="_Ref467595333"/>
      <w:r>
        <w:t xml:space="preserve">Figure 23 </w:t>
      </w:r>
      <w:r w:rsidR="00FF2A55">
        <w:t xml:space="preserve">shows the trend in total cost per km of circuit line length. </w:t>
      </w:r>
      <w:r w:rsidR="002563F4">
        <w:t>South Australia has the lowest cost per km of circuit line length. In 2006, N</w:t>
      </w:r>
      <w:r w:rsidR="00EC7862">
        <w:t xml:space="preserve">ew </w:t>
      </w:r>
      <w:r w:rsidR="002563F4">
        <w:t>S</w:t>
      </w:r>
      <w:r w:rsidR="00EC7862">
        <w:t xml:space="preserve">outh </w:t>
      </w:r>
      <w:r w:rsidR="002563F4">
        <w:t>W</w:t>
      </w:r>
      <w:r w:rsidR="00EC7862">
        <w:t>ales</w:t>
      </w:r>
      <w:r w:rsidR="002563F4">
        <w:t>, Queensland, Tasmania and Victoria all had very similar costs per circuit km. Since then, N</w:t>
      </w:r>
      <w:r w:rsidR="00EC7862">
        <w:t xml:space="preserve">ew </w:t>
      </w:r>
      <w:r w:rsidR="002563F4">
        <w:t>S</w:t>
      </w:r>
      <w:r w:rsidR="00EC7862">
        <w:t xml:space="preserve">outh </w:t>
      </w:r>
      <w:r w:rsidR="002563F4">
        <w:t>W</w:t>
      </w:r>
      <w:r w:rsidR="00EC7862">
        <w:t>ales</w:t>
      </w:r>
      <w:r w:rsidR="002563F4">
        <w:t xml:space="preserve"> and Victoria have increased their costs per km </w:t>
      </w:r>
      <w:r w:rsidR="00EC7862">
        <w:t xml:space="preserve">at a greater rate </w:t>
      </w:r>
      <w:r w:rsidR="002563F4">
        <w:t xml:space="preserve">than Queensland and Tasmania. </w:t>
      </w:r>
    </w:p>
    <w:p w:rsidR="00FF2A55" w:rsidRPr="003527FB" w:rsidRDefault="002563F4" w:rsidP="00FF2A55">
      <w:r>
        <w:t>O</w:t>
      </w:r>
      <w:r w:rsidRPr="002563F4">
        <w:t xml:space="preserve">n 'per km' metrics, </w:t>
      </w:r>
      <w:r>
        <w:t>states</w:t>
      </w:r>
      <w:r w:rsidR="00EC7862">
        <w:t xml:space="preserve"> with </w:t>
      </w:r>
      <w:r w:rsidR="00A73F29">
        <w:t xml:space="preserve">relatively low density </w:t>
      </w:r>
      <w:r w:rsidR="00EC7862">
        <w:t>network</w:t>
      </w:r>
      <w:r w:rsidRPr="002563F4">
        <w:t xml:space="preserve"> will perform better because their costs </w:t>
      </w:r>
      <w:proofErr w:type="gramStart"/>
      <w:r w:rsidRPr="002563F4">
        <w:t>are spread</w:t>
      </w:r>
      <w:proofErr w:type="gramEnd"/>
      <w:r w:rsidRPr="002563F4">
        <w:t xml:space="preserve"> over a longer network. </w:t>
      </w:r>
      <w:r>
        <w:t>Victoria and the A</w:t>
      </w:r>
      <w:r w:rsidR="00EC7862">
        <w:t xml:space="preserve">ustralian </w:t>
      </w:r>
      <w:r>
        <w:t>C</w:t>
      </w:r>
      <w:r w:rsidR="00EC7862">
        <w:t xml:space="preserve">apital </w:t>
      </w:r>
      <w:r>
        <w:t>T</w:t>
      </w:r>
      <w:r w:rsidR="00EC7862">
        <w:t>erritory</w:t>
      </w:r>
      <w:r>
        <w:t xml:space="preserve"> are at a disadvantage under this measure given their </w:t>
      </w:r>
      <w:r w:rsidR="00EC7862">
        <w:t xml:space="preserve">relatively </w:t>
      </w:r>
      <w:r>
        <w:t xml:space="preserve">high customer density. </w:t>
      </w:r>
    </w:p>
    <w:p w:rsidR="00FF2A55" w:rsidRDefault="00FF2A55" w:rsidP="00FF2A55">
      <w:pPr>
        <w:pStyle w:val="Caption"/>
      </w:pPr>
      <w:r>
        <w:lastRenderedPageBreak/>
        <w:t xml:space="preserve">Figure </w:t>
      </w:r>
      <w:r w:rsidRPr="00FF2A55">
        <w:fldChar w:fldCharType="begin"/>
      </w:r>
      <w:r>
        <w:instrText xml:space="preserve"> SEQ Figure \* ARABIC </w:instrText>
      </w:r>
      <w:r w:rsidRPr="00FF2A55">
        <w:fldChar w:fldCharType="separate"/>
      </w:r>
      <w:r w:rsidR="00BE7268">
        <w:rPr>
          <w:noProof/>
        </w:rPr>
        <w:t>23</w:t>
      </w:r>
      <w:r w:rsidRPr="00FF2A55">
        <w:fldChar w:fldCharType="end"/>
      </w:r>
      <w:bookmarkEnd w:id="142"/>
      <w:r>
        <w:tab/>
        <w:t xml:space="preserve">Trend in total cost per km </w:t>
      </w:r>
      <w:r w:rsidR="00EC7862">
        <w:t xml:space="preserve">of </w:t>
      </w:r>
      <w:r>
        <w:t>circuit line length</w:t>
      </w:r>
      <w:r w:rsidR="00EC7862">
        <w:t xml:space="preserve"> ($2015)</w:t>
      </w:r>
    </w:p>
    <w:p w:rsidR="00FF2A55" w:rsidRDefault="00FF2A55" w:rsidP="00FF2A55">
      <w:pPr>
        <w:pStyle w:val="Caption"/>
      </w:pPr>
      <w:r w:rsidRPr="00FF2A55">
        <w:rPr>
          <w:noProof/>
          <w:lang w:eastAsia="en-AU"/>
        </w:rPr>
        <w:drawing>
          <wp:inline distT="0" distB="0" distL="0" distR="0" wp14:anchorId="69841EA6" wp14:editId="0C98BCD8">
            <wp:extent cx="5400675" cy="2876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p w:rsidR="00FF2A55" w:rsidRPr="003527FB" w:rsidRDefault="00FF2A55" w:rsidP="00FF2A55"/>
    <w:p w:rsidR="00645B85" w:rsidRDefault="00645B85" w:rsidP="00645B85">
      <w:pPr>
        <w:pStyle w:val="Source"/>
      </w:pPr>
    </w:p>
    <w:p w:rsidR="00645B85" w:rsidRPr="00DC3B53" w:rsidRDefault="00645B85" w:rsidP="00645B85">
      <w:pPr>
        <w:pStyle w:val="Heading7"/>
      </w:pPr>
      <w:bookmarkStart w:id="143" w:name="_Ref432584540"/>
      <w:bookmarkStart w:id="144" w:name="_Toc435712632"/>
      <w:bookmarkStart w:id="145" w:name="_Toc468175081"/>
      <w:r w:rsidRPr="00DC3B53">
        <w:lastRenderedPageBreak/>
        <w:t>Map of the National Electricity Market</w:t>
      </w:r>
      <w:bookmarkEnd w:id="143"/>
      <w:bookmarkEnd w:id="144"/>
      <w:bookmarkEnd w:id="145"/>
    </w:p>
    <w:p w:rsidR="00645B85" w:rsidRDefault="00645B85" w:rsidP="00645B85">
      <w:r w:rsidRPr="0040084D">
        <w:t xml:space="preserve">This benchmarking report </w:t>
      </w:r>
      <w:r>
        <w:t>examines</w:t>
      </w:r>
      <w:r w:rsidRPr="0040084D">
        <w:t xml:space="preserve"> the efficiency of the 13 </w:t>
      </w:r>
      <w:r>
        <w:t>DNSPs</w:t>
      </w:r>
      <w:r w:rsidRPr="0040084D">
        <w:t xml:space="preserve"> in the National Electricity Market (NEM). The NEM connects electricity generators and customers from Queensland through to New South Wales, the Australian Capital Territory, Victoria, South Australia and Tasmania.</w:t>
      </w:r>
      <w:r>
        <w:t xml:space="preserve"> </w:t>
      </w:r>
      <w:r w:rsidRPr="0040084D">
        <w:fldChar w:fldCharType="begin"/>
      </w:r>
      <w:r w:rsidRPr="0040084D">
        <w:instrText xml:space="preserve"> REF _Ref389494912 \h </w:instrText>
      </w:r>
      <w:r w:rsidRPr="0040084D">
        <w:fldChar w:fldCharType="separate"/>
      </w:r>
      <w:r w:rsidR="00BE7268" w:rsidRPr="0040084D">
        <w:t xml:space="preserve">Figure </w:t>
      </w:r>
      <w:r w:rsidR="00BE7268">
        <w:rPr>
          <w:noProof/>
        </w:rPr>
        <w:t>24</w:t>
      </w:r>
      <w:r w:rsidRPr="0040084D">
        <w:fldChar w:fldCharType="end"/>
      </w:r>
      <w:r w:rsidRPr="0040084D">
        <w:t xml:space="preserve"> illustrates the network areas for which the </w:t>
      </w:r>
      <w:r>
        <w:t>DNSPs</w:t>
      </w:r>
      <w:r w:rsidRPr="0040084D">
        <w:t xml:space="preserve"> are responsible. </w:t>
      </w:r>
    </w:p>
    <w:p w:rsidR="00645B85" w:rsidRPr="0040084D" w:rsidRDefault="00645B85" w:rsidP="00645B85">
      <w:pPr>
        <w:pStyle w:val="Caption"/>
      </w:pPr>
      <w:bookmarkStart w:id="146" w:name="_Ref389494912"/>
      <w:r w:rsidRPr="0040084D">
        <w:t xml:space="preserve">Figure </w:t>
      </w:r>
      <w:r w:rsidRPr="00645B85">
        <w:fldChar w:fldCharType="begin"/>
      </w:r>
      <w:r>
        <w:instrText xml:space="preserve"> SEQ Figure \* ARABIC </w:instrText>
      </w:r>
      <w:r w:rsidRPr="00645B85">
        <w:fldChar w:fldCharType="separate"/>
      </w:r>
      <w:r w:rsidR="00BE7268">
        <w:rPr>
          <w:noProof/>
        </w:rPr>
        <w:t>24</w:t>
      </w:r>
      <w:r w:rsidRPr="00645B85">
        <w:fldChar w:fldCharType="end"/>
      </w:r>
      <w:bookmarkEnd w:id="146"/>
      <w:r w:rsidRPr="0040084D">
        <w:tab/>
        <w:t xml:space="preserve">Electricity distribution networks within the </w:t>
      </w:r>
      <w:r>
        <w:t>NEM</w:t>
      </w:r>
    </w:p>
    <w:p w:rsidR="00CE2A23" w:rsidRDefault="00645B85" w:rsidP="00CE2A23">
      <w:r w:rsidRPr="00645B85">
        <w:rPr>
          <w:noProof/>
          <w:lang w:eastAsia="en-AU"/>
        </w:rPr>
        <w:drawing>
          <wp:inline distT="0" distB="0" distL="0" distR="0" wp14:anchorId="5A916B95" wp14:editId="17D9070D">
            <wp:extent cx="5512279" cy="6609629"/>
            <wp:effectExtent l="0" t="0" r="0" b="1270"/>
            <wp:docPr id="19" name="Picture 19" descr="C:\Documents and Settings\csmith\Local Settings\Temporary Internet Files\Content.Outlook\Q4J6QZKR\AusNet Services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smith\Local Settings\Temporary Internet Files\Content.Outlook\Q4J6QZKR\AusNet Services map.JPG"/>
                    <pic:cNvPicPr>
                      <a:picLocks noChangeAspect="1" noChangeArrowheads="1"/>
                    </pic:cNvPicPr>
                  </pic:nvPicPr>
                  <pic:blipFill rotWithShape="1">
                    <a:blip r:embed="rId51" cstate="print">
                      <a:extLst>
                        <a:ext uri="{28A0092B-C50C-407E-A947-70E740481C1C}">
                          <a14:useLocalDpi xmlns:a14="http://schemas.microsoft.com/office/drawing/2010/main" val="0"/>
                        </a:ext>
                      </a:extLst>
                    </a:blip>
                    <a:srcRect b="5976"/>
                    <a:stretch/>
                  </pic:blipFill>
                  <pic:spPr bwMode="auto">
                    <a:xfrm>
                      <a:off x="0" y="0"/>
                      <a:ext cx="5525309" cy="6625253"/>
                    </a:xfrm>
                    <a:prstGeom prst="rect">
                      <a:avLst/>
                    </a:prstGeom>
                    <a:noFill/>
                    <a:ln>
                      <a:noFill/>
                    </a:ln>
                    <a:extLst>
                      <a:ext uri="{53640926-AAD7-44D8-BBD7-CCE9431645EC}">
                        <a14:shadowObscured xmlns:a14="http://schemas.microsoft.com/office/drawing/2010/main"/>
                      </a:ext>
                    </a:extLst>
                  </pic:spPr>
                </pic:pic>
              </a:graphicData>
            </a:graphic>
          </wp:inline>
        </w:drawing>
      </w:r>
      <w:bookmarkEnd w:id="0"/>
      <w:bookmarkEnd w:id="10"/>
    </w:p>
    <w:p w:rsidR="00A71F9B" w:rsidRDefault="00A71F9B" w:rsidP="00A71F9B">
      <w:pPr>
        <w:pStyle w:val="Heading7"/>
      </w:pPr>
      <w:bookmarkStart w:id="147" w:name="_Toc468175082"/>
      <w:r>
        <w:lastRenderedPageBreak/>
        <w:t>List of submissions</w:t>
      </w:r>
      <w:bookmarkEnd w:id="147"/>
    </w:p>
    <w:p w:rsidR="00A71F9B" w:rsidRDefault="00A71F9B" w:rsidP="00A71F9B">
      <w:r>
        <w:t>We sought comment from DNSPs on a draft version of this report. We received submissions from:</w:t>
      </w:r>
    </w:p>
    <w:p w:rsidR="00A71F9B" w:rsidRDefault="00A71F9B" w:rsidP="00A71F9B">
      <w:pPr>
        <w:pStyle w:val="AERbulletlistfirststyle"/>
      </w:pPr>
      <w:r>
        <w:t>ActewAGL</w:t>
      </w:r>
    </w:p>
    <w:p w:rsidR="00A71F9B" w:rsidRDefault="00A71F9B" w:rsidP="00A71F9B">
      <w:pPr>
        <w:pStyle w:val="AERbulletlistfirststyle"/>
      </w:pPr>
      <w:r>
        <w:t>Ausgrid</w:t>
      </w:r>
    </w:p>
    <w:p w:rsidR="00A71F9B" w:rsidRDefault="00A71F9B" w:rsidP="00A71F9B">
      <w:pPr>
        <w:pStyle w:val="AERbulletlistfirststyle"/>
      </w:pPr>
      <w:r>
        <w:t>AusNet Services distribution</w:t>
      </w:r>
    </w:p>
    <w:p w:rsidR="00A71F9B" w:rsidRDefault="00A71F9B" w:rsidP="00A71F9B">
      <w:pPr>
        <w:pStyle w:val="AERbulletlistfirststyle"/>
      </w:pPr>
      <w:r>
        <w:t xml:space="preserve">Endeavour Energy </w:t>
      </w:r>
    </w:p>
    <w:p w:rsidR="00A71F9B" w:rsidRDefault="00A71F9B" w:rsidP="00A71F9B">
      <w:pPr>
        <w:pStyle w:val="AERbulletlistfirststyle"/>
      </w:pPr>
      <w:r>
        <w:t>Ergon Energy</w:t>
      </w:r>
    </w:p>
    <w:p w:rsidR="00A71F9B" w:rsidRDefault="00A71F9B" w:rsidP="00A71F9B">
      <w:pPr>
        <w:pStyle w:val="AERbulletlistfirststyle"/>
      </w:pPr>
      <w:r>
        <w:t>Essential Energy</w:t>
      </w:r>
    </w:p>
    <w:p w:rsidR="00A71F9B" w:rsidRDefault="00A71F9B" w:rsidP="00A71F9B">
      <w:pPr>
        <w:pStyle w:val="AERbulletlistfirststyle"/>
      </w:pPr>
      <w:r>
        <w:t>TasNetworks.</w:t>
      </w:r>
    </w:p>
    <w:p w:rsidR="00A71F9B" w:rsidRDefault="00A71F9B" w:rsidP="00A71F9B">
      <w:r>
        <w:t>All submissions are available on our website.</w:t>
      </w:r>
    </w:p>
    <w:p w:rsidR="008D29CC" w:rsidRDefault="000810FD" w:rsidP="000810FD">
      <w:r>
        <w:t>Submissions on the benchmarking modelling undertaken by Economic Insights have been addressed in its memo which is also available on our website.</w:t>
      </w:r>
      <w:r w:rsidR="008D29CC">
        <w:t xml:space="preserve">  Where </w:t>
      </w:r>
      <w:r w:rsidR="00901628">
        <w:t xml:space="preserve">specifically </w:t>
      </w:r>
      <w:r w:rsidR="008D29CC">
        <w:t xml:space="preserve">relevant to PPI analysis, issues raised in the </w:t>
      </w:r>
      <w:r w:rsidR="00413373">
        <w:t>submissions</w:t>
      </w:r>
      <w:r w:rsidR="008D29CC">
        <w:t xml:space="preserve"> are addressed in the relevant parts of this report, including this appendix.  </w:t>
      </w:r>
    </w:p>
    <w:p w:rsidR="0030116C" w:rsidRDefault="00901628" w:rsidP="00901628">
      <w:r>
        <w:t xml:space="preserve">Essential </w:t>
      </w:r>
      <w:r w:rsidR="00AE75B4">
        <w:t xml:space="preserve">Energy </w:t>
      </w:r>
      <w:r w:rsidR="0030116C">
        <w:t>submitted</w:t>
      </w:r>
      <w:r>
        <w:t xml:space="preserve"> that t</w:t>
      </w:r>
      <w:r w:rsidRPr="00901628">
        <w:rPr>
          <w:lang w:eastAsia="en-AU"/>
        </w:rPr>
        <w:t>rend lines and correlation coefficients (R2) for the current year and the prior year should be added to the PPI figures.</w:t>
      </w:r>
      <w:r>
        <w:t xml:space="preserve">  We </w:t>
      </w:r>
      <w:r w:rsidR="0030116C">
        <w:t>consider</w:t>
      </w:r>
      <w:r>
        <w:t xml:space="preserve"> that d</w:t>
      </w:r>
      <w:r w:rsidRPr="00901628">
        <w:t>ata-driven statistica</w:t>
      </w:r>
      <w:r>
        <w:t xml:space="preserve">l analysis should not be adopted.  We </w:t>
      </w:r>
      <w:r w:rsidR="00E76D75">
        <w:t xml:space="preserve">also </w:t>
      </w:r>
      <w:r>
        <w:t xml:space="preserve">note that </w:t>
      </w:r>
      <w:r w:rsidR="0030116C">
        <w:t>deriving</w:t>
      </w:r>
      <w:r>
        <w:t xml:space="preserve"> trend lines </w:t>
      </w:r>
      <w:r w:rsidR="0030116C">
        <w:t xml:space="preserve">from the 13 DNSP data points </w:t>
      </w:r>
      <w:r>
        <w:t xml:space="preserve">could </w:t>
      </w:r>
      <w:r w:rsidR="0030116C">
        <w:t xml:space="preserve">potentially </w:t>
      </w:r>
      <w:r>
        <w:t>be misleading.</w:t>
      </w:r>
      <w:r w:rsidR="0030116C">
        <w:t xml:space="preserve">  </w:t>
      </w:r>
    </w:p>
    <w:p w:rsidR="00F51315" w:rsidRDefault="00AE75B4" w:rsidP="00AE75B4">
      <w:r w:rsidRPr="00AE75B4">
        <w:t xml:space="preserve">Essential </w:t>
      </w:r>
      <w:r>
        <w:t xml:space="preserve">Energy </w:t>
      </w:r>
      <w:r w:rsidRPr="00AE75B4">
        <w:t>suggested we should use route line length instead of circuit line length in the PPI analysis, given the cost per km cost of circuit line length was plotted against customer density.   </w:t>
      </w:r>
      <w:r>
        <w:t>We</w:t>
      </w:r>
      <w:r w:rsidRPr="00AE75B4">
        <w:t xml:space="preserve"> use circuit line length because it is considered as a key output for delivering electricity to customers. It approximates the line length dimension of system capacity. Whereas, customer density is measured as customer numbers relative to route line length and is a key operating environmental factor effecting cost.  We therefore plot the PPI measures against customer density to </w:t>
      </w:r>
      <w:r w:rsidR="00A81414">
        <w:t xml:space="preserve">visually </w:t>
      </w:r>
      <w:r w:rsidRPr="00AE75B4">
        <w:t>account for this important operating environmental factor.  We expect that ‘per customer’ and ‘per MW of maximum demand’ metrics favour DNSPs with higher customer density and ‘per km’ metrics favour DNSPs with lower customer density.  We are not convinced by Essential Energy’s argument for extending the two-dimensional PPI plots to illustrate each PPI measure against customer number and line length respectively.</w:t>
      </w:r>
    </w:p>
    <w:p w:rsidR="00446A58" w:rsidRPr="00446A58" w:rsidRDefault="007A1E1C" w:rsidP="00446A58">
      <w:r>
        <w:t>Essential Energy submitted we should highlight the size differences (</w:t>
      </w:r>
      <w:r w:rsidR="00446A58">
        <w:t>measured</w:t>
      </w:r>
      <w:r>
        <w:t xml:space="preserve"> in square </w:t>
      </w:r>
      <w:r w:rsidR="00446A58">
        <w:t>kilometres</w:t>
      </w:r>
      <w:r>
        <w:t xml:space="preserve">) covered by each DNSP. </w:t>
      </w:r>
      <w:r w:rsidR="00446A58">
        <w:t>It submitted</w:t>
      </w:r>
      <w:r>
        <w:t xml:space="preserve"> we should consider customer </w:t>
      </w:r>
      <w:r w:rsidR="00446A58">
        <w:t>density</w:t>
      </w:r>
      <w:r>
        <w:t xml:space="preserve"> </w:t>
      </w:r>
      <w:r w:rsidR="00446A58">
        <w:t>as a function of</w:t>
      </w:r>
      <w:r>
        <w:t xml:space="preserve"> square </w:t>
      </w:r>
      <w:r w:rsidR="00446A58">
        <w:t>kilometres serviced</w:t>
      </w:r>
      <w:r>
        <w:t xml:space="preserve"> as well as </w:t>
      </w:r>
      <w:r w:rsidR="00446A58">
        <w:t>a function</w:t>
      </w:r>
      <w:r>
        <w:t xml:space="preserve"> of line length.</w:t>
      </w:r>
      <w:r w:rsidR="00A81414">
        <w:t xml:space="preserve"> </w:t>
      </w:r>
      <w:r w:rsidR="00446A58" w:rsidRPr="00446A58">
        <w:t xml:space="preserve">We acknowledge there are multiple dimensions of network density, but disagree with Essential </w:t>
      </w:r>
      <w:r w:rsidR="00AE75B4">
        <w:t xml:space="preserve">Energy </w:t>
      </w:r>
      <w:r w:rsidR="00446A58">
        <w:t>that we should compare</w:t>
      </w:r>
      <w:r w:rsidR="00446A58" w:rsidRPr="00446A58">
        <w:t xml:space="preserve"> DNSPs based on the </w:t>
      </w:r>
      <w:r w:rsidR="00446A58">
        <w:t xml:space="preserve">number of </w:t>
      </w:r>
      <w:r w:rsidR="00446A58" w:rsidRPr="00446A58">
        <w:t xml:space="preserve">customers per square kilometre.   Based on Economic Insights advice, the difficulty with specifying customer density in terms of customers per square kilometre in Australia is </w:t>
      </w:r>
      <w:r w:rsidR="00446A58" w:rsidRPr="00446A58">
        <w:lastRenderedPageBreak/>
        <w:t>the arbitrariness involved in specifying exactly what constitutes the area ‘serviced’ given the sparseness with which outback areas are populated.</w:t>
      </w:r>
      <w:r w:rsidR="00446A58">
        <w:rPr>
          <w:rStyle w:val="FootnoteReference"/>
        </w:rPr>
        <w:footnoteReference w:id="29"/>
      </w:r>
      <w:r w:rsidR="00446A58" w:rsidRPr="00446A58">
        <w:t xml:space="preserve"> </w:t>
      </w:r>
    </w:p>
    <w:p w:rsidR="00A46692" w:rsidRDefault="00A46692" w:rsidP="00901628"/>
    <w:p w:rsidR="008D29CC" w:rsidRDefault="008D29CC" w:rsidP="000810FD"/>
    <w:p w:rsidR="000810FD" w:rsidRDefault="000810FD" w:rsidP="00A71F9B"/>
    <w:p w:rsidR="000810FD" w:rsidRPr="00036AF4" w:rsidRDefault="000810FD" w:rsidP="00A71F9B"/>
    <w:p w:rsidR="00A71F9B" w:rsidRPr="00A71F9B" w:rsidRDefault="00A71F9B" w:rsidP="00A71F9B"/>
    <w:sectPr w:rsidR="00A71F9B" w:rsidRPr="00A71F9B" w:rsidSect="002A601D">
      <w:headerReference w:type="default" r:id="rId52"/>
      <w:footerReference w:type="even" r:id="rId53"/>
      <w:footerReference w:type="first" r:id="rId54"/>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6FF" w:rsidRPr="00290C63" w:rsidRDefault="002306FF" w:rsidP="00290C63">
      <w:r>
        <w:separator/>
      </w:r>
    </w:p>
    <w:p w:rsidR="002306FF" w:rsidRDefault="002306FF"/>
  </w:endnote>
  <w:endnote w:type="continuationSeparator" w:id="0">
    <w:p w:rsidR="002306FF" w:rsidRPr="00290C63" w:rsidRDefault="002306FF" w:rsidP="00290C63">
      <w:r>
        <w:continuationSeparator/>
      </w:r>
    </w:p>
    <w:p w:rsidR="002306FF" w:rsidRDefault="00230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FF" w:rsidRPr="00290C63" w:rsidRDefault="002306F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306FF" w:rsidRDefault="002306FF"/>
  <w:p w:rsidR="002306FF" w:rsidRDefault="002306FF"/>
  <w:p w:rsidR="002306FF" w:rsidRDefault="002306FF"/>
  <w:p w:rsidR="002306FF" w:rsidRDefault="002306FF"/>
  <w:p w:rsidR="002306FF" w:rsidRDefault="002306FF"/>
  <w:p w:rsidR="002306FF" w:rsidRDefault="002306FF"/>
  <w:p w:rsidR="002306FF" w:rsidRDefault="002306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535203"/>
      <w:docPartObj>
        <w:docPartGallery w:val="Page Numbers (Bottom of Page)"/>
        <w:docPartUnique/>
      </w:docPartObj>
    </w:sdtPr>
    <w:sdtEndPr>
      <w:rPr>
        <w:noProof/>
        <w:szCs w:val="16"/>
      </w:rPr>
    </w:sdtEndPr>
    <w:sdtContent>
      <w:p w:rsidR="002306FF" w:rsidRPr="009B6F84" w:rsidRDefault="002306FF">
        <w:pPr>
          <w:pStyle w:val="Footer"/>
          <w:rPr>
            <w:sz w:val="20"/>
          </w:rPr>
        </w:pPr>
        <w:r>
          <w:t xml:space="preserve">Annual benchmarking report </w:t>
        </w:r>
        <w:r w:rsidRPr="004523B2">
          <w:t xml:space="preserve">| </w:t>
        </w:r>
        <w:r>
          <w:t>Electricity distribution network service providers | 2016</w:t>
        </w:r>
      </w:p>
    </w:sdtContent>
  </w:sdt>
  <w:p w:rsidR="002306FF" w:rsidRDefault="00230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FF" w:rsidRPr="00290C63" w:rsidRDefault="002306F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306FF" w:rsidRDefault="002306FF">
    <w:pPr>
      <w:pStyle w:val="Footer"/>
    </w:pPr>
  </w:p>
  <w:p w:rsidR="002306FF" w:rsidRDefault="002306FF"/>
  <w:p w:rsidR="002306FF" w:rsidRDefault="002306FF"/>
  <w:p w:rsidR="002306FF" w:rsidRDefault="002306FF"/>
  <w:p w:rsidR="002306FF" w:rsidRDefault="002306FF"/>
  <w:p w:rsidR="002306FF" w:rsidRDefault="002306FF"/>
  <w:p w:rsidR="002306FF" w:rsidRDefault="002306FF"/>
  <w:p w:rsidR="002306FF" w:rsidRDefault="002306F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FF" w:rsidRDefault="002306FF" w:rsidP="00645B85">
    <w:pPr>
      <w:pStyle w:val="Footer"/>
      <w:tabs>
        <w:tab w:val="clear" w:pos="9026"/>
        <w:tab w:val="right" w:pos="8505"/>
      </w:tabs>
    </w:pPr>
  </w:p>
  <w:p w:rsidR="002306FF" w:rsidRDefault="002306FF" w:rsidP="002848F4">
    <w:pPr>
      <w:pStyle w:val="Footer"/>
    </w:pPr>
    <w:r w:rsidRPr="002848F4">
      <w:t>Annual benchmarking report | Electricity distribution network service providers | 2016</w:t>
    </w:r>
    <w:r w:rsidRPr="002848F4">
      <w:tab/>
    </w:r>
    <w:r w:rsidRPr="002848F4">
      <w:tab/>
    </w:r>
    <w:sdt>
      <w:sdtPr>
        <w:id w:val="821632438"/>
        <w:docPartObj>
          <w:docPartGallery w:val="Page Numbers (Bottom of Page)"/>
          <w:docPartUnique/>
        </w:docPartObj>
      </w:sdtPr>
      <w:sdtContent>
        <w:r w:rsidRPr="002848F4">
          <w:fldChar w:fldCharType="begin"/>
        </w:r>
        <w:r w:rsidRPr="002848F4">
          <w:instrText xml:space="preserve"> PAGE  \* Arabic  \* MERGEFORMAT </w:instrText>
        </w:r>
        <w:r w:rsidRPr="002848F4">
          <w:fldChar w:fldCharType="separate"/>
        </w:r>
        <w:r w:rsidR="005E19AA">
          <w:rPr>
            <w:noProof/>
          </w:rPr>
          <w:t>21</w:t>
        </w:r>
        <w:r w:rsidRPr="002848F4">
          <w:fldChar w:fldCharType="end"/>
        </w:r>
      </w:sdtContent>
    </w:sdt>
  </w:p>
  <w:p w:rsidR="002306FF" w:rsidRPr="002848F4" w:rsidRDefault="002306FF" w:rsidP="002848F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FF" w:rsidRPr="00290C63" w:rsidRDefault="002306F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306FF" w:rsidRDefault="002306FF"/>
  <w:p w:rsidR="002306FF" w:rsidRDefault="002306FF"/>
  <w:p w:rsidR="002306FF" w:rsidRDefault="002306FF"/>
  <w:p w:rsidR="002306FF" w:rsidRDefault="002306FF"/>
  <w:p w:rsidR="002306FF" w:rsidRDefault="002306FF"/>
  <w:p w:rsidR="002306FF" w:rsidRDefault="002306FF"/>
  <w:p w:rsidR="002306FF" w:rsidRDefault="002306FF"/>
  <w:p w:rsidR="002306FF" w:rsidRDefault="002306F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FF" w:rsidRPr="00290C63" w:rsidRDefault="002306F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306FF" w:rsidRDefault="002306FF">
    <w:pPr>
      <w:pStyle w:val="Footer"/>
    </w:pPr>
  </w:p>
  <w:p w:rsidR="002306FF" w:rsidRDefault="002306FF"/>
  <w:p w:rsidR="002306FF" w:rsidRDefault="002306FF"/>
  <w:p w:rsidR="002306FF" w:rsidRDefault="002306FF"/>
  <w:p w:rsidR="002306FF" w:rsidRDefault="002306FF"/>
  <w:p w:rsidR="002306FF" w:rsidRDefault="002306FF"/>
  <w:p w:rsidR="002306FF" w:rsidRDefault="002306FF"/>
  <w:p w:rsidR="002306FF" w:rsidRDefault="002306FF"/>
  <w:p w:rsidR="002306FF" w:rsidRDefault="002306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6FF" w:rsidRPr="00290C63" w:rsidRDefault="002306FF" w:rsidP="00290C63">
      <w:r>
        <w:separator/>
      </w:r>
    </w:p>
    <w:p w:rsidR="002306FF" w:rsidRDefault="002306FF"/>
  </w:footnote>
  <w:footnote w:type="continuationSeparator" w:id="0">
    <w:p w:rsidR="002306FF" w:rsidRPr="00290C63" w:rsidRDefault="002306FF" w:rsidP="00290C63">
      <w:r>
        <w:continuationSeparator/>
      </w:r>
    </w:p>
    <w:p w:rsidR="002306FF" w:rsidRDefault="002306FF"/>
  </w:footnote>
  <w:footnote w:id="1">
    <w:p w:rsidR="002306FF" w:rsidRDefault="002306FF" w:rsidP="00DC702C">
      <w:pPr>
        <w:pStyle w:val="FootnoteText"/>
      </w:pPr>
      <w:r>
        <w:rPr>
          <w:rStyle w:val="FootnoteReference"/>
        </w:rPr>
        <w:footnoteRef/>
      </w:r>
      <w:r>
        <w:t xml:space="preserve"> </w:t>
      </w:r>
      <w:r>
        <w:tab/>
        <w:t xml:space="preserve">Appendix A lists the Economic Insights </w:t>
      </w:r>
      <w:r w:rsidRPr="006425A4">
        <w:t xml:space="preserve">publications </w:t>
      </w:r>
      <w:r>
        <w:t xml:space="preserve">which </w:t>
      </w:r>
      <w:r w:rsidRPr="006425A4">
        <w:t xml:space="preserve">explain how </w:t>
      </w:r>
      <w:r>
        <w:t>it</w:t>
      </w:r>
      <w:r w:rsidRPr="006425A4">
        <w:t xml:space="preserve"> developed and applied the economic benchmarking techniques </w:t>
      </w:r>
      <w:r>
        <w:t xml:space="preserve">we </w:t>
      </w:r>
      <w:r w:rsidRPr="006425A4">
        <w:t>used</w:t>
      </w:r>
      <w:r>
        <w:t>.</w:t>
      </w:r>
    </w:p>
  </w:footnote>
  <w:footnote w:id="2">
    <w:p w:rsidR="002306FF" w:rsidRDefault="002306FF" w:rsidP="005B559A">
      <w:pPr>
        <w:pStyle w:val="FootnoteText"/>
      </w:pPr>
      <w:r>
        <w:rPr>
          <w:rStyle w:val="FootnoteReference"/>
        </w:rPr>
        <w:footnoteRef/>
      </w:r>
      <w:r>
        <w:t xml:space="preserve"> </w:t>
      </w:r>
      <w:r>
        <w:tab/>
        <w:t>This is particularly the case with opex. However, it is should be recognised that for capex, in some cases, a bottom up assessment is useful in circumstances where a discrete number of projects to be undertaken can be clearly identified.</w:t>
      </w:r>
    </w:p>
  </w:footnote>
  <w:footnote w:id="3">
    <w:p w:rsidR="002306FF" w:rsidRDefault="002306FF" w:rsidP="005B559A">
      <w:pPr>
        <w:pStyle w:val="FootnoteText"/>
      </w:pPr>
      <w:r>
        <w:rPr>
          <w:rStyle w:val="FootnoteReference"/>
        </w:rPr>
        <w:footnoteRef/>
      </w:r>
      <w:r>
        <w:t xml:space="preserve"> </w:t>
      </w:r>
      <w:r>
        <w:tab/>
        <w:t>Bottom up techniques are not commonly used. One example, however, is in Spain where the regulator constructs a network reference model. This model designs large scale electricity distribution networks optimally, considering all technical features imposed on the actual distribution networks. The WIK Consult report referenced in Appendix A provides more detail on the Spanish bottom up model.</w:t>
      </w:r>
    </w:p>
  </w:footnote>
  <w:footnote w:id="4">
    <w:p w:rsidR="002306FF" w:rsidRDefault="002306FF">
      <w:pPr>
        <w:pStyle w:val="FootnoteText"/>
      </w:pPr>
      <w:r>
        <w:rPr>
          <w:rStyle w:val="FootnoteReference"/>
        </w:rPr>
        <w:footnoteRef/>
      </w:r>
      <w:r>
        <w:t xml:space="preserve"> </w:t>
      </w:r>
      <w:r>
        <w:tab/>
      </w:r>
      <w:r w:rsidRPr="00813C89">
        <w:t xml:space="preserve">The economic benchmarking techniques use 'ratcheted' maximum demand as an output rather than observed maximum demand. Ratcheted maximum demand is the highest value of peak demand observed in the time period up to the year in question for each </w:t>
      </w:r>
      <w:r>
        <w:t>D</w:t>
      </w:r>
      <w:r w:rsidRPr="00813C89">
        <w:t xml:space="preserve">NSP. It recognises capacity that has been used to satisfy demand and gives the </w:t>
      </w:r>
      <w:r>
        <w:t>D</w:t>
      </w:r>
      <w:r w:rsidRPr="00813C89">
        <w:t>NSP credit for this capacity in subsequent years, even though annual maximum demand may be lower in subsequent years.</w:t>
      </w:r>
    </w:p>
  </w:footnote>
  <w:footnote w:id="5">
    <w:p w:rsidR="002306FF" w:rsidRDefault="002306FF" w:rsidP="00AF1FD6">
      <w:pPr>
        <w:pStyle w:val="FootnoteText"/>
      </w:pPr>
      <w:r>
        <w:rPr>
          <w:rStyle w:val="FootnoteReference"/>
        </w:rPr>
        <w:footnoteRef/>
      </w:r>
      <w:r>
        <w:t xml:space="preserve"> </w:t>
      </w:r>
      <w:r>
        <w:tab/>
      </w:r>
      <w:r w:rsidRPr="006A41BD">
        <w:t>This data</w:t>
      </w:r>
      <w:r>
        <w:t>set</w:t>
      </w:r>
      <w:r w:rsidRPr="006A41BD">
        <w:t xml:space="preserve"> is available </w:t>
      </w:r>
      <w:proofErr w:type="gramStart"/>
      <w:r w:rsidRPr="006A41BD">
        <w:t>at:</w:t>
      </w:r>
      <w:proofErr w:type="gramEnd"/>
      <w:r w:rsidRPr="006A41BD">
        <w:t xml:space="preserve"> </w:t>
      </w:r>
      <w:hyperlink r:id="rId1" w:history="1">
        <w:r w:rsidRPr="006A41BD">
          <w:rPr>
            <w:rStyle w:val="Hyperlink"/>
            <w:color w:val="auto"/>
            <w:sz w:val="16"/>
            <w:u w:val="none"/>
          </w:rPr>
          <w:t>https://www.aer.gov.au/node/483</w:t>
        </w:r>
      </w:hyperlink>
      <w:r>
        <w:rPr>
          <w:rStyle w:val="Hyperlink"/>
        </w:rPr>
        <w:t>.</w:t>
      </w:r>
      <w:r>
        <w:t xml:space="preserve"> </w:t>
      </w:r>
    </w:p>
  </w:footnote>
  <w:footnote w:id="6">
    <w:p w:rsidR="002306FF" w:rsidRDefault="002306FF">
      <w:pPr>
        <w:pStyle w:val="FootnoteText"/>
      </w:pPr>
      <w:r>
        <w:rPr>
          <w:rStyle w:val="FootnoteReference"/>
        </w:rPr>
        <w:footnoteRef/>
      </w:r>
      <w:r>
        <w:t xml:space="preserve"> </w:t>
      </w:r>
      <w:r>
        <w:tab/>
      </w:r>
      <w:proofErr w:type="gramStart"/>
      <w:r>
        <w:t xml:space="preserve">Economic Insights, </w:t>
      </w:r>
      <w:r w:rsidRPr="00AA0CF8">
        <w:rPr>
          <w:rStyle w:val="Emphasis"/>
        </w:rPr>
        <w:t>Economic Benchmarking Assessment of Operating Expenditure for NSW and ACT Electricity DNSPs</w:t>
      </w:r>
      <w:r>
        <w:t>, November 2014, p. 3.</w:t>
      </w:r>
      <w:proofErr w:type="gramEnd"/>
    </w:p>
  </w:footnote>
  <w:footnote w:id="7">
    <w:p w:rsidR="002306FF" w:rsidRDefault="002306FF" w:rsidP="00D35D7F">
      <w:pPr>
        <w:pStyle w:val="FootnoteText"/>
      </w:pPr>
      <w:r>
        <w:rPr>
          <w:rStyle w:val="FootnoteReference"/>
        </w:rPr>
        <w:footnoteRef/>
      </w:r>
      <w:r>
        <w:t xml:space="preserve"> </w:t>
      </w:r>
      <w:r>
        <w:tab/>
        <w:t>Other aspects of efficiency include allocative efficiency and dynamic efficiency. Al</w:t>
      </w:r>
      <w:r w:rsidRPr="002777EB">
        <w:t>locative efficiency is achieved where resources used to produce a set of goods or services are allocated to their highest valued uses (i.e., those that provide the greatest benefit relative to costs). To achieve this, prices of the goods and services must reflect the productively efficient costs of providing those goods and services</w:t>
      </w:r>
      <w:r>
        <w:t xml:space="preserve"> by distributors</w:t>
      </w:r>
      <w:r w:rsidRPr="002777EB">
        <w:t>.</w:t>
      </w:r>
      <w:r>
        <w:t xml:space="preserve"> </w:t>
      </w:r>
      <w:r w:rsidRPr="002777EB">
        <w:t xml:space="preserve">Dynamic efficiency is achieved when distributors are productively and </w:t>
      </w:r>
      <w:proofErr w:type="spellStart"/>
      <w:r w:rsidRPr="002777EB">
        <w:t>allocatively</w:t>
      </w:r>
      <w:proofErr w:type="spellEnd"/>
      <w:r w:rsidRPr="002777EB">
        <w:t xml:space="preserve"> efficient over time. </w:t>
      </w:r>
      <w:r>
        <w:t>M</w:t>
      </w:r>
      <w:r w:rsidRPr="002777EB">
        <w:t xml:space="preserve">easuring productive efficiency will assist us in assessing whether distributors are </w:t>
      </w:r>
      <w:proofErr w:type="spellStart"/>
      <w:r w:rsidRPr="002777EB">
        <w:t>allocatively</w:t>
      </w:r>
      <w:proofErr w:type="spellEnd"/>
      <w:r w:rsidRPr="002777EB">
        <w:t xml:space="preserve"> and dynamically e</w:t>
      </w:r>
      <w:r>
        <w:t xml:space="preserve">fficient. Measuring productive efficiency </w:t>
      </w:r>
      <w:proofErr w:type="gramStart"/>
      <w:r>
        <w:t>helps</w:t>
      </w:r>
      <w:proofErr w:type="gramEnd"/>
      <w:r w:rsidRPr="002777EB">
        <w:t xml:space="preserve"> us determin</w:t>
      </w:r>
      <w:r>
        <w:t>e</w:t>
      </w:r>
      <w:r w:rsidRPr="002777EB">
        <w:t xml:space="preserve"> efficient prices/revenues for services promoting allocative efficiency. Measuring productive efficiency over time provides an insight into the dynamic efficiency of distributors.</w:t>
      </w:r>
    </w:p>
  </w:footnote>
  <w:footnote w:id="8">
    <w:p w:rsidR="002306FF" w:rsidRDefault="002306FF">
      <w:pPr>
        <w:pStyle w:val="FootnoteText"/>
      </w:pPr>
      <w:r>
        <w:rPr>
          <w:rStyle w:val="FootnoteReference"/>
        </w:rPr>
        <w:footnoteRef/>
      </w:r>
      <w:r>
        <w:t xml:space="preserve"> </w:t>
      </w:r>
      <w:r>
        <w:tab/>
      </w:r>
      <w:proofErr w:type="spellStart"/>
      <w:r w:rsidRPr="00C02AC7">
        <w:t>TasNetworks</w:t>
      </w:r>
      <w:proofErr w:type="spellEnd"/>
      <w:r w:rsidRPr="00C02AC7">
        <w:t xml:space="preserve">, however, could be considered an outlier compared to its peers in terms of system structure, which influences its MTFP score to some extent. Compared to other DNSPs, TasNetworks operates substantially less high voltage </w:t>
      </w:r>
      <w:proofErr w:type="spellStart"/>
      <w:r w:rsidRPr="00C02AC7">
        <w:t>subtransmission</w:t>
      </w:r>
      <w:proofErr w:type="spellEnd"/>
      <w:r w:rsidRPr="00C02AC7">
        <w:t xml:space="preserve"> assets and has a comparatively high proportion of lower voltage lines. Therefore, Economic Insights advises that some caution is required in interpreting TasNetworks’ MTFP score, given its comparatively unusual system structure. The Economic Insights </w:t>
      </w:r>
      <w:r>
        <w:t xml:space="preserve">2015 </w:t>
      </w:r>
      <w:r w:rsidRPr="00C02AC7">
        <w:t>memorandum referred to in Appendix A contains further detail on TasNetworks’ system structure.</w:t>
      </w:r>
    </w:p>
  </w:footnote>
  <w:footnote w:id="9">
    <w:p w:rsidR="002306FF" w:rsidRDefault="002306FF">
      <w:pPr>
        <w:pStyle w:val="FootnoteText"/>
      </w:pPr>
      <w:r>
        <w:rPr>
          <w:rStyle w:val="FootnoteReference"/>
        </w:rPr>
        <w:footnoteRef/>
      </w:r>
      <w:r>
        <w:t xml:space="preserve"> </w:t>
      </w:r>
      <w:r>
        <w:tab/>
      </w:r>
      <w:proofErr w:type="gramStart"/>
      <w:r>
        <w:t>NER, cl. 6.27.</w:t>
      </w:r>
      <w:proofErr w:type="gramEnd"/>
    </w:p>
  </w:footnote>
  <w:footnote w:id="10">
    <w:p w:rsidR="002306FF" w:rsidRDefault="002306FF" w:rsidP="009973D3">
      <w:pPr>
        <w:pStyle w:val="FootnoteText"/>
      </w:pPr>
      <w:r>
        <w:rPr>
          <w:rStyle w:val="FootnoteReference"/>
        </w:rPr>
        <w:footnoteRef/>
      </w:r>
      <w:r>
        <w:t xml:space="preserve"> </w:t>
      </w:r>
      <w:r>
        <w:tab/>
      </w:r>
      <w:proofErr w:type="gramStart"/>
      <w:r>
        <w:t xml:space="preserve">Economic Insights, </w:t>
      </w:r>
      <w:r w:rsidRPr="00E6687E">
        <w:rPr>
          <w:rStyle w:val="Emphasis"/>
        </w:rPr>
        <w:t>Economic Benchmarking Assessment of Operating Expenditure for NSW and ACT Electricity DNSPs</w:t>
      </w:r>
      <w:r>
        <w:t>, November 2014, pp. 5–6.</w:t>
      </w:r>
      <w:proofErr w:type="gramEnd"/>
    </w:p>
  </w:footnote>
  <w:footnote w:id="11">
    <w:p w:rsidR="002306FF" w:rsidRDefault="002306FF">
      <w:pPr>
        <w:pStyle w:val="FootnoteText"/>
      </w:pPr>
      <w:r>
        <w:rPr>
          <w:rStyle w:val="FootnoteReference"/>
        </w:rPr>
        <w:footnoteRef/>
      </w:r>
      <w:r>
        <w:t xml:space="preserve"> </w:t>
      </w:r>
      <w:r>
        <w:tab/>
        <w:t xml:space="preserve">Economic Insights, </w:t>
      </w:r>
      <w:r w:rsidRPr="002B636B">
        <w:rPr>
          <w:rStyle w:val="AERtextitalic"/>
        </w:rPr>
        <w:t>Memorandum – DNSP Economic Benchmarking Results Report</w:t>
      </w:r>
      <w:r w:rsidRPr="002B636B">
        <w:t>, November 2016</w:t>
      </w:r>
      <w:r>
        <w:t>, pp. 5-15.</w:t>
      </w:r>
    </w:p>
  </w:footnote>
  <w:footnote w:id="12">
    <w:p w:rsidR="002306FF" w:rsidRDefault="002306FF">
      <w:pPr>
        <w:pStyle w:val="FootnoteText"/>
      </w:pPr>
      <w:r>
        <w:rPr>
          <w:rStyle w:val="FootnoteReference"/>
        </w:rPr>
        <w:footnoteRef/>
      </w:r>
      <w:r>
        <w:t xml:space="preserve"> </w:t>
      </w:r>
      <w:r>
        <w:tab/>
        <w:t>This reviews performance in the longer term and facilitates the estimation of the impact of technological change.</w:t>
      </w:r>
    </w:p>
  </w:footnote>
  <w:footnote w:id="13">
    <w:p w:rsidR="002306FF" w:rsidRDefault="002306FF">
      <w:pPr>
        <w:pStyle w:val="FootnoteText"/>
      </w:pPr>
      <w:r>
        <w:rPr>
          <w:rStyle w:val="FootnoteReference"/>
        </w:rPr>
        <w:footnoteRef/>
      </w:r>
      <w:r>
        <w:t xml:space="preserve"> </w:t>
      </w:r>
      <w:r>
        <w:tab/>
      </w:r>
      <w:r w:rsidRPr="004B0B4C">
        <w:t>PIN techniques determine the relationship between inputs and outputs using an index.</w:t>
      </w:r>
    </w:p>
  </w:footnote>
  <w:footnote w:id="14">
    <w:p w:rsidR="00223935" w:rsidRDefault="00223935">
      <w:pPr>
        <w:pStyle w:val="FootnoteText"/>
      </w:pPr>
      <w:r>
        <w:rPr>
          <w:rStyle w:val="FootnoteReference"/>
        </w:rPr>
        <w:footnoteRef/>
      </w:r>
      <w:r>
        <w:t xml:space="preserve"> </w:t>
      </w:r>
      <w:r>
        <w:tab/>
      </w:r>
      <w:r w:rsidRPr="00223935">
        <w:t xml:space="preserve">Asset cost is the sum of annual depreciation and return on investment. This measure has the advantage of reflecting the total cost of assets for which customers </w:t>
      </w:r>
      <w:proofErr w:type="gramStart"/>
      <w:r w:rsidRPr="00223935">
        <w:t>are billed</w:t>
      </w:r>
      <w:proofErr w:type="gramEnd"/>
      <w:r w:rsidRPr="00223935">
        <w:t xml:space="preserve"> on an annual basis, using the average return on capital over the period.</w:t>
      </w:r>
    </w:p>
  </w:footnote>
  <w:footnote w:id="15">
    <w:p w:rsidR="002306FF" w:rsidRDefault="002306FF" w:rsidP="00CB580A">
      <w:pPr>
        <w:pStyle w:val="FootnoteText"/>
      </w:pPr>
      <w:r>
        <w:rPr>
          <w:rStyle w:val="FootnoteReference"/>
        </w:rPr>
        <w:footnoteRef/>
      </w:r>
      <w:r>
        <w:t xml:space="preserve"> </w:t>
      </w:r>
      <w:r>
        <w:tab/>
        <w:t xml:space="preserve">The outputs we consider are similar to those used in the MTFP and MPFP benchmarking techniques. However, we do not specifically consider energy delivered as it is likely to be highly correlated with customer numbers and maximum demand, and is a less significant driver of the DNSPs' costs. </w:t>
      </w:r>
    </w:p>
  </w:footnote>
  <w:footnote w:id="16">
    <w:p w:rsidR="002306FF" w:rsidRDefault="002306FF" w:rsidP="00CB580A">
      <w:pPr>
        <w:pStyle w:val="FootnoteText"/>
      </w:pPr>
      <w:r>
        <w:rPr>
          <w:rStyle w:val="FootnoteReference"/>
        </w:rPr>
        <w:footnoteRef/>
      </w:r>
      <w:r>
        <w:t xml:space="preserve"> </w:t>
      </w:r>
      <w:r>
        <w:tab/>
        <w:t>We measure c</w:t>
      </w:r>
      <w:r w:rsidRPr="00E504E2">
        <w:t>ustomer density as the number of customers per km of route line length</w:t>
      </w:r>
      <w:r>
        <w:t xml:space="preserve"> (see Appendix B).</w:t>
      </w:r>
    </w:p>
  </w:footnote>
  <w:footnote w:id="17">
    <w:p w:rsidR="002306FF" w:rsidRDefault="002306FF" w:rsidP="00CB580A">
      <w:pPr>
        <w:pStyle w:val="FootnoteText"/>
      </w:pPr>
      <w:r>
        <w:rPr>
          <w:rStyle w:val="FootnoteReference"/>
        </w:rPr>
        <w:footnoteRef/>
      </w:r>
      <w:r>
        <w:t xml:space="preserve"> </w:t>
      </w:r>
      <w:r>
        <w:tab/>
        <w:t xml:space="preserve">The customer numbers output carries the largest weight (in terms of per cent share of gross revenue) in the MTFP and MPFP indices.  It also carries the largest weight (in terms of the magnitude of coefficient estimates) in the opex cost function models. See Economic Insights, </w:t>
      </w:r>
      <w:r w:rsidRPr="00A46249">
        <w:rPr>
          <w:rStyle w:val="AERtextitalic"/>
        </w:rPr>
        <w:t>Economic benchmarking assessment of operating expenditure for NSW and ACT electricity DNSPs</w:t>
      </w:r>
      <w:r>
        <w:t>, November 2014, pp. 16, 21, 33-36.</w:t>
      </w:r>
    </w:p>
  </w:footnote>
  <w:footnote w:id="18">
    <w:p w:rsidR="002306FF" w:rsidRDefault="002306FF">
      <w:pPr>
        <w:pStyle w:val="FootnoteText"/>
      </w:pPr>
      <w:r>
        <w:rPr>
          <w:rStyle w:val="FootnoteReference"/>
        </w:rPr>
        <w:footnoteRef/>
      </w:r>
      <w:r>
        <w:t xml:space="preserve"> </w:t>
      </w:r>
      <w:r>
        <w:tab/>
        <w:t xml:space="preserve">See for example, AER, </w:t>
      </w:r>
      <w:r w:rsidRPr="00E6687E">
        <w:rPr>
          <w:rStyle w:val="Emphasis"/>
        </w:rPr>
        <w:t>Final Decision</w:t>
      </w:r>
      <w:r>
        <w:t xml:space="preserve">, </w:t>
      </w:r>
      <w:r w:rsidRPr="00E6687E">
        <w:rPr>
          <w:rStyle w:val="Emphasis"/>
        </w:rPr>
        <w:t>CitiPower distribution determination 2016 to 2020</w:t>
      </w:r>
      <w:r>
        <w:t xml:space="preserve">, </w:t>
      </w:r>
      <w:r w:rsidRPr="00E6687E">
        <w:rPr>
          <w:rStyle w:val="Emphasis"/>
        </w:rPr>
        <w:t>Attachment 7 – Operating expenditure</w:t>
      </w:r>
      <w:r>
        <w:t xml:space="preserve">, May 2016, pp. 7-32 to 7-38. Available at: </w:t>
      </w:r>
      <w:r w:rsidRPr="00B959BC">
        <w:t>https://www.aer.gov.au/networks-pipelines/determinations-access-arrangements/citipower-determination-2011-15</w:t>
      </w:r>
      <w:r>
        <w:t>.</w:t>
      </w:r>
    </w:p>
  </w:footnote>
  <w:footnote w:id="19">
    <w:p w:rsidR="002306FF" w:rsidRDefault="002306FF">
      <w:pPr>
        <w:pStyle w:val="FootnoteText"/>
      </w:pPr>
      <w:r>
        <w:rPr>
          <w:rStyle w:val="FootnoteReference"/>
        </w:rPr>
        <w:footnoteRef/>
      </w:r>
      <w:r>
        <w:t xml:space="preserve"> </w:t>
      </w:r>
      <w:r>
        <w:tab/>
      </w:r>
      <w:r w:rsidRPr="00674D1B">
        <w:t xml:space="preserve">For instance, </w:t>
      </w:r>
      <w:r>
        <w:t xml:space="preserve">one of the requirements is regular </w:t>
      </w:r>
      <w:r w:rsidRPr="00674D1B">
        <w:t>inspection of singl</w:t>
      </w:r>
      <w:r>
        <w:t>e wire earth return lines</w:t>
      </w:r>
      <w:r w:rsidRPr="00674D1B">
        <w:t xml:space="preserve"> and 22KV feeder</w:t>
      </w:r>
      <w:r>
        <w:t>s in high bushfire risk areas at interval of no longer than 37 months.</w:t>
      </w:r>
      <w:r w:rsidRPr="00674D1B">
        <w:t xml:space="preserve"> This has contributed to the increase in pole inspection expenditure</w:t>
      </w:r>
      <w:r>
        <w:t>.</w:t>
      </w:r>
    </w:p>
  </w:footnote>
  <w:footnote w:id="20">
    <w:p w:rsidR="002306FF" w:rsidRDefault="002306FF">
      <w:pPr>
        <w:pStyle w:val="FootnoteText"/>
      </w:pPr>
      <w:r>
        <w:rPr>
          <w:rStyle w:val="FootnoteReference"/>
        </w:rPr>
        <w:footnoteRef/>
      </w:r>
      <w:r>
        <w:t xml:space="preserve"> </w:t>
      </w:r>
      <w:r>
        <w:tab/>
        <w:t xml:space="preserve">Ausgrid, </w:t>
      </w:r>
      <w:r w:rsidRPr="008157DC">
        <w:rPr>
          <w:rStyle w:val="Emphasis"/>
        </w:rPr>
        <w:t>AER 2015 EBRIN questions - Ausgrid</w:t>
      </w:r>
      <w:r>
        <w:t xml:space="preserve">, June </w:t>
      </w:r>
      <w:r w:rsidRPr="00532502">
        <w:t>201</w:t>
      </w:r>
      <w:r>
        <w:t>6, p. 1.</w:t>
      </w:r>
    </w:p>
  </w:footnote>
  <w:footnote w:id="21">
    <w:p w:rsidR="002306FF" w:rsidRDefault="002306FF" w:rsidP="004B100C">
      <w:pPr>
        <w:pStyle w:val="FootnoteText"/>
      </w:pPr>
      <w:r>
        <w:rPr>
          <w:rStyle w:val="FootnoteReference"/>
        </w:rPr>
        <w:footnoteRef/>
      </w:r>
      <w:r>
        <w:t xml:space="preserve"> </w:t>
      </w:r>
      <w:r>
        <w:tab/>
      </w:r>
      <w:proofErr w:type="gramStart"/>
      <w:r>
        <w:t xml:space="preserve">Ausgrid, </w:t>
      </w:r>
      <w:r w:rsidRPr="00FF67AA">
        <w:rPr>
          <w:rStyle w:val="AERtextitalic"/>
        </w:rPr>
        <w:t>Submission on draft DNSP annual benchmarking report 2016</w:t>
      </w:r>
      <w:r>
        <w:t>, 14 October 2016, p. 5.</w:t>
      </w:r>
      <w:proofErr w:type="gramEnd"/>
    </w:p>
  </w:footnote>
  <w:footnote w:id="22">
    <w:p w:rsidR="002306FF" w:rsidRDefault="002306FF" w:rsidP="00244A15">
      <w:pPr>
        <w:pStyle w:val="FootnoteText"/>
      </w:pPr>
      <w:r>
        <w:rPr>
          <w:rStyle w:val="FootnoteReference"/>
        </w:rPr>
        <w:footnoteRef/>
      </w:r>
      <w:r>
        <w:t xml:space="preserve">  </w:t>
      </w:r>
      <w:r>
        <w:tab/>
      </w:r>
      <w:r w:rsidRPr="007659E0">
        <w:t>Ausgrid reported $107 million in voluntary redundancies costs in 2015 associated with its ongoing reforms to improve its operational efficiencies.  The cost pass through relating to the April 2015 storm is $33.9 million on opex.</w:t>
      </w:r>
      <w:r w:rsidRPr="00E76D75">
        <w:t xml:space="preserve"> </w:t>
      </w:r>
      <w:r>
        <w:t xml:space="preserve"> Ausgrid, </w:t>
      </w:r>
      <w:r w:rsidRPr="0034240C">
        <w:rPr>
          <w:rStyle w:val="Emphasis"/>
        </w:rPr>
        <w:t xml:space="preserve">Letter from Ausgrid - Comments on the AER's Draft Annual Benchmarking Report, Email to the </w:t>
      </w:r>
      <w:r>
        <w:rPr>
          <w:rStyle w:val="Emphasis"/>
        </w:rPr>
        <w:t>AER</w:t>
      </w:r>
      <w:r>
        <w:t>, 28 October 2016.</w:t>
      </w:r>
    </w:p>
  </w:footnote>
  <w:footnote w:id="23">
    <w:p w:rsidR="002306FF" w:rsidRDefault="002306FF">
      <w:pPr>
        <w:pStyle w:val="FootnoteText"/>
      </w:pPr>
      <w:r>
        <w:rPr>
          <w:rStyle w:val="FootnoteReference"/>
        </w:rPr>
        <w:footnoteRef/>
      </w:r>
      <w:r>
        <w:t xml:space="preserve"> </w:t>
      </w:r>
      <w:r>
        <w:tab/>
      </w:r>
      <w:r w:rsidRPr="00244A15">
        <w:t xml:space="preserve">We are cautious about excluding abnormal costs from benchmarking because it creates an opportunity for </w:t>
      </w:r>
      <w:proofErr w:type="gramStart"/>
      <w:r w:rsidRPr="00244A15">
        <w:t>gaming</w:t>
      </w:r>
      <w:proofErr w:type="gramEnd"/>
      <w:r>
        <w:t xml:space="preserve"> the results</w:t>
      </w:r>
      <w:r w:rsidRPr="00244A15">
        <w:t xml:space="preserve">. Netting out abnormal costs should be consistently made to both reviewing historical performance and setting forward-looking costs. If abnormal costs are to be excluded from opex benchmarking </w:t>
      </w:r>
      <w:r>
        <w:t>because</w:t>
      </w:r>
      <w:r w:rsidRPr="00244A15">
        <w:t xml:space="preserve"> they are not part of the costs normally </w:t>
      </w:r>
      <w:r>
        <w:t>incurred</w:t>
      </w:r>
      <w:r w:rsidRPr="00244A15">
        <w:t xml:space="preserve"> </w:t>
      </w:r>
      <w:r>
        <w:t>to provide</w:t>
      </w:r>
      <w:r w:rsidRPr="00244A15">
        <w:t xml:space="preserve"> network services, then these costs should also be excluded from the base opex for forecasting efficient costs going forward.</w:t>
      </w:r>
    </w:p>
  </w:footnote>
  <w:footnote w:id="24">
    <w:p w:rsidR="002306FF" w:rsidRDefault="002306FF" w:rsidP="00FC6C11">
      <w:pPr>
        <w:pStyle w:val="FootnoteText"/>
      </w:pPr>
      <w:r>
        <w:rPr>
          <w:rStyle w:val="FootnoteReference"/>
        </w:rPr>
        <w:footnoteRef/>
      </w:r>
      <w:r>
        <w:t xml:space="preserve"> </w:t>
      </w:r>
      <w:r>
        <w:tab/>
      </w:r>
      <w:r w:rsidRPr="002975A1">
        <w:t xml:space="preserve">We have published some papers that consider the use of benchmarking by other regulators. These include: ACCC/AER, </w:t>
      </w:r>
      <w:r w:rsidRPr="002975A1">
        <w:rPr>
          <w:rStyle w:val="Emphasis"/>
        </w:rPr>
        <w:t>Benchmarking Opex and Capex in Energy Networks, Working Paper no. 6</w:t>
      </w:r>
      <w:r w:rsidRPr="002975A1">
        <w:t xml:space="preserve">, May 2012; ACCC/AER, </w:t>
      </w:r>
      <w:r w:rsidRPr="002975A1">
        <w:rPr>
          <w:rStyle w:val="Emphasis"/>
        </w:rPr>
        <w:t>Regulatory Practices in Other Countries: Benchmarking Opex and Capex in Energy Networks</w:t>
      </w:r>
      <w:r w:rsidRPr="002975A1">
        <w:t xml:space="preserve">, May 2012 and </w:t>
      </w:r>
      <w:proofErr w:type="spellStart"/>
      <w:r w:rsidRPr="002975A1">
        <w:t>Schweinsberg</w:t>
      </w:r>
      <w:proofErr w:type="spellEnd"/>
      <w:r w:rsidRPr="002975A1">
        <w:t xml:space="preserve">, </w:t>
      </w:r>
      <w:proofErr w:type="spellStart"/>
      <w:r w:rsidRPr="002975A1">
        <w:t>Stronzik</w:t>
      </w:r>
      <w:proofErr w:type="spellEnd"/>
      <w:r w:rsidRPr="002975A1">
        <w:t>, and</w:t>
      </w:r>
      <w:r>
        <w:t xml:space="preserve"> </w:t>
      </w:r>
      <w:proofErr w:type="spellStart"/>
      <w:r w:rsidRPr="002975A1">
        <w:t>Wissner</w:t>
      </w:r>
      <w:proofErr w:type="spellEnd"/>
      <w:r w:rsidRPr="002975A1">
        <w:t xml:space="preserve">, </w:t>
      </w:r>
      <w:r w:rsidRPr="002975A1">
        <w:rPr>
          <w:rStyle w:val="Emphasis"/>
        </w:rPr>
        <w:t>Cost Benchmarking in Energy Regulation in European Countries</w:t>
      </w:r>
      <w:r w:rsidRPr="002975A1">
        <w:t>, December 2011</w:t>
      </w:r>
      <w:r>
        <w:t>.</w:t>
      </w:r>
    </w:p>
  </w:footnote>
  <w:footnote w:id="25">
    <w:p w:rsidR="002306FF" w:rsidRDefault="002306FF">
      <w:pPr>
        <w:pStyle w:val="FootnoteText"/>
      </w:pPr>
      <w:r>
        <w:rPr>
          <w:rStyle w:val="FootnoteReference"/>
        </w:rPr>
        <w:footnoteRef/>
      </w:r>
      <w:r>
        <w:t xml:space="preserve"> </w:t>
      </w:r>
      <w:r>
        <w:tab/>
      </w:r>
      <w:r w:rsidRPr="00244A15">
        <w:t>To account for the distribution and transmission boundary differences</w:t>
      </w:r>
      <w:r>
        <w:t>,</w:t>
      </w:r>
      <w:r w:rsidRPr="00244A15">
        <w:t xml:space="preserve"> we have excluded the </w:t>
      </w:r>
      <w:r>
        <w:t xml:space="preserve">assets associated with the </w:t>
      </w:r>
      <w:r w:rsidRPr="00244A15">
        <w:t>first stage of two stage transformation at the zone substation level from our analysis.</w:t>
      </w:r>
    </w:p>
  </w:footnote>
  <w:footnote w:id="26">
    <w:p w:rsidR="002306FF" w:rsidRDefault="002306FF" w:rsidP="00500960">
      <w:pPr>
        <w:pStyle w:val="FootnoteText"/>
      </w:pPr>
      <w:r>
        <w:rPr>
          <w:rStyle w:val="FootnoteReference"/>
        </w:rPr>
        <w:footnoteRef/>
      </w:r>
      <w:r>
        <w:t xml:space="preserve"> </w:t>
      </w:r>
      <w:r>
        <w:tab/>
      </w:r>
      <w:proofErr w:type="gramStart"/>
      <w:r w:rsidRPr="00BB3AE7">
        <w:t xml:space="preserve">Economic Insights, </w:t>
      </w:r>
      <w:r w:rsidRPr="00BB3AE7">
        <w:rPr>
          <w:rStyle w:val="Emphasis"/>
        </w:rPr>
        <w:t>Response to Consultants’ Reports on Economic Benchmarking of Electricity</w:t>
      </w:r>
      <w:r w:rsidRPr="00BB3AE7">
        <w:t xml:space="preserve"> DNSPs, 22 April 2015, p. 11.</w:t>
      </w:r>
      <w:proofErr w:type="gramEnd"/>
    </w:p>
  </w:footnote>
  <w:footnote w:id="27">
    <w:p w:rsidR="002306FF" w:rsidRDefault="002306FF">
      <w:pPr>
        <w:pStyle w:val="FootnoteText"/>
      </w:pPr>
      <w:r>
        <w:rPr>
          <w:rStyle w:val="FootnoteReference"/>
        </w:rPr>
        <w:footnoteRef/>
      </w:r>
      <w:r>
        <w:t xml:space="preserve"> </w:t>
      </w:r>
      <w:r>
        <w:tab/>
      </w:r>
      <w:proofErr w:type="spellStart"/>
      <w:proofErr w:type="gramStart"/>
      <w:r>
        <w:t>Ausgrid</w:t>
      </w:r>
      <w:proofErr w:type="spellEnd"/>
      <w:r>
        <w:t xml:space="preserve">, </w:t>
      </w:r>
      <w:r w:rsidRPr="00AA0CF8">
        <w:rPr>
          <w:rStyle w:val="Emphasis"/>
        </w:rPr>
        <w:t>Submission on the DNSP annual benchmarking report 2016</w:t>
      </w:r>
      <w:r>
        <w:t>, 14 October 2016, p. 3.</w:t>
      </w:r>
      <w:proofErr w:type="gramEnd"/>
    </w:p>
  </w:footnote>
  <w:footnote w:id="28">
    <w:p w:rsidR="002306FF" w:rsidRPr="00A11A31" w:rsidRDefault="002306FF" w:rsidP="00A11A31">
      <w:pPr>
        <w:pStyle w:val="FootnoteText"/>
        <w:rPr>
          <w:rStyle w:val="Emphasis"/>
        </w:rPr>
      </w:pPr>
      <w:r>
        <w:rPr>
          <w:rStyle w:val="FootnoteReference"/>
        </w:rPr>
        <w:footnoteRef/>
      </w:r>
      <w:r>
        <w:t xml:space="preserve"> </w:t>
      </w:r>
      <w:r>
        <w:tab/>
      </w:r>
      <w:r w:rsidRPr="00A11A31">
        <w:rPr>
          <w:rStyle w:val="Emphasis"/>
          <w:i w:val="0"/>
          <w:iCs w:val="0"/>
        </w:rPr>
        <w:t>To calculate asset costs relevant to PPIs, MTFP and Capital MPFP, where possible we have applied annual weighted average cost of capital values calculated in accorda</w:t>
      </w:r>
      <w:r w:rsidRPr="00D63141">
        <w:rPr>
          <w:rStyle w:val="Emphasis"/>
          <w:i w:val="0"/>
          <w:iCs w:val="0"/>
        </w:rPr>
        <w:t xml:space="preserve">nce with the AER's approach to setting rate of return in the most recent determination. See: AER, </w:t>
      </w:r>
      <w:r>
        <w:rPr>
          <w:rStyle w:val="Emphasis"/>
        </w:rPr>
        <w:t>Final decision,</w:t>
      </w:r>
      <w:r w:rsidRPr="00D63141">
        <w:rPr>
          <w:rStyle w:val="Emphasis"/>
          <w:i w:val="0"/>
          <w:iCs w:val="0"/>
        </w:rPr>
        <w:t xml:space="preserve"> </w:t>
      </w:r>
      <w:r w:rsidRPr="0066439D">
        <w:rPr>
          <w:rStyle w:val="Emphasis"/>
        </w:rPr>
        <w:t>Jemena distribution determination 2016 to 2020 Attachment 3 – Rate of return</w:t>
      </w:r>
      <w:r w:rsidRPr="00D63141">
        <w:rPr>
          <w:rStyle w:val="Emphasis"/>
          <w:i w:val="0"/>
          <w:iCs w:val="0"/>
        </w:rPr>
        <w:t xml:space="preserve">, May 2016 and AER, </w:t>
      </w:r>
      <w:r>
        <w:rPr>
          <w:rStyle w:val="Emphasis"/>
        </w:rPr>
        <w:t>Final decision</w:t>
      </w:r>
      <w:r w:rsidRPr="00D63141">
        <w:rPr>
          <w:rStyle w:val="Emphasis"/>
          <w:i w:val="0"/>
          <w:iCs w:val="0"/>
        </w:rPr>
        <w:t xml:space="preserve">, </w:t>
      </w:r>
      <w:r w:rsidRPr="0066439D">
        <w:rPr>
          <w:rStyle w:val="Emphasis"/>
        </w:rPr>
        <w:t>Jemena distribution determination 2016 to 2020 Attachment 4 – value of imputation credits</w:t>
      </w:r>
      <w:r w:rsidRPr="00D63141">
        <w:rPr>
          <w:rStyle w:val="Emphasis"/>
          <w:i w:val="0"/>
          <w:iCs w:val="0"/>
        </w:rPr>
        <w:t>, May 2016.  These include a market risk premium of 6.5 per cent, and a risk free rate based on the yield of ten year CGS (noting we use a 365 day averaging period for each year in the benchmarking report).  For this benchmarking report, we choose to continue to use our the previous approach used in previous benchmarking reports that use the Bloomberg BBB fair value curve (365 day averaging period) to calculate the debt risk premium. The AER's present approach averages ten year maturity BBB yields from the RBA and Bloomberg (appropriately extrapol</w:t>
      </w:r>
      <w:r w:rsidRPr="00AA0CF8">
        <w:rPr>
          <w:rStyle w:val="Emphasis"/>
          <w:i w:val="0"/>
          <w:iCs w:val="0"/>
        </w:rPr>
        <w:t>ated out to ten years where necessary). However, historical data going back to 2006 is not available for the RBA curve. Given this, we have continued to rely solely on estimates based on the Bloomberg fair value curve data.  Where relevant, the tax component uses gamma of 0.4</w:t>
      </w:r>
      <w:r>
        <w:rPr>
          <w:rStyle w:val="Emphasis"/>
        </w:rPr>
        <w:t>.</w:t>
      </w:r>
    </w:p>
  </w:footnote>
  <w:footnote w:id="29">
    <w:p w:rsidR="002306FF" w:rsidRDefault="002306FF">
      <w:pPr>
        <w:pStyle w:val="FootnoteText"/>
      </w:pPr>
      <w:r>
        <w:rPr>
          <w:rStyle w:val="FootnoteReference"/>
        </w:rPr>
        <w:footnoteRef/>
      </w:r>
      <w:r>
        <w:t xml:space="preserve"> </w:t>
      </w:r>
      <w:r>
        <w:tab/>
      </w:r>
      <w:proofErr w:type="gramStart"/>
      <w:r>
        <w:t xml:space="preserve">Economic </w:t>
      </w:r>
      <w:r w:rsidRPr="00446A58">
        <w:t xml:space="preserve">Insights, </w:t>
      </w:r>
      <w:r w:rsidRPr="00E6687E">
        <w:rPr>
          <w:rStyle w:val="AERtextitalic"/>
        </w:rPr>
        <w:t>Response to Consultants’ Reports on Economic Benchmarking of Electricity DNSPs</w:t>
      </w:r>
      <w:r w:rsidRPr="00446A58">
        <w:t>, 22 April 2015, p. 15.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FF" w:rsidRDefault="002306FF">
    <w:pPr>
      <w:pStyle w:val="Header"/>
    </w:pPr>
  </w:p>
  <w:p w:rsidR="002306FF" w:rsidRDefault="002306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BF628B7"/>
    <w:multiLevelType w:val="hybridMultilevel"/>
    <w:tmpl w:val="61F69F26"/>
    <w:lvl w:ilvl="0" w:tplc="EF90E5DE">
      <w:start w:val="1"/>
      <w:numFmt w:val="bullet"/>
      <w:lvlText w:val="•"/>
      <w:lvlJc w:val="left"/>
      <w:pPr>
        <w:tabs>
          <w:tab w:val="num" w:pos="720"/>
        </w:tabs>
        <w:ind w:left="720" w:hanging="360"/>
      </w:pPr>
      <w:rPr>
        <w:rFonts w:ascii="Arial" w:hAnsi="Arial" w:hint="default"/>
      </w:rPr>
    </w:lvl>
    <w:lvl w:ilvl="1" w:tplc="19ECC5E6" w:tentative="1">
      <w:start w:val="1"/>
      <w:numFmt w:val="bullet"/>
      <w:lvlText w:val="•"/>
      <w:lvlJc w:val="left"/>
      <w:pPr>
        <w:tabs>
          <w:tab w:val="num" w:pos="1440"/>
        </w:tabs>
        <w:ind w:left="1440" w:hanging="360"/>
      </w:pPr>
      <w:rPr>
        <w:rFonts w:ascii="Arial" w:hAnsi="Arial" w:hint="default"/>
      </w:rPr>
    </w:lvl>
    <w:lvl w:ilvl="2" w:tplc="9C808772" w:tentative="1">
      <w:start w:val="1"/>
      <w:numFmt w:val="bullet"/>
      <w:lvlText w:val="•"/>
      <w:lvlJc w:val="left"/>
      <w:pPr>
        <w:tabs>
          <w:tab w:val="num" w:pos="2160"/>
        </w:tabs>
        <w:ind w:left="2160" w:hanging="360"/>
      </w:pPr>
      <w:rPr>
        <w:rFonts w:ascii="Arial" w:hAnsi="Arial" w:hint="default"/>
      </w:rPr>
    </w:lvl>
    <w:lvl w:ilvl="3" w:tplc="890AD1D6" w:tentative="1">
      <w:start w:val="1"/>
      <w:numFmt w:val="bullet"/>
      <w:lvlText w:val="•"/>
      <w:lvlJc w:val="left"/>
      <w:pPr>
        <w:tabs>
          <w:tab w:val="num" w:pos="2880"/>
        </w:tabs>
        <w:ind w:left="2880" w:hanging="360"/>
      </w:pPr>
      <w:rPr>
        <w:rFonts w:ascii="Arial" w:hAnsi="Arial" w:hint="default"/>
      </w:rPr>
    </w:lvl>
    <w:lvl w:ilvl="4" w:tplc="BC5E1A14" w:tentative="1">
      <w:start w:val="1"/>
      <w:numFmt w:val="bullet"/>
      <w:lvlText w:val="•"/>
      <w:lvlJc w:val="left"/>
      <w:pPr>
        <w:tabs>
          <w:tab w:val="num" w:pos="3600"/>
        </w:tabs>
        <w:ind w:left="3600" w:hanging="360"/>
      </w:pPr>
      <w:rPr>
        <w:rFonts w:ascii="Arial" w:hAnsi="Arial" w:hint="default"/>
      </w:rPr>
    </w:lvl>
    <w:lvl w:ilvl="5" w:tplc="DF185988" w:tentative="1">
      <w:start w:val="1"/>
      <w:numFmt w:val="bullet"/>
      <w:lvlText w:val="•"/>
      <w:lvlJc w:val="left"/>
      <w:pPr>
        <w:tabs>
          <w:tab w:val="num" w:pos="4320"/>
        </w:tabs>
        <w:ind w:left="4320" w:hanging="360"/>
      </w:pPr>
      <w:rPr>
        <w:rFonts w:ascii="Arial" w:hAnsi="Arial" w:hint="default"/>
      </w:rPr>
    </w:lvl>
    <w:lvl w:ilvl="6" w:tplc="1F2A0DEC" w:tentative="1">
      <w:start w:val="1"/>
      <w:numFmt w:val="bullet"/>
      <w:lvlText w:val="•"/>
      <w:lvlJc w:val="left"/>
      <w:pPr>
        <w:tabs>
          <w:tab w:val="num" w:pos="5040"/>
        </w:tabs>
        <w:ind w:left="5040" w:hanging="360"/>
      </w:pPr>
      <w:rPr>
        <w:rFonts w:ascii="Arial" w:hAnsi="Arial" w:hint="default"/>
      </w:rPr>
    </w:lvl>
    <w:lvl w:ilvl="7" w:tplc="8E607EE0" w:tentative="1">
      <w:start w:val="1"/>
      <w:numFmt w:val="bullet"/>
      <w:lvlText w:val="•"/>
      <w:lvlJc w:val="left"/>
      <w:pPr>
        <w:tabs>
          <w:tab w:val="num" w:pos="5760"/>
        </w:tabs>
        <w:ind w:left="5760" w:hanging="360"/>
      </w:pPr>
      <w:rPr>
        <w:rFonts w:ascii="Arial" w:hAnsi="Arial" w:hint="default"/>
      </w:rPr>
    </w:lvl>
    <w:lvl w:ilvl="8" w:tplc="FC000E9E" w:tentative="1">
      <w:start w:val="1"/>
      <w:numFmt w:val="bullet"/>
      <w:lvlText w:val="•"/>
      <w:lvlJc w:val="left"/>
      <w:pPr>
        <w:tabs>
          <w:tab w:val="num" w:pos="6480"/>
        </w:tabs>
        <w:ind w:left="6480" w:hanging="360"/>
      </w:pPr>
      <w:rPr>
        <w:rFonts w:ascii="Arial" w:hAnsi="Arial" w:hint="default"/>
      </w:r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24F04DF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679"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0"/>
  </w:num>
  <w:num w:numId="15">
    <w:abstractNumId w:val="12"/>
  </w:num>
  <w:num w:numId="16">
    <w:abstractNumId w:val="21"/>
  </w:num>
  <w:num w:numId="17">
    <w:abstractNumId w:val="9"/>
  </w:num>
  <w:num w:numId="18">
    <w:abstractNumId w:val="14"/>
  </w:num>
  <w:num w:numId="19">
    <w:abstractNumId w:val="22"/>
  </w:num>
  <w:num w:numId="20">
    <w:abstractNumId w:val="28"/>
  </w:num>
  <w:num w:numId="21">
    <w:abstractNumId w:val="25"/>
  </w:num>
  <w:num w:numId="22">
    <w:abstractNumId w:val="23"/>
  </w:num>
  <w:num w:numId="23">
    <w:abstractNumId w:val="16"/>
  </w:num>
  <w:num w:numId="24">
    <w:abstractNumId w:val="24"/>
  </w:num>
  <w:num w:numId="25">
    <w:abstractNumId w:val="26"/>
  </w:num>
  <w:num w:numId="26">
    <w:abstractNumId w:val="17"/>
  </w:num>
  <w:num w:numId="27">
    <w:abstractNumId w:val="13"/>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8"/>
  </w:num>
  <w:num w:numId="31">
    <w:abstractNumId w:val="20"/>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ubzHPsV8LypbAwvZTP+ZRSpqXoa3tOrZASb6IvRQNQ=" w:saltValue="VZLq3yP4ztY5UyelDT3p8Q==" w:algorithmName="SHA-256"/>
  <w:defaultTabStop w:val="340"/>
  <w:characterSpacingControl w:val="doNotCompress"/>
  <w:hdrShapeDefaults>
    <o:shapedefaults v:ext="edit" spidmax="487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uwu\final dnsp annual benchmarking report 2016 (D2016-00149021).docx"/>
  </w:docVars>
  <w:rsids>
    <w:rsidRoot w:val="00961A4A"/>
    <w:rsid w:val="000015C2"/>
    <w:rsid w:val="000051DC"/>
    <w:rsid w:val="0000658F"/>
    <w:rsid w:val="00006EA2"/>
    <w:rsid w:val="000142B0"/>
    <w:rsid w:val="00014547"/>
    <w:rsid w:val="0001507B"/>
    <w:rsid w:val="00020016"/>
    <w:rsid w:val="000210C4"/>
    <w:rsid w:val="00021202"/>
    <w:rsid w:val="00021C2B"/>
    <w:rsid w:val="0002498B"/>
    <w:rsid w:val="00024B92"/>
    <w:rsid w:val="00024C95"/>
    <w:rsid w:val="0002517F"/>
    <w:rsid w:val="0002540C"/>
    <w:rsid w:val="00026187"/>
    <w:rsid w:val="000266FC"/>
    <w:rsid w:val="00026AB2"/>
    <w:rsid w:val="000273B3"/>
    <w:rsid w:val="00027E2D"/>
    <w:rsid w:val="0003578C"/>
    <w:rsid w:val="0003670C"/>
    <w:rsid w:val="00036BA5"/>
    <w:rsid w:val="00040490"/>
    <w:rsid w:val="00041D0A"/>
    <w:rsid w:val="00043F77"/>
    <w:rsid w:val="00044DA3"/>
    <w:rsid w:val="000474DF"/>
    <w:rsid w:val="00050D8E"/>
    <w:rsid w:val="00055A67"/>
    <w:rsid w:val="00063247"/>
    <w:rsid w:val="00063B78"/>
    <w:rsid w:val="0006624E"/>
    <w:rsid w:val="00070F9F"/>
    <w:rsid w:val="0007137B"/>
    <w:rsid w:val="00073B74"/>
    <w:rsid w:val="000742B1"/>
    <w:rsid w:val="00076416"/>
    <w:rsid w:val="00077383"/>
    <w:rsid w:val="000805A8"/>
    <w:rsid w:val="000810FD"/>
    <w:rsid w:val="0008190B"/>
    <w:rsid w:val="000836D9"/>
    <w:rsid w:val="00085663"/>
    <w:rsid w:val="00085EBF"/>
    <w:rsid w:val="00086475"/>
    <w:rsid w:val="00091B15"/>
    <w:rsid w:val="00095186"/>
    <w:rsid w:val="00095F95"/>
    <w:rsid w:val="000A0E71"/>
    <w:rsid w:val="000A1C0C"/>
    <w:rsid w:val="000A22BF"/>
    <w:rsid w:val="000A3020"/>
    <w:rsid w:val="000A4647"/>
    <w:rsid w:val="000A4840"/>
    <w:rsid w:val="000A62C1"/>
    <w:rsid w:val="000A6A79"/>
    <w:rsid w:val="000A6C7B"/>
    <w:rsid w:val="000B0A7B"/>
    <w:rsid w:val="000B1173"/>
    <w:rsid w:val="000B1DCB"/>
    <w:rsid w:val="000B26CF"/>
    <w:rsid w:val="000B5827"/>
    <w:rsid w:val="000B7037"/>
    <w:rsid w:val="000C02D1"/>
    <w:rsid w:val="000C0C63"/>
    <w:rsid w:val="000C0DD5"/>
    <w:rsid w:val="000C259C"/>
    <w:rsid w:val="000C2B40"/>
    <w:rsid w:val="000C3A7E"/>
    <w:rsid w:val="000C5255"/>
    <w:rsid w:val="000C6771"/>
    <w:rsid w:val="000D07A7"/>
    <w:rsid w:val="000D122C"/>
    <w:rsid w:val="000D5963"/>
    <w:rsid w:val="000D75B0"/>
    <w:rsid w:val="000E0573"/>
    <w:rsid w:val="000E1819"/>
    <w:rsid w:val="000E3EFE"/>
    <w:rsid w:val="000E4821"/>
    <w:rsid w:val="000E4AA9"/>
    <w:rsid w:val="000E6C72"/>
    <w:rsid w:val="000E7F39"/>
    <w:rsid w:val="000F0F0A"/>
    <w:rsid w:val="000F3663"/>
    <w:rsid w:val="000F5EF5"/>
    <w:rsid w:val="000F65B0"/>
    <w:rsid w:val="000F6915"/>
    <w:rsid w:val="00100EA2"/>
    <w:rsid w:val="00101AA1"/>
    <w:rsid w:val="00102338"/>
    <w:rsid w:val="00102418"/>
    <w:rsid w:val="00103AA9"/>
    <w:rsid w:val="00104566"/>
    <w:rsid w:val="001048B6"/>
    <w:rsid w:val="00104FF6"/>
    <w:rsid w:val="0010506F"/>
    <w:rsid w:val="001114AA"/>
    <w:rsid w:val="0011368C"/>
    <w:rsid w:val="00115743"/>
    <w:rsid w:val="00116EB2"/>
    <w:rsid w:val="00120DC1"/>
    <w:rsid w:val="0012132C"/>
    <w:rsid w:val="00124609"/>
    <w:rsid w:val="00124C19"/>
    <w:rsid w:val="0012525D"/>
    <w:rsid w:val="001255F5"/>
    <w:rsid w:val="00126A4C"/>
    <w:rsid w:val="001270E3"/>
    <w:rsid w:val="00131874"/>
    <w:rsid w:val="00132D43"/>
    <w:rsid w:val="00133366"/>
    <w:rsid w:val="00133F47"/>
    <w:rsid w:val="00134029"/>
    <w:rsid w:val="0013535F"/>
    <w:rsid w:val="0014134E"/>
    <w:rsid w:val="00142163"/>
    <w:rsid w:val="00142C2D"/>
    <w:rsid w:val="00144393"/>
    <w:rsid w:val="00144C96"/>
    <w:rsid w:val="00145452"/>
    <w:rsid w:val="0014573B"/>
    <w:rsid w:val="00145B2B"/>
    <w:rsid w:val="001463A3"/>
    <w:rsid w:val="00147CF5"/>
    <w:rsid w:val="0015073A"/>
    <w:rsid w:val="001528E9"/>
    <w:rsid w:val="00155D49"/>
    <w:rsid w:val="001573E4"/>
    <w:rsid w:val="0015757A"/>
    <w:rsid w:val="00157B47"/>
    <w:rsid w:val="00160756"/>
    <w:rsid w:val="00161DC8"/>
    <w:rsid w:val="00166760"/>
    <w:rsid w:val="0017232E"/>
    <w:rsid w:val="00174102"/>
    <w:rsid w:val="001742E8"/>
    <w:rsid w:val="001753E8"/>
    <w:rsid w:val="001754EE"/>
    <w:rsid w:val="00176126"/>
    <w:rsid w:val="0017772E"/>
    <w:rsid w:val="00180157"/>
    <w:rsid w:val="001809BC"/>
    <w:rsid w:val="00180E97"/>
    <w:rsid w:val="001820B4"/>
    <w:rsid w:val="00184351"/>
    <w:rsid w:val="0018440D"/>
    <w:rsid w:val="00184AC8"/>
    <w:rsid w:val="00185078"/>
    <w:rsid w:val="00185BA5"/>
    <w:rsid w:val="00185CB9"/>
    <w:rsid w:val="00185DBE"/>
    <w:rsid w:val="00186ADC"/>
    <w:rsid w:val="00186F77"/>
    <w:rsid w:val="001877A4"/>
    <w:rsid w:val="00187CC5"/>
    <w:rsid w:val="001926A4"/>
    <w:rsid w:val="00192AD5"/>
    <w:rsid w:val="00192D49"/>
    <w:rsid w:val="00194597"/>
    <w:rsid w:val="00194E00"/>
    <w:rsid w:val="0019745E"/>
    <w:rsid w:val="00197B16"/>
    <w:rsid w:val="001A3AD6"/>
    <w:rsid w:val="001A530D"/>
    <w:rsid w:val="001A5FB3"/>
    <w:rsid w:val="001A7155"/>
    <w:rsid w:val="001B29A8"/>
    <w:rsid w:val="001B4536"/>
    <w:rsid w:val="001B45A0"/>
    <w:rsid w:val="001B680E"/>
    <w:rsid w:val="001C30DF"/>
    <w:rsid w:val="001C636D"/>
    <w:rsid w:val="001C75C9"/>
    <w:rsid w:val="001D02FE"/>
    <w:rsid w:val="001D055E"/>
    <w:rsid w:val="001D14BB"/>
    <w:rsid w:val="001D20E2"/>
    <w:rsid w:val="001D4032"/>
    <w:rsid w:val="001D7466"/>
    <w:rsid w:val="001E1B3F"/>
    <w:rsid w:val="001E5D38"/>
    <w:rsid w:val="001E6199"/>
    <w:rsid w:val="001E7161"/>
    <w:rsid w:val="001F05A4"/>
    <w:rsid w:val="001F2512"/>
    <w:rsid w:val="001F3D4A"/>
    <w:rsid w:val="001F492E"/>
    <w:rsid w:val="001F64EF"/>
    <w:rsid w:val="001F6DA3"/>
    <w:rsid w:val="002010BC"/>
    <w:rsid w:val="002010D7"/>
    <w:rsid w:val="002016E7"/>
    <w:rsid w:val="00202E03"/>
    <w:rsid w:val="002033B9"/>
    <w:rsid w:val="002043D0"/>
    <w:rsid w:val="0020492C"/>
    <w:rsid w:val="00204EC9"/>
    <w:rsid w:val="00206505"/>
    <w:rsid w:val="0020743F"/>
    <w:rsid w:val="00214196"/>
    <w:rsid w:val="0021477C"/>
    <w:rsid w:val="002149D5"/>
    <w:rsid w:val="00216C93"/>
    <w:rsid w:val="00217B9A"/>
    <w:rsid w:val="002211B2"/>
    <w:rsid w:val="00223051"/>
    <w:rsid w:val="002234A7"/>
    <w:rsid w:val="00223935"/>
    <w:rsid w:val="00224DB9"/>
    <w:rsid w:val="0022569A"/>
    <w:rsid w:val="0023005C"/>
    <w:rsid w:val="002306FF"/>
    <w:rsid w:val="00231012"/>
    <w:rsid w:val="00233775"/>
    <w:rsid w:val="0023414B"/>
    <w:rsid w:val="00243635"/>
    <w:rsid w:val="00243B38"/>
    <w:rsid w:val="00243B44"/>
    <w:rsid w:val="00244A15"/>
    <w:rsid w:val="0024611C"/>
    <w:rsid w:val="00247079"/>
    <w:rsid w:val="00247F1C"/>
    <w:rsid w:val="00251745"/>
    <w:rsid w:val="00251E77"/>
    <w:rsid w:val="002552BA"/>
    <w:rsid w:val="002563F4"/>
    <w:rsid w:val="00257EB7"/>
    <w:rsid w:val="00260016"/>
    <w:rsid w:val="00263AC0"/>
    <w:rsid w:val="00264264"/>
    <w:rsid w:val="0026689B"/>
    <w:rsid w:val="0026772D"/>
    <w:rsid w:val="002730B2"/>
    <w:rsid w:val="00274C7E"/>
    <w:rsid w:val="002777CF"/>
    <w:rsid w:val="002777EB"/>
    <w:rsid w:val="002810F2"/>
    <w:rsid w:val="00283A6B"/>
    <w:rsid w:val="00284102"/>
    <w:rsid w:val="002848F4"/>
    <w:rsid w:val="002849D6"/>
    <w:rsid w:val="00286874"/>
    <w:rsid w:val="00287A7D"/>
    <w:rsid w:val="00290C63"/>
    <w:rsid w:val="00290F66"/>
    <w:rsid w:val="00291A99"/>
    <w:rsid w:val="00293B6D"/>
    <w:rsid w:val="00294B08"/>
    <w:rsid w:val="0029518C"/>
    <w:rsid w:val="002963DD"/>
    <w:rsid w:val="00296B65"/>
    <w:rsid w:val="002A5958"/>
    <w:rsid w:val="002A601D"/>
    <w:rsid w:val="002A7ABA"/>
    <w:rsid w:val="002A7DEF"/>
    <w:rsid w:val="002B0696"/>
    <w:rsid w:val="002B07BD"/>
    <w:rsid w:val="002B1670"/>
    <w:rsid w:val="002B26B5"/>
    <w:rsid w:val="002B4045"/>
    <w:rsid w:val="002B636B"/>
    <w:rsid w:val="002C0222"/>
    <w:rsid w:val="002C1499"/>
    <w:rsid w:val="002C233C"/>
    <w:rsid w:val="002C309F"/>
    <w:rsid w:val="002C517B"/>
    <w:rsid w:val="002C6F29"/>
    <w:rsid w:val="002D3509"/>
    <w:rsid w:val="002D3E26"/>
    <w:rsid w:val="002D5457"/>
    <w:rsid w:val="002D72E8"/>
    <w:rsid w:val="002D7508"/>
    <w:rsid w:val="002D79AD"/>
    <w:rsid w:val="002E268F"/>
    <w:rsid w:val="002E2FFD"/>
    <w:rsid w:val="002E3A8D"/>
    <w:rsid w:val="002E5198"/>
    <w:rsid w:val="002E78DD"/>
    <w:rsid w:val="002E7B22"/>
    <w:rsid w:val="002F0CF8"/>
    <w:rsid w:val="002F12EC"/>
    <w:rsid w:val="002F5076"/>
    <w:rsid w:val="002F5211"/>
    <w:rsid w:val="002F64DE"/>
    <w:rsid w:val="002F7986"/>
    <w:rsid w:val="003007D1"/>
    <w:rsid w:val="0030116C"/>
    <w:rsid w:val="00301B40"/>
    <w:rsid w:val="00301C82"/>
    <w:rsid w:val="003029EE"/>
    <w:rsid w:val="00302AF2"/>
    <w:rsid w:val="00304D38"/>
    <w:rsid w:val="003050C8"/>
    <w:rsid w:val="00305CC8"/>
    <w:rsid w:val="00307AA5"/>
    <w:rsid w:val="00307F6D"/>
    <w:rsid w:val="00314D83"/>
    <w:rsid w:val="0031571F"/>
    <w:rsid w:val="003177A2"/>
    <w:rsid w:val="00317E02"/>
    <w:rsid w:val="003271B5"/>
    <w:rsid w:val="00327A1E"/>
    <w:rsid w:val="00327E28"/>
    <w:rsid w:val="00331264"/>
    <w:rsid w:val="00334C8D"/>
    <w:rsid w:val="0033539F"/>
    <w:rsid w:val="00335F4A"/>
    <w:rsid w:val="00336F13"/>
    <w:rsid w:val="003378BD"/>
    <w:rsid w:val="003424EA"/>
    <w:rsid w:val="00342C2F"/>
    <w:rsid w:val="003436EB"/>
    <w:rsid w:val="00343A18"/>
    <w:rsid w:val="00345489"/>
    <w:rsid w:val="00345744"/>
    <w:rsid w:val="003505D4"/>
    <w:rsid w:val="003518B3"/>
    <w:rsid w:val="003527FB"/>
    <w:rsid w:val="00353E79"/>
    <w:rsid w:val="0036234B"/>
    <w:rsid w:val="00364EA0"/>
    <w:rsid w:val="00366981"/>
    <w:rsid w:val="00370678"/>
    <w:rsid w:val="0037214E"/>
    <w:rsid w:val="00372C85"/>
    <w:rsid w:val="00373845"/>
    <w:rsid w:val="003744E3"/>
    <w:rsid w:val="003748F3"/>
    <w:rsid w:val="00375F71"/>
    <w:rsid w:val="00376219"/>
    <w:rsid w:val="0037663E"/>
    <w:rsid w:val="0037699E"/>
    <w:rsid w:val="00377A29"/>
    <w:rsid w:val="00377C69"/>
    <w:rsid w:val="00381D64"/>
    <w:rsid w:val="0038415D"/>
    <w:rsid w:val="0038461C"/>
    <w:rsid w:val="003846F1"/>
    <w:rsid w:val="00385B5A"/>
    <w:rsid w:val="003864AD"/>
    <w:rsid w:val="003903A7"/>
    <w:rsid w:val="0039065F"/>
    <w:rsid w:val="00390E6A"/>
    <w:rsid w:val="00393ABE"/>
    <w:rsid w:val="003957C5"/>
    <w:rsid w:val="00395B81"/>
    <w:rsid w:val="00395DB6"/>
    <w:rsid w:val="00397398"/>
    <w:rsid w:val="003A371A"/>
    <w:rsid w:val="003A460C"/>
    <w:rsid w:val="003A59CD"/>
    <w:rsid w:val="003A6B00"/>
    <w:rsid w:val="003B30B2"/>
    <w:rsid w:val="003B3142"/>
    <w:rsid w:val="003B484F"/>
    <w:rsid w:val="003B504B"/>
    <w:rsid w:val="003B5179"/>
    <w:rsid w:val="003B685C"/>
    <w:rsid w:val="003B6A41"/>
    <w:rsid w:val="003B7FBA"/>
    <w:rsid w:val="003C06C2"/>
    <w:rsid w:val="003C2332"/>
    <w:rsid w:val="003C48F2"/>
    <w:rsid w:val="003C5A87"/>
    <w:rsid w:val="003C6537"/>
    <w:rsid w:val="003C6A13"/>
    <w:rsid w:val="003C6F54"/>
    <w:rsid w:val="003C764A"/>
    <w:rsid w:val="003C7862"/>
    <w:rsid w:val="003C78BA"/>
    <w:rsid w:val="003D0D7D"/>
    <w:rsid w:val="003D41F1"/>
    <w:rsid w:val="003D42AB"/>
    <w:rsid w:val="003D56A5"/>
    <w:rsid w:val="003D5B94"/>
    <w:rsid w:val="003D60E2"/>
    <w:rsid w:val="003D68DD"/>
    <w:rsid w:val="003E0D3A"/>
    <w:rsid w:val="003E2848"/>
    <w:rsid w:val="003E309B"/>
    <w:rsid w:val="003E3AAB"/>
    <w:rsid w:val="003E7FE9"/>
    <w:rsid w:val="003F07D4"/>
    <w:rsid w:val="003F174D"/>
    <w:rsid w:val="003F2329"/>
    <w:rsid w:val="003F2346"/>
    <w:rsid w:val="003F46DE"/>
    <w:rsid w:val="003F5D00"/>
    <w:rsid w:val="00400FD2"/>
    <w:rsid w:val="00403711"/>
    <w:rsid w:val="00403720"/>
    <w:rsid w:val="00404C52"/>
    <w:rsid w:val="00411E4E"/>
    <w:rsid w:val="00413373"/>
    <w:rsid w:val="00414451"/>
    <w:rsid w:val="004156D5"/>
    <w:rsid w:val="004158F5"/>
    <w:rsid w:val="00415BA9"/>
    <w:rsid w:val="00415F31"/>
    <w:rsid w:val="0041691D"/>
    <w:rsid w:val="0042000C"/>
    <w:rsid w:val="0042090E"/>
    <w:rsid w:val="00421F27"/>
    <w:rsid w:val="004238D8"/>
    <w:rsid w:val="00423A77"/>
    <w:rsid w:val="004324F4"/>
    <w:rsid w:val="00434222"/>
    <w:rsid w:val="00434544"/>
    <w:rsid w:val="00434BFA"/>
    <w:rsid w:val="00441B29"/>
    <w:rsid w:val="00441F4E"/>
    <w:rsid w:val="00444385"/>
    <w:rsid w:val="00445D43"/>
    <w:rsid w:val="00446A58"/>
    <w:rsid w:val="00446CD2"/>
    <w:rsid w:val="004523B2"/>
    <w:rsid w:val="00456358"/>
    <w:rsid w:val="0045777E"/>
    <w:rsid w:val="00463737"/>
    <w:rsid w:val="00465258"/>
    <w:rsid w:val="00465844"/>
    <w:rsid w:val="004658F7"/>
    <w:rsid w:val="00471BC6"/>
    <w:rsid w:val="00472A82"/>
    <w:rsid w:val="00476221"/>
    <w:rsid w:val="004766F5"/>
    <w:rsid w:val="00480B4B"/>
    <w:rsid w:val="00483534"/>
    <w:rsid w:val="004838D8"/>
    <w:rsid w:val="00485DC4"/>
    <w:rsid w:val="00486DF3"/>
    <w:rsid w:val="004920AE"/>
    <w:rsid w:val="00494D04"/>
    <w:rsid w:val="00495D7F"/>
    <w:rsid w:val="004A40BA"/>
    <w:rsid w:val="004A43D1"/>
    <w:rsid w:val="004A492B"/>
    <w:rsid w:val="004A6FC2"/>
    <w:rsid w:val="004B0B4C"/>
    <w:rsid w:val="004B100C"/>
    <w:rsid w:val="004B1E40"/>
    <w:rsid w:val="004B3B87"/>
    <w:rsid w:val="004B4412"/>
    <w:rsid w:val="004B4CD2"/>
    <w:rsid w:val="004B6269"/>
    <w:rsid w:val="004B68D7"/>
    <w:rsid w:val="004C254B"/>
    <w:rsid w:val="004C348C"/>
    <w:rsid w:val="004C462E"/>
    <w:rsid w:val="004C66DB"/>
    <w:rsid w:val="004C6CA3"/>
    <w:rsid w:val="004C7F5E"/>
    <w:rsid w:val="004D343C"/>
    <w:rsid w:val="004D372A"/>
    <w:rsid w:val="004D55BA"/>
    <w:rsid w:val="004D6077"/>
    <w:rsid w:val="004D720C"/>
    <w:rsid w:val="004E0FA7"/>
    <w:rsid w:val="004E22EC"/>
    <w:rsid w:val="004E604C"/>
    <w:rsid w:val="004E6947"/>
    <w:rsid w:val="004F058B"/>
    <w:rsid w:val="004F0BFA"/>
    <w:rsid w:val="004F13DA"/>
    <w:rsid w:val="004F23CC"/>
    <w:rsid w:val="004F2987"/>
    <w:rsid w:val="004F4D69"/>
    <w:rsid w:val="004F51A1"/>
    <w:rsid w:val="004F6883"/>
    <w:rsid w:val="004F6A0E"/>
    <w:rsid w:val="004F6BB3"/>
    <w:rsid w:val="004F7473"/>
    <w:rsid w:val="004F7DC1"/>
    <w:rsid w:val="00500960"/>
    <w:rsid w:val="005009CD"/>
    <w:rsid w:val="00504E5F"/>
    <w:rsid w:val="0051265C"/>
    <w:rsid w:val="0051298C"/>
    <w:rsid w:val="00512FF3"/>
    <w:rsid w:val="0051337E"/>
    <w:rsid w:val="00513FA7"/>
    <w:rsid w:val="0051768F"/>
    <w:rsid w:val="00522DC2"/>
    <w:rsid w:val="00527612"/>
    <w:rsid w:val="00530128"/>
    <w:rsid w:val="00532467"/>
    <w:rsid w:val="00532502"/>
    <w:rsid w:val="005332A9"/>
    <w:rsid w:val="0053603C"/>
    <w:rsid w:val="00536A7E"/>
    <w:rsid w:val="00537871"/>
    <w:rsid w:val="00541E93"/>
    <w:rsid w:val="00542FE9"/>
    <w:rsid w:val="00544598"/>
    <w:rsid w:val="00544C8D"/>
    <w:rsid w:val="00544DFD"/>
    <w:rsid w:val="00556B1E"/>
    <w:rsid w:val="0056331C"/>
    <w:rsid w:val="00564A4D"/>
    <w:rsid w:val="0056598C"/>
    <w:rsid w:val="00566E0B"/>
    <w:rsid w:val="00567BA5"/>
    <w:rsid w:val="0057126E"/>
    <w:rsid w:val="005713FC"/>
    <w:rsid w:val="00571B35"/>
    <w:rsid w:val="00571B43"/>
    <w:rsid w:val="00571D57"/>
    <w:rsid w:val="00573A3B"/>
    <w:rsid w:val="00577716"/>
    <w:rsid w:val="00577968"/>
    <w:rsid w:val="00577A09"/>
    <w:rsid w:val="005829C2"/>
    <w:rsid w:val="00582B1B"/>
    <w:rsid w:val="00582B5C"/>
    <w:rsid w:val="00584D8F"/>
    <w:rsid w:val="00587A18"/>
    <w:rsid w:val="00587ADE"/>
    <w:rsid w:val="00593670"/>
    <w:rsid w:val="00593E1B"/>
    <w:rsid w:val="005A0BEC"/>
    <w:rsid w:val="005A404D"/>
    <w:rsid w:val="005A4331"/>
    <w:rsid w:val="005A43BC"/>
    <w:rsid w:val="005B1167"/>
    <w:rsid w:val="005B14F7"/>
    <w:rsid w:val="005B1E3C"/>
    <w:rsid w:val="005B559A"/>
    <w:rsid w:val="005B6518"/>
    <w:rsid w:val="005B704A"/>
    <w:rsid w:val="005B72D7"/>
    <w:rsid w:val="005B7E67"/>
    <w:rsid w:val="005C045F"/>
    <w:rsid w:val="005C16FE"/>
    <w:rsid w:val="005C1FAB"/>
    <w:rsid w:val="005C21A4"/>
    <w:rsid w:val="005C26CC"/>
    <w:rsid w:val="005C3301"/>
    <w:rsid w:val="005C4463"/>
    <w:rsid w:val="005D159E"/>
    <w:rsid w:val="005D25D7"/>
    <w:rsid w:val="005D3D88"/>
    <w:rsid w:val="005D4692"/>
    <w:rsid w:val="005D48C4"/>
    <w:rsid w:val="005D6208"/>
    <w:rsid w:val="005D6366"/>
    <w:rsid w:val="005D7BA2"/>
    <w:rsid w:val="005E0803"/>
    <w:rsid w:val="005E19AA"/>
    <w:rsid w:val="005E36C2"/>
    <w:rsid w:val="005E4AF4"/>
    <w:rsid w:val="005E68B9"/>
    <w:rsid w:val="005F387E"/>
    <w:rsid w:val="005F456B"/>
    <w:rsid w:val="005F47AB"/>
    <w:rsid w:val="005F73CF"/>
    <w:rsid w:val="0060016C"/>
    <w:rsid w:val="00600961"/>
    <w:rsid w:val="00601E0B"/>
    <w:rsid w:val="0060258B"/>
    <w:rsid w:val="0060396E"/>
    <w:rsid w:val="00610EF9"/>
    <w:rsid w:val="00611A26"/>
    <w:rsid w:val="00612280"/>
    <w:rsid w:val="00612F4F"/>
    <w:rsid w:val="00614EA0"/>
    <w:rsid w:val="00615C6B"/>
    <w:rsid w:val="00616B57"/>
    <w:rsid w:val="00617D4C"/>
    <w:rsid w:val="00620AF0"/>
    <w:rsid w:val="00621DB6"/>
    <w:rsid w:val="00621DCE"/>
    <w:rsid w:val="00621FC5"/>
    <w:rsid w:val="006248E4"/>
    <w:rsid w:val="00624F2C"/>
    <w:rsid w:val="00625545"/>
    <w:rsid w:val="0063027E"/>
    <w:rsid w:val="00632A9E"/>
    <w:rsid w:val="00632D6D"/>
    <w:rsid w:val="00636569"/>
    <w:rsid w:val="00636EF9"/>
    <w:rsid w:val="006425A4"/>
    <w:rsid w:val="00642C3E"/>
    <w:rsid w:val="00642CAE"/>
    <w:rsid w:val="00644A01"/>
    <w:rsid w:val="006450B4"/>
    <w:rsid w:val="00645B85"/>
    <w:rsid w:val="00651E2D"/>
    <w:rsid w:val="00652324"/>
    <w:rsid w:val="00655F3B"/>
    <w:rsid w:val="006577FB"/>
    <w:rsid w:val="0066104A"/>
    <w:rsid w:val="00662D8B"/>
    <w:rsid w:val="00663066"/>
    <w:rsid w:val="00663DAD"/>
    <w:rsid w:val="00664206"/>
    <w:rsid w:val="0066439D"/>
    <w:rsid w:val="006649E7"/>
    <w:rsid w:val="00666634"/>
    <w:rsid w:val="00667F65"/>
    <w:rsid w:val="00671692"/>
    <w:rsid w:val="00674D1B"/>
    <w:rsid w:val="00675E20"/>
    <w:rsid w:val="00676124"/>
    <w:rsid w:val="00676679"/>
    <w:rsid w:val="00683C89"/>
    <w:rsid w:val="00691B53"/>
    <w:rsid w:val="006928D4"/>
    <w:rsid w:val="00697D0B"/>
    <w:rsid w:val="006A12BA"/>
    <w:rsid w:val="006A41BD"/>
    <w:rsid w:val="006A4739"/>
    <w:rsid w:val="006A5439"/>
    <w:rsid w:val="006A5E37"/>
    <w:rsid w:val="006A66A1"/>
    <w:rsid w:val="006B032D"/>
    <w:rsid w:val="006B2395"/>
    <w:rsid w:val="006B240B"/>
    <w:rsid w:val="006B27B1"/>
    <w:rsid w:val="006B3A94"/>
    <w:rsid w:val="006B40AC"/>
    <w:rsid w:val="006B4CF9"/>
    <w:rsid w:val="006B7173"/>
    <w:rsid w:val="006B797C"/>
    <w:rsid w:val="006B7AC8"/>
    <w:rsid w:val="006C12DD"/>
    <w:rsid w:val="006C1736"/>
    <w:rsid w:val="006C329B"/>
    <w:rsid w:val="006C4152"/>
    <w:rsid w:val="006C6303"/>
    <w:rsid w:val="006D0655"/>
    <w:rsid w:val="006D1FC0"/>
    <w:rsid w:val="006D53B5"/>
    <w:rsid w:val="006D550F"/>
    <w:rsid w:val="006D6146"/>
    <w:rsid w:val="006D7F7E"/>
    <w:rsid w:val="006E04E2"/>
    <w:rsid w:val="006E0CFF"/>
    <w:rsid w:val="006E5107"/>
    <w:rsid w:val="006E63AF"/>
    <w:rsid w:val="006E6457"/>
    <w:rsid w:val="006E67FB"/>
    <w:rsid w:val="006F0D92"/>
    <w:rsid w:val="006F267D"/>
    <w:rsid w:val="006F56DF"/>
    <w:rsid w:val="0070011E"/>
    <w:rsid w:val="00701CAB"/>
    <w:rsid w:val="007023BB"/>
    <w:rsid w:val="00704DD7"/>
    <w:rsid w:val="00706092"/>
    <w:rsid w:val="00707563"/>
    <w:rsid w:val="00707A36"/>
    <w:rsid w:val="007101EF"/>
    <w:rsid w:val="00710EFE"/>
    <w:rsid w:val="00711371"/>
    <w:rsid w:val="00714B7A"/>
    <w:rsid w:val="00714D66"/>
    <w:rsid w:val="00714E19"/>
    <w:rsid w:val="00715F61"/>
    <w:rsid w:val="00717F60"/>
    <w:rsid w:val="00722132"/>
    <w:rsid w:val="007228F7"/>
    <w:rsid w:val="0072348C"/>
    <w:rsid w:val="00724A37"/>
    <w:rsid w:val="0072526F"/>
    <w:rsid w:val="007303C3"/>
    <w:rsid w:val="00731188"/>
    <w:rsid w:val="007325FA"/>
    <w:rsid w:val="00734DA1"/>
    <w:rsid w:val="007356CC"/>
    <w:rsid w:val="00735CCB"/>
    <w:rsid w:val="007368E6"/>
    <w:rsid w:val="007375DF"/>
    <w:rsid w:val="00737ACA"/>
    <w:rsid w:val="00740E75"/>
    <w:rsid w:val="007429BE"/>
    <w:rsid w:val="00743223"/>
    <w:rsid w:val="00743349"/>
    <w:rsid w:val="0074403A"/>
    <w:rsid w:val="00744EBD"/>
    <w:rsid w:val="00746080"/>
    <w:rsid w:val="00746E01"/>
    <w:rsid w:val="007476D0"/>
    <w:rsid w:val="00751552"/>
    <w:rsid w:val="00751DCD"/>
    <w:rsid w:val="00754143"/>
    <w:rsid w:val="00755084"/>
    <w:rsid w:val="007568EE"/>
    <w:rsid w:val="00756912"/>
    <w:rsid w:val="00757364"/>
    <w:rsid w:val="00757A77"/>
    <w:rsid w:val="00757BDF"/>
    <w:rsid w:val="007609D0"/>
    <w:rsid w:val="00761454"/>
    <w:rsid w:val="0076193D"/>
    <w:rsid w:val="00763E5D"/>
    <w:rsid w:val="007659E0"/>
    <w:rsid w:val="00767740"/>
    <w:rsid w:val="00767B5E"/>
    <w:rsid w:val="00767CBF"/>
    <w:rsid w:val="00770064"/>
    <w:rsid w:val="00770C8A"/>
    <w:rsid w:val="00773DDB"/>
    <w:rsid w:val="00775460"/>
    <w:rsid w:val="00775DBD"/>
    <w:rsid w:val="00776EE2"/>
    <w:rsid w:val="00777EE6"/>
    <w:rsid w:val="00782EEA"/>
    <w:rsid w:val="0078500D"/>
    <w:rsid w:val="00786CA4"/>
    <w:rsid w:val="007909B4"/>
    <w:rsid w:val="00790E86"/>
    <w:rsid w:val="007949D7"/>
    <w:rsid w:val="007975E2"/>
    <w:rsid w:val="0079769A"/>
    <w:rsid w:val="00797D9A"/>
    <w:rsid w:val="007A0143"/>
    <w:rsid w:val="007A1E1C"/>
    <w:rsid w:val="007A34C2"/>
    <w:rsid w:val="007A396C"/>
    <w:rsid w:val="007A4B02"/>
    <w:rsid w:val="007B0BE3"/>
    <w:rsid w:val="007B1816"/>
    <w:rsid w:val="007B185C"/>
    <w:rsid w:val="007B186E"/>
    <w:rsid w:val="007B1E62"/>
    <w:rsid w:val="007B25DC"/>
    <w:rsid w:val="007B2C72"/>
    <w:rsid w:val="007B3789"/>
    <w:rsid w:val="007B5A18"/>
    <w:rsid w:val="007B651F"/>
    <w:rsid w:val="007B6CFB"/>
    <w:rsid w:val="007B7BB5"/>
    <w:rsid w:val="007C1C53"/>
    <w:rsid w:val="007C284C"/>
    <w:rsid w:val="007C4B82"/>
    <w:rsid w:val="007C74BB"/>
    <w:rsid w:val="007C7F64"/>
    <w:rsid w:val="007D0A95"/>
    <w:rsid w:val="007D0EB5"/>
    <w:rsid w:val="007D456E"/>
    <w:rsid w:val="007D5837"/>
    <w:rsid w:val="007D7AB7"/>
    <w:rsid w:val="007E3984"/>
    <w:rsid w:val="007E4904"/>
    <w:rsid w:val="007E4CB5"/>
    <w:rsid w:val="007E4DAE"/>
    <w:rsid w:val="007E5D88"/>
    <w:rsid w:val="007E64DF"/>
    <w:rsid w:val="007F066B"/>
    <w:rsid w:val="007F2527"/>
    <w:rsid w:val="007F3852"/>
    <w:rsid w:val="007F4EAB"/>
    <w:rsid w:val="007F5B16"/>
    <w:rsid w:val="007F7C9D"/>
    <w:rsid w:val="00801F2A"/>
    <w:rsid w:val="008033C4"/>
    <w:rsid w:val="00806731"/>
    <w:rsid w:val="00806C88"/>
    <w:rsid w:val="0081034E"/>
    <w:rsid w:val="00810806"/>
    <w:rsid w:val="008157DC"/>
    <w:rsid w:val="00815882"/>
    <w:rsid w:val="00820454"/>
    <w:rsid w:val="00822076"/>
    <w:rsid w:val="00822AC7"/>
    <w:rsid w:val="00822E86"/>
    <w:rsid w:val="00824891"/>
    <w:rsid w:val="0082574E"/>
    <w:rsid w:val="008310AC"/>
    <w:rsid w:val="00833772"/>
    <w:rsid w:val="008344F6"/>
    <w:rsid w:val="0083510F"/>
    <w:rsid w:val="008379B1"/>
    <w:rsid w:val="00837BF3"/>
    <w:rsid w:val="00840EAF"/>
    <w:rsid w:val="008415DE"/>
    <w:rsid w:val="008420DE"/>
    <w:rsid w:val="00845865"/>
    <w:rsid w:val="00847642"/>
    <w:rsid w:val="0084799B"/>
    <w:rsid w:val="00850C90"/>
    <w:rsid w:val="00851209"/>
    <w:rsid w:val="0085171F"/>
    <w:rsid w:val="00852367"/>
    <w:rsid w:val="00856A10"/>
    <w:rsid w:val="00861BBE"/>
    <w:rsid w:val="008658A1"/>
    <w:rsid w:val="0086716A"/>
    <w:rsid w:val="00870613"/>
    <w:rsid w:val="00871857"/>
    <w:rsid w:val="0087380F"/>
    <w:rsid w:val="0087648F"/>
    <w:rsid w:val="00876612"/>
    <w:rsid w:val="0087718C"/>
    <w:rsid w:val="00882BB1"/>
    <w:rsid w:val="008837AC"/>
    <w:rsid w:val="008909DC"/>
    <w:rsid w:val="00892EC0"/>
    <w:rsid w:val="00894255"/>
    <w:rsid w:val="008945AD"/>
    <w:rsid w:val="00896D92"/>
    <w:rsid w:val="008A0645"/>
    <w:rsid w:val="008A1C02"/>
    <w:rsid w:val="008A36FB"/>
    <w:rsid w:val="008A370D"/>
    <w:rsid w:val="008A587D"/>
    <w:rsid w:val="008B1646"/>
    <w:rsid w:val="008B16B0"/>
    <w:rsid w:val="008B1739"/>
    <w:rsid w:val="008B17B6"/>
    <w:rsid w:val="008B1BD5"/>
    <w:rsid w:val="008B2E74"/>
    <w:rsid w:val="008B347D"/>
    <w:rsid w:val="008B35CD"/>
    <w:rsid w:val="008B4093"/>
    <w:rsid w:val="008B4908"/>
    <w:rsid w:val="008B5FCC"/>
    <w:rsid w:val="008B6A2F"/>
    <w:rsid w:val="008B6B1E"/>
    <w:rsid w:val="008B7F36"/>
    <w:rsid w:val="008C25A1"/>
    <w:rsid w:val="008C357F"/>
    <w:rsid w:val="008C3B91"/>
    <w:rsid w:val="008C5486"/>
    <w:rsid w:val="008D0342"/>
    <w:rsid w:val="008D1661"/>
    <w:rsid w:val="008D27E0"/>
    <w:rsid w:val="008D29CC"/>
    <w:rsid w:val="008D40D4"/>
    <w:rsid w:val="008D5F90"/>
    <w:rsid w:val="008D6800"/>
    <w:rsid w:val="008D72F1"/>
    <w:rsid w:val="008E1691"/>
    <w:rsid w:val="008E4089"/>
    <w:rsid w:val="008E5AFF"/>
    <w:rsid w:val="008E7031"/>
    <w:rsid w:val="008E77DE"/>
    <w:rsid w:val="008F040C"/>
    <w:rsid w:val="008F07A3"/>
    <w:rsid w:val="008F3322"/>
    <w:rsid w:val="008F3519"/>
    <w:rsid w:val="008F3A0D"/>
    <w:rsid w:val="008F6A2B"/>
    <w:rsid w:val="008F71DA"/>
    <w:rsid w:val="008F78AD"/>
    <w:rsid w:val="009001B6"/>
    <w:rsid w:val="00900E1B"/>
    <w:rsid w:val="00901253"/>
    <w:rsid w:val="0090131F"/>
    <w:rsid w:val="00901628"/>
    <w:rsid w:val="00901F19"/>
    <w:rsid w:val="00904C42"/>
    <w:rsid w:val="00907683"/>
    <w:rsid w:val="009132B7"/>
    <w:rsid w:val="00916A2C"/>
    <w:rsid w:val="00916FFA"/>
    <w:rsid w:val="00917B88"/>
    <w:rsid w:val="00917D54"/>
    <w:rsid w:val="009221B7"/>
    <w:rsid w:val="009233EE"/>
    <w:rsid w:val="00930B1A"/>
    <w:rsid w:val="00932612"/>
    <w:rsid w:val="009327DC"/>
    <w:rsid w:val="009338D9"/>
    <w:rsid w:val="009339BD"/>
    <w:rsid w:val="009356CF"/>
    <w:rsid w:val="00937061"/>
    <w:rsid w:val="00945E53"/>
    <w:rsid w:val="009460AA"/>
    <w:rsid w:val="00946CBE"/>
    <w:rsid w:val="00947658"/>
    <w:rsid w:val="00951978"/>
    <w:rsid w:val="00952C8B"/>
    <w:rsid w:val="00954D8B"/>
    <w:rsid w:val="0095771D"/>
    <w:rsid w:val="00957F72"/>
    <w:rsid w:val="00961A4A"/>
    <w:rsid w:val="0096332C"/>
    <w:rsid w:val="0096569A"/>
    <w:rsid w:val="009656D4"/>
    <w:rsid w:val="009661DE"/>
    <w:rsid w:val="00972C7C"/>
    <w:rsid w:val="00973390"/>
    <w:rsid w:val="0097445E"/>
    <w:rsid w:val="009773FF"/>
    <w:rsid w:val="009776F4"/>
    <w:rsid w:val="00977992"/>
    <w:rsid w:val="00981881"/>
    <w:rsid w:val="00982DA2"/>
    <w:rsid w:val="00983A6B"/>
    <w:rsid w:val="00983C25"/>
    <w:rsid w:val="0098466D"/>
    <w:rsid w:val="009856B7"/>
    <w:rsid w:val="009859D6"/>
    <w:rsid w:val="00985C86"/>
    <w:rsid w:val="0098673F"/>
    <w:rsid w:val="0098729B"/>
    <w:rsid w:val="009919EC"/>
    <w:rsid w:val="00994C5A"/>
    <w:rsid w:val="009973D3"/>
    <w:rsid w:val="009A410D"/>
    <w:rsid w:val="009A5FC3"/>
    <w:rsid w:val="009A7DCC"/>
    <w:rsid w:val="009B274C"/>
    <w:rsid w:val="009B27D3"/>
    <w:rsid w:val="009B2B89"/>
    <w:rsid w:val="009B6F84"/>
    <w:rsid w:val="009B74B0"/>
    <w:rsid w:val="009C0152"/>
    <w:rsid w:val="009C1A74"/>
    <w:rsid w:val="009C3959"/>
    <w:rsid w:val="009C3D42"/>
    <w:rsid w:val="009C491E"/>
    <w:rsid w:val="009D0DF1"/>
    <w:rsid w:val="009D124B"/>
    <w:rsid w:val="009D22D6"/>
    <w:rsid w:val="009D2C84"/>
    <w:rsid w:val="009D3906"/>
    <w:rsid w:val="009D5579"/>
    <w:rsid w:val="009D5E35"/>
    <w:rsid w:val="009D6B46"/>
    <w:rsid w:val="009E35B6"/>
    <w:rsid w:val="009E44FB"/>
    <w:rsid w:val="009E5ABC"/>
    <w:rsid w:val="009F3BBA"/>
    <w:rsid w:val="009F43B4"/>
    <w:rsid w:val="009F4940"/>
    <w:rsid w:val="009F5BA1"/>
    <w:rsid w:val="009F773C"/>
    <w:rsid w:val="009F7FCF"/>
    <w:rsid w:val="00A00C78"/>
    <w:rsid w:val="00A017E5"/>
    <w:rsid w:val="00A01926"/>
    <w:rsid w:val="00A02A88"/>
    <w:rsid w:val="00A04012"/>
    <w:rsid w:val="00A046FA"/>
    <w:rsid w:val="00A0562E"/>
    <w:rsid w:val="00A0726D"/>
    <w:rsid w:val="00A073AE"/>
    <w:rsid w:val="00A11A31"/>
    <w:rsid w:val="00A12204"/>
    <w:rsid w:val="00A12669"/>
    <w:rsid w:val="00A12750"/>
    <w:rsid w:val="00A13CB0"/>
    <w:rsid w:val="00A1561F"/>
    <w:rsid w:val="00A16544"/>
    <w:rsid w:val="00A1688A"/>
    <w:rsid w:val="00A16F7A"/>
    <w:rsid w:val="00A244EB"/>
    <w:rsid w:val="00A26A17"/>
    <w:rsid w:val="00A307B2"/>
    <w:rsid w:val="00A30BF5"/>
    <w:rsid w:val="00A31BE6"/>
    <w:rsid w:val="00A32795"/>
    <w:rsid w:val="00A32B37"/>
    <w:rsid w:val="00A32FBB"/>
    <w:rsid w:val="00A34119"/>
    <w:rsid w:val="00A35F83"/>
    <w:rsid w:val="00A36488"/>
    <w:rsid w:val="00A40068"/>
    <w:rsid w:val="00A40BE9"/>
    <w:rsid w:val="00A428EE"/>
    <w:rsid w:val="00A43184"/>
    <w:rsid w:val="00A443C2"/>
    <w:rsid w:val="00A4478A"/>
    <w:rsid w:val="00A44852"/>
    <w:rsid w:val="00A46692"/>
    <w:rsid w:val="00A50502"/>
    <w:rsid w:val="00A5087B"/>
    <w:rsid w:val="00A51479"/>
    <w:rsid w:val="00A51BC8"/>
    <w:rsid w:val="00A53409"/>
    <w:rsid w:val="00A53796"/>
    <w:rsid w:val="00A53848"/>
    <w:rsid w:val="00A55752"/>
    <w:rsid w:val="00A55A0E"/>
    <w:rsid w:val="00A56945"/>
    <w:rsid w:val="00A56A6E"/>
    <w:rsid w:val="00A57D04"/>
    <w:rsid w:val="00A60A26"/>
    <w:rsid w:val="00A61598"/>
    <w:rsid w:val="00A61777"/>
    <w:rsid w:val="00A634DF"/>
    <w:rsid w:val="00A63646"/>
    <w:rsid w:val="00A63914"/>
    <w:rsid w:val="00A65C8D"/>
    <w:rsid w:val="00A71F9B"/>
    <w:rsid w:val="00A73F29"/>
    <w:rsid w:val="00A7535B"/>
    <w:rsid w:val="00A75900"/>
    <w:rsid w:val="00A761F0"/>
    <w:rsid w:val="00A767A1"/>
    <w:rsid w:val="00A81414"/>
    <w:rsid w:val="00A84A99"/>
    <w:rsid w:val="00A84F46"/>
    <w:rsid w:val="00A85A23"/>
    <w:rsid w:val="00A85E87"/>
    <w:rsid w:val="00A8645C"/>
    <w:rsid w:val="00A86AEA"/>
    <w:rsid w:val="00A871F4"/>
    <w:rsid w:val="00A937BC"/>
    <w:rsid w:val="00A9431A"/>
    <w:rsid w:val="00A94CD8"/>
    <w:rsid w:val="00A95988"/>
    <w:rsid w:val="00A959DF"/>
    <w:rsid w:val="00A97A1B"/>
    <w:rsid w:val="00AA0CF8"/>
    <w:rsid w:val="00AA11BB"/>
    <w:rsid w:val="00AA200A"/>
    <w:rsid w:val="00AA2927"/>
    <w:rsid w:val="00AA31CC"/>
    <w:rsid w:val="00AA4573"/>
    <w:rsid w:val="00AA5678"/>
    <w:rsid w:val="00AA6B51"/>
    <w:rsid w:val="00AA7177"/>
    <w:rsid w:val="00AB2CB8"/>
    <w:rsid w:val="00AB4617"/>
    <w:rsid w:val="00AC1B2C"/>
    <w:rsid w:val="00AC3264"/>
    <w:rsid w:val="00AC46AD"/>
    <w:rsid w:val="00AC4D2D"/>
    <w:rsid w:val="00AC58EC"/>
    <w:rsid w:val="00AC7282"/>
    <w:rsid w:val="00AC7961"/>
    <w:rsid w:val="00AD062C"/>
    <w:rsid w:val="00AD314E"/>
    <w:rsid w:val="00AD3C8F"/>
    <w:rsid w:val="00AD5FCD"/>
    <w:rsid w:val="00AD64BE"/>
    <w:rsid w:val="00AD6B48"/>
    <w:rsid w:val="00AD7A3A"/>
    <w:rsid w:val="00AD7EBE"/>
    <w:rsid w:val="00AE1BF1"/>
    <w:rsid w:val="00AE23AB"/>
    <w:rsid w:val="00AE426D"/>
    <w:rsid w:val="00AE4ED4"/>
    <w:rsid w:val="00AE58FB"/>
    <w:rsid w:val="00AE5AF0"/>
    <w:rsid w:val="00AE663D"/>
    <w:rsid w:val="00AE73B3"/>
    <w:rsid w:val="00AE75B4"/>
    <w:rsid w:val="00AF07E7"/>
    <w:rsid w:val="00AF0DD2"/>
    <w:rsid w:val="00AF1FD6"/>
    <w:rsid w:val="00AF31E1"/>
    <w:rsid w:val="00AF3BBA"/>
    <w:rsid w:val="00AF4231"/>
    <w:rsid w:val="00AF5355"/>
    <w:rsid w:val="00B00B0E"/>
    <w:rsid w:val="00B00B26"/>
    <w:rsid w:val="00B02385"/>
    <w:rsid w:val="00B02F9D"/>
    <w:rsid w:val="00B046CF"/>
    <w:rsid w:val="00B05766"/>
    <w:rsid w:val="00B12183"/>
    <w:rsid w:val="00B13048"/>
    <w:rsid w:val="00B13883"/>
    <w:rsid w:val="00B1716D"/>
    <w:rsid w:val="00B17A1D"/>
    <w:rsid w:val="00B202C8"/>
    <w:rsid w:val="00B20337"/>
    <w:rsid w:val="00B207A0"/>
    <w:rsid w:val="00B21C21"/>
    <w:rsid w:val="00B22F54"/>
    <w:rsid w:val="00B23B29"/>
    <w:rsid w:val="00B24A7E"/>
    <w:rsid w:val="00B25C0C"/>
    <w:rsid w:val="00B304B5"/>
    <w:rsid w:val="00B308A9"/>
    <w:rsid w:val="00B31047"/>
    <w:rsid w:val="00B3224F"/>
    <w:rsid w:val="00B33148"/>
    <w:rsid w:val="00B3428F"/>
    <w:rsid w:val="00B350EC"/>
    <w:rsid w:val="00B35CDF"/>
    <w:rsid w:val="00B403C2"/>
    <w:rsid w:val="00B405A1"/>
    <w:rsid w:val="00B42E41"/>
    <w:rsid w:val="00B4438A"/>
    <w:rsid w:val="00B45AA2"/>
    <w:rsid w:val="00B468F7"/>
    <w:rsid w:val="00B479CA"/>
    <w:rsid w:val="00B5084F"/>
    <w:rsid w:val="00B514DD"/>
    <w:rsid w:val="00B52AF0"/>
    <w:rsid w:val="00B53D5F"/>
    <w:rsid w:val="00B54051"/>
    <w:rsid w:val="00B561BD"/>
    <w:rsid w:val="00B56E03"/>
    <w:rsid w:val="00B60CDB"/>
    <w:rsid w:val="00B61CFD"/>
    <w:rsid w:val="00B62765"/>
    <w:rsid w:val="00B65DF5"/>
    <w:rsid w:val="00B7679F"/>
    <w:rsid w:val="00B77159"/>
    <w:rsid w:val="00B8080B"/>
    <w:rsid w:val="00B82223"/>
    <w:rsid w:val="00B87BA5"/>
    <w:rsid w:val="00B87C39"/>
    <w:rsid w:val="00B93891"/>
    <w:rsid w:val="00B9562D"/>
    <w:rsid w:val="00B959BC"/>
    <w:rsid w:val="00B96278"/>
    <w:rsid w:val="00B97CF8"/>
    <w:rsid w:val="00BA21DA"/>
    <w:rsid w:val="00BA251D"/>
    <w:rsid w:val="00BA2B60"/>
    <w:rsid w:val="00BA3773"/>
    <w:rsid w:val="00BA3C93"/>
    <w:rsid w:val="00BA4665"/>
    <w:rsid w:val="00BA56F1"/>
    <w:rsid w:val="00BA637A"/>
    <w:rsid w:val="00BA7FD7"/>
    <w:rsid w:val="00BB1681"/>
    <w:rsid w:val="00BB2240"/>
    <w:rsid w:val="00BB2FB2"/>
    <w:rsid w:val="00BB3304"/>
    <w:rsid w:val="00BB6551"/>
    <w:rsid w:val="00BC2AC1"/>
    <w:rsid w:val="00BC4A10"/>
    <w:rsid w:val="00BD30F4"/>
    <w:rsid w:val="00BD3446"/>
    <w:rsid w:val="00BD395C"/>
    <w:rsid w:val="00BD59CF"/>
    <w:rsid w:val="00BE1312"/>
    <w:rsid w:val="00BE1760"/>
    <w:rsid w:val="00BE1F1B"/>
    <w:rsid w:val="00BE3F89"/>
    <w:rsid w:val="00BE47B5"/>
    <w:rsid w:val="00BE4B22"/>
    <w:rsid w:val="00BE5DFC"/>
    <w:rsid w:val="00BE5FCE"/>
    <w:rsid w:val="00BE7268"/>
    <w:rsid w:val="00BF19C1"/>
    <w:rsid w:val="00BF7AD2"/>
    <w:rsid w:val="00C0079E"/>
    <w:rsid w:val="00C0246F"/>
    <w:rsid w:val="00C02AC7"/>
    <w:rsid w:val="00C0314E"/>
    <w:rsid w:val="00C0572A"/>
    <w:rsid w:val="00C060AF"/>
    <w:rsid w:val="00C10675"/>
    <w:rsid w:val="00C11B20"/>
    <w:rsid w:val="00C13EBD"/>
    <w:rsid w:val="00C1631B"/>
    <w:rsid w:val="00C163AB"/>
    <w:rsid w:val="00C16AFB"/>
    <w:rsid w:val="00C170F0"/>
    <w:rsid w:val="00C17CD3"/>
    <w:rsid w:val="00C240C0"/>
    <w:rsid w:val="00C25962"/>
    <w:rsid w:val="00C25FA6"/>
    <w:rsid w:val="00C3099D"/>
    <w:rsid w:val="00C33011"/>
    <w:rsid w:val="00C336CF"/>
    <w:rsid w:val="00C343A2"/>
    <w:rsid w:val="00C362C1"/>
    <w:rsid w:val="00C418DB"/>
    <w:rsid w:val="00C41950"/>
    <w:rsid w:val="00C42C3B"/>
    <w:rsid w:val="00C43831"/>
    <w:rsid w:val="00C452C8"/>
    <w:rsid w:val="00C51672"/>
    <w:rsid w:val="00C51A30"/>
    <w:rsid w:val="00C538A9"/>
    <w:rsid w:val="00C53B5A"/>
    <w:rsid w:val="00C53CB4"/>
    <w:rsid w:val="00C53E41"/>
    <w:rsid w:val="00C54909"/>
    <w:rsid w:val="00C54AF3"/>
    <w:rsid w:val="00C54F5A"/>
    <w:rsid w:val="00C55628"/>
    <w:rsid w:val="00C569B4"/>
    <w:rsid w:val="00C5752D"/>
    <w:rsid w:val="00C57DDE"/>
    <w:rsid w:val="00C61468"/>
    <w:rsid w:val="00C61A97"/>
    <w:rsid w:val="00C61E44"/>
    <w:rsid w:val="00C645A8"/>
    <w:rsid w:val="00C64FF3"/>
    <w:rsid w:val="00C65783"/>
    <w:rsid w:val="00C662AD"/>
    <w:rsid w:val="00C666BF"/>
    <w:rsid w:val="00C66D01"/>
    <w:rsid w:val="00C67A92"/>
    <w:rsid w:val="00C67B23"/>
    <w:rsid w:val="00C71280"/>
    <w:rsid w:val="00C717BF"/>
    <w:rsid w:val="00C73590"/>
    <w:rsid w:val="00C75E3E"/>
    <w:rsid w:val="00C76178"/>
    <w:rsid w:val="00C8019A"/>
    <w:rsid w:val="00C84560"/>
    <w:rsid w:val="00C86679"/>
    <w:rsid w:val="00C8792F"/>
    <w:rsid w:val="00C90472"/>
    <w:rsid w:val="00C91D6E"/>
    <w:rsid w:val="00C93556"/>
    <w:rsid w:val="00CA1703"/>
    <w:rsid w:val="00CA1EBD"/>
    <w:rsid w:val="00CA3064"/>
    <w:rsid w:val="00CA433E"/>
    <w:rsid w:val="00CA489E"/>
    <w:rsid w:val="00CB0279"/>
    <w:rsid w:val="00CB0DC1"/>
    <w:rsid w:val="00CB381A"/>
    <w:rsid w:val="00CB580A"/>
    <w:rsid w:val="00CB666B"/>
    <w:rsid w:val="00CB734B"/>
    <w:rsid w:val="00CC053F"/>
    <w:rsid w:val="00CC058C"/>
    <w:rsid w:val="00CC0E1A"/>
    <w:rsid w:val="00CC41B6"/>
    <w:rsid w:val="00CC7ADA"/>
    <w:rsid w:val="00CC7F1D"/>
    <w:rsid w:val="00CC7F68"/>
    <w:rsid w:val="00CD0A88"/>
    <w:rsid w:val="00CD125D"/>
    <w:rsid w:val="00CD283C"/>
    <w:rsid w:val="00CD3641"/>
    <w:rsid w:val="00CD66EA"/>
    <w:rsid w:val="00CD7432"/>
    <w:rsid w:val="00CD7725"/>
    <w:rsid w:val="00CE0FA5"/>
    <w:rsid w:val="00CE2A23"/>
    <w:rsid w:val="00CE31C8"/>
    <w:rsid w:val="00CE371D"/>
    <w:rsid w:val="00CE484B"/>
    <w:rsid w:val="00CE6C95"/>
    <w:rsid w:val="00CE7CBA"/>
    <w:rsid w:val="00CF0DEE"/>
    <w:rsid w:val="00CF42AA"/>
    <w:rsid w:val="00CF5EAA"/>
    <w:rsid w:val="00CF6AE3"/>
    <w:rsid w:val="00CF721B"/>
    <w:rsid w:val="00CF77BB"/>
    <w:rsid w:val="00D006AE"/>
    <w:rsid w:val="00D00905"/>
    <w:rsid w:val="00D010C1"/>
    <w:rsid w:val="00D01CF0"/>
    <w:rsid w:val="00D02D67"/>
    <w:rsid w:val="00D0442A"/>
    <w:rsid w:val="00D12A7B"/>
    <w:rsid w:val="00D12ADB"/>
    <w:rsid w:val="00D15E63"/>
    <w:rsid w:val="00D1741A"/>
    <w:rsid w:val="00D214AC"/>
    <w:rsid w:val="00D22D3E"/>
    <w:rsid w:val="00D23E5D"/>
    <w:rsid w:val="00D25A39"/>
    <w:rsid w:val="00D27CFA"/>
    <w:rsid w:val="00D308D7"/>
    <w:rsid w:val="00D310FA"/>
    <w:rsid w:val="00D325C6"/>
    <w:rsid w:val="00D35D7F"/>
    <w:rsid w:val="00D37213"/>
    <w:rsid w:val="00D372FD"/>
    <w:rsid w:val="00D4360D"/>
    <w:rsid w:val="00D447E9"/>
    <w:rsid w:val="00D465FB"/>
    <w:rsid w:val="00D46841"/>
    <w:rsid w:val="00D47E1C"/>
    <w:rsid w:val="00D52778"/>
    <w:rsid w:val="00D52A19"/>
    <w:rsid w:val="00D5359A"/>
    <w:rsid w:val="00D5607F"/>
    <w:rsid w:val="00D56FA2"/>
    <w:rsid w:val="00D608B1"/>
    <w:rsid w:val="00D61388"/>
    <w:rsid w:val="00D61A54"/>
    <w:rsid w:val="00D62108"/>
    <w:rsid w:val="00D62839"/>
    <w:rsid w:val="00D63141"/>
    <w:rsid w:val="00D64976"/>
    <w:rsid w:val="00D64AA4"/>
    <w:rsid w:val="00D64DEA"/>
    <w:rsid w:val="00D64F84"/>
    <w:rsid w:val="00D663CD"/>
    <w:rsid w:val="00D6726A"/>
    <w:rsid w:val="00D675B4"/>
    <w:rsid w:val="00D67BF2"/>
    <w:rsid w:val="00D7001B"/>
    <w:rsid w:val="00D70495"/>
    <w:rsid w:val="00D7160D"/>
    <w:rsid w:val="00D7168E"/>
    <w:rsid w:val="00D71C85"/>
    <w:rsid w:val="00D71E57"/>
    <w:rsid w:val="00D72264"/>
    <w:rsid w:val="00D72D27"/>
    <w:rsid w:val="00D731B4"/>
    <w:rsid w:val="00D7786B"/>
    <w:rsid w:val="00D80893"/>
    <w:rsid w:val="00D80D91"/>
    <w:rsid w:val="00D817D4"/>
    <w:rsid w:val="00D82519"/>
    <w:rsid w:val="00D84854"/>
    <w:rsid w:val="00D85B64"/>
    <w:rsid w:val="00D924AE"/>
    <w:rsid w:val="00D92CF1"/>
    <w:rsid w:val="00D92D38"/>
    <w:rsid w:val="00D9309B"/>
    <w:rsid w:val="00D950F5"/>
    <w:rsid w:val="00D9516A"/>
    <w:rsid w:val="00D97379"/>
    <w:rsid w:val="00DA2578"/>
    <w:rsid w:val="00DA4752"/>
    <w:rsid w:val="00DA4C09"/>
    <w:rsid w:val="00DA61F3"/>
    <w:rsid w:val="00DA7CB3"/>
    <w:rsid w:val="00DB0D00"/>
    <w:rsid w:val="00DB0F93"/>
    <w:rsid w:val="00DB1A67"/>
    <w:rsid w:val="00DB3721"/>
    <w:rsid w:val="00DB4E34"/>
    <w:rsid w:val="00DB5074"/>
    <w:rsid w:val="00DB58C6"/>
    <w:rsid w:val="00DC0281"/>
    <w:rsid w:val="00DC1930"/>
    <w:rsid w:val="00DC1C2E"/>
    <w:rsid w:val="00DC1C76"/>
    <w:rsid w:val="00DC2EAB"/>
    <w:rsid w:val="00DC4DBF"/>
    <w:rsid w:val="00DC4E19"/>
    <w:rsid w:val="00DC65FE"/>
    <w:rsid w:val="00DC6A1C"/>
    <w:rsid w:val="00DC702C"/>
    <w:rsid w:val="00DC7981"/>
    <w:rsid w:val="00DD014F"/>
    <w:rsid w:val="00DD0A54"/>
    <w:rsid w:val="00DD20EF"/>
    <w:rsid w:val="00DD4C07"/>
    <w:rsid w:val="00DD577D"/>
    <w:rsid w:val="00DD5ADC"/>
    <w:rsid w:val="00DE1093"/>
    <w:rsid w:val="00DE257A"/>
    <w:rsid w:val="00DE4EFA"/>
    <w:rsid w:val="00DE5520"/>
    <w:rsid w:val="00DE563D"/>
    <w:rsid w:val="00DE7AB5"/>
    <w:rsid w:val="00DF0152"/>
    <w:rsid w:val="00DF1958"/>
    <w:rsid w:val="00DF204E"/>
    <w:rsid w:val="00DF2C6C"/>
    <w:rsid w:val="00DF548E"/>
    <w:rsid w:val="00E04818"/>
    <w:rsid w:val="00E06442"/>
    <w:rsid w:val="00E06952"/>
    <w:rsid w:val="00E11E61"/>
    <w:rsid w:val="00E157B2"/>
    <w:rsid w:val="00E16055"/>
    <w:rsid w:val="00E2332D"/>
    <w:rsid w:val="00E23993"/>
    <w:rsid w:val="00E2574F"/>
    <w:rsid w:val="00E25951"/>
    <w:rsid w:val="00E25A8C"/>
    <w:rsid w:val="00E25B8C"/>
    <w:rsid w:val="00E25EAC"/>
    <w:rsid w:val="00E2727B"/>
    <w:rsid w:val="00E305E8"/>
    <w:rsid w:val="00E30BB4"/>
    <w:rsid w:val="00E31559"/>
    <w:rsid w:val="00E31CF6"/>
    <w:rsid w:val="00E329B7"/>
    <w:rsid w:val="00E3481D"/>
    <w:rsid w:val="00E34A4A"/>
    <w:rsid w:val="00E35AFC"/>
    <w:rsid w:val="00E41D39"/>
    <w:rsid w:val="00E44852"/>
    <w:rsid w:val="00E50A02"/>
    <w:rsid w:val="00E53C45"/>
    <w:rsid w:val="00E54106"/>
    <w:rsid w:val="00E54697"/>
    <w:rsid w:val="00E55AA4"/>
    <w:rsid w:val="00E57A08"/>
    <w:rsid w:val="00E63631"/>
    <w:rsid w:val="00E64C2A"/>
    <w:rsid w:val="00E65C85"/>
    <w:rsid w:val="00E66199"/>
    <w:rsid w:val="00E6687E"/>
    <w:rsid w:val="00E679CE"/>
    <w:rsid w:val="00E70526"/>
    <w:rsid w:val="00E7144C"/>
    <w:rsid w:val="00E754B4"/>
    <w:rsid w:val="00E755EC"/>
    <w:rsid w:val="00E7624D"/>
    <w:rsid w:val="00E76D75"/>
    <w:rsid w:val="00E81724"/>
    <w:rsid w:val="00E819A4"/>
    <w:rsid w:val="00E833FA"/>
    <w:rsid w:val="00E84B74"/>
    <w:rsid w:val="00E84F1A"/>
    <w:rsid w:val="00E85E6C"/>
    <w:rsid w:val="00E86380"/>
    <w:rsid w:val="00E87066"/>
    <w:rsid w:val="00E87C56"/>
    <w:rsid w:val="00E9102F"/>
    <w:rsid w:val="00E961DA"/>
    <w:rsid w:val="00E966BF"/>
    <w:rsid w:val="00EA0B6D"/>
    <w:rsid w:val="00EA0C04"/>
    <w:rsid w:val="00EA3D42"/>
    <w:rsid w:val="00EA44EB"/>
    <w:rsid w:val="00EA6B1B"/>
    <w:rsid w:val="00EB11DF"/>
    <w:rsid w:val="00EB1CBD"/>
    <w:rsid w:val="00EB3A34"/>
    <w:rsid w:val="00EB3C3F"/>
    <w:rsid w:val="00EB499F"/>
    <w:rsid w:val="00EB5A9C"/>
    <w:rsid w:val="00EB660C"/>
    <w:rsid w:val="00EC04F1"/>
    <w:rsid w:val="00EC237F"/>
    <w:rsid w:val="00EC5029"/>
    <w:rsid w:val="00EC573A"/>
    <w:rsid w:val="00EC7862"/>
    <w:rsid w:val="00ED2DEB"/>
    <w:rsid w:val="00ED2E14"/>
    <w:rsid w:val="00ED35C8"/>
    <w:rsid w:val="00ED3968"/>
    <w:rsid w:val="00ED674A"/>
    <w:rsid w:val="00ED7323"/>
    <w:rsid w:val="00ED77EC"/>
    <w:rsid w:val="00EE28F3"/>
    <w:rsid w:val="00EE3204"/>
    <w:rsid w:val="00EE50D1"/>
    <w:rsid w:val="00EE60AB"/>
    <w:rsid w:val="00EE7614"/>
    <w:rsid w:val="00EE76B7"/>
    <w:rsid w:val="00EF5110"/>
    <w:rsid w:val="00EF5890"/>
    <w:rsid w:val="00EF76BA"/>
    <w:rsid w:val="00F0220C"/>
    <w:rsid w:val="00F0231A"/>
    <w:rsid w:val="00F03463"/>
    <w:rsid w:val="00F036B7"/>
    <w:rsid w:val="00F0700F"/>
    <w:rsid w:val="00F07F1F"/>
    <w:rsid w:val="00F10411"/>
    <w:rsid w:val="00F10A7D"/>
    <w:rsid w:val="00F10A9A"/>
    <w:rsid w:val="00F11B2D"/>
    <w:rsid w:val="00F11FB3"/>
    <w:rsid w:val="00F121C2"/>
    <w:rsid w:val="00F1485B"/>
    <w:rsid w:val="00F15882"/>
    <w:rsid w:val="00F170C7"/>
    <w:rsid w:val="00F171E0"/>
    <w:rsid w:val="00F17EB8"/>
    <w:rsid w:val="00F17F0C"/>
    <w:rsid w:val="00F20BD3"/>
    <w:rsid w:val="00F20E14"/>
    <w:rsid w:val="00F216CE"/>
    <w:rsid w:val="00F21B6A"/>
    <w:rsid w:val="00F22420"/>
    <w:rsid w:val="00F2722C"/>
    <w:rsid w:val="00F322E9"/>
    <w:rsid w:val="00F3231B"/>
    <w:rsid w:val="00F32AA7"/>
    <w:rsid w:val="00F32D38"/>
    <w:rsid w:val="00F33808"/>
    <w:rsid w:val="00F35052"/>
    <w:rsid w:val="00F370A1"/>
    <w:rsid w:val="00F373A5"/>
    <w:rsid w:val="00F373DA"/>
    <w:rsid w:val="00F37864"/>
    <w:rsid w:val="00F40491"/>
    <w:rsid w:val="00F404F9"/>
    <w:rsid w:val="00F409D4"/>
    <w:rsid w:val="00F44B0A"/>
    <w:rsid w:val="00F47559"/>
    <w:rsid w:val="00F50B30"/>
    <w:rsid w:val="00F51315"/>
    <w:rsid w:val="00F51F5F"/>
    <w:rsid w:val="00F52230"/>
    <w:rsid w:val="00F52D75"/>
    <w:rsid w:val="00F541A2"/>
    <w:rsid w:val="00F543A2"/>
    <w:rsid w:val="00F544D6"/>
    <w:rsid w:val="00F55582"/>
    <w:rsid w:val="00F57647"/>
    <w:rsid w:val="00F6239A"/>
    <w:rsid w:val="00F62A14"/>
    <w:rsid w:val="00F644AB"/>
    <w:rsid w:val="00F645E0"/>
    <w:rsid w:val="00F64C7B"/>
    <w:rsid w:val="00F676DD"/>
    <w:rsid w:val="00F67AB6"/>
    <w:rsid w:val="00F67BA7"/>
    <w:rsid w:val="00F70028"/>
    <w:rsid w:val="00F70434"/>
    <w:rsid w:val="00F73D0C"/>
    <w:rsid w:val="00F74BE6"/>
    <w:rsid w:val="00F75A26"/>
    <w:rsid w:val="00F76706"/>
    <w:rsid w:val="00F77D6D"/>
    <w:rsid w:val="00F80206"/>
    <w:rsid w:val="00F83034"/>
    <w:rsid w:val="00F83FAD"/>
    <w:rsid w:val="00F844C6"/>
    <w:rsid w:val="00F85E40"/>
    <w:rsid w:val="00F91EBA"/>
    <w:rsid w:val="00F92FA6"/>
    <w:rsid w:val="00F931F0"/>
    <w:rsid w:val="00F9353B"/>
    <w:rsid w:val="00F937F1"/>
    <w:rsid w:val="00F952A0"/>
    <w:rsid w:val="00F95625"/>
    <w:rsid w:val="00FA2954"/>
    <w:rsid w:val="00FA31B1"/>
    <w:rsid w:val="00FA3320"/>
    <w:rsid w:val="00FA3C7F"/>
    <w:rsid w:val="00FA5013"/>
    <w:rsid w:val="00FA516D"/>
    <w:rsid w:val="00FA6246"/>
    <w:rsid w:val="00FB24ED"/>
    <w:rsid w:val="00FB3304"/>
    <w:rsid w:val="00FB4405"/>
    <w:rsid w:val="00FB5005"/>
    <w:rsid w:val="00FB60FE"/>
    <w:rsid w:val="00FB6725"/>
    <w:rsid w:val="00FB74E2"/>
    <w:rsid w:val="00FB778B"/>
    <w:rsid w:val="00FC6C11"/>
    <w:rsid w:val="00FD1082"/>
    <w:rsid w:val="00FD2BDF"/>
    <w:rsid w:val="00FD5614"/>
    <w:rsid w:val="00FD5E78"/>
    <w:rsid w:val="00FE0BE1"/>
    <w:rsid w:val="00FE11BB"/>
    <w:rsid w:val="00FE1DE9"/>
    <w:rsid w:val="00FE36AF"/>
    <w:rsid w:val="00FE39C2"/>
    <w:rsid w:val="00FE3C32"/>
    <w:rsid w:val="00FE489F"/>
    <w:rsid w:val="00FE5E65"/>
    <w:rsid w:val="00FE64AE"/>
    <w:rsid w:val="00FF2A55"/>
    <w:rsid w:val="00FF67AA"/>
    <w:rsid w:val="00FF6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87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annotation text" w:uiPriority="0"/>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List Bullet 2" w:qFormat="1"/>
    <w:lsdException w:name="List Bullet 3"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qFormat="1"/>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qFormat/>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qFormat/>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iPriority w:val="99"/>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uiPriority w:val="99"/>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uiPriority w:val="99"/>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D817D4"/>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D817D4"/>
    <w:rPr>
      <w:rFonts w:asciiTheme="majorHAnsi" w:eastAsiaTheme="majorEastAsia" w:hAnsiTheme="majorHAnsi" w:cstheme="majorBidi"/>
      <w:sz w:val="24"/>
      <w:szCs w:val="24"/>
      <w:shd w:val="pct20" w:color="auto" w:fill="auto"/>
    </w:rPr>
  </w:style>
  <w:style w:type="paragraph" w:styleId="BlockText">
    <w:name w:val="Block Text"/>
    <w:basedOn w:val="Normal"/>
    <w:uiPriority w:val="99"/>
    <w:unhideWhenUsed/>
    <w:rsid w:val="00645B85"/>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annotation text" w:uiPriority="0"/>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List Bullet 2" w:qFormat="1"/>
    <w:lsdException w:name="List Bullet 3"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qFormat="1"/>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qFormat/>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qFormat/>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iPriority w:val="99"/>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uiPriority w:val="99"/>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uiPriority w:val="99"/>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D817D4"/>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D817D4"/>
    <w:rPr>
      <w:rFonts w:asciiTheme="majorHAnsi" w:eastAsiaTheme="majorEastAsia" w:hAnsiTheme="majorHAnsi" w:cstheme="majorBidi"/>
      <w:sz w:val="24"/>
      <w:szCs w:val="24"/>
      <w:shd w:val="pct20" w:color="auto" w:fill="auto"/>
    </w:rPr>
  </w:style>
  <w:style w:type="paragraph" w:styleId="BlockText">
    <w:name w:val="Block Text"/>
    <w:basedOn w:val="Normal"/>
    <w:uiPriority w:val="99"/>
    <w:unhideWhenUsed/>
    <w:rsid w:val="00645B85"/>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42342">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21101236">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7699973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68542291">
      <w:bodyDiv w:val="1"/>
      <w:marLeft w:val="0"/>
      <w:marRight w:val="0"/>
      <w:marTop w:val="0"/>
      <w:marBottom w:val="0"/>
      <w:divBdr>
        <w:top w:val="none" w:sz="0" w:space="0" w:color="auto"/>
        <w:left w:val="none" w:sz="0" w:space="0" w:color="auto"/>
        <w:bottom w:val="none" w:sz="0" w:space="0" w:color="auto"/>
        <w:right w:val="none" w:sz="0" w:space="0" w:color="auto"/>
      </w:divBdr>
    </w:div>
    <w:div w:id="576936833">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4405641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38842525">
      <w:bodyDiv w:val="1"/>
      <w:marLeft w:val="0"/>
      <w:marRight w:val="0"/>
      <w:marTop w:val="0"/>
      <w:marBottom w:val="0"/>
      <w:divBdr>
        <w:top w:val="none" w:sz="0" w:space="0" w:color="auto"/>
        <w:left w:val="none" w:sz="0" w:space="0" w:color="auto"/>
        <w:bottom w:val="none" w:sz="0" w:space="0" w:color="auto"/>
        <w:right w:val="none" w:sz="0" w:space="0" w:color="auto"/>
      </w:divBdr>
    </w:div>
    <w:div w:id="1179082936">
      <w:bodyDiv w:val="1"/>
      <w:marLeft w:val="0"/>
      <w:marRight w:val="0"/>
      <w:marTop w:val="0"/>
      <w:marBottom w:val="0"/>
      <w:divBdr>
        <w:top w:val="none" w:sz="0" w:space="0" w:color="auto"/>
        <w:left w:val="none" w:sz="0" w:space="0" w:color="auto"/>
        <w:bottom w:val="none" w:sz="0" w:space="0" w:color="auto"/>
        <w:right w:val="none" w:sz="0" w:space="0" w:color="auto"/>
      </w:divBdr>
    </w:div>
    <w:div w:id="1345937418">
      <w:bodyDiv w:val="1"/>
      <w:marLeft w:val="0"/>
      <w:marRight w:val="0"/>
      <w:marTop w:val="0"/>
      <w:marBottom w:val="0"/>
      <w:divBdr>
        <w:top w:val="none" w:sz="0" w:space="0" w:color="auto"/>
        <w:left w:val="none" w:sz="0" w:space="0" w:color="auto"/>
        <w:bottom w:val="none" w:sz="0" w:space="0" w:color="auto"/>
        <w:right w:val="none" w:sz="0" w:space="0" w:color="auto"/>
      </w:divBdr>
    </w:div>
    <w:div w:id="1586720137">
      <w:bodyDiv w:val="1"/>
      <w:marLeft w:val="0"/>
      <w:marRight w:val="0"/>
      <w:marTop w:val="0"/>
      <w:marBottom w:val="0"/>
      <w:divBdr>
        <w:top w:val="none" w:sz="0" w:space="0" w:color="auto"/>
        <w:left w:val="none" w:sz="0" w:space="0" w:color="auto"/>
        <w:bottom w:val="none" w:sz="0" w:space="0" w:color="auto"/>
        <w:right w:val="none" w:sz="0" w:space="0" w:color="auto"/>
      </w:divBdr>
    </w:div>
    <w:div w:id="1626041027">
      <w:bodyDiv w:val="1"/>
      <w:marLeft w:val="0"/>
      <w:marRight w:val="0"/>
      <w:marTop w:val="0"/>
      <w:marBottom w:val="0"/>
      <w:divBdr>
        <w:top w:val="none" w:sz="0" w:space="0" w:color="auto"/>
        <w:left w:val="none" w:sz="0" w:space="0" w:color="auto"/>
        <w:bottom w:val="none" w:sz="0" w:space="0" w:color="auto"/>
        <w:right w:val="none" w:sz="0" w:space="0" w:color="auto"/>
      </w:divBdr>
      <w:divsChild>
        <w:div w:id="579873650">
          <w:marLeft w:val="547"/>
          <w:marRight w:val="0"/>
          <w:marTop w:val="144"/>
          <w:marBottom w:val="0"/>
          <w:divBdr>
            <w:top w:val="none" w:sz="0" w:space="0" w:color="auto"/>
            <w:left w:val="none" w:sz="0" w:space="0" w:color="auto"/>
            <w:bottom w:val="none" w:sz="0" w:space="0" w:color="auto"/>
            <w:right w:val="none" w:sz="0" w:space="0" w:color="auto"/>
          </w:divBdr>
        </w:div>
        <w:div w:id="1297645179">
          <w:marLeft w:val="547"/>
          <w:marRight w:val="0"/>
          <w:marTop w:val="144"/>
          <w:marBottom w:val="0"/>
          <w:divBdr>
            <w:top w:val="none" w:sz="0" w:space="0" w:color="auto"/>
            <w:left w:val="none" w:sz="0" w:space="0" w:color="auto"/>
            <w:bottom w:val="none" w:sz="0" w:space="0" w:color="auto"/>
            <w:right w:val="none" w:sz="0" w:space="0" w:color="auto"/>
          </w:divBdr>
        </w:div>
      </w:divsChild>
    </w:div>
    <w:div w:id="173955028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19873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11.gif"/><Relationship Id="rId39" Type="http://schemas.openxmlformats.org/officeDocument/2006/relationships/hyperlink" Target="https://www.aer.gov.au/system/files/AER%20%E2%80%93%20Draft%20decision%20Endeavour%20Energy%20distribution%20determination%20%E2%80%93%20Attachment%207%20%E2%80%93%20%20Operating%20expenditure%20%E2%80%93%20November%202014.pdf" TargetMode="External"/><Relationship Id="rId21" Type="http://schemas.openxmlformats.org/officeDocument/2006/relationships/image" Target="media/image7.emf"/><Relationship Id="rId34" Type="http://schemas.openxmlformats.org/officeDocument/2006/relationships/hyperlink" Target="https://www.accc.gov.au/system/files/Regulatory%20practices%20in%20other%20countries%20-%20Benchmarking%20opex%20and%20capex%20in%20energy%20networks.pdf" TargetMode="External"/><Relationship Id="rId42" Type="http://schemas.openxmlformats.org/officeDocument/2006/relationships/image" Target="media/image16.gif"/><Relationship Id="rId47" Type="http://schemas.openxmlformats.org/officeDocument/2006/relationships/image" Target="media/image21.emf"/><Relationship Id="rId50" Type="http://schemas.openxmlformats.org/officeDocument/2006/relationships/image" Target="media/image24.emf"/><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emf"/><Relationship Id="rId25" Type="http://schemas.openxmlformats.org/officeDocument/2006/relationships/image" Target="media/image10.gif"/><Relationship Id="rId33" Type="http://schemas.openxmlformats.org/officeDocument/2006/relationships/hyperlink" Target="https://www.accc.gov.au/system/files/Working%20paper%20no.%206%20%20-%20Benchmarking%20energy%20networks.pdf" TargetMode="External"/><Relationship Id="rId38" Type="http://schemas.openxmlformats.org/officeDocument/2006/relationships/hyperlink" Target="https://www.aer.gov.au/system/files/AER%20-%20Final%20decision%20Endeavour%20Energy%20distribution%20determination%20-%20Attachment%207%20-%20Operating%20expenditure%20-%20April%202015.pdf" TargetMode="External"/><Relationship Id="rId46" Type="http://schemas.openxmlformats.org/officeDocument/2006/relationships/image" Target="media/image20.gi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image" Target="media/image14.emf"/><Relationship Id="rId41" Type="http://schemas.openxmlformats.org/officeDocument/2006/relationships/hyperlink" Target="https://www.aer.gov.au/system/files/AER%20-%20Preliminary%20decision%20Ergon%20Energy%20-%20Attachment%207%20-%20Opex%20-%20April%202015_0.pdf"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chart" Target="charts/chart1.xml"/><Relationship Id="rId32" Type="http://schemas.openxmlformats.org/officeDocument/2006/relationships/hyperlink" Target="https://www.aer.gov.au/system/files/Economic%20Insights%20-%20Response%20to%20consultants%20%20reports%20on%20AER%20economic%20benchmarking%20-%20April%202015_1.PDF" TargetMode="External"/><Relationship Id="rId37" Type="http://schemas.openxmlformats.org/officeDocument/2006/relationships/hyperlink" Target="https://www.aer.gov.au/system/files/AER%20-%20Final%20decision%20SA%20Power%20Networks%20distribution%20determination%20-%20Attachment%207%20-%20Operating%20expenditure%20-%20October%202015.pdf" TargetMode="External"/><Relationship Id="rId40" Type="http://schemas.openxmlformats.org/officeDocument/2006/relationships/hyperlink" Target="https://www.aer.gov.au/system/files/AER%20-%20Preliminary%20decision%20Energex%20distribution%20determination%20-%20Attachment%207%20-%20Opex%20-%20April%202015.pdf" TargetMode="External"/><Relationship Id="rId45" Type="http://schemas.openxmlformats.org/officeDocument/2006/relationships/image" Target="media/image19.gif"/><Relationship Id="rId53"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3.gif"/><Relationship Id="rId36" Type="http://schemas.openxmlformats.org/officeDocument/2006/relationships/hyperlink" Target="https://www.aer.gov.au/system/files/AER%20-%20Final%20decision%20Jemena%20distribution%20determination%20-%20Attachment%207%20-%20Operating%20expenditure%20-%20May%202016.pdf" TargetMode="External"/><Relationship Id="rId49" Type="http://schemas.openxmlformats.org/officeDocument/2006/relationships/image" Target="media/image23.emf"/><Relationship Id="rId10" Type="http://schemas.openxmlformats.org/officeDocument/2006/relationships/image" Target="media/image1.jpg"/><Relationship Id="rId19" Type="http://schemas.openxmlformats.org/officeDocument/2006/relationships/image" Target="media/image5.emf"/><Relationship Id="rId31" Type="http://schemas.openxmlformats.org/officeDocument/2006/relationships/hyperlink" Target="https://www.aer.gov.au/system/files/Economic%20Insights%20%E2%80%93%20%20Economic%20benchmarking%20assessment%20of%20operating%20expenditure%20for%20NSW%20and%20ACT%20Electricity%20DNSPs%20%E2%80%93%2017%20November%202014_1.PDF" TargetMode="External"/><Relationship Id="rId44" Type="http://schemas.openxmlformats.org/officeDocument/2006/relationships/image" Target="media/image18.gif"/><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image" Target="media/image12.gif"/><Relationship Id="rId30" Type="http://schemas.openxmlformats.org/officeDocument/2006/relationships/image" Target="media/image15.emf"/><Relationship Id="rId35" Type="http://schemas.openxmlformats.org/officeDocument/2006/relationships/hyperlink" Target="https://www.accc.gov.au/system/files/Cost%20benchmarking%20in%20energy%20regulation%20in%20European%20countries%20-%20WIK-Consult.pdf" TargetMode="External"/><Relationship Id="rId43" Type="http://schemas.openxmlformats.org/officeDocument/2006/relationships/image" Target="media/image17.gif"/><Relationship Id="rId48" Type="http://schemas.openxmlformats.org/officeDocument/2006/relationships/image" Target="media/image22.emf"/><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25.jpeg"/><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ode/48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ley\AppData\Local\Temp\1\Temp1_Economic%20Insights%20DNSP%20Economic%20Benchmarking%20Files%207Nov2016.zip\Economic%20Insights%20AER%20DNSP%20Opex%20Efficiency%20Scores%201Nov2016%20B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137531068765531E-2"/>
          <c:y val="4.619565217391304E-2"/>
          <c:w val="0.9220677850051352"/>
          <c:h val="0.79965910564416243"/>
        </c:manualLayout>
      </c:layout>
      <c:barChart>
        <c:barDir val="col"/>
        <c:grouping val="clustered"/>
        <c:varyColors val="0"/>
        <c:ser>
          <c:idx val="2"/>
          <c:order val="0"/>
          <c:tx>
            <c:strRef>
              <c:f>'[Economic Insights AER DNSP Opex Efficiency Scores 1Nov2016 BM.xlsx]Efficiency Estimates BM'!$O$44</c:f>
              <c:strCache>
                <c:ptCount val="1"/>
                <c:pt idx="0">
                  <c:v>SFA CD</c:v>
                </c:pt>
              </c:strCache>
            </c:strRef>
          </c:tx>
          <c:spPr>
            <a:solidFill>
              <a:srgbClr val="FF0000"/>
            </a:solidFill>
            <a:ln w="12700">
              <a:solidFill>
                <a:schemeClr val="tx1"/>
              </a:solidFill>
              <a:prstDash val="solid"/>
            </a:ln>
          </c:spPr>
          <c:invertIfNegative val="0"/>
          <c:cat>
            <c:strRef>
              <c:f>'[Economic Insights AER DNSP Opex Efficiency Scores 1Nov2016 BM.xlsx]Efficiency Estimates BM'!$L$45:$L$57</c:f>
              <c:strCache>
                <c:ptCount val="13"/>
                <c:pt idx="0">
                  <c:v>ACT</c:v>
                </c:pt>
                <c:pt idx="1">
                  <c:v>AGD</c:v>
                </c:pt>
                <c:pt idx="2">
                  <c:v>CIT</c:v>
                </c:pt>
                <c:pt idx="3">
                  <c:v>END</c:v>
                </c:pt>
                <c:pt idx="4">
                  <c:v>ENX</c:v>
                </c:pt>
                <c:pt idx="5">
                  <c:v>ERG</c:v>
                </c:pt>
                <c:pt idx="6">
                  <c:v>ESS</c:v>
                </c:pt>
                <c:pt idx="7">
                  <c:v>JEN</c:v>
                </c:pt>
                <c:pt idx="8">
                  <c:v>PCR</c:v>
                </c:pt>
                <c:pt idx="9">
                  <c:v>SAP</c:v>
                </c:pt>
                <c:pt idx="10">
                  <c:v>AND</c:v>
                </c:pt>
                <c:pt idx="11">
                  <c:v>TND</c:v>
                </c:pt>
                <c:pt idx="12">
                  <c:v>UED</c:v>
                </c:pt>
              </c:strCache>
            </c:strRef>
          </c:cat>
          <c:val>
            <c:numRef>
              <c:f>'[Economic Insights AER DNSP Opex Efficiency Scores 1Nov2016 BM.xlsx]Efficiency Estimates BM'!$O$45:$O$57</c:f>
              <c:numCache>
                <c:formatCode>0.000</c:formatCode>
                <c:ptCount val="13"/>
                <c:pt idx="0">
                  <c:v>0.44104589999999999</c:v>
                </c:pt>
                <c:pt idx="1">
                  <c:v>0.45316469999999998</c:v>
                </c:pt>
                <c:pt idx="2">
                  <c:v>0.92178389999999999</c:v>
                </c:pt>
                <c:pt idx="3">
                  <c:v>0.58781779999999995</c:v>
                </c:pt>
                <c:pt idx="4">
                  <c:v>0.62405619999999995</c:v>
                </c:pt>
                <c:pt idx="5">
                  <c:v>0.51601269999999999</c:v>
                </c:pt>
                <c:pt idx="6">
                  <c:v>0.56640769999999996</c:v>
                </c:pt>
                <c:pt idx="7">
                  <c:v>0.72513749999999999</c:v>
                </c:pt>
                <c:pt idx="8">
                  <c:v>0.9572138</c:v>
                </c:pt>
                <c:pt idx="9">
                  <c:v>0.80943010000000004</c:v>
                </c:pt>
                <c:pt idx="10">
                  <c:v>0.77180130000000002</c:v>
                </c:pt>
                <c:pt idx="11">
                  <c:v>0.74856579999999995</c:v>
                </c:pt>
                <c:pt idx="12">
                  <c:v>0.87074419999999997</c:v>
                </c:pt>
              </c:numCache>
            </c:numRef>
          </c:val>
        </c:ser>
        <c:ser>
          <c:idx val="0"/>
          <c:order val="1"/>
          <c:tx>
            <c:strRef>
              <c:f>'[Economic Insights AER DNSP Opex Efficiency Scores 1Nov2016 BM.xlsx]Efficiency Estimates BM'!$J$43</c:f>
              <c:strCache>
                <c:ptCount val="1"/>
                <c:pt idx="0">
                  <c:v>LSE TLG</c:v>
                </c:pt>
              </c:strCache>
            </c:strRef>
          </c:tx>
          <c:spPr>
            <a:solidFill>
              <a:srgbClr val="9999FF"/>
            </a:solidFill>
            <a:ln w="12700">
              <a:solidFill>
                <a:schemeClr val="tx1"/>
              </a:solidFill>
              <a:prstDash val="solid"/>
            </a:ln>
          </c:spPr>
          <c:invertIfNegative val="0"/>
          <c:cat>
            <c:strRef>
              <c:f>'[Economic Insights AER DNSP Opex Efficiency Scores 1Nov2016 BM.xlsx]Efficiency Estimates BM'!$L$45:$L$57</c:f>
              <c:strCache>
                <c:ptCount val="13"/>
                <c:pt idx="0">
                  <c:v>ACT</c:v>
                </c:pt>
                <c:pt idx="1">
                  <c:v>AGD</c:v>
                </c:pt>
                <c:pt idx="2">
                  <c:v>CIT</c:v>
                </c:pt>
                <c:pt idx="3">
                  <c:v>END</c:v>
                </c:pt>
                <c:pt idx="4">
                  <c:v>ENX</c:v>
                </c:pt>
                <c:pt idx="5">
                  <c:v>ERG</c:v>
                </c:pt>
                <c:pt idx="6">
                  <c:v>ESS</c:v>
                </c:pt>
                <c:pt idx="7">
                  <c:v>JEN</c:v>
                </c:pt>
                <c:pt idx="8">
                  <c:v>PCR</c:v>
                </c:pt>
                <c:pt idx="9">
                  <c:v>SAP</c:v>
                </c:pt>
                <c:pt idx="10">
                  <c:v>AND</c:v>
                </c:pt>
                <c:pt idx="11">
                  <c:v>TND</c:v>
                </c:pt>
                <c:pt idx="12">
                  <c:v>UED</c:v>
                </c:pt>
              </c:strCache>
            </c:strRef>
          </c:cat>
          <c:val>
            <c:numRef>
              <c:f>'[Economic Insights AER DNSP Opex Efficiency Scores 1Nov2016 BM.xlsx]Efficiency Estimates BM'!$J$45:$J$57</c:f>
              <c:numCache>
                <c:formatCode>0.000</c:formatCode>
                <c:ptCount val="13"/>
                <c:pt idx="0">
                  <c:v>0.36807840737094832</c:v>
                </c:pt>
                <c:pt idx="1">
                  <c:v>0.49380780312434092</c:v>
                </c:pt>
                <c:pt idx="2">
                  <c:v>0.84005190280505981</c:v>
                </c:pt>
                <c:pt idx="3">
                  <c:v>0.61930567964995298</c:v>
                </c:pt>
                <c:pt idx="4">
                  <c:v>0.68152135026116933</c:v>
                </c:pt>
                <c:pt idx="5">
                  <c:v>0.53736296517330395</c:v>
                </c:pt>
                <c:pt idx="6">
                  <c:v>0.65651745344159229</c:v>
                </c:pt>
                <c:pt idx="7">
                  <c:v>0.5869709789408406</c:v>
                </c:pt>
                <c:pt idx="8">
                  <c:v>1</c:v>
                </c:pt>
                <c:pt idx="9">
                  <c:v>0.84685956577099963</c:v>
                </c:pt>
                <c:pt idx="10">
                  <c:v>0.76131734312159138</c:v>
                </c:pt>
                <c:pt idx="11">
                  <c:v>0.71429881199237832</c:v>
                </c:pt>
                <c:pt idx="12">
                  <c:v>0.77315981911427989</c:v>
                </c:pt>
              </c:numCache>
            </c:numRef>
          </c:val>
        </c:ser>
        <c:ser>
          <c:idx val="1"/>
          <c:order val="2"/>
          <c:tx>
            <c:strRef>
              <c:f>'[Economic Insights AER DNSP Opex Efficiency Scores 1Nov2016 BM.xlsx]Efficiency Estimates BM'!$K$43</c:f>
              <c:strCache>
                <c:ptCount val="1"/>
                <c:pt idx="0">
                  <c:v>LSE CD</c:v>
                </c:pt>
              </c:strCache>
            </c:strRef>
          </c:tx>
          <c:spPr>
            <a:solidFill>
              <a:srgbClr val="993366"/>
            </a:solidFill>
            <a:ln w="12700">
              <a:solidFill>
                <a:schemeClr val="tx1"/>
              </a:solidFill>
              <a:prstDash val="solid"/>
            </a:ln>
          </c:spPr>
          <c:invertIfNegative val="0"/>
          <c:cat>
            <c:strRef>
              <c:f>'[Economic Insights AER DNSP Opex Efficiency Scores 1Nov2016 BM.xlsx]Efficiency Estimates BM'!$L$45:$L$57</c:f>
              <c:strCache>
                <c:ptCount val="13"/>
                <c:pt idx="0">
                  <c:v>ACT</c:v>
                </c:pt>
                <c:pt idx="1">
                  <c:v>AGD</c:v>
                </c:pt>
                <c:pt idx="2">
                  <c:v>CIT</c:v>
                </c:pt>
                <c:pt idx="3">
                  <c:v>END</c:v>
                </c:pt>
                <c:pt idx="4">
                  <c:v>ENX</c:v>
                </c:pt>
                <c:pt idx="5">
                  <c:v>ERG</c:v>
                </c:pt>
                <c:pt idx="6">
                  <c:v>ESS</c:v>
                </c:pt>
                <c:pt idx="7">
                  <c:v>JEN</c:v>
                </c:pt>
                <c:pt idx="8">
                  <c:v>PCR</c:v>
                </c:pt>
                <c:pt idx="9">
                  <c:v>SAP</c:v>
                </c:pt>
                <c:pt idx="10">
                  <c:v>AND</c:v>
                </c:pt>
                <c:pt idx="11">
                  <c:v>TND</c:v>
                </c:pt>
                <c:pt idx="12">
                  <c:v>UED</c:v>
                </c:pt>
              </c:strCache>
            </c:strRef>
          </c:cat>
          <c:val>
            <c:numRef>
              <c:f>'[Economic Insights AER DNSP Opex Efficiency Scores 1Nov2016 BM.xlsx]Efficiency Estimates BM'!$K$45:$K$57</c:f>
              <c:numCache>
                <c:formatCode>0.000</c:formatCode>
                <c:ptCount val="13"/>
                <c:pt idx="0">
                  <c:v>0.40827247361000868</c:v>
                </c:pt>
                <c:pt idx="1">
                  <c:v>0.43083512614988145</c:v>
                </c:pt>
                <c:pt idx="2">
                  <c:v>0.8918879240322195</c:v>
                </c:pt>
                <c:pt idx="3">
                  <c:v>0.57932780757691704</c:v>
                </c:pt>
                <c:pt idx="4">
                  <c:v>0.61811491018391496</c:v>
                </c:pt>
                <c:pt idx="5">
                  <c:v>0.54713987295876176</c:v>
                </c:pt>
                <c:pt idx="6">
                  <c:v>0.62924618988183867</c:v>
                </c:pt>
                <c:pt idx="7">
                  <c:v>0.68660322562591414</c:v>
                </c:pt>
                <c:pt idx="8">
                  <c:v>1</c:v>
                </c:pt>
                <c:pt idx="9">
                  <c:v>0.81342365849708909</c:v>
                </c:pt>
                <c:pt idx="10">
                  <c:v>0.78922044435954053</c:v>
                </c:pt>
                <c:pt idx="11">
                  <c:v>0.78902063903944963</c:v>
                </c:pt>
                <c:pt idx="12">
                  <c:v>0.85330460223441984</c:v>
                </c:pt>
              </c:numCache>
            </c:numRef>
          </c:val>
        </c:ser>
        <c:ser>
          <c:idx val="3"/>
          <c:order val="3"/>
          <c:tx>
            <c:strRef>
              <c:f>'[Economic Insights AER DNSP Opex Efficiency Scores 1Nov2016 BM.xlsx]Efficiency Estimates BM'!$M$43</c:f>
              <c:strCache>
                <c:ptCount val="1"/>
                <c:pt idx="0">
                  <c:v>Opex MPFP</c:v>
                </c:pt>
              </c:strCache>
            </c:strRef>
          </c:tx>
          <c:spPr>
            <a:solidFill>
              <a:srgbClr val="FFCC00"/>
            </a:solidFill>
            <a:ln w="12700">
              <a:solidFill>
                <a:schemeClr val="tx1"/>
              </a:solidFill>
              <a:prstDash val="solid"/>
            </a:ln>
          </c:spPr>
          <c:invertIfNegative val="0"/>
          <c:cat>
            <c:strRef>
              <c:f>'[Economic Insights AER DNSP Opex Efficiency Scores 1Nov2016 BM.xlsx]Efficiency Estimates BM'!$L$45:$L$57</c:f>
              <c:strCache>
                <c:ptCount val="13"/>
                <c:pt idx="0">
                  <c:v>ACT</c:v>
                </c:pt>
                <c:pt idx="1">
                  <c:v>AGD</c:v>
                </c:pt>
                <c:pt idx="2">
                  <c:v>CIT</c:v>
                </c:pt>
                <c:pt idx="3">
                  <c:v>END</c:v>
                </c:pt>
                <c:pt idx="4">
                  <c:v>ENX</c:v>
                </c:pt>
                <c:pt idx="5">
                  <c:v>ERG</c:v>
                </c:pt>
                <c:pt idx="6">
                  <c:v>ESS</c:v>
                </c:pt>
                <c:pt idx="7">
                  <c:v>JEN</c:v>
                </c:pt>
                <c:pt idx="8">
                  <c:v>PCR</c:v>
                </c:pt>
                <c:pt idx="9">
                  <c:v>SAP</c:v>
                </c:pt>
                <c:pt idx="10">
                  <c:v>AND</c:v>
                </c:pt>
                <c:pt idx="11">
                  <c:v>TND</c:v>
                </c:pt>
                <c:pt idx="12">
                  <c:v>UED</c:v>
                </c:pt>
              </c:strCache>
            </c:strRef>
          </c:cat>
          <c:val>
            <c:numRef>
              <c:f>'[Economic Insights AER DNSP Opex Efficiency Scores 1Nov2016 BM.xlsx]Efficiency Estimates BM'!$N$45:$N$57</c:f>
              <c:numCache>
                <c:formatCode>0.000</c:formatCode>
                <c:ptCount val="13"/>
                <c:pt idx="0">
                  <c:v>0.51408615384615364</c:v>
                </c:pt>
                <c:pt idx="1">
                  <c:v>0.45656615384615373</c:v>
                </c:pt>
                <c:pt idx="2">
                  <c:v>1</c:v>
                </c:pt>
                <c:pt idx="3">
                  <c:v>0.63003692307692283</c:v>
                </c:pt>
                <c:pt idx="4">
                  <c:v>0.6521969230769229</c:v>
                </c:pt>
                <c:pt idx="5">
                  <c:v>0.46578461538461535</c:v>
                </c:pt>
                <c:pt idx="6">
                  <c:v>0.49943384615384601</c:v>
                </c:pt>
                <c:pt idx="7">
                  <c:v>0.65348307692307683</c:v>
                </c:pt>
                <c:pt idx="8">
                  <c:v>0.86919384615384598</c:v>
                </c:pt>
                <c:pt idx="9">
                  <c:v>0.85729230769230746</c:v>
                </c:pt>
                <c:pt idx="10">
                  <c:v>0.66151384615384601</c:v>
                </c:pt>
                <c:pt idx="11">
                  <c:v>0.69925538461538439</c:v>
                </c:pt>
                <c:pt idx="12">
                  <c:v>0.75107692307692286</c:v>
                </c:pt>
              </c:numCache>
            </c:numRef>
          </c:val>
        </c:ser>
        <c:dLbls>
          <c:showLegendKey val="0"/>
          <c:showVal val="0"/>
          <c:showCatName val="0"/>
          <c:showSerName val="0"/>
          <c:showPercent val="0"/>
          <c:showBubbleSize val="0"/>
        </c:dLbls>
        <c:gapWidth val="150"/>
        <c:axId val="38946688"/>
        <c:axId val="38948224"/>
      </c:barChart>
      <c:catAx>
        <c:axId val="389466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38948224"/>
        <c:crosses val="autoZero"/>
        <c:auto val="1"/>
        <c:lblAlgn val="ctr"/>
        <c:lblOffset val="100"/>
        <c:tickLblSkip val="1"/>
        <c:tickMarkSkip val="1"/>
        <c:noMultiLvlLbl val="0"/>
      </c:catAx>
      <c:valAx>
        <c:axId val="38948224"/>
        <c:scaling>
          <c:orientation val="minMax"/>
          <c:max val="1.1000000000000001"/>
          <c:min val="0"/>
        </c:scaling>
        <c:delete val="0"/>
        <c:axPos val="l"/>
        <c:majorGridlines>
          <c:spPr>
            <a:ln w="3175">
              <a:solidFill>
                <a:srgbClr val="000000"/>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sz="1600" b="0" i="0" u="none" strike="noStrike" baseline="0">
                <a:solidFill>
                  <a:srgbClr val="000000"/>
                </a:solidFill>
                <a:latin typeface="Arial"/>
                <a:ea typeface="Arial"/>
                <a:cs typeface="Arial"/>
              </a:defRPr>
            </a:pPr>
            <a:endParaRPr lang="en-US"/>
          </a:p>
        </c:txPr>
        <c:crossAx val="38946688"/>
        <c:crosses val="autoZero"/>
        <c:crossBetween val="between"/>
      </c:valAx>
      <c:spPr>
        <a:noFill/>
        <a:ln w="12700">
          <a:noFill/>
          <a:prstDash val="solid"/>
        </a:ln>
      </c:spPr>
    </c:plotArea>
    <c:legend>
      <c:legendPos val="b"/>
      <c:layout/>
      <c:overlay val="0"/>
      <c:spPr>
        <a:solidFill>
          <a:srgbClr val="FFFFFF"/>
        </a:solidFill>
        <a:ln w="3175">
          <a:noFill/>
          <a:prstDash val="solid"/>
        </a:ln>
      </c:spPr>
      <c:txPr>
        <a:bodyPr/>
        <a:lstStyle/>
        <a:p>
          <a:pPr>
            <a:defRPr sz="105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EC1B24-5F08-487B-90E0-AE6B99F1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7CFC1A05</Template>
  <TotalTime>1879</TotalTime>
  <Pages>47</Pages>
  <Words>10154</Words>
  <Characters>57882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67901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Perera, Nishana</dc:creator>
  <cp:lastModifiedBy>Ley, Andrew</cp:lastModifiedBy>
  <cp:revision>65</cp:revision>
  <cp:lastPrinted>2016-09-23T06:09:00Z</cp:lastPrinted>
  <dcterms:created xsi:type="dcterms:W3CDTF">2016-11-03T02:52:00Z</dcterms:created>
  <dcterms:modified xsi:type="dcterms:W3CDTF">2016-11-28T23:19:00Z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8794004</vt:lpwstr>
  </property>
  <property fmtid="{D5CDD505-2E9C-101B-9397-08002B2CF9AE}" pid="3" name="currfile">
    <vt:lpwstr>\\cdchnas-evs02\home$\anley\final dnsp annual benchmarking report 2016 - for release (D2016-00149021[V03]).docx</vt:lpwstr>
  </property>
</Properties>
</file>