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287547425"/>
        <w:docPartObj>
          <w:docPartGallery w:val="Cover Pages"/>
          <w:docPartUnique/>
        </w:docPartObj>
      </w:sdtPr>
      <w:sdtEndPr/>
      <w:sdtContent>
        <w:p w:rsidR="00F56D12" w:rsidRPr="00F56D12" w:rsidRDefault="00A06B7A" w:rsidP="00951978">
          <w:r w:rsidRPr="00A06B7A">
            <w:rPr>
              <w:noProof/>
              <w:lang w:eastAsia="en-AU"/>
            </w:rPr>
            <w:drawing>
              <wp:anchor distT="0" distB="0" distL="114300" distR="114300" simplePos="0" relativeHeight="251659264" behindDoc="1" locked="0" layoutInCell="1" allowOverlap="1" wp14:anchorId="0FC5E122" wp14:editId="355A7E6A">
                <wp:simplePos x="0" y="0"/>
                <wp:positionH relativeFrom="column">
                  <wp:posOffset>-1101090</wp:posOffset>
                </wp:positionH>
                <wp:positionV relativeFrom="paragraph">
                  <wp:posOffset>-907044</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56D12" w:rsidRPr="00F56D12" w:rsidRDefault="00F56D12" w:rsidP="00F171E0"/>
        <w:p w:rsidR="00F56D12" w:rsidRPr="00F56D12" w:rsidRDefault="00F56D12" w:rsidP="00F171E0"/>
        <w:p w:rsidR="00F56D12" w:rsidRPr="00F56D12" w:rsidRDefault="00F56D12" w:rsidP="00F171E0"/>
        <w:p w:rsidR="00F56D12" w:rsidRPr="00F56D12" w:rsidRDefault="00F56D12" w:rsidP="00F171E0"/>
        <w:p w:rsidR="00F56D12" w:rsidRDefault="00F56D12" w:rsidP="00F171E0"/>
        <w:p w:rsidR="00456543" w:rsidRDefault="00456543" w:rsidP="00F171E0"/>
        <w:p w:rsidR="00456543" w:rsidRPr="00F56D12" w:rsidRDefault="00456543" w:rsidP="00F171E0"/>
        <w:p w:rsidR="00F56D12" w:rsidRPr="00F56D12" w:rsidRDefault="00A06B7A" w:rsidP="00327A1E">
          <w:pPr>
            <w:pStyle w:val="ReportTitle"/>
          </w:pPr>
          <w:r>
            <w:t>Final decision</w:t>
          </w:r>
        </w:p>
        <w:p w:rsidR="00086C33" w:rsidRDefault="00086C33" w:rsidP="00F56D12">
          <w:pPr>
            <w:pStyle w:val="ReportSubtitle"/>
          </w:pPr>
        </w:p>
        <w:p w:rsidR="00F56D12" w:rsidRDefault="00A06B7A" w:rsidP="00F56D12">
          <w:pPr>
            <w:pStyle w:val="ReportSubtitle"/>
          </w:pPr>
          <w:r>
            <w:t>A</w:t>
          </w:r>
          <w:r w:rsidR="00F56D12" w:rsidRPr="00F56D12">
            <w:t>mendment</w:t>
          </w:r>
        </w:p>
        <w:p w:rsidR="00086C33" w:rsidRDefault="00086C33" w:rsidP="00F56D12">
          <w:pPr>
            <w:pStyle w:val="ReportSubtitle"/>
          </w:pPr>
        </w:p>
        <w:p w:rsidR="00F56D12" w:rsidRDefault="00F56D12" w:rsidP="00F56D12">
          <w:pPr>
            <w:pStyle w:val="ReportSubtitle"/>
          </w:pPr>
          <w:r w:rsidRPr="00F56D12">
            <w:t xml:space="preserve">Electricity </w:t>
          </w:r>
          <w:r w:rsidR="007136E2">
            <w:t>distribution</w:t>
          </w:r>
          <w:r w:rsidRPr="00F56D12">
            <w:t xml:space="preserve"> network service providers</w:t>
          </w:r>
        </w:p>
        <w:p w:rsidR="00086C33" w:rsidRPr="00F56D12" w:rsidRDefault="00086C33" w:rsidP="00F56D12">
          <w:pPr>
            <w:pStyle w:val="ReportSubtitle"/>
          </w:pPr>
        </w:p>
        <w:p w:rsidR="00F56D12" w:rsidRPr="00F56D12" w:rsidRDefault="00CC1E84" w:rsidP="00F56D12">
          <w:pPr>
            <w:pStyle w:val="ReportSubtitle"/>
          </w:pPr>
          <w:r>
            <w:t>Roll forward model (version 2</w:t>
          </w:r>
          <w:r w:rsidR="00F56D12" w:rsidRPr="00F56D12">
            <w:t>)</w:t>
          </w:r>
        </w:p>
        <w:p w:rsidR="00F56D12" w:rsidRPr="00F56D12" w:rsidRDefault="00456543" w:rsidP="00456543">
          <w:pPr>
            <w:pStyle w:val="ReportDate"/>
            <w:jc w:val="left"/>
          </w:pPr>
          <w:r>
            <w:tab/>
          </w:r>
          <w:r w:rsidR="00AA4EA7">
            <w:t>15</w:t>
          </w:r>
          <w:r w:rsidR="00A06B7A">
            <w:t xml:space="preserve"> December</w:t>
          </w:r>
          <w:r w:rsidR="0049799A">
            <w:t xml:space="preserve"> </w:t>
          </w:r>
          <w:r w:rsidR="007136E2">
            <w:t>2016</w:t>
          </w:r>
        </w:p>
        <w:p w:rsidR="00F56D12" w:rsidRPr="00F56D12" w:rsidRDefault="00F56D12" w:rsidP="00F56D12">
          <w:r w:rsidRPr="00F56D12">
            <w:br w:type="page"/>
          </w:r>
        </w:p>
        <w:p w:rsidR="00F56D12" w:rsidRDefault="00B8515B">
          <w:pPr>
            <w:spacing w:line="240" w:lineRule="auto"/>
          </w:pPr>
        </w:p>
      </w:sdtContent>
    </w:sdt>
    <w:p w:rsidR="000A6C7B" w:rsidRDefault="000A6C7B" w:rsidP="00327A1E">
      <w:pPr>
        <w:pStyle w:val="Copyright"/>
      </w:pPr>
      <w:r>
        <w:t>© Commonwealth of Australia 201</w:t>
      </w:r>
      <w:r w:rsidR="008B1B3F">
        <w:t>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185CB9">
      <w:pPr>
        <w:pStyle w:val="StyleCopyrightBefore0pt"/>
        <w:numPr>
          <w:ilvl w:val="0"/>
          <w:numId w:val="27"/>
        </w:numPr>
      </w:pPr>
      <w:r>
        <w:t>the Commonwealth Coat of Arms</w:t>
      </w:r>
    </w:p>
    <w:p w:rsidR="000A6C7B" w:rsidRDefault="000A6C7B" w:rsidP="00185CB9">
      <w:pPr>
        <w:pStyle w:val="StyleCopyrightBefore0pt"/>
        <w:numPr>
          <w:ilvl w:val="0"/>
          <w:numId w:val="27"/>
        </w:numPr>
      </w:pPr>
      <w:r>
        <w:t>the ACCC and AER logos</w:t>
      </w:r>
    </w:p>
    <w:p w:rsidR="000A6C7B" w:rsidRPr="00B927D8" w:rsidRDefault="000A6C7B" w:rsidP="00B927D8">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4141,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0A6C7B">
      <w:pPr>
        <w:pStyle w:val="Copyright"/>
      </w:pPr>
      <w:r>
        <w:t>Tel: (03) 9290 1444</w:t>
      </w:r>
      <w:r w:rsidR="00951978">
        <w:br/>
      </w:r>
      <w:r>
        <w:t>Fax: (03) 9290 1457</w:t>
      </w:r>
    </w:p>
    <w:p w:rsidR="000A6C7B" w:rsidRPr="00951978" w:rsidRDefault="000A6C7B" w:rsidP="000A6C7B">
      <w:pPr>
        <w:pStyle w:val="Copyright"/>
        <w:rPr>
          <w:color w:val="0000FF"/>
          <w:sz w:val="22"/>
          <w:u w:val="single"/>
        </w:rPr>
      </w:pPr>
      <w:r>
        <w:t xml:space="preserve">Email: </w:t>
      </w:r>
      <w:hyperlink r:id="rId11" w:history="1">
        <w:r w:rsidRPr="00D64888">
          <w:rPr>
            <w:rStyle w:val="Hyperlink"/>
          </w:rPr>
          <w:t>AERInquiry@aer.gov.au</w:t>
        </w:r>
      </w:hyperlink>
      <w:r w:rsidR="00951978">
        <w:rPr>
          <w:rStyle w:val="Hyperlink"/>
        </w:rPr>
        <w:br/>
      </w:r>
      <w:r>
        <w:t xml:space="preserve">AER Reference: </w:t>
      </w:r>
      <w:r w:rsidR="00F56D12">
        <w:t>58</w:t>
      </w:r>
      <w:r w:rsidR="008B1B3F">
        <w:t>930</w:t>
      </w:r>
    </w:p>
    <w:p w:rsidR="000A6C7B" w:rsidRDefault="000A6C7B" w:rsidP="000A6C7B"/>
    <w:p w:rsidR="002010BC" w:rsidRDefault="002010BC">
      <w:pPr>
        <w:spacing w:line="240" w:lineRule="auto"/>
      </w:pPr>
      <w:r>
        <w:br w:type="page"/>
      </w:r>
    </w:p>
    <w:p w:rsidR="002010BC" w:rsidRDefault="002010BC" w:rsidP="00DB5074"/>
    <w:p w:rsidR="002010BC" w:rsidRDefault="00A75077" w:rsidP="00A75077">
      <w:pPr>
        <w:pStyle w:val="TOCHeading"/>
      </w:pPr>
      <w:r>
        <w:t>Contents</w:t>
      </w:r>
    </w:p>
    <w:p w:rsidR="000A4FF0"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68376903" w:history="1">
        <w:r w:rsidR="000A4FF0" w:rsidRPr="00C216EF">
          <w:rPr>
            <w:rStyle w:val="Hyperlink"/>
          </w:rPr>
          <w:t>Shortened forms</w:t>
        </w:r>
        <w:r w:rsidR="000A4FF0">
          <w:rPr>
            <w:webHidden/>
          </w:rPr>
          <w:tab/>
        </w:r>
        <w:r w:rsidR="000A4FF0">
          <w:rPr>
            <w:webHidden/>
          </w:rPr>
          <w:fldChar w:fldCharType="begin"/>
        </w:r>
        <w:r w:rsidR="000A4FF0">
          <w:rPr>
            <w:webHidden/>
          </w:rPr>
          <w:instrText xml:space="preserve"> PAGEREF _Toc468376903 \h </w:instrText>
        </w:r>
        <w:r w:rsidR="000A4FF0">
          <w:rPr>
            <w:webHidden/>
          </w:rPr>
        </w:r>
        <w:r w:rsidR="000A4FF0">
          <w:rPr>
            <w:webHidden/>
          </w:rPr>
          <w:fldChar w:fldCharType="separate"/>
        </w:r>
        <w:r w:rsidR="00B8515B">
          <w:rPr>
            <w:webHidden/>
          </w:rPr>
          <w:t>iv</w:t>
        </w:r>
        <w:r w:rsidR="000A4FF0">
          <w:rPr>
            <w:webHidden/>
          </w:rPr>
          <w:fldChar w:fldCharType="end"/>
        </w:r>
      </w:hyperlink>
    </w:p>
    <w:p w:rsidR="000A4FF0" w:rsidRDefault="00B8515B">
      <w:pPr>
        <w:pStyle w:val="TOC1"/>
        <w:rPr>
          <w:rFonts w:asciiTheme="minorHAnsi" w:eastAsiaTheme="minorEastAsia" w:hAnsiTheme="minorHAnsi"/>
          <w:b w:val="0"/>
          <w:color w:val="auto"/>
          <w:sz w:val="22"/>
          <w:lang w:val="en-AU" w:eastAsia="en-AU"/>
        </w:rPr>
      </w:pPr>
      <w:hyperlink w:anchor="_Toc468376904" w:history="1">
        <w:r w:rsidR="000A4FF0" w:rsidRPr="00C216EF">
          <w:rPr>
            <w:rStyle w:val="Hyperlink"/>
          </w:rPr>
          <w:t>1</w:t>
        </w:r>
        <w:r w:rsidR="000A4FF0">
          <w:rPr>
            <w:rFonts w:asciiTheme="minorHAnsi" w:eastAsiaTheme="minorEastAsia" w:hAnsiTheme="minorHAnsi"/>
            <w:b w:val="0"/>
            <w:color w:val="auto"/>
            <w:sz w:val="22"/>
            <w:lang w:val="en-AU" w:eastAsia="en-AU"/>
          </w:rPr>
          <w:tab/>
        </w:r>
        <w:r w:rsidR="000A4FF0" w:rsidRPr="00C216EF">
          <w:rPr>
            <w:rStyle w:val="Hyperlink"/>
          </w:rPr>
          <w:t>Introduction</w:t>
        </w:r>
        <w:r w:rsidR="000A4FF0">
          <w:rPr>
            <w:webHidden/>
          </w:rPr>
          <w:tab/>
        </w:r>
        <w:r w:rsidR="000A4FF0">
          <w:rPr>
            <w:webHidden/>
          </w:rPr>
          <w:fldChar w:fldCharType="begin"/>
        </w:r>
        <w:r w:rsidR="000A4FF0">
          <w:rPr>
            <w:webHidden/>
          </w:rPr>
          <w:instrText xml:space="preserve"> PAGEREF _Toc468376904 \h </w:instrText>
        </w:r>
        <w:r w:rsidR="000A4FF0">
          <w:rPr>
            <w:webHidden/>
          </w:rPr>
        </w:r>
        <w:r w:rsidR="000A4FF0">
          <w:rPr>
            <w:webHidden/>
          </w:rPr>
          <w:fldChar w:fldCharType="separate"/>
        </w:r>
        <w:r>
          <w:rPr>
            <w:webHidden/>
          </w:rPr>
          <w:t>1</w:t>
        </w:r>
        <w:r w:rsidR="000A4FF0">
          <w:rPr>
            <w:webHidden/>
          </w:rPr>
          <w:fldChar w:fldCharType="end"/>
        </w:r>
      </w:hyperlink>
    </w:p>
    <w:p w:rsidR="000A4FF0" w:rsidRDefault="00B8515B">
      <w:pPr>
        <w:pStyle w:val="TOC2"/>
        <w:rPr>
          <w:rFonts w:asciiTheme="minorHAnsi" w:eastAsiaTheme="minorEastAsia" w:hAnsiTheme="minorHAnsi"/>
          <w:b w:val="0"/>
          <w:color w:val="auto"/>
          <w:sz w:val="22"/>
          <w:lang w:eastAsia="en-AU"/>
        </w:rPr>
      </w:pPr>
      <w:hyperlink w:anchor="_Toc468376905" w:history="1">
        <w:r w:rsidR="000A4FF0" w:rsidRPr="00C216EF">
          <w:rPr>
            <w:rStyle w:val="Hyperlink"/>
          </w:rPr>
          <w:t>1.1</w:t>
        </w:r>
        <w:r w:rsidR="000A4FF0">
          <w:rPr>
            <w:rFonts w:asciiTheme="minorHAnsi" w:eastAsiaTheme="minorEastAsia" w:hAnsiTheme="minorHAnsi"/>
            <w:b w:val="0"/>
            <w:color w:val="auto"/>
            <w:sz w:val="22"/>
            <w:lang w:eastAsia="en-AU"/>
          </w:rPr>
          <w:tab/>
        </w:r>
        <w:r w:rsidR="000A4FF0" w:rsidRPr="00C216EF">
          <w:rPr>
            <w:rStyle w:val="Hyperlink"/>
          </w:rPr>
          <w:t>What does the RFM do?</w:t>
        </w:r>
        <w:r w:rsidR="000A4FF0">
          <w:rPr>
            <w:webHidden/>
          </w:rPr>
          <w:tab/>
        </w:r>
        <w:r w:rsidR="000A4FF0">
          <w:rPr>
            <w:webHidden/>
          </w:rPr>
          <w:fldChar w:fldCharType="begin"/>
        </w:r>
        <w:r w:rsidR="000A4FF0">
          <w:rPr>
            <w:webHidden/>
          </w:rPr>
          <w:instrText xml:space="preserve"> PAGEREF _Toc468376905 \h </w:instrText>
        </w:r>
        <w:r w:rsidR="000A4FF0">
          <w:rPr>
            <w:webHidden/>
          </w:rPr>
        </w:r>
        <w:r w:rsidR="000A4FF0">
          <w:rPr>
            <w:webHidden/>
          </w:rPr>
          <w:fldChar w:fldCharType="separate"/>
        </w:r>
        <w:r>
          <w:rPr>
            <w:webHidden/>
          </w:rPr>
          <w:t>2</w:t>
        </w:r>
        <w:r w:rsidR="000A4FF0">
          <w:rPr>
            <w:webHidden/>
          </w:rPr>
          <w:fldChar w:fldCharType="end"/>
        </w:r>
      </w:hyperlink>
    </w:p>
    <w:p w:rsidR="000A4FF0" w:rsidRDefault="00B8515B">
      <w:pPr>
        <w:pStyle w:val="TOC2"/>
        <w:rPr>
          <w:rFonts w:asciiTheme="minorHAnsi" w:eastAsiaTheme="minorEastAsia" w:hAnsiTheme="minorHAnsi"/>
          <w:b w:val="0"/>
          <w:color w:val="auto"/>
          <w:sz w:val="22"/>
          <w:lang w:eastAsia="en-AU"/>
        </w:rPr>
      </w:pPr>
      <w:hyperlink w:anchor="_Toc468376906" w:history="1">
        <w:r w:rsidR="000A4FF0" w:rsidRPr="00C216EF">
          <w:rPr>
            <w:rStyle w:val="Hyperlink"/>
          </w:rPr>
          <w:t>1.2</w:t>
        </w:r>
        <w:r w:rsidR="000A4FF0">
          <w:rPr>
            <w:rFonts w:asciiTheme="minorHAnsi" w:eastAsiaTheme="minorEastAsia" w:hAnsiTheme="minorHAnsi"/>
            <w:b w:val="0"/>
            <w:color w:val="auto"/>
            <w:sz w:val="22"/>
            <w:lang w:eastAsia="en-AU"/>
          </w:rPr>
          <w:tab/>
        </w:r>
        <w:r w:rsidR="000A4FF0" w:rsidRPr="00C216EF">
          <w:rPr>
            <w:rStyle w:val="Hyperlink"/>
          </w:rPr>
          <w:t>How was the amended RFM developed?</w:t>
        </w:r>
        <w:r w:rsidR="000A4FF0">
          <w:rPr>
            <w:webHidden/>
          </w:rPr>
          <w:tab/>
        </w:r>
        <w:r w:rsidR="000A4FF0">
          <w:rPr>
            <w:webHidden/>
          </w:rPr>
          <w:fldChar w:fldCharType="begin"/>
        </w:r>
        <w:r w:rsidR="000A4FF0">
          <w:rPr>
            <w:webHidden/>
          </w:rPr>
          <w:instrText xml:space="preserve"> PAGEREF _Toc468376906 \h </w:instrText>
        </w:r>
        <w:r w:rsidR="000A4FF0">
          <w:rPr>
            <w:webHidden/>
          </w:rPr>
        </w:r>
        <w:r w:rsidR="000A4FF0">
          <w:rPr>
            <w:webHidden/>
          </w:rPr>
          <w:fldChar w:fldCharType="separate"/>
        </w:r>
        <w:r>
          <w:rPr>
            <w:webHidden/>
          </w:rPr>
          <w:t>3</w:t>
        </w:r>
        <w:r w:rsidR="000A4FF0">
          <w:rPr>
            <w:webHidden/>
          </w:rPr>
          <w:fldChar w:fldCharType="end"/>
        </w:r>
      </w:hyperlink>
    </w:p>
    <w:p w:rsidR="000A4FF0" w:rsidRDefault="00B8515B">
      <w:pPr>
        <w:pStyle w:val="TOC2"/>
        <w:rPr>
          <w:rFonts w:asciiTheme="minorHAnsi" w:eastAsiaTheme="minorEastAsia" w:hAnsiTheme="minorHAnsi"/>
          <w:b w:val="0"/>
          <w:color w:val="auto"/>
          <w:sz w:val="22"/>
          <w:lang w:eastAsia="en-AU"/>
        </w:rPr>
      </w:pPr>
      <w:hyperlink w:anchor="_Toc468376907" w:history="1">
        <w:r w:rsidR="000A4FF0" w:rsidRPr="00C216EF">
          <w:rPr>
            <w:rStyle w:val="Hyperlink"/>
          </w:rPr>
          <w:t>1.3</w:t>
        </w:r>
        <w:r w:rsidR="000A4FF0">
          <w:rPr>
            <w:rFonts w:asciiTheme="minorHAnsi" w:eastAsiaTheme="minorEastAsia" w:hAnsiTheme="minorHAnsi"/>
            <w:b w:val="0"/>
            <w:color w:val="auto"/>
            <w:sz w:val="22"/>
            <w:lang w:eastAsia="en-AU"/>
          </w:rPr>
          <w:tab/>
        </w:r>
        <w:r w:rsidR="000A4FF0" w:rsidRPr="00C216EF">
          <w:rPr>
            <w:rStyle w:val="Hyperlink"/>
          </w:rPr>
          <w:t>Why are we updating the RFM?</w:t>
        </w:r>
        <w:r w:rsidR="000A4FF0">
          <w:rPr>
            <w:webHidden/>
          </w:rPr>
          <w:tab/>
        </w:r>
        <w:r w:rsidR="000A4FF0">
          <w:rPr>
            <w:webHidden/>
          </w:rPr>
          <w:fldChar w:fldCharType="begin"/>
        </w:r>
        <w:r w:rsidR="000A4FF0">
          <w:rPr>
            <w:webHidden/>
          </w:rPr>
          <w:instrText xml:space="preserve"> PAGEREF _Toc468376907 \h </w:instrText>
        </w:r>
        <w:r w:rsidR="000A4FF0">
          <w:rPr>
            <w:webHidden/>
          </w:rPr>
        </w:r>
        <w:r w:rsidR="000A4FF0">
          <w:rPr>
            <w:webHidden/>
          </w:rPr>
          <w:fldChar w:fldCharType="separate"/>
        </w:r>
        <w:r>
          <w:rPr>
            <w:webHidden/>
          </w:rPr>
          <w:t>4</w:t>
        </w:r>
        <w:r w:rsidR="000A4FF0">
          <w:rPr>
            <w:webHidden/>
          </w:rPr>
          <w:fldChar w:fldCharType="end"/>
        </w:r>
      </w:hyperlink>
    </w:p>
    <w:p w:rsidR="000A4FF0" w:rsidRDefault="00B8515B">
      <w:pPr>
        <w:pStyle w:val="TOC2"/>
        <w:rPr>
          <w:rFonts w:asciiTheme="minorHAnsi" w:eastAsiaTheme="minorEastAsia" w:hAnsiTheme="minorHAnsi"/>
          <w:b w:val="0"/>
          <w:color w:val="auto"/>
          <w:sz w:val="22"/>
          <w:lang w:eastAsia="en-AU"/>
        </w:rPr>
      </w:pPr>
      <w:hyperlink w:anchor="_Toc468376908" w:history="1">
        <w:r w:rsidR="000A4FF0" w:rsidRPr="00C216EF">
          <w:rPr>
            <w:rStyle w:val="Hyperlink"/>
          </w:rPr>
          <w:t>1.4</w:t>
        </w:r>
        <w:r w:rsidR="000A4FF0">
          <w:rPr>
            <w:rFonts w:asciiTheme="minorHAnsi" w:eastAsiaTheme="minorEastAsia" w:hAnsiTheme="minorHAnsi"/>
            <w:b w:val="0"/>
            <w:color w:val="auto"/>
            <w:sz w:val="22"/>
            <w:lang w:eastAsia="en-AU"/>
          </w:rPr>
          <w:tab/>
        </w:r>
        <w:r w:rsidR="000A4FF0" w:rsidRPr="00C216EF">
          <w:rPr>
            <w:rStyle w:val="Hyperlink"/>
          </w:rPr>
          <w:t>What are the key changes?</w:t>
        </w:r>
        <w:r w:rsidR="000A4FF0">
          <w:rPr>
            <w:webHidden/>
          </w:rPr>
          <w:tab/>
        </w:r>
        <w:r w:rsidR="000A4FF0">
          <w:rPr>
            <w:webHidden/>
          </w:rPr>
          <w:fldChar w:fldCharType="begin"/>
        </w:r>
        <w:r w:rsidR="000A4FF0">
          <w:rPr>
            <w:webHidden/>
          </w:rPr>
          <w:instrText xml:space="preserve"> PAGEREF _Toc468376908 \h </w:instrText>
        </w:r>
        <w:r w:rsidR="000A4FF0">
          <w:rPr>
            <w:webHidden/>
          </w:rPr>
        </w:r>
        <w:r w:rsidR="000A4FF0">
          <w:rPr>
            <w:webHidden/>
          </w:rPr>
          <w:fldChar w:fldCharType="separate"/>
        </w:r>
        <w:r>
          <w:rPr>
            <w:webHidden/>
          </w:rPr>
          <w:t>4</w:t>
        </w:r>
        <w:r w:rsidR="000A4FF0">
          <w:rPr>
            <w:webHidden/>
          </w:rPr>
          <w:fldChar w:fldCharType="end"/>
        </w:r>
      </w:hyperlink>
    </w:p>
    <w:p w:rsidR="000A4FF0" w:rsidRDefault="00B8515B">
      <w:pPr>
        <w:pStyle w:val="TOC1"/>
        <w:rPr>
          <w:rFonts w:asciiTheme="minorHAnsi" w:eastAsiaTheme="minorEastAsia" w:hAnsiTheme="minorHAnsi"/>
          <w:b w:val="0"/>
          <w:color w:val="auto"/>
          <w:sz w:val="22"/>
          <w:lang w:val="en-AU" w:eastAsia="en-AU"/>
        </w:rPr>
      </w:pPr>
      <w:hyperlink w:anchor="_Toc468376909" w:history="1">
        <w:r w:rsidR="000A4FF0" w:rsidRPr="00C216EF">
          <w:rPr>
            <w:rStyle w:val="Hyperlink"/>
          </w:rPr>
          <w:t>2</w:t>
        </w:r>
        <w:r w:rsidR="000A4FF0">
          <w:rPr>
            <w:rFonts w:asciiTheme="minorHAnsi" w:eastAsiaTheme="minorEastAsia" w:hAnsiTheme="minorHAnsi"/>
            <w:b w:val="0"/>
            <w:color w:val="auto"/>
            <w:sz w:val="22"/>
            <w:lang w:val="en-AU" w:eastAsia="en-AU"/>
          </w:rPr>
          <w:tab/>
        </w:r>
        <w:r w:rsidR="000A4FF0" w:rsidRPr="00C216EF">
          <w:rPr>
            <w:rStyle w:val="Hyperlink"/>
          </w:rPr>
          <w:t>Amendments</w:t>
        </w:r>
        <w:r w:rsidR="000A4FF0">
          <w:rPr>
            <w:webHidden/>
          </w:rPr>
          <w:tab/>
        </w:r>
        <w:r w:rsidR="000A4FF0">
          <w:rPr>
            <w:webHidden/>
          </w:rPr>
          <w:fldChar w:fldCharType="begin"/>
        </w:r>
        <w:r w:rsidR="000A4FF0">
          <w:rPr>
            <w:webHidden/>
          </w:rPr>
          <w:instrText xml:space="preserve"> PAGEREF _Toc468376909 \h </w:instrText>
        </w:r>
        <w:r w:rsidR="000A4FF0">
          <w:rPr>
            <w:webHidden/>
          </w:rPr>
        </w:r>
        <w:r w:rsidR="000A4FF0">
          <w:rPr>
            <w:webHidden/>
          </w:rPr>
          <w:fldChar w:fldCharType="separate"/>
        </w:r>
        <w:r>
          <w:rPr>
            <w:webHidden/>
          </w:rPr>
          <w:t>6</w:t>
        </w:r>
        <w:r w:rsidR="000A4FF0">
          <w:rPr>
            <w:webHidden/>
          </w:rPr>
          <w:fldChar w:fldCharType="end"/>
        </w:r>
      </w:hyperlink>
    </w:p>
    <w:p w:rsidR="000A4FF0" w:rsidRDefault="00B8515B">
      <w:pPr>
        <w:pStyle w:val="TOC2"/>
        <w:rPr>
          <w:rFonts w:asciiTheme="minorHAnsi" w:eastAsiaTheme="minorEastAsia" w:hAnsiTheme="minorHAnsi"/>
          <w:b w:val="0"/>
          <w:color w:val="auto"/>
          <w:sz w:val="22"/>
          <w:lang w:eastAsia="en-AU"/>
        </w:rPr>
      </w:pPr>
      <w:hyperlink w:anchor="_Toc468376910" w:history="1">
        <w:r w:rsidR="000A4FF0" w:rsidRPr="00C216EF">
          <w:rPr>
            <w:rStyle w:val="Hyperlink"/>
          </w:rPr>
          <w:t>2.1</w:t>
        </w:r>
        <w:r w:rsidR="000A4FF0">
          <w:rPr>
            <w:rFonts w:asciiTheme="minorHAnsi" w:eastAsiaTheme="minorEastAsia" w:hAnsiTheme="minorHAnsi"/>
            <w:b w:val="0"/>
            <w:color w:val="auto"/>
            <w:sz w:val="22"/>
            <w:lang w:eastAsia="en-AU"/>
          </w:rPr>
          <w:tab/>
        </w:r>
        <w:r w:rsidR="000A4FF0" w:rsidRPr="00C216EF">
          <w:rPr>
            <w:rStyle w:val="Hyperlink"/>
          </w:rPr>
          <w:t>Forecast or actual depreciation in RAB roll forward</w:t>
        </w:r>
        <w:r w:rsidR="000A4FF0">
          <w:rPr>
            <w:webHidden/>
          </w:rPr>
          <w:tab/>
        </w:r>
        <w:r w:rsidR="000A4FF0">
          <w:rPr>
            <w:webHidden/>
          </w:rPr>
          <w:fldChar w:fldCharType="begin"/>
        </w:r>
        <w:r w:rsidR="000A4FF0">
          <w:rPr>
            <w:webHidden/>
          </w:rPr>
          <w:instrText xml:space="preserve"> PAGEREF _Toc468376910 \h </w:instrText>
        </w:r>
        <w:r w:rsidR="000A4FF0">
          <w:rPr>
            <w:webHidden/>
          </w:rPr>
        </w:r>
        <w:r w:rsidR="000A4FF0">
          <w:rPr>
            <w:webHidden/>
          </w:rPr>
          <w:fldChar w:fldCharType="separate"/>
        </w:r>
        <w:r>
          <w:rPr>
            <w:webHidden/>
          </w:rPr>
          <w:t>6</w:t>
        </w:r>
        <w:r w:rsidR="000A4FF0">
          <w:rPr>
            <w:webHidden/>
          </w:rPr>
          <w:fldChar w:fldCharType="end"/>
        </w:r>
      </w:hyperlink>
    </w:p>
    <w:p w:rsidR="000A4FF0" w:rsidRDefault="00B8515B">
      <w:pPr>
        <w:pStyle w:val="TOC2"/>
        <w:rPr>
          <w:rFonts w:asciiTheme="minorHAnsi" w:eastAsiaTheme="minorEastAsia" w:hAnsiTheme="minorHAnsi"/>
          <w:b w:val="0"/>
          <w:color w:val="auto"/>
          <w:sz w:val="22"/>
          <w:lang w:eastAsia="en-AU"/>
        </w:rPr>
      </w:pPr>
      <w:hyperlink w:anchor="_Toc468376911" w:history="1">
        <w:r w:rsidR="000A4FF0" w:rsidRPr="00C216EF">
          <w:rPr>
            <w:rStyle w:val="Hyperlink"/>
          </w:rPr>
          <w:t>2.2</w:t>
        </w:r>
        <w:r w:rsidR="000A4FF0">
          <w:rPr>
            <w:rFonts w:asciiTheme="minorHAnsi" w:eastAsiaTheme="minorEastAsia" w:hAnsiTheme="minorHAnsi"/>
            <w:b w:val="0"/>
            <w:color w:val="auto"/>
            <w:sz w:val="22"/>
            <w:lang w:eastAsia="en-AU"/>
          </w:rPr>
          <w:tab/>
        </w:r>
        <w:r w:rsidR="000A4FF0" w:rsidRPr="00C216EF">
          <w:rPr>
            <w:rStyle w:val="Hyperlink"/>
          </w:rPr>
          <w:t>Remaining asset lives</w:t>
        </w:r>
        <w:r w:rsidR="000A4FF0">
          <w:rPr>
            <w:webHidden/>
          </w:rPr>
          <w:tab/>
        </w:r>
        <w:r w:rsidR="000A4FF0">
          <w:rPr>
            <w:webHidden/>
          </w:rPr>
          <w:fldChar w:fldCharType="begin"/>
        </w:r>
        <w:r w:rsidR="000A4FF0">
          <w:rPr>
            <w:webHidden/>
          </w:rPr>
          <w:instrText xml:space="preserve"> PAGEREF _Toc468376911 \h </w:instrText>
        </w:r>
        <w:r w:rsidR="000A4FF0">
          <w:rPr>
            <w:webHidden/>
          </w:rPr>
        </w:r>
        <w:r w:rsidR="000A4FF0">
          <w:rPr>
            <w:webHidden/>
          </w:rPr>
          <w:fldChar w:fldCharType="separate"/>
        </w:r>
        <w:r>
          <w:rPr>
            <w:webHidden/>
          </w:rPr>
          <w:t>7</w:t>
        </w:r>
        <w:r w:rsidR="000A4FF0">
          <w:rPr>
            <w:webHidden/>
          </w:rPr>
          <w:fldChar w:fldCharType="end"/>
        </w:r>
      </w:hyperlink>
    </w:p>
    <w:p w:rsidR="000A4FF0" w:rsidRDefault="00B8515B">
      <w:pPr>
        <w:pStyle w:val="TOC2"/>
        <w:rPr>
          <w:rFonts w:asciiTheme="minorHAnsi" w:eastAsiaTheme="minorEastAsia" w:hAnsiTheme="minorHAnsi"/>
          <w:b w:val="0"/>
          <w:color w:val="auto"/>
          <w:sz w:val="22"/>
          <w:lang w:eastAsia="en-AU"/>
        </w:rPr>
      </w:pPr>
      <w:hyperlink w:anchor="_Toc468376912" w:history="1">
        <w:r w:rsidR="000A4FF0" w:rsidRPr="00C216EF">
          <w:rPr>
            <w:rStyle w:val="Hyperlink"/>
          </w:rPr>
          <w:t>2.3</w:t>
        </w:r>
        <w:r w:rsidR="000A4FF0">
          <w:rPr>
            <w:rFonts w:asciiTheme="minorHAnsi" w:eastAsiaTheme="minorEastAsia" w:hAnsiTheme="minorHAnsi"/>
            <w:b w:val="0"/>
            <w:color w:val="auto"/>
            <w:sz w:val="22"/>
            <w:lang w:eastAsia="en-AU"/>
          </w:rPr>
          <w:tab/>
        </w:r>
        <w:r w:rsidR="000A4FF0" w:rsidRPr="00C216EF">
          <w:rPr>
            <w:rStyle w:val="Hyperlink"/>
          </w:rPr>
          <w:t>End of period adjustments</w:t>
        </w:r>
        <w:r w:rsidR="000A4FF0">
          <w:rPr>
            <w:webHidden/>
          </w:rPr>
          <w:tab/>
        </w:r>
        <w:r w:rsidR="000A4FF0">
          <w:rPr>
            <w:webHidden/>
          </w:rPr>
          <w:fldChar w:fldCharType="begin"/>
        </w:r>
        <w:r w:rsidR="000A4FF0">
          <w:rPr>
            <w:webHidden/>
          </w:rPr>
          <w:instrText xml:space="preserve"> PAGEREF _Toc468376912 \h </w:instrText>
        </w:r>
        <w:r w:rsidR="000A4FF0">
          <w:rPr>
            <w:webHidden/>
          </w:rPr>
        </w:r>
        <w:r w:rsidR="000A4FF0">
          <w:rPr>
            <w:webHidden/>
          </w:rPr>
          <w:fldChar w:fldCharType="separate"/>
        </w:r>
        <w:r>
          <w:rPr>
            <w:webHidden/>
          </w:rPr>
          <w:t>9</w:t>
        </w:r>
        <w:r w:rsidR="000A4FF0">
          <w:rPr>
            <w:webHidden/>
          </w:rPr>
          <w:fldChar w:fldCharType="end"/>
        </w:r>
      </w:hyperlink>
    </w:p>
    <w:p w:rsidR="000A4FF0" w:rsidRDefault="00B8515B">
      <w:pPr>
        <w:pStyle w:val="TOC2"/>
        <w:rPr>
          <w:rFonts w:asciiTheme="minorHAnsi" w:eastAsiaTheme="minorEastAsia" w:hAnsiTheme="minorHAnsi"/>
          <w:b w:val="0"/>
          <w:color w:val="auto"/>
          <w:sz w:val="22"/>
          <w:lang w:eastAsia="en-AU"/>
        </w:rPr>
      </w:pPr>
      <w:hyperlink w:anchor="_Toc468376913" w:history="1">
        <w:r w:rsidR="000A4FF0" w:rsidRPr="00C216EF">
          <w:rPr>
            <w:rStyle w:val="Hyperlink"/>
          </w:rPr>
          <w:t>2.4</w:t>
        </w:r>
        <w:r w:rsidR="000A4FF0">
          <w:rPr>
            <w:rFonts w:asciiTheme="minorHAnsi" w:eastAsiaTheme="minorEastAsia" w:hAnsiTheme="minorHAnsi"/>
            <w:b w:val="0"/>
            <w:color w:val="auto"/>
            <w:sz w:val="22"/>
            <w:lang w:eastAsia="en-AU"/>
          </w:rPr>
          <w:tab/>
        </w:r>
        <w:r w:rsidR="000A4FF0" w:rsidRPr="00C216EF">
          <w:rPr>
            <w:rStyle w:val="Hyperlink"/>
          </w:rPr>
          <w:t>Annual WACC updates</w:t>
        </w:r>
        <w:r w:rsidR="000A4FF0">
          <w:rPr>
            <w:webHidden/>
          </w:rPr>
          <w:tab/>
        </w:r>
        <w:r w:rsidR="000A4FF0">
          <w:rPr>
            <w:webHidden/>
          </w:rPr>
          <w:fldChar w:fldCharType="begin"/>
        </w:r>
        <w:r w:rsidR="000A4FF0">
          <w:rPr>
            <w:webHidden/>
          </w:rPr>
          <w:instrText xml:space="preserve"> PAGEREF _Toc468376913 \h </w:instrText>
        </w:r>
        <w:r w:rsidR="000A4FF0">
          <w:rPr>
            <w:webHidden/>
          </w:rPr>
        </w:r>
        <w:r w:rsidR="000A4FF0">
          <w:rPr>
            <w:webHidden/>
          </w:rPr>
          <w:fldChar w:fldCharType="separate"/>
        </w:r>
        <w:r>
          <w:rPr>
            <w:webHidden/>
          </w:rPr>
          <w:t>10</w:t>
        </w:r>
        <w:r w:rsidR="000A4FF0">
          <w:rPr>
            <w:webHidden/>
          </w:rPr>
          <w:fldChar w:fldCharType="end"/>
        </w:r>
      </w:hyperlink>
    </w:p>
    <w:p w:rsidR="000A4FF0" w:rsidRDefault="00B8515B">
      <w:pPr>
        <w:pStyle w:val="TOC2"/>
        <w:rPr>
          <w:rFonts w:asciiTheme="minorHAnsi" w:eastAsiaTheme="minorEastAsia" w:hAnsiTheme="minorHAnsi"/>
          <w:b w:val="0"/>
          <w:color w:val="auto"/>
          <w:sz w:val="22"/>
          <w:lang w:eastAsia="en-AU"/>
        </w:rPr>
      </w:pPr>
      <w:hyperlink w:anchor="_Toc468376914" w:history="1">
        <w:r w:rsidR="000A4FF0" w:rsidRPr="00C216EF">
          <w:rPr>
            <w:rStyle w:val="Hyperlink"/>
          </w:rPr>
          <w:t>2.5</w:t>
        </w:r>
        <w:r w:rsidR="000A4FF0">
          <w:rPr>
            <w:rFonts w:asciiTheme="minorHAnsi" w:eastAsiaTheme="minorEastAsia" w:hAnsiTheme="minorHAnsi"/>
            <w:b w:val="0"/>
            <w:color w:val="auto"/>
            <w:sz w:val="22"/>
            <w:lang w:eastAsia="en-AU"/>
          </w:rPr>
          <w:tab/>
        </w:r>
        <w:r w:rsidR="000A4FF0" w:rsidRPr="00C216EF">
          <w:rPr>
            <w:rStyle w:val="Hyperlink"/>
          </w:rPr>
          <w:t>Input worksheet for AER data management system</w:t>
        </w:r>
        <w:r w:rsidR="000A4FF0">
          <w:rPr>
            <w:webHidden/>
          </w:rPr>
          <w:tab/>
        </w:r>
        <w:r w:rsidR="000A4FF0">
          <w:rPr>
            <w:webHidden/>
          </w:rPr>
          <w:fldChar w:fldCharType="begin"/>
        </w:r>
        <w:r w:rsidR="000A4FF0">
          <w:rPr>
            <w:webHidden/>
          </w:rPr>
          <w:instrText xml:space="preserve"> PAGEREF _Toc468376914 \h </w:instrText>
        </w:r>
        <w:r w:rsidR="000A4FF0">
          <w:rPr>
            <w:webHidden/>
          </w:rPr>
        </w:r>
        <w:r w:rsidR="000A4FF0">
          <w:rPr>
            <w:webHidden/>
          </w:rPr>
          <w:fldChar w:fldCharType="separate"/>
        </w:r>
        <w:r>
          <w:rPr>
            <w:webHidden/>
          </w:rPr>
          <w:t>11</w:t>
        </w:r>
        <w:r w:rsidR="000A4FF0">
          <w:rPr>
            <w:webHidden/>
          </w:rPr>
          <w:fldChar w:fldCharType="end"/>
        </w:r>
      </w:hyperlink>
    </w:p>
    <w:p w:rsidR="000A4FF0" w:rsidRDefault="00B8515B">
      <w:pPr>
        <w:pStyle w:val="TOC2"/>
        <w:rPr>
          <w:rFonts w:asciiTheme="minorHAnsi" w:eastAsiaTheme="minorEastAsia" w:hAnsiTheme="minorHAnsi"/>
          <w:b w:val="0"/>
          <w:color w:val="auto"/>
          <w:sz w:val="22"/>
          <w:lang w:eastAsia="en-AU"/>
        </w:rPr>
      </w:pPr>
      <w:hyperlink w:anchor="_Toc468376915" w:history="1">
        <w:r w:rsidR="000A4FF0" w:rsidRPr="00C216EF">
          <w:rPr>
            <w:rStyle w:val="Hyperlink"/>
          </w:rPr>
          <w:t>2.6</w:t>
        </w:r>
        <w:r w:rsidR="000A4FF0">
          <w:rPr>
            <w:rFonts w:asciiTheme="minorHAnsi" w:eastAsiaTheme="minorEastAsia" w:hAnsiTheme="minorHAnsi"/>
            <w:b w:val="0"/>
            <w:color w:val="auto"/>
            <w:sz w:val="22"/>
            <w:lang w:eastAsia="en-AU"/>
          </w:rPr>
          <w:tab/>
        </w:r>
        <w:r w:rsidR="000A4FF0" w:rsidRPr="00C216EF">
          <w:rPr>
            <w:rStyle w:val="Hyperlink"/>
          </w:rPr>
          <w:t>Use of actual inflation</w:t>
        </w:r>
        <w:r w:rsidR="000A4FF0">
          <w:rPr>
            <w:webHidden/>
          </w:rPr>
          <w:tab/>
        </w:r>
        <w:r w:rsidR="000A4FF0">
          <w:rPr>
            <w:webHidden/>
          </w:rPr>
          <w:fldChar w:fldCharType="begin"/>
        </w:r>
        <w:r w:rsidR="000A4FF0">
          <w:rPr>
            <w:webHidden/>
          </w:rPr>
          <w:instrText xml:space="preserve"> PAGEREF _Toc468376915 \h </w:instrText>
        </w:r>
        <w:r w:rsidR="000A4FF0">
          <w:rPr>
            <w:webHidden/>
          </w:rPr>
        </w:r>
        <w:r w:rsidR="000A4FF0">
          <w:rPr>
            <w:webHidden/>
          </w:rPr>
          <w:fldChar w:fldCharType="separate"/>
        </w:r>
        <w:r>
          <w:rPr>
            <w:webHidden/>
          </w:rPr>
          <w:t>11</w:t>
        </w:r>
        <w:r w:rsidR="000A4FF0">
          <w:rPr>
            <w:webHidden/>
          </w:rPr>
          <w:fldChar w:fldCharType="end"/>
        </w:r>
      </w:hyperlink>
    </w:p>
    <w:p w:rsidR="000A4FF0" w:rsidRDefault="00B8515B">
      <w:pPr>
        <w:pStyle w:val="TOC2"/>
        <w:rPr>
          <w:rFonts w:asciiTheme="minorHAnsi" w:eastAsiaTheme="minorEastAsia" w:hAnsiTheme="minorHAnsi"/>
          <w:b w:val="0"/>
          <w:color w:val="auto"/>
          <w:sz w:val="22"/>
          <w:lang w:eastAsia="en-AU"/>
        </w:rPr>
      </w:pPr>
      <w:hyperlink w:anchor="_Toc468376916" w:history="1">
        <w:r w:rsidR="000A4FF0" w:rsidRPr="00C216EF">
          <w:rPr>
            <w:rStyle w:val="Hyperlink"/>
          </w:rPr>
          <w:t>2.7</w:t>
        </w:r>
        <w:r w:rsidR="000A4FF0">
          <w:rPr>
            <w:rFonts w:asciiTheme="minorHAnsi" w:eastAsiaTheme="minorEastAsia" w:hAnsiTheme="minorHAnsi"/>
            <w:b w:val="0"/>
            <w:color w:val="auto"/>
            <w:sz w:val="22"/>
            <w:lang w:eastAsia="en-AU"/>
          </w:rPr>
          <w:tab/>
        </w:r>
        <w:r w:rsidR="000A4FF0" w:rsidRPr="00C216EF">
          <w:rPr>
            <w:rStyle w:val="Hyperlink"/>
          </w:rPr>
          <w:t>Other minor improvements</w:t>
        </w:r>
        <w:r w:rsidR="000A4FF0">
          <w:rPr>
            <w:webHidden/>
          </w:rPr>
          <w:tab/>
        </w:r>
        <w:r w:rsidR="000A4FF0">
          <w:rPr>
            <w:webHidden/>
          </w:rPr>
          <w:fldChar w:fldCharType="begin"/>
        </w:r>
        <w:r w:rsidR="000A4FF0">
          <w:rPr>
            <w:webHidden/>
          </w:rPr>
          <w:instrText xml:space="preserve"> PAGEREF _Toc468376916 \h </w:instrText>
        </w:r>
        <w:r w:rsidR="000A4FF0">
          <w:rPr>
            <w:webHidden/>
          </w:rPr>
        </w:r>
        <w:r w:rsidR="000A4FF0">
          <w:rPr>
            <w:webHidden/>
          </w:rPr>
          <w:fldChar w:fldCharType="separate"/>
        </w:r>
        <w:r>
          <w:rPr>
            <w:webHidden/>
          </w:rPr>
          <w:t>13</w:t>
        </w:r>
        <w:r w:rsidR="000A4FF0">
          <w:rPr>
            <w:webHidden/>
          </w:rPr>
          <w:fldChar w:fldCharType="end"/>
        </w:r>
      </w:hyperlink>
    </w:p>
    <w:p w:rsidR="000A4FF0" w:rsidRDefault="00B8515B">
      <w:pPr>
        <w:pStyle w:val="TOC1"/>
        <w:rPr>
          <w:rFonts w:asciiTheme="minorHAnsi" w:eastAsiaTheme="minorEastAsia" w:hAnsiTheme="minorHAnsi"/>
          <w:b w:val="0"/>
          <w:color w:val="auto"/>
          <w:sz w:val="22"/>
          <w:lang w:val="en-AU" w:eastAsia="en-AU"/>
        </w:rPr>
      </w:pPr>
      <w:hyperlink w:anchor="_Toc468376917" w:history="1">
        <w:r w:rsidR="000A4FF0" w:rsidRPr="00C216EF">
          <w:rPr>
            <w:rStyle w:val="Hyperlink"/>
          </w:rPr>
          <w:t>3</w:t>
        </w:r>
        <w:r w:rsidR="000A4FF0">
          <w:rPr>
            <w:rFonts w:asciiTheme="minorHAnsi" w:eastAsiaTheme="minorEastAsia" w:hAnsiTheme="minorHAnsi"/>
            <w:b w:val="0"/>
            <w:color w:val="auto"/>
            <w:sz w:val="22"/>
            <w:lang w:val="en-AU" w:eastAsia="en-AU"/>
          </w:rPr>
          <w:tab/>
        </w:r>
        <w:r w:rsidR="000A4FF0" w:rsidRPr="00C216EF">
          <w:rPr>
            <w:rStyle w:val="Hyperlink"/>
          </w:rPr>
          <w:t>Other issues</w:t>
        </w:r>
        <w:r w:rsidR="000A4FF0">
          <w:rPr>
            <w:webHidden/>
          </w:rPr>
          <w:tab/>
        </w:r>
        <w:r w:rsidR="000A4FF0">
          <w:rPr>
            <w:webHidden/>
          </w:rPr>
          <w:fldChar w:fldCharType="begin"/>
        </w:r>
        <w:r w:rsidR="000A4FF0">
          <w:rPr>
            <w:webHidden/>
          </w:rPr>
          <w:instrText xml:space="preserve"> PAGEREF _Toc468376917 \h </w:instrText>
        </w:r>
        <w:r w:rsidR="000A4FF0">
          <w:rPr>
            <w:webHidden/>
          </w:rPr>
        </w:r>
        <w:r w:rsidR="000A4FF0">
          <w:rPr>
            <w:webHidden/>
          </w:rPr>
          <w:fldChar w:fldCharType="separate"/>
        </w:r>
        <w:r>
          <w:rPr>
            <w:webHidden/>
          </w:rPr>
          <w:t>14</w:t>
        </w:r>
        <w:r w:rsidR="000A4FF0">
          <w:rPr>
            <w:webHidden/>
          </w:rPr>
          <w:fldChar w:fldCharType="end"/>
        </w:r>
      </w:hyperlink>
    </w:p>
    <w:p w:rsidR="000A4FF0" w:rsidRDefault="00B8515B">
      <w:pPr>
        <w:pStyle w:val="TOC2"/>
        <w:rPr>
          <w:rFonts w:asciiTheme="minorHAnsi" w:eastAsiaTheme="minorEastAsia" w:hAnsiTheme="minorHAnsi"/>
          <w:b w:val="0"/>
          <w:color w:val="auto"/>
          <w:sz w:val="22"/>
          <w:lang w:eastAsia="en-AU"/>
        </w:rPr>
      </w:pPr>
      <w:hyperlink w:anchor="_Toc468376918" w:history="1">
        <w:r w:rsidR="000A4FF0" w:rsidRPr="00C216EF">
          <w:rPr>
            <w:rStyle w:val="Hyperlink"/>
          </w:rPr>
          <w:t>3.1</w:t>
        </w:r>
        <w:r w:rsidR="000A4FF0">
          <w:rPr>
            <w:rFonts w:asciiTheme="minorHAnsi" w:eastAsiaTheme="minorEastAsia" w:hAnsiTheme="minorHAnsi"/>
            <w:b w:val="0"/>
            <w:color w:val="auto"/>
            <w:sz w:val="22"/>
            <w:lang w:eastAsia="en-AU"/>
          </w:rPr>
          <w:tab/>
        </w:r>
        <w:r w:rsidR="000A4FF0" w:rsidRPr="00C216EF">
          <w:rPr>
            <w:rStyle w:val="Hyperlink"/>
          </w:rPr>
          <w:t>Expected inflation</w:t>
        </w:r>
        <w:r w:rsidR="000A4FF0">
          <w:rPr>
            <w:webHidden/>
          </w:rPr>
          <w:tab/>
        </w:r>
        <w:r w:rsidR="000A4FF0">
          <w:rPr>
            <w:webHidden/>
          </w:rPr>
          <w:fldChar w:fldCharType="begin"/>
        </w:r>
        <w:r w:rsidR="000A4FF0">
          <w:rPr>
            <w:webHidden/>
          </w:rPr>
          <w:instrText xml:space="preserve"> PAGEREF _Toc468376918 \h </w:instrText>
        </w:r>
        <w:r w:rsidR="000A4FF0">
          <w:rPr>
            <w:webHidden/>
          </w:rPr>
        </w:r>
        <w:r w:rsidR="000A4FF0">
          <w:rPr>
            <w:webHidden/>
          </w:rPr>
          <w:fldChar w:fldCharType="separate"/>
        </w:r>
        <w:r>
          <w:rPr>
            <w:webHidden/>
          </w:rPr>
          <w:t>14</w:t>
        </w:r>
        <w:r w:rsidR="000A4FF0">
          <w:rPr>
            <w:webHidden/>
          </w:rPr>
          <w:fldChar w:fldCharType="end"/>
        </w:r>
      </w:hyperlink>
    </w:p>
    <w:p w:rsidR="000A4FF0" w:rsidRDefault="00B8515B">
      <w:pPr>
        <w:pStyle w:val="TOC2"/>
        <w:rPr>
          <w:rFonts w:asciiTheme="minorHAnsi" w:eastAsiaTheme="minorEastAsia" w:hAnsiTheme="minorHAnsi"/>
          <w:b w:val="0"/>
          <w:color w:val="auto"/>
          <w:sz w:val="22"/>
          <w:lang w:eastAsia="en-AU"/>
        </w:rPr>
      </w:pPr>
      <w:hyperlink w:anchor="_Toc468376919" w:history="1">
        <w:r w:rsidR="000A4FF0" w:rsidRPr="00C216EF">
          <w:rPr>
            <w:rStyle w:val="Hyperlink"/>
          </w:rPr>
          <w:t>3.2</w:t>
        </w:r>
        <w:r w:rsidR="000A4FF0">
          <w:rPr>
            <w:rFonts w:asciiTheme="minorHAnsi" w:eastAsiaTheme="minorEastAsia" w:hAnsiTheme="minorHAnsi"/>
            <w:b w:val="0"/>
            <w:color w:val="auto"/>
            <w:sz w:val="22"/>
            <w:lang w:eastAsia="en-AU"/>
          </w:rPr>
          <w:tab/>
        </w:r>
        <w:r w:rsidR="000A4FF0" w:rsidRPr="00C216EF">
          <w:rPr>
            <w:rStyle w:val="Hyperlink"/>
          </w:rPr>
          <w:t>Exclusion of inefficient capex</w:t>
        </w:r>
        <w:r w:rsidR="000A4FF0">
          <w:rPr>
            <w:webHidden/>
          </w:rPr>
          <w:tab/>
        </w:r>
        <w:r w:rsidR="000A4FF0">
          <w:rPr>
            <w:webHidden/>
          </w:rPr>
          <w:fldChar w:fldCharType="begin"/>
        </w:r>
        <w:r w:rsidR="000A4FF0">
          <w:rPr>
            <w:webHidden/>
          </w:rPr>
          <w:instrText xml:space="preserve"> PAGEREF _Toc468376919 \h </w:instrText>
        </w:r>
        <w:r w:rsidR="000A4FF0">
          <w:rPr>
            <w:webHidden/>
          </w:rPr>
        </w:r>
        <w:r w:rsidR="000A4FF0">
          <w:rPr>
            <w:webHidden/>
          </w:rPr>
          <w:fldChar w:fldCharType="separate"/>
        </w:r>
        <w:r>
          <w:rPr>
            <w:webHidden/>
          </w:rPr>
          <w:t>15</w:t>
        </w:r>
        <w:r w:rsidR="000A4FF0">
          <w:rPr>
            <w:webHidden/>
          </w:rPr>
          <w:fldChar w:fldCharType="end"/>
        </w:r>
      </w:hyperlink>
    </w:p>
    <w:p w:rsidR="000A4FF0" w:rsidRDefault="00B8515B">
      <w:pPr>
        <w:pStyle w:val="TOC1"/>
        <w:rPr>
          <w:rFonts w:asciiTheme="minorHAnsi" w:eastAsiaTheme="minorEastAsia" w:hAnsiTheme="minorHAnsi"/>
          <w:b w:val="0"/>
          <w:color w:val="auto"/>
          <w:sz w:val="22"/>
          <w:lang w:val="en-AU" w:eastAsia="en-AU"/>
        </w:rPr>
      </w:pPr>
      <w:hyperlink w:anchor="_Toc468376920" w:history="1">
        <w:r w:rsidR="000A4FF0" w:rsidRPr="00C216EF">
          <w:rPr>
            <w:rStyle w:val="Hyperlink"/>
          </w:rPr>
          <w:t>Appendices</w:t>
        </w:r>
        <w:r w:rsidR="000A4FF0">
          <w:rPr>
            <w:webHidden/>
          </w:rPr>
          <w:tab/>
        </w:r>
        <w:r w:rsidR="000A4FF0">
          <w:rPr>
            <w:webHidden/>
          </w:rPr>
          <w:fldChar w:fldCharType="begin"/>
        </w:r>
        <w:r w:rsidR="000A4FF0">
          <w:rPr>
            <w:webHidden/>
          </w:rPr>
          <w:instrText xml:space="preserve"> PAGEREF _Toc468376920 \h </w:instrText>
        </w:r>
        <w:r w:rsidR="000A4FF0">
          <w:rPr>
            <w:webHidden/>
          </w:rPr>
        </w:r>
        <w:r w:rsidR="000A4FF0">
          <w:rPr>
            <w:webHidden/>
          </w:rPr>
          <w:fldChar w:fldCharType="separate"/>
        </w:r>
        <w:r>
          <w:rPr>
            <w:webHidden/>
          </w:rPr>
          <w:t>17</w:t>
        </w:r>
        <w:r w:rsidR="000A4FF0">
          <w:rPr>
            <w:webHidden/>
          </w:rPr>
          <w:fldChar w:fldCharType="end"/>
        </w:r>
      </w:hyperlink>
    </w:p>
    <w:p w:rsidR="000A4FF0" w:rsidRDefault="00B8515B">
      <w:pPr>
        <w:pStyle w:val="TOC2"/>
        <w:rPr>
          <w:rFonts w:asciiTheme="minorHAnsi" w:eastAsiaTheme="minorEastAsia" w:hAnsiTheme="minorHAnsi"/>
          <w:b w:val="0"/>
          <w:color w:val="auto"/>
          <w:sz w:val="22"/>
          <w:lang w:eastAsia="en-AU"/>
        </w:rPr>
      </w:pPr>
      <w:hyperlink w:anchor="_Toc468376921" w:history="1">
        <w:r w:rsidR="000A4FF0" w:rsidRPr="00C216EF">
          <w:rPr>
            <w:rStyle w:val="Hyperlink"/>
          </w:rPr>
          <w:t>Appendix A: Roll forward model version 2 (distribution)</w:t>
        </w:r>
        <w:r w:rsidR="000A4FF0">
          <w:rPr>
            <w:webHidden/>
          </w:rPr>
          <w:tab/>
        </w:r>
        <w:r w:rsidR="000A4FF0">
          <w:rPr>
            <w:webHidden/>
          </w:rPr>
          <w:fldChar w:fldCharType="begin"/>
        </w:r>
        <w:r w:rsidR="000A4FF0">
          <w:rPr>
            <w:webHidden/>
          </w:rPr>
          <w:instrText xml:space="preserve"> PAGEREF _Toc468376921 \h </w:instrText>
        </w:r>
        <w:r w:rsidR="000A4FF0">
          <w:rPr>
            <w:webHidden/>
          </w:rPr>
        </w:r>
        <w:r w:rsidR="000A4FF0">
          <w:rPr>
            <w:webHidden/>
          </w:rPr>
          <w:fldChar w:fldCharType="separate"/>
        </w:r>
        <w:r>
          <w:rPr>
            <w:webHidden/>
          </w:rPr>
          <w:t>17</w:t>
        </w:r>
        <w:r w:rsidR="000A4FF0">
          <w:rPr>
            <w:webHidden/>
          </w:rPr>
          <w:fldChar w:fldCharType="end"/>
        </w:r>
      </w:hyperlink>
    </w:p>
    <w:p w:rsidR="000A4FF0" w:rsidRDefault="00B8515B">
      <w:pPr>
        <w:pStyle w:val="TOC2"/>
        <w:rPr>
          <w:rFonts w:asciiTheme="minorHAnsi" w:eastAsiaTheme="minorEastAsia" w:hAnsiTheme="minorHAnsi"/>
          <w:b w:val="0"/>
          <w:color w:val="auto"/>
          <w:sz w:val="22"/>
          <w:lang w:eastAsia="en-AU"/>
        </w:rPr>
      </w:pPr>
      <w:hyperlink w:anchor="_Toc468376922" w:history="1">
        <w:r w:rsidR="000A4FF0" w:rsidRPr="00C216EF">
          <w:rPr>
            <w:rStyle w:val="Hyperlink"/>
          </w:rPr>
          <w:t>Appendix B: Roll forward model handbook (distribution)</w:t>
        </w:r>
        <w:r w:rsidR="000A4FF0">
          <w:rPr>
            <w:webHidden/>
          </w:rPr>
          <w:tab/>
        </w:r>
        <w:r w:rsidR="000A4FF0">
          <w:rPr>
            <w:webHidden/>
          </w:rPr>
          <w:fldChar w:fldCharType="begin"/>
        </w:r>
        <w:r w:rsidR="000A4FF0">
          <w:rPr>
            <w:webHidden/>
          </w:rPr>
          <w:instrText xml:space="preserve"> PAGEREF _Toc468376922 \h </w:instrText>
        </w:r>
        <w:r w:rsidR="000A4FF0">
          <w:rPr>
            <w:webHidden/>
          </w:rPr>
        </w:r>
        <w:r w:rsidR="000A4FF0">
          <w:rPr>
            <w:webHidden/>
          </w:rPr>
          <w:fldChar w:fldCharType="separate"/>
        </w:r>
        <w:r>
          <w:rPr>
            <w:webHidden/>
          </w:rPr>
          <w:t>17</w:t>
        </w:r>
        <w:r w:rsidR="000A4FF0">
          <w:rPr>
            <w:webHidden/>
          </w:rPr>
          <w:fldChar w:fldCharType="end"/>
        </w:r>
      </w:hyperlink>
    </w:p>
    <w:p w:rsidR="000A4FF0" w:rsidRDefault="00B8515B">
      <w:pPr>
        <w:pStyle w:val="TOC2"/>
        <w:rPr>
          <w:rFonts w:asciiTheme="minorHAnsi" w:eastAsiaTheme="minorEastAsia" w:hAnsiTheme="minorHAnsi"/>
          <w:b w:val="0"/>
          <w:color w:val="auto"/>
          <w:sz w:val="22"/>
          <w:lang w:eastAsia="en-AU"/>
        </w:rPr>
      </w:pPr>
      <w:hyperlink w:anchor="_Toc468376923" w:history="1">
        <w:r w:rsidR="000A4FF0" w:rsidRPr="00C216EF">
          <w:rPr>
            <w:rStyle w:val="Hyperlink"/>
          </w:rPr>
          <w:t>Appendix C: List of changes from previous version of RFM</w:t>
        </w:r>
        <w:r w:rsidR="000A4FF0">
          <w:rPr>
            <w:webHidden/>
          </w:rPr>
          <w:tab/>
        </w:r>
        <w:r w:rsidR="000A4FF0">
          <w:rPr>
            <w:webHidden/>
          </w:rPr>
          <w:fldChar w:fldCharType="begin"/>
        </w:r>
        <w:r w:rsidR="000A4FF0">
          <w:rPr>
            <w:webHidden/>
          </w:rPr>
          <w:instrText xml:space="preserve"> PAGEREF _Toc468376923 \h </w:instrText>
        </w:r>
        <w:r w:rsidR="000A4FF0">
          <w:rPr>
            <w:webHidden/>
          </w:rPr>
        </w:r>
        <w:r w:rsidR="000A4FF0">
          <w:rPr>
            <w:webHidden/>
          </w:rPr>
          <w:fldChar w:fldCharType="separate"/>
        </w:r>
        <w:r>
          <w:rPr>
            <w:webHidden/>
          </w:rPr>
          <w:t>17</w:t>
        </w:r>
        <w:r w:rsidR="000A4FF0">
          <w:rPr>
            <w:webHidden/>
          </w:rPr>
          <w:fldChar w:fldCharType="end"/>
        </w:r>
      </w:hyperlink>
    </w:p>
    <w:p w:rsidR="0020492C" w:rsidRDefault="00A75077" w:rsidP="009F5BA1">
      <w:r>
        <w:fldChar w:fldCharType="end"/>
      </w:r>
    </w:p>
    <w:p w:rsidR="00086C33" w:rsidRDefault="00086C33">
      <w:pPr>
        <w:spacing w:line="240" w:lineRule="auto"/>
      </w:pPr>
      <w:bookmarkStart w:id="1" w:name="_Toc213047617"/>
      <w:r>
        <w:br w:type="page"/>
      </w:r>
    </w:p>
    <w:p w:rsidR="00086C33" w:rsidRDefault="00086C33" w:rsidP="00086C33">
      <w:pPr>
        <w:pStyle w:val="Heading1notnumber"/>
      </w:pPr>
      <w:bookmarkStart w:id="2" w:name="_Toc468376903"/>
      <w:r>
        <w:t>Shortened forms</w:t>
      </w:r>
      <w:bookmarkEnd w:id="2"/>
    </w:p>
    <w:tbl>
      <w:tblPr>
        <w:tblStyle w:val="AERTable-Text"/>
        <w:tblW w:w="0" w:type="auto"/>
        <w:tblLook w:val="04A0" w:firstRow="1" w:lastRow="0" w:firstColumn="1" w:lastColumn="0" w:noHBand="0" w:noVBand="1"/>
      </w:tblPr>
      <w:tblGrid>
        <w:gridCol w:w="3085"/>
        <w:gridCol w:w="5608"/>
      </w:tblGrid>
      <w:tr w:rsidR="00086C33" w:rsidTr="00086C33">
        <w:trPr>
          <w:cnfStyle w:val="100000000000" w:firstRow="1" w:lastRow="0" w:firstColumn="0" w:lastColumn="0" w:oddVBand="0" w:evenVBand="0" w:oddHBand="0" w:evenHBand="0" w:firstRowFirstColumn="0" w:firstRowLastColumn="0" w:lastRowFirstColumn="0" w:lastRowLastColumn="0"/>
        </w:trPr>
        <w:tc>
          <w:tcPr>
            <w:tcW w:w="3085" w:type="dxa"/>
          </w:tcPr>
          <w:p w:rsidR="00086C33" w:rsidRPr="00086C33" w:rsidRDefault="00086C33" w:rsidP="008D18E5">
            <w:pPr>
              <w:pStyle w:val="Tabletext"/>
            </w:pPr>
            <w:r w:rsidRPr="00086C33">
              <w:t>Shortened form</w:t>
            </w:r>
          </w:p>
        </w:tc>
        <w:tc>
          <w:tcPr>
            <w:tcW w:w="5608" w:type="dxa"/>
          </w:tcPr>
          <w:p w:rsidR="00086C33" w:rsidRPr="00086C33" w:rsidRDefault="00086C33" w:rsidP="008D18E5">
            <w:pPr>
              <w:pStyle w:val="Tabletext"/>
            </w:pPr>
            <w:r w:rsidRPr="00086C33">
              <w:t>Extended form</w:t>
            </w:r>
          </w:p>
        </w:tc>
      </w:tr>
      <w:tr w:rsidR="00086C33" w:rsidTr="00086C33">
        <w:tc>
          <w:tcPr>
            <w:tcW w:w="3085" w:type="dxa"/>
          </w:tcPr>
          <w:p w:rsidR="00086C33" w:rsidRPr="00086C33" w:rsidRDefault="00086C33" w:rsidP="008D18E5">
            <w:pPr>
              <w:pStyle w:val="Tabletext"/>
            </w:pPr>
            <w:r w:rsidRPr="00086C33">
              <w:t>AER</w:t>
            </w:r>
          </w:p>
        </w:tc>
        <w:tc>
          <w:tcPr>
            <w:tcW w:w="5608" w:type="dxa"/>
          </w:tcPr>
          <w:p w:rsidR="00086C33" w:rsidRPr="00086C33" w:rsidRDefault="00086C33" w:rsidP="008D18E5">
            <w:pPr>
              <w:pStyle w:val="Tabletext"/>
            </w:pPr>
            <w:r w:rsidRPr="00086C33">
              <w:t>Australian Energy Regulator</w:t>
            </w:r>
          </w:p>
        </w:tc>
      </w:tr>
      <w:tr w:rsidR="00086C33" w:rsidTr="00086C33">
        <w:trPr>
          <w:cnfStyle w:val="000000010000" w:firstRow="0" w:lastRow="0" w:firstColumn="0" w:lastColumn="0" w:oddVBand="0" w:evenVBand="0" w:oddHBand="0" w:evenHBand="1" w:firstRowFirstColumn="0" w:firstRowLastColumn="0" w:lastRowFirstColumn="0" w:lastRowLastColumn="0"/>
        </w:trPr>
        <w:tc>
          <w:tcPr>
            <w:tcW w:w="3085" w:type="dxa"/>
          </w:tcPr>
          <w:p w:rsidR="00086C33" w:rsidRPr="00086C33" w:rsidRDefault="00086C33" w:rsidP="008D18E5">
            <w:pPr>
              <w:pStyle w:val="Tabletext"/>
            </w:pPr>
            <w:r w:rsidRPr="00086C33">
              <w:t>Capex</w:t>
            </w:r>
          </w:p>
        </w:tc>
        <w:tc>
          <w:tcPr>
            <w:tcW w:w="5608" w:type="dxa"/>
          </w:tcPr>
          <w:p w:rsidR="00086C33" w:rsidRPr="00086C33" w:rsidRDefault="00C16545" w:rsidP="008D18E5">
            <w:pPr>
              <w:pStyle w:val="Tabletext"/>
            </w:pPr>
            <w:r>
              <w:t>c</w:t>
            </w:r>
            <w:r w:rsidR="00086C33" w:rsidRPr="00086C33">
              <w:t>apital expenditure</w:t>
            </w:r>
          </w:p>
        </w:tc>
      </w:tr>
      <w:tr w:rsidR="00086C33" w:rsidTr="00086C33">
        <w:tc>
          <w:tcPr>
            <w:tcW w:w="3085" w:type="dxa"/>
          </w:tcPr>
          <w:p w:rsidR="00086C33" w:rsidRPr="00086C33" w:rsidRDefault="00086C33" w:rsidP="008D18E5">
            <w:pPr>
              <w:pStyle w:val="Tabletext"/>
            </w:pPr>
            <w:r w:rsidRPr="00086C33">
              <w:t>CESS</w:t>
            </w:r>
          </w:p>
        </w:tc>
        <w:tc>
          <w:tcPr>
            <w:tcW w:w="5608" w:type="dxa"/>
          </w:tcPr>
          <w:p w:rsidR="00086C33" w:rsidRPr="00086C33" w:rsidRDefault="00C16545" w:rsidP="008D18E5">
            <w:pPr>
              <w:pStyle w:val="Tabletext"/>
            </w:pPr>
            <w:r>
              <w:t>c</w:t>
            </w:r>
            <w:r w:rsidR="00086C33" w:rsidRPr="00086C33">
              <w:t>apital expenditure sharing scheme</w:t>
            </w:r>
          </w:p>
        </w:tc>
      </w:tr>
      <w:tr w:rsidR="00086C33" w:rsidTr="00086C33">
        <w:trPr>
          <w:cnfStyle w:val="000000010000" w:firstRow="0" w:lastRow="0" w:firstColumn="0" w:lastColumn="0" w:oddVBand="0" w:evenVBand="0" w:oddHBand="0" w:evenHBand="1" w:firstRowFirstColumn="0" w:firstRowLastColumn="0" w:lastRowFirstColumn="0" w:lastRowLastColumn="0"/>
        </w:trPr>
        <w:tc>
          <w:tcPr>
            <w:tcW w:w="3085" w:type="dxa"/>
          </w:tcPr>
          <w:p w:rsidR="00086C33" w:rsidRPr="00086C33" w:rsidRDefault="00086C33" w:rsidP="008D18E5">
            <w:pPr>
              <w:pStyle w:val="Tabletext"/>
            </w:pPr>
            <w:r w:rsidRPr="00086C33">
              <w:t>CPI</w:t>
            </w:r>
          </w:p>
        </w:tc>
        <w:tc>
          <w:tcPr>
            <w:tcW w:w="5608" w:type="dxa"/>
          </w:tcPr>
          <w:p w:rsidR="00086C33" w:rsidRPr="00086C33" w:rsidRDefault="00086C33" w:rsidP="008D18E5">
            <w:pPr>
              <w:pStyle w:val="Tabletext"/>
            </w:pPr>
            <w:r w:rsidRPr="00086C33">
              <w:t>consumer price index</w:t>
            </w:r>
          </w:p>
        </w:tc>
      </w:tr>
      <w:tr w:rsidR="00086C33" w:rsidTr="00086C33">
        <w:tc>
          <w:tcPr>
            <w:tcW w:w="3085" w:type="dxa"/>
          </w:tcPr>
          <w:p w:rsidR="00086C33" w:rsidRPr="00086C33" w:rsidRDefault="00086C33" w:rsidP="008D18E5">
            <w:pPr>
              <w:pStyle w:val="Tabletext"/>
            </w:pPr>
            <w:r w:rsidRPr="00086C33">
              <w:t>DMS</w:t>
            </w:r>
          </w:p>
        </w:tc>
        <w:tc>
          <w:tcPr>
            <w:tcW w:w="5608" w:type="dxa"/>
          </w:tcPr>
          <w:p w:rsidR="00086C33" w:rsidRPr="00086C33" w:rsidRDefault="00086C33" w:rsidP="008D18E5">
            <w:pPr>
              <w:pStyle w:val="Tabletext"/>
            </w:pPr>
            <w:r w:rsidRPr="00086C33">
              <w:t>data management system</w:t>
            </w:r>
          </w:p>
        </w:tc>
      </w:tr>
      <w:tr w:rsidR="00C16545" w:rsidTr="00086C33">
        <w:trPr>
          <w:cnfStyle w:val="000000010000" w:firstRow="0" w:lastRow="0" w:firstColumn="0" w:lastColumn="0" w:oddVBand="0" w:evenVBand="0" w:oddHBand="0" w:evenHBand="1" w:firstRowFirstColumn="0" w:firstRowLastColumn="0" w:lastRowFirstColumn="0" w:lastRowLastColumn="0"/>
        </w:trPr>
        <w:tc>
          <w:tcPr>
            <w:tcW w:w="3085" w:type="dxa"/>
          </w:tcPr>
          <w:p w:rsidR="00C16545" w:rsidRPr="00086C33" w:rsidRDefault="00C16545" w:rsidP="008D18E5">
            <w:pPr>
              <w:pStyle w:val="Tabletext"/>
            </w:pPr>
            <w:r>
              <w:t>DNSP</w:t>
            </w:r>
          </w:p>
        </w:tc>
        <w:tc>
          <w:tcPr>
            <w:tcW w:w="5608" w:type="dxa"/>
          </w:tcPr>
          <w:p w:rsidR="00C16545" w:rsidRPr="00086C33" w:rsidRDefault="00C16545" w:rsidP="008D18E5">
            <w:pPr>
              <w:pStyle w:val="Tabletext"/>
            </w:pPr>
            <w:r>
              <w:t>distribution network service provider</w:t>
            </w:r>
          </w:p>
        </w:tc>
      </w:tr>
      <w:tr w:rsidR="00086C33" w:rsidTr="00086C33">
        <w:tc>
          <w:tcPr>
            <w:tcW w:w="3085" w:type="dxa"/>
          </w:tcPr>
          <w:p w:rsidR="00086C33" w:rsidRPr="00086C33" w:rsidRDefault="00086C33" w:rsidP="008D18E5">
            <w:pPr>
              <w:pStyle w:val="Tabletext"/>
            </w:pPr>
            <w:r w:rsidRPr="00086C33">
              <w:t>NEM</w:t>
            </w:r>
          </w:p>
        </w:tc>
        <w:tc>
          <w:tcPr>
            <w:tcW w:w="5608" w:type="dxa"/>
          </w:tcPr>
          <w:p w:rsidR="00086C33" w:rsidRPr="00086C33" w:rsidRDefault="00086C33" w:rsidP="008D18E5">
            <w:pPr>
              <w:pStyle w:val="Tabletext"/>
            </w:pPr>
            <w:r w:rsidRPr="00086C33">
              <w:t>National Electricity Market</w:t>
            </w:r>
          </w:p>
        </w:tc>
      </w:tr>
      <w:tr w:rsidR="00086C33" w:rsidTr="00086C33">
        <w:trPr>
          <w:cnfStyle w:val="000000010000" w:firstRow="0" w:lastRow="0" w:firstColumn="0" w:lastColumn="0" w:oddVBand="0" w:evenVBand="0" w:oddHBand="0" w:evenHBand="1" w:firstRowFirstColumn="0" w:firstRowLastColumn="0" w:lastRowFirstColumn="0" w:lastRowLastColumn="0"/>
        </w:trPr>
        <w:tc>
          <w:tcPr>
            <w:tcW w:w="3085" w:type="dxa"/>
          </w:tcPr>
          <w:p w:rsidR="00086C33" w:rsidRPr="00086C33" w:rsidRDefault="00086C33" w:rsidP="008D18E5">
            <w:pPr>
              <w:pStyle w:val="Tabletext"/>
            </w:pPr>
            <w:r w:rsidRPr="00086C33">
              <w:t>NER</w:t>
            </w:r>
          </w:p>
        </w:tc>
        <w:tc>
          <w:tcPr>
            <w:tcW w:w="5608" w:type="dxa"/>
          </w:tcPr>
          <w:p w:rsidR="00086C33" w:rsidRPr="00086C33" w:rsidRDefault="00086C33" w:rsidP="008D18E5">
            <w:pPr>
              <w:pStyle w:val="Tabletext"/>
            </w:pPr>
            <w:r w:rsidRPr="00086C33">
              <w:t>National Electricity Rules</w:t>
            </w:r>
          </w:p>
        </w:tc>
      </w:tr>
      <w:tr w:rsidR="00210D97" w:rsidTr="00086C33">
        <w:tc>
          <w:tcPr>
            <w:tcW w:w="3085" w:type="dxa"/>
          </w:tcPr>
          <w:p w:rsidR="00210D97" w:rsidRPr="00086C33" w:rsidRDefault="00210D97" w:rsidP="008D18E5">
            <w:pPr>
              <w:pStyle w:val="Tabletext"/>
            </w:pPr>
            <w:r>
              <w:t>NPV</w:t>
            </w:r>
          </w:p>
        </w:tc>
        <w:tc>
          <w:tcPr>
            <w:tcW w:w="5608" w:type="dxa"/>
          </w:tcPr>
          <w:p w:rsidR="00210D97" w:rsidRPr="00086C33" w:rsidRDefault="00210D97" w:rsidP="008D18E5">
            <w:pPr>
              <w:pStyle w:val="Tabletext"/>
            </w:pPr>
            <w:r>
              <w:t>net present value</w:t>
            </w:r>
          </w:p>
        </w:tc>
      </w:tr>
      <w:tr w:rsidR="00086C33" w:rsidTr="00086C33">
        <w:trPr>
          <w:cnfStyle w:val="000000010000" w:firstRow="0" w:lastRow="0" w:firstColumn="0" w:lastColumn="0" w:oddVBand="0" w:evenVBand="0" w:oddHBand="0" w:evenHBand="1" w:firstRowFirstColumn="0" w:firstRowLastColumn="0" w:lastRowFirstColumn="0" w:lastRowLastColumn="0"/>
        </w:trPr>
        <w:tc>
          <w:tcPr>
            <w:tcW w:w="3085" w:type="dxa"/>
          </w:tcPr>
          <w:p w:rsidR="00086C33" w:rsidRPr="00086C33" w:rsidRDefault="00086C33" w:rsidP="008D18E5">
            <w:pPr>
              <w:pStyle w:val="Tabletext"/>
            </w:pPr>
            <w:r w:rsidRPr="00086C33">
              <w:t>PTRM</w:t>
            </w:r>
          </w:p>
        </w:tc>
        <w:tc>
          <w:tcPr>
            <w:tcW w:w="5608" w:type="dxa"/>
          </w:tcPr>
          <w:p w:rsidR="00086C33" w:rsidRPr="00086C33" w:rsidRDefault="00086C33" w:rsidP="008D18E5">
            <w:pPr>
              <w:pStyle w:val="Tabletext"/>
            </w:pPr>
            <w:r w:rsidRPr="00086C33">
              <w:t>post-tax revenue model</w:t>
            </w:r>
          </w:p>
        </w:tc>
      </w:tr>
      <w:tr w:rsidR="00086C33" w:rsidTr="00086C33">
        <w:tc>
          <w:tcPr>
            <w:tcW w:w="3085" w:type="dxa"/>
          </w:tcPr>
          <w:p w:rsidR="00086C33" w:rsidRPr="00086C33" w:rsidRDefault="00086C33" w:rsidP="008D18E5">
            <w:pPr>
              <w:pStyle w:val="Tabletext"/>
            </w:pPr>
            <w:r w:rsidRPr="00086C33">
              <w:t>RAB</w:t>
            </w:r>
          </w:p>
        </w:tc>
        <w:tc>
          <w:tcPr>
            <w:tcW w:w="5608" w:type="dxa"/>
          </w:tcPr>
          <w:p w:rsidR="00086C33" w:rsidRPr="00086C33" w:rsidRDefault="00086C33" w:rsidP="008D18E5">
            <w:pPr>
              <w:pStyle w:val="Tabletext"/>
            </w:pPr>
            <w:r w:rsidRPr="00086C33">
              <w:t>regulatory asset base</w:t>
            </w:r>
          </w:p>
        </w:tc>
      </w:tr>
      <w:tr w:rsidR="00086C33" w:rsidTr="00086C33">
        <w:trPr>
          <w:cnfStyle w:val="000000010000" w:firstRow="0" w:lastRow="0" w:firstColumn="0" w:lastColumn="0" w:oddVBand="0" w:evenVBand="0" w:oddHBand="0" w:evenHBand="1" w:firstRowFirstColumn="0" w:firstRowLastColumn="0" w:lastRowFirstColumn="0" w:lastRowLastColumn="0"/>
        </w:trPr>
        <w:tc>
          <w:tcPr>
            <w:tcW w:w="3085" w:type="dxa"/>
          </w:tcPr>
          <w:p w:rsidR="00086C33" w:rsidRPr="00086C33" w:rsidRDefault="00086C33" w:rsidP="008D18E5">
            <w:pPr>
              <w:pStyle w:val="Tabletext"/>
            </w:pPr>
            <w:r w:rsidRPr="00086C33">
              <w:t>RFM</w:t>
            </w:r>
          </w:p>
        </w:tc>
        <w:tc>
          <w:tcPr>
            <w:tcW w:w="5608" w:type="dxa"/>
          </w:tcPr>
          <w:p w:rsidR="00086C33" w:rsidRPr="00086C33" w:rsidRDefault="00086C33" w:rsidP="008D18E5">
            <w:pPr>
              <w:pStyle w:val="Tabletext"/>
            </w:pPr>
            <w:r w:rsidRPr="00086C33">
              <w:t>roll forward model</w:t>
            </w:r>
          </w:p>
        </w:tc>
      </w:tr>
      <w:tr w:rsidR="00086C33" w:rsidTr="00086C33">
        <w:tc>
          <w:tcPr>
            <w:tcW w:w="3085" w:type="dxa"/>
          </w:tcPr>
          <w:p w:rsidR="00086C33" w:rsidRPr="00086C33" w:rsidRDefault="00086C33" w:rsidP="008D18E5">
            <w:pPr>
              <w:pStyle w:val="Tabletext"/>
            </w:pPr>
            <w:r w:rsidRPr="00086C33">
              <w:t>TAB</w:t>
            </w:r>
          </w:p>
        </w:tc>
        <w:tc>
          <w:tcPr>
            <w:tcW w:w="5608" w:type="dxa"/>
          </w:tcPr>
          <w:p w:rsidR="00086C33" w:rsidRPr="00086C33" w:rsidRDefault="00086C33" w:rsidP="008D18E5">
            <w:pPr>
              <w:pStyle w:val="Tabletext"/>
            </w:pPr>
            <w:r w:rsidRPr="00086C33">
              <w:t>tax asset base</w:t>
            </w:r>
          </w:p>
        </w:tc>
      </w:tr>
      <w:tr w:rsidR="00086C33" w:rsidTr="00086C33">
        <w:trPr>
          <w:cnfStyle w:val="000000010000" w:firstRow="0" w:lastRow="0" w:firstColumn="0" w:lastColumn="0" w:oddVBand="0" w:evenVBand="0" w:oddHBand="0" w:evenHBand="1" w:firstRowFirstColumn="0" w:firstRowLastColumn="0" w:lastRowFirstColumn="0" w:lastRowLastColumn="0"/>
        </w:trPr>
        <w:tc>
          <w:tcPr>
            <w:tcW w:w="3085" w:type="dxa"/>
          </w:tcPr>
          <w:p w:rsidR="00086C33" w:rsidRPr="00086C33" w:rsidRDefault="00086C33" w:rsidP="008D18E5">
            <w:pPr>
              <w:pStyle w:val="Tabletext"/>
            </w:pPr>
            <w:r w:rsidRPr="00086C33">
              <w:t>TNSP</w:t>
            </w:r>
          </w:p>
        </w:tc>
        <w:tc>
          <w:tcPr>
            <w:tcW w:w="5608" w:type="dxa"/>
          </w:tcPr>
          <w:p w:rsidR="00086C33" w:rsidRPr="00086C33" w:rsidRDefault="00086C33" w:rsidP="008D18E5">
            <w:pPr>
              <w:pStyle w:val="Tabletext"/>
            </w:pPr>
            <w:r w:rsidRPr="00086C33">
              <w:t>transmission network service provider</w:t>
            </w:r>
          </w:p>
        </w:tc>
      </w:tr>
      <w:tr w:rsidR="00086C33" w:rsidTr="00086C33">
        <w:tc>
          <w:tcPr>
            <w:tcW w:w="3085" w:type="dxa"/>
          </w:tcPr>
          <w:p w:rsidR="00086C33" w:rsidRPr="00086C33" w:rsidRDefault="00086C33" w:rsidP="008D18E5">
            <w:pPr>
              <w:pStyle w:val="Tabletext"/>
            </w:pPr>
            <w:r w:rsidRPr="00086C33">
              <w:t>WACC</w:t>
            </w:r>
          </w:p>
        </w:tc>
        <w:tc>
          <w:tcPr>
            <w:tcW w:w="5608" w:type="dxa"/>
          </w:tcPr>
          <w:p w:rsidR="00086C33" w:rsidRPr="00086C33" w:rsidRDefault="00086C33" w:rsidP="008D18E5">
            <w:pPr>
              <w:pStyle w:val="Tabletext"/>
            </w:pPr>
            <w:r w:rsidRPr="00086C33">
              <w:t>weighted average cost of capital</w:t>
            </w:r>
          </w:p>
        </w:tc>
      </w:tr>
      <w:tr w:rsidR="00086C33" w:rsidTr="00086C33">
        <w:trPr>
          <w:cnfStyle w:val="000000010000" w:firstRow="0" w:lastRow="0" w:firstColumn="0" w:lastColumn="0" w:oddVBand="0" w:evenVBand="0" w:oddHBand="0" w:evenHBand="1" w:firstRowFirstColumn="0" w:firstRowLastColumn="0" w:lastRowFirstColumn="0" w:lastRowLastColumn="0"/>
        </w:trPr>
        <w:tc>
          <w:tcPr>
            <w:tcW w:w="3085" w:type="dxa"/>
          </w:tcPr>
          <w:p w:rsidR="00086C33" w:rsidRPr="00086C33" w:rsidRDefault="00086C33" w:rsidP="008D18E5">
            <w:pPr>
              <w:pStyle w:val="Tabletext"/>
            </w:pPr>
            <w:r w:rsidRPr="00086C33">
              <w:t>WARL</w:t>
            </w:r>
          </w:p>
        </w:tc>
        <w:tc>
          <w:tcPr>
            <w:tcW w:w="5608" w:type="dxa"/>
          </w:tcPr>
          <w:p w:rsidR="00086C33" w:rsidRPr="00086C33" w:rsidRDefault="00086C33" w:rsidP="008D18E5">
            <w:pPr>
              <w:pStyle w:val="Tabletext"/>
            </w:pPr>
            <w:r w:rsidRPr="00086C33">
              <w:t>weighted average remaining lives</w:t>
            </w:r>
          </w:p>
        </w:tc>
      </w:tr>
    </w:tbl>
    <w:p w:rsidR="00086C33" w:rsidRDefault="00086C33">
      <w:pPr>
        <w:spacing w:line="240" w:lineRule="auto"/>
      </w:pPr>
    </w:p>
    <w:p w:rsidR="0020492C" w:rsidRDefault="0020492C" w:rsidP="0020492C">
      <w:pPr>
        <w:sectPr w:rsidR="0020492C" w:rsidSect="007A4D1F">
          <w:footerReference w:type="default" r:id="rId12"/>
          <w:pgSz w:w="11906" w:h="16838" w:code="9"/>
          <w:pgMar w:top="1440" w:right="1700" w:bottom="1582" w:left="1729" w:header="720" w:footer="1009" w:gutter="0"/>
          <w:pgNumType w:fmt="lowerRoman"/>
          <w:cols w:space="720"/>
          <w:docGrid w:linePitch="326"/>
        </w:sectPr>
      </w:pPr>
    </w:p>
    <w:p w:rsidR="00086C33" w:rsidRPr="00086C33" w:rsidRDefault="00086C33" w:rsidP="00086C33">
      <w:pPr>
        <w:pStyle w:val="Heading1"/>
      </w:pPr>
      <w:bookmarkStart w:id="3" w:name="_Toc468376904"/>
      <w:bookmarkEnd w:id="1"/>
      <w:r w:rsidRPr="00086C33">
        <w:t>Introduction</w:t>
      </w:r>
      <w:bookmarkEnd w:id="3"/>
    </w:p>
    <w:p w:rsidR="00086C33" w:rsidRPr="00086C33" w:rsidRDefault="00086C33" w:rsidP="00086C33">
      <w:r w:rsidRPr="00086C33">
        <w:t xml:space="preserve">The Australian Energy Regulator (AER) is responsible for the economic regulation of </w:t>
      </w:r>
      <w:r w:rsidR="005B6508">
        <w:t>di</w:t>
      </w:r>
      <w:r w:rsidR="009D1051">
        <w:t>rect control</w:t>
      </w:r>
      <w:r w:rsidRPr="00086C33">
        <w:t xml:space="preserve"> services provided by </w:t>
      </w:r>
      <w:r w:rsidR="005B6508">
        <w:t>distribution network service providers (D</w:t>
      </w:r>
      <w:r w:rsidRPr="00086C33">
        <w:t>NSPs) in the National Electricity Market (NEM), in accordance with the National Electricity Rules (NER).</w:t>
      </w:r>
      <w:r w:rsidR="002A1A18">
        <w:t xml:space="preserve"> We make a building block determination for each DNSP that sets out its </w:t>
      </w:r>
      <w:r w:rsidR="002537FA">
        <w:t>annual</w:t>
      </w:r>
      <w:r w:rsidR="002A1A18">
        <w:t xml:space="preserve"> revenue </w:t>
      </w:r>
      <w:r w:rsidR="002537FA">
        <w:t xml:space="preserve">requirement </w:t>
      </w:r>
      <w:r w:rsidR="002A1A18">
        <w:t xml:space="preserve">for </w:t>
      </w:r>
      <w:r w:rsidR="002537FA">
        <w:t xml:space="preserve">each regulatory year within </w:t>
      </w:r>
      <w:r w:rsidR="002A1A18">
        <w:t>a regulatory control period.</w:t>
      </w:r>
      <w:r w:rsidR="002A1A18">
        <w:rPr>
          <w:rStyle w:val="FootnoteReference"/>
        </w:rPr>
        <w:footnoteReference w:id="2"/>
      </w:r>
      <w:r w:rsidR="002A1A18">
        <w:t xml:space="preserve"> </w:t>
      </w:r>
    </w:p>
    <w:p w:rsidR="00101AB5" w:rsidRDefault="002A1A18" w:rsidP="00086C33">
      <w:r>
        <w:t>The regulatory asset base (RAB) is a key determinant of revenue under the building block approach.</w:t>
      </w:r>
      <w:r>
        <w:rPr>
          <w:rStyle w:val="FootnoteReference"/>
        </w:rPr>
        <w:footnoteReference w:id="3"/>
      </w:r>
      <w:r>
        <w:t xml:space="preserve"> We </w:t>
      </w:r>
      <w:r w:rsidR="00086C33" w:rsidRPr="00086C33">
        <w:t xml:space="preserve">prepare and publish a roll forward model (RFM) for the </w:t>
      </w:r>
      <w:r w:rsidR="001C7853">
        <w:t>RAB of D</w:t>
      </w:r>
      <w:r w:rsidR="00086C33" w:rsidRPr="00086C33">
        <w:t>NSPs.</w:t>
      </w:r>
      <w:r w:rsidR="00086C33">
        <w:rPr>
          <w:rStyle w:val="FootnoteReference"/>
        </w:rPr>
        <w:footnoteReference w:id="4"/>
      </w:r>
    </w:p>
    <w:p w:rsidR="00101AB5" w:rsidRDefault="00101AB5" w:rsidP="00A06B7A">
      <w:pPr>
        <w:pStyle w:val="BodyText"/>
      </w:pPr>
      <w:r>
        <w:t>The first version of the RFM for DNSPs was published in June 2008.</w:t>
      </w:r>
      <w:r>
        <w:rPr>
          <w:rStyle w:val="FootnoteReference"/>
        </w:rPr>
        <w:footnoteReference w:id="5"/>
      </w:r>
      <w:r>
        <w:t xml:space="preserve"> To ensure that the RFM remains fit for purpose, we amend or replace the DNSP RFM when necessary.</w:t>
      </w:r>
      <w:r>
        <w:rPr>
          <w:rStyle w:val="FootnoteReference"/>
        </w:rPr>
        <w:footnoteReference w:id="6"/>
      </w:r>
      <w:r>
        <w:t xml:space="preserve"> </w:t>
      </w:r>
      <w:r w:rsidR="000120CC">
        <w:t>I</w:t>
      </w:r>
      <w:r w:rsidR="00A06B7A">
        <w:t xml:space="preserve">n August 2016 we commenced consultation on several proposed </w:t>
      </w:r>
      <w:r>
        <w:t>amendments</w:t>
      </w:r>
      <w:r w:rsidR="000120CC">
        <w:t xml:space="preserve"> to the DNSP RFM</w:t>
      </w:r>
      <w:r w:rsidR="00C35E2B">
        <w:t>,</w:t>
      </w:r>
      <w:r w:rsidR="000120CC">
        <w:t xml:space="preserve"> in response to changes in the regulatory framework</w:t>
      </w:r>
      <w:r w:rsidR="00A06B7A">
        <w:t>.</w:t>
      </w:r>
      <w:r w:rsidR="001D2836">
        <w:rPr>
          <w:rStyle w:val="FootnoteReference"/>
        </w:rPr>
        <w:footnoteReference w:id="7"/>
      </w:r>
      <w:r w:rsidR="00A06B7A">
        <w:t xml:space="preserve"> This decision explains our final position on the amendments that have been adopted for </w:t>
      </w:r>
      <w:r w:rsidR="000120CC">
        <w:t xml:space="preserve">the new </w:t>
      </w:r>
      <w:r w:rsidR="00687529">
        <w:t>DNSP RFM</w:t>
      </w:r>
      <w:r w:rsidR="000120CC">
        <w:t xml:space="preserve">, which </w:t>
      </w:r>
      <w:r w:rsidR="00C35E2B">
        <w:t xml:space="preserve">is </w:t>
      </w:r>
      <w:r w:rsidR="000120CC">
        <w:t>labelled version 2</w:t>
      </w:r>
      <w:r w:rsidR="00687529">
        <w:t>.</w:t>
      </w:r>
    </w:p>
    <w:p w:rsidR="00101AB5" w:rsidRDefault="000120CC" w:rsidP="00101AB5">
      <w:r>
        <w:t xml:space="preserve">There </w:t>
      </w:r>
      <w:r w:rsidR="008211E3">
        <w:t xml:space="preserve">is </w:t>
      </w:r>
      <w:r>
        <w:t xml:space="preserve">a </w:t>
      </w:r>
      <w:r w:rsidR="00C35E2B">
        <w:t xml:space="preserve">separate </w:t>
      </w:r>
      <w:r>
        <w:t xml:space="preserve">version of the RFM for transmission network service providers (TNSPs). </w:t>
      </w:r>
      <w:r w:rsidR="00101AB5">
        <w:t xml:space="preserve">Our amendments to the DNSP RFM bring it into close alignment with </w:t>
      </w:r>
      <w:r>
        <w:t xml:space="preserve">the most recent </w:t>
      </w:r>
      <w:r w:rsidR="00101AB5">
        <w:t>version of the TNSP RFM</w:t>
      </w:r>
      <w:r>
        <w:t>, which is version 3 of that model</w:t>
      </w:r>
      <w:r w:rsidR="00101AB5">
        <w:t>.</w:t>
      </w:r>
      <w:r>
        <w:t xml:space="preserve"> The two RFMs (distribution and transmission) are designed to work in con</w:t>
      </w:r>
      <w:r w:rsidR="008211E3">
        <w:t>junction</w:t>
      </w:r>
      <w:r>
        <w:t xml:space="preserve"> with the relevant post-tax revenue models (PTRMs). The publication dates and version numbers for each of the four key models are shown in </w:t>
      </w:r>
      <w:r>
        <w:fldChar w:fldCharType="begin"/>
      </w:r>
      <w:r>
        <w:instrText xml:space="preserve"> REF _Ref466984274 \h </w:instrText>
      </w:r>
      <w:r>
        <w:fldChar w:fldCharType="separate"/>
      </w:r>
      <w:r w:rsidR="00B8515B" w:rsidRPr="008B2E00">
        <w:t xml:space="preserve">Table </w:t>
      </w:r>
      <w:r w:rsidR="00B8515B">
        <w:rPr>
          <w:noProof/>
        </w:rPr>
        <w:t>1</w:t>
      </w:r>
      <w:r>
        <w:fldChar w:fldCharType="end"/>
      </w:r>
      <w:r>
        <w:t>.</w:t>
      </w:r>
    </w:p>
    <w:p w:rsidR="008B2E00" w:rsidRPr="008B2E00" w:rsidRDefault="008B2E00" w:rsidP="008B2E00">
      <w:pPr>
        <w:pStyle w:val="Caption"/>
      </w:pPr>
      <w:bookmarkStart w:id="4" w:name="_Ref466984274"/>
      <w:r w:rsidRPr="008B2E00">
        <w:t xml:space="preserve">Table </w:t>
      </w:r>
      <w:fldSimple w:instr=" SEQ Table \* ARABIC ">
        <w:r w:rsidR="00B8515B">
          <w:rPr>
            <w:noProof/>
          </w:rPr>
          <w:t>1</w:t>
        </w:r>
      </w:fldSimple>
      <w:bookmarkEnd w:id="4"/>
      <w:r w:rsidRPr="008B2E00">
        <w:tab/>
      </w:r>
      <w:r>
        <w:t xml:space="preserve">Current </w:t>
      </w:r>
      <w:r w:rsidR="00C35E2B">
        <w:t xml:space="preserve">published </w:t>
      </w:r>
      <w:r>
        <w:t>electricity models as at December 2016</w:t>
      </w:r>
    </w:p>
    <w:tbl>
      <w:tblPr>
        <w:tblStyle w:val="AERTable-Text"/>
        <w:tblW w:w="0" w:type="auto"/>
        <w:tblLook w:val="04A0" w:firstRow="1" w:lastRow="0" w:firstColumn="1" w:lastColumn="0" w:noHBand="0" w:noVBand="1"/>
      </w:tblPr>
      <w:tblGrid>
        <w:gridCol w:w="2802"/>
        <w:gridCol w:w="2126"/>
        <w:gridCol w:w="2268"/>
        <w:gridCol w:w="2046"/>
      </w:tblGrid>
      <w:tr w:rsidR="008B2E00" w:rsidRPr="00B56B7F" w:rsidTr="000120CC">
        <w:trPr>
          <w:cnfStyle w:val="100000000000" w:firstRow="1" w:lastRow="0" w:firstColumn="0" w:lastColumn="0" w:oddVBand="0" w:evenVBand="0" w:oddHBand="0" w:evenHBand="0" w:firstRowFirstColumn="0" w:firstRowLastColumn="0" w:lastRowFirstColumn="0" w:lastRowLastColumn="0"/>
        </w:trPr>
        <w:tc>
          <w:tcPr>
            <w:tcW w:w="2802" w:type="dxa"/>
          </w:tcPr>
          <w:p w:rsidR="008B2E00" w:rsidRPr="008B2E00" w:rsidRDefault="008B2E00" w:rsidP="008B2E00">
            <w:pPr>
              <w:pStyle w:val="Tabletext"/>
            </w:pPr>
            <w:r>
              <w:t>Model</w:t>
            </w:r>
          </w:p>
        </w:tc>
        <w:tc>
          <w:tcPr>
            <w:tcW w:w="2126" w:type="dxa"/>
          </w:tcPr>
          <w:p w:rsidR="008B2E00" w:rsidRPr="008B2E00" w:rsidRDefault="008B2E00" w:rsidP="008B2E00">
            <w:pPr>
              <w:pStyle w:val="Tabletext"/>
            </w:pPr>
            <w:r>
              <w:t>Sector</w:t>
            </w:r>
          </w:p>
        </w:tc>
        <w:tc>
          <w:tcPr>
            <w:tcW w:w="2268" w:type="dxa"/>
          </w:tcPr>
          <w:p w:rsidR="008B2E00" w:rsidRPr="008B2E00" w:rsidRDefault="008B2E00" w:rsidP="008B2E00">
            <w:pPr>
              <w:pStyle w:val="Tabletext"/>
            </w:pPr>
            <w:r>
              <w:t>Publication date</w:t>
            </w:r>
          </w:p>
        </w:tc>
        <w:tc>
          <w:tcPr>
            <w:tcW w:w="2046" w:type="dxa"/>
          </w:tcPr>
          <w:p w:rsidR="008B2E00" w:rsidRPr="008B2E00" w:rsidRDefault="008B2E00" w:rsidP="008B2E00">
            <w:pPr>
              <w:pStyle w:val="Tabletext"/>
            </w:pPr>
            <w:r>
              <w:t>Version number</w:t>
            </w:r>
          </w:p>
        </w:tc>
      </w:tr>
      <w:tr w:rsidR="000120CC" w:rsidRPr="00B56B7F" w:rsidTr="009B7F5A">
        <w:trPr>
          <w:trHeight w:val="504"/>
        </w:trPr>
        <w:tc>
          <w:tcPr>
            <w:tcW w:w="2802" w:type="dxa"/>
          </w:tcPr>
          <w:p w:rsidR="000120CC" w:rsidRPr="000120CC" w:rsidRDefault="000120CC" w:rsidP="000120CC">
            <w:pPr>
              <w:pStyle w:val="BodyText"/>
            </w:pPr>
            <w:r w:rsidRPr="000120CC">
              <w:t>Post-tax revenue model</w:t>
            </w:r>
          </w:p>
        </w:tc>
        <w:tc>
          <w:tcPr>
            <w:tcW w:w="2126" w:type="dxa"/>
          </w:tcPr>
          <w:p w:rsidR="000120CC" w:rsidRPr="000120CC" w:rsidRDefault="000120CC" w:rsidP="000120CC">
            <w:pPr>
              <w:pStyle w:val="BodyText"/>
            </w:pPr>
            <w:r w:rsidRPr="000120CC">
              <w:t>Transmission</w:t>
            </w:r>
          </w:p>
        </w:tc>
        <w:tc>
          <w:tcPr>
            <w:tcW w:w="2268" w:type="dxa"/>
          </w:tcPr>
          <w:p w:rsidR="000120CC" w:rsidRPr="000120CC" w:rsidRDefault="000120CC" w:rsidP="000120CC">
            <w:pPr>
              <w:pStyle w:val="BodyText"/>
            </w:pPr>
            <w:r w:rsidRPr="000120CC">
              <w:t>January 2015</w:t>
            </w:r>
          </w:p>
        </w:tc>
        <w:tc>
          <w:tcPr>
            <w:tcW w:w="2046" w:type="dxa"/>
          </w:tcPr>
          <w:p w:rsidR="000120CC" w:rsidRPr="000120CC" w:rsidRDefault="000120CC" w:rsidP="000120CC">
            <w:pPr>
              <w:pStyle w:val="BodyText"/>
            </w:pPr>
            <w:r w:rsidRPr="000120CC">
              <w:t>Version 3</w:t>
            </w:r>
          </w:p>
        </w:tc>
      </w:tr>
      <w:tr w:rsidR="000120CC" w:rsidRPr="00B56B7F" w:rsidTr="009B7F5A">
        <w:trPr>
          <w:cnfStyle w:val="000000010000" w:firstRow="0" w:lastRow="0" w:firstColumn="0" w:lastColumn="0" w:oddVBand="0" w:evenVBand="0" w:oddHBand="0" w:evenHBand="1" w:firstRowFirstColumn="0" w:firstRowLastColumn="0" w:lastRowFirstColumn="0" w:lastRowLastColumn="0"/>
          <w:trHeight w:val="504"/>
        </w:trPr>
        <w:tc>
          <w:tcPr>
            <w:tcW w:w="2802" w:type="dxa"/>
          </w:tcPr>
          <w:p w:rsidR="000120CC" w:rsidRPr="000120CC" w:rsidRDefault="000120CC" w:rsidP="000120CC">
            <w:pPr>
              <w:pStyle w:val="BodyText"/>
            </w:pPr>
            <w:r w:rsidRPr="000120CC">
              <w:t>Post-tax revenue model</w:t>
            </w:r>
          </w:p>
        </w:tc>
        <w:tc>
          <w:tcPr>
            <w:tcW w:w="2126" w:type="dxa"/>
          </w:tcPr>
          <w:p w:rsidR="000120CC" w:rsidRPr="000120CC" w:rsidRDefault="000120CC" w:rsidP="000120CC">
            <w:pPr>
              <w:pStyle w:val="BodyText"/>
            </w:pPr>
            <w:r w:rsidRPr="000120CC">
              <w:t>Distribution</w:t>
            </w:r>
          </w:p>
        </w:tc>
        <w:tc>
          <w:tcPr>
            <w:tcW w:w="2268" w:type="dxa"/>
          </w:tcPr>
          <w:p w:rsidR="000120CC" w:rsidRPr="000120CC" w:rsidRDefault="000120CC" w:rsidP="000120CC">
            <w:pPr>
              <w:pStyle w:val="BodyText"/>
            </w:pPr>
            <w:r w:rsidRPr="000120CC">
              <w:t>January 2015</w:t>
            </w:r>
          </w:p>
        </w:tc>
        <w:tc>
          <w:tcPr>
            <w:tcW w:w="2046" w:type="dxa"/>
          </w:tcPr>
          <w:p w:rsidR="000120CC" w:rsidRPr="000120CC" w:rsidRDefault="000120CC" w:rsidP="000120CC">
            <w:pPr>
              <w:pStyle w:val="BodyText"/>
            </w:pPr>
            <w:r w:rsidRPr="000120CC">
              <w:t>Version 3</w:t>
            </w:r>
          </w:p>
        </w:tc>
      </w:tr>
      <w:tr w:rsidR="000120CC" w:rsidRPr="00B56B7F" w:rsidTr="009B7F5A">
        <w:trPr>
          <w:trHeight w:val="504"/>
        </w:trPr>
        <w:tc>
          <w:tcPr>
            <w:tcW w:w="2802" w:type="dxa"/>
          </w:tcPr>
          <w:p w:rsidR="000120CC" w:rsidRPr="000120CC" w:rsidRDefault="000120CC" w:rsidP="000120CC">
            <w:pPr>
              <w:pStyle w:val="BodyText"/>
            </w:pPr>
            <w:r w:rsidRPr="000120CC">
              <w:t>Roll forward model</w:t>
            </w:r>
          </w:p>
        </w:tc>
        <w:tc>
          <w:tcPr>
            <w:tcW w:w="2126" w:type="dxa"/>
          </w:tcPr>
          <w:p w:rsidR="000120CC" w:rsidRPr="000120CC" w:rsidRDefault="000120CC" w:rsidP="000120CC">
            <w:pPr>
              <w:pStyle w:val="BodyText"/>
            </w:pPr>
            <w:r w:rsidRPr="000120CC">
              <w:t>Transmission</w:t>
            </w:r>
          </w:p>
        </w:tc>
        <w:tc>
          <w:tcPr>
            <w:tcW w:w="2268" w:type="dxa"/>
          </w:tcPr>
          <w:p w:rsidR="000120CC" w:rsidRPr="000120CC" w:rsidRDefault="000120CC" w:rsidP="000120CC">
            <w:pPr>
              <w:pStyle w:val="BodyText"/>
            </w:pPr>
            <w:r w:rsidRPr="000120CC">
              <w:t>October 2015</w:t>
            </w:r>
          </w:p>
        </w:tc>
        <w:tc>
          <w:tcPr>
            <w:tcW w:w="2046" w:type="dxa"/>
          </w:tcPr>
          <w:p w:rsidR="000120CC" w:rsidRPr="000120CC" w:rsidRDefault="000120CC" w:rsidP="000120CC">
            <w:pPr>
              <w:pStyle w:val="BodyText"/>
            </w:pPr>
            <w:r w:rsidRPr="000120CC">
              <w:t>Version 3</w:t>
            </w:r>
          </w:p>
        </w:tc>
      </w:tr>
      <w:tr w:rsidR="008B2E00" w:rsidRPr="00B56B7F" w:rsidTr="000120CC">
        <w:trPr>
          <w:cnfStyle w:val="000000010000" w:firstRow="0" w:lastRow="0" w:firstColumn="0" w:lastColumn="0" w:oddVBand="0" w:evenVBand="0" w:oddHBand="0" w:evenHBand="1" w:firstRowFirstColumn="0" w:firstRowLastColumn="0" w:lastRowFirstColumn="0" w:lastRowLastColumn="0"/>
          <w:trHeight w:val="504"/>
        </w:trPr>
        <w:tc>
          <w:tcPr>
            <w:tcW w:w="2802" w:type="dxa"/>
          </w:tcPr>
          <w:p w:rsidR="008B2E00" w:rsidRPr="008B2E00" w:rsidRDefault="008B2E00" w:rsidP="008B2E00">
            <w:pPr>
              <w:pStyle w:val="BodyText"/>
              <w:rPr>
                <w:rStyle w:val="Bold"/>
              </w:rPr>
            </w:pPr>
            <w:r w:rsidRPr="008B2E00">
              <w:rPr>
                <w:rStyle w:val="Bold"/>
              </w:rPr>
              <w:t>Roll forward model</w:t>
            </w:r>
          </w:p>
        </w:tc>
        <w:tc>
          <w:tcPr>
            <w:tcW w:w="2126" w:type="dxa"/>
          </w:tcPr>
          <w:p w:rsidR="008B2E00" w:rsidRPr="008B2E00" w:rsidRDefault="008B2E00" w:rsidP="008B2E00">
            <w:pPr>
              <w:pStyle w:val="BodyText"/>
              <w:rPr>
                <w:rStyle w:val="Bold"/>
              </w:rPr>
            </w:pPr>
            <w:r w:rsidRPr="008B2E00">
              <w:rPr>
                <w:rStyle w:val="Bold"/>
              </w:rPr>
              <w:t>Distribution</w:t>
            </w:r>
          </w:p>
        </w:tc>
        <w:tc>
          <w:tcPr>
            <w:tcW w:w="2268" w:type="dxa"/>
          </w:tcPr>
          <w:p w:rsidR="008B2E00" w:rsidRPr="008B2E00" w:rsidRDefault="008B2E00" w:rsidP="008B2E00">
            <w:pPr>
              <w:pStyle w:val="BodyText"/>
              <w:rPr>
                <w:rStyle w:val="Bold"/>
              </w:rPr>
            </w:pPr>
            <w:r w:rsidRPr="008B2E00">
              <w:rPr>
                <w:rStyle w:val="Bold"/>
              </w:rPr>
              <w:t>December 2016</w:t>
            </w:r>
          </w:p>
        </w:tc>
        <w:tc>
          <w:tcPr>
            <w:tcW w:w="2046" w:type="dxa"/>
          </w:tcPr>
          <w:p w:rsidR="008B2E00" w:rsidRPr="008B2E00" w:rsidRDefault="008B2E00" w:rsidP="008B2E00">
            <w:pPr>
              <w:pStyle w:val="BodyText"/>
              <w:rPr>
                <w:rStyle w:val="Bold"/>
              </w:rPr>
            </w:pPr>
            <w:r w:rsidRPr="008B2E00">
              <w:rPr>
                <w:rStyle w:val="Bold"/>
              </w:rPr>
              <w:t>Version 2</w:t>
            </w:r>
          </w:p>
        </w:tc>
      </w:tr>
    </w:tbl>
    <w:p w:rsidR="008B2E00" w:rsidRDefault="00105320" w:rsidP="00101AB5">
      <w:r>
        <w:t>We will commence a new review of the distribution and transmission PTRMs</w:t>
      </w:r>
      <w:r w:rsidR="00F36A2D">
        <w:t xml:space="preserve"> in respect of the method for estimating expected inflation</w:t>
      </w:r>
      <w:r>
        <w:t xml:space="preserve">. This will </w:t>
      </w:r>
      <w:r w:rsidR="005A6A81">
        <w:t>involve</w:t>
      </w:r>
      <w:r>
        <w:t xml:space="preserve"> a separate consultation process</w:t>
      </w:r>
      <w:r w:rsidR="00174DBF">
        <w:t xml:space="preserve"> in accordance with the relevant rules</w:t>
      </w:r>
      <w:r>
        <w:t>.</w:t>
      </w:r>
      <w:r>
        <w:rPr>
          <w:rStyle w:val="FootnoteReference"/>
        </w:rPr>
        <w:footnoteReference w:id="8"/>
      </w:r>
      <w:r>
        <w:t xml:space="preserve"> </w:t>
      </w:r>
    </w:p>
    <w:p w:rsidR="00101AB5" w:rsidRDefault="00101AB5" w:rsidP="00887199">
      <w:pPr>
        <w:pStyle w:val="Heading2"/>
      </w:pPr>
      <w:bookmarkStart w:id="5" w:name="_Toc468376905"/>
      <w:r>
        <w:t>What does the RFM do?</w:t>
      </w:r>
      <w:bookmarkEnd w:id="5"/>
    </w:p>
    <w:p w:rsidR="002537FA" w:rsidRDefault="002A1A18" w:rsidP="00086C33">
      <w:r>
        <w:t xml:space="preserve">This RFM establishes </w:t>
      </w:r>
      <w:r w:rsidR="0002018A">
        <w:t xml:space="preserve">the </w:t>
      </w:r>
      <w:r w:rsidR="002537FA">
        <w:t>method</w:t>
      </w:r>
      <w:r w:rsidR="0002018A">
        <w:t xml:space="preserve"> used to </w:t>
      </w:r>
      <w:r w:rsidR="002537FA">
        <w:t>roll forward</w:t>
      </w:r>
      <w:r w:rsidR="002861DD" w:rsidRPr="002861DD">
        <w:t xml:space="preserve"> </w:t>
      </w:r>
      <w:r w:rsidR="00676018">
        <w:t>the RAB</w:t>
      </w:r>
      <w:r w:rsidR="002861DD">
        <w:t>—</w:t>
      </w:r>
      <w:r w:rsidR="002537FA">
        <w:t xml:space="preserve">that is, </w:t>
      </w:r>
      <w:r w:rsidR="0002018A">
        <w:t xml:space="preserve">increase or decrease </w:t>
      </w:r>
      <w:r w:rsidR="002537FA">
        <w:t>from the previous value:</w:t>
      </w:r>
      <w:r w:rsidR="002537FA">
        <w:rPr>
          <w:rStyle w:val="FootnoteReference"/>
        </w:rPr>
        <w:footnoteReference w:id="9"/>
      </w:r>
    </w:p>
    <w:p w:rsidR="002537FA" w:rsidRDefault="0002018A" w:rsidP="00D20CC3">
      <w:pPr>
        <w:pStyle w:val="ListBullet"/>
      </w:pPr>
      <w:r>
        <w:t>from one regulatory control period to the next</w:t>
      </w:r>
      <w:r w:rsidR="002537FA">
        <w:t xml:space="preserve"> regulatory control period</w:t>
      </w:r>
    </w:p>
    <w:p w:rsidR="0002018A" w:rsidRDefault="0002018A" w:rsidP="00D20CC3">
      <w:pPr>
        <w:pStyle w:val="ListBullet"/>
      </w:pPr>
      <w:proofErr w:type="gramStart"/>
      <w:r>
        <w:t>from</w:t>
      </w:r>
      <w:proofErr w:type="gramEnd"/>
      <w:r>
        <w:t xml:space="preserve"> </w:t>
      </w:r>
      <w:r w:rsidR="002537FA">
        <w:t xml:space="preserve">one regulatory </w:t>
      </w:r>
      <w:r>
        <w:t xml:space="preserve">year to </w:t>
      </w:r>
      <w:r w:rsidR="002537FA">
        <w:t xml:space="preserve">the next regulatory </w:t>
      </w:r>
      <w:r>
        <w:t xml:space="preserve">year </w:t>
      </w:r>
      <w:r w:rsidR="002537FA">
        <w:t xml:space="preserve">in the same </w:t>
      </w:r>
      <w:r>
        <w:t>regulatory control period.</w:t>
      </w:r>
    </w:p>
    <w:p w:rsidR="00687529" w:rsidRPr="00687529" w:rsidRDefault="00687529" w:rsidP="00887199">
      <w:pPr>
        <w:pStyle w:val="BodyText"/>
      </w:pPr>
      <w:r w:rsidRPr="00687529">
        <w:t>The closing RAB value for a regulatory control period as calculated by the RFM becomes the opening RAB to be used for the purposes of making a building block determination for the next regulatory control period.</w:t>
      </w:r>
    </w:p>
    <w:p w:rsidR="00687529" w:rsidRPr="00687529" w:rsidRDefault="00687529" w:rsidP="00887199">
      <w:pPr>
        <w:pStyle w:val="BodyText"/>
      </w:pPr>
      <w:r w:rsidRPr="00687529">
        <w:t>The RAB values from the RFM are inputs into the PTRM, where they are rolled forward from one regulatory year to the next regulatory year on a forecast indicative basis. They are used in the PTRM as part of the calculation of the annual revenue requirements.</w:t>
      </w:r>
    </w:p>
    <w:p w:rsidR="002537FA" w:rsidRDefault="002537FA" w:rsidP="00086C33">
      <w:r>
        <w:t xml:space="preserve">The RFM deals with </w:t>
      </w:r>
      <w:r w:rsidR="00D20CC3">
        <w:t>many</w:t>
      </w:r>
      <w:r>
        <w:t xml:space="preserve"> aspects of RAB</w:t>
      </w:r>
      <w:r w:rsidR="00D20CC3">
        <w:t xml:space="preserve"> estimation</w:t>
      </w:r>
      <w:r>
        <w:t>, including:</w:t>
      </w:r>
      <w:r w:rsidR="00D20CC3">
        <w:rPr>
          <w:rStyle w:val="FootnoteReference"/>
        </w:rPr>
        <w:footnoteReference w:id="10"/>
      </w:r>
    </w:p>
    <w:p w:rsidR="00D20CC3" w:rsidRPr="00D20CC3" w:rsidRDefault="00D20CC3" w:rsidP="00D20CC3">
      <w:pPr>
        <w:pStyle w:val="ListBullet"/>
      </w:pPr>
      <w:r w:rsidRPr="00D20CC3">
        <w:t>establishment of the opening RAB for a regulatory control period</w:t>
      </w:r>
    </w:p>
    <w:p w:rsidR="00D20CC3" w:rsidRPr="00D20CC3" w:rsidRDefault="00D20CC3" w:rsidP="00D20CC3">
      <w:pPr>
        <w:pStyle w:val="ListBullet"/>
      </w:pPr>
      <w:r w:rsidRPr="00D20CC3">
        <w:t xml:space="preserve">adjustments for prudent and efficient </w:t>
      </w:r>
      <w:r w:rsidR="00414639">
        <w:t>capital expenditure (capex)</w:t>
      </w:r>
    </w:p>
    <w:p w:rsidR="00D20CC3" w:rsidRPr="00D20CC3" w:rsidRDefault="00A86449" w:rsidP="00D20CC3">
      <w:pPr>
        <w:pStyle w:val="ListBullet"/>
      </w:pPr>
      <w:r>
        <w:t>the</w:t>
      </w:r>
      <w:r w:rsidR="00D20CC3" w:rsidRPr="00D20CC3">
        <w:t xml:space="preserve"> depreciation approach based on forecast or actual capex</w:t>
      </w:r>
    </w:p>
    <w:p w:rsidR="002537FA" w:rsidRDefault="00101AB5" w:rsidP="00D20CC3">
      <w:pPr>
        <w:pStyle w:val="ListBullet"/>
      </w:pPr>
      <w:proofErr w:type="gramStart"/>
      <w:r>
        <w:t>how</w:t>
      </w:r>
      <w:proofErr w:type="gramEnd"/>
      <w:r>
        <w:t xml:space="preserve"> the (forecast) roll forward should occur within the regulatory control period</w:t>
      </w:r>
      <w:r w:rsidR="00D20CC3" w:rsidRPr="00D20CC3">
        <w:t>.</w:t>
      </w:r>
    </w:p>
    <w:p w:rsidR="00687529" w:rsidRPr="00086C33" w:rsidRDefault="00687529" w:rsidP="00687529">
      <w:r w:rsidRPr="00086C33">
        <w:t xml:space="preserve">The </w:t>
      </w:r>
      <w:r>
        <w:t>roll forward of the RAB from year</w:t>
      </w:r>
      <w:r w:rsidR="002861DD">
        <w:t>-</w:t>
      </w:r>
      <w:r>
        <w:t>to</w:t>
      </w:r>
      <w:r w:rsidR="002861DD">
        <w:t>-</w:t>
      </w:r>
      <w:r>
        <w:t xml:space="preserve">year will </w:t>
      </w:r>
      <w:r w:rsidRPr="00086C33">
        <w:t xml:space="preserve">reflect: </w:t>
      </w:r>
    </w:p>
    <w:p w:rsidR="00687529" w:rsidRPr="00086C33" w:rsidRDefault="00687529" w:rsidP="00687529">
      <w:pPr>
        <w:pStyle w:val="ListBullet"/>
      </w:pPr>
      <w:r w:rsidRPr="00086C33">
        <w:t>additions for actual capex</w:t>
      </w:r>
      <w:r>
        <w:t>, net of customer contributions</w:t>
      </w:r>
    </w:p>
    <w:p w:rsidR="00687529" w:rsidRPr="00086C33" w:rsidRDefault="00687529" w:rsidP="00687529">
      <w:pPr>
        <w:pStyle w:val="ListBullet"/>
      </w:pPr>
      <w:r w:rsidRPr="00086C33">
        <w:t>reductions for the disposal value of assets</w:t>
      </w:r>
    </w:p>
    <w:p w:rsidR="00687529" w:rsidRPr="00086C33" w:rsidRDefault="00687529" w:rsidP="00687529">
      <w:pPr>
        <w:pStyle w:val="ListBullet"/>
      </w:pPr>
      <w:r w:rsidRPr="00086C33">
        <w:t>reductions for depreciation</w:t>
      </w:r>
    </w:p>
    <w:p w:rsidR="00687529" w:rsidRPr="00086C33" w:rsidRDefault="00687529" w:rsidP="00687529">
      <w:pPr>
        <w:pStyle w:val="ListBullet"/>
      </w:pPr>
      <w:r w:rsidRPr="00086C33">
        <w:t>indexation for actual inflation</w:t>
      </w:r>
    </w:p>
    <w:p w:rsidR="00687529" w:rsidRPr="00086C33" w:rsidRDefault="00687529" w:rsidP="00687529">
      <w:pPr>
        <w:pStyle w:val="ListBullet"/>
      </w:pPr>
      <w:r w:rsidRPr="00086C33">
        <w:t>adjustment for the difference between estimated and actual capex for a previous regulatory control period</w:t>
      </w:r>
    </w:p>
    <w:p w:rsidR="00687529" w:rsidRDefault="00687529" w:rsidP="00687529">
      <w:pPr>
        <w:pStyle w:val="ListBullet"/>
      </w:pPr>
      <w:proofErr w:type="gramStart"/>
      <w:r w:rsidRPr="00086C33">
        <w:t>other</w:t>
      </w:r>
      <w:proofErr w:type="gramEnd"/>
      <w:r w:rsidRPr="00086C33">
        <w:t xml:space="preserve"> adjustments for removal or addition of assets made under certain circumstances (such as a change in service classificati</w:t>
      </w:r>
      <w:r>
        <w:t>on) in accordance with the NER.</w:t>
      </w:r>
    </w:p>
    <w:p w:rsidR="00F36A2D" w:rsidRDefault="00F36A2D" w:rsidP="000A4FF0">
      <w:pPr>
        <w:pStyle w:val="Heading2"/>
        <w:numPr>
          <w:ilvl w:val="0"/>
          <w:numId w:val="0"/>
        </w:numPr>
        <w:ind w:left="680"/>
      </w:pPr>
      <w:bookmarkStart w:id="6" w:name="_Toc459135437"/>
      <w:bookmarkEnd w:id="6"/>
    </w:p>
    <w:p w:rsidR="00F36A2D" w:rsidRPr="00F36A2D" w:rsidRDefault="00F36A2D" w:rsidP="000A4FF0"/>
    <w:p w:rsidR="00D20CC3" w:rsidRDefault="001D2836" w:rsidP="00887199">
      <w:pPr>
        <w:pStyle w:val="Heading2"/>
      </w:pPr>
      <w:bookmarkStart w:id="7" w:name="_Toc468376906"/>
      <w:r>
        <w:t>How was the amended RFM developed</w:t>
      </w:r>
      <w:r w:rsidR="00D20CC3">
        <w:t>?</w:t>
      </w:r>
      <w:bookmarkEnd w:id="7"/>
    </w:p>
    <w:p w:rsidR="0002018A" w:rsidRDefault="00C35E2B" w:rsidP="00C35E2B">
      <w:pPr>
        <w:pStyle w:val="BodyText"/>
      </w:pPr>
      <w:r w:rsidRPr="00C35E2B">
        <w:t>We want</w:t>
      </w:r>
      <w:r>
        <w:t>ed</w:t>
      </w:r>
      <w:r w:rsidRPr="00C35E2B">
        <w:t xml:space="preserve"> all stakeholders to have opportunity to consider our proposed changes to the RFM and make written comments in response</w:t>
      </w:r>
      <w:r>
        <w:t>.</w:t>
      </w:r>
      <w:r w:rsidRPr="00C35E2B">
        <w:t xml:space="preserve"> </w:t>
      </w:r>
      <w:r>
        <w:t>On 31 </w:t>
      </w:r>
      <w:r w:rsidR="008B2E00" w:rsidRPr="008B2E00">
        <w:t xml:space="preserve">August 2016, we commenced </w:t>
      </w:r>
      <w:r>
        <w:t xml:space="preserve">the </w:t>
      </w:r>
      <w:r w:rsidR="008B2E00" w:rsidRPr="008B2E00">
        <w:t xml:space="preserve">consultation </w:t>
      </w:r>
      <w:r>
        <w:t xml:space="preserve">process </w:t>
      </w:r>
      <w:r w:rsidR="008B2E00">
        <w:t>by publishing:</w:t>
      </w:r>
      <w:r w:rsidR="0002018A">
        <w:rPr>
          <w:rStyle w:val="FootnoteReference"/>
        </w:rPr>
        <w:footnoteReference w:id="11"/>
      </w:r>
    </w:p>
    <w:p w:rsidR="0002018A" w:rsidRDefault="0002018A" w:rsidP="0002018A">
      <w:pPr>
        <w:pStyle w:val="ListBullet"/>
      </w:pPr>
      <w:r>
        <w:t>the proposed amended model</w:t>
      </w:r>
    </w:p>
    <w:p w:rsidR="00C35E2B" w:rsidRDefault="00C35E2B" w:rsidP="0002018A">
      <w:pPr>
        <w:pStyle w:val="ListBullet"/>
      </w:pPr>
      <w:r>
        <w:t>a handbook to accompany the proposed amended</w:t>
      </w:r>
      <w:r w:rsidR="00C03B36">
        <w:t xml:space="preserve"> model</w:t>
      </w:r>
    </w:p>
    <w:p w:rsidR="0002018A" w:rsidRDefault="008B2E00" w:rsidP="0002018A">
      <w:pPr>
        <w:pStyle w:val="ListBullet"/>
      </w:pPr>
      <w:proofErr w:type="gramStart"/>
      <w:r>
        <w:t>an</w:t>
      </w:r>
      <w:proofErr w:type="gramEnd"/>
      <w:r w:rsidR="0002018A">
        <w:t xml:space="preserve"> explanatory statement, setting out the provision of the NER under</w:t>
      </w:r>
      <w:r w:rsidR="00C35E2B">
        <w:t xml:space="preserve"> which the model wa</w:t>
      </w:r>
      <w:r w:rsidR="0002018A">
        <w:t>s proposed to be prepared, and the reasons for the proposed amended model</w:t>
      </w:r>
      <w:r w:rsidR="002861DD">
        <w:t>.</w:t>
      </w:r>
      <w:r w:rsidR="00C35E2B" w:rsidRPr="00C35E2B">
        <w:rPr>
          <w:rStyle w:val="FootnoteReference"/>
        </w:rPr>
        <w:footnoteReference w:id="12"/>
      </w:r>
    </w:p>
    <w:p w:rsidR="005D2AED" w:rsidRDefault="0002018A" w:rsidP="0002018A">
      <w:r>
        <w:t xml:space="preserve">We </w:t>
      </w:r>
      <w:r w:rsidR="00C35E2B">
        <w:t xml:space="preserve">asked stakeholders to make submissions on the proposed amendments </w:t>
      </w:r>
      <w:r w:rsidR="002537FA">
        <w:t xml:space="preserve">on or before </w:t>
      </w:r>
      <w:r w:rsidR="003D75A0">
        <w:t>13</w:t>
      </w:r>
      <w:r w:rsidR="00C03B36">
        <w:t> </w:t>
      </w:r>
      <w:r>
        <w:t>October 2016.</w:t>
      </w:r>
      <w:r>
        <w:rPr>
          <w:rStyle w:val="FootnoteReference"/>
        </w:rPr>
        <w:footnoteReference w:id="13"/>
      </w:r>
      <w:r w:rsidR="002537FA">
        <w:t xml:space="preserve"> </w:t>
      </w:r>
      <w:r w:rsidR="00C35E2B">
        <w:t>We received four written submissions by this date</w:t>
      </w:r>
      <w:r w:rsidR="005D2AED">
        <w:t>,</w:t>
      </w:r>
      <w:r w:rsidR="00217E32">
        <w:t xml:space="preserve"> from</w:t>
      </w:r>
      <w:r w:rsidR="005D2AED">
        <w:t>:</w:t>
      </w:r>
    </w:p>
    <w:p w:rsidR="005D2AED" w:rsidRDefault="00217E32" w:rsidP="005D2AED">
      <w:pPr>
        <w:pStyle w:val="Bulletpoint"/>
      </w:pPr>
      <w:r>
        <w:t>AusNet Services</w:t>
      </w:r>
      <w:r w:rsidR="005D2AED">
        <w:rPr>
          <w:rStyle w:val="FootnoteReference"/>
        </w:rPr>
        <w:footnoteReference w:id="14"/>
      </w:r>
    </w:p>
    <w:p w:rsidR="005D2AED" w:rsidRDefault="00217E32" w:rsidP="005D2AED">
      <w:pPr>
        <w:pStyle w:val="Bulletpoint"/>
      </w:pPr>
      <w:r>
        <w:t>Australian Gas Networks</w:t>
      </w:r>
      <w:r w:rsidR="005D2AED">
        <w:t xml:space="preserve"> (AGN)</w:t>
      </w:r>
      <w:r w:rsidR="005D2AED">
        <w:rPr>
          <w:rStyle w:val="FootnoteReference"/>
        </w:rPr>
        <w:footnoteReference w:id="15"/>
      </w:r>
    </w:p>
    <w:p w:rsidR="005D2AED" w:rsidRDefault="00217E32" w:rsidP="005D2AED">
      <w:pPr>
        <w:pStyle w:val="Bulletpoint"/>
      </w:pPr>
      <w:r>
        <w:t>Jemena Electricity Networks</w:t>
      </w:r>
      <w:r w:rsidR="005D2AED">
        <w:t xml:space="preserve"> (JEN)</w:t>
      </w:r>
      <w:r w:rsidR="005D2AED">
        <w:rPr>
          <w:rStyle w:val="FootnoteReference"/>
        </w:rPr>
        <w:footnoteReference w:id="16"/>
      </w:r>
    </w:p>
    <w:p w:rsidR="005D2AED" w:rsidRDefault="00217E32" w:rsidP="005D2AED">
      <w:pPr>
        <w:pStyle w:val="Bulletpoint"/>
      </w:pPr>
      <w:r>
        <w:t>SA Power Networks</w:t>
      </w:r>
      <w:r w:rsidR="005D2AED">
        <w:t xml:space="preserve">, </w:t>
      </w:r>
      <w:r>
        <w:t>CitiPower</w:t>
      </w:r>
      <w:r w:rsidR="005D2AED">
        <w:t xml:space="preserve"> and </w:t>
      </w:r>
      <w:r>
        <w:t>Powercor</w:t>
      </w:r>
      <w:r w:rsidR="005D2AED">
        <w:t xml:space="preserve"> (SCP) as a joint submission.</w:t>
      </w:r>
      <w:r w:rsidR="005D2AED">
        <w:rPr>
          <w:rStyle w:val="FootnoteReference"/>
        </w:rPr>
        <w:footnoteReference w:id="17"/>
      </w:r>
    </w:p>
    <w:p w:rsidR="004D7F7D" w:rsidRDefault="005D2AED" w:rsidP="0002018A">
      <w:r>
        <w:t>We also received</w:t>
      </w:r>
      <w:r w:rsidR="00C35E2B">
        <w:t xml:space="preserve"> one late submission</w:t>
      </w:r>
      <w:r w:rsidR="00217E32">
        <w:t xml:space="preserve"> from the Energy Networks Association</w:t>
      </w:r>
      <w:r>
        <w:t xml:space="preserve"> (ENA)</w:t>
      </w:r>
      <w:r w:rsidR="00C35E2B">
        <w:t>.</w:t>
      </w:r>
      <w:r w:rsidR="00815A79">
        <w:rPr>
          <w:rStyle w:val="FootnoteReference"/>
        </w:rPr>
        <w:footnoteReference w:id="18"/>
      </w:r>
      <w:r w:rsidR="00C35E2B">
        <w:t xml:space="preserve"> </w:t>
      </w:r>
      <w:r w:rsidR="00C03B36">
        <w:t>We</w:t>
      </w:r>
      <w:r w:rsidR="00A75708">
        <w:t xml:space="preserve"> have</w:t>
      </w:r>
      <w:r w:rsidR="00C03B36">
        <w:t xml:space="preserve"> carefully evaluated the contents of those submissions</w:t>
      </w:r>
      <w:r w:rsidR="004D7F7D">
        <w:t xml:space="preserve"> </w:t>
      </w:r>
      <w:r w:rsidR="00A75708">
        <w:t>as part of</w:t>
      </w:r>
      <w:r w:rsidR="004D7F7D">
        <w:t xml:space="preserve"> final</w:t>
      </w:r>
      <w:r w:rsidR="00A75708">
        <w:t>ising the</w:t>
      </w:r>
      <w:r w:rsidR="004D7F7D">
        <w:t xml:space="preserve"> amendments to the RFM. </w:t>
      </w:r>
    </w:p>
    <w:p w:rsidR="00AC5EEB" w:rsidRDefault="004D7F7D" w:rsidP="004D7F7D">
      <w:r w:rsidRPr="004D7F7D">
        <w:t>The amended RFM is published with this decision</w:t>
      </w:r>
      <w:r w:rsidR="00AC5EEB">
        <w:t>, in accordance with clause 6.5.1</w:t>
      </w:r>
      <w:r>
        <w:t xml:space="preserve"> </w:t>
      </w:r>
      <w:r w:rsidR="00AC5EEB">
        <w:t xml:space="preserve">of the </w:t>
      </w:r>
      <w:r>
        <w:t>NER</w:t>
      </w:r>
      <w:r w:rsidRPr="004D7F7D">
        <w:t>.</w:t>
      </w:r>
      <w:r w:rsidRPr="004D7F7D">
        <w:rPr>
          <w:rStyle w:val="FootnoteReference"/>
        </w:rPr>
        <w:footnoteReference w:id="19"/>
      </w:r>
      <w:r>
        <w:t xml:space="preserve"> This final decision sets out our reasons for adopting these </w:t>
      </w:r>
      <w:r w:rsidRPr="004D7F7D">
        <w:t>amendments</w:t>
      </w:r>
      <w:r>
        <w:t xml:space="preserve">, including the changes made since the August </w:t>
      </w:r>
      <w:r w:rsidR="00A75708">
        <w:t xml:space="preserve">draft </w:t>
      </w:r>
      <w:r>
        <w:t>version in response to submissions.</w:t>
      </w:r>
    </w:p>
    <w:p w:rsidR="002537FA" w:rsidRDefault="00AC5EEB" w:rsidP="004D7F7D">
      <w:r>
        <w:t xml:space="preserve">Version 2 of the DNSP RFM will therefore be </w:t>
      </w:r>
      <w:r w:rsidR="00231F81">
        <w:t xml:space="preserve">the template </w:t>
      </w:r>
      <w:r>
        <w:t>for all subsequent regulatory determinations for electricity DNSPs.</w:t>
      </w:r>
    </w:p>
    <w:p w:rsidR="00F36A2D" w:rsidRDefault="00F36A2D" w:rsidP="004D7F7D"/>
    <w:p w:rsidR="0002018A" w:rsidRDefault="0002018A" w:rsidP="00887199">
      <w:pPr>
        <w:pStyle w:val="Heading2"/>
      </w:pPr>
      <w:bookmarkStart w:id="8" w:name="_Toc468376907"/>
      <w:r>
        <w:t>Why are we updating the RFM?</w:t>
      </w:r>
      <w:bookmarkEnd w:id="8"/>
    </w:p>
    <w:p w:rsidR="00086C33" w:rsidRPr="00086C33" w:rsidRDefault="00086C33" w:rsidP="00C41F79">
      <w:r w:rsidRPr="00086C33">
        <w:t xml:space="preserve">Version </w:t>
      </w:r>
      <w:r w:rsidR="00CC1E84">
        <w:t>2</w:t>
      </w:r>
      <w:r w:rsidRPr="00086C33">
        <w:t xml:space="preserve"> </w:t>
      </w:r>
      <w:r w:rsidR="00C41F79">
        <w:t xml:space="preserve">of the DNSP RFM </w:t>
      </w:r>
      <w:r w:rsidRPr="00086C33">
        <w:t>is necessary to</w:t>
      </w:r>
      <w:r w:rsidR="00C41F79">
        <w:t xml:space="preserve"> provide flexibility to implement recent changes to the regulatory framework. </w:t>
      </w:r>
    </w:p>
    <w:p w:rsidR="00C16545" w:rsidRDefault="00086C33" w:rsidP="00086C33">
      <w:r w:rsidRPr="00086C33">
        <w:t xml:space="preserve">First, the amendments reflect the AER’s new </w:t>
      </w:r>
      <w:r w:rsidRPr="00B56B7F">
        <w:rPr>
          <w:rStyle w:val="Emphasis"/>
        </w:rPr>
        <w:t>Capital expenditure incentive guideline</w:t>
      </w:r>
      <w:r w:rsidRPr="00086C33">
        <w:t>, which sets out the use of forecast depreciation</w:t>
      </w:r>
      <w:r w:rsidR="00675534">
        <w:t xml:space="preserve"> (based on forecast </w:t>
      </w:r>
      <w:r w:rsidR="00414639">
        <w:t>capex</w:t>
      </w:r>
      <w:r w:rsidR="00675534">
        <w:t>)</w:t>
      </w:r>
      <w:r w:rsidRPr="00086C33">
        <w:t xml:space="preserve"> to roll forward the RAB in conjunction with the application of a capital expenditure sharing scheme (CESS).</w:t>
      </w:r>
      <w:r>
        <w:rPr>
          <w:rStyle w:val="FootnoteReference"/>
        </w:rPr>
        <w:footnoteReference w:id="20"/>
      </w:r>
      <w:r w:rsidRPr="00086C33">
        <w:t xml:space="preserve"> Version </w:t>
      </w:r>
      <w:r w:rsidR="00CC1E84">
        <w:t>1</w:t>
      </w:r>
      <w:r w:rsidRPr="00086C33">
        <w:t xml:space="preserve"> of the </w:t>
      </w:r>
      <w:r w:rsidR="00CC1E84">
        <w:t xml:space="preserve">DNSP </w:t>
      </w:r>
      <w:r w:rsidRPr="00086C33">
        <w:t>RFM used only an actual depreciation approach (</w:t>
      </w:r>
      <w:r w:rsidR="00675534">
        <w:t xml:space="preserve">based on actual </w:t>
      </w:r>
      <w:r w:rsidR="00414639">
        <w:t>capex</w:t>
      </w:r>
      <w:r w:rsidRPr="00086C33">
        <w:t xml:space="preserve">) to roll forward the RAB. Under this approach the depreciation deducted from the RAB depended on the actual capex </w:t>
      </w:r>
      <w:r w:rsidR="00675534">
        <w:t>incurred</w:t>
      </w:r>
      <w:r w:rsidR="00675534" w:rsidRPr="00086C33">
        <w:t xml:space="preserve"> </w:t>
      </w:r>
      <w:r w:rsidRPr="00086C33">
        <w:t xml:space="preserve">and rolled into the RAB during the regulatory control period, rather than that forecast at </w:t>
      </w:r>
      <w:r w:rsidR="000140D3">
        <w:t xml:space="preserve">the time of the reset. </w:t>
      </w:r>
      <w:r w:rsidR="00A86449">
        <w:t xml:space="preserve">The actual depreciation approach reflected, in part, the fact that there was no capex incentive scheme. </w:t>
      </w:r>
      <w:r w:rsidR="000140D3">
        <w:t>Version 2</w:t>
      </w:r>
      <w:r w:rsidRPr="00086C33">
        <w:t xml:space="preserve"> of the </w:t>
      </w:r>
      <w:r w:rsidR="000140D3">
        <w:t xml:space="preserve">DNSP </w:t>
      </w:r>
      <w:r w:rsidRPr="00086C33">
        <w:t xml:space="preserve">RFM has been modified to </w:t>
      </w:r>
      <w:r w:rsidR="00A86449">
        <w:t>allow</w:t>
      </w:r>
      <w:r w:rsidRPr="00086C33">
        <w:t xml:space="preserve"> a forecast or actual depreciation approach to be used to roll forward the RAB. The forecast depreciation approach deducts the real forecast depreciation approved at the time of the previous reset from the RAB, and does not adjust for actual capex. This matches what the </w:t>
      </w:r>
      <w:r w:rsidR="000140D3">
        <w:t>D</w:t>
      </w:r>
      <w:r w:rsidRPr="00086C33">
        <w:t>NSP received in real depreciation allowed during</w:t>
      </w:r>
      <w:r w:rsidR="00C16545">
        <w:t xml:space="preserve"> the regulatory control period.</w:t>
      </w:r>
    </w:p>
    <w:p w:rsidR="00086C33" w:rsidRPr="00086C33" w:rsidRDefault="00086C33" w:rsidP="00086C33">
      <w:r w:rsidRPr="00086C33">
        <w:t>This policy change also has consequential impacts on the way remaining asset lives are calculated in the RFM.</w:t>
      </w:r>
      <w:r w:rsidR="00C16545">
        <w:t xml:space="preserve"> The amendments to the RFM implement our preferred approach to calculating remaining asset lives, known as weighted average remaining lives (WARL).</w:t>
      </w:r>
    </w:p>
    <w:p w:rsidR="00086C33" w:rsidRPr="00086C33" w:rsidRDefault="00086C33" w:rsidP="00086C33">
      <w:r w:rsidRPr="00086C33">
        <w:t xml:space="preserve">Second, the amendments reflect the AER’s </w:t>
      </w:r>
      <w:r w:rsidRPr="00B56B7F">
        <w:rPr>
          <w:rStyle w:val="Emphasis"/>
        </w:rPr>
        <w:t>Rate of return guideline</w:t>
      </w:r>
      <w:r w:rsidRPr="00086C33">
        <w:t xml:space="preserve">, which allows for an annual update of </w:t>
      </w:r>
      <w:r>
        <w:t>the return on debt.</w:t>
      </w:r>
      <w:r>
        <w:rPr>
          <w:rStyle w:val="FootnoteReference"/>
        </w:rPr>
        <w:footnoteReference w:id="21"/>
      </w:r>
      <w:r w:rsidRPr="00086C33">
        <w:t xml:space="preserve"> Version </w:t>
      </w:r>
      <w:r w:rsidR="000140D3">
        <w:t>2</w:t>
      </w:r>
      <w:r w:rsidRPr="00086C33">
        <w:t xml:space="preserve"> of the </w:t>
      </w:r>
      <w:r w:rsidR="000140D3">
        <w:t xml:space="preserve">DNSP </w:t>
      </w:r>
      <w:r w:rsidRPr="00086C33">
        <w:t xml:space="preserve">RFM has been modified to accommodate inputs for different annual rates of return. </w:t>
      </w:r>
    </w:p>
    <w:p w:rsidR="00086C33" w:rsidRPr="00086C33" w:rsidRDefault="00086C33" w:rsidP="00086C33">
      <w:r w:rsidRPr="00086C33">
        <w:t xml:space="preserve">Version </w:t>
      </w:r>
      <w:r w:rsidR="00675534">
        <w:t>2 of the DNSP RFM</w:t>
      </w:r>
      <w:r w:rsidRPr="00086C33">
        <w:t xml:space="preserve"> also allows us to make changes to the spreadsheet so that it can be automatically integrated into the AER’s data management system (DMS). The DMS allows us to centrally store and easily retrieve data from all our regulatory processes. These changes do not affect the functionality of the spreadsheet.</w:t>
      </w:r>
    </w:p>
    <w:p w:rsidR="00D20CC3" w:rsidRDefault="00D20CC3" w:rsidP="00887199">
      <w:pPr>
        <w:pStyle w:val="Heading2"/>
      </w:pPr>
      <w:bookmarkStart w:id="9" w:name="_Toc468376908"/>
      <w:r>
        <w:t xml:space="preserve">What are the key </w:t>
      </w:r>
      <w:r w:rsidR="007D06DA">
        <w:t>changes</w:t>
      </w:r>
      <w:r>
        <w:t>?</w:t>
      </w:r>
      <w:bookmarkEnd w:id="9"/>
    </w:p>
    <w:p w:rsidR="00D20CC3" w:rsidRDefault="007D06DA" w:rsidP="007D06DA">
      <w:r w:rsidRPr="00086C33">
        <w:t xml:space="preserve">Section </w:t>
      </w:r>
      <w:r>
        <w:t>2</w:t>
      </w:r>
      <w:r w:rsidRPr="00086C33">
        <w:t xml:space="preserve"> explains</w:t>
      </w:r>
      <w:r>
        <w:t xml:space="preserve"> </w:t>
      </w:r>
      <w:r w:rsidRPr="00086C33">
        <w:t>in detail</w:t>
      </w:r>
      <w:r>
        <w:t xml:space="preserve"> the changes made in the final amended RFM:</w:t>
      </w:r>
    </w:p>
    <w:p w:rsidR="007D06DA" w:rsidRDefault="007D06DA" w:rsidP="00887199">
      <w:pPr>
        <w:pStyle w:val="ListBullet"/>
      </w:pPr>
      <w:r>
        <w:t>Forecast or actual depreciation in the RAB roll forward (section 2.1)</w:t>
      </w:r>
    </w:p>
    <w:p w:rsidR="00D20CC3" w:rsidRDefault="00D20CC3" w:rsidP="00887199">
      <w:pPr>
        <w:pStyle w:val="ListBullet"/>
      </w:pPr>
      <w:r>
        <w:t xml:space="preserve">Remaining asset lives (section </w:t>
      </w:r>
      <w:r w:rsidR="00687529">
        <w:t>2</w:t>
      </w:r>
      <w:r>
        <w:t>.2)</w:t>
      </w:r>
    </w:p>
    <w:p w:rsidR="00D20CC3" w:rsidRDefault="00D20CC3" w:rsidP="00887199">
      <w:pPr>
        <w:pStyle w:val="ListBullet"/>
      </w:pPr>
      <w:r>
        <w:t xml:space="preserve">End of period adjustments (section </w:t>
      </w:r>
      <w:r w:rsidR="00687529">
        <w:t>2</w:t>
      </w:r>
      <w:r>
        <w:t>.3)</w:t>
      </w:r>
    </w:p>
    <w:p w:rsidR="00D20CC3" w:rsidRDefault="00D20CC3" w:rsidP="00887199">
      <w:pPr>
        <w:pStyle w:val="ListBullet"/>
      </w:pPr>
      <w:r>
        <w:t xml:space="preserve">Annual </w:t>
      </w:r>
      <w:r w:rsidR="00A75708">
        <w:t>weighted average cost of capital (</w:t>
      </w:r>
      <w:r>
        <w:t>WACC</w:t>
      </w:r>
      <w:r w:rsidR="00A75708">
        <w:t>)</w:t>
      </w:r>
      <w:r>
        <w:t xml:space="preserve"> updates (section </w:t>
      </w:r>
      <w:r w:rsidR="00687529">
        <w:t>2</w:t>
      </w:r>
      <w:r>
        <w:t>.4)</w:t>
      </w:r>
    </w:p>
    <w:p w:rsidR="00D20CC3" w:rsidRDefault="00D20CC3" w:rsidP="00887199">
      <w:pPr>
        <w:pStyle w:val="ListBullet"/>
      </w:pPr>
      <w:r>
        <w:t xml:space="preserve">Input worksheet for the AER </w:t>
      </w:r>
      <w:r w:rsidR="0068557F">
        <w:t>DMS</w:t>
      </w:r>
      <w:r>
        <w:t xml:space="preserve"> (section </w:t>
      </w:r>
      <w:r w:rsidR="00687529">
        <w:t>2</w:t>
      </w:r>
      <w:r>
        <w:t>.5)</w:t>
      </w:r>
    </w:p>
    <w:p w:rsidR="00CC1C11" w:rsidRDefault="00CC1C11" w:rsidP="00887199">
      <w:pPr>
        <w:pStyle w:val="ListBullet"/>
      </w:pPr>
      <w:r>
        <w:t>Use of actual inflation (section 2.6)</w:t>
      </w:r>
    </w:p>
    <w:p w:rsidR="00D20CC3" w:rsidRDefault="00D20CC3" w:rsidP="00887199">
      <w:pPr>
        <w:pStyle w:val="ListBullet"/>
      </w:pPr>
      <w:r>
        <w:t>Presentational and other functional improvements (</w:t>
      </w:r>
      <w:r w:rsidR="004D6BCD">
        <w:t xml:space="preserve">section </w:t>
      </w:r>
      <w:r w:rsidR="00687529">
        <w:t>2</w:t>
      </w:r>
      <w:r>
        <w:t>.</w:t>
      </w:r>
      <w:r w:rsidR="00CC1C11">
        <w:t>7</w:t>
      </w:r>
      <w:r>
        <w:t>)</w:t>
      </w:r>
      <w:r w:rsidR="0070583B">
        <w:t>.</w:t>
      </w:r>
    </w:p>
    <w:p w:rsidR="007D06DA" w:rsidRDefault="007D06DA" w:rsidP="00086C33">
      <w:r>
        <w:t xml:space="preserve">Section 3 discusses </w:t>
      </w:r>
      <w:r w:rsidR="00CC1C11">
        <w:t xml:space="preserve">two </w:t>
      </w:r>
      <w:r>
        <w:t xml:space="preserve">issues </w:t>
      </w:r>
      <w:r w:rsidR="0070583B">
        <w:t xml:space="preserve">mentioned in our August 2016 </w:t>
      </w:r>
      <w:r w:rsidR="0068557F" w:rsidRPr="005D2AED">
        <w:rPr>
          <w:rStyle w:val="Emphasis"/>
        </w:rPr>
        <w:t>E</w:t>
      </w:r>
      <w:r w:rsidR="0070583B" w:rsidRPr="005D2AED">
        <w:rPr>
          <w:rStyle w:val="Emphasis"/>
        </w:rPr>
        <w:t>xplanatory statement</w:t>
      </w:r>
      <w:r w:rsidR="0070583B">
        <w:t xml:space="preserve"> and submissions from stakeholders, </w:t>
      </w:r>
      <w:r>
        <w:t>but which have not resulted in changes to the final amended RFM:</w:t>
      </w:r>
    </w:p>
    <w:p w:rsidR="007D06DA" w:rsidRDefault="00EE79F1" w:rsidP="007D06DA">
      <w:pPr>
        <w:pStyle w:val="ListBullet"/>
      </w:pPr>
      <w:r>
        <w:t>Expected</w:t>
      </w:r>
      <w:r w:rsidR="007D06DA">
        <w:t xml:space="preserve"> inflation</w:t>
      </w:r>
      <w:r w:rsidR="0068557F">
        <w:t xml:space="preserve"> </w:t>
      </w:r>
      <w:r w:rsidR="007D06DA">
        <w:t>(</w:t>
      </w:r>
      <w:r w:rsidR="004D6BCD">
        <w:t xml:space="preserve">section </w:t>
      </w:r>
      <w:r w:rsidR="007D06DA">
        <w:t>3.</w:t>
      </w:r>
      <w:r w:rsidR="00CC1C11">
        <w:t>1</w:t>
      </w:r>
      <w:r w:rsidR="007D06DA">
        <w:t>)</w:t>
      </w:r>
    </w:p>
    <w:p w:rsidR="00086C33" w:rsidRPr="00086C33" w:rsidRDefault="004D6BCD" w:rsidP="0064063E">
      <w:pPr>
        <w:pStyle w:val="ListBullet"/>
      </w:pPr>
      <w:r>
        <w:t>Exclusion of inefficient capex (section 3.</w:t>
      </w:r>
      <w:r w:rsidR="00CC1C11">
        <w:t>2</w:t>
      </w:r>
      <w:r>
        <w:t>)</w:t>
      </w:r>
      <w:r w:rsidR="00414639">
        <w:t>.</w:t>
      </w:r>
    </w:p>
    <w:p w:rsidR="00086C33" w:rsidRPr="00086C33" w:rsidRDefault="009B7F5A" w:rsidP="00B56B7F">
      <w:pPr>
        <w:pStyle w:val="Heading1"/>
      </w:pPr>
      <w:bookmarkStart w:id="10" w:name="_Toc468376909"/>
      <w:r>
        <w:t>A</w:t>
      </w:r>
      <w:r w:rsidR="00086C33" w:rsidRPr="00086C33">
        <w:t>mendments</w:t>
      </w:r>
      <w:bookmarkEnd w:id="10"/>
    </w:p>
    <w:p w:rsidR="00086C33" w:rsidRPr="00086C33" w:rsidRDefault="00086C33" w:rsidP="00086C33">
      <w:r w:rsidRPr="00086C33">
        <w:t xml:space="preserve">This section sets out our amendments to the </w:t>
      </w:r>
      <w:r w:rsidR="00F57F1D">
        <w:t xml:space="preserve">DNSP </w:t>
      </w:r>
      <w:r w:rsidRPr="00086C33">
        <w:t xml:space="preserve">RFM and the associated handbook. </w:t>
      </w:r>
      <w:r w:rsidR="0068557F">
        <w:fldChar w:fldCharType="begin"/>
      </w:r>
      <w:r w:rsidR="0068557F">
        <w:instrText xml:space="preserve"> REF _Ref457578617 \h </w:instrText>
      </w:r>
      <w:r w:rsidR="0068557F">
        <w:fldChar w:fldCharType="separate"/>
      </w:r>
      <w:r w:rsidR="00B8515B">
        <w:t xml:space="preserve">Table </w:t>
      </w:r>
      <w:r w:rsidR="00B8515B">
        <w:rPr>
          <w:noProof/>
        </w:rPr>
        <w:t>2</w:t>
      </w:r>
      <w:r w:rsidR="0068557F">
        <w:fldChar w:fldCharType="end"/>
      </w:r>
      <w:r w:rsidR="0068557F">
        <w:t xml:space="preserve"> </w:t>
      </w:r>
      <w:r w:rsidRPr="00086C33">
        <w:t>shows which workshee</w:t>
      </w:r>
      <w:r w:rsidR="00B56B7F">
        <w:t>ts have been amended or added.</w:t>
      </w:r>
      <w:r w:rsidR="00B56B7F">
        <w:rPr>
          <w:rStyle w:val="FootnoteReference"/>
        </w:rPr>
        <w:footnoteReference w:id="22"/>
      </w:r>
    </w:p>
    <w:p w:rsidR="00086C33" w:rsidRPr="00086C33" w:rsidRDefault="009B7F5A" w:rsidP="00086C33">
      <w:r w:rsidRPr="00086C33">
        <w:t xml:space="preserve">A summary of changes is provided in the </w:t>
      </w:r>
      <w:r w:rsidRPr="00B56B7F">
        <w:rPr>
          <w:rStyle w:val="Emphasis"/>
        </w:rPr>
        <w:t>'Intro'</w:t>
      </w:r>
      <w:r w:rsidRPr="00086C33">
        <w:t xml:space="preserve"> worksheet to the RFM.</w:t>
      </w:r>
      <w:r w:rsidR="00BE56CB" w:rsidRPr="00C64DC5">
        <w:t xml:space="preserve"> </w:t>
      </w:r>
    </w:p>
    <w:p w:rsidR="00B56B7F" w:rsidRDefault="00B56B7F" w:rsidP="00B56B7F">
      <w:pPr>
        <w:pStyle w:val="Caption"/>
        <w:keepNext/>
      </w:pPr>
      <w:bookmarkStart w:id="11" w:name="_Ref457578617"/>
      <w:r>
        <w:t xml:space="preserve">Table </w:t>
      </w:r>
      <w:fldSimple w:instr=" SEQ Table \* ARABIC ">
        <w:r w:rsidR="00B8515B">
          <w:rPr>
            <w:noProof/>
          </w:rPr>
          <w:t>2</w:t>
        </w:r>
      </w:fldSimple>
      <w:bookmarkEnd w:id="11"/>
      <w:r>
        <w:tab/>
        <w:t xml:space="preserve">Changes to the </w:t>
      </w:r>
      <w:r w:rsidR="00F57F1D">
        <w:t>distribution</w:t>
      </w:r>
      <w:r>
        <w:t xml:space="preserve"> RFM worksheets</w:t>
      </w:r>
    </w:p>
    <w:tbl>
      <w:tblPr>
        <w:tblStyle w:val="AERTable-Text"/>
        <w:tblW w:w="0" w:type="auto"/>
        <w:tblLook w:val="04A0" w:firstRow="1" w:lastRow="0" w:firstColumn="1" w:lastColumn="0" w:noHBand="0" w:noVBand="1"/>
      </w:tblPr>
      <w:tblGrid>
        <w:gridCol w:w="3369"/>
        <w:gridCol w:w="2792"/>
        <w:gridCol w:w="3081"/>
      </w:tblGrid>
      <w:tr w:rsidR="00B56B7F" w:rsidRPr="00B56B7F" w:rsidTr="00B56B7F">
        <w:trPr>
          <w:cnfStyle w:val="100000000000" w:firstRow="1" w:lastRow="0" w:firstColumn="0" w:lastColumn="0" w:oddVBand="0" w:evenVBand="0" w:oddHBand="0" w:evenHBand="0" w:firstRowFirstColumn="0" w:firstRowLastColumn="0" w:lastRowFirstColumn="0" w:lastRowLastColumn="0"/>
        </w:trPr>
        <w:tc>
          <w:tcPr>
            <w:tcW w:w="3369" w:type="dxa"/>
          </w:tcPr>
          <w:p w:rsidR="00B56B7F" w:rsidRPr="00B56B7F" w:rsidRDefault="00B56B7F" w:rsidP="008D18E5">
            <w:pPr>
              <w:pStyle w:val="Tabletext"/>
            </w:pPr>
            <w:r w:rsidRPr="00B56B7F">
              <w:t>Old RFM worksheets</w:t>
            </w:r>
          </w:p>
        </w:tc>
        <w:tc>
          <w:tcPr>
            <w:tcW w:w="2792" w:type="dxa"/>
          </w:tcPr>
          <w:p w:rsidR="00B56B7F" w:rsidRPr="00B56B7F" w:rsidRDefault="00B56B7F" w:rsidP="008D18E5">
            <w:pPr>
              <w:pStyle w:val="Tabletext"/>
            </w:pPr>
            <w:r w:rsidRPr="00B56B7F">
              <w:t>Status</w:t>
            </w:r>
          </w:p>
        </w:tc>
        <w:tc>
          <w:tcPr>
            <w:tcW w:w="3081" w:type="dxa"/>
          </w:tcPr>
          <w:p w:rsidR="00B56B7F" w:rsidRPr="00B56B7F" w:rsidRDefault="00B56B7F" w:rsidP="008D18E5">
            <w:pPr>
              <w:pStyle w:val="Tabletext"/>
            </w:pPr>
            <w:r w:rsidRPr="00B56B7F">
              <w:t>New RFM worksheets</w:t>
            </w:r>
          </w:p>
        </w:tc>
      </w:tr>
      <w:tr w:rsidR="00B56B7F" w:rsidRPr="00B56B7F" w:rsidTr="00B56B7F">
        <w:tc>
          <w:tcPr>
            <w:tcW w:w="3369" w:type="dxa"/>
          </w:tcPr>
          <w:p w:rsidR="00B56B7F" w:rsidRPr="00B56B7F" w:rsidRDefault="00B56B7F" w:rsidP="008D18E5">
            <w:pPr>
              <w:pStyle w:val="Tabletext"/>
            </w:pPr>
            <w:r w:rsidRPr="00B56B7F">
              <w:t>Intro</w:t>
            </w:r>
          </w:p>
        </w:tc>
        <w:tc>
          <w:tcPr>
            <w:tcW w:w="2792" w:type="dxa"/>
          </w:tcPr>
          <w:p w:rsidR="00B56B7F" w:rsidRPr="00B56B7F" w:rsidRDefault="00B56B7F" w:rsidP="008D18E5">
            <w:pPr>
              <w:pStyle w:val="Tabletext"/>
            </w:pPr>
            <w:r w:rsidRPr="00B56B7F">
              <w:t>Minor changes only</w:t>
            </w:r>
          </w:p>
        </w:tc>
        <w:tc>
          <w:tcPr>
            <w:tcW w:w="3081" w:type="dxa"/>
          </w:tcPr>
          <w:p w:rsidR="00B56B7F" w:rsidRPr="00B56B7F" w:rsidRDefault="00B56B7F" w:rsidP="008D18E5">
            <w:pPr>
              <w:pStyle w:val="Tabletext"/>
            </w:pPr>
            <w:r w:rsidRPr="00B56B7F">
              <w:t>Intro</w:t>
            </w:r>
          </w:p>
        </w:tc>
      </w:tr>
      <w:tr w:rsidR="00B56B7F" w:rsidRPr="00B56B7F" w:rsidTr="00B56B7F">
        <w:trPr>
          <w:cnfStyle w:val="000000010000" w:firstRow="0" w:lastRow="0" w:firstColumn="0" w:lastColumn="0" w:oddVBand="0" w:evenVBand="0" w:oddHBand="0" w:evenHBand="1" w:firstRowFirstColumn="0" w:firstRowLastColumn="0" w:lastRowFirstColumn="0" w:lastRowLastColumn="0"/>
        </w:trPr>
        <w:tc>
          <w:tcPr>
            <w:tcW w:w="3369" w:type="dxa"/>
          </w:tcPr>
          <w:p w:rsidR="00B56B7F" w:rsidRPr="00BE56CB" w:rsidRDefault="00B56B7F" w:rsidP="00BE56CB">
            <w:r w:rsidRPr="00BE56CB">
              <w:t>N/a</w:t>
            </w:r>
          </w:p>
        </w:tc>
        <w:tc>
          <w:tcPr>
            <w:tcW w:w="2792" w:type="dxa"/>
          </w:tcPr>
          <w:p w:rsidR="00B56B7F" w:rsidRPr="00B56B7F" w:rsidRDefault="00B56B7F" w:rsidP="008D18E5">
            <w:pPr>
              <w:pStyle w:val="Tabletext"/>
            </w:pPr>
            <w:r w:rsidRPr="00B56B7F">
              <w:t>Added</w:t>
            </w:r>
          </w:p>
        </w:tc>
        <w:tc>
          <w:tcPr>
            <w:tcW w:w="3081" w:type="dxa"/>
          </w:tcPr>
          <w:p w:rsidR="00B56B7F" w:rsidRPr="00B56B7F" w:rsidRDefault="00B56B7F" w:rsidP="008D18E5">
            <w:pPr>
              <w:pStyle w:val="Tabletext"/>
            </w:pPr>
            <w:r w:rsidRPr="00B56B7F">
              <w:t>DMS input</w:t>
            </w:r>
          </w:p>
        </w:tc>
      </w:tr>
      <w:tr w:rsidR="00B56B7F" w:rsidRPr="00B56B7F" w:rsidTr="00B56B7F">
        <w:tc>
          <w:tcPr>
            <w:tcW w:w="3369" w:type="dxa"/>
          </w:tcPr>
          <w:p w:rsidR="00B56B7F" w:rsidRPr="00B56B7F" w:rsidRDefault="00B56B7F" w:rsidP="008D18E5">
            <w:pPr>
              <w:pStyle w:val="Tabletext"/>
            </w:pPr>
            <w:r w:rsidRPr="00B56B7F">
              <w:t>Input</w:t>
            </w:r>
          </w:p>
        </w:tc>
        <w:tc>
          <w:tcPr>
            <w:tcW w:w="2792" w:type="dxa"/>
          </w:tcPr>
          <w:p w:rsidR="00B56B7F" w:rsidRPr="00B56B7F" w:rsidRDefault="00B56B7F" w:rsidP="008D18E5">
            <w:pPr>
              <w:pStyle w:val="Tabletext"/>
            </w:pPr>
            <w:r w:rsidRPr="00B56B7F">
              <w:t>Amended</w:t>
            </w:r>
          </w:p>
        </w:tc>
        <w:tc>
          <w:tcPr>
            <w:tcW w:w="3081" w:type="dxa"/>
          </w:tcPr>
          <w:p w:rsidR="00B56B7F" w:rsidRPr="00B56B7F" w:rsidRDefault="00B56B7F" w:rsidP="008D18E5">
            <w:pPr>
              <w:pStyle w:val="Tabletext"/>
            </w:pPr>
            <w:r w:rsidRPr="00B56B7F">
              <w:t>RFM input</w:t>
            </w:r>
          </w:p>
        </w:tc>
      </w:tr>
      <w:tr w:rsidR="00B56B7F" w:rsidRPr="00B56B7F" w:rsidTr="00B56B7F">
        <w:trPr>
          <w:cnfStyle w:val="000000010000" w:firstRow="0" w:lastRow="0" w:firstColumn="0" w:lastColumn="0" w:oddVBand="0" w:evenVBand="0" w:oddHBand="0" w:evenHBand="1" w:firstRowFirstColumn="0" w:firstRowLastColumn="0" w:lastRowFirstColumn="0" w:lastRowLastColumn="0"/>
        </w:trPr>
        <w:tc>
          <w:tcPr>
            <w:tcW w:w="3369" w:type="dxa"/>
          </w:tcPr>
          <w:p w:rsidR="00B56B7F" w:rsidRPr="00B56B7F" w:rsidRDefault="00B56B7F" w:rsidP="008D18E5">
            <w:pPr>
              <w:pStyle w:val="Tabletext"/>
            </w:pPr>
            <w:r w:rsidRPr="00B56B7F">
              <w:t>Adjustment for previous period</w:t>
            </w:r>
          </w:p>
        </w:tc>
        <w:tc>
          <w:tcPr>
            <w:tcW w:w="2792" w:type="dxa"/>
          </w:tcPr>
          <w:p w:rsidR="00B56B7F" w:rsidRPr="00B56B7F" w:rsidRDefault="00B56B7F" w:rsidP="008D18E5">
            <w:pPr>
              <w:pStyle w:val="Tabletext"/>
            </w:pPr>
            <w:r w:rsidRPr="00B56B7F">
              <w:t>Amended</w:t>
            </w:r>
          </w:p>
        </w:tc>
        <w:tc>
          <w:tcPr>
            <w:tcW w:w="3081" w:type="dxa"/>
          </w:tcPr>
          <w:p w:rsidR="00B56B7F" w:rsidRPr="00B56B7F" w:rsidRDefault="00B56B7F" w:rsidP="008D18E5">
            <w:pPr>
              <w:pStyle w:val="Tabletext"/>
            </w:pPr>
            <w:r w:rsidRPr="00B56B7F">
              <w:t>Adjustment for previous period</w:t>
            </w:r>
          </w:p>
        </w:tc>
      </w:tr>
      <w:tr w:rsidR="00B56B7F" w:rsidRPr="00B56B7F" w:rsidTr="00B56B7F">
        <w:tc>
          <w:tcPr>
            <w:tcW w:w="3369" w:type="dxa"/>
          </w:tcPr>
          <w:p w:rsidR="00B56B7F" w:rsidRPr="00B56B7F" w:rsidRDefault="00B56B7F" w:rsidP="008D18E5">
            <w:pPr>
              <w:pStyle w:val="Tabletext"/>
            </w:pPr>
            <w:r w:rsidRPr="00B56B7F">
              <w:t>Actual RAB roll forward</w:t>
            </w:r>
          </w:p>
        </w:tc>
        <w:tc>
          <w:tcPr>
            <w:tcW w:w="2792" w:type="dxa"/>
          </w:tcPr>
          <w:p w:rsidR="00B56B7F" w:rsidRPr="00B56B7F" w:rsidRDefault="00B56B7F" w:rsidP="008D18E5">
            <w:pPr>
              <w:pStyle w:val="Tabletext"/>
            </w:pPr>
            <w:r w:rsidRPr="00B56B7F">
              <w:t>Amended</w:t>
            </w:r>
          </w:p>
        </w:tc>
        <w:tc>
          <w:tcPr>
            <w:tcW w:w="3081" w:type="dxa"/>
          </w:tcPr>
          <w:p w:rsidR="00B56B7F" w:rsidRPr="00B56B7F" w:rsidRDefault="00B56B7F" w:rsidP="008D18E5">
            <w:pPr>
              <w:pStyle w:val="Tabletext"/>
            </w:pPr>
            <w:r w:rsidRPr="00B56B7F">
              <w:t>RAB roll forward</w:t>
            </w:r>
          </w:p>
        </w:tc>
      </w:tr>
      <w:tr w:rsidR="00B56B7F" w:rsidRPr="00B56B7F" w:rsidTr="00B56B7F">
        <w:trPr>
          <w:cnfStyle w:val="000000010000" w:firstRow="0" w:lastRow="0" w:firstColumn="0" w:lastColumn="0" w:oddVBand="0" w:evenVBand="0" w:oddHBand="0" w:evenHBand="1" w:firstRowFirstColumn="0" w:firstRowLastColumn="0" w:lastRowFirstColumn="0" w:lastRowLastColumn="0"/>
        </w:trPr>
        <w:tc>
          <w:tcPr>
            <w:tcW w:w="3369" w:type="dxa"/>
          </w:tcPr>
          <w:p w:rsidR="00B56B7F" w:rsidRPr="00B56B7F" w:rsidRDefault="00B56B7F" w:rsidP="008D18E5">
            <w:pPr>
              <w:pStyle w:val="Tabletext"/>
            </w:pPr>
            <w:r w:rsidRPr="00B56B7F">
              <w:t>Total actual RAB roll forward</w:t>
            </w:r>
          </w:p>
        </w:tc>
        <w:tc>
          <w:tcPr>
            <w:tcW w:w="2792" w:type="dxa"/>
          </w:tcPr>
          <w:p w:rsidR="00B56B7F" w:rsidRPr="00B56B7F" w:rsidRDefault="00B56B7F" w:rsidP="008D18E5">
            <w:pPr>
              <w:pStyle w:val="Tabletext"/>
            </w:pPr>
            <w:r w:rsidRPr="00B56B7F">
              <w:t>Amended</w:t>
            </w:r>
          </w:p>
        </w:tc>
        <w:tc>
          <w:tcPr>
            <w:tcW w:w="3081" w:type="dxa"/>
          </w:tcPr>
          <w:p w:rsidR="00B56B7F" w:rsidRPr="00B56B7F" w:rsidRDefault="00B56B7F" w:rsidP="008D18E5">
            <w:pPr>
              <w:pStyle w:val="Tabletext"/>
            </w:pPr>
            <w:r w:rsidRPr="00B56B7F">
              <w:t>Total RAB roll forward</w:t>
            </w:r>
          </w:p>
        </w:tc>
      </w:tr>
      <w:tr w:rsidR="00B56B7F" w:rsidRPr="00B56B7F" w:rsidTr="00B56B7F">
        <w:tc>
          <w:tcPr>
            <w:tcW w:w="3369" w:type="dxa"/>
          </w:tcPr>
          <w:p w:rsidR="00B56B7F" w:rsidRPr="00B56B7F" w:rsidRDefault="00B56B7F" w:rsidP="008D18E5">
            <w:pPr>
              <w:pStyle w:val="Tabletext"/>
            </w:pPr>
            <w:r w:rsidRPr="00B56B7F">
              <w:t>Tax value roll forward</w:t>
            </w:r>
          </w:p>
        </w:tc>
        <w:tc>
          <w:tcPr>
            <w:tcW w:w="2792" w:type="dxa"/>
          </w:tcPr>
          <w:p w:rsidR="00B56B7F" w:rsidRPr="00B56B7F" w:rsidRDefault="00B56B7F" w:rsidP="008D18E5">
            <w:pPr>
              <w:pStyle w:val="Tabletext"/>
            </w:pPr>
            <w:r w:rsidRPr="00B56B7F">
              <w:t>Amended</w:t>
            </w:r>
          </w:p>
        </w:tc>
        <w:tc>
          <w:tcPr>
            <w:tcW w:w="3081" w:type="dxa"/>
          </w:tcPr>
          <w:p w:rsidR="00B56B7F" w:rsidRPr="00B56B7F" w:rsidRDefault="00B56B7F" w:rsidP="008D18E5">
            <w:pPr>
              <w:pStyle w:val="Tabletext"/>
            </w:pPr>
            <w:r w:rsidRPr="00B56B7F">
              <w:t>TAB roll forward</w:t>
            </w:r>
          </w:p>
        </w:tc>
      </w:tr>
      <w:tr w:rsidR="00B56B7F" w:rsidRPr="00B56B7F" w:rsidTr="00B56B7F">
        <w:trPr>
          <w:cnfStyle w:val="000000010000" w:firstRow="0" w:lastRow="0" w:firstColumn="0" w:lastColumn="0" w:oddVBand="0" w:evenVBand="0" w:oddHBand="0" w:evenHBand="1" w:firstRowFirstColumn="0" w:firstRowLastColumn="0" w:lastRowFirstColumn="0" w:lastRowLastColumn="0"/>
        </w:trPr>
        <w:tc>
          <w:tcPr>
            <w:tcW w:w="3369" w:type="dxa"/>
          </w:tcPr>
          <w:p w:rsidR="00B56B7F" w:rsidRPr="00BE56CB" w:rsidRDefault="00F57F1D" w:rsidP="00BE56CB">
            <w:r w:rsidRPr="00BE56CB">
              <w:t>N/a</w:t>
            </w:r>
          </w:p>
        </w:tc>
        <w:tc>
          <w:tcPr>
            <w:tcW w:w="2792" w:type="dxa"/>
          </w:tcPr>
          <w:p w:rsidR="00B56B7F" w:rsidRPr="00B56B7F" w:rsidRDefault="00F57F1D" w:rsidP="008D18E5">
            <w:pPr>
              <w:pStyle w:val="Tabletext"/>
            </w:pPr>
            <w:r>
              <w:t>Added</w:t>
            </w:r>
          </w:p>
        </w:tc>
        <w:tc>
          <w:tcPr>
            <w:tcW w:w="3081" w:type="dxa"/>
          </w:tcPr>
          <w:p w:rsidR="00B56B7F" w:rsidRPr="00B56B7F" w:rsidRDefault="00B56B7F" w:rsidP="008D18E5">
            <w:pPr>
              <w:pStyle w:val="Tabletext"/>
            </w:pPr>
            <w:r w:rsidRPr="00B56B7F">
              <w:t>RAB remaining lives</w:t>
            </w:r>
          </w:p>
        </w:tc>
      </w:tr>
      <w:tr w:rsidR="00B56B7F" w:rsidRPr="00B56B7F" w:rsidTr="00B56B7F">
        <w:tc>
          <w:tcPr>
            <w:tcW w:w="3369" w:type="dxa"/>
          </w:tcPr>
          <w:p w:rsidR="00B56B7F" w:rsidRPr="00BE56CB" w:rsidRDefault="00F57F1D" w:rsidP="00BE56CB">
            <w:r w:rsidRPr="00BE56CB">
              <w:t>N/a</w:t>
            </w:r>
          </w:p>
        </w:tc>
        <w:tc>
          <w:tcPr>
            <w:tcW w:w="2792" w:type="dxa"/>
          </w:tcPr>
          <w:p w:rsidR="00B56B7F" w:rsidRPr="00B56B7F" w:rsidRDefault="00F57F1D" w:rsidP="008D18E5">
            <w:pPr>
              <w:pStyle w:val="Tabletext"/>
            </w:pPr>
            <w:r>
              <w:t>Added</w:t>
            </w:r>
          </w:p>
        </w:tc>
        <w:tc>
          <w:tcPr>
            <w:tcW w:w="3081" w:type="dxa"/>
          </w:tcPr>
          <w:p w:rsidR="00B56B7F" w:rsidRPr="00B56B7F" w:rsidRDefault="00B56B7F" w:rsidP="008D18E5">
            <w:pPr>
              <w:pStyle w:val="Tabletext"/>
            </w:pPr>
            <w:r w:rsidRPr="00B56B7F">
              <w:t>TAB remaining lives</w:t>
            </w:r>
          </w:p>
        </w:tc>
      </w:tr>
      <w:tr w:rsidR="00B56B7F" w:rsidRPr="00B56B7F" w:rsidTr="00B56B7F">
        <w:trPr>
          <w:cnfStyle w:val="000000010000" w:firstRow="0" w:lastRow="0" w:firstColumn="0" w:lastColumn="0" w:oddVBand="0" w:evenVBand="0" w:oddHBand="0" w:evenHBand="1" w:firstRowFirstColumn="0" w:firstRowLastColumn="0" w:lastRowFirstColumn="0" w:lastRowLastColumn="0"/>
        </w:trPr>
        <w:tc>
          <w:tcPr>
            <w:tcW w:w="3369" w:type="dxa"/>
          </w:tcPr>
          <w:p w:rsidR="00B56B7F" w:rsidRPr="00BE56CB" w:rsidRDefault="00F57F1D" w:rsidP="00BE56CB">
            <w:r w:rsidRPr="00BE56CB">
              <w:t>N/a</w:t>
            </w:r>
          </w:p>
        </w:tc>
        <w:tc>
          <w:tcPr>
            <w:tcW w:w="2792" w:type="dxa"/>
          </w:tcPr>
          <w:p w:rsidR="00B56B7F" w:rsidRPr="00B56B7F" w:rsidRDefault="00F57F1D" w:rsidP="008D18E5">
            <w:pPr>
              <w:pStyle w:val="Tabletext"/>
            </w:pPr>
            <w:r>
              <w:t>Added</w:t>
            </w:r>
          </w:p>
        </w:tc>
        <w:tc>
          <w:tcPr>
            <w:tcW w:w="3081" w:type="dxa"/>
          </w:tcPr>
          <w:p w:rsidR="00B56B7F" w:rsidRPr="00B56B7F" w:rsidRDefault="00B56B7F" w:rsidP="008D18E5">
            <w:pPr>
              <w:pStyle w:val="Tabletext"/>
            </w:pPr>
            <w:r w:rsidRPr="00B56B7F">
              <w:t>PTRM input summary</w:t>
            </w:r>
          </w:p>
        </w:tc>
      </w:tr>
    </w:tbl>
    <w:p w:rsidR="00086C33" w:rsidRDefault="00086C33" w:rsidP="00086C33">
      <w:r w:rsidRPr="00086C33">
        <w:t xml:space="preserve">The </w:t>
      </w:r>
      <w:r w:rsidR="009B7F5A">
        <w:t>final amended</w:t>
      </w:r>
      <w:r w:rsidR="003921EC">
        <w:t xml:space="preserve"> </w:t>
      </w:r>
      <w:r w:rsidRPr="00086C33">
        <w:t xml:space="preserve">RFM and handbook are at appendices A and B respectively. </w:t>
      </w:r>
      <w:r w:rsidR="009B7F5A">
        <w:t>To assist stakeholders to identify all changes from the previous version, there is detailed change log at appendix C.</w:t>
      </w:r>
    </w:p>
    <w:p w:rsidR="009B7F5A" w:rsidRPr="00086C33" w:rsidRDefault="009B7F5A" w:rsidP="00086C33">
      <w:r w:rsidRPr="00086C33">
        <w:t>The changes are now discussed in more detail.</w:t>
      </w:r>
    </w:p>
    <w:p w:rsidR="00086C33" w:rsidRPr="00086C33" w:rsidRDefault="00086C33" w:rsidP="00B56B7F">
      <w:pPr>
        <w:pStyle w:val="Heading2"/>
      </w:pPr>
      <w:bookmarkStart w:id="12" w:name="_Toc468376910"/>
      <w:r w:rsidRPr="00086C33">
        <w:t>Forecast or actual depreciation in RAB roll forward</w:t>
      </w:r>
      <w:bookmarkEnd w:id="12"/>
    </w:p>
    <w:p w:rsidR="00086C33" w:rsidRPr="00086C33" w:rsidRDefault="00BE56CB" w:rsidP="00086C33">
      <w:r>
        <w:t>V</w:t>
      </w:r>
      <w:r w:rsidR="007D5373">
        <w:t>ersion</w:t>
      </w:r>
      <w:r w:rsidR="00086C33" w:rsidRPr="00086C33">
        <w:t xml:space="preserve"> </w:t>
      </w:r>
      <w:r>
        <w:t xml:space="preserve">1 </w:t>
      </w:r>
      <w:r w:rsidR="00086C33" w:rsidRPr="00086C33">
        <w:t xml:space="preserve">of the </w:t>
      </w:r>
      <w:r w:rsidR="00F57F1D">
        <w:t xml:space="preserve">DNSP </w:t>
      </w:r>
      <w:r w:rsidR="00086C33" w:rsidRPr="00086C33">
        <w:t>RFM calculated depreciation based on actual capex for use in the RAB roll forward. This approach is referred to as an 'actual depreciation' approach. The use of actual depreciation reflected in part that there was no capex incentive schemes applied in the past. Under an ac</w:t>
      </w:r>
      <w:r w:rsidR="007D5373">
        <w:t>tual depreciation approach the D</w:t>
      </w:r>
      <w:r w:rsidR="00086C33" w:rsidRPr="00086C33">
        <w:t>NSP keeps the difference between actual and forecast depreciation over the regulatory control period if it can reduce its actual capex below the amount that was forecast.</w:t>
      </w:r>
      <w:r w:rsidR="00FB1557">
        <w:rPr>
          <w:rStyle w:val="FootnoteReference"/>
        </w:rPr>
        <w:footnoteReference w:id="23"/>
      </w:r>
      <w:r w:rsidR="00086C33" w:rsidRPr="00086C33">
        <w:t xml:space="preserve"> </w:t>
      </w:r>
    </w:p>
    <w:p w:rsidR="00086C33" w:rsidRPr="00086C33" w:rsidRDefault="00086C33" w:rsidP="00086C33">
      <w:r w:rsidRPr="00086C33">
        <w:t xml:space="preserve">However, in recent decisions and based on the development of our </w:t>
      </w:r>
      <w:r w:rsidRPr="00B56B7F">
        <w:rPr>
          <w:rStyle w:val="Emphasis"/>
        </w:rPr>
        <w:t>Capital expenditure incentive guideline</w:t>
      </w:r>
      <w:r w:rsidRPr="00086C33">
        <w:t>, we applied the CESS and decided that in future a 'forecast depreciation' approach—where the real forecast depreciation amount (based on forecast capex) appr</w:t>
      </w:r>
      <w:r w:rsidR="00F57F1D">
        <w:t>oved at the last reset for the D</w:t>
      </w:r>
      <w:r w:rsidRPr="00086C33">
        <w:t>NSP—b</w:t>
      </w:r>
      <w:r w:rsidR="00B56B7F">
        <w:t>e used to roll forward the RAB.</w:t>
      </w:r>
      <w:r w:rsidR="00B56B7F">
        <w:rPr>
          <w:rStyle w:val="FootnoteReference"/>
        </w:rPr>
        <w:footnoteReference w:id="24"/>
      </w:r>
      <w:r w:rsidRPr="00086C33">
        <w:t xml:space="preserve"> Using the forecast depreciation amount to roll forward the RAB means a service provider </w:t>
      </w:r>
      <w:r w:rsidR="007D5373">
        <w:t>does</w:t>
      </w:r>
      <w:r w:rsidRPr="00086C33">
        <w:t xml:space="preserve"> not receive any windfall gain/loss in terms of depreciation from actual capex bein</w:t>
      </w:r>
      <w:r w:rsidR="00B56B7F">
        <w:t>g different from that forecast.</w:t>
      </w:r>
      <w:r w:rsidR="00B56B7F">
        <w:rPr>
          <w:rStyle w:val="FootnoteReference"/>
        </w:rPr>
        <w:footnoteReference w:id="25"/>
      </w:r>
      <w:r w:rsidRPr="00086C33">
        <w:t xml:space="preserve"> The forecast depreciation subtracted from the RAB therefore reflects the amount that was recovered by the </w:t>
      </w:r>
      <w:r w:rsidR="00F57F1D">
        <w:t>D</w:t>
      </w:r>
      <w:r w:rsidRPr="00086C33">
        <w:t xml:space="preserve">NSP during the regulatory control period. </w:t>
      </w:r>
    </w:p>
    <w:p w:rsidR="00890D3E" w:rsidRDefault="00086C33" w:rsidP="00086C33">
      <w:r w:rsidRPr="00086C33">
        <w:t xml:space="preserve">Accordingly, we have created a section for recording forecast depreciation inputs in the </w:t>
      </w:r>
      <w:r w:rsidRPr="008D18E5">
        <w:rPr>
          <w:rStyle w:val="Emphasis"/>
        </w:rPr>
        <w:t>'RFM input'</w:t>
      </w:r>
      <w:r w:rsidRPr="00086C33">
        <w:t xml:space="preserve"> worksheet of the </w:t>
      </w:r>
      <w:r w:rsidR="0022554A">
        <w:t>amended</w:t>
      </w:r>
      <w:r w:rsidRPr="00086C33">
        <w:t xml:space="preserve"> RFM. The formulae in the </w:t>
      </w:r>
      <w:r w:rsidRPr="008D18E5">
        <w:rPr>
          <w:rStyle w:val="Emphasis"/>
        </w:rPr>
        <w:t>'RAB roll forward'</w:t>
      </w:r>
      <w:r w:rsidRPr="00086C33">
        <w:t xml:space="preserve"> and </w:t>
      </w:r>
      <w:r w:rsidRPr="008D18E5">
        <w:rPr>
          <w:rStyle w:val="Emphasis"/>
        </w:rPr>
        <w:t>'Total RAB roll forward'</w:t>
      </w:r>
      <w:r w:rsidRPr="00086C33">
        <w:t xml:space="preserve"> worksheets have also been amended to allow either the forecast depreciation approach or actual depreciation approach to be used to roll forward the RAB. The forecast depreciation amounts are entered in real terms, so that actual inflation is applied as part of the RAB roll forward, consistent with other components of the RAB. </w:t>
      </w:r>
    </w:p>
    <w:p w:rsidR="002608C7" w:rsidRDefault="002608C7" w:rsidP="00086C33">
      <w:r>
        <w:t>We have also preserved the actual depreciation approach in the RFM</w:t>
      </w:r>
      <w:r w:rsidR="00815808">
        <w:t xml:space="preserve">. This is </w:t>
      </w:r>
      <w:r>
        <w:t xml:space="preserve">because </w:t>
      </w:r>
      <w:r w:rsidR="00815808">
        <w:t>the NER requires that the</w:t>
      </w:r>
      <w:r>
        <w:t xml:space="preserve"> decision </w:t>
      </w:r>
      <w:r w:rsidR="00815808">
        <w:t xml:space="preserve">about whether to </w:t>
      </w:r>
      <w:r>
        <w:t xml:space="preserve">use forecast or actual depreciation in establishing the regulatory asset base </w:t>
      </w:r>
      <w:r w:rsidR="00815808">
        <w:t>be made at a later stage</w:t>
      </w:r>
      <w:r w:rsidR="000D20FB">
        <w:t>—</w:t>
      </w:r>
      <w:r w:rsidR="00815808">
        <w:t>that is, as a constituent decision in the relevant</w:t>
      </w:r>
      <w:r>
        <w:t xml:space="preserve"> regulatory determination.</w:t>
      </w:r>
      <w:r>
        <w:rPr>
          <w:rStyle w:val="FootnoteReference"/>
        </w:rPr>
        <w:footnoteReference w:id="26"/>
      </w:r>
      <w:r>
        <w:t xml:space="preserve"> </w:t>
      </w:r>
    </w:p>
    <w:p w:rsidR="009B7F5A" w:rsidRDefault="00311C88" w:rsidP="00086C33">
      <w:r>
        <w:t xml:space="preserve">The implementation of forecast depreciation in the </w:t>
      </w:r>
      <w:r w:rsidR="009B7F5A">
        <w:t xml:space="preserve">amended </w:t>
      </w:r>
      <w:r>
        <w:t>DNSP RFM aligns with the most recent version of the TNSP RFM (version 3)</w:t>
      </w:r>
      <w:r w:rsidR="009B7F5A">
        <w:t>.</w:t>
      </w:r>
    </w:p>
    <w:p w:rsidR="00086C33" w:rsidRPr="00086C33" w:rsidRDefault="009B7F5A" w:rsidP="00086C33">
      <w:r>
        <w:t xml:space="preserve">These modifications were already included in the proposed RFM we published for consultation in August 2016. </w:t>
      </w:r>
      <w:r w:rsidR="002A4A7C">
        <w:t>The submission</w:t>
      </w:r>
      <w:r w:rsidR="001A6640">
        <w:t xml:space="preserve"> from JEN was the only one</w:t>
      </w:r>
      <w:r w:rsidR="002A4A7C">
        <w:t xml:space="preserve"> to directly address this issue</w:t>
      </w:r>
      <w:r w:rsidR="001A6640">
        <w:t xml:space="preserve"> and it</w:t>
      </w:r>
      <w:r w:rsidR="002A4A7C">
        <w:t xml:space="preserve"> was supportive of </w:t>
      </w:r>
      <w:r w:rsidR="001A6640">
        <w:t>our</w:t>
      </w:r>
      <w:r w:rsidR="002A4A7C">
        <w:t xml:space="preserve"> </w:t>
      </w:r>
      <w:r w:rsidR="0070583B">
        <w:t xml:space="preserve">proposed </w:t>
      </w:r>
      <w:r w:rsidR="002A4A7C">
        <w:t>changes.</w:t>
      </w:r>
      <w:r w:rsidR="002A4A7C">
        <w:rPr>
          <w:rStyle w:val="FootnoteReference"/>
        </w:rPr>
        <w:footnoteReference w:id="27"/>
      </w:r>
      <w:r w:rsidR="002A4A7C">
        <w:t xml:space="preserve"> N</w:t>
      </w:r>
      <w:r>
        <w:t>o additional modifications have been made for this issue in the final amended RFM</w:t>
      </w:r>
      <w:r w:rsidR="00311C88">
        <w:t>.</w:t>
      </w:r>
    </w:p>
    <w:p w:rsidR="00086C33" w:rsidRPr="00086C33" w:rsidRDefault="002A3A06" w:rsidP="00E40E9A">
      <w:pPr>
        <w:pStyle w:val="Heading2"/>
      </w:pPr>
      <w:bookmarkStart w:id="13" w:name="_Toc468376911"/>
      <w:r>
        <w:t>Remaining asset liv</w:t>
      </w:r>
      <w:r w:rsidR="00086C33" w:rsidRPr="00086C33">
        <w:t>e</w:t>
      </w:r>
      <w:r>
        <w:t>s</w:t>
      </w:r>
      <w:bookmarkEnd w:id="13"/>
    </w:p>
    <w:p w:rsidR="005E7ED0" w:rsidRDefault="00FC220D" w:rsidP="00086C33">
      <w:r>
        <w:t>V</w:t>
      </w:r>
      <w:r w:rsidR="005E7ED0">
        <w:t>ersion</w:t>
      </w:r>
      <w:r>
        <w:t xml:space="preserve"> 1</w:t>
      </w:r>
      <w:r w:rsidR="005E7ED0">
        <w:t xml:space="preserve"> of the DNSP RFM took as an input the remaining asset life for each different asset class as at the start of the regulatory control period.</w:t>
      </w:r>
      <w:r w:rsidR="005E7ED0">
        <w:rPr>
          <w:rStyle w:val="FootnoteReference"/>
        </w:rPr>
        <w:footnoteReference w:id="28"/>
      </w:r>
      <w:r w:rsidR="005E7ED0">
        <w:t xml:space="preserve"> These remaining asset lives are used to calculate straight</w:t>
      </w:r>
      <w:r>
        <w:t>-</w:t>
      </w:r>
      <w:r w:rsidR="005E7ED0">
        <w:t>line depreciation</w:t>
      </w:r>
      <w:r w:rsidR="001A6640">
        <w:t xml:space="preserve"> of existing assets</w:t>
      </w:r>
      <w:r w:rsidR="005E7ED0">
        <w:t xml:space="preserve"> and then the return of capital (depreciation) building block.</w:t>
      </w:r>
      <w:r w:rsidR="00A040E7">
        <w:rPr>
          <w:rStyle w:val="FootnoteReference"/>
        </w:rPr>
        <w:footnoteReference w:id="29"/>
      </w:r>
      <w:r w:rsidR="005E7ED0">
        <w:t xml:space="preserve"> These inputs remain in the </w:t>
      </w:r>
      <w:r w:rsidR="0070583B">
        <w:t xml:space="preserve">final amended </w:t>
      </w:r>
      <w:r w:rsidR="00103271">
        <w:t>model</w:t>
      </w:r>
      <w:r w:rsidR="005E7ED0">
        <w:t xml:space="preserve">. </w:t>
      </w:r>
    </w:p>
    <w:p w:rsidR="005E7ED0" w:rsidRDefault="005E7ED0" w:rsidP="00086C33">
      <w:r>
        <w:t xml:space="preserve">However, the previous version of the DNSP RFM did not calculate the remaining asset lives as at the end of the regulatory control period. </w:t>
      </w:r>
      <w:r w:rsidR="00687529">
        <w:t xml:space="preserve">These values are needed in order </w:t>
      </w:r>
      <w:r>
        <w:t xml:space="preserve">to populate the inputs for the </w:t>
      </w:r>
      <w:r w:rsidR="00BD240A">
        <w:t>PTRM</w:t>
      </w:r>
      <w:r w:rsidR="00FC220D">
        <w:t xml:space="preserve"> reflecting the start of the next regulatory control period</w:t>
      </w:r>
      <w:r>
        <w:t xml:space="preserve">. </w:t>
      </w:r>
      <w:r w:rsidR="00A040E7">
        <w:t>I</w:t>
      </w:r>
      <w:r>
        <w:t>n practice</w:t>
      </w:r>
      <w:r w:rsidR="00A040E7">
        <w:t>,</w:t>
      </w:r>
      <w:r>
        <w:t xml:space="preserve"> </w:t>
      </w:r>
      <w:r w:rsidR="00A040E7">
        <w:t>because the</w:t>
      </w:r>
      <w:r w:rsidR="00687529">
        <w:t xml:space="preserve">se calculations were already included in the </w:t>
      </w:r>
      <w:r w:rsidR="00103271">
        <w:t>T</w:t>
      </w:r>
      <w:r w:rsidR="00A040E7">
        <w:t xml:space="preserve">NSP RFM, </w:t>
      </w:r>
      <w:r>
        <w:t xml:space="preserve">many DNSPs would insert the relevant </w:t>
      </w:r>
      <w:r w:rsidR="00A040E7">
        <w:t>worksheet</w:t>
      </w:r>
      <w:r>
        <w:t xml:space="preserve"> from the TNSP RFM into the DNSP RFM.</w:t>
      </w:r>
      <w:r w:rsidR="00A040E7">
        <w:t xml:space="preserve"> </w:t>
      </w:r>
    </w:p>
    <w:p w:rsidR="002A4A7C" w:rsidRDefault="005848E2" w:rsidP="002A4A7C">
      <w:r>
        <w:t xml:space="preserve">Accordingly, </w:t>
      </w:r>
      <w:r w:rsidR="002A4A7C">
        <w:t xml:space="preserve">we </w:t>
      </w:r>
      <w:r>
        <w:t xml:space="preserve">addressed the </w:t>
      </w:r>
      <w:r w:rsidR="00EF2A21">
        <w:t xml:space="preserve">calculation of </w:t>
      </w:r>
      <w:r w:rsidR="00CD6519">
        <w:t xml:space="preserve">remaining asset lives </w:t>
      </w:r>
      <w:r>
        <w:t xml:space="preserve">in the proposed RFM we published in August 2016. </w:t>
      </w:r>
      <w:r w:rsidR="009D08A2">
        <w:t xml:space="preserve">We </w:t>
      </w:r>
      <w:r>
        <w:t>insert</w:t>
      </w:r>
      <w:r w:rsidR="009D08A2">
        <w:t>ed</w:t>
      </w:r>
      <w:r>
        <w:t xml:space="preserve"> </w:t>
      </w:r>
      <w:r w:rsidR="000F0B6B">
        <w:t xml:space="preserve">two </w:t>
      </w:r>
      <w:r w:rsidR="00820A00">
        <w:t>new worksheets</w:t>
      </w:r>
      <w:r w:rsidR="00CD6519">
        <w:t>,</w:t>
      </w:r>
      <w:r w:rsidR="00820A00">
        <w:t xml:space="preserve"> '</w:t>
      </w:r>
      <w:r w:rsidR="00820A00" w:rsidRPr="00A040E7">
        <w:rPr>
          <w:rStyle w:val="Emphasis"/>
        </w:rPr>
        <w:t>RAB remaining lives</w:t>
      </w:r>
      <w:r w:rsidR="00820A00">
        <w:t>' and '</w:t>
      </w:r>
      <w:r w:rsidR="00820A00" w:rsidRPr="00A040E7">
        <w:rPr>
          <w:rStyle w:val="Emphasis"/>
        </w:rPr>
        <w:t>TAB remaining lives</w:t>
      </w:r>
      <w:r w:rsidR="002A4A7C">
        <w:t>'</w:t>
      </w:r>
      <w:r w:rsidR="009D08A2">
        <w:t xml:space="preserve"> for this purpose</w:t>
      </w:r>
      <w:r w:rsidR="002A4A7C">
        <w:t xml:space="preserve">. </w:t>
      </w:r>
      <w:r>
        <w:t>The underlying calculations used our standard approach, known as weighted average remaining lives (WARL), to produce remaining asset lives for each asset class at the end of the regulatory control period.</w:t>
      </w:r>
      <w:r w:rsidR="00041048">
        <w:rPr>
          <w:rStyle w:val="FootnoteReference"/>
        </w:rPr>
        <w:footnoteReference w:id="30"/>
      </w:r>
      <w:r w:rsidR="00364742" w:rsidRPr="00364742">
        <w:t xml:space="preserve"> </w:t>
      </w:r>
      <w:r w:rsidR="00364742">
        <w:t>These worksheets align with those in the most recent version of the TNSP RFM (version 3).</w:t>
      </w:r>
      <w:r w:rsidR="00364742">
        <w:rPr>
          <w:rStyle w:val="FootnoteReference"/>
        </w:rPr>
        <w:footnoteReference w:id="31"/>
      </w:r>
    </w:p>
    <w:p w:rsidR="00CE1FEE" w:rsidRDefault="005848E2" w:rsidP="002A4A7C">
      <w:r>
        <w:t xml:space="preserve">The two submissions </w:t>
      </w:r>
      <w:r w:rsidR="009D08A2">
        <w:t xml:space="preserve">that </w:t>
      </w:r>
      <w:r>
        <w:t>directly addressed this issue</w:t>
      </w:r>
      <w:r w:rsidR="001A6640">
        <w:t>,</w:t>
      </w:r>
      <w:r>
        <w:t xml:space="preserve"> </w:t>
      </w:r>
      <w:r w:rsidR="009D08A2">
        <w:t xml:space="preserve">from SCP and JEN, </w:t>
      </w:r>
      <w:r>
        <w:t xml:space="preserve">did not agree with </w:t>
      </w:r>
      <w:r w:rsidR="001A6640">
        <w:t>our</w:t>
      </w:r>
      <w:r>
        <w:t xml:space="preserve"> proposed changes. </w:t>
      </w:r>
      <w:r w:rsidR="00364742">
        <w:t>These submission</w:t>
      </w:r>
      <w:r w:rsidR="00626C7D">
        <w:t>s</w:t>
      </w:r>
      <w:r w:rsidR="00364742">
        <w:t xml:space="preserve"> express</w:t>
      </w:r>
      <w:r w:rsidR="005221DC">
        <w:t>e</w:t>
      </w:r>
      <w:r w:rsidR="00364742">
        <w:t>d a preference for an alternative approach</w:t>
      </w:r>
      <w:r w:rsidR="00626C7D">
        <w:t xml:space="preserve"> to calculating </w:t>
      </w:r>
      <w:r w:rsidR="001A6640">
        <w:t>depreciation of existing assets,</w:t>
      </w:r>
      <w:r w:rsidR="00626C7D">
        <w:t xml:space="preserve"> known as </w:t>
      </w:r>
      <w:r w:rsidR="00364742">
        <w:t>year-by-year tracking</w:t>
      </w:r>
      <w:r w:rsidR="00626C7D">
        <w:t>.</w:t>
      </w:r>
      <w:r w:rsidR="00626C7D">
        <w:rPr>
          <w:rStyle w:val="FootnoteReference"/>
        </w:rPr>
        <w:footnoteReference w:id="32"/>
      </w:r>
      <w:r w:rsidR="00626C7D">
        <w:t xml:space="preserve"> </w:t>
      </w:r>
      <w:r w:rsidR="009D08A2">
        <w:t xml:space="preserve">SCP </w:t>
      </w:r>
      <w:r w:rsidR="009E60A6">
        <w:t xml:space="preserve">noted that </w:t>
      </w:r>
      <w:r w:rsidR="00041048">
        <w:t xml:space="preserve">a </w:t>
      </w:r>
      <w:r w:rsidR="009E60A6">
        <w:t xml:space="preserve">DNSP has flexibility to propose its preferred depreciation </w:t>
      </w:r>
      <w:r w:rsidR="0062793F">
        <w:t>schedule</w:t>
      </w:r>
      <w:r w:rsidR="009E60A6">
        <w:t xml:space="preserve"> (incorporating the calculation of remaining asset lives) when it lodges its regulatory proposal, and the AER's discretion to </w:t>
      </w:r>
      <w:r w:rsidR="006D155E">
        <w:t>overrule</w:t>
      </w:r>
      <w:r w:rsidR="009E60A6">
        <w:t xml:space="preserve"> this approach is limited.</w:t>
      </w:r>
      <w:r w:rsidR="009E60A6">
        <w:rPr>
          <w:rStyle w:val="FootnoteReference"/>
        </w:rPr>
        <w:footnoteReference w:id="33"/>
      </w:r>
      <w:r w:rsidR="009E60A6">
        <w:t xml:space="preserve"> </w:t>
      </w:r>
      <w:r w:rsidR="009D08A2">
        <w:t>They</w:t>
      </w:r>
      <w:r w:rsidR="006D155E">
        <w:t xml:space="preserve"> submitted that the </w:t>
      </w:r>
      <w:r w:rsidR="00CE1FEE">
        <w:t xml:space="preserve">new worksheets might be left in the RFM as largely blank templates, where the service provider </w:t>
      </w:r>
      <w:r w:rsidR="002B112A">
        <w:t xml:space="preserve">would </w:t>
      </w:r>
      <w:r w:rsidR="00CE1FEE">
        <w:t xml:space="preserve">insert calculations using their preferred approach to </w:t>
      </w:r>
      <w:r w:rsidR="00845E0C">
        <w:t xml:space="preserve">estimating </w:t>
      </w:r>
      <w:r w:rsidR="002B112A">
        <w:t>depreciation of existing assets</w:t>
      </w:r>
      <w:r w:rsidR="00CE1FEE">
        <w:t xml:space="preserve">. JEN submitted that the RFM should include </w:t>
      </w:r>
      <w:r w:rsidR="00845E0C">
        <w:t xml:space="preserve">calculations for </w:t>
      </w:r>
      <w:r w:rsidR="0062793F">
        <w:t xml:space="preserve">implementing </w:t>
      </w:r>
      <w:r w:rsidR="009D08A2">
        <w:t xml:space="preserve">the </w:t>
      </w:r>
      <w:r w:rsidR="00CE1FEE">
        <w:t>year-by-year trackin</w:t>
      </w:r>
      <w:r w:rsidR="00845E0C">
        <w:t>g</w:t>
      </w:r>
      <w:r w:rsidR="002B112A">
        <w:t xml:space="preserve"> </w:t>
      </w:r>
      <w:r w:rsidR="009D08A2">
        <w:t xml:space="preserve">approach to </w:t>
      </w:r>
      <w:r w:rsidR="002B112A">
        <w:t>depreciation</w:t>
      </w:r>
      <w:r w:rsidR="00845E0C">
        <w:t>, noting that its preferred approach to year-by-year tracking bypasses the need for remaining asset life calculations entirely.</w:t>
      </w:r>
    </w:p>
    <w:p w:rsidR="00F90271" w:rsidRDefault="00845E0C" w:rsidP="002A4A7C">
      <w:r>
        <w:t xml:space="preserve">We accept that </w:t>
      </w:r>
      <w:r w:rsidR="0062793F">
        <w:t xml:space="preserve">a </w:t>
      </w:r>
      <w:r>
        <w:t xml:space="preserve">DNSP may propose </w:t>
      </w:r>
      <w:r w:rsidR="0062793F">
        <w:t xml:space="preserve">their preferred </w:t>
      </w:r>
      <w:r>
        <w:t xml:space="preserve">depreciation </w:t>
      </w:r>
      <w:r w:rsidR="0062793F">
        <w:t xml:space="preserve">schedule, and that this may not incorporate the use of WARL to calculate remaining asset lives. If </w:t>
      </w:r>
      <w:r w:rsidR="00F90271">
        <w:t>the proposed</w:t>
      </w:r>
      <w:r w:rsidR="0062793F">
        <w:t xml:space="preserve"> depreciation schedule meets the relevant rule requirements, we w</w:t>
      </w:r>
      <w:r w:rsidR="001A6640">
        <w:t>ould</w:t>
      </w:r>
      <w:r w:rsidR="0062793F">
        <w:t xml:space="preserve"> accept it, </w:t>
      </w:r>
      <w:r w:rsidR="002B112A">
        <w:t>in accordance with</w:t>
      </w:r>
      <w:r w:rsidR="0062793F">
        <w:t xml:space="preserve"> </w:t>
      </w:r>
      <w:r w:rsidR="00F90271">
        <w:t>clause 6.5.5(a</w:t>
      </w:r>
      <w:proofErr w:type="gramStart"/>
      <w:r w:rsidR="00F90271">
        <w:t>)(</w:t>
      </w:r>
      <w:proofErr w:type="gramEnd"/>
      <w:r w:rsidR="00F90271">
        <w:t>2)(</w:t>
      </w:r>
      <w:proofErr w:type="spellStart"/>
      <w:r w:rsidR="00F90271">
        <w:t>i</w:t>
      </w:r>
      <w:proofErr w:type="spellEnd"/>
      <w:r w:rsidR="00F90271">
        <w:t>) of the NER</w:t>
      </w:r>
      <w:r w:rsidR="0062793F">
        <w:t>.</w:t>
      </w:r>
      <w:r w:rsidR="0062793F">
        <w:rPr>
          <w:rStyle w:val="FootnoteReference"/>
        </w:rPr>
        <w:footnoteReference w:id="34"/>
      </w:r>
      <w:r>
        <w:t xml:space="preserve"> As suggested </w:t>
      </w:r>
      <w:r w:rsidR="00F90271">
        <w:t>in</w:t>
      </w:r>
      <w:r>
        <w:t xml:space="preserve"> the </w:t>
      </w:r>
      <w:r w:rsidR="009D08A2">
        <w:t xml:space="preserve">SCP </w:t>
      </w:r>
      <w:r>
        <w:t xml:space="preserve">submission, we have included </w:t>
      </w:r>
      <w:r w:rsidR="00F90271">
        <w:t>a</w:t>
      </w:r>
      <w:r>
        <w:t xml:space="preserve"> </w:t>
      </w:r>
      <w:r w:rsidR="00F90271">
        <w:t xml:space="preserve">statement on </w:t>
      </w:r>
      <w:r>
        <w:t>this in the RFM handbook.</w:t>
      </w:r>
      <w:r w:rsidR="00F90271">
        <w:t xml:space="preserve"> </w:t>
      </w:r>
    </w:p>
    <w:p w:rsidR="003C132A" w:rsidRDefault="003C132A" w:rsidP="002A4A7C">
      <w:r>
        <w:t>Even with this background, we consider that it is appropriate for the final amended RFM to include the WARL calculation of remaining asset lives. This is because:</w:t>
      </w:r>
    </w:p>
    <w:p w:rsidR="003C132A" w:rsidRDefault="003D1B43" w:rsidP="003D1B43">
      <w:pPr>
        <w:pStyle w:val="ListBullet"/>
      </w:pPr>
      <w:r>
        <w:t>i</w:t>
      </w:r>
      <w:r w:rsidR="003C132A">
        <w:t>t provides a default</w:t>
      </w:r>
      <w:r>
        <w:t xml:space="preserve"> option for those DNSPs who wish to use it, thereby minimising regulatory compliance costs and the associated risk of implementation errors</w:t>
      </w:r>
      <w:r>
        <w:rPr>
          <w:rStyle w:val="FootnoteReference"/>
        </w:rPr>
        <w:footnoteReference w:id="35"/>
      </w:r>
    </w:p>
    <w:p w:rsidR="003D1B43" w:rsidRDefault="003D1B43" w:rsidP="003D1B43">
      <w:pPr>
        <w:pStyle w:val="ListBullet"/>
      </w:pPr>
      <w:r>
        <w:t>it prevents a gap in the published regulatory models, since this is a necessary step for populating the PTRM and RFM for the subsequent regulatory control period</w:t>
      </w:r>
    </w:p>
    <w:p w:rsidR="00195275" w:rsidRDefault="00195275" w:rsidP="00195275">
      <w:pPr>
        <w:pStyle w:val="ListBullet"/>
      </w:pPr>
      <w:r>
        <w:t>WARL remains our preferred approach to calculating remaining asset lives</w:t>
      </w:r>
      <w:r>
        <w:rPr>
          <w:rStyle w:val="FootnoteReference"/>
        </w:rPr>
        <w:footnoteReference w:id="36"/>
      </w:r>
      <w:r>
        <w:t xml:space="preserve"> </w:t>
      </w:r>
    </w:p>
    <w:p w:rsidR="00B95B50" w:rsidRDefault="003D1B43" w:rsidP="003D1B43">
      <w:pPr>
        <w:pStyle w:val="ListBullet"/>
      </w:pPr>
      <w:proofErr w:type="gramStart"/>
      <w:r>
        <w:t>it</w:t>
      </w:r>
      <w:proofErr w:type="gramEnd"/>
      <w:r>
        <w:t xml:space="preserve"> provides certainty around the exact </w:t>
      </w:r>
      <w:r w:rsidR="00195275">
        <w:t xml:space="preserve">depreciation approach </w:t>
      </w:r>
      <w:r>
        <w:t xml:space="preserve">that will be used by the AER in the event that a DNSP proposal does not </w:t>
      </w:r>
      <w:r w:rsidR="00B95B50">
        <w:t>meet the rule requirements</w:t>
      </w:r>
      <w:r w:rsidR="00195275">
        <w:t>.</w:t>
      </w:r>
    </w:p>
    <w:p w:rsidR="005848E2" w:rsidRDefault="00195275" w:rsidP="002A4A7C">
      <w:r>
        <w:t>We considered whether i</w:t>
      </w:r>
      <w:r w:rsidR="00B95B50">
        <w:t xml:space="preserve">t might be possible to include multiple depreciation approaches in the RFM, with the DNSP selecting its chosen approach from a menu of options. </w:t>
      </w:r>
      <w:r w:rsidR="004B3F23">
        <w:t>G</w:t>
      </w:r>
      <w:r>
        <w:t xml:space="preserve">iven that </w:t>
      </w:r>
      <w:r w:rsidR="004B3F23">
        <w:t xml:space="preserve">both WARL and year-by-year tracking approaches </w:t>
      </w:r>
      <w:r>
        <w:t xml:space="preserve">have </w:t>
      </w:r>
      <w:r w:rsidR="004B3F23">
        <w:t xml:space="preserve">been </w:t>
      </w:r>
      <w:r>
        <w:t xml:space="preserve">approved in recent </w:t>
      </w:r>
      <w:r w:rsidR="006701C2">
        <w:t xml:space="preserve">regulatory </w:t>
      </w:r>
      <w:r>
        <w:t>de</w:t>
      </w:r>
      <w:r w:rsidR="006701C2">
        <w:t>terminations</w:t>
      </w:r>
      <w:r w:rsidR="004B3F23">
        <w:t xml:space="preserve">, it </w:t>
      </w:r>
      <w:r w:rsidR="0047046D">
        <w:t>might be desirable to include inbuilt RFM calculations for at least these two approaches</w:t>
      </w:r>
      <w:r>
        <w:t>. However, t</w:t>
      </w:r>
      <w:r w:rsidR="00B95B50">
        <w:t>his would increase the complexity of the spreadsheet in proportion to the number of additional options.</w:t>
      </w:r>
      <w:r w:rsidR="00C35969">
        <w:rPr>
          <w:rStyle w:val="FootnoteReference"/>
        </w:rPr>
        <w:footnoteReference w:id="37"/>
      </w:r>
      <w:r w:rsidR="00B95B50">
        <w:t xml:space="preserve"> </w:t>
      </w:r>
      <w:r w:rsidR="00C35969">
        <w:t>Further</w:t>
      </w:r>
      <w:r w:rsidR="004B3F23">
        <w:t>, there is no consensus around a</w:t>
      </w:r>
      <w:r w:rsidR="0047046D">
        <w:t xml:space="preserve"> specific year-by-year tracking </w:t>
      </w:r>
      <w:r w:rsidR="00052196">
        <w:t xml:space="preserve">depreciation model </w:t>
      </w:r>
      <w:r w:rsidR="0047046D">
        <w:t>as the optimal implementation of this approach.</w:t>
      </w:r>
      <w:r w:rsidR="0047046D">
        <w:rPr>
          <w:rStyle w:val="FootnoteReference"/>
        </w:rPr>
        <w:footnoteReference w:id="38"/>
      </w:r>
      <w:r w:rsidR="004B3F23">
        <w:t xml:space="preserve"> </w:t>
      </w:r>
      <w:r>
        <w:t xml:space="preserve">As noted above, DNSPs </w:t>
      </w:r>
      <w:r w:rsidR="006701C2">
        <w:t>w</w:t>
      </w:r>
      <w:r>
        <w:t>ould not be constrained to choose from the menu of options, however extensive</w:t>
      </w:r>
      <w:r w:rsidR="00011CC3">
        <w:t xml:space="preserve"> it might be</w:t>
      </w:r>
      <w:r>
        <w:t xml:space="preserve">. </w:t>
      </w:r>
      <w:r w:rsidR="00011CC3">
        <w:t>On balance, w</w:t>
      </w:r>
      <w:r>
        <w:t xml:space="preserve">e do not consider that the </w:t>
      </w:r>
      <w:r w:rsidR="006701C2">
        <w:t>extra</w:t>
      </w:r>
      <w:r>
        <w:t xml:space="preserve"> utility would justify the additional complexity</w:t>
      </w:r>
      <w:r w:rsidR="002608C7">
        <w:t xml:space="preserve"> at this stage</w:t>
      </w:r>
      <w:r w:rsidR="0047046D">
        <w:t xml:space="preserve">. We </w:t>
      </w:r>
      <w:r w:rsidR="005A6A81">
        <w:t xml:space="preserve">may consider </w:t>
      </w:r>
      <w:r w:rsidR="0047046D">
        <w:t xml:space="preserve">the possibility of including alternative </w:t>
      </w:r>
      <w:r w:rsidR="00A63F4A">
        <w:t xml:space="preserve">NER compliant </w:t>
      </w:r>
      <w:r w:rsidR="0047046D">
        <w:t xml:space="preserve">depreciation approaches in </w:t>
      </w:r>
      <w:r w:rsidR="005C746E">
        <w:t>future</w:t>
      </w:r>
      <w:r w:rsidR="0047046D">
        <w:t xml:space="preserve"> RFM</w:t>
      </w:r>
      <w:r w:rsidR="00A63F4A">
        <w:t>/PTRM</w:t>
      </w:r>
      <w:r w:rsidR="0047046D">
        <w:t xml:space="preserve"> </w:t>
      </w:r>
      <w:r w:rsidR="00A63F4A">
        <w:t xml:space="preserve">amendment </w:t>
      </w:r>
      <w:r w:rsidR="0047046D">
        <w:t>reviews</w:t>
      </w:r>
      <w:r>
        <w:t>.</w:t>
      </w:r>
    </w:p>
    <w:p w:rsidR="009B7F5A" w:rsidRPr="00086C33" w:rsidRDefault="00195275" w:rsidP="00195275">
      <w:r>
        <w:t xml:space="preserve">Therefore, we have retained the modifications relating to the calculation of remaining asset lives, as per the proposed RFM we published for consultation in August 2016. No additional modifications have been made for this issue in the final amended RFM. </w:t>
      </w:r>
    </w:p>
    <w:p w:rsidR="00086C33" w:rsidRPr="00086C33" w:rsidRDefault="00086C33" w:rsidP="00E40E9A">
      <w:pPr>
        <w:pStyle w:val="Heading2"/>
      </w:pPr>
      <w:bookmarkStart w:id="14" w:name="_Toc468376912"/>
      <w:r w:rsidRPr="00086C33">
        <w:t>End of period adjustments</w:t>
      </w:r>
      <w:bookmarkEnd w:id="14"/>
    </w:p>
    <w:p w:rsidR="00086C33" w:rsidRPr="00086C33" w:rsidRDefault="002C15F1" w:rsidP="00086C33">
      <w:r>
        <w:t xml:space="preserve">The </w:t>
      </w:r>
      <w:r w:rsidR="0022554A">
        <w:t>amended</w:t>
      </w:r>
      <w:r>
        <w:t xml:space="preserve"> RFM includes</w:t>
      </w:r>
      <w:r w:rsidR="00086C33" w:rsidRPr="00086C33">
        <w:t xml:space="preserve"> </w:t>
      </w:r>
      <w:r w:rsidR="003A4242">
        <w:t xml:space="preserve">a new input section </w:t>
      </w:r>
      <w:r w:rsidR="009644A3">
        <w:t>i</w:t>
      </w:r>
      <w:r w:rsidR="003A4242">
        <w:t>n the '</w:t>
      </w:r>
      <w:r w:rsidR="003A4242" w:rsidRPr="00E40E9A">
        <w:rPr>
          <w:rStyle w:val="Emphasis"/>
        </w:rPr>
        <w:t>RFM input’</w:t>
      </w:r>
      <w:r w:rsidR="003A4242" w:rsidRPr="00086C33">
        <w:t xml:space="preserve"> </w:t>
      </w:r>
      <w:r w:rsidR="003A4242">
        <w:t xml:space="preserve">worksheet </w:t>
      </w:r>
      <w:r w:rsidR="00086C33" w:rsidRPr="00086C33">
        <w:t xml:space="preserve">where end of period adjustments </w:t>
      </w:r>
      <w:r>
        <w:t>are</w:t>
      </w:r>
      <w:r w:rsidR="00086C33" w:rsidRPr="00086C33">
        <w:t xml:space="preserve"> </w:t>
      </w:r>
      <w:r>
        <w:t>made. This allows</w:t>
      </w:r>
      <w:r w:rsidR="00086C33" w:rsidRPr="00086C33">
        <w:t xml:space="preserve"> additions to or deductions from specific asset classes at the end of a regulatory control period. As an example, if assets were reclassified from </w:t>
      </w:r>
      <w:r>
        <w:t>standard control</w:t>
      </w:r>
      <w:r w:rsidR="00086C33" w:rsidRPr="00086C33">
        <w:t xml:space="preserve"> services to </w:t>
      </w:r>
      <w:r>
        <w:t xml:space="preserve">alternative control </w:t>
      </w:r>
      <w:r w:rsidR="00086C33" w:rsidRPr="00086C33">
        <w:t>services, an end of period deduction could be used to remove the value of the reclassified assets from the r</w:t>
      </w:r>
      <w:r w:rsidR="00E40E9A">
        <w:t>elevant asset class in the RFM.</w:t>
      </w:r>
      <w:r w:rsidR="00086C33" w:rsidRPr="00086C33">
        <w:t xml:space="preserve"> Such an adjustment was not possible in </w:t>
      </w:r>
      <w:r>
        <w:t>the previous version</w:t>
      </w:r>
      <w:r w:rsidR="00086C33" w:rsidRPr="00086C33">
        <w:t xml:space="preserve"> of the RFM, and so an ad-hoc modification to the base template was required on occasion.</w:t>
      </w:r>
    </w:p>
    <w:p w:rsidR="00FB1557" w:rsidRDefault="002C15F1" w:rsidP="003A4242">
      <w:r>
        <w:t>To ensure that the adjustment is accurate, the inputs separately record the value of the asset for RAB and TAB purposes, and the associated remaining life in each case (RAB and TAB).</w:t>
      </w:r>
      <w:r>
        <w:rPr>
          <w:rStyle w:val="FootnoteReference"/>
        </w:rPr>
        <w:footnoteReference w:id="39"/>
      </w:r>
      <w:r>
        <w:t xml:space="preserve"> </w:t>
      </w:r>
      <w:r w:rsidR="00086C33" w:rsidRPr="00086C33">
        <w:t>The</w:t>
      </w:r>
      <w:r w:rsidR="00317D73">
        <w:t xml:space="preserve"> </w:t>
      </w:r>
      <w:r w:rsidR="0022554A">
        <w:t>amended</w:t>
      </w:r>
      <w:r w:rsidR="00317D73">
        <w:t xml:space="preserve"> </w:t>
      </w:r>
      <w:r w:rsidR="00086C33" w:rsidRPr="00086C33">
        <w:t xml:space="preserve">RFM </w:t>
      </w:r>
      <w:r w:rsidR="00F103C1">
        <w:t xml:space="preserve">provides for </w:t>
      </w:r>
      <w:r w:rsidR="00086C33" w:rsidRPr="00086C33">
        <w:t xml:space="preserve">each asset class </w:t>
      </w:r>
      <w:r w:rsidR="00F103C1">
        <w:t xml:space="preserve">to </w:t>
      </w:r>
      <w:r w:rsidR="00086C33" w:rsidRPr="00086C33">
        <w:t>ha</w:t>
      </w:r>
      <w:r w:rsidR="00F103C1">
        <w:t>ve</w:t>
      </w:r>
      <w:r w:rsidR="00086C33" w:rsidRPr="00086C33">
        <w:t xml:space="preserve"> a single remaining asset life for all </w:t>
      </w:r>
      <w:proofErr w:type="gramStart"/>
      <w:r w:rsidR="00086C33" w:rsidRPr="00086C33">
        <w:t>end</w:t>
      </w:r>
      <w:proofErr w:type="gramEnd"/>
      <w:r w:rsidR="00086C33" w:rsidRPr="00086C33">
        <w:t xml:space="preserve"> of period adjustments.</w:t>
      </w:r>
      <w:r w:rsidR="00F103C1">
        <w:rPr>
          <w:rStyle w:val="FootnoteReference"/>
        </w:rPr>
        <w:footnoteReference w:id="40"/>
      </w:r>
      <w:r w:rsidR="00086C33" w:rsidRPr="00086C33">
        <w:t xml:space="preserve"> When a new end of period adjustment is made, the RFM calculates the WARL of the end of period adjustment and the residual value (if any) of earlier end of period adjustments. Given the infrequency of these adjustments (at most once per regulatory control period) this provides a reasonable balance between complexity and accuracy.</w:t>
      </w:r>
    </w:p>
    <w:p w:rsidR="00086C33" w:rsidRPr="00086C33" w:rsidRDefault="00FB1557" w:rsidP="003A4242">
      <w:r>
        <w:t xml:space="preserve">The treatment of </w:t>
      </w:r>
      <w:r w:rsidR="00311C88">
        <w:t xml:space="preserve">end of period </w:t>
      </w:r>
      <w:r>
        <w:t xml:space="preserve">adjustments in the </w:t>
      </w:r>
      <w:r w:rsidR="009B7F5A">
        <w:t>amended</w:t>
      </w:r>
      <w:r>
        <w:t xml:space="preserve"> </w:t>
      </w:r>
      <w:r w:rsidR="00311C88">
        <w:t xml:space="preserve">DNSP </w:t>
      </w:r>
      <w:r>
        <w:t>RFM aligns with the most recent version of the TNSP RFM (version 3).</w:t>
      </w:r>
    </w:p>
    <w:p w:rsidR="009B7F5A" w:rsidRPr="00086C33" w:rsidRDefault="009B7F5A" w:rsidP="009B7F5A">
      <w:r>
        <w:t>These modifications were already included in the proposed RFM we published for consultation in August 2016</w:t>
      </w:r>
      <w:r w:rsidR="00F96BE9">
        <w:t>.</w:t>
      </w:r>
      <w:r w:rsidR="00F96BE9" w:rsidRPr="00F96BE9">
        <w:t xml:space="preserve"> </w:t>
      </w:r>
      <w:r w:rsidR="00F96BE9">
        <w:t xml:space="preserve">The </w:t>
      </w:r>
      <w:r w:rsidR="006701C2">
        <w:t xml:space="preserve">JEN </w:t>
      </w:r>
      <w:r w:rsidR="00F96BE9">
        <w:t xml:space="preserve">submission </w:t>
      </w:r>
      <w:r w:rsidR="006701C2">
        <w:t xml:space="preserve">was the only one </w:t>
      </w:r>
      <w:r w:rsidR="00F96BE9">
        <w:t>to directly address this issue</w:t>
      </w:r>
      <w:r w:rsidR="006701C2">
        <w:t xml:space="preserve"> and</w:t>
      </w:r>
      <w:r w:rsidR="00F96BE9">
        <w:t xml:space="preserve"> was supportive of </w:t>
      </w:r>
      <w:r w:rsidR="006701C2">
        <w:t>our</w:t>
      </w:r>
      <w:r w:rsidR="00F96BE9">
        <w:t xml:space="preserve"> proposed changes.</w:t>
      </w:r>
      <w:r w:rsidR="00F96BE9">
        <w:rPr>
          <w:rStyle w:val="FootnoteReference"/>
        </w:rPr>
        <w:footnoteReference w:id="41"/>
      </w:r>
      <w:r w:rsidR="00F96BE9">
        <w:t xml:space="preserve"> </w:t>
      </w:r>
      <w:r w:rsidR="006701C2">
        <w:t>N</w:t>
      </w:r>
      <w:r>
        <w:t>o additional modifications have been made for this issue in the final amended RFM.</w:t>
      </w:r>
    </w:p>
    <w:p w:rsidR="00086C33" w:rsidRPr="00086C33" w:rsidRDefault="00086C33" w:rsidP="00E40E9A">
      <w:pPr>
        <w:pStyle w:val="Heading2"/>
      </w:pPr>
      <w:bookmarkStart w:id="15" w:name="_Toc468376913"/>
      <w:r w:rsidRPr="00086C33">
        <w:t>Annual WACC updates</w:t>
      </w:r>
      <w:bookmarkEnd w:id="15"/>
    </w:p>
    <w:p w:rsidR="00086C33" w:rsidRPr="00086C33" w:rsidRDefault="00086C33" w:rsidP="00086C33">
      <w:r w:rsidRPr="00086C33">
        <w:t>The WACC is used as an input to the</w:t>
      </w:r>
      <w:r w:rsidR="00317D73">
        <w:t xml:space="preserve"> </w:t>
      </w:r>
      <w:r w:rsidRPr="00086C33">
        <w:t>RFM to:</w:t>
      </w:r>
    </w:p>
    <w:p w:rsidR="00086C33" w:rsidRPr="00086C33" w:rsidRDefault="00086C33" w:rsidP="00E40E9A">
      <w:pPr>
        <w:pStyle w:val="ListBullet"/>
      </w:pPr>
      <w:r w:rsidRPr="00086C33">
        <w:t>account for the timing assumption of capex being rolled into the RAB</w:t>
      </w:r>
    </w:p>
    <w:p w:rsidR="00086C33" w:rsidRPr="00086C33" w:rsidRDefault="00086C33" w:rsidP="00E40E9A">
      <w:pPr>
        <w:pStyle w:val="ListBullet"/>
      </w:pPr>
      <w:proofErr w:type="gramStart"/>
      <w:r w:rsidRPr="00086C33">
        <w:t>calculate</w:t>
      </w:r>
      <w:proofErr w:type="gramEnd"/>
      <w:r w:rsidRPr="00086C33">
        <w:t xml:space="preserve"> the accumulated return on capital associated with the difference between actual and estimated capex used in the previous regulatory control period. </w:t>
      </w:r>
    </w:p>
    <w:p w:rsidR="00086C33" w:rsidRPr="00086C33" w:rsidRDefault="00086C33" w:rsidP="00086C33">
      <w:r w:rsidRPr="00086C33">
        <w:t xml:space="preserve">The </w:t>
      </w:r>
      <w:r w:rsidR="0022554A">
        <w:t>amended</w:t>
      </w:r>
      <w:r w:rsidRPr="00086C33">
        <w:t xml:space="preserve"> RFM has been modified so that it can accommodate different annual WACCs over the regulatory control period in the </w:t>
      </w:r>
      <w:r w:rsidRPr="00E40E9A">
        <w:rPr>
          <w:rStyle w:val="Emphasis"/>
        </w:rPr>
        <w:t>'RFM input'</w:t>
      </w:r>
      <w:r w:rsidRPr="00086C33">
        <w:t xml:space="preserve"> worksheet. This change is a consequence of changes to the </w:t>
      </w:r>
      <w:r w:rsidR="003A4242">
        <w:t xml:space="preserve">DNSP </w:t>
      </w:r>
      <w:r w:rsidRPr="00086C33">
        <w:t>PTRM (version 3) in January 2015 providing for annual WACC updates during</w:t>
      </w:r>
      <w:r w:rsidR="00E40E9A">
        <w:t xml:space="preserve"> the regulatory control period.</w:t>
      </w:r>
      <w:r w:rsidR="00E40E9A">
        <w:rPr>
          <w:rStyle w:val="FootnoteReference"/>
        </w:rPr>
        <w:footnoteReference w:id="42"/>
      </w:r>
      <w:r w:rsidRPr="00086C33">
        <w:t xml:space="preserve"> Consistent with the changes to the PTRM, the </w:t>
      </w:r>
      <w:r w:rsidR="0022554A">
        <w:t>amended</w:t>
      </w:r>
      <w:r w:rsidRPr="00086C33">
        <w:t xml:space="preserve"> RFM gives effect to the AER's </w:t>
      </w:r>
      <w:r w:rsidRPr="00E40E9A">
        <w:rPr>
          <w:rStyle w:val="Emphasis"/>
        </w:rPr>
        <w:t>Rate of return guideline</w:t>
      </w:r>
      <w:r w:rsidRPr="00086C33">
        <w:t>, which allows for an annual update for the return on</w:t>
      </w:r>
      <w:r w:rsidR="00E40E9A">
        <w:t xml:space="preserve"> debt.</w:t>
      </w:r>
      <w:r w:rsidR="00E40E9A">
        <w:rPr>
          <w:rStyle w:val="FootnoteReference"/>
        </w:rPr>
        <w:footnoteReference w:id="43"/>
      </w:r>
    </w:p>
    <w:p w:rsidR="00086C33" w:rsidRPr="00086C33" w:rsidRDefault="003A4242" w:rsidP="00086C33">
      <w:r>
        <w:t xml:space="preserve">The treatment of WACC in the </w:t>
      </w:r>
      <w:r w:rsidR="0070583B">
        <w:t>amended</w:t>
      </w:r>
      <w:r>
        <w:t xml:space="preserve"> </w:t>
      </w:r>
      <w:r w:rsidR="00311C88">
        <w:t xml:space="preserve">DNSP </w:t>
      </w:r>
      <w:r>
        <w:t>RFM aligns with the most recent version of the TNSP RFM (version 3).</w:t>
      </w:r>
    </w:p>
    <w:p w:rsidR="009B7F5A" w:rsidRPr="00086C33" w:rsidRDefault="009B7F5A" w:rsidP="009B7F5A">
      <w:r>
        <w:t xml:space="preserve">These modifications were already included in the proposed RFM we published for consultation in August 2016. </w:t>
      </w:r>
      <w:r w:rsidR="00405941">
        <w:t xml:space="preserve">The </w:t>
      </w:r>
      <w:r w:rsidR="006701C2">
        <w:t>JEN</w:t>
      </w:r>
      <w:r w:rsidR="00405941">
        <w:t xml:space="preserve"> submission</w:t>
      </w:r>
      <w:r w:rsidR="006701C2">
        <w:t xml:space="preserve"> was the only one</w:t>
      </w:r>
      <w:r w:rsidR="00405941">
        <w:t xml:space="preserve"> to directly address this issue </w:t>
      </w:r>
      <w:r w:rsidR="006701C2">
        <w:t xml:space="preserve">and </w:t>
      </w:r>
      <w:r w:rsidR="00405941">
        <w:t xml:space="preserve">was supportive of </w:t>
      </w:r>
      <w:r w:rsidR="006701C2">
        <w:t>our</w:t>
      </w:r>
      <w:r w:rsidR="00405941">
        <w:t xml:space="preserve"> proposed changes.</w:t>
      </w:r>
      <w:r w:rsidR="00405941">
        <w:rPr>
          <w:rStyle w:val="FootnoteReference"/>
        </w:rPr>
        <w:footnoteReference w:id="44"/>
      </w:r>
      <w:r w:rsidR="00405941">
        <w:t xml:space="preserve"> N</w:t>
      </w:r>
      <w:r>
        <w:t>o additional modifications have been made for this issue in the final amended RFM.</w:t>
      </w:r>
    </w:p>
    <w:p w:rsidR="00086C33" w:rsidRPr="00086C33" w:rsidRDefault="00086C33" w:rsidP="00E40E9A">
      <w:pPr>
        <w:pStyle w:val="Heading2"/>
      </w:pPr>
      <w:bookmarkStart w:id="16" w:name="_Toc468376914"/>
      <w:r w:rsidRPr="00086C33">
        <w:t>Input worksheet for AER data management system</w:t>
      </w:r>
      <w:bookmarkEnd w:id="16"/>
    </w:p>
    <w:p w:rsidR="00890D3E" w:rsidRDefault="00086C33" w:rsidP="00086C33">
      <w:r w:rsidRPr="00086C33">
        <w:t xml:space="preserve">We have developed a data management system (DMS) to collect data from regulatory information notices and from the various regulatory models. We have added a new </w:t>
      </w:r>
      <w:r w:rsidRPr="00E40E9A">
        <w:rPr>
          <w:rStyle w:val="Emphasis"/>
        </w:rPr>
        <w:t>'DMS input'</w:t>
      </w:r>
      <w:r w:rsidRPr="00086C33">
        <w:t xml:space="preserve"> worksheet to help our system ingest the relevant data from the RFM. This worksheet has no impact on the operation of the RFM. The worksheet previously labelled </w:t>
      </w:r>
      <w:r w:rsidRPr="00C95005">
        <w:rPr>
          <w:rStyle w:val="Emphasis"/>
        </w:rPr>
        <w:t>'Input'</w:t>
      </w:r>
      <w:r w:rsidRPr="00086C33">
        <w:t xml:space="preserve"> has been renamed </w:t>
      </w:r>
      <w:r w:rsidRPr="00C95005">
        <w:rPr>
          <w:rStyle w:val="Emphasis"/>
        </w:rPr>
        <w:t>'RFM input'</w:t>
      </w:r>
      <w:r w:rsidRPr="00086C33">
        <w:t xml:space="preserve"> to distinguish</w:t>
      </w:r>
      <w:r w:rsidR="003A4242">
        <w:t xml:space="preserve"> the two input worksheets. The D</w:t>
      </w:r>
      <w:r w:rsidRPr="00086C33">
        <w:t>NSP will need to complete both input</w:t>
      </w:r>
      <w:r w:rsidR="0022554A">
        <w:t xml:space="preserve"> worksheets when submitting the </w:t>
      </w:r>
      <w:r w:rsidRPr="00086C33">
        <w:t>RFM</w:t>
      </w:r>
      <w:r w:rsidR="0022554A">
        <w:t xml:space="preserve"> with its regulatory proposal</w:t>
      </w:r>
      <w:r w:rsidRPr="00086C33">
        <w:t xml:space="preserve">. The additional information required is minimal (contact details and a few cells identifying the context for the RFM submission). </w:t>
      </w:r>
    </w:p>
    <w:p w:rsidR="00086C33" w:rsidRPr="00086C33" w:rsidRDefault="00890D3E" w:rsidP="00086C33">
      <w:r>
        <w:t>This worksheet aligns with the most recent version of the TNSP RFM (version 3)</w:t>
      </w:r>
      <w:r w:rsidR="00405941">
        <w:t>.</w:t>
      </w:r>
    </w:p>
    <w:p w:rsidR="009B7F5A" w:rsidRPr="00086C33" w:rsidRDefault="009B7F5A" w:rsidP="009B7F5A">
      <w:r>
        <w:t xml:space="preserve">These modifications were already included in the proposed RFM we published for consultation in August 2016. </w:t>
      </w:r>
      <w:r w:rsidR="00F96BE9">
        <w:t>The</w:t>
      </w:r>
      <w:r w:rsidR="00405941">
        <w:t xml:space="preserve">re were no comments on these changes, and </w:t>
      </w:r>
      <w:r>
        <w:t>no additional modifications have been made for this issue in the final amended RFM.</w:t>
      </w:r>
    </w:p>
    <w:p w:rsidR="00CC1C11" w:rsidRPr="00086C33" w:rsidRDefault="00CC1C11" w:rsidP="00CC1C11">
      <w:pPr>
        <w:pStyle w:val="Heading2"/>
      </w:pPr>
      <w:bookmarkStart w:id="17" w:name="_Toc468376915"/>
      <w:r>
        <w:t>Use of actual inflation</w:t>
      </w:r>
      <w:bookmarkEnd w:id="17"/>
    </w:p>
    <w:p w:rsidR="00CC1C11" w:rsidRDefault="00CC1C11" w:rsidP="00CC1C11">
      <w:r>
        <w:t xml:space="preserve">There are a number of alternative approaches to the treatment of actual inflation in the RFM. Our amended RFM maintains the AER's standard approach (the 'partially-lagged' approach), as used in the previous version of the DNSP RFM and in the current TNSP RFM (version 3). The amended RFM has been modified to </w:t>
      </w:r>
      <w:r w:rsidR="0047046D">
        <w:t>add</w:t>
      </w:r>
      <w:r>
        <w:t xml:space="preserve"> an alternative, the 'all-lagged' approach, </w:t>
      </w:r>
      <w:r w:rsidR="00587F4E">
        <w:t xml:space="preserve">so that it can </w:t>
      </w:r>
      <w:r>
        <w:t xml:space="preserve">be applied to particular DNSPs where it aligns with their previous historical treatment. In practice, </w:t>
      </w:r>
      <w:r w:rsidR="00587F4E">
        <w:t xml:space="preserve">this will </w:t>
      </w:r>
      <w:r w:rsidR="000D20FB">
        <w:t>allow</w:t>
      </w:r>
      <w:r w:rsidR="00587F4E">
        <w:t xml:space="preserve"> </w:t>
      </w:r>
      <w:r>
        <w:t xml:space="preserve">the five Victorian electricity DNSPs </w:t>
      </w:r>
      <w:r w:rsidR="00587F4E">
        <w:t>to</w:t>
      </w:r>
      <w:r>
        <w:t xml:space="preserve"> remain on the all-lagged approach</w:t>
      </w:r>
      <w:r w:rsidR="00A63F4A">
        <w:t>,</w:t>
      </w:r>
      <w:r>
        <w:t xml:space="preserve"> while all other DNSPs use the partially-lagged approach. The choice of approach is set within the RFM using a drop down </w:t>
      </w:r>
      <w:r w:rsidR="000E4897">
        <w:t>function</w:t>
      </w:r>
      <w:r>
        <w:t>.</w:t>
      </w:r>
    </w:p>
    <w:p w:rsidR="00CC1C11" w:rsidRDefault="00CC1C11" w:rsidP="00CC1C11">
      <w:r>
        <w:t>We consider that our standard partially-lagged approach meets the requirements of the NER.</w:t>
      </w:r>
      <w:r>
        <w:rPr>
          <w:rStyle w:val="FootnoteReference"/>
        </w:rPr>
        <w:footnoteReference w:id="45"/>
      </w:r>
      <w:r>
        <w:t xml:space="preserve"> Modelling of inflation impacts across the entire regulatory process shows that it avoids any systematic bias (under-compensation or over-compensation) in total revenue when actual inflation outcomes differ from expectations. Relative to known alternatives, the partially-lagged approach performs reasonably well at mitigating the magnitude of revenue impacts when inflation outcomes differ from expectations.</w:t>
      </w:r>
    </w:p>
    <w:p w:rsidR="00CC1C11" w:rsidRDefault="00CC1C11" w:rsidP="00CC1C11">
      <w:r>
        <w:t xml:space="preserve">In our August 2016 </w:t>
      </w:r>
      <w:r w:rsidRPr="0064063E">
        <w:rPr>
          <w:rStyle w:val="Emphasis"/>
        </w:rPr>
        <w:t>Explanatory statement</w:t>
      </w:r>
      <w:r>
        <w:t>, we highlighted this issue and asked for stakeholder comments.</w:t>
      </w:r>
      <w:r w:rsidR="00696355">
        <w:rPr>
          <w:rStyle w:val="FootnoteReference"/>
        </w:rPr>
        <w:footnoteReference w:id="46"/>
      </w:r>
      <w:r>
        <w:t xml:space="preserve"> We described three approaches (the partially-lagged, all-lagged and 'un-lagged' approaches) and provided modelling that assessed the overall revenue impact when actual inflation outcomes differed from expected inflation. When modelling overall revenue, we looked at the major inflation interactions across the three regulatory elements (PTRM, annual revenue adjustments and RFM). We noted the limitations and assumptions underlying this modelling. In particular, it assumed that the initial expected inflation was consistent with the nominal WACC used in the PTRM. The revenue difference between the approaches did not appear to be large.</w:t>
      </w:r>
    </w:p>
    <w:p w:rsidR="00CC1C11" w:rsidRDefault="00CC1C11" w:rsidP="00CC1C11">
      <w:r>
        <w:t xml:space="preserve">In the proposed amended RFM we released with the </w:t>
      </w:r>
      <w:r>
        <w:rPr>
          <w:rStyle w:val="Emphasis"/>
        </w:rPr>
        <w:t>Explanatory s</w:t>
      </w:r>
      <w:r w:rsidRPr="00016858">
        <w:rPr>
          <w:rStyle w:val="Emphasis"/>
        </w:rPr>
        <w:t>tatement</w:t>
      </w:r>
      <w:r>
        <w:t xml:space="preserve">, we only implemented the partially-lagged approach, but stated that the Victorian DNSPs should be allowed to stay on the all-lagged approach. Our assessment was that the benefit of consistency with past treatment outweighed the detriment of potential greater revenue variation. </w:t>
      </w:r>
    </w:p>
    <w:p w:rsidR="00CC1C11" w:rsidRDefault="00CC1C11" w:rsidP="00CC1C11">
      <w:r>
        <w:t>Two submissions directly addressed this choice between the partially-lagged, all-lagged and un-lagged approaches. The SCP submission stated that, so long as those networks which were currently on the all-lagged inflation approach were able to stay on this approach, the AER's position was appropriate.</w:t>
      </w:r>
      <w:r>
        <w:rPr>
          <w:rStyle w:val="FootnoteReference"/>
        </w:rPr>
        <w:footnoteReference w:id="47"/>
      </w:r>
      <w:r>
        <w:t xml:space="preserve"> The AusNet Services submission stated that the all-lagged approach should be used in the RFM, instead of the partially-lagged approach.</w:t>
      </w:r>
      <w:r>
        <w:rPr>
          <w:rStyle w:val="FootnoteReference"/>
        </w:rPr>
        <w:footnoteReference w:id="48"/>
      </w:r>
      <w:r>
        <w:t xml:space="preserve"> To support this claim AusNet Services referenced material it submitted to the AER in July 2015 and January 2016 as part of other regulatory decisions.</w:t>
      </w:r>
      <w:r>
        <w:rPr>
          <w:rStyle w:val="FootnoteReference"/>
        </w:rPr>
        <w:footnoteReference w:id="49"/>
      </w:r>
      <w:r>
        <w:t xml:space="preserve"> The AusNet Services submission did not engage with the new evidence in our August 2016 </w:t>
      </w:r>
      <w:r w:rsidRPr="00572C32">
        <w:rPr>
          <w:rStyle w:val="Emphasis"/>
        </w:rPr>
        <w:t>Explanatory statement</w:t>
      </w:r>
      <w:r>
        <w:rPr>
          <w:rStyle w:val="Emphasis"/>
        </w:rPr>
        <w:t xml:space="preserve">. </w:t>
      </w:r>
      <w:r>
        <w:t xml:space="preserve">We consider that the </w:t>
      </w:r>
      <w:r w:rsidRPr="000C4612">
        <w:rPr>
          <w:rStyle w:val="Emphasis"/>
        </w:rPr>
        <w:t xml:space="preserve">Explanatory </w:t>
      </w:r>
      <w:r>
        <w:rPr>
          <w:rStyle w:val="Emphasis"/>
        </w:rPr>
        <w:t>s</w:t>
      </w:r>
      <w:r w:rsidRPr="000C4612">
        <w:rPr>
          <w:rStyle w:val="Emphasis"/>
        </w:rPr>
        <w:t>tatement</w:t>
      </w:r>
      <w:r>
        <w:t xml:space="preserve"> has already dealt with the material referenced by AusNet Services, and sets out why we have not decided to move the RFM template to an exclusively all-lagged approach and apply it to all DNSPs.</w:t>
      </w:r>
    </w:p>
    <w:p w:rsidR="00CC1C11" w:rsidRDefault="00CC1C11" w:rsidP="00CC1C11">
      <w:r>
        <w:t xml:space="preserve">However, the AusNet Services submission then appears to endorse the AER's position in the </w:t>
      </w:r>
      <w:r w:rsidRPr="009321DB">
        <w:rPr>
          <w:rStyle w:val="Emphasis"/>
        </w:rPr>
        <w:t>Explanatory statement</w:t>
      </w:r>
      <w:r>
        <w:t>, which provides for the Victorian DNSPs that have historically been on the all-lagged approach to maintain that approach. To give effect to this, AusNet Services stated that the AER should publish two versions of the RFM, one using the partially-lagged approach and the other using the all-lagged approach.</w:t>
      </w:r>
      <w:r>
        <w:rPr>
          <w:rStyle w:val="FootnoteReference"/>
        </w:rPr>
        <w:footnoteReference w:id="50"/>
      </w:r>
    </w:p>
    <w:p w:rsidR="00CC1C11" w:rsidRDefault="00CC1C11" w:rsidP="00CC1C11">
      <w:r>
        <w:t>We consider that the NER allows for only one current version of the distribution RFM at any point in time.</w:t>
      </w:r>
      <w:r>
        <w:rPr>
          <w:rStyle w:val="FootnoteReference"/>
        </w:rPr>
        <w:footnoteReference w:id="51"/>
      </w:r>
      <w:r>
        <w:t xml:space="preserve"> We have instead included both the partially-lagged and all-lagged approaches in the final amended RFM, with the selection of the relevant approach </w:t>
      </w:r>
      <w:r w:rsidR="00525517">
        <w:t xml:space="preserve">available </w:t>
      </w:r>
      <w:r>
        <w:t>within the model. This accommodates our position on preserving the use of all-lagged inflation for the Victorian electricity DNSPs, whilst applying the standard partially-lagged approach for all other DNSPs.</w:t>
      </w:r>
      <w:r w:rsidR="0047046D">
        <w:rPr>
          <w:rStyle w:val="FootnoteReference"/>
        </w:rPr>
        <w:footnoteReference w:id="52"/>
      </w:r>
    </w:p>
    <w:p w:rsidR="004B3F23" w:rsidRPr="00086C33" w:rsidRDefault="004B3F23" w:rsidP="004B3F23">
      <w:r>
        <w:t>The implementation of the partially-lagged approach in the amended DNSP RFM aligns with the most recent version of the TNSP RFM (version 3).</w:t>
      </w:r>
      <w:r w:rsidR="00525517">
        <w:rPr>
          <w:rStyle w:val="FootnoteReference"/>
        </w:rPr>
        <w:footnoteReference w:id="53"/>
      </w:r>
      <w:r>
        <w:t xml:space="preserve"> </w:t>
      </w:r>
    </w:p>
    <w:p w:rsidR="00086C33" w:rsidRPr="00086C33" w:rsidRDefault="00405941" w:rsidP="00C95005">
      <w:pPr>
        <w:pStyle w:val="Heading2"/>
      </w:pPr>
      <w:bookmarkStart w:id="18" w:name="_Toc468376916"/>
      <w:r>
        <w:t>Other minor</w:t>
      </w:r>
      <w:r w:rsidR="00086C33" w:rsidRPr="00086C33">
        <w:t xml:space="preserve"> improvements</w:t>
      </w:r>
      <w:bookmarkEnd w:id="18"/>
    </w:p>
    <w:p w:rsidR="00086C33" w:rsidRPr="00086C33" w:rsidRDefault="00086C33" w:rsidP="00086C33">
      <w:r w:rsidRPr="00086C33">
        <w:t>We have taken the opportunity to improve the presentation and functionality of some calculations in the RFM by making a few minor presentational and operational changes.</w:t>
      </w:r>
      <w:r w:rsidR="00405941">
        <w:t xml:space="preserve"> </w:t>
      </w:r>
      <w:r w:rsidRPr="00086C33">
        <w:t>The changes include:</w:t>
      </w:r>
    </w:p>
    <w:p w:rsidR="00086C33" w:rsidRPr="00086C33" w:rsidRDefault="00C807A4" w:rsidP="00C95005">
      <w:pPr>
        <w:pStyle w:val="ListBullet"/>
      </w:pPr>
      <w:r>
        <w:t>a</w:t>
      </w:r>
      <w:r w:rsidR="00086C33" w:rsidRPr="00086C33">
        <w:t>djusting the minimum supported regulatory control period length from five years to two years for disp</w:t>
      </w:r>
      <w:r>
        <w:t>laying RAB roll forward outputs</w:t>
      </w:r>
    </w:p>
    <w:p w:rsidR="00086C33" w:rsidRDefault="00C807A4" w:rsidP="00C95005">
      <w:pPr>
        <w:pStyle w:val="ListBullet"/>
      </w:pPr>
      <w:r>
        <w:t>r</w:t>
      </w:r>
      <w:r w:rsidR="00086C33" w:rsidRPr="00086C33">
        <w:t>emoving sections that were made redundant or</w:t>
      </w:r>
      <w:r>
        <w:t xml:space="preserve"> replicated in other worksheets</w:t>
      </w:r>
    </w:p>
    <w:p w:rsidR="00405941" w:rsidRDefault="00C807A4" w:rsidP="00311C88">
      <w:pPr>
        <w:pStyle w:val="Bulletpoint"/>
      </w:pPr>
      <w:r>
        <w:t>r</w:t>
      </w:r>
      <w:r w:rsidR="003A4242">
        <w:t>emoving the CPI input (</w:t>
      </w:r>
      <w:r w:rsidR="00311C88">
        <w:t>i</w:t>
      </w:r>
      <w:r w:rsidR="003A4242">
        <w:t xml:space="preserve">n </w:t>
      </w:r>
      <w:r w:rsidR="003A4242" w:rsidRPr="00083857">
        <w:rPr>
          <w:rStyle w:val="Emphasis"/>
        </w:rPr>
        <w:t>'Adjustment for previous period'</w:t>
      </w:r>
      <w:r w:rsidR="00311C88" w:rsidRPr="00311C88">
        <w:rPr>
          <w:rStyle w:val="Emphasis"/>
          <w:i w:val="0"/>
          <w:iCs w:val="0"/>
        </w:rPr>
        <w:t xml:space="preserve"> worksheet</w:t>
      </w:r>
      <w:r w:rsidR="003A4242">
        <w:t>) for the penultimate year of the previous regulatory control period, as this value is no longer required</w:t>
      </w:r>
      <w:r w:rsidR="00F103C1">
        <w:t xml:space="preserve"> for use in the RAB roll forward process</w:t>
      </w:r>
    </w:p>
    <w:p w:rsidR="003A4242" w:rsidRPr="00086C33" w:rsidRDefault="005850D6" w:rsidP="00311C88">
      <w:pPr>
        <w:pStyle w:val="Bulletpoint"/>
      </w:pPr>
      <w:proofErr w:type="gramStart"/>
      <w:r>
        <w:t>removing</w:t>
      </w:r>
      <w:proofErr w:type="gramEnd"/>
      <w:r w:rsidR="007813D0">
        <w:t xml:space="preserve"> some </w:t>
      </w:r>
      <w:r>
        <w:t xml:space="preserve">redundant input </w:t>
      </w:r>
      <w:r w:rsidR="007813D0">
        <w:t xml:space="preserve">data </w:t>
      </w:r>
      <w:r w:rsidR="00405941">
        <w:t xml:space="preserve">on the </w:t>
      </w:r>
      <w:r w:rsidR="00405941" w:rsidRPr="00016858">
        <w:rPr>
          <w:rStyle w:val="Emphasis"/>
        </w:rPr>
        <w:t>'T</w:t>
      </w:r>
      <w:r w:rsidR="00FA3091">
        <w:rPr>
          <w:rStyle w:val="Emphasis"/>
        </w:rPr>
        <w:t>AB</w:t>
      </w:r>
      <w:r w:rsidR="00405941" w:rsidRPr="00016858">
        <w:rPr>
          <w:rStyle w:val="Emphasis"/>
        </w:rPr>
        <w:t xml:space="preserve"> remaining lives'</w:t>
      </w:r>
      <w:r w:rsidR="00405941">
        <w:t xml:space="preserve"> worksheet.</w:t>
      </w:r>
      <w:r w:rsidR="00405941">
        <w:rPr>
          <w:rStyle w:val="FootnoteReference"/>
        </w:rPr>
        <w:footnoteReference w:id="54"/>
      </w:r>
    </w:p>
    <w:p w:rsidR="003A4242" w:rsidRDefault="00086C33" w:rsidP="00086C33">
      <w:r w:rsidRPr="00086C33">
        <w:t>This also includes some updates to the handbook to imp</w:t>
      </w:r>
      <w:r w:rsidR="00C95005">
        <w:t>rove clarity on several issues.</w:t>
      </w:r>
    </w:p>
    <w:p w:rsidR="00890D3E" w:rsidRDefault="00890D3E" w:rsidP="00086C33">
      <w:r>
        <w:t>These changes are similar to those made in the most recent version of the TNSP RFM (version 3).</w:t>
      </w:r>
    </w:p>
    <w:p w:rsidR="00086C33" w:rsidRPr="00086C33" w:rsidRDefault="00C458BB" w:rsidP="00C95005">
      <w:pPr>
        <w:pStyle w:val="Heading1"/>
      </w:pPr>
      <w:bookmarkStart w:id="19" w:name="_Toc468376917"/>
      <w:r>
        <w:t>Other issues</w:t>
      </w:r>
      <w:bookmarkEnd w:id="19"/>
    </w:p>
    <w:p w:rsidR="00086C33" w:rsidRPr="00086C33" w:rsidRDefault="00086C33" w:rsidP="00086C33">
      <w:r w:rsidRPr="00086C33">
        <w:t xml:space="preserve">This section highlights </w:t>
      </w:r>
      <w:r w:rsidR="004B3F23">
        <w:t xml:space="preserve">two </w:t>
      </w:r>
      <w:r w:rsidR="00C16545">
        <w:t>issue</w:t>
      </w:r>
      <w:r w:rsidR="0070583B">
        <w:t>s</w:t>
      </w:r>
      <w:r w:rsidR="00F17893">
        <w:t xml:space="preserve"> </w:t>
      </w:r>
      <w:r w:rsidR="0070583B">
        <w:t xml:space="preserve">arising from our </w:t>
      </w:r>
      <w:r w:rsidR="00FA3091" w:rsidRPr="00016858">
        <w:rPr>
          <w:rStyle w:val="Emphasis"/>
        </w:rPr>
        <w:t>E</w:t>
      </w:r>
      <w:r w:rsidR="0070583B" w:rsidRPr="00016858">
        <w:rPr>
          <w:rStyle w:val="Emphasis"/>
        </w:rPr>
        <w:t>xplanatory statement</w:t>
      </w:r>
      <w:r w:rsidR="0070583B">
        <w:t xml:space="preserve"> and subsequent </w:t>
      </w:r>
      <w:r w:rsidR="00CD456B">
        <w:t xml:space="preserve">stakeholder </w:t>
      </w:r>
      <w:r w:rsidR="0070583B">
        <w:t xml:space="preserve">submissions. </w:t>
      </w:r>
      <w:r w:rsidR="004B3F23">
        <w:t>The first</w:t>
      </w:r>
      <w:r w:rsidR="00F17893">
        <w:t xml:space="preserve"> relate</w:t>
      </w:r>
      <w:r w:rsidR="004B3F23">
        <w:t>s</w:t>
      </w:r>
      <w:r w:rsidR="00F17893">
        <w:t xml:space="preserve"> to the treatment of inflation, and the </w:t>
      </w:r>
      <w:r w:rsidR="004B3F23">
        <w:t xml:space="preserve">second </w:t>
      </w:r>
      <w:r w:rsidR="00F17893">
        <w:t xml:space="preserve">relates to capex excluded from the RAB after an </w:t>
      </w:r>
      <w:r w:rsidR="00F17893" w:rsidRPr="0064063E">
        <w:rPr>
          <w:rStyle w:val="Emphasis"/>
        </w:rPr>
        <w:t>ex post</w:t>
      </w:r>
      <w:r w:rsidR="00F17893">
        <w:t xml:space="preserve"> review. </w:t>
      </w:r>
      <w:r w:rsidR="00CD456B">
        <w:t xml:space="preserve">Below we summarise each issue </w:t>
      </w:r>
      <w:r w:rsidR="0070583B">
        <w:t xml:space="preserve">and </w:t>
      </w:r>
      <w:r w:rsidR="00CD456B">
        <w:t xml:space="preserve">set out the </w:t>
      </w:r>
      <w:r w:rsidR="0070583B">
        <w:t xml:space="preserve">reasons </w:t>
      </w:r>
      <w:r w:rsidR="00FA3091">
        <w:t xml:space="preserve">for why </w:t>
      </w:r>
      <w:r w:rsidR="0070583B">
        <w:t xml:space="preserve">we have not made consequential changes to the RFM </w:t>
      </w:r>
      <w:r w:rsidR="00CD456B">
        <w:t xml:space="preserve">in response to </w:t>
      </w:r>
      <w:r w:rsidR="00664C79">
        <w:t xml:space="preserve">these </w:t>
      </w:r>
      <w:r w:rsidR="00CD456B">
        <w:t>issue</w:t>
      </w:r>
      <w:r w:rsidR="00664C79">
        <w:t>s</w:t>
      </w:r>
      <w:r w:rsidR="0070583B">
        <w:t xml:space="preserve">. </w:t>
      </w:r>
    </w:p>
    <w:p w:rsidR="0070583B" w:rsidRPr="00086C33" w:rsidRDefault="00EE79F1" w:rsidP="0070583B">
      <w:pPr>
        <w:pStyle w:val="Heading2"/>
      </w:pPr>
      <w:bookmarkStart w:id="20" w:name="_Toc468376918"/>
      <w:r>
        <w:t xml:space="preserve">Expected </w:t>
      </w:r>
      <w:r w:rsidR="0070583B">
        <w:t>inflation</w:t>
      </w:r>
      <w:bookmarkEnd w:id="20"/>
      <w:r w:rsidR="0070583B">
        <w:t xml:space="preserve"> </w:t>
      </w:r>
    </w:p>
    <w:p w:rsidR="00C13D26" w:rsidRDefault="00C13D26" w:rsidP="0070583B">
      <w:r>
        <w:t xml:space="preserve">This final decision concerns changes to the RFM, not other components of the regulatory process. In the RFM we </w:t>
      </w:r>
      <w:r w:rsidR="00DC430B">
        <w:t>use</w:t>
      </w:r>
      <w:r w:rsidR="00431421">
        <w:t xml:space="preserve"> </w:t>
      </w:r>
      <w:r>
        <w:t>actual inflation outcomes</w:t>
      </w:r>
      <w:r w:rsidR="00B57D46">
        <w:t xml:space="preserve"> across the entire regulatory control period, </w:t>
      </w:r>
      <w:r w:rsidR="00951645">
        <w:t>instead of</w:t>
      </w:r>
      <w:r w:rsidR="00431421">
        <w:t xml:space="preserve"> the</w:t>
      </w:r>
      <w:r w:rsidR="00951645">
        <w:t xml:space="preserve"> </w:t>
      </w:r>
      <w:r w:rsidR="004E676E">
        <w:t xml:space="preserve">expected </w:t>
      </w:r>
      <w:r w:rsidR="00B57D46">
        <w:t xml:space="preserve">inflation </w:t>
      </w:r>
      <w:r w:rsidR="00431421">
        <w:t xml:space="preserve">that </w:t>
      </w:r>
      <w:r w:rsidR="00951645">
        <w:t xml:space="preserve">was </w:t>
      </w:r>
      <w:r>
        <w:t xml:space="preserve">necessarily </w:t>
      </w:r>
      <w:r w:rsidR="00B57D46">
        <w:t>used in earlier steps</w:t>
      </w:r>
      <w:r>
        <w:t xml:space="preserve">. </w:t>
      </w:r>
      <w:r w:rsidR="00B57D46">
        <w:t xml:space="preserve">There are a number of alternative approaches that might be used when updating for actual inflation. Section </w:t>
      </w:r>
      <w:r w:rsidR="004B3F23">
        <w:t>2.6</w:t>
      </w:r>
      <w:r w:rsidR="00B57D46">
        <w:t xml:space="preserve"> sets out why </w:t>
      </w:r>
      <w:r w:rsidR="00431421">
        <w:t>we have adopted our chosen approach</w:t>
      </w:r>
      <w:r w:rsidR="004B3F23">
        <w:t xml:space="preserve"> to actual inflation</w:t>
      </w:r>
      <w:r w:rsidR="00431421">
        <w:t xml:space="preserve"> in the </w:t>
      </w:r>
      <w:r w:rsidR="00B57D46">
        <w:t xml:space="preserve">final amended RFM. </w:t>
      </w:r>
    </w:p>
    <w:p w:rsidR="00C458BB" w:rsidRDefault="00C13D26" w:rsidP="0070583B">
      <w:r>
        <w:t>Nonetheless, i</w:t>
      </w:r>
      <w:r w:rsidR="009528E9">
        <w:t xml:space="preserve">n our August 2016 </w:t>
      </w:r>
      <w:r w:rsidR="00962E7D" w:rsidRPr="00414639">
        <w:rPr>
          <w:rStyle w:val="Emphasis"/>
        </w:rPr>
        <w:t>E</w:t>
      </w:r>
      <w:r w:rsidR="00C37E42" w:rsidRPr="00414639">
        <w:rPr>
          <w:rStyle w:val="Emphasis"/>
        </w:rPr>
        <w:t>xplanatory statement</w:t>
      </w:r>
      <w:r w:rsidR="009528E9">
        <w:t>, we assessed inflation in the RFM with regard to inflation treatment across other components of the regulatory process</w:t>
      </w:r>
      <w:r w:rsidR="00431421">
        <w:t xml:space="preserve">—specifically, </w:t>
      </w:r>
      <w:r w:rsidR="00B57D46" w:rsidRPr="00B57D46">
        <w:t xml:space="preserve">the PTRM </w:t>
      </w:r>
      <w:r w:rsidR="00431421">
        <w:t>and the annual revenue adjustment</w:t>
      </w:r>
      <w:r w:rsidR="00B57D46" w:rsidRPr="00B57D46">
        <w:t xml:space="preserve"> (sometimes called the annual pricing process)</w:t>
      </w:r>
      <w:r w:rsidR="009528E9">
        <w:t xml:space="preserve">. </w:t>
      </w:r>
      <w:r w:rsidR="00C40297">
        <w:t>T</w:t>
      </w:r>
      <w:r w:rsidR="0058051C">
        <w:t xml:space="preserve">his holistic assessment </w:t>
      </w:r>
      <w:r w:rsidR="00C40297">
        <w:t xml:space="preserve">allowed us to consider the overall revenue impact of differences between </w:t>
      </w:r>
      <w:r w:rsidR="00EE79F1">
        <w:t xml:space="preserve">expected </w:t>
      </w:r>
      <w:r w:rsidR="00C40297">
        <w:t>and actual inflation.</w:t>
      </w:r>
      <w:r w:rsidR="00C40297">
        <w:rPr>
          <w:rStyle w:val="FootnoteReference"/>
        </w:rPr>
        <w:footnoteReference w:id="55"/>
      </w:r>
      <w:r w:rsidR="00C40297">
        <w:t xml:space="preserve"> </w:t>
      </w:r>
      <w:r w:rsidR="0058051C">
        <w:t>In other words, we contemplated what inflation treatment was appropriate in the RFM, taking as fixed the inflation treatment in other components</w:t>
      </w:r>
      <w:r w:rsidR="00C40297">
        <w:t xml:space="preserve"> of the regulatory process</w:t>
      </w:r>
      <w:r w:rsidR="0058051C">
        <w:t xml:space="preserve">. </w:t>
      </w:r>
    </w:p>
    <w:p w:rsidR="00C40297" w:rsidRDefault="00C40297" w:rsidP="0070583B">
      <w:r>
        <w:t>The submissions we received supported this overarching framework for assessing inflation, rather than looking at</w:t>
      </w:r>
      <w:r w:rsidR="00962E7D">
        <w:t xml:space="preserve"> the</w:t>
      </w:r>
      <w:r>
        <w:t xml:space="preserve"> RFM inflation in isolation.</w:t>
      </w:r>
      <w:r>
        <w:rPr>
          <w:rStyle w:val="FootnoteReference"/>
        </w:rPr>
        <w:footnoteReference w:id="56"/>
      </w:r>
      <w:r>
        <w:t xml:space="preserve"> </w:t>
      </w:r>
      <w:r w:rsidR="009C0BAF">
        <w:t xml:space="preserve">They stated that this holistic assessment demonstrated that the AER's treatment of inflation was inappropriate, in that it exposed the service providers to material revenue shortfalls in current </w:t>
      </w:r>
      <w:r w:rsidR="00DC430B">
        <w:t xml:space="preserve">inflation </w:t>
      </w:r>
      <w:r w:rsidR="009C0BAF">
        <w:t>conditions. However, a</w:t>
      </w:r>
      <w:r>
        <w:t xml:space="preserve">ll five submissions </w:t>
      </w:r>
      <w:r w:rsidR="009528E9">
        <w:t xml:space="preserve">focused on the </w:t>
      </w:r>
      <w:r w:rsidR="00ED2DCF">
        <w:t xml:space="preserve">AER's </w:t>
      </w:r>
      <w:r w:rsidR="00EE79F1">
        <w:t xml:space="preserve">expected </w:t>
      </w:r>
      <w:r w:rsidR="009528E9">
        <w:t xml:space="preserve">inflation </w:t>
      </w:r>
      <w:r w:rsidR="009C0BAF">
        <w:t>as</w:t>
      </w:r>
      <w:r>
        <w:t xml:space="preserve"> the </w:t>
      </w:r>
      <w:r w:rsidR="009C0BAF">
        <w:t>principal cause for this revenue shortfall</w:t>
      </w:r>
      <w:r>
        <w:t>.</w:t>
      </w:r>
      <w:r w:rsidR="00951645">
        <w:rPr>
          <w:rStyle w:val="FootnoteReference"/>
        </w:rPr>
        <w:footnoteReference w:id="57"/>
      </w:r>
      <w:r>
        <w:t xml:space="preserve"> For example, </w:t>
      </w:r>
      <w:r w:rsidR="009C0BAF">
        <w:t>t</w:t>
      </w:r>
      <w:r>
        <w:t>he ENA submitted a report by Frontier Econo</w:t>
      </w:r>
      <w:r w:rsidR="009C0BAF">
        <w:t>mics</w:t>
      </w:r>
      <w:r>
        <w:t xml:space="preserve"> which stated:</w:t>
      </w:r>
      <w:r>
        <w:rPr>
          <w:rStyle w:val="FootnoteReference"/>
        </w:rPr>
        <w:footnoteReference w:id="58"/>
      </w:r>
    </w:p>
    <w:p w:rsidR="00C40297" w:rsidRDefault="00C40297" w:rsidP="00C40297">
      <w:pPr>
        <w:pStyle w:val="Quotes"/>
      </w:pPr>
      <w:r w:rsidRPr="00C40297">
        <w:t>Thus, the main issue that we consider in this report is the prospect that the AER’s approach to forecasting expected inflation over the regulatory control period is not the best unbiased forecast commensurate with the prevailing conditions in the market.</w:t>
      </w:r>
    </w:p>
    <w:p w:rsidR="00ED2DCF" w:rsidRDefault="00ED2DCF" w:rsidP="0070583B">
      <w:r>
        <w:t xml:space="preserve">The AER's method for </w:t>
      </w:r>
      <w:r w:rsidR="00EE79F1">
        <w:t>estimating expected</w:t>
      </w:r>
      <w:r>
        <w:t xml:space="preserve"> inflation is specified in the PTRM, not the RFM.</w:t>
      </w:r>
      <w:r w:rsidR="00831466">
        <w:rPr>
          <w:rStyle w:val="FootnoteReference"/>
        </w:rPr>
        <w:footnoteReference w:id="59"/>
      </w:r>
      <w:r>
        <w:t xml:space="preserve"> This was acknowledged </w:t>
      </w:r>
      <w:r w:rsidR="009C0BAF">
        <w:t>submissions</w:t>
      </w:r>
      <w:r w:rsidR="00EA0F85">
        <w:t xml:space="preserve"> by AusNet Services, AGN, ENA and SCP</w:t>
      </w:r>
      <w:r>
        <w:t xml:space="preserve">, who </w:t>
      </w:r>
      <w:r w:rsidR="00831466">
        <w:t>explicitly</w:t>
      </w:r>
      <w:r>
        <w:t xml:space="preserve"> </w:t>
      </w:r>
      <w:r w:rsidR="00076536">
        <w:t xml:space="preserve">noted that changes to </w:t>
      </w:r>
      <w:r w:rsidR="00EE79F1">
        <w:t>the approach for estimating expected</w:t>
      </w:r>
      <w:r w:rsidR="00076536">
        <w:t xml:space="preserve"> inflation might be beyond the scope of this RFM update.</w:t>
      </w:r>
      <w:r w:rsidR="00557369">
        <w:rPr>
          <w:rStyle w:val="FootnoteReference"/>
        </w:rPr>
        <w:footnoteReference w:id="60"/>
      </w:r>
      <w:r>
        <w:t xml:space="preserve"> For example, the ENA stated:</w:t>
      </w:r>
      <w:r w:rsidR="00076536">
        <w:rPr>
          <w:rStyle w:val="FootnoteReference"/>
        </w:rPr>
        <w:footnoteReference w:id="61"/>
      </w:r>
    </w:p>
    <w:p w:rsidR="00076536" w:rsidRDefault="00076536" w:rsidP="00076536">
      <w:pPr>
        <w:pStyle w:val="Quotes"/>
      </w:pPr>
      <w:r>
        <w:t xml:space="preserve">ENA and its members are keen to collaboratively engage with the AER to more fully consider the issues </w:t>
      </w:r>
      <w:proofErr w:type="gramStart"/>
      <w:r>
        <w:t>raised</w:t>
      </w:r>
      <w:proofErr w:type="gramEnd"/>
      <w:r>
        <w:t xml:space="preserve"> in this note beyond the RFM review, and would value further broader discussions with AER and other stakeholders on potential options to address them in future determination processes.</w:t>
      </w:r>
    </w:p>
    <w:p w:rsidR="009C0BAF" w:rsidRDefault="00DF1231" w:rsidP="0070583B">
      <w:r>
        <w:t>T</w:t>
      </w:r>
      <w:r w:rsidR="00076536">
        <w:t xml:space="preserve">he submissions </w:t>
      </w:r>
      <w:r w:rsidR="00557369">
        <w:t xml:space="preserve">we received </w:t>
      </w:r>
      <w:r w:rsidR="009C0BAF">
        <w:t>supported the AER's proposed approach to updating actual inflation in the RFM.</w:t>
      </w:r>
      <w:r w:rsidR="00557369">
        <w:rPr>
          <w:rStyle w:val="FootnoteReference"/>
        </w:rPr>
        <w:footnoteReference w:id="62"/>
      </w:r>
      <w:r w:rsidR="00DC430B">
        <w:t xml:space="preserve"> </w:t>
      </w:r>
      <w:r w:rsidR="00557369">
        <w:t>It appears that these stakeholders would not seek to amend any aspect of the RFM to account for this issue.</w:t>
      </w:r>
      <w:r w:rsidR="00557369">
        <w:rPr>
          <w:rStyle w:val="FootnoteReference"/>
        </w:rPr>
        <w:footnoteReference w:id="63"/>
      </w:r>
      <w:r w:rsidR="009F3E24">
        <w:t xml:space="preserve"> In other words, they agree with the current treatment of inflation in the RFM, but want us to consider changing the </w:t>
      </w:r>
      <w:r w:rsidR="00EE79F1">
        <w:t>expected</w:t>
      </w:r>
      <w:r w:rsidR="00EE7BC5">
        <w:t xml:space="preserve"> </w:t>
      </w:r>
      <w:r w:rsidR="00557369">
        <w:t xml:space="preserve">inflation treatment </w:t>
      </w:r>
      <w:r w:rsidR="009F3E24">
        <w:t xml:space="preserve">in </w:t>
      </w:r>
      <w:r w:rsidR="00557369">
        <w:t>other components of the regulatory process. Hence, we have not made any change to the amended RFM in response to this issue.</w:t>
      </w:r>
    </w:p>
    <w:p w:rsidR="009C0BAF" w:rsidRDefault="00105320" w:rsidP="0070583B">
      <w:r w:rsidRPr="00105320">
        <w:t xml:space="preserve">Evaluating the method for </w:t>
      </w:r>
      <w:r w:rsidR="00EE79F1">
        <w:t>estimating expected</w:t>
      </w:r>
      <w:r w:rsidRPr="00105320">
        <w:t xml:space="preserve"> inflation as an input to the PTRM is out of scope for this RFM </w:t>
      </w:r>
      <w:r w:rsidR="00EE79F1">
        <w:t>amendment</w:t>
      </w:r>
      <w:r w:rsidRPr="00105320">
        <w:t xml:space="preserve">. The method for </w:t>
      </w:r>
      <w:r w:rsidR="00EE79F1">
        <w:t>estimating expected</w:t>
      </w:r>
      <w:r w:rsidRPr="00105320">
        <w:t xml:space="preserve"> inflation would necessarily fall within the scope of a </w:t>
      </w:r>
      <w:r>
        <w:t xml:space="preserve">PTRM review </w:t>
      </w:r>
      <w:r w:rsidRPr="00105320">
        <w:t xml:space="preserve">undertaken </w:t>
      </w:r>
      <w:r w:rsidR="00174DBF">
        <w:t>in accordance</w:t>
      </w:r>
      <w:r w:rsidRPr="00105320">
        <w:t xml:space="preserve"> with the relevant rules.</w:t>
      </w:r>
      <w:r>
        <w:rPr>
          <w:rStyle w:val="FootnoteReference"/>
        </w:rPr>
        <w:footnoteReference w:id="64"/>
      </w:r>
      <w:r w:rsidRPr="00105320">
        <w:t xml:space="preserve"> We have noted the submissions on </w:t>
      </w:r>
      <w:r w:rsidR="00EE79F1">
        <w:t>expected</w:t>
      </w:r>
      <w:r w:rsidRPr="00105320">
        <w:t xml:space="preserve"> inflation received in this process and will engage with stakeholders on this issue in a separate consultation process.</w:t>
      </w:r>
      <w:r>
        <w:t xml:space="preserve"> </w:t>
      </w:r>
    </w:p>
    <w:p w:rsidR="00F17893" w:rsidRPr="00086C33" w:rsidRDefault="004D6BCD" w:rsidP="00F17893">
      <w:pPr>
        <w:pStyle w:val="Heading2"/>
      </w:pPr>
      <w:bookmarkStart w:id="21" w:name="_Toc468376919"/>
      <w:r>
        <w:t>Exclusion of inefficient capex</w:t>
      </w:r>
      <w:bookmarkEnd w:id="21"/>
      <w:r w:rsidR="00F17893">
        <w:t xml:space="preserve"> </w:t>
      </w:r>
    </w:p>
    <w:p w:rsidR="00F17893" w:rsidRDefault="00CD2DEF" w:rsidP="00F17893">
      <w:r>
        <w:t>We assess the prudenc</w:t>
      </w:r>
      <w:r w:rsidR="0064063E">
        <w:t>y</w:t>
      </w:r>
      <w:r>
        <w:t xml:space="preserve"> and efficiency of past </w:t>
      </w:r>
      <w:r w:rsidR="00414639">
        <w:t>capex</w:t>
      </w:r>
      <w:r>
        <w:t xml:space="preserve"> at each distribution determination.</w:t>
      </w:r>
      <w:r w:rsidR="004D6BCD">
        <w:rPr>
          <w:rStyle w:val="FootnoteReference"/>
        </w:rPr>
        <w:footnoteReference w:id="65"/>
      </w:r>
      <w:r>
        <w:t xml:space="preserve"> If past capex was not prudent and efficient, we may exclude it from being added to the RAB.</w:t>
      </w:r>
      <w:r>
        <w:rPr>
          <w:rStyle w:val="FootnoteReference"/>
        </w:rPr>
        <w:footnoteReference w:id="66"/>
      </w:r>
      <w:r>
        <w:t xml:space="preserve"> </w:t>
      </w:r>
      <w:r w:rsidR="00F17893">
        <w:t>The JEN submission n</w:t>
      </w:r>
      <w:r w:rsidR="005F0F6D">
        <w:t xml:space="preserve">oted that there was no </w:t>
      </w:r>
      <w:r>
        <w:t>separate</w:t>
      </w:r>
      <w:r w:rsidR="005F0F6D">
        <w:t xml:space="preserve"> section in </w:t>
      </w:r>
      <w:r w:rsidR="00414639">
        <w:t xml:space="preserve">the </w:t>
      </w:r>
      <w:r w:rsidR="005F0F6D">
        <w:t xml:space="preserve">proposed amended RFM to deal </w:t>
      </w:r>
      <w:r>
        <w:t>with the exclusion of this capex</w:t>
      </w:r>
      <w:r w:rsidR="005F0F6D">
        <w:t>.</w:t>
      </w:r>
      <w:r w:rsidR="004D6BCD">
        <w:rPr>
          <w:rStyle w:val="FootnoteReference"/>
        </w:rPr>
        <w:footnoteReference w:id="67"/>
      </w:r>
    </w:p>
    <w:p w:rsidR="00F17893" w:rsidRDefault="00F17893" w:rsidP="0070583B">
      <w:r>
        <w:t xml:space="preserve">We </w:t>
      </w:r>
      <w:r w:rsidR="00CD2DEF">
        <w:t xml:space="preserve">consider that the available inputs </w:t>
      </w:r>
      <w:r w:rsidR="00FF7183">
        <w:t xml:space="preserve">in the RFM </w:t>
      </w:r>
      <w:r w:rsidR="00CD2DEF">
        <w:t>will be appropriate</w:t>
      </w:r>
      <w:r w:rsidR="00FF7183">
        <w:t xml:space="preserve"> to handle the exclusion of past capex, if this occurs for a particular DNSP</w:t>
      </w:r>
      <w:r w:rsidR="00CD2DEF">
        <w:t xml:space="preserve">. </w:t>
      </w:r>
      <w:r w:rsidR="00FF7183">
        <w:t xml:space="preserve">The excluded capex would result in changes to the input values on the </w:t>
      </w:r>
      <w:r w:rsidR="004E22E6">
        <w:t>'</w:t>
      </w:r>
      <w:r w:rsidR="00FF7183" w:rsidRPr="00414639">
        <w:rPr>
          <w:rStyle w:val="Emphasis"/>
        </w:rPr>
        <w:t>RFM input</w:t>
      </w:r>
      <w:r w:rsidR="004E22E6">
        <w:rPr>
          <w:rStyle w:val="Emphasis"/>
        </w:rPr>
        <w:t>'</w:t>
      </w:r>
      <w:r w:rsidR="00FF7183">
        <w:t xml:space="preserve"> </w:t>
      </w:r>
      <w:r w:rsidR="004E22E6">
        <w:t>work</w:t>
      </w:r>
      <w:r w:rsidR="00FF7183">
        <w:t xml:space="preserve">sheet, either </w:t>
      </w:r>
      <w:r w:rsidR="00AA09C0">
        <w:t>to</w:t>
      </w:r>
      <w:r w:rsidR="00FF7183">
        <w:t xml:space="preserve"> opening RAB values or the yearly capex </w:t>
      </w:r>
      <w:r w:rsidR="004E22E6">
        <w:t>values</w:t>
      </w:r>
      <w:r w:rsidR="00FF7183">
        <w:t>.</w:t>
      </w:r>
      <w:r w:rsidR="00FF7183">
        <w:rPr>
          <w:rStyle w:val="FootnoteReference"/>
        </w:rPr>
        <w:footnoteReference w:id="68"/>
      </w:r>
      <w:r w:rsidR="00FF7183">
        <w:t xml:space="preserve"> </w:t>
      </w:r>
      <w:r w:rsidR="00AA09C0">
        <w:t xml:space="preserve">We consider that adding a dedicated section to separately deal with excluded capex would entail additional complexity without corresponding gain in utility. </w:t>
      </w:r>
      <w:r w:rsidR="00414639">
        <w:t>We note that our decision document setting out our capex assessment will provide a transparent calculation of any excluded capex amounts, separate from the RFM itself.</w:t>
      </w:r>
      <w:r w:rsidR="00AA09C0">
        <w:t xml:space="preserve"> </w:t>
      </w:r>
      <w:r w:rsidR="004D6BCD">
        <w:t xml:space="preserve">Accordingly, no modifications have been made for this issue </w:t>
      </w:r>
      <w:r w:rsidR="00AA09C0">
        <w:t>in the final amended RFM.</w:t>
      </w:r>
    </w:p>
    <w:p w:rsidR="00086C33" w:rsidRPr="00086C33" w:rsidRDefault="00086C33" w:rsidP="00C95005">
      <w:pPr>
        <w:pStyle w:val="Heading1notnumber"/>
      </w:pPr>
      <w:bookmarkStart w:id="22" w:name="_Toc468376920"/>
      <w:r w:rsidRPr="00086C33">
        <w:t>Appendices</w:t>
      </w:r>
      <w:bookmarkEnd w:id="22"/>
    </w:p>
    <w:p w:rsidR="00086C33" w:rsidRPr="00086C33" w:rsidRDefault="00086C33" w:rsidP="00086C33">
      <w:r w:rsidRPr="00086C33">
        <w:t xml:space="preserve">The appendices include the </w:t>
      </w:r>
      <w:r w:rsidR="0022554A">
        <w:t>final amended</w:t>
      </w:r>
      <w:r w:rsidRPr="00086C33">
        <w:t xml:space="preserve"> model </w:t>
      </w:r>
      <w:r w:rsidR="0022554A">
        <w:t xml:space="preserve">(appendix A) </w:t>
      </w:r>
      <w:r w:rsidRPr="00086C33">
        <w:t>and handbook</w:t>
      </w:r>
      <w:r w:rsidR="0022554A">
        <w:t xml:space="preserve"> (appendix B)</w:t>
      </w:r>
      <w:r w:rsidRPr="00086C33">
        <w:t xml:space="preserve">. </w:t>
      </w:r>
      <w:r w:rsidR="0022554A">
        <w:t xml:space="preserve">There is a high level summary of changes for version 2 in the </w:t>
      </w:r>
      <w:r w:rsidR="0022554A" w:rsidRPr="00076536">
        <w:rPr>
          <w:rStyle w:val="Emphasis"/>
        </w:rPr>
        <w:t>'Intro'</w:t>
      </w:r>
      <w:r w:rsidR="0022554A">
        <w:t xml:space="preserve"> worksheet of the RFM</w:t>
      </w:r>
      <w:r w:rsidR="00B842C5">
        <w:t xml:space="preserve"> and</w:t>
      </w:r>
      <w:r w:rsidR="0022554A">
        <w:t xml:space="preserve"> a detailed </w:t>
      </w:r>
      <w:r w:rsidR="00B842C5">
        <w:t xml:space="preserve">list of </w:t>
      </w:r>
      <w:r w:rsidR="0022554A">
        <w:t>change</w:t>
      </w:r>
      <w:r w:rsidR="00B842C5">
        <w:t>s</w:t>
      </w:r>
      <w:r w:rsidR="0022554A">
        <w:t xml:space="preserve"> (appendix C).  </w:t>
      </w:r>
    </w:p>
    <w:p w:rsidR="00086C33" w:rsidRPr="00086C33" w:rsidRDefault="00086C33" w:rsidP="00C95005">
      <w:pPr>
        <w:pStyle w:val="Heading2notnumbered"/>
      </w:pPr>
      <w:bookmarkStart w:id="23" w:name="_Toc468376921"/>
      <w:r w:rsidRPr="00086C33">
        <w:t xml:space="preserve">Appendix A: Roll forward model </w:t>
      </w:r>
      <w:r w:rsidR="0022554A">
        <w:t xml:space="preserve">version 2 </w:t>
      </w:r>
      <w:r w:rsidRPr="00086C33">
        <w:t>(</w:t>
      </w:r>
      <w:r w:rsidR="00083857">
        <w:t>distribution</w:t>
      </w:r>
      <w:r w:rsidRPr="00086C33">
        <w:t>)</w:t>
      </w:r>
      <w:bookmarkEnd w:id="23"/>
    </w:p>
    <w:p w:rsidR="00086C33" w:rsidRDefault="00086C33" w:rsidP="00C95005">
      <w:pPr>
        <w:pStyle w:val="Heading2notnumbered"/>
      </w:pPr>
      <w:bookmarkStart w:id="24" w:name="_Toc468376922"/>
      <w:r w:rsidRPr="00086C33">
        <w:t>Appendix B: Roll forward model handbook (</w:t>
      </w:r>
      <w:r w:rsidR="00083857">
        <w:t>distribution</w:t>
      </w:r>
      <w:r w:rsidRPr="00086C33">
        <w:t>)</w:t>
      </w:r>
      <w:bookmarkEnd w:id="24"/>
    </w:p>
    <w:p w:rsidR="0022554A" w:rsidRDefault="0022554A" w:rsidP="00C95005">
      <w:pPr>
        <w:pStyle w:val="Heading2notnumbered"/>
      </w:pPr>
      <w:bookmarkStart w:id="25" w:name="_Toc468376923"/>
      <w:r>
        <w:t>Appendix C: List of changes from previous version of RFM</w:t>
      </w:r>
      <w:bookmarkEnd w:id="25"/>
    </w:p>
    <w:p w:rsidR="00022082" w:rsidRPr="00086C33" w:rsidRDefault="00022082" w:rsidP="00C95005">
      <w:pPr>
        <w:pStyle w:val="Heading2notnumbered"/>
      </w:pPr>
    </w:p>
    <w:sectPr w:rsidR="00022082" w:rsidRPr="00086C33" w:rsidSect="00E137FB">
      <w:footerReference w:type="even" r:id="rId13"/>
      <w:footerReference w:type="default" r:id="rId14"/>
      <w:footerReference w:type="first" r:id="rId15"/>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808" w:rsidRDefault="00815808" w:rsidP="004B4412">
      <w:pPr>
        <w:spacing w:before="0"/>
      </w:pPr>
      <w:r>
        <w:separator/>
      </w:r>
    </w:p>
    <w:p w:rsidR="00815808" w:rsidRDefault="00815808"/>
    <w:p w:rsidR="00815808" w:rsidRDefault="00815808"/>
  </w:endnote>
  <w:endnote w:type="continuationSeparator" w:id="0">
    <w:p w:rsidR="00815808" w:rsidRDefault="00815808" w:rsidP="004B4412">
      <w:pPr>
        <w:spacing w:before="0"/>
      </w:pPr>
      <w:r>
        <w:continuationSeparator/>
      </w:r>
    </w:p>
    <w:p w:rsidR="00815808" w:rsidRDefault="00815808"/>
    <w:p w:rsidR="00815808" w:rsidRDefault="008158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808" w:rsidRPr="007A4D1F" w:rsidRDefault="00815808" w:rsidP="00456543">
    <w:pPr>
      <w:pStyle w:val="Footer"/>
      <w:rPr>
        <w:rFonts w:eastAsia="Arial" w:cs="Times New Roman"/>
      </w:rPr>
    </w:pPr>
    <w:r>
      <w:t xml:space="preserve">Proposed amendments to the electricity distribution </w:t>
    </w:r>
    <w:r w:rsidRPr="00456543">
      <w:t>network service providers roll forward model |</w:t>
    </w:r>
    <w:r>
      <w:br/>
      <w:t xml:space="preserve">Explanatory statement </w:t>
    </w:r>
    <w:r>
      <w:tab/>
    </w:r>
    <w:r>
      <w:tab/>
    </w:r>
    <w:r w:rsidRPr="007A4D1F">
      <w:rPr>
        <w:rFonts w:eastAsia="Arial" w:cs="Times New Roman"/>
      </w:rPr>
      <w:fldChar w:fldCharType="begin"/>
    </w:r>
    <w:r w:rsidRPr="007A4D1F">
      <w:rPr>
        <w:rFonts w:eastAsia="Arial" w:cs="Times New Roman"/>
      </w:rPr>
      <w:instrText xml:space="preserve"> PAGE   \* MERGEFORMAT </w:instrText>
    </w:r>
    <w:r w:rsidRPr="007A4D1F">
      <w:rPr>
        <w:rFonts w:eastAsia="Arial" w:cs="Times New Roman"/>
      </w:rPr>
      <w:fldChar w:fldCharType="separate"/>
    </w:r>
    <w:r w:rsidR="00B8515B">
      <w:rPr>
        <w:rFonts w:eastAsia="Arial" w:cs="Times New Roman"/>
        <w:noProof/>
      </w:rPr>
      <w:t>iv</w:t>
    </w:r>
    <w:r w:rsidRPr="007A4D1F">
      <w:rPr>
        <w:rFonts w:eastAsia="Arial" w:cs="Times New Roman"/>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808" w:rsidRPr="00A91A9E" w:rsidRDefault="00815808" w:rsidP="00C95005">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815808" w:rsidRDefault="00815808"/>
  <w:p w:rsidR="00815808" w:rsidRDefault="0081580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808" w:rsidRDefault="00815808" w:rsidP="00CC7F1D">
    <w:pPr>
      <w:pStyle w:val="Footer"/>
      <w:tabs>
        <w:tab w:val="clear" w:pos="9026"/>
        <w:tab w:val="right" w:pos="8505"/>
      </w:tabs>
    </w:pPr>
    <w:r>
      <w:t xml:space="preserve">Amendments to the electricity distribution network service providers roll forward model | </w:t>
    </w:r>
    <w:r>
      <w:br/>
      <w:t>Final decision</w:t>
    </w:r>
    <w:r>
      <w:tab/>
    </w:r>
    <w:r>
      <w:tab/>
    </w:r>
    <w:r>
      <w:fldChar w:fldCharType="begin"/>
    </w:r>
    <w:r>
      <w:instrText xml:space="preserve"> PAGE   \* MERGEFORMAT </w:instrText>
    </w:r>
    <w:r>
      <w:fldChar w:fldCharType="separate"/>
    </w:r>
    <w:r w:rsidR="00B8515B">
      <w:rPr>
        <w:noProof/>
      </w:rPr>
      <w:t>2</w:t>
    </w:r>
    <w:r>
      <w:rPr>
        <w:noProof/>
      </w:rPr>
      <w:fldChar w:fldCharType="end"/>
    </w:r>
  </w:p>
  <w:p w:rsidR="00815808" w:rsidRDefault="00815808"/>
  <w:p w:rsidR="00815808" w:rsidRDefault="0081580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808" w:rsidRDefault="00815808" w:rsidP="00CC7F1D">
    <w:pPr>
      <w:pStyle w:val="Footer"/>
      <w:tabs>
        <w:tab w:val="clear" w:pos="9026"/>
        <w:tab w:val="right" w:pos="8505"/>
      </w:tabs>
    </w:pPr>
    <w:r>
      <w:t>Proposed amendments to the electricity distribution</w:t>
    </w:r>
    <w:r w:rsidRPr="00456543">
      <w:t xml:space="preserve"> network service providers roll forward model |</w:t>
    </w:r>
    <w:r>
      <w:br/>
      <w:t xml:space="preserve">Explanatory statement </w:t>
    </w:r>
    <w:r>
      <w:tab/>
    </w:r>
    <w:r>
      <w:tab/>
    </w:r>
    <w:r>
      <w:tab/>
    </w:r>
    <w:r>
      <w:fldChar w:fldCharType="begin"/>
    </w:r>
    <w:r>
      <w:instrText xml:space="preserve"> PAGE   \* MERGEFORMAT </w:instrText>
    </w:r>
    <w:r>
      <w:fldChar w:fldCharType="separate"/>
    </w:r>
    <w:r w:rsidR="00B8515B">
      <w:rPr>
        <w:noProof/>
      </w:rPr>
      <w:t>1</w:t>
    </w:r>
    <w:r>
      <w:fldChar w:fldCharType="end"/>
    </w:r>
  </w:p>
  <w:p w:rsidR="00815808" w:rsidRDefault="00815808">
    <w:pPr>
      <w:pStyle w:val="Footer"/>
    </w:pPr>
  </w:p>
  <w:p w:rsidR="00815808" w:rsidRDefault="008158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808" w:rsidRDefault="00815808" w:rsidP="00182906">
      <w:pPr>
        <w:spacing w:before="0"/>
      </w:pPr>
      <w:r>
        <w:separator/>
      </w:r>
    </w:p>
  </w:footnote>
  <w:footnote w:type="continuationSeparator" w:id="0">
    <w:p w:rsidR="00815808" w:rsidRDefault="00815808" w:rsidP="00182906">
      <w:pPr>
        <w:spacing w:before="0"/>
      </w:pPr>
      <w:r>
        <w:continuationSeparator/>
      </w:r>
    </w:p>
  </w:footnote>
  <w:footnote w:type="continuationNotice" w:id="1">
    <w:p w:rsidR="00815808" w:rsidRDefault="00815808">
      <w:pPr>
        <w:spacing w:before="0" w:line="240" w:lineRule="auto"/>
      </w:pPr>
    </w:p>
  </w:footnote>
  <w:footnote w:id="2">
    <w:p w:rsidR="00815808" w:rsidRDefault="00815808">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xml:space="preserve"> 6.4.1</w:t>
      </w:r>
      <w:proofErr w:type="gramStart"/>
      <w:r>
        <w:t>,  6.4.3</w:t>
      </w:r>
      <w:proofErr w:type="gramEnd"/>
      <w:r>
        <w:t>..</w:t>
      </w:r>
    </w:p>
  </w:footnote>
  <w:footnote w:id="3">
    <w:p w:rsidR="00815808" w:rsidRDefault="00815808">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6.4.3(</w:t>
      </w:r>
      <w:proofErr w:type="gramStart"/>
      <w:r>
        <w:t>a</w:t>
      </w:r>
      <w:proofErr w:type="gramEnd"/>
      <w:r>
        <w:t>)(1), 6.5.1(a).</w:t>
      </w:r>
    </w:p>
  </w:footnote>
  <w:footnote w:id="4">
    <w:p w:rsidR="00815808" w:rsidRDefault="00815808">
      <w:pPr>
        <w:pStyle w:val="FootnoteText"/>
      </w:pPr>
      <w:r>
        <w:rPr>
          <w:rStyle w:val="FootnoteReference"/>
        </w:rPr>
        <w:footnoteRef/>
      </w:r>
      <w:r>
        <w:t xml:space="preserve"> </w:t>
      </w:r>
      <w:r>
        <w:tab/>
      </w:r>
      <w:proofErr w:type="gramStart"/>
      <w:r>
        <w:t>NER, cl. 6</w:t>
      </w:r>
      <w:r w:rsidRPr="00086C33">
        <w:t>.</w:t>
      </w:r>
      <w:r>
        <w:t>5</w:t>
      </w:r>
      <w:r w:rsidRPr="00086C33">
        <w:t>.1(b).</w:t>
      </w:r>
      <w:proofErr w:type="gramEnd"/>
    </w:p>
  </w:footnote>
  <w:footnote w:id="5">
    <w:p w:rsidR="00815808" w:rsidRDefault="00815808" w:rsidP="00101AB5">
      <w:pPr>
        <w:pStyle w:val="FootnoteText"/>
      </w:pPr>
      <w:r>
        <w:rPr>
          <w:rStyle w:val="FootnoteReference"/>
        </w:rPr>
        <w:footnoteRef/>
      </w:r>
      <w:r>
        <w:t xml:space="preserve"> </w:t>
      </w:r>
      <w:r>
        <w:tab/>
      </w:r>
      <w:proofErr w:type="gramStart"/>
      <w:r>
        <w:t xml:space="preserve">AER, </w:t>
      </w:r>
      <w:r w:rsidRPr="00E26688">
        <w:rPr>
          <w:rStyle w:val="Emphasis"/>
        </w:rPr>
        <w:t>Final decision, Electricity distribution network service providers, Roll forward model</w:t>
      </w:r>
      <w:r>
        <w:t xml:space="preserve">, 26 June 2008; available at </w:t>
      </w:r>
      <w:hyperlink r:id="rId1" w:history="1">
        <w:r w:rsidRPr="00DC30A5">
          <w:rPr>
            <w:rStyle w:val="Hyperlink"/>
            <w:sz w:val="16"/>
          </w:rPr>
          <w:t>http://www.aer.gov.au/networks-pipelines/guidelines-schemes-models-reviews/roll-forward-model-2008</w:t>
        </w:r>
      </w:hyperlink>
      <w:r>
        <w:t>.</w:t>
      </w:r>
      <w:proofErr w:type="gramEnd"/>
    </w:p>
  </w:footnote>
  <w:footnote w:id="6">
    <w:p w:rsidR="00815808" w:rsidRDefault="00815808" w:rsidP="00101AB5">
      <w:pPr>
        <w:pStyle w:val="FootnoteText"/>
      </w:pPr>
      <w:r>
        <w:rPr>
          <w:rStyle w:val="FootnoteReference"/>
        </w:rPr>
        <w:footnoteRef/>
      </w:r>
      <w:r>
        <w:t xml:space="preserve"> </w:t>
      </w:r>
      <w:r>
        <w:tab/>
      </w:r>
      <w:proofErr w:type="gramStart"/>
      <w:r>
        <w:t>NER, cl. 6.5.1(c).</w:t>
      </w:r>
      <w:proofErr w:type="gramEnd"/>
    </w:p>
  </w:footnote>
  <w:footnote w:id="7">
    <w:p w:rsidR="00815808" w:rsidRDefault="00815808">
      <w:pPr>
        <w:pStyle w:val="FootnoteText"/>
      </w:pPr>
      <w:r>
        <w:rPr>
          <w:rStyle w:val="FootnoteReference"/>
        </w:rPr>
        <w:footnoteRef/>
      </w:r>
      <w:r>
        <w:t xml:space="preserve"> </w:t>
      </w:r>
      <w:r>
        <w:tab/>
      </w:r>
      <w:proofErr w:type="gramStart"/>
      <w:r>
        <w:t xml:space="preserve">Available at </w:t>
      </w:r>
      <w:hyperlink r:id="rId2" w:history="1">
        <w:r w:rsidRPr="002663FF">
          <w:rPr>
            <w:rStyle w:val="Hyperlink"/>
            <w:sz w:val="16"/>
          </w:rPr>
          <w:t>http://www.aer.gov.au/networks-pipelines/guidelines-schemes-models-reviews/roll-forward-model-distribution-2016-proposed-amendments/initiation</w:t>
        </w:r>
      </w:hyperlink>
      <w:r>
        <w:t>.</w:t>
      </w:r>
      <w:proofErr w:type="gramEnd"/>
    </w:p>
  </w:footnote>
  <w:footnote w:id="8">
    <w:p w:rsidR="00815808" w:rsidRDefault="00815808">
      <w:pPr>
        <w:pStyle w:val="FootnoteText"/>
      </w:pPr>
      <w:r>
        <w:rPr>
          <w:rStyle w:val="FootnoteReference"/>
        </w:rPr>
        <w:footnoteRef/>
      </w:r>
      <w:r>
        <w:t xml:space="preserve"> </w:t>
      </w:r>
      <w:r>
        <w:tab/>
        <w:t xml:space="preserve">NER, </w:t>
      </w:r>
      <w:proofErr w:type="gramStart"/>
      <w:r>
        <w:t>cl.6.4.1(</w:t>
      </w:r>
      <w:proofErr w:type="gramEnd"/>
      <w:r>
        <w:t>b)</w:t>
      </w:r>
      <w:r w:rsidR="00AA4EA7">
        <w:t>.</w:t>
      </w:r>
    </w:p>
  </w:footnote>
  <w:footnote w:id="9">
    <w:p w:rsidR="00815808" w:rsidRDefault="00815808">
      <w:pPr>
        <w:pStyle w:val="FootnoteText"/>
      </w:pPr>
      <w:r>
        <w:rPr>
          <w:rStyle w:val="FootnoteReference"/>
        </w:rPr>
        <w:footnoteRef/>
      </w:r>
      <w:r>
        <w:t xml:space="preserve"> </w:t>
      </w:r>
      <w:r>
        <w:tab/>
      </w:r>
      <w:proofErr w:type="gramStart"/>
      <w:r>
        <w:t>NER, cl. 6.5.1(e).</w:t>
      </w:r>
      <w:proofErr w:type="gramEnd"/>
    </w:p>
  </w:footnote>
  <w:footnote w:id="10">
    <w:p w:rsidR="00815808" w:rsidRDefault="00815808">
      <w:pPr>
        <w:pStyle w:val="FootnoteText"/>
      </w:pPr>
      <w:r>
        <w:rPr>
          <w:rStyle w:val="FootnoteReference"/>
        </w:rPr>
        <w:footnoteRef/>
      </w:r>
      <w:r>
        <w:t xml:space="preserve"> </w:t>
      </w:r>
      <w:r>
        <w:tab/>
      </w:r>
      <w:proofErr w:type="gramStart"/>
      <w:r>
        <w:t>NER, cl. S6.2.</w:t>
      </w:r>
      <w:proofErr w:type="gramEnd"/>
    </w:p>
  </w:footnote>
  <w:footnote w:id="11">
    <w:p w:rsidR="00815808" w:rsidRDefault="00815808">
      <w:pPr>
        <w:pStyle w:val="FootnoteText"/>
      </w:pPr>
      <w:r>
        <w:rPr>
          <w:rStyle w:val="FootnoteReference"/>
        </w:rPr>
        <w:footnoteRef/>
      </w:r>
      <w:r>
        <w:t xml:space="preserve"> </w:t>
      </w:r>
      <w:r>
        <w:tab/>
      </w:r>
      <w:proofErr w:type="gramStart"/>
      <w:r>
        <w:t>NER, cl. 6.16(b).</w:t>
      </w:r>
      <w:proofErr w:type="gramEnd"/>
    </w:p>
  </w:footnote>
  <w:footnote w:id="12">
    <w:p w:rsidR="00815808" w:rsidRDefault="00815808" w:rsidP="00C35E2B">
      <w:pPr>
        <w:pStyle w:val="FootnoteText"/>
      </w:pPr>
      <w:r>
        <w:rPr>
          <w:rStyle w:val="FootnoteReference"/>
        </w:rPr>
        <w:footnoteRef/>
      </w:r>
      <w:r>
        <w:t xml:space="preserve"> </w:t>
      </w:r>
      <w:r>
        <w:tab/>
        <w:t xml:space="preserve">AER, </w:t>
      </w:r>
      <w:r w:rsidRPr="001D2836">
        <w:rPr>
          <w:rStyle w:val="Emphasis"/>
        </w:rPr>
        <w:t>Explanatory statement, Proposed amendment</w:t>
      </w:r>
      <w:r w:rsidR="00696355">
        <w:rPr>
          <w:rStyle w:val="Emphasis"/>
        </w:rPr>
        <w:t>:</w:t>
      </w:r>
      <w:r w:rsidRPr="001D2836">
        <w:rPr>
          <w:rStyle w:val="Emphasis"/>
        </w:rPr>
        <w:t xml:space="preserve"> Electricity distribution network services providers</w:t>
      </w:r>
      <w:r w:rsidR="00696355">
        <w:rPr>
          <w:rStyle w:val="Emphasis"/>
        </w:rPr>
        <w:t>, R</w:t>
      </w:r>
      <w:r w:rsidRPr="001D2836">
        <w:rPr>
          <w:rStyle w:val="Emphasis"/>
        </w:rPr>
        <w:t>oll forward model (version 2)</w:t>
      </w:r>
      <w:r>
        <w:t>, 31 August 2016.</w:t>
      </w:r>
    </w:p>
  </w:footnote>
  <w:footnote w:id="13">
    <w:p w:rsidR="00815808" w:rsidRDefault="00815808">
      <w:pPr>
        <w:pStyle w:val="FootnoteText"/>
      </w:pPr>
      <w:r>
        <w:rPr>
          <w:rStyle w:val="FootnoteReference"/>
        </w:rPr>
        <w:footnoteRef/>
      </w:r>
      <w:r>
        <w:t xml:space="preserve"> </w:t>
      </w:r>
      <w:r>
        <w:tab/>
        <w:t>This was a submission period of 30 business days. See NER, cl. 6.16(c).</w:t>
      </w:r>
    </w:p>
  </w:footnote>
  <w:footnote w:id="14">
    <w:p w:rsidR="00815808" w:rsidRDefault="00815808">
      <w:pPr>
        <w:pStyle w:val="FootnoteText"/>
      </w:pPr>
      <w:r>
        <w:rPr>
          <w:rStyle w:val="FootnoteReference"/>
        </w:rPr>
        <w:footnoteRef/>
      </w:r>
      <w:r>
        <w:t xml:space="preserve"> </w:t>
      </w:r>
      <w:r>
        <w:tab/>
        <w:t xml:space="preserve">AusNet Services, </w:t>
      </w:r>
      <w:r w:rsidRPr="00815A79">
        <w:rPr>
          <w:rStyle w:val="Emphasis"/>
        </w:rPr>
        <w:t>Letter re: Proposed amendments to the electricity distribution roll forward model (RFM)</w:t>
      </w:r>
      <w:r>
        <w:t>, 13 October 2016.</w:t>
      </w:r>
    </w:p>
  </w:footnote>
  <w:footnote w:id="15">
    <w:p w:rsidR="00815808" w:rsidRDefault="00815808">
      <w:pPr>
        <w:pStyle w:val="FootnoteText"/>
      </w:pPr>
      <w:r>
        <w:rPr>
          <w:rStyle w:val="FootnoteReference"/>
        </w:rPr>
        <w:footnoteRef/>
      </w:r>
      <w:r>
        <w:t xml:space="preserve"> </w:t>
      </w:r>
      <w:r>
        <w:tab/>
        <w:t xml:space="preserve">Australian Gas Networks, </w:t>
      </w:r>
      <w:r w:rsidRPr="00815A79">
        <w:rPr>
          <w:rStyle w:val="Emphasis"/>
        </w:rPr>
        <w:t>Untitled letter</w:t>
      </w:r>
      <w:r>
        <w:t xml:space="preserve">, 13 October 2016. </w:t>
      </w:r>
    </w:p>
  </w:footnote>
  <w:footnote w:id="16">
    <w:p w:rsidR="00815808" w:rsidRDefault="00815808">
      <w:pPr>
        <w:pStyle w:val="FootnoteText"/>
      </w:pPr>
      <w:r>
        <w:rPr>
          <w:rStyle w:val="FootnoteReference"/>
        </w:rPr>
        <w:footnoteRef/>
      </w:r>
      <w:r>
        <w:t xml:space="preserve"> </w:t>
      </w:r>
      <w:r>
        <w:tab/>
        <w:t xml:space="preserve">Jemena Electricity Networks, </w:t>
      </w:r>
      <w:r w:rsidRPr="002A4A7C">
        <w:rPr>
          <w:rStyle w:val="Emphasis"/>
        </w:rPr>
        <w:t>Letter re: Response to proposed amendments to the distribution roll forward model</w:t>
      </w:r>
      <w:r>
        <w:t xml:space="preserve">, 13 October 2016. </w:t>
      </w:r>
    </w:p>
  </w:footnote>
  <w:footnote w:id="17">
    <w:p w:rsidR="00815808" w:rsidRDefault="00815808">
      <w:pPr>
        <w:pStyle w:val="FootnoteText"/>
      </w:pPr>
      <w:r>
        <w:rPr>
          <w:rStyle w:val="FootnoteReference"/>
        </w:rPr>
        <w:footnoteRef/>
      </w:r>
      <w:r>
        <w:t xml:space="preserve"> </w:t>
      </w:r>
      <w:r>
        <w:tab/>
        <w:t xml:space="preserve">SA Power Networks/CitiPower/Powercor, </w:t>
      </w:r>
      <w:r w:rsidRPr="00951645">
        <w:rPr>
          <w:rStyle w:val="Emphasis"/>
        </w:rPr>
        <w:t>Letter re: Proposed amendment to the roll forward model</w:t>
      </w:r>
      <w:r>
        <w:t>, 13 October 2016.</w:t>
      </w:r>
    </w:p>
  </w:footnote>
  <w:footnote w:id="18">
    <w:p w:rsidR="00815808" w:rsidRDefault="00815808">
      <w:pPr>
        <w:pStyle w:val="FootnoteText"/>
      </w:pPr>
      <w:r>
        <w:rPr>
          <w:rStyle w:val="FootnoteReference"/>
        </w:rPr>
        <w:footnoteRef/>
      </w:r>
      <w:r>
        <w:t xml:space="preserve"> </w:t>
      </w:r>
      <w:r>
        <w:tab/>
        <w:t xml:space="preserve">Energy Networks Association, </w:t>
      </w:r>
      <w:r w:rsidRPr="00815A79">
        <w:rPr>
          <w:rStyle w:val="Emphasis"/>
        </w:rPr>
        <w:t>Letter re: Roll forward model (distribution) - 2016 proposed amendments - Proposal for future collaborative work on treatment of inflation</w:t>
      </w:r>
      <w:r>
        <w:t xml:space="preserve">, 25 October 2016; and the attached report Frontier Economics, </w:t>
      </w:r>
      <w:r w:rsidRPr="00815A79">
        <w:rPr>
          <w:rStyle w:val="Emphasis"/>
        </w:rPr>
        <w:t>Comment on treatment of inflation in the AER's PTRM and the RFM, A report prepared for the Energy Networks Association</w:t>
      </w:r>
      <w:r>
        <w:t>, October 2016</w:t>
      </w:r>
      <w:r w:rsidR="00AA4EA7">
        <w:t>.</w:t>
      </w:r>
    </w:p>
  </w:footnote>
  <w:footnote w:id="19">
    <w:p w:rsidR="00815808" w:rsidRDefault="00815808" w:rsidP="004D7F7D">
      <w:pPr>
        <w:pStyle w:val="FootnoteText"/>
      </w:pPr>
      <w:r>
        <w:rPr>
          <w:rStyle w:val="FootnoteReference"/>
        </w:rPr>
        <w:footnoteRef/>
      </w:r>
      <w:r>
        <w:t xml:space="preserve"> </w:t>
      </w:r>
      <w:r>
        <w:tab/>
        <w:t>The period between publication of the proposed amended model and final amended model has been less than 80 business days. See NER, cl. 6.16(e).</w:t>
      </w:r>
    </w:p>
  </w:footnote>
  <w:footnote w:id="20">
    <w:p w:rsidR="00815808" w:rsidRDefault="00815808">
      <w:pPr>
        <w:pStyle w:val="FootnoteText"/>
      </w:pPr>
      <w:r>
        <w:rPr>
          <w:rStyle w:val="FootnoteReference"/>
        </w:rPr>
        <w:footnoteRef/>
      </w:r>
      <w:r>
        <w:t xml:space="preserve"> </w:t>
      </w:r>
      <w:r>
        <w:tab/>
      </w:r>
      <w:proofErr w:type="gramStart"/>
      <w:r w:rsidRPr="00086C33">
        <w:t xml:space="preserve">AER, </w:t>
      </w:r>
      <w:r w:rsidRPr="00086C33">
        <w:rPr>
          <w:rStyle w:val="Emphasis"/>
        </w:rPr>
        <w:t>Better regulation, Capital expenditure incentive guideline</w:t>
      </w:r>
      <w:r>
        <w:t>, November 2013, pp. </w:t>
      </w:r>
      <w:r w:rsidRPr="00086C33">
        <w:t>21–22.</w:t>
      </w:r>
      <w:proofErr w:type="gramEnd"/>
    </w:p>
  </w:footnote>
  <w:footnote w:id="21">
    <w:p w:rsidR="00815808" w:rsidRDefault="00815808">
      <w:pPr>
        <w:pStyle w:val="FootnoteText"/>
      </w:pPr>
      <w:r>
        <w:rPr>
          <w:rStyle w:val="FootnoteReference"/>
        </w:rPr>
        <w:footnoteRef/>
      </w:r>
      <w:r>
        <w:t xml:space="preserve"> </w:t>
      </w:r>
      <w:r>
        <w:tab/>
      </w:r>
      <w:r w:rsidRPr="00086C33">
        <w:t xml:space="preserve">AER, </w:t>
      </w:r>
      <w:r w:rsidRPr="00086C33">
        <w:rPr>
          <w:rStyle w:val="Emphasis"/>
        </w:rPr>
        <w:t>Better regulation, Rate of return guideline</w:t>
      </w:r>
      <w:r>
        <w:t>, December 2013, p. </w:t>
      </w:r>
      <w:r w:rsidRPr="00086C33">
        <w:t>19.</w:t>
      </w:r>
    </w:p>
  </w:footnote>
  <w:footnote w:id="22">
    <w:p w:rsidR="00815808" w:rsidRDefault="00815808">
      <w:pPr>
        <w:pStyle w:val="FootnoteText"/>
      </w:pPr>
      <w:r>
        <w:rPr>
          <w:rStyle w:val="FootnoteReference"/>
        </w:rPr>
        <w:footnoteRef/>
      </w:r>
      <w:r>
        <w:t xml:space="preserve"> </w:t>
      </w:r>
      <w:r>
        <w:tab/>
      </w:r>
      <w:r w:rsidRPr="00B56B7F">
        <w:t>Minor changes relate to formatting, labelling or formula updates which, while noted for completeness, are not consequential to the operation of the RFM.</w:t>
      </w:r>
    </w:p>
  </w:footnote>
  <w:footnote w:id="23">
    <w:p w:rsidR="00815808" w:rsidRDefault="00815808">
      <w:pPr>
        <w:pStyle w:val="FootnoteText"/>
      </w:pPr>
      <w:r>
        <w:rPr>
          <w:rStyle w:val="FootnoteReference"/>
        </w:rPr>
        <w:footnoteRef/>
      </w:r>
      <w:r>
        <w:t xml:space="preserve"> </w:t>
      </w:r>
      <w:r>
        <w:tab/>
        <w:t>The effect is symmetrical, so if actual capex is above forecast capex the DNSP will be worse off by the difference between actual and forecast depreciation.</w:t>
      </w:r>
    </w:p>
  </w:footnote>
  <w:footnote w:id="24">
    <w:p w:rsidR="00815808" w:rsidRDefault="00815808">
      <w:pPr>
        <w:pStyle w:val="FootnoteText"/>
      </w:pPr>
      <w:r>
        <w:rPr>
          <w:rStyle w:val="FootnoteReference"/>
        </w:rPr>
        <w:footnoteRef/>
      </w:r>
      <w:r>
        <w:t xml:space="preserve"> </w:t>
      </w:r>
      <w:r>
        <w:tab/>
        <w:t xml:space="preserve">For example, see the discussion on the choice of depreciation approach for the Victorian DNSPs in AER, </w:t>
      </w:r>
      <w:r w:rsidRPr="00103271">
        <w:rPr>
          <w:rStyle w:val="Emphasis"/>
        </w:rPr>
        <w:t>Final framework and approach for the Victorian electricity distributors, Regulatory control period commencing 1 January 2016</w:t>
      </w:r>
      <w:r>
        <w:t xml:space="preserve">, 24 October 2014, pp. 121–126; AER, AER, </w:t>
      </w:r>
      <w:r w:rsidRPr="00103271">
        <w:rPr>
          <w:rStyle w:val="Emphasis"/>
        </w:rPr>
        <w:t>Preliminary decision, United Energy distribution determination, 2016 to 2020, Attachment 2 – Regulatory asset base</w:t>
      </w:r>
      <w:r>
        <w:t xml:space="preserve">, October 2015, pp. 2-17 to 2-18; and AER, </w:t>
      </w:r>
      <w:r w:rsidRPr="00103271">
        <w:rPr>
          <w:rStyle w:val="Emphasis"/>
        </w:rPr>
        <w:t>Final decision, United Energy distribution determination, 2016 to 2020, Attachment 2 – Regulatory asset base</w:t>
      </w:r>
      <w:r>
        <w:t>, May 2016, p. 2-13.</w:t>
      </w:r>
    </w:p>
  </w:footnote>
  <w:footnote w:id="25">
    <w:p w:rsidR="00815808" w:rsidRDefault="00815808">
      <w:pPr>
        <w:pStyle w:val="FootnoteText"/>
      </w:pPr>
      <w:r>
        <w:rPr>
          <w:rStyle w:val="FootnoteReference"/>
        </w:rPr>
        <w:footnoteRef/>
      </w:r>
      <w:r>
        <w:t xml:space="preserve"> </w:t>
      </w:r>
      <w:r>
        <w:tab/>
      </w:r>
      <w:r w:rsidRPr="00B56B7F">
        <w:t>The tax asset base is rolled forward using depreciation based on actual capex, consistent with the tax framework.</w:t>
      </w:r>
    </w:p>
  </w:footnote>
  <w:footnote w:id="26">
    <w:p w:rsidR="00815808" w:rsidRDefault="00815808">
      <w:pPr>
        <w:pStyle w:val="FootnoteText"/>
      </w:pPr>
      <w:r>
        <w:rPr>
          <w:rStyle w:val="FootnoteReference"/>
        </w:rPr>
        <w:footnoteRef/>
      </w:r>
      <w:r>
        <w:t xml:space="preserve"> </w:t>
      </w:r>
      <w:r>
        <w:tab/>
      </w:r>
      <w:proofErr w:type="gramStart"/>
      <w:r>
        <w:t>NER, cl. 6.12.1(18).</w:t>
      </w:r>
      <w:proofErr w:type="gramEnd"/>
    </w:p>
  </w:footnote>
  <w:footnote w:id="27">
    <w:p w:rsidR="00815808" w:rsidRDefault="00815808">
      <w:pPr>
        <w:pStyle w:val="FootnoteText"/>
      </w:pPr>
      <w:r>
        <w:rPr>
          <w:rStyle w:val="FootnoteReference"/>
        </w:rPr>
        <w:footnoteRef/>
      </w:r>
      <w:r>
        <w:t xml:space="preserve"> </w:t>
      </w:r>
      <w:r>
        <w:tab/>
        <w:t xml:space="preserve">JEN, </w:t>
      </w:r>
      <w:r w:rsidRPr="002A4A7C">
        <w:rPr>
          <w:rStyle w:val="Emphasis"/>
        </w:rPr>
        <w:t xml:space="preserve">Letter re: Response to proposed amendments to the distribution </w:t>
      </w:r>
      <w:proofErr w:type="gramStart"/>
      <w:r w:rsidRPr="002A4A7C">
        <w:rPr>
          <w:rStyle w:val="Emphasis"/>
        </w:rPr>
        <w:t>roll</w:t>
      </w:r>
      <w:proofErr w:type="gramEnd"/>
      <w:r w:rsidRPr="002A4A7C">
        <w:rPr>
          <w:rStyle w:val="Emphasis"/>
        </w:rPr>
        <w:t xml:space="preserve"> forward model</w:t>
      </w:r>
      <w:r>
        <w:t>, 13 October 2016, p. 2.</w:t>
      </w:r>
    </w:p>
  </w:footnote>
  <w:footnote w:id="28">
    <w:p w:rsidR="00815808" w:rsidRDefault="00815808">
      <w:pPr>
        <w:pStyle w:val="FootnoteText"/>
      </w:pPr>
      <w:r>
        <w:rPr>
          <w:rStyle w:val="FootnoteReference"/>
        </w:rPr>
        <w:footnoteRef/>
      </w:r>
      <w:r>
        <w:t xml:space="preserve"> </w:t>
      </w:r>
      <w:r>
        <w:tab/>
        <w:t>For each asset class, the remaining asset life is the time left until the asset is no longer economically viable (or alternatively, when the return of capital is complete). When capex is first incurred—that is, when an asset is new—the remaining asset life is equal to the standard asset life. With each passing year, the remaining life will also decrease by one year. However, since each asset class will generally include capex incurred in many different years—that is, a mixture of assets with different ages—the calculation of average remaining asset life can be complex, and there are a number of different approaches available.</w:t>
      </w:r>
    </w:p>
  </w:footnote>
  <w:footnote w:id="29">
    <w:p w:rsidR="00815808" w:rsidRDefault="00815808">
      <w:pPr>
        <w:pStyle w:val="FootnoteText"/>
      </w:pPr>
      <w:r>
        <w:rPr>
          <w:rStyle w:val="FootnoteReference"/>
        </w:rPr>
        <w:footnoteRef/>
      </w:r>
      <w:r>
        <w:t xml:space="preserve"> </w:t>
      </w:r>
      <w:r>
        <w:tab/>
        <w:t>The remaining lives also have indirect effects on other building blocks, such as the return on capital and corporate income tax building blocks.</w:t>
      </w:r>
    </w:p>
  </w:footnote>
  <w:footnote w:id="30">
    <w:p w:rsidR="00815808" w:rsidRDefault="00815808">
      <w:pPr>
        <w:pStyle w:val="FootnoteText"/>
      </w:pPr>
      <w:r>
        <w:rPr>
          <w:rStyle w:val="FootnoteReference"/>
        </w:rPr>
        <w:footnoteRef/>
      </w:r>
      <w:r>
        <w:t xml:space="preserve"> </w:t>
      </w:r>
      <w:r>
        <w:tab/>
        <w:t>The exact form of WARL applied in the proposed RFM is more disaggregated than the WARL previously applied to some NSPs. It preserves the historical record of capex by year (for all expenditure after the adoption of this approach) so that WARL calculations in subsequent regulatory periods can make use of this expenditure profile.</w:t>
      </w:r>
    </w:p>
  </w:footnote>
  <w:footnote w:id="31">
    <w:p w:rsidR="00815808" w:rsidRDefault="00815808" w:rsidP="00364742">
      <w:pPr>
        <w:pStyle w:val="FootnoteText"/>
      </w:pPr>
      <w:r>
        <w:rPr>
          <w:rStyle w:val="FootnoteReference"/>
        </w:rPr>
        <w:footnoteRef/>
      </w:r>
      <w:r>
        <w:t xml:space="preserve"> </w:t>
      </w:r>
      <w:r>
        <w:tab/>
        <w:t xml:space="preserve">See AER, </w:t>
      </w:r>
      <w:r w:rsidRPr="00332867">
        <w:rPr>
          <w:rStyle w:val="Emphasis"/>
        </w:rPr>
        <w:t>Final decision, Amendment</w:t>
      </w:r>
      <w:r w:rsidR="00696355">
        <w:rPr>
          <w:rStyle w:val="Emphasis"/>
        </w:rPr>
        <w:t>:</w:t>
      </w:r>
      <w:r w:rsidRPr="00332867">
        <w:rPr>
          <w:rStyle w:val="Emphasis"/>
        </w:rPr>
        <w:t xml:space="preserve"> Electricity transmission network service providers, Roll forward model (version 3)</w:t>
      </w:r>
      <w:r>
        <w:t>, 23 October 2015, pp. 7–9.</w:t>
      </w:r>
    </w:p>
  </w:footnote>
  <w:footnote w:id="32">
    <w:p w:rsidR="00815808" w:rsidRDefault="00815808">
      <w:pPr>
        <w:pStyle w:val="FootnoteText"/>
      </w:pPr>
      <w:r>
        <w:rPr>
          <w:rStyle w:val="FootnoteReference"/>
        </w:rPr>
        <w:footnoteRef/>
      </w:r>
      <w:r>
        <w:t xml:space="preserve"> </w:t>
      </w:r>
      <w:r>
        <w:tab/>
        <w:t xml:space="preserve">In recent decisions for these networks the AER accepted proposals to use the year-by-year tracking method (and not WARL) to calculate depreciation of existing assets. See AER, </w:t>
      </w:r>
      <w:r w:rsidRPr="009D08A2">
        <w:rPr>
          <w:rStyle w:val="Emphasis"/>
        </w:rPr>
        <w:t>Final Decision, SA Power Networks determination 2015−16 to 2019−20, Attachment 5 − Regulatory depreciation</w:t>
      </w:r>
      <w:r>
        <w:t>, October 2015, pp. 5-10 to 5-17; AER</w:t>
      </w:r>
      <w:r w:rsidRPr="009D08A2">
        <w:rPr>
          <w:rStyle w:val="Emphasis"/>
        </w:rPr>
        <w:t>, Final Decision, CitiPower distribution determination 2016 to 2020, Attachment 5 – Regulatory depreciation</w:t>
      </w:r>
      <w:r>
        <w:t xml:space="preserve">, May 2016, pp. 5-12 to 5-15; AER, </w:t>
      </w:r>
      <w:r w:rsidRPr="009D08A2">
        <w:rPr>
          <w:rStyle w:val="Emphasis"/>
        </w:rPr>
        <w:t>Final Decision: Powercor distribution determination 2016 to 2020, Attachment 5 – Regulatory depreciation</w:t>
      </w:r>
      <w:r>
        <w:t>, May 2016, pp. 5-12 to 5-15.</w:t>
      </w:r>
    </w:p>
  </w:footnote>
  <w:footnote w:id="33">
    <w:p w:rsidR="00815808" w:rsidRDefault="00815808">
      <w:pPr>
        <w:pStyle w:val="FootnoteText"/>
      </w:pPr>
      <w:r>
        <w:rPr>
          <w:rStyle w:val="FootnoteReference"/>
        </w:rPr>
        <w:footnoteRef/>
      </w:r>
      <w:r>
        <w:t xml:space="preserve"> </w:t>
      </w:r>
      <w:r>
        <w:tab/>
        <w:t>NER, cl. 6.5.5(a</w:t>
      </w:r>
      <w:proofErr w:type="gramStart"/>
      <w:r>
        <w:t>)(</w:t>
      </w:r>
      <w:proofErr w:type="gramEnd"/>
      <w:r>
        <w:t xml:space="preserve">2). SAPN/CitiPower/Powercor, </w:t>
      </w:r>
      <w:r w:rsidRPr="00041048">
        <w:rPr>
          <w:rStyle w:val="Emphasis"/>
        </w:rPr>
        <w:t>Letter re: proposed amendment to the Roll Forward Model</w:t>
      </w:r>
      <w:r>
        <w:t>, 13 October 2016, pp. 2–3. The same general point is made in the JEN submission.</w:t>
      </w:r>
    </w:p>
  </w:footnote>
  <w:footnote w:id="34">
    <w:p w:rsidR="00815808" w:rsidRDefault="00815808">
      <w:pPr>
        <w:pStyle w:val="FootnoteText"/>
      </w:pPr>
      <w:r>
        <w:rPr>
          <w:rStyle w:val="FootnoteReference"/>
        </w:rPr>
        <w:footnoteRef/>
      </w:r>
      <w:r>
        <w:t xml:space="preserve"> </w:t>
      </w:r>
      <w:r>
        <w:tab/>
      </w:r>
      <w:proofErr w:type="gramStart"/>
      <w:r>
        <w:t>NER, cl. 6.5.5.</w:t>
      </w:r>
      <w:proofErr w:type="gramEnd"/>
      <w:r>
        <w:t xml:space="preserve"> </w:t>
      </w:r>
    </w:p>
  </w:footnote>
  <w:footnote w:id="35">
    <w:p w:rsidR="00815808" w:rsidRDefault="00815808">
      <w:pPr>
        <w:pStyle w:val="FootnoteText"/>
      </w:pPr>
      <w:r>
        <w:rPr>
          <w:rStyle w:val="FootnoteReference"/>
        </w:rPr>
        <w:footnoteRef/>
      </w:r>
      <w:r>
        <w:t xml:space="preserve"> </w:t>
      </w:r>
      <w:r>
        <w:tab/>
        <w:t>SCP stated that the absence of remaining asset life calculations had not caused problems for DNSPs when using version 1 of the DNSP RFM. However, most DNSPs using this version resolve d the absence by inserting the remaining asset lives worksheets (which used WARL) from the TNSP RFM into the DNSP RFM. Hence, this argument from status quo supports the inclusion of these calculations in the base template, noting that doing so further reduces the risk of implementation error relative to each DNSP doing it separately.</w:t>
      </w:r>
    </w:p>
  </w:footnote>
  <w:footnote w:id="36">
    <w:p w:rsidR="00815808" w:rsidRDefault="00815808" w:rsidP="00195275">
      <w:pPr>
        <w:pStyle w:val="FootnoteText"/>
      </w:pPr>
      <w:r>
        <w:rPr>
          <w:rStyle w:val="FootnoteReference"/>
        </w:rPr>
        <w:footnoteRef/>
      </w:r>
      <w:r>
        <w:t xml:space="preserve"> </w:t>
      </w:r>
      <w:r>
        <w:tab/>
        <w:t xml:space="preserve">For a discussion of why WARL remains our preferred approach, see </w:t>
      </w:r>
      <w:r w:rsidRPr="009D08A2">
        <w:t xml:space="preserve">AER, </w:t>
      </w:r>
      <w:r w:rsidRPr="00831466">
        <w:rPr>
          <w:rStyle w:val="Emphasis"/>
        </w:rPr>
        <w:t>Preliminary decision, United Energy determination 2016 to 2020, Attachment 5 – Regulatory depreciation</w:t>
      </w:r>
      <w:r w:rsidRPr="009D08A2">
        <w:t xml:space="preserve">, October 2015, pp. </w:t>
      </w:r>
      <w:r>
        <w:t>5-</w:t>
      </w:r>
      <w:r w:rsidRPr="009D08A2">
        <w:t>14</w:t>
      </w:r>
      <w:r>
        <w:t xml:space="preserve"> to 5-</w:t>
      </w:r>
      <w:r w:rsidRPr="009D08A2">
        <w:t>15</w:t>
      </w:r>
      <w:r>
        <w:t>.</w:t>
      </w:r>
    </w:p>
  </w:footnote>
  <w:footnote w:id="37">
    <w:p w:rsidR="00815808" w:rsidRDefault="00815808">
      <w:pPr>
        <w:pStyle w:val="FootnoteText"/>
      </w:pPr>
      <w:r>
        <w:rPr>
          <w:rStyle w:val="FootnoteReference"/>
        </w:rPr>
        <w:footnoteRef/>
      </w:r>
      <w:r>
        <w:t xml:space="preserve"> </w:t>
      </w:r>
      <w:r>
        <w:tab/>
        <w:t>Implementing the option for the year-by-year tracking approach in the RFM may also involve further consequential changes to the PTRM.</w:t>
      </w:r>
    </w:p>
  </w:footnote>
  <w:footnote w:id="38">
    <w:p w:rsidR="00815808" w:rsidRDefault="00815808">
      <w:pPr>
        <w:pStyle w:val="FootnoteText"/>
      </w:pPr>
      <w:r>
        <w:rPr>
          <w:rStyle w:val="FootnoteReference"/>
        </w:rPr>
        <w:footnoteRef/>
      </w:r>
      <w:r>
        <w:t xml:space="preserve"> </w:t>
      </w:r>
      <w:r>
        <w:tab/>
        <w:t>For example, although AusNet Services, JEN and SA Power Networks/CitiPower/Powercor advocate year-by-year tracking, they implement it in slightly different ways.</w:t>
      </w:r>
    </w:p>
  </w:footnote>
  <w:footnote w:id="39">
    <w:p w:rsidR="00815808" w:rsidRDefault="00815808">
      <w:pPr>
        <w:pStyle w:val="FootnoteText"/>
      </w:pPr>
      <w:r>
        <w:rPr>
          <w:rStyle w:val="FootnoteReference"/>
        </w:rPr>
        <w:footnoteRef/>
      </w:r>
      <w:r>
        <w:t xml:space="preserve"> </w:t>
      </w:r>
      <w:r>
        <w:tab/>
        <w:t xml:space="preserve">The need to specify a remaining asset life is linked to the WARL implementation. See AER, </w:t>
      </w:r>
      <w:r w:rsidRPr="003A4242">
        <w:rPr>
          <w:rStyle w:val="Emphasis"/>
        </w:rPr>
        <w:t>Final decision</w:t>
      </w:r>
      <w:r w:rsidR="00696355">
        <w:rPr>
          <w:rStyle w:val="Emphasis"/>
        </w:rPr>
        <w:t>:</w:t>
      </w:r>
      <w:r w:rsidRPr="003A4242">
        <w:rPr>
          <w:rStyle w:val="Emphasis"/>
        </w:rPr>
        <w:t xml:space="preserve"> Amendment, Electricity transmission network service providers, Roll forward model (version 3)</w:t>
      </w:r>
      <w:r>
        <w:t>, 23 October 2015, p. 8.</w:t>
      </w:r>
    </w:p>
  </w:footnote>
  <w:footnote w:id="40">
    <w:p w:rsidR="00815808" w:rsidRDefault="00815808">
      <w:pPr>
        <w:pStyle w:val="FootnoteText"/>
      </w:pPr>
      <w:r>
        <w:rPr>
          <w:rStyle w:val="FootnoteReference"/>
        </w:rPr>
        <w:footnoteRef/>
      </w:r>
      <w:r>
        <w:t xml:space="preserve"> </w:t>
      </w:r>
      <w:r>
        <w:tab/>
        <w:t xml:space="preserve">The amended RFM </w:t>
      </w:r>
      <w:r w:rsidRPr="00086C33">
        <w:t>does not track the remaining asset life of each end of period adjustment separately, as it do</w:t>
      </w:r>
      <w:r>
        <w:t>es for each year of capex.</w:t>
      </w:r>
    </w:p>
  </w:footnote>
  <w:footnote w:id="41">
    <w:p w:rsidR="00815808" w:rsidRDefault="00815808" w:rsidP="00F96BE9">
      <w:pPr>
        <w:pStyle w:val="FootnoteText"/>
      </w:pPr>
      <w:r>
        <w:rPr>
          <w:rStyle w:val="FootnoteReference"/>
        </w:rPr>
        <w:footnoteRef/>
      </w:r>
      <w:r>
        <w:t xml:space="preserve"> </w:t>
      </w:r>
      <w:r>
        <w:tab/>
        <w:t xml:space="preserve">JEN, </w:t>
      </w:r>
      <w:r w:rsidRPr="002A4A7C">
        <w:rPr>
          <w:rStyle w:val="Emphasis"/>
        </w:rPr>
        <w:t xml:space="preserve">Letter re: Response to proposed amendments to the distribution </w:t>
      </w:r>
      <w:proofErr w:type="gramStart"/>
      <w:r w:rsidRPr="002A4A7C">
        <w:rPr>
          <w:rStyle w:val="Emphasis"/>
        </w:rPr>
        <w:t>roll</w:t>
      </w:r>
      <w:proofErr w:type="gramEnd"/>
      <w:r w:rsidRPr="002A4A7C">
        <w:rPr>
          <w:rStyle w:val="Emphasis"/>
        </w:rPr>
        <w:t xml:space="preserve"> forward model</w:t>
      </w:r>
      <w:r>
        <w:t>, 13 October 2016, p. 3.</w:t>
      </w:r>
    </w:p>
  </w:footnote>
  <w:footnote w:id="42">
    <w:p w:rsidR="00815808" w:rsidRDefault="00815808">
      <w:pPr>
        <w:pStyle w:val="FootnoteText"/>
      </w:pPr>
      <w:r>
        <w:rPr>
          <w:rStyle w:val="FootnoteReference"/>
        </w:rPr>
        <w:footnoteRef/>
      </w:r>
      <w:r>
        <w:t xml:space="preserve"> </w:t>
      </w:r>
      <w:r>
        <w:tab/>
      </w:r>
      <w:r w:rsidRPr="00E40E9A">
        <w:t xml:space="preserve">Refer to the explanatory statement for the PTRM amendment for background on this change. See AER, </w:t>
      </w:r>
      <w:r w:rsidRPr="00E40E9A">
        <w:rPr>
          <w:rStyle w:val="Emphasis"/>
        </w:rPr>
        <w:t>Explanatory statement: Proposed amendment</w:t>
      </w:r>
      <w:r>
        <w:rPr>
          <w:rStyle w:val="Emphasis"/>
        </w:rPr>
        <w:t>,</w:t>
      </w:r>
      <w:r w:rsidRPr="00E40E9A">
        <w:rPr>
          <w:rStyle w:val="Emphasis"/>
        </w:rPr>
        <w:t xml:space="preserve"> Electricity transmission and distribution network service providers</w:t>
      </w:r>
      <w:r>
        <w:rPr>
          <w:rStyle w:val="Emphasis"/>
        </w:rPr>
        <w:t>,</w:t>
      </w:r>
      <w:r w:rsidRPr="00E40E9A">
        <w:rPr>
          <w:rStyle w:val="Emphasis"/>
        </w:rPr>
        <w:t xml:space="preserve"> Post-tax revenue models (version 3)</w:t>
      </w:r>
      <w:r w:rsidRPr="00E40E9A">
        <w:t>, 3 October 2014, pp. 10–11.</w:t>
      </w:r>
    </w:p>
  </w:footnote>
  <w:footnote w:id="43">
    <w:p w:rsidR="00815808" w:rsidRDefault="00815808">
      <w:pPr>
        <w:pStyle w:val="FootnoteText"/>
      </w:pPr>
      <w:r>
        <w:rPr>
          <w:rStyle w:val="FootnoteReference"/>
        </w:rPr>
        <w:footnoteRef/>
      </w:r>
      <w:r>
        <w:t xml:space="preserve"> </w:t>
      </w:r>
      <w:r>
        <w:tab/>
      </w:r>
      <w:r w:rsidRPr="00E40E9A">
        <w:t xml:space="preserve">AER, </w:t>
      </w:r>
      <w:r w:rsidRPr="00E40E9A">
        <w:rPr>
          <w:rStyle w:val="Emphasis"/>
        </w:rPr>
        <w:t>Better regulation, Rate of return guideline</w:t>
      </w:r>
      <w:r w:rsidRPr="00E40E9A">
        <w:t>, December 2013, p. 19.</w:t>
      </w:r>
    </w:p>
  </w:footnote>
  <w:footnote w:id="44">
    <w:p w:rsidR="00815808" w:rsidRDefault="00815808" w:rsidP="00405941">
      <w:pPr>
        <w:pStyle w:val="FootnoteText"/>
      </w:pPr>
      <w:r>
        <w:rPr>
          <w:rStyle w:val="FootnoteReference"/>
        </w:rPr>
        <w:footnoteRef/>
      </w:r>
      <w:r>
        <w:t xml:space="preserve"> </w:t>
      </w:r>
      <w:r>
        <w:tab/>
        <w:t xml:space="preserve">JEN, </w:t>
      </w:r>
      <w:r w:rsidRPr="002A4A7C">
        <w:rPr>
          <w:rStyle w:val="Emphasis"/>
        </w:rPr>
        <w:t xml:space="preserve">Letter re: Response to proposed amendments to the distribution </w:t>
      </w:r>
      <w:proofErr w:type="gramStart"/>
      <w:r w:rsidRPr="002A4A7C">
        <w:rPr>
          <w:rStyle w:val="Emphasis"/>
        </w:rPr>
        <w:t>roll</w:t>
      </w:r>
      <w:proofErr w:type="gramEnd"/>
      <w:r w:rsidRPr="002A4A7C">
        <w:rPr>
          <w:rStyle w:val="Emphasis"/>
        </w:rPr>
        <w:t xml:space="preserve"> forward model</w:t>
      </w:r>
      <w:r>
        <w:t>, 13 October 2016, p. 3.</w:t>
      </w:r>
    </w:p>
  </w:footnote>
  <w:footnote w:id="45">
    <w:p w:rsidR="00815808" w:rsidRDefault="00815808" w:rsidP="00CC1C11">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6.5.1(</w:t>
      </w:r>
      <w:proofErr w:type="gramStart"/>
      <w:r>
        <w:t>e</w:t>
      </w:r>
      <w:proofErr w:type="gramEnd"/>
      <w:r>
        <w:t>)(3) and S6.2.3(c)(4).</w:t>
      </w:r>
    </w:p>
  </w:footnote>
  <w:footnote w:id="46">
    <w:p w:rsidR="00696355" w:rsidRDefault="00696355">
      <w:pPr>
        <w:pStyle w:val="FootnoteText"/>
      </w:pPr>
      <w:r>
        <w:rPr>
          <w:rStyle w:val="FootnoteReference"/>
        </w:rPr>
        <w:footnoteRef/>
      </w:r>
      <w:r>
        <w:t xml:space="preserve"> </w:t>
      </w:r>
      <w:r>
        <w:tab/>
        <w:t xml:space="preserve">AER, </w:t>
      </w:r>
      <w:r w:rsidRPr="001D2836">
        <w:rPr>
          <w:rStyle w:val="Emphasis"/>
        </w:rPr>
        <w:t>Explanatory statement, Proposed amendment</w:t>
      </w:r>
      <w:r>
        <w:rPr>
          <w:rStyle w:val="Emphasis"/>
        </w:rPr>
        <w:t>:</w:t>
      </w:r>
      <w:r w:rsidRPr="001D2836">
        <w:rPr>
          <w:rStyle w:val="Emphasis"/>
        </w:rPr>
        <w:t xml:space="preserve"> Electricity distribution network services providers</w:t>
      </w:r>
      <w:r>
        <w:rPr>
          <w:rStyle w:val="Emphasis"/>
        </w:rPr>
        <w:t>, R</w:t>
      </w:r>
      <w:r w:rsidRPr="001D2836">
        <w:rPr>
          <w:rStyle w:val="Emphasis"/>
        </w:rPr>
        <w:t>oll forward model (version 2)</w:t>
      </w:r>
      <w:r>
        <w:t>, 31 August 2016, pp. 10–19.</w:t>
      </w:r>
    </w:p>
  </w:footnote>
  <w:footnote w:id="47">
    <w:p w:rsidR="00815808" w:rsidRDefault="00815808" w:rsidP="00CC1C11">
      <w:pPr>
        <w:pStyle w:val="FootnoteText"/>
      </w:pPr>
      <w:r>
        <w:rPr>
          <w:rStyle w:val="FootnoteReference"/>
        </w:rPr>
        <w:footnoteRef/>
      </w:r>
      <w:r>
        <w:t xml:space="preserve"> </w:t>
      </w:r>
      <w:r>
        <w:tab/>
        <w:t xml:space="preserve">SCP, </w:t>
      </w:r>
      <w:r w:rsidRPr="00C522E2">
        <w:rPr>
          <w:rStyle w:val="Emphasis"/>
        </w:rPr>
        <w:t>Letter re: Proposed amendment to the roll forward model</w:t>
      </w:r>
      <w:r>
        <w:t>, 13 October 2016, p. 4.</w:t>
      </w:r>
    </w:p>
  </w:footnote>
  <w:footnote w:id="48">
    <w:p w:rsidR="00815808" w:rsidRDefault="00815808" w:rsidP="00CC1C11">
      <w:pPr>
        <w:pStyle w:val="FootnoteText"/>
      </w:pPr>
      <w:r>
        <w:rPr>
          <w:rStyle w:val="FootnoteReference"/>
        </w:rPr>
        <w:footnoteRef/>
      </w:r>
      <w:r>
        <w:t xml:space="preserve"> </w:t>
      </w:r>
      <w:r>
        <w:tab/>
        <w:t xml:space="preserve">AusNet Services, </w:t>
      </w:r>
      <w:r w:rsidRPr="00C522E2">
        <w:rPr>
          <w:rStyle w:val="Emphasis"/>
        </w:rPr>
        <w:t>Letter re: Proposed amendments to the electricity distribution roll forward model (RFM)</w:t>
      </w:r>
      <w:r>
        <w:t>, 13 October 2016, p. 2.</w:t>
      </w:r>
    </w:p>
  </w:footnote>
  <w:footnote w:id="49">
    <w:p w:rsidR="00815808" w:rsidRDefault="00815808" w:rsidP="00CC1C11">
      <w:pPr>
        <w:pStyle w:val="FootnoteText"/>
      </w:pPr>
      <w:r>
        <w:rPr>
          <w:rStyle w:val="FootnoteReference"/>
        </w:rPr>
        <w:footnoteRef/>
      </w:r>
      <w:r>
        <w:t xml:space="preserve"> </w:t>
      </w:r>
      <w:r>
        <w:tab/>
        <w:t>The July 2015 submission occurred as part of consultation on updates to the transmission version of the RFM. The January 2016 submission occurred as part of AusNet Services' electricity distribution regulatory determination.</w:t>
      </w:r>
    </w:p>
  </w:footnote>
  <w:footnote w:id="50">
    <w:p w:rsidR="00815808" w:rsidRDefault="00815808" w:rsidP="00CC1C11">
      <w:pPr>
        <w:pStyle w:val="FootnoteText"/>
      </w:pPr>
      <w:r>
        <w:rPr>
          <w:rStyle w:val="FootnoteReference"/>
        </w:rPr>
        <w:footnoteRef/>
      </w:r>
      <w:r>
        <w:t xml:space="preserve"> </w:t>
      </w:r>
      <w:r>
        <w:tab/>
        <w:t xml:space="preserve">AusNet Services, </w:t>
      </w:r>
      <w:r w:rsidRPr="00C522E2">
        <w:rPr>
          <w:rStyle w:val="Emphasis"/>
        </w:rPr>
        <w:t>Letter re: Proposed amendments to the electricity distribution roll forward model (RFM)</w:t>
      </w:r>
      <w:r>
        <w:t>, 13 October 2016, p. 3.</w:t>
      </w:r>
    </w:p>
  </w:footnote>
  <w:footnote w:id="51">
    <w:p w:rsidR="00815808" w:rsidRDefault="00815808" w:rsidP="00CC1C11">
      <w:pPr>
        <w:pStyle w:val="FootnoteText"/>
      </w:pPr>
      <w:r>
        <w:rPr>
          <w:rStyle w:val="FootnoteReference"/>
        </w:rPr>
        <w:footnoteRef/>
      </w:r>
      <w:r>
        <w:t xml:space="preserve"> </w:t>
      </w:r>
      <w:r>
        <w:tab/>
      </w:r>
      <w:proofErr w:type="gramStart"/>
      <w:r>
        <w:t>NER, cl. 6.5.1.</w:t>
      </w:r>
      <w:proofErr w:type="gramEnd"/>
    </w:p>
  </w:footnote>
  <w:footnote w:id="52">
    <w:p w:rsidR="00815808" w:rsidRDefault="00815808" w:rsidP="0047046D">
      <w:pPr>
        <w:pStyle w:val="FootnoteText"/>
      </w:pPr>
      <w:r>
        <w:rPr>
          <w:rStyle w:val="FootnoteReference"/>
        </w:rPr>
        <w:footnoteRef/>
      </w:r>
      <w:r>
        <w:t xml:space="preserve"> </w:t>
      </w:r>
      <w:r>
        <w:tab/>
      </w:r>
      <w:r w:rsidR="00587F4E">
        <w:t>T</w:t>
      </w:r>
      <w:r>
        <w:t>he un-lagged approach</w:t>
      </w:r>
      <w:r w:rsidR="00587F4E">
        <w:t xml:space="preserve"> has not been included</w:t>
      </w:r>
      <w:r>
        <w:t xml:space="preserve"> in the RFM.</w:t>
      </w:r>
      <w:r w:rsidR="00DC281E">
        <w:t xml:space="preserve"> </w:t>
      </w:r>
      <w:r w:rsidR="00000AB0">
        <w:t xml:space="preserve">The inflation </w:t>
      </w:r>
      <w:r w:rsidR="005C3225">
        <w:t xml:space="preserve">approaches </w:t>
      </w:r>
      <w:r w:rsidR="00541E4D">
        <w:t>included in</w:t>
      </w:r>
      <w:r w:rsidR="005C3225">
        <w:t xml:space="preserve"> the drop down function</w:t>
      </w:r>
      <w:r w:rsidR="00000AB0">
        <w:t xml:space="preserve"> </w:t>
      </w:r>
      <w:r w:rsidR="00541E4D">
        <w:t>is intended to allow the DNSP</w:t>
      </w:r>
      <w:r w:rsidR="00000AB0">
        <w:t xml:space="preserve"> to </w:t>
      </w:r>
      <w:r w:rsidR="00DC281E">
        <w:t xml:space="preserve">maintain the relevant historical approach </w:t>
      </w:r>
      <w:r w:rsidR="00541E4D">
        <w:t>applicable to it</w:t>
      </w:r>
      <w:r w:rsidR="00DC281E">
        <w:t>, rather than</w:t>
      </w:r>
      <w:r w:rsidR="00000AB0">
        <w:t xml:space="preserve"> to</w:t>
      </w:r>
      <w:r w:rsidR="00DC281E">
        <w:t xml:space="preserve"> allow switch</w:t>
      </w:r>
      <w:r w:rsidR="00000AB0">
        <w:t>ing</w:t>
      </w:r>
      <w:r w:rsidR="00DC281E">
        <w:t xml:space="preserve"> from one approach to another.</w:t>
      </w:r>
    </w:p>
  </w:footnote>
  <w:footnote w:id="53">
    <w:p w:rsidR="00815808" w:rsidRDefault="00815808">
      <w:pPr>
        <w:pStyle w:val="FootnoteText"/>
      </w:pPr>
      <w:r>
        <w:rPr>
          <w:rStyle w:val="FootnoteReference"/>
        </w:rPr>
        <w:footnoteRef/>
      </w:r>
      <w:r>
        <w:t xml:space="preserve"> </w:t>
      </w:r>
      <w:r>
        <w:tab/>
        <w:t xml:space="preserve">The TNSP RFM does not offer the option to apply the all-lagged approach because </w:t>
      </w:r>
      <w:r w:rsidR="000A4FF0">
        <w:t xml:space="preserve">all </w:t>
      </w:r>
      <w:r>
        <w:t>TNSPs have historically applied the partially-lagged approach.</w:t>
      </w:r>
    </w:p>
  </w:footnote>
  <w:footnote w:id="54">
    <w:p w:rsidR="00815808" w:rsidRDefault="00815808">
      <w:pPr>
        <w:pStyle w:val="FootnoteText"/>
      </w:pPr>
      <w:r>
        <w:rPr>
          <w:rStyle w:val="FootnoteReference"/>
        </w:rPr>
        <w:footnoteRef/>
      </w:r>
      <w:r>
        <w:t xml:space="preserve"> </w:t>
      </w:r>
      <w:r>
        <w:tab/>
        <w:t xml:space="preserve">JEN, </w:t>
      </w:r>
      <w:r w:rsidRPr="002A4A7C">
        <w:rPr>
          <w:rStyle w:val="Emphasis"/>
        </w:rPr>
        <w:t xml:space="preserve">Letter re: Response to proposed amendments to the distribution </w:t>
      </w:r>
      <w:proofErr w:type="gramStart"/>
      <w:r w:rsidRPr="002A4A7C">
        <w:rPr>
          <w:rStyle w:val="Emphasis"/>
        </w:rPr>
        <w:t>roll</w:t>
      </w:r>
      <w:proofErr w:type="gramEnd"/>
      <w:r w:rsidRPr="002A4A7C">
        <w:rPr>
          <w:rStyle w:val="Emphasis"/>
        </w:rPr>
        <w:t xml:space="preserve"> forward model</w:t>
      </w:r>
      <w:r>
        <w:t>, 13 October 2016, p. 4.</w:t>
      </w:r>
    </w:p>
  </w:footnote>
  <w:footnote w:id="55">
    <w:p w:rsidR="00815808" w:rsidRDefault="00815808" w:rsidP="00C40297">
      <w:pPr>
        <w:pStyle w:val="FootnoteText"/>
      </w:pPr>
      <w:r>
        <w:rPr>
          <w:rStyle w:val="FootnoteReference"/>
        </w:rPr>
        <w:footnoteRef/>
      </w:r>
      <w:r>
        <w:t xml:space="preserve"> </w:t>
      </w:r>
      <w:r>
        <w:tab/>
        <w:t>We also had regard to interactions across multiple regulatory control periods.</w:t>
      </w:r>
    </w:p>
  </w:footnote>
  <w:footnote w:id="56">
    <w:p w:rsidR="00815808" w:rsidRDefault="00815808">
      <w:pPr>
        <w:pStyle w:val="FootnoteText"/>
      </w:pPr>
      <w:r>
        <w:rPr>
          <w:rStyle w:val="FootnoteReference"/>
        </w:rPr>
        <w:footnoteRef/>
      </w:r>
      <w:r>
        <w:t xml:space="preserve"> </w:t>
      </w:r>
      <w:r>
        <w:tab/>
        <w:t>However, in some cases the submissions considered only the interactions between the PTRM and RFM, rather than PTRM, RFM and annual revenue adjustments.</w:t>
      </w:r>
    </w:p>
  </w:footnote>
  <w:footnote w:id="57">
    <w:p w:rsidR="00815808" w:rsidRDefault="00815808">
      <w:pPr>
        <w:pStyle w:val="FootnoteText"/>
      </w:pPr>
      <w:r>
        <w:rPr>
          <w:rStyle w:val="FootnoteReference"/>
        </w:rPr>
        <w:footnoteRef/>
      </w:r>
      <w:r>
        <w:t xml:space="preserve"> </w:t>
      </w:r>
      <w:r>
        <w:tab/>
        <w:t xml:space="preserve">AusNet Services, </w:t>
      </w:r>
      <w:r w:rsidRPr="00815A79">
        <w:rPr>
          <w:rStyle w:val="Emphasis"/>
        </w:rPr>
        <w:t>Letter re: Proposed amendments to the electricity distribution roll forward model (RFM)</w:t>
      </w:r>
      <w:r>
        <w:t xml:space="preserve">, 13 October 2016, p. 4; AGN, </w:t>
      </w:r>
      <w:r w:rsidRPr="00815A79">
        <w:rPr>
          <w:rStyle w:val="Emphasis"/>
        </w:rPr>
        <w:t>Untitled letter</w:t>
      </w:r>
      <w:r>
        <w:t xml:space="preserve">, 13 October 2016, p. 1 ; JEN, </w:t>
      </w:r>
      <w:r w:rsidRPr="002A4A7C">
        <w:rPr>
          <w:rStyle w:val="Emphasis"/>
        </w:rPr>
        <w:t>Letter re: Response to proposed amendments to the distribution roll forward model</w:t>
      </w:r>
      <w:r>
        <w:t xml:space="preserve">, 13 October 2016, p. 4; SCP, </w:t>
      </w:r>
      <w:r w:rsidRPr="00951645">
        <w:rPr>
          <w:rStyle w:val="Emphasis"/>
        </w:rPr>
        <w:t>Letter re: Proposed amendment to the roll forward model</w:t>
      </w:r>
      <w:r>
        <w:t xml:space="preserve">, 13 October 2016, p. 8; ENA, </w:t>
      </w:r>
      <w:r w:rsidRPr="00815A79">
        <w:rPr>
          <w:rStyle w:val="Emphasis"/>
        </w:rPr>
        <w:t>Letter re: Roll forward model (distribution) - 2016 proposed amendments - Proposal for future collaborative work on treatment of inflation</w:t>
      </w:r>
      <w:r>
        <w:t>, 25 October 2016, p. 1.</w:t>
      </w:r>
    </w:p>
  </w:footnote>
  <w:footnote w:id="58">
    <w:p w:rsidR="00815808" w:rsidRDefault="00815808">
      <w:pPr>
        <w:pStyle w:val="FootnoteText"/>
      </w:pPr>
      <w:r>
        <w:rPr>
          <w:rStyle w:val="FootnoteReference"/>
        </w:rPr>
        <w:footnoteRef/>
      </w:r>
      <w:r>
        <w:t xml:space="preserve"> </w:t>
      </w:r>
      <w:r>
        <w:tab/>
        <w:t xml:space="preserve">Frontier Economics, </w:t>
      </w:r>
      <w:r w:rsidRPr="00815A79">
        <w:rPr>
          <w:rStyle w:val="Emphasis"/>
        </w:rPr>
        <w:t>Comment on treatment of inflation in the AER's PTRM and the RFM, A report prepared for the Energy Networks Association</w:t>
      </w:r>
      <w:r>
        <w:t>, October 2016, p. 1.</w:t>
      </w:r>
    </w:p>
  </w:footnote>
  <w:footnote w:id="59">
    <w:p w:rsidR="00815808" w:rsidRDefault="00815808">
      <w:pPr>
        <w:pStyle w:val="FootnoteText"/>
      </w:pPr>
      <w:r>
        <w:rPr>
          <w:rStyle w:val="FootnoteReference"/>
        </w:rPr>
        <w:footnoteRef/>
      </w:r>
      <w:r>
        <w:t xml:space="preserve"> </w:t>
      </w:r>
      <w:r>
        <w:tab/>
        <w:t xml:space="preserve">See </w:t>
      </w:r>
      <w:r w:rsidRPr="00831466">
        <w:t xml:space="preserve">AER, </w:t>
      </w:r>
      <w:r w:rsidRPr="00831466">
        <w:rPr>
          <w:rStyle w:val="Emphasis"/>
        </w:rPr>
        <w:t>Final decision</w:t>
      </w:r>
      <w:r w:rsidR="00696355">
        <w:rPr>
          <w:rStyle w:val="Emphasis"/>
        </w:rPr>
        <w:t>:</w:t>
      </w:r>
      <w:r w:rsidRPr="00831466">
        <w:rPr>
          <w:rStyle w:val="Emphasis"/>
        </w:rPr>
        <w:t xml:space="preserve"> Amendment, Electricity transmission and distribution network service pro</w:t>
      </w:r>
      <w:r>
        <w:rPr>
          <w:rStyle w:val="Emphasis"/>
        </w:rPr>
        <w:t>viders, Post-tax revenue models</w:t>
      </w:r>
      <w:r w:rsidRPr="00831466">
        <w:rPr>
          <w:rStyle w:val="Emphasis"/>
        </w:rPr>
        <w:t xml:space="preserve"> (version 3)</w:t>
      </w:r>
      <w:r w:rsidRPr="00831466">
        <w:t xml:space="preserve">, 29 January 2015, </w:t>
      </w:r>
      <w:r w:rsidRPr="00831466">
        <w:rPr>
          <w:rStyle w:val="Emphasis"/>
        </w:rPr>
        <w:t>Appendix B: Distribution PTRM</w:t>
      </w:r>
      <w:r w:rsidRPr="00831466">
        <w:t xml:space="preserve">; AER, </w:t>
      </w:r>
      <w:r w:rsidRPr="00831466">
        <w:rPr>
          <w:rStyle w:val="Emphasis"/>
        </w:rPr>
        <w:t>Draft decision, AusNet Services transmission determination, 2017–18 to 2021–22, Attachment 3 – Rate of return</w:t>
      </w:r>
      <w:r w:rsidRPr="00831466">
        <w:t xml:space="preserve">, July 2016, pp. 3-129 to 3-138 (expected inflation is a common issue between distribution and transmission); and AER, </w:t>
      </w:r>
      <w:r w:rsidRPr="00831466">
        <w:rPr>
          <w:rStyle w:val="Emphasis"/>
        </w:rPr>
        <w:t>Better regulation, Explanatory statement, Rate of return guideline</w:t>
      </w:r>
      <w:r w:rsidRPr="00831466">
        <w:t xml:space="preserve">, December 2013, p. 47. </w:t>
      </w:r>
      <w:r>
        <w:t xml:space="preserve"> </w:t>
      </w:r>
    </w:p>
  </w:footnote>
  <w:footnote w:id="60">
    <w:p w:rsidR="00815808" w:rsidRDefault="00815808">
      <w:pPr>
        <w:pStyle w:val="FootnoteText"/>
      </w:pPr>
      <w:r>
        <w:rPr>
          <w:rStyle w:val="FootnoteReference"/>
        </w:rPr>
        <w:footnoteRef/>
      </w:r>
      <w:r>
        <w:t xml:space="preserve"> </w:t>
      </w:r>
      <w:r>
        <w:tab/>
        <w:t xml:space="preserve">AusNet Services, </w:t>
      </w:r>
      <w:r w:rsidRPr="00815A79">
        <w:rPr>
          <w:rStyle w:val="Emphasis"/>
        </w:rPr>
        <w:t>Letter re: Proposed amendments to the electricity distribution roll forward model (RFM)</w:t>
      </w:r>
      <w:r>
        <w:t xml:space="preserve">, 13 October 2016, p. 8; AGN, </w:t>
      </w:r>
      <w:r w:rsidRPr="00815A79">
        <w:rPr>
          <w:rStyle w:val="Emphasis"/>
        </w:rPr>
        <w:t>Untitled letter</w:t>
      </w:r>
      <w:r>
        <w:t xml:space="preserve">, 13 October 2016, p. 1; and SCP, </w:t>
      </w:r>
      <w:r w:rsidRPr="00951645">
        <w:rPr>
          <w:rStyle w:val="Emphasis"/>
        </w:rPr>
        <w:t>Letter re: Proposed amendment to the roll forward model</w:t>
      </w:r>
      <w:r>
        <w:t>, 13 October 2016, pp. 6–8</w:t>
      </w:r>
      <w:r w:rsidR="00362F99">
        <w:t>.</w:t>
      </w:r>
    </w:p>
  </w:footnote>
  <w:footnote w:id="61">
    <w:p w:rsidR="00815808" w:rsidRDefault="00815808">
      <w:pPr>
        <w:pStyle w:val="FootnoteText"/>
      </w:pPr>
      <w:r>
        <w:rPr>
          <w:rStyle w:val="FootnoteReference"/>
        </w:rPr>
        <w:footnoteRef/>
      </w:r>
      <w:r>
        <w:t xml:space="preserve"> </w:t>
      </w:r>
      <w:r>
        <w:tab/>
        <w:t xml:space="preserve">ENA, </w:t>
      </w:r>
      <w:r w:rsidRPr="00815A79">
        <w:rPr>
          <w:rStyle w:val="Emphasis"/>
        </w:rPr>
        <w:t>Letter re: Roll forward model (distribution) - 2016 proposed amendments - Proposal for future collaborative work on treatment of inflation</w:t>
      </w:r>
      <w:r>
        <w:t>, 25 October 2016, p. 1.</w:t>
      </w:r>
    </w:p>
  </w:footnote>
  <w:footnote w:id="62">
    <w:p w:rsidR="00815808" w:rsidRDefault="00815808">
      <w:pPr>
        <w:pStyle w:val="FootnoteText"/>
      </w:pPr>
      <w:r>
        <w:rPr>
          <w:rStyle w:val="FootnoteReference"/>
        </w:rPr>
        <w:footnoteRef/>
      </w:r>
      <w:r>
        <w:t xml:space="preserve"> </w:t>
      </w:r>
      <w:r>
        <w:tab/>
        <w:t>Only two submissions (AusNet Services and SCP) directly addressed the choice between all-lagged and partially-lagged inflation approach when updating for actual inflation outcomes, as set out in section 3.1. The other three submissions addressed the use of actual inflation outcomes in the RFM without commenting specifically on the lag that should be used.</w:t>
      </w:r>
    </w:p>
  </w:footnote>
  <w:footnote w:id="63">
    <w:p w:rsidR="00815808" w:rsidRDefault="00815808" w:rsidP="00557369">
      <w:pPr>
        <w:pStyle w:val="FootnoteText"/>
      </w:pPr>
      <w:r>
        <w:rPr>
          <w:rStyle w:val="FootnoteReference"/>
        </w:rPr>
        <w:footnoteRef/>
      </w:r>
      <w:r>
        <w:t xml:space="preserve"> </w:t>
      </w:r>
      <w:r>
        <w:tab/>
        <w:t xml:space="preserve">There is one exception. The SA Power Networks/CitiPower/Powercor submission identifies several potential options for dealing with the issue. One of these options entails an adjustment to the RAB to offset the claimed residual impact of the difference between expected and actual inflation over the previous regulatory control period. This might be implemented in the RFM. However, the submission noted that it would likely require changes to the NER, and so it is also beyond the scope of this RFM update. SA Power Networks/CitiPower/Powercor, </w:t>
      </w:r>
      <w:r w:rsidRPr="00951645">
        <w:rPr>
          <w:rStyle w:val="Emphasis"/>
        </w:rPr>
        <w:t>Letter re: Proposed amendment to the roll forward model</w:t>
      </w:r>
      <w:r>
        <w:t>, 13 October 2016, p. 7.</w:t>
      </w:r>
    </w:p>
  </w:footnote>
  <w:footnote w:id="64">
    <w:p w:rsidR="00815808" w:rsidRDefault="00815808">
      <w:pPr>
        <w:pStyle w:val="FootnoteText"/>
      </w:pPr>
      <w:r>
        <w:rPr>
          <w:rStyle w:val="FootnoteReference"/>
        </w:rPr>
        <w:footnoteRef/>
      </w:r>
      <w:r>
        <w:t xml:space="preserve"> </w:t>
      </w:r>
      <w:r>
        <w:tab/>
      </w:r>
      <w:proofErr w:type="gramStart"/>
      <w:r>
        <w:t>NER, cl. 6.4.1(b).</w:t>
      </w:r>
      <w:proofErr w:type="gramEnd"/>
    </w:p>
  </w:footnote>
  <w:footnote w:id="65">
    <w:p w:rsidR="00815808" w:rsidRDefault="00815808">
      <w:pPr>
        <w:pStyle w:val="FootnoteText"/>
      </w:pPr>
      <w:r>
        <w:rPr>
          <w:rStyle w:val="FootnoteReference"/>
        </w:rPr>
        <w:footnoteRef/>
      </w:r>
      <w:r>
        <w:t xml:space="preserve"> </w:t>
      </w:r>
      <w:r>
        <w:tab/>
      </w:r>
      <w:proofErr w:type="gramStart"/>
      <w:r>
        <w:t>NER, cl. S6.2.2A.</w:t>
      </w:r>
      <w:proofErr w:type="gramEnd"/>
      <w:r>
        <w:t xml:space="preserve"> See also AER, </w:t>
      </w:r>
      <w:r w:rsidRPr="00414639">
        <w:rPr>
          <w:rStyle w:val="Emphasis"/>
        </w:rPr>
        <w:t>Better Regulation, Capital expenditure incentive guideline for electricity network service providers</w:t>
      </w:r>
      <w:r>
        <w:t>, November 2013, pp. 9–10, 13–22</w:t>
      </w:r>
      <w:r w:rsidR="00362F99">
        <w:t>.</w:t>
      </w:r>
    </w:p>
  </w:footnote>
  <w:footnote w:id="66">
    <w:p w:rsidR="00815808" w:rsidRDefault="00815808">
      <w:pPr>
        <w:pStyle w:val="FootnoteText"/>
      </w:pPr>
      <w:r>
        <w:rPr>
          <w:rStyle w:val="FootnoteReference"/>
        </w:rPr>
        <w:footnoteRef/>
      </w:r>
      <w:r>
        <w:t xml:space="preserve"> </w:t>
      </w:r>
      <w:r>
        <w:tab/>
        <w:t xml:space="preserve">We assess prudency and efficiency of capex with regard to three specific tests set out in the NER, known as the overspending requirement, margin requirement and capitalisation requirement. See NER, </w:t>
      </w:r>
      <w:proofErr w:type="spellStart"/>
      <w:r>
        <w:t>cll</w:t>
      </w:r>
      <w:proofErr w:type="spellEnd"/>
      <w:r>
        <w:t>. S6.2.2A (c)–(e).</w:t>
      </w:r>
    </w:p>
  </w:footnote>
  <w:footnote w:id="67">
    <w:p w:rsidR="00815808" w:rsidRDefault="00815808">
      <w:pPr>
        <w:pStyle w:val="FootnoteText"/>
      </w:pPr>
      <w:r>
        <w:rPr>
          <w:rStyle w:val="FootnoteReference"/>
        </w:rPr>
        <w:footnoteRef/>
      </w:r>
      <w:r>
        <w:t xml:space="preserve"> </w:t>
      </w:r>
      <w:r>
        <w:tab/>
        <w:t xml:space="preserve">JEN, </w:t>
      </w:r>
      <w:r w:rsidRPr="002A4A7C">
        <w:rPr>
          <w:rStyle w:val="Emphasis"/>
        </w:rPr>
        <w:t xml:space="preserve">Letter re: Response to proposed amendments to the distribution </w:t>
      </w:r>
      <w:proofErr w:type="gramStart"/>
      <w:r w:rsidRPr="002A4A7C">
        <w:rPr>
          <w:rStyle w:val="Emphasis"/>
        </w:rPr>
        <w:t>roll</w:t>
      </w:r>
      <w:proofErr w:type="gramEnd"/>
      <w:r w:rsidRPr="002A4A7C">
        <w:rPr>
          <w:rStyle w:val="Emphasis"/>
        </w:rPr>
        <w:t xml:space="preserve"> forward model</w:t>
      </w:r>
      <w:r>
        <w:t>, 13 October 2016, p. 4.</w:t>
      </w:r>
    </w:p>
  </w:footnote>
  <w:footnote w:id="68">
    <w:p w:rsidR="00815808" w:rsidRDefault="00815808">
      <w:pPr>
        <w:pStyle w:val="FootnoteText"/>
      </w:pPr>
      <w:r>
        <w:rPr>
          <w:rStyle w:val="FootnoteReference"/>
        </w:rPr>
        <w:footnoteRef/>
      </w:r>
      <w:r>
        <w:t xml:space="preserve"> </w:t>
      </w:r>
      <w:r>
        <w:tab/>
        <w:t xml:space="preserve">The input values that are adjusted will depend on when the excluded capex occurred. The capex assessment window is offset from the regulatory control period by two years. For example, assuming regulatory control periods are five years in length, the assessment is for years one, two and three of the regulatory control period, and years four and five of the regulatory control period before that. Excluded capex falling within the regulatory control period will require changes in the yearly capex inputs. Excluded capex from the previous regulatory control period will require changes to the opening RAB inputs, and corresponding changes to the </w:t>
      </w:r>
      <w:r w:rsidRPr="0053242D">
        <w:rPr>
          <w:rStyle w:val="Emphasis"/>
        </w:rPr>
        <w:t>RAB remaining life</w:t>
      </w:r>
      <w:r>
        <w:t xml:space="preserve"> and </w:t>
      </w:r>
      <w:r w:rsidRPr="0053242D">
        <w:rPr>
          <w:rStyle w:val="Emphasis"/>
        </w:rPr>
        <w:t>TAB remaining life</w:t>
      </w:r>
      <w:r>
        <w:t xml:space="preserve"> sheets as well.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FFFFFF89"/>
    <w:multiLevelType w:val="singleLevel"/>
    <w:tmpl w:val="4536BBC4"/>
    <w:lvl w:ilvl="0">
      <w:start w:val="1"/>
      <w:numFmt w:val="bullet"/>
      <w:lvlText w:val=""/>
      <w:lvlJc w:val="left"/>
      <w:pPr>
        <w:tabs>
          <w:tab w:val="num" w:pos="360"/>
        </w:tabs>
        <w:ind w:left="360" w:hanging="360"/>
      </w:pPr>
      <w:rPr>
        <w:rFonts w:ascii="Symbol" w:hAnsi="Symbol" w:hint="default"/>
      </w:rPr>
    </w:lvl>
  </w:abstractNum>
  <w:abstractNum w:abstractNumId="10">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7">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2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20"/>
  </w:num>
  <w:num w:numId="14">
    <w:abstractNumId w:val="14"/>
  </w:num>
  <w:num w:numId="15">
    <w:abstractNumId w:val="17"/>
  </w:num>
  <w:num w:numId="16">
    <w:abstractNumId w:val="22"/>
  </w:num>
  <w:num w:numId="17">
    <w:abstractNumId w:val="13"/>
  </w:num>
  <w:num w:numId="18">
    <w:abstractNumId w:val="19"/>
  </w:num>
  <w:num w:numId="19">
    <w:abstractNumId w:val="12"/>
  </w:num>
  <w:num w:numId="20">
    <w:abstractNumId w:val="23"/>
  </w:num>
  <w:num w:numId="21">
    <w:abstractNumId w:val="27"/>
  </w:num>
  <w:num w:numId="22">
    <w:abstractNumId w:val="18"/>
  </w:num>
  <w:num w:numId="23">
    <w:abstractNumId w:val="2"/>
    <w:lvlOverride w:ilvl="0">
      <w:startOverride w:val="1"/>
    </w:lvlOverride>
  </w:num>
  <w:num w:numId="24">
    <w:abstractNumId w:val="19"/>
    <w:lvlOverride w:ilvl="0">
      <w:startOverride w:val="1"/>
    </w:lvlOverride>
  </w:num>
  <w:num w:numId="25">
    <w:abstractNumId w:val="25"/>
  </w:num>
  <w:num w:numId="26">
    <w:abstractNumId w:val="21"/>
  </w:num>
  <w:num w:numId="27">
    <w:abstractNumId w:val="10"/>
  </w:num>
  <w:num w:numId="28">
    <w:abstractNumId w:val="16"/>
  </w:num>
  <w:num w:numId="29">
    <w:abstractNumId w:val="11"/>
  </w:num>
  <w:num w:numId="30">
    <w:abstractNumId w:val="24"/>
  </w:num>
  <w:num w:numId="31">
    <w:abstractNumId w:val="8"/>
    <w:lvlOverride w:ilvl="0">
      <w:startOverride w:val="1"/>
    </w:lvlOverride>
  </w:num>
  <w:num w:numId="32">
    <w:abstractNumId w:val="8"/>
    <w:lvlOverride w:ilvl="0">
      <w:startOverride w:val="1"/>
    </w:lvlOverride>
  </w:num>
  <w:num w:numId="33">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hdrShapeDefaults>
    <o:shapedefaults v:ext="edit" spidmax="153601"/>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S:\AER\CPI data &amp; templates\Dx RFM update 2016\For Web\Final\Final decision - Amendments to electricity distribution roll forward model - December 2016.DOCX"/>
  </w:docVars>
  <w:rsids>
    <w:rsidRoot w:val="00F56D12"/>
    <w:rsid w:val="00000AB0"/>
    <w:rsid w:val="00011CC3"/>
    <w:rsid w:val="000120CC"/>
    <w:rsid w:val="000128B0"/>
    <w:rsid w:val="000140D3"/>
    <w:rsid w:val="00016858"/>
    <w:rsid w:val="00017596"/>
    <w:rsid w:val="0002018A"/>
    <w:rsid w:val="000202D3"/>
    <w:rsid w:val="00021202"/>
    <w:rsid w:val="00022082"/>
    <w:rsid w:val="0002517F"/>
    <w:rsid w:val="0003578C"/>
    <w:rsid w:val="00041048"/>
    <w:rsid w:val="00044833"/>
    <w:rsid w:val="000450CD"/>
    <w:rsid w:val="000500BC"/>
    <w:rsid w:val="00052196"/>
    <w:rsid w:val="000605B6"/>
    <w:rsid w:val="00063247"/>
    <w:rsid w:val="000704BE"/>
    <w:rsid w:val="00070F9F"/>
    <w:rsid w:val="0007137B"/>
    <w:rsid w:val="00072B76"/>
    <w:rsid w:val="00074341"/>
    <w:rsid w:val="00076536"/>
    <w:rsid w:val="000820A8"/>
    <w:rsid w:val="00083857"/>
    <w:rsid w:val="00083DFF"/>
    <w:rsid w:val="00084066"/>
    <w:rsid w:val="0008445C"/>
    <w:rsid w:val="00085663"/>
    <w:rsid w:val="00085EBF"/>
    <w:rsid w:val="00086C33"/>
    <w:rsid w:val="000A4FF0"/>
    <w:rsid w:val="000A6C7B"/>
    <w:rsid w:val="000C4612"/>
    <w:rsid w:val="000D122C"/>
    <w:rsid w:val="000D20FB"/>
    <w:rsid w:val="000E0FA6"/>
    <w:rsid w:val="000E1819"/>
    <w:rsid w:val="000E4897"/>
    <w:rsid w:val="000E6C72"/>
    <w:rsid w:val="000F0B6B"/>
    <w:rsid w:val="00101AB5"/>
    <w:rsid w:val="00103271"/>
    <w:rsid w:val="00105320"/>
    <w:rsid w:val="00107CC7"/>
    <w:rsid w:val="001130C0"/>
    <w:rsid w:val="00116EB2"/>
    <w:rsid w:val="00124609"/>
    <w:rsid w:val="00130BA2"/>
    <w:rsid w:val="00130C3C"/>
    <w:rsid w:val="0014573B"/>
    <w:rsid w:val="001573E4"/>
    <w:rsid w:val="00160756"/>
    <w:rsid w:val="00163BEB"/>
    <w:rsid w:val="00170114"/>
    <w:rsid w:val="0017232E"/>
    <w:rsid w:val="00174102"/>
    <w:rsid w:val="00174DBF"/>
    <w:rsid w:val="00180157"/>
    <w:rsid w:val="00182906"/>
    <w:rsid w:val="00185CB9"/>
    <w:rsid w:val="00186F77"/>
    <w:rsid w:val="001926A4"/>
    <w:rsid w:val="00192AD5"/>
    <w:rsid w:val="00195275"/>
    <w:rsid w:val="0019762D"/>
    <w:rsid w:val="001A6640"/>
    <w:rsid w:val="001B1C2C"/>
    <w:rsid w:val="001B45A0"/>
    <w:rsid w:val="001B77DE"/>
    <w:rsid w:val="001C2C55"/>
    <w:rsid w:val="001C7853"/>
    <w:rsid w:val="001D055E"/>
    <w:rsid w:val="001D2836"/>
    <w:rsid w:val="001F492E"/>
    <w:rsid w:val="001F6DA3"/>
    <w:rsid w:val="002010BC"/>
    <w:rsid w:val="00201D7D"/>
    <w:rsid w:val="00202E03"/>
    <w:rsid w:val="0020492C"/>
    <w:rsid w:val="00207FDC"/>
    <w:rsid w:val="00210D97"/>
    <w:rsid w:val="00217E32"/>
    <w:rsid w:val="002235D5"/>
    <w:rsid w:val="00224DB9"/>
    <w:rsid w:val="0022554A"/>
    <w:rsid w:val="00231F81"/>
    <w:rsid w:val="00233775"/>
    <w:rsid w:val="00251745"/>
    <w:rsid w:val="002537FA"/>
    <w:rsid w:val="0025440C"/>
    <w:rsid w:val="002608C7"/>
    <w:rsid w:val="00263AC0"/>
    <w:rsid w:val="0026772D"/>
    <w:rsid w:val="002861DD"/>
    <w:rsid w:val="00286874"/>
    <w:rsid w:val="00290176"/>
    <w:rsid w:val="00296B65"/>
    <w:rsid w:val="002A1A18"/>
    <w:rsid w:val="002A3A06"/>
    <w:rsid w:val="002A4A7C"/>
    <w:rsid w:val="002A7DEF"/>
    <w:rsid w:val="002B1063"/>
    <w:rsid w:val="002B112A"/>
    <w:rsid w:val="002B6A3A"/>
    <w:rsid w:val="002C15F1"/>
    <w:rsid w:val="002E1BE5"/>
    <w:rsid w:val="002E2BFC"/>
    <w:rsid w:val="002E7206"/>
    <w:rsid w:val="002F7986"/>
    <w:rsid w:val="0030014E"/>
    <w:rsid w:val="003016D9"/>
    <w:rsid w:val="00301B40"/>
    <w:rsid w:val="00305CC8"/>
    <w:rsid w:val="00307F6D"/>
    <w:rsid w:val="00310A99"/>
    <w:rsid w:val="00311C88"/>
    <w:rsid w:val="00313EE4"/>
    <w:rsid w:val="003177A2"/>
    <w:rsid w:val="00317D73"/>
    <w:rsid w:val="00322842"/>
    <w:rsid w:val="003271B5"/>
    <w:rsid w:val="00327A1E"/>
    <w:rsid w:val="00331264"/>
    <w:rsid w:val="00332867"/>
    <w:rsid w:val="00334C1A"/>
    <w:rsid w:val="00334C8D"/>
    <w:rsid w:val="003363C9"/>
    <w:rsid w:val="00345CF5"/>
    <w:rsid w:val="003518B3"/>
    <w:rsid w:val="00362F99"/>
    <w:rsid w:val="00364742"/>
    <w:rsid w:val="00366AB3"/>
    <w:rsid w:val="00381681"/>
    <w:rsid w:val="003846F1"/>
    <w:rsid w:val="003921EC"/>
    <w:rsid w:val="00392767"/>
    <w:rsid w:val="00396458"/>
    <w:rsid w:val="003A4242"/>
    <w:rsid w:val="003A6F64"/>
    <w:rsid w:val="003C132A"/>
    <w:rsid w:val="003C2AD8"/>
    <w:rsid w:val="003D1B43"/>
    <w:rsid w:val="003D4058"/>
    <w:rsid w:val="003D56E7"/>
    <w:rsid w:val="003D75A0"/>
    <w:rsid w:val="003D77EF"/>
    <w:rsid w:val="003E1903"/>
    <w:rsid w:val="003E2BA2"/>
    <w:rsid w:val="004012F4"/>
    <w:rsid w:val="0040205A"/>
    <w:rsid w:val="0040353B"/>
    <w:rsid w:val="00405941"/>
    <w:rsid w:val="00406414"/>
    <w:rsid w:val="00414639"/>
    <w:rsid w:val="00417E58"/>
    <w:rsid w:val="0042194B"/>
    <w:rsid w:val="00421D01"/>
    <w:rsid w:val="0042545D"/>
    <w:rsid w:val="00431421"/>
    <w:rsid w:val="004349D3"/>
    <w:rsid w:val="00437A7F"/>
    <w:rsid w:val="00437BAC"/>
    <w:rsid w:val="004420B5"/>
    <w:rsid w:val="00445C14"/>
    <w:rsid w:val="004504B5"/>
    <w:rsid w:val="00456543"/>
    <w:rsid w:val="0046458F"/>
    <w:rsid w:val="0047046D"/>
    <w:rsid w:val="00474E3A"/>
    <w:rsid w:val="00480B4B"/>
    <w:rsid w:val="004857B9"/>
    <w:rsid w:val="00485DC4"/>
    <w:rsid w:val="0049799A"/>
    <w:rsid w:val="004A15F4"/>
    <w:rsid w:val="004A43D1"/>
    <w:rsid w:val="004A6463"/>
    <w:rsid w:val="004B3F23"/>
    <w:rsid w:val="004B4412"/>
    <w:rsid w:val="004C03EF"/>
    <w:rsid w:val="004C20F4"/>
    <w:rsid w:val="004C348C"/>
    <w:rsid w:val="004C7FC4"/>
    <w:rsid w:val="004D55BA"/>
    <w:rsid w:val="004D6BCD"/>
    <w:rsid w:val="004D7F7D"/>
    <w:rsid w:val="004E22E6"/>
    <w:rsid w:val="004E22EC"/>
    <w:rsid w:val="004E676E"/>
    <w:rsid w:val="0051139A"/>
    <w:rsid w:val="005116E6"/>
    <w:rsid w:val="00511AB9"/>
    <w:rsid w:val="00515802"/>
    <w:rsid w:val="005221DC"/>
    <w:rsid w:val="00525517"/>
    <w:rsid w:val="00530128"/>
    <w:rsid w:val="00532467"/>
    <w:rsid w:val="00541E4D"/>
    <w:rsid w:val="00547EF2"/>
    <w:rsid w:val="005546B3"/>
    <w:rsid w:val="00557369"/>
    <w:rsid w:val="0056080A"/>
    <w:rsid w:val="00562632"/>
    <w:rsid w:val="00564A4D"/>
    <w:rsid w:val="00567BA5"/>
    <w:rsid w:val="00571B35"/>
    <w:rsid w:val="00571D57"/>
    <w:rsid w:val="00572C32"/>
    <w:rsid w:val="00577A09"/>
    <w:rsid w:val="0058051C"/>
    <w:rsid w:val="005829C2"/>
    <w:rsid w:val="005848E2"/>
    <w:rsid w:val="00584D8F"/>
    <w:rsid w:val="005850D6"/>
    <w:rsid w:val="00587F4E"/>
    <w:rsid w:val="00590C5B"/>
    <w:rsid w:val="005A0D35"/>
    <w:rsid w:val="005A404D"/>
    <w:rsid w:val="005A66D8"/>
    <w:rsid w:val="005A6A81"/>
    <w:rsid w:val="005A6A89"/>
    <w:rsid w:val="005B1E3C"/>
    <w:rsid w:val="005B6508"/>
    <w:rsid w:val="005C26CC"/>
    <w:rsid w:val="005C3225"/>
    <w:rsid w:val="005C4261"/>
    <w:rsid w:val="005C746E"/>
    <w:rsid w:val="005D2AED"/>
    <w:rsid w:val="005E7ED0"/>
    <w:rsid w:val="005F0F6D"/>
    <w:rsid w:val="005F1920"/>
    <w:rsid w:val="005F7576"/>
    <w:rsid w:val="00604F05"/>
    <w:rsid w:val="006108F1"/>
    <w:rsid w:val="00610B3C"/>
    <w:rsid w:val="00613F11"/>
    <w:rsid w:val="00615C6B"/>
    <w:rsid w:val="00626C7D"/>
    <w:rsid w:val="0062793F"/>
    <w:rsid w:val="00630A6C"/>
    <w:rsid w:val="00632D6D"/>
    <w:rsid w:val="0064063E"/>
    <w:rsid w:val="00642C3E"/>
    <w:rsid w:val="006475E7"/>
    <w:rsid w:val="006526D1"/>
    <w:rsid w:val="00663DAD"/>
    <w:rsid w:val="00664C79"/>
    <w:rsid w:val="00665A50"/>
    <w:rsid w:val="006701C2"/>
    <w:rsid w:val="00670957"/>
    <w:rsid w:val="00671851"/>
    <w:rsid w:val="00675534"/>
    <w:rsid w:val="0067578A"/>
    <w:rsid w:val="00676018"/>
    <w:rsid w:val="00676679"/>
    <w:rsid w:val="00677F76"/>
    <w:rsid w:val="0068557F"/>
    <w:rsid w:val="00687529"/>
    <w:rsid w:val="00696355"/>
    <w:rsid w:val="006B4CF9"/>
    <w:rsid w:val="006B7AC8"/>
    <w:rsid w:val="006C1FEB"/>
    <w:rsid w:val="006D155E"/>
    <w:rsid w:val="006D550F"/>
    <w:rsid w:val="006E3FC2"/>
    <w:rsid w:val="006F2276"/>
    <w:rsid w:val="00701CAB"/>
    <w:rsid w:val="0070583B"/>
    <w:rsid w:val="00706887"/>
    <w:rsid w:val="00707563"/>
    <w:rsid w:val="007136E2"/>
    <w:rsid w:val="0072348C"/>
    <w:rsid w:val="0072444F"/>
    <w:rsid w:val="00724A37"/>
    <w:rsid w:val="007303C3"/>
    <w:rsid w:val="007358E3"/>
    <w:rsid w:val="00743223"/>
    <w:rsid w:val="00745A44"/>
    <w:rsid w:val="00746E01"/>
    <w:rsid w:val="00747D66"/>
    <w:rsid w:val="00757BDF"/>
    <w:rsid w:val="00763E5D"/>
    <w:rsid w:val="00767740"/>
    <w:rsid w:val="00777EE6"/>
    <w:rsid w:val="007813D0"/>
    <w:rsid w:val="0078258E"/>
    <w:rsid w:val="00782EEA"/>
    <w:rsid w:val="00784ABC"/>
    <w:rsid w:val="007A4D1F"/>
    <w:rsid w:val="007B2C72"/>
    <w:rsid w:val="007B3CCD"/>
    <w:rsid w:val="007C1C53"/>
    <w:rsid w:val="007C4D90"/>
    <w:rsid w:val="007C74BB"/>
    <w:rsid w:val="007D06DA"/>
    <w:rsid w:val="007D3B31"/>
    <w:rsid w:val="007D5373"/>
    <w:rsid w:val="007E4904"/>
    <w:rsid w:val="007E4CB5"/>
    <w:rsid w:val="007F066B"/>
    <w:rsid w:val="007F141D"/>
    <w:rsid w:val="007F2368"/>
    <w:rsid w:val="007F6AF4"/>
    <w:rsid w:val="008009C3"/>
    <w:rsid w:val="008033C4"/>
    <w:rsid w:val="0080489F"/>
    <w:rsid w:val="0080698E"/>
    <w:rsid w:val="00806C88"/>
    <w:rsid w:val="0081034E"/>
    <w:rsid w:val="008154E0"/>
    <w:rsid w:val="00815808"/>
    <w:rsid w:val="00815A79"/>
    <w:rsid w:val="00820A00"/>
    <w:rsid w:val="008211E3"/>
    <w:rsid w:val="00823AE9"/>
    <w:rsid w:val="00831466"/>
    <w:rsid w:val="008344F6"/>
    <w:rsid w:val="0083510F"/>
    <w:rsid w:val="00843704"/>
    <w:rsid w:val="00845E0C"/>
    <w:rsid w:val="00851209"/>
    <w:rsid w:val="00862F16"/>
    <w:rsid w:val="00866803"/>
    <w:rsid w:val="008837AC"/>
    <w:rsid w:val="00887199"/>
    <w:rsid w:val="00890D3E"/>
    <w:rsid w:val="008A0D7E"/>
    <w:rsid w:val="008A3E3C"/>
    <w:rsid w:val="008A587D"/>
    <w:rsid w:val="008B1B3F"/>
    <w:rsid w:val="008B2E00"/>
    <w:rsid w:val="008B5B71"/>
    <w:rsid w:val="008C5486"/>
    <w:rsid w:val="008D052A"/>
    <w:rsid w:val="008D1661"/>
    <w:rsid w:val="008D18E5"/>
    <w:rsid w:val="008D2CC2"/>
    <w:rsid w:val="008E7031"/>
    <w:rsid w:val="008E739B"/>
    <w:rsid w:val="008F2354"/>
    <w:rsid w:val="008F3366"/>
    <w:rsid w:val="00900A4F"/>
    <w:rsid w:val="00910A72"/>
    <w:rsid w:val="00915814"/>
    <w:rsid w:val="009233EE"/>
    <w:rsid w:val="00931BF4"/>
    <w:rsid w:val="009321DB"/>
    <w:rsid w:val="009460AA"/>
    <w:rsid w:val="00951645"/>
    <w:rsid w:val="00951978"/>
    <w:rsid w:val="0095237D"/>
    <w:rsid w:val="009528E9"/>
    <w:rsid w:val="00962E7D"/>
    <w:rsid w:val="009644A3"/>
    <w:rsid w:val="00964A29"/>
    <w:rsid w:val="00965C42"/>
    <w:rsid w:val="009661DE"/>
    <w:rsid w:val="0096671A"/>
    <w:rsid w:val="0097385B"/>
    <w:rsid w:val="009856B7"/>
    <w:rsid w:val="00985DAD"/>
    <w:rsid w:val="00987BE1"/>
    <w:rsid w:val="009931E6"/>
    <w:rsid w:val="009A5FC3"/>
    <w:rsid w:val="009B6CF5"/>
    <w:rsid w:val="009B74B0"/>
    <w:rsid w:val="009B7F5A"/>
    <w:rsid w:val="009C0BAF"/>
    <w:rsid w:val="009C49E1"/>
    <w:rsid w:val="009D08A2"/>
    <w:rsid w:val="009D1051"/>
    <w:rsid w:val="009D6B46"/>
    <w:rsid w:val="009E60A6"/>
    <w:rsid w:val="009F3E24"/>
    <w:rsid w:val="009F43EE"/>
    <w:rsid w:val="009F4940"/>
    <w:rsid w:val="009F5BA1"/>
    <w:rsid w:val="00A02A88"/>
    <w:rsid w:val="00A040E7"/>
    <w:rsid w:val="00A041D1"/>
    <w:rsid w:val="00A0562E"/>
    <w:rsid w:val="00A06B7A"/>
    <w:rsid w:val="00A0726D"/>
    <w:rsid w:val="00A175E4"/>
    <w:rsid w:val="00A22495"/>
    <w:rsid w:val="00A32FBB"/>
    <w:rsid w:val="00A33D79"/>
    <w:rsid w:val="00A4478A"/>
    <w:rsid w:val="00A44852"/>
    <w:rsid w:val="00A52557"/>
    <w:rsid w:val="00A57D04"/>
    <w:rsid w:val="00A60023"/>
    <w:rsid w:val="00A60A26"/>
    <w:rsid w:val="00A61598"/>
    <w:rsid w:val="00A63F4A"/>
    <w:rsid w:val="00A74057"/>
    <w:rsid w:val="00A75077"/>
    <w:rsid w:val="00A75708"/>
    <w:rsid w:val="00A80CA5"/>
    <w:rsid w:val="00A84F46"/>
    <w:rsid w:val="00A86449"/>
    <w:rsid w:val="00A871F4"/>
    <w:rsid w:val="00A9541E"/>
    <w:rsid w:val="00AA09C0"/>
    <w:rsid w:val="00AA4EA7"/>
    <w:rsid w:val="00AA7CAF"/>
    <w:rsid w:val="00AC1B2C"/>
    <w:rsid w:val="00AC26CF"/>
    <w:rsid w:val="00AC3264"/>
    <w:rsid w:val="00AC5EEB"/>
    <w:rsid w:val="00AE1BF1"/>
    <w:rsid w:val="00AE2BB1"/>
    <w:rsid w:val="00AE7CC3"/>
    <w:rsid w:val="00AF0857"/>
    <w:rsid w:val="00AF0DD2"/>
    <w:rsid w:val="00AF1ED6"/>
    <w:rsid w:val="00AF38CB"/>
    <w:rsid w:val="00B055B7"/>
    <w:rsid w:val="00B13048"/>
    <w:rsid w:val="00B14646"/>
    <w:rsid w:val="00B1716D"/>
    <w:rsid w:val="00B17A1D"/>
    <w:rsid w:val="00B207A0"/>
    <w:rsid w:val="00B278F8"/>
    <w:rsid w:val="00B37E38"/>
    <w:rsid w:val="00B514DD"/>
    <w:rsid w:val="00B52AF0"/>
    <w:rsid w:val="00B56B7F"/>
    <w:rsid w:val="00B56E03"/>
    <w:rsid w:val="00B57D46"/>
    <w:rsid w:val="00B6119D"/>
    <w:rsid w:val="00B720AB"/>
    <w:rsid w:val="00B731F8"/>
    <w:rsid w:val="00B8080B"/>
    <w:rsid w:val="00B842C5"/>
    <w:rsid w:val="00B8515B"/>
    <w:rsid w:val="00B87C39"/>
    <w:rsid w:val="00B927D8"/>
    <w:rsid w:val="00B95B50"/>
    <w:rsid w:val="00B96668"/>
    <w:rsid w:val="00B97A34"/>
    <w:rsid w:val="00BA3C98"/>
    <w:rsid w:val="00BA4665"/>
    <w:rsid w:val="00BB2347"/>
    <w:rsid w:val="00BB2FB2"/>
    <w:rsid w:val="00BB3304"/>
    <w:rsid w:val="00BD240A"/>
    <w:rsid w:val="00BD3446"/>
    <w:rsid w:val="00BD40FD"/>
    <w:rsid w:val="00BD5405"/>
    <w:rsid w:val="00BE16F0"/>
    <w:rsid w:val="00BE1F1B"/>
    <w:rsid w:val="00BE47B5"/>
    <w:rsid w:val="00BE56CB"/>
    <w:rsid w:val="00BE638A"/>
    <w:rsid w:val="00C00DEA"/>
    <w:rsid w:val="00C00FAB"/>
    <w:rsid w:val="00C03B36"/>
    <w:rsid w:val="00C1384B"/>
    <w:rsid w:val="00C13D26"/>
    <w:rsid w:val="00C16368"/>
    <w:rsid w:val="00C16545"/>
    <w:rsid w:val="00C25FA6"/>
    <w:rsid w:val="00C320F8"/>
    <w:rsid w:val="00C35969"/>
    <w:rsid w:val="00C35E2B"/>
    <w:rsid w:val="00C37E42"/>
    <w:rsid w:val="00C40297"/>
    <w:rsid w:val="00C41F79"/>
    <w:rsid w:val="00C4364B"/>
    <w:rsid w:val="00C458BB"/>
    <w:rsid w:val="00C512BD"/>
    <w:rsid w:val="00C522E2"/>
    <w:rsid w:val="00C538A9"/>
    <w:rsid w:val="00C53B5A"/>
    <w:rsid w:val="00C54F5A"/>
    <w:rsid w:val="00C569B4"/>
    <w:rsid w:val="00C67A92"/>
    <w:rsid w:val="00C72ACA"/>
    <w:rsid w:val="00C80349"/>
    <w:rsid w:val="00C807A4"/>
    <w:rsid w:val="00C86679"/>
    <w:rsid w:val="00C95005"/>
    <w:rsid w:val="00CA29C8"/>
    <w:rsid w:val="00CA489E"/>
    <w:rsid w:val="00CB666B"/>
    <w:rsid w:val="00CC0542"/>
    <w:rsid w:val="00CC081A"/>
    <w:rsid w:val="00CC1C11"/>
    <w:rsid w:val="00CC1E84"/>
    <w:rsid w:val="00CC213C"/>
    <w:rsid w:val="00CC3A4B"/>
    <w:rsid w:val="00CC7F1D"/>
    <w:rsid w:val="00CD17B2"/>
    <w:rsid w:val="00CD2DEF"/>
    <w:rsid w:val="00CD456B"/>
    <w:rsid w:val="00CD6519"/>
    <w:rsid w:val="00CE1FEE"/>
    <w:rsid w:val="00CE2534"/>
    <w:rsid w:val="00D01CF0"/>
    <w:rsid w:val="00D0442A"/>
    <w:rsid w:val="00D17BC9"/>
    <w:rsid w:val="00D20766"/>
    <w:rsid w:val="00D20CC3"/>
    <w:rsid w:val="00D310B7"/>
    <w:rsid w:val="00D335D0"/>
    <w:rsid w:val="00D61388"/>
    <w:rsid w:val="00D61A54"/>
    <w:rsid w:val="00D64DEA"/>
    <w:rsid w:val="00D660FB"/>
    <w:rsid w:val="00D7168E"/>
    <w:rsid w:val="00D71E57"/>
    <w:rsid w:val="00D76CCB"/>
    <w:rsid w:val="00D80893"/>
    <w:rsid w:val="00D81EF4"/>
    <w:rsid w:val="00D82FAF"/>
    <w:rsid w:val="00D87DA8"/>
    <w:rsid w:val="00D924A9"/>
    <w:rsid w:val="00D92CF1"/>
    <w:rsid w:val="00D92D38"/>
    <w:rsid w:val="00D93743"/>
    <w:rsid w:val="00D950F5"/>
    <w:rsid w:val="00D978A4"/>
    <w:rsid w:val="00DB0F93"/>
    <w:rsid w:val="00DB1A67"/>
    <w:rsid w:val="00DB1C30"/>
    <w:rsid w:val="00DB5074"/>
    <w:rsid w:val="00DB723B"/>
    <w:rsid w:val="00DC02A1"/>
    <w:rsid w:val="00DC281E"/>
    <w:rsid w:val="00DC430B"/>
    <w:rsid w:val="00DC7981"/>
    <w:rsid w:val="00DD544B"/>
    <w:rsid w:val="00DE4EFA"/>
    <w:rsid w:val="00DE5520"/>
    <w:rsid w:val="00DF1231"/>
    <w:rsid w:val="00E026D4"/>
    <w:rsid w:val="00E04818"/>
    <w:rsid w:val="00E06442"/>
    <w:rsid w:val="00E134FB"/>
    <w:rsid w:val="00E137FB"/>
    <w:rsid w:val="00E16751"/>
    <w:rsid w:val="00E22820"/>
    <w:rsid w:val="00E23993"/>
    <w:rsid w:val="00E25B8C"/>
    <w:rsid w:val="00E26688"/>
    <w:rsid w:val="00E317B2"/>
    <w:rsid w:val="00E40E9A"/>
    <w:rsid w:val="00E65C85"/>
    <w:rsid w:val="00E66199"/>
    <w:rsid w:val="00E676A1"/>
    <w:rsid w:val="00E67E99"/>
    <w:rsid w:val="00E755EC"/>
    <w:rsid w:val="00E7624D"/>
    <w:rsid w:val="00E94DB6"/>
    <w:rsid w:val="00EA0F85"/>
    <w:rsid w:val="00EA3595"/>
    <w:rsid w:val="00EA3D42"/>
    <w:rsid w:val="00EA6B1B"/>
    <w:rsid w:val="00EB505D"/>
    <w:rsid w:val="00EC6488"/>
    <w:rsid w:val="00ED2DCF"/>
    <w:rsid w:val="00EE00DC"/>
    <w:rsid w:val="00EE28F3"/>
    <w:rsid w:val="00EE79F1"/>
    <w:rsid w:val="00EE7BC5"/>
    <w:rsid w:val="00EF01A6"/>
    <w:rsid w:val="00EF0578"/>
    <w:rsid w:val="00EF2A21"/>
    <w:rsid w:val="00EF5110"/>
    <w:rsid w:val="00F103C1"/>
    <w:rsid w:val="00F15882"/>
    <w:rsid w:val="00F171E0"/>
    <w:rsid w:val="00F173DA"/>
    <w:rsid w:val="00F17893"/>
    <w:rsid w:val="00F20BD3"/>
    <w:rsid w:val="00F26D08"/>
    <w:rsid w:val="00F36A2D"/>
    <w:rsid w:val="00F373A5"/>
    <w:rsid w:val="00F47559"/>
    <w:rsid w:val="00F56D12"/>
    <w:rsid w:val="00F57F1D"/>
    <w:rsid w:val="00F64C7B"/>
    <w:rsid w:val="00F676DD"/>
    <w:rsid w:val="00F71778"/>
    <w:rsid w:val="00F74998"/>
    <w:rsid w:val="00F75A26"/>
    <w:rsid w:val="00F835C9"/>
    <w:rsid w:val="00F83FAD"/>
    <w:rsid w:val="00F85747"/>
    <w:rsid w:val="00F90271"/>
    <w:rsid w:val="00F952A0"/>
    <w:rsid w:val="00F96BE9"/>
    <w:rsid w:val="00FA3091"/>
    <w:rsid w:val="00FA3C7F"/>
    <w:rsid w:val="00FB1557"/>
    <w:rsid w:val="00FB3CFC"/>
    <w:rsid w:val="00FB74E2"/>
    <w:rsid w:val="00FC220D"/>
    <w:rsid w:val="00FC4A37"/>
    <w:rsid w:val="00FC70B4"/>
    <w:rsid w:val="00FD2182"/>
    <w:rsid w:val="00FD5614"/>
    <w:rsid w:val="00FD609D"/>
    <w:rsid w:val="00FE0BE1"/>
    <w:rsid w:val="00FE1DE9"/>
    <w:rsid w:val="00FE39C2"/>
    <w:rsid w:val="00FE3C32"/>
    <w:rsid w:val="00FE64AE"/>
    <w:rsid w:val="00FF2A2E"/>
    <w:rsid w:val="00FF71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unhideWhenUsed/>
    <w:rsid w:val="00F171E0"/>
    <w:pPr>
      <w:spacing w:after="120"/>
      <w:ind w:left="283"/>
    </w:pPr>
  </w:style>
  <w:style w:type="character" w:customStyle="1" w:styleId="BodyTextIndentChar">
    <w:name w:val="Body Text Indent Char"/>
    <w:basedOn w:val="DefaultParagraphFont"/>
    <w:link w:val="BodyTextIndent"/>
    <w:uiPriority w:val="99"/>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F56D12"/>
    <w:pPr>
      <w:spacing w:line="240" w:lineRule="auto"/>
    </w:pPr>
    <w:rPr>
      <w:sz w:val="20"/>
      <w:szCs w:val="20"/>
    </w:rPr>
  </w:style>
  <w:style w:type="character" w:customStyle="1" w:styleId="CommentTextChar">
    <w:name w:val="Comment Text Char"/>
    <w:basedOn w:val="DefaultParagraphFont"/>
    <w:link w:val="CommentText"/>
    <w:uiPriority w:val="99"/>
    <w:semiHidden/>
    <w:rsid w:val="00F56D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56D12"/>
    <w:rPr>
      <w:b/>
      <w:bCs/>
    </w:rPr>
  </w:style>
  <w:style w:type="character" w:customStyle="1" w:styleId="CommentSubjectChar">
    <w:name w:val="Comment Subject Char"/>
    <w:basedOn w:val="CommentTextChar"/>
    <w:link w:val="CommentSubject"/>
    <w:uiPriority w:val="99"/>
    <w:semiHidden/>
    <w:rsid w:val="00F56D12"/>
    <w:rPr>
      <w:rFonts w:ascii="Arial" w:hAnsi="Arial"/>
      <w:b/>
      <w:bCs/>
      <w:sz w:val="20"/>
      <w:szCs w:val="20"/>
    </w:rPr>
  </w:style>
  <w:style w:type="paragraph" w:styleId="BodyText">
    <w:name w:val="Body Text"/>
    <w:basedOn w:val="Normal"/>
    <w:link w:val="BodyTextChar"/>
    <w:uiPriority w:val="99"/>
    <w:unhideWhenUsed/>
    <w:rsid w:val="000202D3"/>
    <w:pPr>
      <w:spacing w:after="120"/>
    </w:pPr>
  </w:style>
  <w:style w:type="character" w:customStyle="1" w:styleId="BodyTextChar">
    <w:name w:val="Body Text Char"/>
    <w:basedOn w:val="DefaultParagraphFont"/>
    <w:link w:val="BodyText"/>
    <w:uiPriority w:val="99"/>
    <w:rsid w:val="000202D3"/>
    <w:rPr>
      <w:rFonts w:ascii="Arial" w:hAnsi="Arial"/>
    </w:rPr>
  </w:style>
  <w:style w:type="paragraph" w:styleId="BlockText">
    <w:name w:val="Block Text"/>
    <w:basedOn w:val="Normal"/>
    <w:uiPriority w:val="99"/>
    <w:unhideWhenUsed/>
    <w:rsid w:val="000202D3"/>
    <w:pPr>
      <w:pBdr>
        <w:top w:val="single" w:sz="2" w:space="10" w:color="2F002F" w:themeColor="accent1" w:shadow="1" w:frame="1"/>
        <w:left w:val="single" w:sz="2" w:space="10" w:color="2F002F" w:themeColor="accent1" w:shadow="1" w:frame="1"/>
        <w:bottom w:val="single" w:sz="2" w:space="10" w:color="2F002F" w:themeColor="accent1" w:shadow="1" w:frame="1"/>
        <w:right w:val="single" w:sz="2" w:space="10" w:color="2F002F" w:themeColor="accent1" w:shadow="1" w:frame="1"/>
      </w:pBdr>
      <w:ind w:left="1152" w:right="1152"/>
    </w:pPr>
    <w:rPr>
      <w:rFonts w:asciiTheme="minorHAnsi" w:eastAsiaTheme="minorEastAsia" w:hAnsiTheme="minorHAnsi"/>
      <w:i/>
      <w:iCs/>
      <w:color w:val="2F002F"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unhideWhenUsed/>
    <w:rsid w:val="00F171E0"/>
    <w:pPr>
      <w:spacing w:after="120"/>
      <w:ind w:left="283"/>
    </w:pPr>
  </w:style>
  <w:style w:type="character" w:customStyle="1" w:styleId="BodyTextIndentChar">
    <w:name w:val="Body Text Indent Char"/>
    <w:basedOn w:val="DefaultParagraphFont"/>
    <w:link w:val="BodyTextIndent"/>
    <w:uiPriority w:val="99"/>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F56D12"/>
    <w:pPr>
      <w:spacing w:line="240" w:lineRule="auto"/>
    </w:pPr>
    <w:rPr>
      <w:sz w:val="20"/>
      <w:szCs w:val="20"/>
    </w:rPr>
  </w:style>
  <w:style w:type="character" w:customStyle="1" w:styleId="CommentTextChar">
    <w:name w:val="Comment Text Char"/>
    <w:basedOn w:val="DefaultParagraphFont"/>
    <w:link w:val="CommentText"/>
    <w:uiPriority w:val="99"/>
    <w:semiHidden/>
    <w:rsid w:val="00F56D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56D12"/>
    <w:rPr>
      <w:b/>
      <w:bCs/>
    </w:rPr>
  </w:style>
  <w:style w:type="character" w:customStyle="1" w:styleId="CommentSubjectChar">
    <w:name w:val="Comment Subject Char"/>
    <w:basedOn w:val="CommentTextChar"/>
    <w:link w:val="CommentSubject"/>
    <w:uiPriority w:val="99"/>
    <w:semiHidden/>
    <w:rsid w:val="00F56D12"/>
    <w:rPr>
      <w:rFonts w:ascii="Arial" w:hAnsi="Arial"/>
      <w:b/>
      <w:bCs/>
      <w:sz w:val="20"/>
      <w:szCs w:val="20"/>
    </w:rPr>
  </w:style>
  <w:style w:type="paragraph" w:styleId="BodyText">
    <w:name w:val="Body Text"/>
    <w:basedOn w:val="Normal"/>
    <w:link w:val="BodyTextChar"/>
    <w:uiPriority w:val="99"/>
    <w:unhideWhenUsed/>
    <w:rsid w:val="000202D3"/>
    <w:pPr>
      <w:spacing w:after="120"/>
    </w:pPr>
  </w:style>
  <w:style w:type="character" w:customStyle="1" w:styleId="BodyTextChar">
    <w:name w:val="Body Text Char"/>
    <w:basedOn w:val="DefaultParagraphFont"/>
    <w:link w:val="BodyText"/>
    <w:uiPriority w:val="99"/>
    <w:rsid w:val="000202D3"/>
    <w:rPr>
      <w:rFonts w:ascii="Arial" w:hAnsi="Arial"/>
    </w:rPr>
  </w:style>
  <w:style w:type="paragraph" w:styleId="BlockText">
    <w:name w:val="Block Text"/>
    <w:basedOn w:val="Normal"/>
    <w:uiPriority w:val="99"/>
    <w:unhideWhenUsed/>
    <w:rsid w:val="000202D3"/>
    <w:pPr>
      <w:pBdr>
        <w:top w:val="single" w:sz="2" w:space="10" w:color="2F002F" w:themeColor="accent1" w:shadow="1" w:frame="1"/>
        <w:left w:val="single" w:sz="2" w:space="10" w:color="2F002F" w:themeColor="accent1" w:shadow="1" w:frame="1"/>
        <w:bottom w:val="single" w:sz="2" w:space="10" w:color="2F002F" w:themeColor="accent1" w:shadow="1" w:frame="1"/>
        <w:right w:val="single" w:sz="2" w:space="10" w:color="2F002F" w:themeColor="accent1" w:shadow="1" w:frame="1"/>
      </w:pBdr>
      <w:ind w:left="1152" w:right="1152"/>
    </w:pPr>
    <w:rPr>
      <w:rFonts w:asciiTheme="minorHAnsi" w:eastAsiaTheme="minorEastAsia" w:hAnsiTheme="minorHAnsi"/>
      <w:i/>
      <w:iCs/>
      <w:color w:val="2F002F"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aer.gov.au/networks-pipelines/guidelines-schemes-models-reviews/roll-forward-model-distribution-2016-proposed-amendments/initiation" TargetMode="External"/><Relationship Id="rId1" Type="http://schemas.openxmlformats.org/officeDocument/2006/relationships/hyperlink" Target="http://www.aer.gov.au/networks-pipelines/guidelines-schemes-models-reviews/roll-forward-model-2008"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306478-8A67-4113-B255-E26F61FF4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B5096004.dotm</Template>
  <TotalTime>2311</TotalTime>
  <Pages>21</Pages>
  <Words>5136</Words>
  <Characters>29279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Final decision - Amendments to electricity distribution roll forward model RFM - December 2016</vt:lpstr>
    </vt:vector>
  </TitlesOfParts>
  <Company>AER</Company>
  <LinksUpToDate>false</LinksUpToDate>
  <CharactersWithSpaces>34347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decision - Amendments to electricity distribution roll forward model RFM - December 2016</dc:title>
  <cp:lastModifiedBy>Seymour, Jonathan</cp:lastModifiedBy>
  <cp:revision>3</cp:revision>
  <cp:lastPrinted>2016-12-14T00:51:00Z</cp:lastPrinted>
  <dcterms:created xsi:type="dcterms:W3CDTF">2016-11-15T03:06:00Z</dcterms:created>
  <dcterms:modified xsi:type="dcterms:W3CDTF">2016-12-14T00:52:00Z</dcterms:modified>
</cp:coreProperties>
</file>