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9F29C6" w:rsidRDefault="004C4C71" w:rsidP="008C3722">
      <w:pPr>
        <w:pStyle w:val="HeadingOrange"/>
        <w:rPr>
          <w:rStyle w:val="AERtextsize8"/>
          <w:rFonts w:ascii="Arial" w:hAnsi="Arial" w:cs="Arial"/>
        </w:rPr>
      </w:pPr>
      <w:r w:rsidRPr="009F29C6">
        <w:rPr>
          <w:rFonts w:ascii="Arial" w:hAnsi="Arial" w:cs="Arial"/>
          <w:noProof/>
          <w:lang w:eastAsia="en-AU"/>
        </w:rPr>
        <w:drawing>
          <wp:anchor distT="0" distB="0" distL="114300" distR="114300" simplePos="0" relativeHeight="251659264" behindDoc="1" locked="0" layoutInCell="1" allowOverlap="1" wp14:anchorId="0BB7D6C2" wp14:editId="26B67E09">
            <wp:simplePos x="0" y="0"/>
            <wp:positionH relativeFrom="column">
              <wp:posOffset>-922352</wp:posOffset>
            </wp:positionH>
            <wp:positionV relativeFrom="paragraph">
              <wp:posOffset>-946205</wp:posOffset>
            </wp:positionV>
            <wp:extent cx="7601447" cy="10795832"/>
            <wp:effectExtent l="0" t="0" r="0" b="0"/>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447" cy="10795832"/>
                    </a:xfrm>
                    <a:prstGeom prst="rect">
                      <a:avLst/>
                    </a:prstGeom>
                    <a:noFill/>
                    <a:ln>
                      <a:noFill/>
                    </a:ln>
                  </pic:spPr>
                </pic:pic>
              </a:graphicData>
            </a:graphic>
            <wp14:sizeRelH relativeFrom="page">
              <wp14:pctWidth>0</wp14:pctWidth>
            </wp14:sizeRelH>
            <wp14:sizeRelV relativeFrom="page">
              <wp14:pctHeight>0</wp14:pctHeight>
            </wp14:sizeRelV>
          </wp:anchor>
        </w:drawing>
      </w:r>
      <w:r w:rsidR="00CC49D4" w:rsidRPr="009F29C6">
        <w:rPr>
          <w:rFonts w:ascii="Arial" w:hAnsi="Arial" w:cs="Arial"/>
          <w:noProof/>
          <w:lang w:eastAsia="en-AU"/>
        </w:rPr>
        <w:drawing>
          <wp:anchor distT="0" distB="0" distL="114300" distR="114300" simplePos="0" relativeHeight="251652608" behindDoc="1" locked="0" layoutInCell="1" allowOverlap="1" wp14:anchorId="420DE388" wp14:editId="29DE9E17">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2423F9" w:rsidRPr="009F29C6" w:rsidRDefault="002423F9" w:rsidP="002423F9">
      <w:pPr>
        <w:rPr>
          <w:rFonts w:ascii="Arial" w:hAnsi="Arial" w:cs="Arial"/>
        </w:rPr>
      </w:pPr>
    </w:p>
    <w:p w:rsidR="002423F9" w:rsidRPr="009F29C6" w:rsidRDefault="002423F9" w:rsidP="002423F9">
      <w:pPr>
        <w:pStyle w:val="AERbodytextnospace"/>
        <w:rPr>
          <w:rFonts w:ascii="Arial" w:hAnsi="Arial" w:cs="Arial"/>
        </w:rPr>
      </w:pPr>
    </w:p>
    <w:p w:rsidR="002423F9" w:rsidRPr="009F29C6" w:rsidRDefault="002423F9" w:rsidP="002423F9">
      <w:pPr>
        <w:rPr>
          <w:rFonts w:ascii="Arial" w:hAnsi="Arial" w:cs="Arial"/>
        </w:rPr>
      </w:pPr>
    </w:p>
    <w:p w:rsidR="002423F9" w:rsidRPr="009F29C6" w:rsidRDefault="002423F9" w:rsidP="002423F9">
      <w:pPr>
        <w:rPr>
          <w:rFonts w:ascii="Arial" w:hAnsi="Arial" w:cs="Arial"/>
        </w:rPr>
      </w:pPr>
    </w:p>
    <w:p w:rsidR="002423F9" w:rsidRPr="009F29C6" w:rsidRDefault="002423F9" w:rsidP="002423F9">
      <w:pPr>
        <w:rPr>
          <w:rFonts w:ascii="Arial" w:hAnsi="Arial" w:cs="Arial"/>
        </w:rPr>
      </w:pPr>
    </w:p>
    <w:p w:rsidR="002423F9" w:rsidRPr="009F29C6" w:rsidRDefault="002423F9" w:rsidP="002423F9">
      <w:pPr>
        <w:rPr>
          <w:rFonts w:ascii="Arial" w:hAnsi="Arial" w:cs="Arial"/>
        </w:rPr>
      </w:pPr>
    </w:p>
    <w:p w:rsidR="002423F9" w:rsidRPr="009F29C6" w:rsidRDefault="002423F9" w:rsidP="002423F9">
      <w:pPr>
        <w:rPr>
          <w:rFonts w:ascii="Arial" w:hAnsi="Arial" w:cs="Arial"/>
        </w:rPr>
      </w:pPr>
    </w:p>
    <w:p w:rsidR="002423F9" w:rsidRPr="009F29C6" w:rsidRDefault="009B0D1C" w:rsidP="00937CE8">
      <w:pPr>
        <w:pStyle w:val="AERtitle2"/>
        <w:rPr>
          <w:rFonts w:ascii="Arial" w:hAnsi="Arial" w:cs="Arial"/>
        </w:rPr>
      </w:pPr>
      <w:r w:rsidRPr="009F29C6">
        <w:rPr>
          <w:rFonts w:ascii="Arial" w:hAnsi="Arial" w:cs="Arial"/>
        </w:rPr>
        <w:t>Final decision</w:t>
      </w:r>
    </w:p>
    <w:p w:rsidR="00A91499" w:rsidRPr="009F29C6" w:rsidRDefault="00A91499" w:rsidP="00937CE8">
      <w:pPr>
        <w:pStyle w:val="AERtitle2"/>
        <w:rPr>
          <w:rFonts w:ascii="Arial" w:hAnsi="Arial" w:cs="Arial"/>
        </w:rPr>
      </w:pPr>
    </w:p>
    <w:p w:rsidR="00A91499" w:rsidRPr="009F29C6" w:rsidRDefault="00A91499" w:rsidP="00937CE8">
      <w:pPr>
        <w:pStyle w:val="AERtitle2"/>
        <w:rPr>
          <w:rFonts w:ascii="Arial" w:hAnsi="Arial" w:cs="Arial"/>
        </w:rPr>
      </w:pPr>
    </w:p>
    <w:p w:rsidR="00A91499" w:rsidRPr="009F29C6" w:rsidRDefault="009B0D1C" w:rsidP="002423F9">
      <w:pPr>
        <w:pStyle w:val="AERtitle1"/>
        <w:rPr>
          <w:rFonts w:ascii="Arial" w:hAnsi="Arial" w:cs="Arial"/>
        </w:rPr>
      </w:pPr>
      <w:r w:rsidRPr="009F29C6">
        <w:rPr>
          <w:rFonts w:ascii="Arial" w:hAnsi="Arial" w:cs="Arial"/>
        </w:rPr>
        <w:t>A</w:t>
      </w:r>
      <w:r w:rsidR="0078730A" w:rsidRPr="009F29C6">
        <w:rPr>
          <w:rFonts w:ascii="Arial" w:hAnsi="Arial" w:cs="Arial"/>
        </w:rPr>
        <w:t>mendment</w:t>
      </w:r>
    </w:p>
    <w:p w:rsidR="002423F9" w:rsidRPr="009F29C6" w:rsidRDefault="0078730A" w:rsidP="002423F9">
      <w:pPr>
        <w:pStyle w:val="AERtitle1"/>
        <w:rPr>
          <w:rFonts w:ascii="Arial" w:hAnsi="Arial" w:cs="Arial"/>
        </w:rPr>
      </w:pPr>
      <w:r w:rsidRPr="009F29C6">
        <w:rPr>
          <w:rFonts w:ascii="Arial" w:hAnsi="Arial" w:cs="Arial"/>
        </w:rPr>
        <w:t xml:space="preserve">Electricity </w:t>
      </w:r>
      <w:r w:rsidR="00A91499" w:rsidRPr="009F29C6">
        <w:rPr>
          <w:rFonts w:ascii="Arial" w:hAnsi="Arial" w:cs="Arial"/>
        </w:rPr>
        <w:t>t</w:t>
      </w:r>
      <w:r w:rsidRPr="009F29C6">
        <w:rPr>
          <w:rFonts w:ascii="Arial" w:hAnsi="Arial" w:cs="Arial"/>
        </w:rPr>
        <w:t xml:space="preserve">ransmission and </w:t>
      </w:r>
      <w:r w:rsidR="00A91499" w:rsidRPr="009F29C6">
        <w:rPr>
          <w:rFonts w:ascii="Arial" w:hAnsi="Arial" w:cs="Arial"/>
        </w:rPr>
        <w:t>d</w:t>
      </w:r>
      <w:r w:rsidRPr="009F29C6">
        <w:rPr>
          <w:rFonts w:ascii="Arial" w:hAnsi="Arial" w:cs="Arial"/>
        </w:rPr>
        <w:t>istribution network service providers</w:t>
      </w:r>
    </w:p>
    <w:p w:rsidR="00A91499" w:rsidRPr="009F29C6" w:rsidRDefault="00A91499" w:rsidP="002423F9">
      <w:pPr>
        <w:pStyle w:val="AERtitle1"/>
        <w:rPr>
          <w:rFonts w:ascii="Arial" w:hAnsi="Arial" w:cs="Arial"/>
        </w:rPr>
      </w:pPr>
      <w:r w:rsidRPr="009F29C6">
        <w:rPr>
          <w:rFonts w:ascii="Arial" w:hAnsi="Arial" w:cs="Arial"/>
        </w:rPr>
        <w:t>Post-tax revenue models</w:t>
      </w:r>
      <w:r w:rsidR="00B3535A" w:rsidRPr="009F29C6">
        <w:rPr>
          <w:rFonts w:ascii="Arial" w:hAnsi="Arial" w:cs="Arial"/>
        </w:rPr>
        <w:t xml:space="preserve"> (version 3)</w:t>
      </w:r>
    </w:p>
    <w:p w:rsidR="002423F9" w:rsidRPr="009F29C6" w:rsidRDefault="002423F9" w:rsidP="002423F9">
      <w:pPr>
        <w:rPr>
          <w:rFonts w:ascii="Arial" w:hAnsi="Arial" w:cs="Arial"/>
        </w:rPr>
      </w:pPr>
    </w:p>
    <w:p w:rsidR="002423F9" w:rsidRPr="009F29C6" w:rsidRDefault="002423F9" w:rsidP="002423F9">
      <w:pPr>
        <w:rPr>
          <w:rFonts w:ascii="Arial" w:hAnsi="Arial" w:cs="Arial"/>
        </w:rPr>
      </w:pPr>
    </w:p>
    <w:p w:rsidR="002423F9" w:rsidRPr="009F29C6" w:rsidRDefault="002423F9" w:rsidP="002423F9">
      <w:pPr>
        <w:rPr>
          <w:rFonts w:ascii="Arial" w:hAnsi="Arial" w:cs="Arial"/>
        </w:rPr>
      </w:pPr>
    </w:p>
    <w:p w:rsidR="002423F9" w:rsidRPr="009F29C6" w:rsidRDefault="004570BB" w:rsidP="002423F9">
      <w:pPr>
        <w:pStyle w:val="AERtitle2"/>
        <w:rPr>
          <w:rFonts w:ascii="Arial" w:hAnsi="Arial" w:cs="Arial"/>
        </w:rPr>
      </w:pPr>
      <w:r>
        <w:rPr>
          <w:rFonts w:ascii="Arial" w:hAnsi="Arial" w:cs="Arial"/>
        </w:rPr>
        <w:t>29</w:t>
      </w:r>
      <w:bookmarkStart w:id="0" w:name="_GoBack"/>
      <w:bookmarkEnd w:id="0"/>
      <w:r w:rsidR="00E555D2" w:rsidRPr="009F29C6">
        <w:rPr>
          <w:rFonts w:ascii="Arial" w:hAnsi="Arial" w:cs="Arial"/>
        </w:rPr>
        <w:t xml:space="preserve"> </w:t>
      </w:r>
      <w:r w:rsidR="000547D4" w:rsidRPr="009F29C6">
        <w:rPr>
          <w:rFonts w:ascii="Arial" w:hAnsi="Arial" w:cs="Arial"/>
        </w:rPr>
        <w:t>Jan</w:t>
      </w:r>
      <w:r w:rsidR="009B0D1C" w:rsidRPr="009F29C6">
        <w:rPr>
          <w:rFonts w:ascii="Arial" w:hAnsi="Arial" w:cs="Arial"/>
        </w:rPr>
        <w:t>uary 2015</w:t>
      </w:r>
    </w:p>
    <w:p w:rsidR="002423F9" w:rsidRPr="009F29C6" w:rsidRDefault="002423F9" w:rsidP="002423F9">
      <w:pPr>
        <w:rPr>
          <w:rStyle w:val="AERtextbold"/>
          <w:rFonts w:ascii="Arial" w:hAnsi="Arial" w:cs="Arial"/>
        </w:rPr>
      </w:pPr>
      <w:r w:rsidRPr="009F29C6">
        <w:rPr>
          <w:rStyle w:val="AERtextbold"/>
          <w:rFonts w:ascii="Arial" w:hAnsi="Arial" w:cs="Arial"/>
        </w:rPr>
        <w:br w:type="page"/>
      </w:r>
    </w:p>
    <w:p w:rsidR="00C643B1" w:rsidRPr="009F29C6" w:rsidRDefault="00C643B1" w:rsidP="00540029">
      <w:pPr>
        <w:pStyle w:val="AERbodytextnospaceleftalign"/>
        <w:rPr>
          <w:rStyle w:val="AERtextbold"/>
          <w:rFonts w:ascii="Arial" w:hAnsi="Arial" w:cs="Arial"/>
        </w:rPr>
      </w:pPr>
      <w:r w:rsidRPr="009F29C6">
        <w:rPr>
          <w:rStyle w:val="AERtextbold"/>
          <w:rFonts w:ascii="Arial" w:hAnsi="Arial" w:cs="Arial"/>
        </w:rPr>
        <w:lastRenderedPageBreak/>
        <w:t>© Commonwealth of Australia 201</w:t>
      </w:r>
      <w:r w:rsidR="007D62C5" w:rsidRPr="009F29C6">
        <w:rPr>
          <w:rStyle w:val="AERtextbold"/>
          <w:rFonts w:ascii="Arial" w:hAnsi="Arial" w:cs="Arial"/>
        </w:rPr>
        <w:t>5</w:t>
      </w:r>
    </w:p>
    <w:p w:rsidR="00C643B1" w:rsidRPr="009F29C6" w:rsidRDefault="00C643B1" w:rsidP="00540029">
      <w:pPr>
        <w:pStyle w:val="AERbodytext"/>
        <w:rPr>
          <w:rFonts w:ascii="Arial" w:hAnsi="Arial" w:cs="Arial"/>
        </w:rPr>
      </w:pPr>
      <w:r w:rsidRPr="009F29C6">
        <w:rPr>
          <w:rFonts w:ascii="Arial" w:hAnsi="Arial" w:cs="Arial"/>
        </w:rPr>
        <w:t>This work is copyright. In addition to any use permitted under the Copyright Act 1968, all material contained within this work is provided under a Creative Commons Attribution 3.0 Australia licence, with the exception of:</w:t>
      </w:r>
    </w:p>
    <w:p w:rsidR="00C643B1" w:rsidRPr="009F29C6" w:rsidRDefault="00C643B1" w:rsidP="00540029">
      <w:pPr>
        <w:pStyle w:val="AERbulletlistfirststyle"/>
        <w:rPr>
          <w:rFonts w:ascii="Arial" w:hAnsi="Arial" w:cs="Arial"/>
        </w:rPr>
      </w:pPr>
      <w:r w:rsidRPr="009F29C6">
        <w:rPr>
          <w:rFonts w:ascii="Arial" w:hAnsi="Arial" w:cs="Arial"/>
        </w:rPr>
        <w:t>the Commonwealth Coat of Arms</w:t>
      </w:r>
    </w:p>
    <w:p w:rsidR="00C643B1" w:rsidRPr="009F29C6" w:rsidRDefault="00C643B1" w:rsidP="00540029">
      <w:pPr>
        <w:pStyle w:val="AERbulletlistfirststyle"/>
        <w:rPr>
          <w:rFonts w:ascii="Arial" w:hAnsi="Arial" w:cs="Arial"/>
        </w:rPr>
      </w:pPr>
      <w:r w:rsidRPr="009F29C6">
        <w:rPr>
          <w:rFonts w:ascii="Arial" w:hAnsi="Arial" w:cs="Arial"/>
        </w:rPr>
        <w:t>the ACCC and AER logos</w:t>
      </w:r>
    </w:p>
    <w:p w:rsidR="00C643B1" w:rsidRPr="009F29C6" w:rsidRDefault="00C643B1" w:rsidP="00540029">
      <w:pPr>
        <w:pStyle w:val="AERbulletlistfirststyle"/>
        <w:rPr>
          <w:rFonts w:ascii="Arial" w:hAnsi="Arial" w:cs="Arial"/>
          <w:lang w:val="en-US"/>
        </w:rPr>
      </w:pPr>
      <w:r w:rsidRPr="009F29C6">
        <w:rPr>
          <w:rFonts w:ascii="Arial" w:hAnsi="Arial" w:cs="Arial"/>
        </w:rPr>
        <w:t>any illustration, diagram, photograph or graphic over which the Australian Competition and Consumer Commission does not hold copyright, but which may be part of or contained within this publication.</w:t>
      </w:r>
    </w:p>
    <w:p w:rsidR="00C643B1" w:rsidRPr="009F29C6" w:rsidRDefault="00C643B1" w:rsidP="00540029">
      <w:pPr>
        <w:pStyle w:val="AERbodytextnospaceleftalign"/>
        <w:rPr>
          <w:rFonts w:ascii="Arial" w:hAnsi="Arial" w:cs="Arial"/>
        </w:rPr>
      </w:pPr>
      <w:r w:rsidRPr="009F29C6">
        <w:rPr>
          <w:rFonts w:ascii="Arial" w:hAnsi="Arial" w:cs="Arial"/>
        </w:rPr>
        <w:t>The details of the relevant licence conditions are available on the Creative Commons website, as is the full legal code for the CC BY 3.0 AU licence.</w:t>
      </w:r>
    </w:p>
    <w:p w:rsidR="00C643B1" w:rsidRPr="009F29C6" w:rsidRDefault="00C643B1" w:rsidP="00540029">
      <w:pPr>
        <w:pStyle w:val="AERbodytextnospaceleftalign"/>
        <w:rPr>
          <w:rFonts w:ascii="Arial" w:hAnsi="Arial" w:cs="Arial"/>
        </w:rPr>
      </w:pPr>
    </w:p>
    <w:p w:rsidR="00C643B1" w:rsidRPr="009F29C6" w:rsidRDefault="00C643B1" w:rsidP="00540029">
      <w:pPr>
        <w:pStyle w:val="AERbodytextnospaceleftalign"/>
        <w:rPr>
          <w:rFonts w:ascii="Arial" w:hAnsi="Arial" w:cs="Arial"/>
        </w:rPr>
      </w:pPr>
      <w:r w:rsidRPr="009F29C6">
        <w:rPr>
          <w:rFonts w:ascii="Arial" w:hAnsi="Arial" w:cs="Arial"/>
        </w:rPr>
        <w:t xml:space="preserve">Requests and inquiries concerning reproduction and rights should be addressed to the Director, Corporate Communications, ACCC, GPO Box 3131, Canberra ACT 2601, or </w:t>
      </w:r>
      <w:hyperlink r:id="rId10" w:history="1">
        <w:r w:rsidRPr="009F29C6">
          <w:rPr>
            <w:rStyle w:val="Hyperlink"/>
            <w:rFonts w:ascii="Arial" w:hAnsi="Arial" w:cs="Arial"/>
          </w:rPr>
          <w:t>publishing.unit@accc.gov.au</w:t>
        </w:r>
      </w:hyperlink>
    </w:p>
    <w:p w:rsidR="00C643B1" w:rsidRPr="009F29C6" w:rsidRDefault="00C643B1" w:rsidP="00540029">
      <w:pPr>
        <w:pStyle w:val="AERbodytextnospace"/>
        <w:rPr>
          <w:rStyle w:val="AERbody"/>
          <w:rFonts w:ascii="Arial" w:hAnsi="Arial" w:cs="Arial"/>
        </w:rPr>
      </w:pPr>
    </w:p>
    <w:p w:rsidR="00C643B1" w:rsidRPr="009F29C6" w:rsidRDefault="00C643B1" w:rsidP="00540029">
      <w:pPr>
        <w:pStyle w:val="AERbodytextnospace"/>
        <w:rPr>
          <w:rStyle w:val="AERbody"/>
          <w:rFonts w:ascii="Arial" w:hAnsi="Arial" w:cs="Arial"/>
        </w:rPr>
      </w:pPr>
      <w:r w:rsidRPr="009F29C6">
        <w:rPr>
          <w:rStyle w:val="AERbody"/>
          <w:rFonts w:ascii="Arial" w:hAnsi="Arial" w:cs="Arial"/>
        </w:rPr>
        <w:t>Inquiries about this decision should be addressed to:</w:t>
      </w:r>
    </w:p>
    <w:p w:rsidR="00C643B1" w:rsidRPr="009F29C6" w:rsidRDefault="00C643B1" w:rsidP="00540029">
      <w:pPr>
        <w:pStyle w:val="AERbodytextnospace"/>
        <w:rPr>
          <w:rStyle w:val="AERbody"/>
          <w:rFonts w:ascii="Arial" w:hAnsi="Arial" w:cs="Arial"/>
        </w:rPr>
      </w:pPr>
      <w:r w:rsidRPr="009F29C6">
        <w:rPr>
          <w:rStyle w:val="AERbody"/>
          <w:rFonts w:ascii="Arial" w:hAnsi="Arial" w:cs="Arial"/>
        </w:rPr>
        <w:t>Australian Energy Regulator</w:t>
      </w:r>
    </w:p>
    <w:p w:rsidR="00C643B1" w:rsidRPr="009F29C6" w:rsidRDefault="00C643B1" w:rsidP="00540029">
      <w:pPr>
        <w:pStyle w:val="AERbodytextnospace"/>
        <w:rPr>
          <w:rStyle w:val="AERbody"/>
          <w:rFonts w:ascii="Arial" w:hAnsi="Arial" w:cs="Arial"/>
        </w:rPr>
      </w:pPr>
      <w:r w:rsidRPr="009F29C6">
        <w:rPr>
          <w:rStyle w:val="AERbody"/>
          <w:rFonts w:ascii="Arial" w:hAnsi="Arial" w:cs="Arial"/>
        </w:rPr>
        <w:t>GPO Box 520</w:t>
      </w:r>
    </w:p>
    <w:p w:rsidR="00C643B1" w:rsidRPr="009F29C6" w:rsidRDefault="00C643B1" w:rsidP="00540029">
      <w:pPr>
        <w:pStyle w:val="AERbodytextnospace"/>
        <w:rPr>
          <w:rStyle w:val="AERbody"/>
          <w:rFonts w:ascii="Arial" w:hAnsi="Arial" w:cs="Arial"/>
        </w:rPr>
      </w:pPr>
      <w:r w:rsidRPr="009F29C6">
        <w:rPr>
          <w:rStyle w:val="AERbody"/>
          <w:rFonts w:ascii="Arial" w:hAnsi="Arial" w:cs="Arial"/>
        </w:rPr>
        <w:t>Melbourne  Vic  3001</w:t>
      </w:r>
    </w:p>
    <w:p w:rsidR="00C643B1" w:rsidRPr="009F29C6" w:rsidRDefault="00C643B1" w:rsidP="00540029">
      <w:pPr>
        <w:pStyle w:val="AERbodytextnospace"/>
        <w:rPr>
          <w:rStyle w:val="AERbody"/>
          <w:rFonts w:ascii="Arial" w:hAnsi="Arial" w:cs="Arial"/>
        </w:rPr>
      </w:pPr>
      <w:r w:rsidRPr="009F29C6">
        <w:rPr>
          <w:rStyle w:val="AERbody"/>
          <w:rFonts w:ascii="Arial" w:hAnsi="Arial" w:cs="Arial"/>
        </w:rPr>
        <w:t>Tel: (03) 9290 1444</w:t>
      </w:r>
    </w:p>
    <w:p w:rsidR="00C643B1" w:rsidRPr="009F29C6" w:rsidRDefault="00C643B1" w:rsidP="00540029">
      <w:pPr>
        <w:pStyle w:val="AERbodytextnospace"/>
        <w:rPr>
          <w:rStyle w:val="AERbody"/>
          <w:rFonts w:ascii="Arial" w:hAnsi="Arial" w:cs="Arial"/>
        </w:rPr>
      </w:pPr>
      <w:r w:rsidRPr="009F29C6">
        <w:rPr>
          <w:rStyle w:val="AERbody"/>
          <w:rFonts w:ascii="Arial" w:hAnsi="Arial" w:cs="Arial"/>
        </w:rPr>
        <w:t>Fax: (03) 9290 1457</w:t>
      </w:r>
    </w:p>
    <w:p w:rsidR="00C643B1" w:rsidRPr="009F29C6" w:rsidRDefault="00C643B1" w:rsidP="00540029">
      <w:pPr>
        <w:pStyle w:val="AERbodytextnospace"/>
        <w:rPr>
          <w:rStyle w:val="AERbody"/>
          <w:rFonts w:ascii="Arial" w:hAnsi="Arial" w:cs="Arial"/>
        </w:rPr>
      </w:pPr>
    </w:p>
    <w:p w:rsidR="00C643B1" w:rsidRPr="009F29C6" w:rsidRDefault="00C643B1" w:rsidP="00C643B1">
      <w:pPr>
        <w:rPr>
          <w:rFonts w:ascii="Arial" w:hAnsi="Arial" w:cs="Arial"/>
        </w:rPr>
      </w:pPr>
      <w:r w:rsidRPr="009F29C6">
        <w:rPr>
          <w:rFonts w:ascii="Arial" w:hAnsi="Arial" w:cs="Arial"/>
        </w:rPr>
        <w:t xml:space="preserve">Email: </w:t>
      </w:r>
      <w:hyperlink r:id="rId11" w:history="1">
        <w:r w:rsidRPr="009F29C6">
          <w:rPr>
            <w:rStyle w:val="Hyperlink"/>
            <w:rFonts w:ascii="Arial" w:hAnsi="Arial" w:cs="Arial"/>
          </w:rPr>
          <w:t>AERInquiry@aer.gov.au</w:t>
        </w:r>
      </w:hyperlink>
    </w:p>
    <w:p w:rsidR="002423F9" w:rsidRPr="008C75B6" w:rsidRDefault="00317AF6" w:rsidP="008D49E5">
      <w:pPr>
        <w:pStyle w:val="AERbodytext"/>
        <w:rPr>
          <w:rStyle w:val="AERbody"/>
          <w:rFonts w:ascii="Arial" w:hAnsi="Arial" w:cs="Arial"/>
        </w:rPr>
      </w:pPr>
      <w:r w:rsidRPr="009F29C6">
        <w:rPr>
          <w:rStyle w:val="AERbody"/>
          <w:rFonts w:ascii="Arial" w:hAnsi="Arial" w:cs="Arial"/>
        </w:rPr>
        <w:t xml:space="preserve">AER reference:  </w:t>
      </w:r>
      <w:r w:rsidR="008D49E5" w:rsidRPr="009F29C6">
        <w:rPr>
          <w:rStyle w:val="AERbody"/>
          <w:rFonts w:ascii="Arial" w:hAnsi="Arial" w:cs="Arial"/>
        </w:rPr>
        <w:t>5544</w:t>
      </w:r>
      <w:r w:rsidR="000F41DC" w:rsidRPr="009F29C6">
        <w:rPr>
          <w:rStyle w:val="AERbody"/>
          <w:rFonts w:ascii="Arial" w:hAnsi="Arial" w:cs="Arial"/>
        </w:rPr>
        <w:t>4</w:t>
      </w:r>
      <w:r w:rsidR="000F41DC" w:rsidRPr="009F29C6">
        <w:rPr>
          <w:rStyle w:val="AERbody"/>
          <w:rFonts w:ascii="Arial" w:hAnsi="Arial" w:cs="Arial"/>
        </w:rPr>
        <w:tab/>
      </w:r>
    </w:p>
    <w:p w:rsidR="002A3246" w:rsidRPr="009F29C6" w:rsidRDefault="002A3246" w:rsidP="00064605">
      <w:pPr>
        <w:pStyle w:val="AERbodytext"/>
        <w:numPr>
          <w:ilvl w:val="0"/>
          <w:numId w:val="9"/>
        </w:numPr>
        <w:rPr>
          <w:rFonts w:ascii="Arial" w:hAnsi="Arial" w:cs="Arial"/>
        </w:rPr>
      </w:pPr>
    </w:p>
    <w:p w:rsidR="002A3246" w:rsidRPr="009F29C6" w:rsidRDefault="002A3246" w:rsidP="002A3246">
      <w:pPr>
        <w:pStyle w:val="AERtitle2"/>
        <w:rPr>
          <w:rFonts w:ascii="Arial" w:hAnsi="Arial" w:cs="Arial"/>
        </w:rPr>
      </w:pPr>
    </w:p>
    <w:p w:rsidR="002423F9" w:rsidRPr="009F29C6" w:rsidRDefault="002423F9" w:rsidP="002423F9">
      <w:pPr>
        <w:rPr>
          <w:rFonts w:ascii="Arial" w:hAnsi="Arial" w:cs="Arial"/>
        </w:rPr>
      </w:pPr>
    </w:p>
    <w:p w:rsidR="00AF3E95" w:rsidRPr="009F29C6" w:rsidRDefault="00AF3E95" w:rsidP="0052577F">
      <w:pPr>
        <w:pStyle w:val="Heading7"/>
        <w:numPr>
          <w:ilvl w:val="0"/>
          <w:numId w:val="0"/>
        </w:numPr>
        <w:rPr>
          <w:rFonts w:ascii="Arial" w:hAnsi="Arial" w:cs="Arial"/>
        </w:rPr>
      </w:pPr>
      <w:bookmarkStart w:id="1" w:name="_Toc360023682"/>
      <w:bookmarkStart w:id="2" w:name="_Toc360024843"/>
      <w:bookmarkStart w:id="3" w:name="_Toc390238692"/>
      <w:bookmarkStart w:id="4" w:name="_Toc390341525"/>
      <w:bookmarkStart w:id="5" w:name="_Toc390341580"/>
      <w:bookmarkStart w:id="6" w:name="_Toc390341621"/>
      <w:bookmarkStart w:id="7" w:name="_Toc390875170"/>
      <w:r w:rsidRPr="009F29C6">
        <w:rPr>
          <w:rFonts w:ascii="Arial" w:hAnsi="Arial" w:cs="Arial"/>
        </w:rPr>
        <w:lastRenderedPageBreak/>
        <w:t>Contents</w:t>
      </w:r>
      <w:bookmarkEnd w:id="1"/>
      <w:bookmarkEnd w:id="2"/>
      <w:bookmarkEnd w:id="3"/>
      <w:bookmarkEnd w:id="4"/>
      <w:bookmarkEnd w:id="5"/>
      <w:bookmarkEnd w:id="6"/>
      <w:bookmarkEnd w:id="7"/>
    </w:p>
    <w:sdt>
      <w:sdtPr>
        <w:rPr>
          <w:rFonts w:ascii="Arial" w:hAnsi="Arial" w:cs="Arial"/>
          <w:b w:val="0"/>
          <w:bCs w:val="0"/>
        </w:rPr>
        <w:id w:val="-460344894"/>
        <w:docPartObj>
          <w:docPartGallery w:val="Table of Contents"/>
          <w:docPartUnique/>
        </w:docPartObj>
      </w:sdtPr>
      <w:sdtEndPr/>
      <w:sdtContent>
        <w:p w:rsidR="00CE4F82" w:rsidRPr="00CE4F82" w:rsidRDefault="00657133">
          <w:pPr>
            <w:pStyle w:val="TOC1"/>
            <w:tabs>
              <w:tab w:val="right" w:leader="dot" w:pos="9016"/>
            </w:tabs>
            <w:rPr>
              <w:rFonts w:ascii="Arial" w:eastAsiaTheme="minorEastAsia" w:hAnsi="Arial" w:cs="Arial"/>
              <w:b w:val="0"/>
              <w:bCs w:val="0"/>
              <w:noProof/>
              <w:sz w:val="22"/>
              <w:szCs w:val="22"/>
              <w:lang w:eastAsia="en-AU"/>
            </w:rPr>
          </w:pPr>
          <w:r w:rsidRPr="00CE4F82">
            <w:rPr>
              <w:rFonts w:ascii="Arial" w:hAnsi="Arial" w:cs="Arial"/>
            </w:rPr>
            <w:fldChar w:fldCharType="begin"/>
          </w:r>
          <w:r w:rsidRPr="00CE4F82">
            <w:rPr>
              <w:rFonts w:ascii="Arial" w:hAnsi="Arial" w:cs="Arial"/>
            </w:rPr>
            <w:instrText xml:space="preserve"> TOC \o "1-3" \h \z \u </w:instrText>
          </w:r>
          <w:r w:rsidRPr="00CE4F82">
            <w:rPr>
              <w:rFonts w:ascii="Arial" w:hAnsi="Arial" w:cs="Arial"/>
            </w:rPr>
            <w:fldChar w:fldCharType="separate"/>
          </w:r>
          <w:hyperlink w:anchor="_Toc408926599" w:history="1">
            <w:r w:rsidR="00CE4F82" w:rsidRPr="00CE4F82">
              <w:rPr>
                <w:rStyle w:val="Hyperlink"/>
                <w:rFonts w:ascii="Arial" w:hAnsi="Arial" w:cs="Arial"/>
                <w:noProof/>
              </w:rPr>
              <w:t>Shortened forms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_Toc408926599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4</w:t>
            </w:r>
            <w:r w:rsidR="00CE4F82" w:rsidRPr="00CE4F82">
              <w:rPr>
                <w:rFonts w:ascii="Arial" w:hAnsi="Arial" w:cs="Arial"/>
                <w:noProof/>
                <w:webHidden/>
              </w:rPr>
              <w:fldChar w:fldCharType="end"/>
            </w:r>
          </w:hyperlink>
        </w:p>
        <w:p w:rsidR="00CE4F82" w:rsidRPr="00CE4F82" w:rsidRDefault="004570BB">
          <w:pPr>
            <w:pStyle w:val="TOC1"/>
            <w:tabs>
              <w:tab w:val="left" w:pos="400"/>
              <w:tab w:val="right" w:leader="dot" w:pos="9016"/>
            </w:tabs>
            <w:rPr>
              <w:rFonts w:ascii="Arial" w:eastAsiaTheme="minorEastAsia" w:hAnsi="Arial" w:cs="Arial"/>
              <w:b w:val="0"/>
              <w:bCs w:val="0"/>
              <w:noProof/>
              <w:sz w:val="22"/>
              <w:szCs w:val="22"/>
              <w:lang w:eastAsia="en-AU"/>
            </w:rPr>
          </w:pPr>
          <w:hyperlink w:anchor="_Toc408926600" w:history="1">
            <w:r w:rsidR="00CE4F82" w:rsidRPr="00CE4F82">
              <w:rPr>
                <w:rStyle w:val="Hyperlink"/>
                <w:rFonts w:ascii="Arial" w:hAnsi="Arial" w:cs="Arial"/>
                <w:noProof/>
              </w:rPr>
              <w:t>1</w:t>
            </w:r>
            <w:r w:rsidR="00CE4F82" w:rsidRPr="00CE4F82">
              <w:rPr>
                <w:rFonts w:ascii="Arial" w:eastAsiaTheme="minorEastAsia" w:hAnsi="Arial" w:cs="Arial"/>
                <w:b w:val="0"/>
                <w:bCs w:val="0"/>
                <w:noProof/>
                <w:sz w:val="22"/>
                <w:szCs w:val="22"/>
                <w:lang w:eastAsia="en-AU"/>
              </w:rPr>
              <w:tab/>
            </w:r>
            <w:r w:rsidR="00CE4F82" w:rsidRPr="00CE4F82">
              <w:rPr>
                <w:rStyle w:val="Hyperlink"/>
                <w:rFonts w:ascii="Arial" w:hAnsi="Arial" w:cs="Arial"/>
                <w:noProof/>
              </w:rPr>
              <w:t>Introduction</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_Toc408926600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5</w:t>
            </w:r>
            <w:r w:rsidR="00CE4F82" w:rsidRPr="00CE4F82">
              <w:rPr>
                <w:rFonts w:ascii="Arial" w:hAnsi="Arial" w:cs="Arial"/>
                <w:noProof/>
                <w:webHidden/>
              </w:rPr>
              <w:fldChar w:fldCharType="end"/>
            </w:r>
          </w:hyperlink>
        </w:p>
        <w:p w:rsidR="00CE4F82" w:rsidRPr="00CE4F82" w:rsidRDefault="004570BB">
          <w:pPr>
            <w:pStyle w:val="TOC1"/>
            <w:tabs>
              <w:tab w:val="left" w:pos="400"/>
              <w:tab w:val="right" w:leader="dot" w:pos="9016"/>
            </w:tabs>
            <w:rPr>
              <w:rFonts w:ascii="Arial" w:eastAsiaTheme="minorEastAsia" w:hAnsi="Arial" w:cs="Arial"/>
              <w:b w:val="0"/>
              <w:bCs w:val="0"/>
              <w:noProof/>
              <w:sz w:val="22"/>
              <w:szCs w:val="22"/>
              <w:lang w:eastAsia="en-AU"/>
            </w:rPr>
          </w:pPr>
          <w:hyperlink w:anchor="_Toc408926601" w:history="1">
            <w:r w:rsidR="00CE4F82" w:rsidRPr="00CE4F82">
              <w:rPr>
                <w:rStyle w:val="Hyperlink"/>
                <w:rFonts w:ascii="Arial" w:hAnsi="Arial" w:cs="Arial"/>
                <w:noProof/>
              </w:rPr>
              <w:t>2</w:t>
            </w:r>
            <w:r w:rsidR="00CE4F82" w:rsidRPr="00CE4F82">
              <w:rPr>
                <w:rFonts w:ascii="Arial" w:eastAsiaTheme="minorEastAsia" w:hAnsi="Arial" w:cs="Arial"/>
                <w:b w:val="0"/>
                <w:bCs w:val="0"/>
                <w:noProof/>
                <w:sz w:val="22"/>
                <w:szCs w:val="22"/>
                <w:lang w:eastAsia="en-AU"/>
              </w:rPr>
              <w:tab/>
            </w:r>
            <w:r w:rsidR="00CE4F82" w:rsidRPr="00CE4F82">
              <w:rPr>
                <w:rStyle w:val="Hyperlink"/>
                <w:rFonts w:ascii="Arial" w:hAnsi="Arial" w:cs="Arial"/>
                <w:noProof/>
              </w:rPr>
              <w:t>NER requirements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_Toc408926601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7</w:t>
            </w:r>
            <w:r w:rsidR="00CE4F82" w:rsidRPr="00CE4F82">
              <w:rPr>
                <w:rFonts w:ascii="Arial" w:hAnsi="Arial" w:cs="Arial"/>
                <w:noProof/>
                <w:webHidden/>
              </w:rPr>
              <w:fldChar w:fldCharType="end"/>
            </w:r>
          </w:hyperlink>
        </w:p>
        <w:p w:rsidR="00CE4F82" w:rsidRPr="00CE4F82" w:rsidRDefault="004570BB">
          <w:pPr>
            <w:pStyle w:val="TOC1"/>
            <w:tabs>
              <w:tab w:val="left" w:pos="400"/>
              <w:tab w:val="right" w:leader="dot" w:pos="9016"/>
            </w:tabs>
            <w:rPr>
              <w:rFonts w:ascii="Arial" w:eastAsiaTheme="minorEastAsia" w:hAnsi="Arial" w:cs="Arial"/>
              <w:b w:val="0"/>
              <w:bCs w:val="0"/>
              <w:noProof/>
              <w:sz w:val="22"/>
              <w:szCs w:val="22"/>
              <w:lang w:eastAsia="en-AU"/>
            </w:rPr>
          </w:pPr>
          <w:hyperlink w:anchor="_Toc408926602" w:history="1">
            <w:r w:rsidR="00CE4F82" w:rsidRPr="00CE4F82">
              <w:rPr>
                <w:rStyle w:val="Hyperlink"/>
                <w:rFonts w:ascii="Arial" w:hAnsi="Arial" w:cs="Arial"/>
                <w:noProof/>
              </w:rPr>
              <w:t>3</w:t>
            </w:r>
            <w:r w:rsidR="00CE4F82" w:rsidRPr="00CE4F82">
              <w:rPr>
                <w:rFonts w:ascii="Arial" w:eastAsiaTheme="minorEastAsia" w:hAnsi="Arial" w:cs="Arial"/>
                <w:b w:val="0"/>
                <w:bCs w:val="0"/>
                <w:noProof/>
                <w:sz w:val="22"/>
                <w:szCs w:val="22"/>
                <w:lang w:eastAsia="en-AU"/>
              </w:rPr>
              <w:tab/>
            </w:r>
            <w:r w:rsidR="00CE4F82" w:rsidRPr="00CE4F82">
              <w:rPr>
                <w:rStyle w:val="Hyperlink"/>
                <w:rFonts w:ascii="Arial" w:hAnsi="Arial" w:cs="Arial"/>
                <w:noProof/>
              </w:rPr>
              <w:t>Reasons for the PTRM</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_Toc408926602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8</w:t>
            </w:r>
            <w:r w:rsidR="00CE4F82" w:rsidRPr="00CE4F82">
              <w:rPr>
                <w:rFonts w:ascii="Arial" w:hAnsi="Arial" w:cs="Arial"/>
                <w:noProof/>
                <w:webHidden/>
              </w:rPr>
              <w:fldChar w:fldCharType="end"/>
            </w:r>
          </w:hyperlink>
        </w:p>
        <w:p w:rsidR="00CE4F82" w:rsidRPr="00CE4F82" w:rsidRDefault="004570BB">
          <w:pPr>
            <w:pStyle w:val="TOC1"/>
            <w:tabs>
              <w:tab w:val="left" w:pos="400"/>
              <w:tab w:val="right" w:leader="dot" w:pos="9016"/>
            </w:tabs>
            <w:rPr>
              <w:rFonts w:ascii="Arial" w:eastAsiaTheme="minorEastAsia" w:hAnsi="Arial" w:cs="Arial"/>
              <w:b w:val="0"/>
              <w:bCs w:val="0"/>
              <w:noProof/>
              <w:sz w:val="22"/>
              <w:szCs w:val="22"/>
              <w:lang w:eastAsia="en-AU"/>
            </w:rPr>
          </w:pPr>
          <w:hyperlink w:anchor="_Toc408926603" w:history="1">
            <w:r w:rsidR="00CE4F82" w:rsidRPr="00CE4F82">
              <w:rPr>
                <w:rStyle w:val="Hyperlink"/>
                <w:rFonts w:ascii="Arial" w:hAnsi="Arial" w:cs="Arial"/>
                <w:noProof/>
              </w:rPr>
              <w:t>4</w:t>
            </w:r>
            <w:r w:rsidR="00CE4F82" w:rsidRPr="00CE4F82">
              <w:rPr>
                <w:rFonts w:ascii="Arial" w:eastAsiaTheme="minorEastAsia" w:hAnsi="Arial" w:cs="Arial"/>
                <w:b w:val="0"/>
                <w:bCs w:val="0"/>
                <w:noProof/>
                <w:sz w:val="22"/>
                <w:szCs w:val="22"/>
                <w:lang w:eastAsia="en-AU"/>
              </w:rPr>
              <w:tab/>
            </w:r>
            <w:r w:rsidR="00CE4F82" w:rsidRPr="00CE4F82">
              <w:rPr>
                <w:rStyle w:val="Hyperlink"/>
                <w:rFonts w:ascii="Arial" w:hAnsi="Arial" w:cs="Arial"/>
                <w:noProof/>
              </w:rPr>
              <w:t>Amendments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_Toc408926603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9</w:t>
            </w:r>
            <w:r w:rsidR="00CE4F82" w:rsidRPr="00CE4F82">
              <w:rPr>
                <w:rFonts w:ascii="Arial" w:hAnsi="Arial" w:cs="Arial"/>
                <w:noProof/>
                <w:webHidden/>
              </w:rPr>
              <w:fldChar w:fldCharType="end"/>
            </w:r>
          </w:hyperlink>
        </w:p>
        <w:p w:rsidR="00CE4F82" w:rsidRPr="00CE4F82" w:rsidRDefault="004570BB">
          <w:pPr>
            <w:pStyle w:val="TOC2"/>
            <w:tabs>
              <w:tab w:val="left" w:pos="800"/>
              <w:tab w:val="right" w:leader="dot" w:pos="9016"/>
            </w:tabs>
            <w:rPr>
              <w:rFonts w:ascii="Arial" w:eastAsiaTheme="minorEastAsia" w:hAnsi="Arial" w:cs="Arial"/>
              <w:iCs w:val="0"/>
              <w:noProof/>
              <w:sz w:val="22"/>
              <w:szCs w:val="22"/>
              <w:lang w:eastAsia="en-AU"/>
            </w:rPr>
          </w:pPr>
          <w:hyperlink w:anchor="_Toc408926604" w:history="1">
            <w:r w:rsidR="00CE4F82" w:rsidRPr="00CE4F82">
              <w:rPr>
                <w:rStyle w:val="Hyperlink"/>
                <w:rFonts w:ascii="Arial" w:hAnsi="Arial" w:cs="Arial"/>
                <w:noProof/>
              </w:rPr>
              <w:t>4.1</w:t>
            </w:r>
            <w:r w:rsidR="00CE4F82" w:rsidRPr="00CE4F82">
              <w:rPr>
                <w:rFonts w:ascii="Arial" w:eastAsiaTheme="minorEastAsia" w:hAnsi="Arial" w:cs="Arial"/>
                <w:iCs w:val="0"/>
                <w:noProof/>
                <w:sz w:val="22"/>
                <w:szCs w:val="22"/>
                <w:lang w:eastAsia="en-AU"/>
              </w:rPr>
              <w:tab/>
            </w:r>
            <w:r w:rsidR="00CE4F82" w:rsidRPr="00CE4F82">
              <w:rPr>
                <w:rStyle w:val="Hyperlink"/>
                <w:rFonts w:ascii="Arial" w:hAnsi="Arial" w:cs="Arial"/>
                <w:noProof/>
              </w:rPr>
              <w:t>Changes to the PTRM</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_Toc408926604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10</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05" w:history="1">
            <w:r w:rsidR="00CE4F82" w:rsidRPr="00CE4F82">
              <w:rPr>
                <w:rStyle w:val="Hyperlink"/>
                <w:rFonts w:ascii="Arial" w:hAnsi="Arial" w:cs="Arial"/>
                <w:noProof/>
              </w:rPr>
              <w:t>4.1.1</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Return on equity changes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_Toc408926605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11</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06" w:history="1">
            <w:r w:rsidR="00CE4F82" w:rsidRPr="00CE4F82">
              <w:rPr>
                <w:rStyle w:val="Hyperlink"/>
                <w:rFonts w:ascii="Arial" w:hAnsi="Arial" w:cs="Arial"/>
                <w:noProof/>
              </w:rPr>
              <w:t>4.1.2</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Return on debt changes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_Toc408926606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11</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07" w:history="1">
            <w:r w:rsidR="00CE4F82" w:rsidRPr="00CE4F82">
              <w:rPr>
                <w:rStyle w:val="Hyperlink"/>
                <w:rFonts w:ascii="Arial" w:hAnsi="Arial" w:cs="Arial"/>
                <w:noProof/>
              </w:rPr>
              <w:t>4.1.3</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Future years' return on debt</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_Toc408926607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11</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08" w:history="1">
            <w:r w:rsidR="00CE4F82" w:rsidRPr="00CE4F82">
              <w:rPr>
                <w:rStyle w:val="Hyperlink"/>
                <w:rFonts w:ascii="Arial" w:hAnsi="Arial" w:cs="Arial"/>
                <w:noProof/>
              </w:rPr>
              <w:t>4.1.4</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Rate of return on capital changes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_Toc408926608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12</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09" w:history="1">
            <w:r w:rsidR="00CE4F82" w:rsidRPr="00CE4F82">
              <w:rPr>
                <w:rStyle w:val="Hyperlink"/>
                <w:rFonts w:ascii="Arial" w:hAnsi="Arial" w:cs="Arial"/>
                <w:noProof/>
              </w:rPr>
              <w:t>4.1.5</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Equity raising costs changes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_Toc408926609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13</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10" w:history="1">
            <w:r w:rsidR="00CE4F82" w:rsidRPr="00CE4F82">
              <w:rPr>
                <w:rStyle w:val="Hyperlink"/>
                <w:rFonts w:ascii="Arial" w:hAnsi="Arial" w:cs="Arial"/>
                <w:noProof/>
              </w:rPr>
              <w:t>4.1.6</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Debt raising costs calculation</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_Toc408926610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14</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11" w:history="1">
            <w:r w:rsidR="00CE4F82" w:rsidRPr="00CE4F82">
              <w:rPr>
                <w:rStyle w:val="Hyperlink"/>
                <w:rFonts w:ascii="Arial" w:hAnsi="Arial" w:cs="Arial"/>
                <w:noProof/>
              </w:rPr>
              <w:t>4.1.7</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X factor recalculation</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_Toc408926611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14</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12" w:history="1">
            <w:r w:rsidR="00CE4F82" w:rsidRPr="00CE4F82">
              <w:rPr>
                <w:rStyle w:val="Hyperlink"/>
                <w:rFonts w:ascii="Arial" w:hAnsi="Arial" w:cs="Arial"/>
                <w:noProof/>
              </w:rPr>
              <w:t>4.1.8</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Revenue adjustments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_Toc408926612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14</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13" w:history="1">
            <w:r w:rsidR="00CE4F82" w:rsidRPr="00CE4F82">
              <w:rPr>
                <w:rStyle w:val="Hyperlink"/>
                <w:rFonts w:ascii="Arial" w:hAnsi="Arial" w:cs="Arial"/>
                <w:noProof/>
              </w:rPr>
              <w:t>4.1.9</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Minor presentational and operational changes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_Toc408926613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15</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14" w:history="1">
            <w:r w:rsidR="00CE4F82" w:rsidRPr="00CE4F82">
              <w:rPr>
                <w:rStyle w:val="Hyperlink"/>
                <w:rFonts w:ascii="Arial" w:hAnsi="Arial" w:cs="Arial"/>
                <w:noProof/>
              </w:rPr>
              <w:t>4.1.10</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Input sheet for AER data management system</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_Toc408926614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16</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15" w:history="1">
            <w:r w:rsidR="00CE4F82" w:rsidRPr="00CE4F82">
              <w:rPr>
                <w:rStyle w:val="Hyperlink"/>
                <w:rFonts w:ascii="Arial" w:hAnsi="Arial" w:cs="Arial"/>
                <w:noProof/>
              </w:rPr>
              <w:t>4.1.11</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Handbook clarifications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_Toc408926615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16</w:t>
            </w:r>
            <w:r w:rsidR="00CE4F82" w:rsidRPr="00CE4F82">
              <w:rPr>
                <w:rFonts w:ascii="Arial" w:hAnsi="Arial" w:cs="Arial"/>
                <w:noProof/>
                <w:webHidden/>
              </w:rPr>
              <w:fldChar w:fldCharType="end"/>
            </w:r>
          </w:hyperlink>
        </w:p>
        <w:p w:rsidR="00CE4F82" w:rsidRPr="00CE4F82" w:rsidRDefault="004570BB">
          <w:pPr>
            <w:pStyle w:val="TOC1"/>
            <w:tabs>
              <w:tab w:val="left" w:pos="400"/>
              <w:tab w:val="right" w:leader="dot" w:pos="9016"/>
            </w:tabs>
            <w:rPr>
              <w:rFonts w:ascii="Arial" w:eastAsiaTheme="minorEastAsia" w:hAnsi="Arial" w:cs="Arial"/>
              <w:b w:val="0"/>
              <w:bCs w:val="0"/>
              <w:noProof/>
              <w:sz w:val="22"/>
              <w:szCs w:val="22"/>
              <w:lang w:eastAsia="en-AU"/>
            </w:rPr>
          </w:pPr>
          <w:hyperlink w:anchor="_Toc408926616" w:history="1">
            <w:r w:rsidR="00CE4F82" w:rsidRPr="00CE4F82">
              <w:rPr>
                <w:rStyle w:val="Hyperlink"/>
                <w:rFonts w:ascii="Arial" w:hAnsi="Arial" w:cs="Arial"/>
                <w:noProof/>
              </w:rPr>
              <w:t>5</w:t>
            </w:r>
            <w:r w:rsidR="00CE4F82" w:rsidRPr="00CE4F82">
              <w:rPr>
                <w:rFonts w:ascii="Arial" w:eastAsiaTheme="minorEastAsia" w:hAnsi="Arial" w:cs="Arial"/>
                <w:b w:val="0"/>
                <w:bCs w:val="0"/>
                <w:noProof/>
                <w:sz w:val="22"/>
                <w:szCs w:val="22"/>
                <w:lang w:eastAsia="en-AU"/>
              </w:rPr>
              <w:tab/>
            </w:r>
            <w:r w:rsidR="00CE4F82" w:rsidRPr="00CE4F82">
              <w:rPr>
                <w:rStyle w:val="Hyperlink"/>
                <w:rFonts w:ascii="Arial" w:hAnsi="Arial" w:cs="Arial"/>
                <w:noProof/>
              </w:rPr>
              <w:t>Consultation</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_Toc408926616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17</w:t>
            </w:r>
            <w:r w:rsidR="00CE4F82" w:rsidRPr="00CE4F82">
              <w:rPr>
                <w:rFonts w:ascii="Arial" w:hAnsi="Arial" w:cs="Arial"/>
                <w:noProof/>
                <w:webHidden/>
              </w:rPr>
              <w:fldChar w:fldCharType="end"/>
            </w:r>
          </w:hyperlink>
        </w:p>
        <w:p w:rsidR="00CE4F82" w:rsidRPr="00CE4F82" w:rsidRDefault="004570BB">
          <w:pPr>
            <w:pStyle w:val="TOC2"/>
            <w:tabs>
              <w:tab w:val="left" w:pos="800"/>
              <w:tab w:val="right" w:leader="dot" w:pos="9016"/>
            </w:tabs>
            <w:rPr>
              <w:rFonts w:ascii="Arial" w:eastAsiaTheme="minorEastAsia" w:hAnsi="Arial" w:cs="Arial"/>
              <w:iCs w:val="0"/>
              <w:noProof/>
              <w:sz w:val="22"/>
              <w:szCs w:val="22"/>
              <w:lang w:eastAsia="en-AU"/>
            </w:rPr>
          </w:pPr>
          <w:hyperlink w:anchor="_Toc408926617" w:history="1">
            <w:r w:rsidR="00CE4F82" w:rsidRPr="00CE4F82">
              <w:rPr>
                <w:rStyle w:val="Hyperlink"/>
                <w:rFonts w:ascii="Arial" w:hAnsi="Arial" w:cs="Arial"/>
                <w:noProof/>
              </w:rPr>
              <w:t>5.1</w:t>
            </w:r>
            <w:r w:rsidR="00CE4F82" w:rsidRPr="00CE4F82">
              <w:rPr>
                <w:rFonts w:ascii="Arial" w:eastAsiaTheme="minorEastAsia" w:hAnsi="Arial" w:cs="Arial"/>
                <w:iCs w:val="0"/>
                <w:noProof/>
                <w:sz w:val="22"/>
                <w:szCs w:val="22"/>
                <w:lang w:eastAsia="en-AU"/>
              </w:rPr>
              <w:tab/>
            </w:r>
            <w:r w:rsidR="00CE4F82" w:rsidRPr="00CE4F82">
              <w:rPr>
                <w:rStyle w:val="Hyperlink"/>
                <w:rFonts w:ascii="Arial" w:hAnsi="Arial" w:cs="Arial"/>
                <w:noProof/>
              </w:rPr>
              <w:t>Initial consultation</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_Toc408926617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17</w:t>
            </w:r>
            <w:r w:rsidR="00CE4F82" w:rsidRPr="00CE4F82">
              <w:rPr>
                <w:rFonts w:ascii="Arial" w:hAnsi="Arial" w:cs="Arial"/>
                <w:noProof/>
                <w:webHidden/>
              </w:rPr>
              <w:fldChar w:fldCharType="end"/>
            </w:r>
          </w:hyperlink>
        </w:p>
        <w:p w:rsidR="00CE4F82" w:rsidRPr="00CE4F82" w:rsidRDefault="004570BB">
          <w:pPr>
            <w:pStyle w:val="TOC2"/>
            <w:tabs>
              <w:tab w:val="left" w:pos="800"/>
              <w:tab w:val="right" w:leader="dot" w:pos="9016"/>
            </w:tabs>
            <w:rPr>
              <w:rFonts w:ascii="Arial" w:eastAsiaTheme="minorEastAsia" w:hAnsi="Arial" w:cs="Arial"/>
              <w:iCs w:val="0"/>
              <w:noProof/>
              <w:sz w:val="22"/>
              <w:szCs w:val="22"/>
              <w:lang w:eastAsia="en-AU"/>
            </w:rPr>
          </w:pPr>
          <w:hyperlink w:anchor="_Toc408926618" w:history="1">
            <w:r w:rsidR="00CE4F82" w:rsidRPr="00CE4F82">
              <w:rPr>
                <w:rStyle w:val="Hyperlink"/>
                <w:rFonts w:ascii="Arial" w:hAnsi="Arial" w:cs="Arial"/>
                <w:noProof/>
              </w:rPr>
              <w:t>5.2</w:t>
            </w:r>
            <w:r w:rsidR="00CE4F82" w:rsidRPr="00CE4F82">
              <w:rPr>
                <w:rFonts w:ascii="Arial" w:eastAsiaTheme="minorEastAsia" w:hAnsi="Arial" w:cs="Arial"/>
                <w:iCs w:val="0"/>
                <w:noProof/>
                <w:sz w:val="22"/>
                <w:szCs w:val="22"/>
                <w:lang w:eastAsia="en-AU"/>
              </w:rPr>
              <w:tab/>
            </w:r>
            <w:r w:rsidR="00CE4F82" w:rsidRPr="00CE4F82">
              <w:rPr>
                <w:rStyle w:val="Hyperlink"/>
                <w:rFonts w:ascii="Arial" w:hAnsi="Arial" w:cs="Arial"/>
                <w:noProof/>
              </w:rPr>
              <w:t>Submissions on proposed amendments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_Toc408926618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17</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19" w:history="1">
            <w:r w:rsidR="00CE4F82" w:rsidRPr="00CE4F82">
              <w:rPr>
                <w:rStyle w:val="Hyperlink"/>
                <w:rFonts w:ascii="Arial" w:hAnsi="Arial" w:cs="Arial"/>
                <w:noProof/>
              </w:rPr>
              <w:t>5.2.1</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Discount rate used for smoothing revenues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_Toc408926619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17</w:t>
            </w:r>
            <w:r w:rsidR="00CE4F82" w:rsidRPr="00CE4F82">
              <w:rPr>
                <w:rFonts w:ascii="Arial" w:hAnsi="Arial" w:cs="Arial"/>
                <w:noProof/>
                <w:webHidden/>
              </w:rPr>
              <w:fldChar w:fldCharType="end"/>
            </w:r>
          </w:hyperlink>
        </w:p>
        <w:p w:rsidR="00CE4F82" w:rsidRPr="00CE4F82" w:rsidRDefault="004570BB">
          <w:pPr>
            <w:pStyle w:val="TOC3"/>
            <w:tabs>
              <w:tab w:val="left" w:pos="1200"/>
              <w:tab w:val="right" w:leader="dot" w:pos="9016"/>
            </w:tabs>
            <w:rPr>
              <w:rFonts w:ascii="Arial" w:eastAsiaTheme="minorEastAsia" w:hAnsi="Arial" w:cs="Arial"/>
              <w:noProof/>
              <w:sz w:val="22"/>
              <w:szCs w:val="22"/>
              <w:lang w:eastAsia="en-AU"/>
            </w:rPr>
          </w:pPr>
          <w:hyperlink w:anchor="_Toc408926620" w:history="1">
            <w:r w:rsidR="00CE4F82" w:rsidRPr="00CE4F82">
              <w:rPr>
                <w:rStyle w:val="Hyperlink"/>
                <w:rFonts w:ascii="Arial" w:hAnsi="Arial" w:cs="Arial"/>
                <w:noProof/>
              </w:rPr>
              <w:t>5.2.2</w:t>
            </w:r>
            <w:r w:rsidR="00CE4F82" w:rsidRPr="00CE4F82">
              <w:rPr>
                <w:rFonts w:ascii="Arial" w:eastAsiaTheme="minorEastAsia" w:hAnsi="Arial" w:cs="Arial"/>
                <w:noProof/>
                <w:sz w:val="22"/>
                <w:szCs w:val="22"/>
                <w:lang w:eastAsia="en-AU"/>
              </w:rPr>
              <w:tab/>
            </w:r>
            <w:r w:rsidR="00CE4F82" w:rsidRPr="00CE4F82">
              <w:rPr>
                <w:rStyle w:val="Hyperlink"/>
                <w:rFonts w:ascii="Arial" w:hAnsi="Arial" w:cs="Arial"/>
                <w:noProof/>
              </w:rPr>
              <w:t>Use of alternative units of measure</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_Toc408926620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18</w:t>
            </w:r>
            <w:r w:rsidR="00CE4F82" w:rsidRPr="00CE4F82">
              <w:rPr>
                <w:rFonts w:ascii="Arial" w:hAnsi="Arial" w:cs="Arial"/>
                <w:noProof/>
                <w:webHidden/>
              </w:rPr>
              <w:fldChar w:fldCharType="end"/>
            </w:r>
          </w:hyperlink>
        </w:p>
        <w:p w:rsidR="00CE4F82" w:rsidRPr="00CE4F82" w:rsidRDefault="004570BB">
          <w:pPr>
            <w:pStyle w:val="TOC1"/>
            <w:tabs>
              <w:tab w:val="right" w:leader="dot" w:pos="9016"/>
            </w:tabs>
            <w:rPr>
              <w:rFonts w:ascii="Arial" w:eastAsiaTheme="minorEastAsia" w:hAnsi="Arial" w:cs="Arial"/>
              <w:b w:val="0"/>
              <w:bCs w:val="0"/>
              <w:noProof/>
              <w:sz w:val="22"/>
              <w:szCs w:val="22"/>
              <w:lang w:eastAsia="en-AU"/>
            </w:rPr>
          </w:pPr>
          <w:hyperlink w:anchor="_Toc408926621" w:history="1">
            <w:r w:rsidR="00CE4F82" w:rsidRPr="00CE4F82">
              <w:rPr>
                <w:rStyle w:val="Hyperlink"/>
                <w:rFonts w:ascii="Arial" w:hAnsi="Arial" w:cs="Arial"/>
                <w:noProof/>
              </w:rPr>
              <w:t>Appendices</w:t>
            </w:r>
            <w:r w:rsidR="00CE4F82" w:rsidRPr="00CE4F82">
              <w:rPr>
                <w:rFonts w:ascii="Arial" w:hAnsi="Arial" w:cs="Arial"/>
                <w:noProof/>
                <w:webHidden/>
              </w:rPr>
              <w:tab/>
            </w:r>
            <w:r w:rsidR="00CE4F82" w:rsidRPr="00CE4F82">
              <w:rPr>
                <w:rFonts w:ascii="Arial" w:hAnsi="Arial" w:cs="Arial"/>
                <w:noProof/>
                <w:webHidden/>
              </w:rPr>
              <w:fldChar w:fldCharType="begin"/>
            </w:r>
            <w:r w:rsidR="00CE4F82" w:rsidRPr="00CE4F82">
              <w:rPr>
                <w:rFonts w:ascii="Arial" w:hAnsi="Arial" w:cs="Arial"/>
                <w:noProof/>
                <w:webHidden/>
              </w:rPr>
              <w:instrText xml:space="preserve"> PAGEREF _Toc408926621 \h </w:instrText>
            </w:r>
            <w:r w:rsidR="00CE4F82" w:rsidRPr="00CE4F82">
              <w:rPr>
                <w:rFonts w:ascii="Arial" w:hAnsi="Arial" w:cs="Arial"/>
                <w:noProof/>
                <w:webHidden/>
              </w:rPr>
            </w:r>
            <w:r w:rsidR="00CE4F82" w:rsidRPr="00CE4F82">
              <w:rPr>
                <w:rFonts w:ascii="Arial" w:hAnsi="Arial" w:cs="Arial"/>
                <w:noProof/>
                <w:webHidden/>
              </w:rPr>
              <w:fldChar w:fldCharType="separate"/>
            </w:r>
            <w:r w:rsidR="00CE4F82" w:rsidRPr="00CE4F82">
              <w:rPr>
                <w:rFonts w:ascii="Arial" w:hAnsi="Arial" w:cs="Arial"/>
                <w:noProof/>
                <w:webHidden/>
              </w:rPr>
              <w:t>19</w:t>
            </w:r>
            <w:r w:rsidR="00CE4F82" w:rsidRPr="00CE4F82">
              <w:rPr>
                <w:rFonts w:ascii="Arial" w:hAnsi="Arial" w:cs="Arial"/>
                <w:noProof/>
                <w:webHidden/>
              </w:rPr>
              <w:fldChar w:fldCharType="end"/>
            </w:r>
          </w:hyperlink>
        </w:p>
        <w:p w:rsidR="00CE4F82" w:rsidRPr="00CE4F82" w:rsidRDefault="004570BB">
          <w:pPr>
            <w:pStyle w:val="TOC3"/>
            <w:tabs>
              <w:tab w:val="right" w:leader="dot" w:pos="9016"/>
            </w:tabs>
            <w:rPr>
              <w:rFonts w:ascii="Arial" w:eastAsiaTheme="minorEastAsia" w:hAnsi="Arial" w:cs="Arial"/>
              <w:noProof/>
              <w:sz w:val="22"/>
              <w:szCs w:val="22"/>
              <w:lang w:eastAsia="en-AU"/>
            </w:rPr>
          </w:pPr>
          <w:hyperlink w:anchor="_Toc408926622" w:history="1">
            <w:r w:rsidR="00CE4F82" w:rsidRPr="00CE4F82">
              <w:rPr>
                <w:rStyle w:val="Hyperlink"/>
                <w:rFonts w:ascii="Arial" w:hAnsi="Arial" w:cs="Arial"/>
                <w:noProof/>
              </w:rPr>
              <w:t>Appendix A: Post-tax revenue model (transmission)</w:t>
            </w:r>
          </w:hyperlink>
        </w:p>
        <w:p w:rsidR="00CE4F82" w:rsidRPr="00CE4F82" w:rsidRDefault="004570BB">
          <w:pPr>
            <w:pStyle w:val="TOC3"/>
            <w:tabs>
              <w:tab w:val="right" w:leader="dot" w:pos="9016"/>
            </w:tabs>
            <w:rPr>
              <w:rFonts w:ascii="Arial" w:eastAsiaTheme="minorEastAsia" w:hAnsi="Arial" w:cs="Arial"/>
              <w:noProof/>
              <w:sz w:val="22"/>
              <w:szCs w:val="22"/>
              <w:lang w:eastAsia="en-AU"/>
            </w:rPr>
          </w:pPr>
          <w:hyperlink w:anchor="_Toc408926623" w:history="1">
            <w:r w:rsidR="00CE4F82" w:rsidRPr="00CE4F82">
              <w:rPr>
                <w:rStyle w:val="Hyperlink"/>
                <w:rFonts w:ascii="Arial" w:hAnsi="Arial" w:cs="Arial"/>
                <w:noProof/>
              </w:rPr>
              <w:t>Appendix B: Post-tax revenue model (distribution)</w:t>
            </w:r>
          </w:hyperlink>
        </w:p>
        <w:p w:rsidR="00CE4F82" w:rsidRPr="00CE4F82" w:rsidRDefault="004570BB">
          <w:pPr>
            <w:pStyle w:val="TOC3"/>
            <w:tabs>
              <w:tab w:val="right" w:leader="dot" w:pos="9016"/>
            </w:tabs>
            <w:rPr>
              <w:rFonts w:ascii="Arial" w:eastAsiaTheme="minorEastAsia" w:hAnsi="Arial" w:cs="Arial"/>
              <w:noProof/>
              <w:sz w:val="22"/>
              <w:szCs w:val="22"/>
              <w:lang w:eastAsia="en-AU"/>
            </w:rPr>
          </w:pPr>
          <w:hyperlink w:anchor="_Toc408926624" w:history="1">
            <w:r w:rsidR="00CE4F82" w:rsidRPr="00CE4F82">
              <w:rPr>
                <w:rStyle w:val="Hyperlink"/>
                <w:rFonts w:ascii="Arial" w:hAnsi="Arial" w:cs="Arial"/>
                <w:noProof/>
              </w:rPr>
              <w:t>Appendix C: Post-tax revenue model handbook (transmission)</w:t>
            </w:r>
          </w:hyperlink>
        </w:p>
        <w:p w:rsidR="00CE4F82" w:rsidRPr="00CE4F82" w:rsidRDefault="004570BB">
          <w:pPr>
            <w:pStyle w:val="TOC3"/>
            <w:tabs>
              <w:tab w:val="right" w:leader="dot" w:pos="9016"/>
            </w:tabs>
            <w:rPr>
              <w:rFonts w:ascii="Arial" w:eastAsiaTheme="minorEastAsia" w:hAnsi="Arial" w:cs="Arial"/>
              <w:noProof/>
              <w:sz w:val="22"/>
              <w:szCs w:val="22"/>
              <w:lang w:eastAsia="en-AU"/>
            </w:rPr>
          </w:pPr>
          <w:hyperlink w:anchor="_Toc408926625" w:history="1">
            <w:r w:rsidR="00CE4F82" w:rsidRPr="00CE4F82">
              <w:rPr>
                <w:rStyle w:val="Hyperlink"/>
                <w:rFonts w:ascii="Arial" w:hAnsi="Arial" w:cs="Arial"/>
                <w:noProof/>
              </w:rPr>
              <w:t>Appendix D: Post-tax revenue model handbook (distribution)</w:t>
            </w:r>
          </w:hyperlink>
        </w:p>
        <w:p w:rsidR="00CE4F82" w:rsidRPr="00CE4F82" w:rsidRDefault="004570BB">
          <w:pPr>
            <w:pStyle w:val="TOC3"/>
            <w:tabs>
              <w:tab w:val="right" w:leader="dot" w:pos="9016"/>
            </w:tabs>
            <w:rPr>
              <w:rFonts w:ascii="Arial" w:eastAsiaTheme="minorEastAsia" w:hAnsi="Arial" w:cs="Arial"/>
              <w:noProof/>
              <w:sz w:val="22"/>
              <w:szCs w:val="22"/>
              <w:lang w:eastAsia="en-AU"/>
            </w:rPr>
          </w:pPr>
          <w:hyperlink w:anchor="_Toc408926626" w:history="1">
            <w:r w:rsidR="00CE4F82" w:rsidRPr="00CE4F82">
              <w:rPr>
                <w:rStyle w:val="Hyperlink"/>
                <w:rFonts w:ascii="Arial" w:hAnsi="Arial" w:cs="Arial"/>
                <w:noProof/>
              </w:rPr>
              <w:t>Appendix E: Detailed list of changes from previous versions of the models</w:t>
            </w:r>
          </w:hyperlink>
        </w:p>
        <w:p w:rsidR="00657133" w:rsidRPr="00CE4F82" w:rsidRDefault="00657133">
          <w:pPr>
            <w:rPr>
              <w:rFonts w:ascii="Arial" w:hAnsi="Arial" w:cs="Arial"/>
            </w:rPr>
          </w:pPr>
          <w:r w:rsidRPr="00CE4F82">
            <w:rPr>
              <w:rFonts w:ascii="Arial" w:hAnsi="Arial" w:cs="Arial"/>
            </w:rPr>
            <w:fldChar w:fldCharType="end"/>
          </w:r>
        </w:p>
      </w:sdtContent>
    </w:sdt>
    <w:p w:rsidR="00657133" w:rsidRPr="00CE4F82" w:rsidRDefault="00657133" w:rsidP="00657133">
      <w:pPr>
        <w:pStyle w:val="AERbodytext"/>
        <w:rPr>
          <w:rFonts w:ascii="Arial" w:hAnsi="Arial" w:cs="Arial"/>
        </w:rPr>
      </w:pPr>
    </w:p>
    <w:p w:rsidR="0086490E" w:rsidRPr="00CE4F82" w:rsidRDefault="00824CC8" w:rsidP="0086490E">
      <w:pPr>
        <w:pStyle w:val="TOC1"/>
        <w:tabs>
          <w:tab w:val="right" w:leader="dot" w:pos="9016"/>
        </w:tabs>
        <w:rPr>
          <w:rFonts w:ascii="Arial" w:hAnsi="Arial" w:cs="Arial"/>
          <w:color w:val="0000FF"/>
          <w:u w:val="single"/>
        </w:rPr>
      </w:pPr>
      <w:r w:rsidRPr="00CE4F82">
        <w:rPr>
          <w:rFonts w:ascii="Arial" w:hAnsi="Arial" w:cs="Arial"/>
        </w:rPr>
        <w:fldChar w:fldCharType="begin"/>
      </w:r>
      <w:r w:rsidRPr="00CE4F82">
        <w:rPr>
          <w:rFonts w:ascii="Arial" w:hAnsi="Arial" w:cs="Arial"/>
          <w:b w:val="0"/>
          <w:bCs w:val="0"/>
        </w:rPr>
        <w:instrText xml:space="preserve"> TOC \o "1-2" \h \z \u </w:instrText>
      </w:r>
      <w:r w:rsidRPr="00CE4F82">
        <w:rPr>
          <w:rFonts w:ascii="Arial" w:hAnsi="Arial" w:cs="Arial"/>
        </w:rPr>
        <w:fldChar w:fldCharType="separate"/>
      </w:r>
    </w:p>
    <w:p w:rsidR="00A75C1F" w:rsidRPr="009F29C6" w:rsidRDefault="00824CC8" w:rsidP="00A75C1F">
      <w:pPr>
        <w:pStyle w:val="UnnumberedHeading"/>
        <w:rPr>
          <w:rFonts w:ascii="Arial" w:hAnsi="Arial" w:cs="Arial"/>
        </w:rPr>
      </w:pPr>
      <w:r w:rsidRPr="00CE4F82">
        <w:rPr>
          <w:rFonts w:ascii="Arial" w:hAnsi="Arial" w:cs="Arial"/>
        </w:rPr>
        <w:lastRenderedPageBreak/>
        <w:fldChar w:fldCharType="end"/>
      </w:r>
      <w:bookmarkStart w:id="8" w:name="_Toc384813019"/>
      <w:bookmarkStart w:id="9" w:name="_Toc395861691"/>
      <w:bookmarkStart w:id="10" w:name="_Toc408926599"/>
      <w:bookmarkStart w:id="11" w:name="_Toc360023683"/>
      <w:bookmarkStart w:id="12" w:name="_Toc360024844"/>
      <w:r w:rsidR="00A75C1F" w:rsidRPr="009F29C6">
        <w:rPr>
          <w:rFonts w:ascii="Arial" w:hAnsi="Arial" w:cs="Arial"/>
        </w:rPr>
        <w:t>Shortened forms</w:t>
      </w:r>
      <w:bookmarkEnd w:id="8"/>
      <w:bookmarkEnd w:id="9"/>
      <w:bookmarkEnd w:id="10"/>
    </w:p>
    <w:tbl>
      <w:tblPr>
        <w:tblStyle w:val="AERtable-text"/>
        <w:tblW w:w="0" w:type="auto"/>
        <w:tblLook w:val="01E0" w:firstRow="1" w:lastRow="1" w:firstColumn="1" w:lastColumn="1" w:noHBand="0" w:noVBand="0"/>
      </w:tblPr>
      <w:tblGrid>
        <w:gridCol w:w="2802"/>
        <w:gridCol w:w="5726"/>
      </w:tblGrid>
      <w:tr w:rsidR="00A75C1F" w:rsidRPr="009F29C6" w:rsidTr="00C80C46">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A75C1F" w:rsidRPr="009F29C6" w:rsidRDefault="00A75C1F" w:rsidP="00A75C1F">
            <w:pPr>
              <w:rPr>
                <w:rFonts w:ascii="Arial" w:hAnsi="Arial" w:cs="Arial"/>
              </w:rPr>
            </w:pPr>
            <w:r w:rsidRPr="009F29C6">
              <w:rPr>
                <w:rFonts w:ascii="Arial" w:hAnsi="Arial" w:cs="Arial"/>
              </w:rPr>
              <w:t>Shortened form</w:t>
            </w:r>
          </w:p>
        </w:tc>
        <w:tc>
          <w:tcPr>
            <w:tcW w:w="5726" w:type="dxa"/>
            <w:noWrap/>
          </w:tcPr>
          <w:p w:rsidR="00A75C1F" w:rsidRPr="009F29C6" w:rsidRDefault="00A75C1F" w:rsidP="00A75C1F">
            <w:pPr>
              <w:rPr>
                <w:rFonts w:ascii="Arial" w:hAnsi="Arial" w:cs="Arial"/>
              </w:rPr>
            </w:pPr>
            <w:r w:rsidRPr="009F29C6">
              <w:rPr>
                <w:rFonts w:ascii="Arial" w:hAnsi="Arial" w:cs="Arial"/>
              </w:rPr>
              <w:t>Extended form</w:t>
            </w:r>
          </w:p>
        </w:tc>
      </w:tr>
      <w:tr w:rsidR="005C1214" w:rsidRPr="009F29C6" w:rsidTr="00660DF5">
        <w:tc>
          <w:tcPr>
            <w:tcW w:w="2802" w:type="dxa"/>
            <w:noWrap/>
          </w:tcPr>
          <w:p w:rsidR="005C1214" w:rsidRPr="009F29C6" w:rsidRDefault="005C1214" w:rsidP="00A75C1F">
            <w:pPr>
              <w:rPr>
                <w:rFonts w:ascii="Arial" w:hAnsi="Arial" w:cs="Arial"/>
              </w:rPr>
            </w:pPr>
            <w:r w:rsidRPr="009F29C6">
              <w:rPr>
                <w:rFonts w:ascii="Arial" w:hAnsi="Arial" w:cs="Arial"/>
              </w:rPr>
              <w:t>ABBRR</w:t>
            </w:r>
          </w:p>
        </w:tc>
        <w:tc>
          <w:tcPr>
            <w:tcW w:w="5726" w:type="dxa"/>
            <w:noWrap/>
          </w:tcPr>
          <w:p w:rsidR="005C1214" w:rsidRPr="009F29C6" w:rsidRDefault="00BC271C" w:rsidP="005C1214">
            <w:pPr>
              <w:rPr>
                <w:rFonts w:ascii="Arial" w:hAnsi="Arial" w:cs="Arial"/>
              </w:rPr>
            </w:pPr>
            <w:r w:rsidRPr="009F29C6">
              <w:rPr>
                <w:rFonts w:ascii="Arial" w:hAnsi="Arial" w:cs="Arial"/>
              </w:rPr>
              <w:t>a</w:t>
            </w:r>
            <w:r w:rsidR="005C1214" w:rsidRPr="009F29C6">
              <w:rPr>
                <w:rFonts w:ascii="Arial" w:hAnsi="Arial" w:cs="Arial"/>
              </w:rPr>
              <w:t>nnual building block revenue requirement</w:t>
            </w:r>
          </w:p>
        </w:tc>
      </w:tr>
      <w:tr w:rsidR="00844D8E"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844D8E" w:rsidRPr="009F29C6" w:rsidRDefault="00844D8E" w:rsidP="00A75C1F">
            <w:pPr>
              <w:rPr>
                <w:rFonts w:ascii="Arial" w:hAnsi="Arial" w:cs="Arial"/>
              </w:rPr>
            </w:pPr>
            <w:r w:rsidRPr="009F29C6">
              <w:rPr>
                <w:rFonts w:ascii="Arial" w:hAnsi="Arial" w:cs="Arial"/>
              </w:rPr>
              <w:t>ARR</w:t>
            </w:r>
          </w:p>
        </w:tc>
        <w:tc>
          <w:tcPr>
            <w:tcW w:w="5726" w:type="dxa"/>
            <w:noWrap/>
          </w:tcPr>
          <w:p w:rsidR="00844D8E" w:rsidRPr="009F29C6" w:rsidRDefault="00BC271C" w:rsidP="005C1214">
            <w:pPr>
              <w:rPr>
                <w:rFonts w:ascii="Arial" w:hAnsi="Arial" w:cs="Arial"/>
              </w:rPr>
            </w:pPr>
            <w:r w:rsidRPr="009F29C6">
              <w:rPr>
                <w:rFonts w:ascii="Arial" w:hAnsi="Arial" w:cs="Arial"/>
              </w:rPr>
              <w:t>a</w:t>
            </w:r>
            <w:r w:rsidR="00844D8E" w:rsidRPr="009F29C6">
              <w:rPr>
                <w:rFonts w:ascii="Arial" w:hAnsi="Arial" w:cs="Arial"/>
              </w:rPr>
              <w:t xml:space="preserve">nnual </w:t>
            </w:r>
            <w:r w:rsidR="005C1214" w:rsidRPr="009F29C6">
              <w:rPr>
                <w:rFonts w:ascii="Arial" w:hAnsi="Arial" w:cs="Arial"/>
              </w:rPr>
              <w:t>r</w:t>
            </w:r>
            <w:r w:rsidR="00844D8E" w:rsidRPr="009F29C6">
              <w:rPr>
                <w:rFonts w:ascii="Arial" w:hAnsi="Arial" w:cs="Arial"/>
              </w:rPr>
              <w:t xml:space="preserve">evenue </w:t>
            </w:r>
            <w:r w:rsidR="005C1214" w:rsidRPr="009F29C6">
              <w:rPr>
                <w:rFonts w:ascii="Arial" w:hAnsi="Arial" w:cs="Arial"/>
              </w:rPr>
              <w:t>r</w:t>
            </w:r>
            <w:r w:rsidR="00844D8E" w:rsidRPr="009F29C6">
              <w:rPr>
                <w:rFonts w:ascii="Arial" w:hAnsi="Arial" w:cs="Arial"/>
              </w:rPr>
              <w:t>equirement</w:t>
            </w:r>
          </w:p>
        </w:tc>
      </w:tr>
      <w:tr w:rsidR="00BC25AF" w:rsidRPr="009F29C6" w:rsidTr="00660DF5">
        <w:tc>
          <w:tcPr>
            <w:tcW w:w="2802" w:type="dxa"/>
            <w:noWrap/>
          </w:tcPr>
          <w:p w:rsidR="00BC25AF" w:rsidRPr="009F29C6" w:rsidRDefault="00BC25AF" w:rsidP="00A75C1F">
            <w:pPr>
              <w:rPr>
                <w:rFonts w:ascii="Arial" w:hAnsi="Arial" w:cs="Arial"/>
              </w:rPr>
            </w:pPr>
            <w:r w:rsidRPr="009F29C6">
              <w:rPr>
                <w:rFonts w:ascii="Arial" w:hAnsi="Arial" w:cs="Arial"/>
              </w:rPr>
              <w:t>AEMC</w:t>
            </w:r>
          </w:p>
        </w:tc>
        <w:tc>
          <w:tcPr>
            <w:tcW w:w="5726" w:type="dxa"/>
            <w:noWrap/>
          </w:tcPr>
          <w:p w:rsidR="00BC25AF" w:rsidRPr="009F29C6" w:rsidRDefault="00BC25AF" w:rsidP="00A75C1F">
            <w:pPr>
              <w:rPr>
                <w:rFonts w:ascii="Arial" w:hAnsi="Arial" w:cs="Arial"/>
              </w:rPr>
            </w:pPr>
            <w:r w:rsidRPr="009F29C6">
              <w:rPr>
                <w:rFonts w:ascii="Arial" w:hAnsi="Arial" w:cs="Arial"/>
              </w:rPr>
              <w:t>Australian Energy Market Commission</w:t>
            </w:r>
          </w:p>
        </w:tc>
      </w:tr>
      <w:tr w:rsidR="00A75C1F"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9F29C6" w:rsidRDefault="00A75C1F" w:rsidP="00A75C1F">
            <w:pPr>
              <w:rPr>
                <w:rFonts w:ascii="Arial" w:hAnsi="Arial" w:cs="Arial"/>
              </w:rPr>
            </w:pPr>
            <w:r w:rsidRPr="009F29C6">
              <w:rPr>
                <w:rFonts w:ascii="Arial" w:hAnsi="Arial" w:cs="Arial"/>
              </w:rPr>
              <w:t>AER</w:t>
            </w:r>
          </w:p>
        </w:tc>
        <w:tc>
          <w:tcPr>
            <w:tcW w:w="5726" w:type="dxa"/>
            <w:noWrap/>
          </w:tcPr>
          <w:p w:rsidR="00A75C1F" w:rsidRPr="009F29C6" w:rsidRDefault="00A75C1F" w:rsidP="00A75C1F">
            <w:pPr>
              <w:rPr>
                <w:rFonts w:ascii="Arial" w:hAnsi="Arial" w:cs="Arial"/>
              </w:rPr>
            </w:pPr>
            <w:r w:rsidRPr="009F29C6">
              <w:rPr>
                <w:rFonts w:ascii="Arial" w:hAnsi="Arial" w:cs="Arial"/>
              </w:rPr>
              <w:t>Australian Energy Regulator</w:t>
            </w:r>
          </w:p>
        </w:tc>
      </w:tr>
      <w:tr w:rsidR="00E65899" w:rsidRPr="009F29C6" w:rsidTr="00660DF5">
        <w:tc>
          <w:tcPr>
            <w:tcW w:w="2802" w:type="dxa"/>
            <w:noWrap/>
          </w:tcPr>
          <w:p w:rsidR="00E65899" w:rsidRPr="009F29C6" w:rsidRDefault="00E65899" w:rsidP="00A75C1F">
            <w:pPr>
              <w:rPr>
                <w:rFonts w:ascii="Arial" w:hAnsi="Arial" w:cs="Arial"/>
              </w:rPr>
            </w:pPr>
            <w:r>
              <w:rPr>
                <w:rFonts w:ascii="Arial" w:hAnsi="Arial" w:cs="Arial"/>
              </w:rPr>
              <w:t>CESS</w:t>
            </w:r>
          </w:p>
        </w:tc>
        <w:tc>
          <w:tcPr>
            <w:tcW w:w="5726" w:type="dxa"/>
            <w:noWrap/>
          </w:tcPr>
          <w:p w:rsidR="00E65899" w:rsidRPr="009F29C6" w:rsidRDefault="00E65899" w:rsidP="00A75C1F">
            <w:pPr>
              <w:rPr>
                <w:rFonts w:ascii="Arial" w:hAnsi="Arial" w:cs="Arial"/>
              </w:rPr>
            </w:pPr>
            <w:r w:rsidRPr="00E65899">
              <w:rPr>
                <w:rFonts w:ascii="Arial" w:hAnsi="Arial" w:cs="Arial"/>
              </w:rPr>
              <w:t>capital expenditure sharing scheme</w:t>
            </w:r>
          </w:p>
        </w:tc>
      </w:tr>
      <w:tr w:rsidR="00A75C1F"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9F29C6" w:rsidRDefault="00A75C1F" w:rsidP="00A75C1F">
            <w:pPr>
              <w:rPr>
                <w:rFonts w:ascii="Arial" w:hAnsi="Arial" w:cs="Arial"/>
              </w:rPr>
            </w:pPr>
            <w:r w:rsidRPr="009F29C6">
              <w:rPr>
                <w:rFonts w:ascii="Arial" w:hAnsi="Arial" w:cs="Arial"/>
              </w:rPr>
              <w:t>CPI</w:t>
            </w:r>
          </w:p>
        </w:tc>
        <w:tc>
          <w:tcPr>
            <w:tcW w:w="5726" w:type="dxa"/>
            <w:noWrap/>
          </w:tcPr>
          <w:p w:rsidR="00A75C1F" w:rsidRPr="009F29C6" w:rsidRDefault="00A75C1F" w:rsidP="00A75C1F">
            <w:pPr>
              <w:rPr>
                <w:rFonts w:ascii="Arial" w:hAnsi="Arial" w:cs="Arial"/>
              </w:rPr>
            </w:pPr>
            <w:r w:rsidRPr="009F29C6">
              <w:rPr>
                <w:rFonts w:ascii="Arial" w:hAnsi="Arial" w:cs="Arial"/>
              </w:rPr>
              <w:t>consumer price index</w:t>
            </w:r>
          </w:p>
        </w:tc>
      </w:tr>
      <w:tr w:rsidR="00E65899" w:rsidRPr="009F29C6" w:rsidTr="00660DF5">
        <w:tc>
          <w:tcPr>
            <w:tcW w:w="2802" w:type="dxa"/>
            <w:noWrap/>
          </w:tcPr>
          <w:p w:rsidR="00E65899" w:rsidRPr="009F29C6" w:rsidRDefault="00E65899" w:rsidP="00A75C1F">
            <w:pPr>
              <w:rPr>
                <w:rFonts w:ascii="Arial" w:hAnsi="Arial" w:cs="Arial"/>
              </w:rPr>
            </w:pPr>
            <w:r>
              <w:rPr>
                <w:rFonts w:ascii="Arial" w:hAnsi="Arial" w:cs="Arial"/>
              </w:rPr>
              <w:t>DMS</w:t>
            </w:r>
          </w:p>
        </w:tc>
        <w:tc>
          <w:tcPr>
            <w:tcW w:w="5726" w:type="dxa"/>
            <w:noWrap/>
          </w:tcPr>
          <w:p w:rsidR="00E65899" w:rsidRPr="009F29C6" w:rsidRDefault="00E65899" w:rsidP="00A75C1F">
            <w:pPr>
              <w:rPr>
                <w:rFonts w:ascii="Arial" w:hAnsi="Arial" w:cs="Arial"/>
              </w:rPr>
            </w:pPr>
            <w:r>
              <w:rPr>
                <w:rFonts w:ascii="Arial" w:hAnsi="Arial" w:cs="Arial"/>
              </w:rPr>
              <w:t>data management system</w:t>
            </w:r>
          </w:p>
        </w:tc>
      </w:tr>
      <w:tr w:rsidR="0029516F"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29516F" w:rsidRPr="009F29C6" w:rsidRDefault="0029516F" w:rsidP="005C1214">
            <w:pPr>
              <w:rPr>
                <w:rFonts w:ascii="Arial" w:hAnsi="Arial" w:cs="Arial"/>
              </w:rPr>
            </w:pPr>
            <w:r w:rsidRPr="009F29C6">
              <w:rPr>
                <w:rFonts w:ascii="Arial" w:hAnsi="Arial" w:cs="Arial"/>
              </w:rPr>
              <w:t>D</w:t>
            </w:r>
            <w:r w:rsidR="0078730A" w:rsidRPr="009F29C6">
              <w:rPr>
                <w:rFonts w:ascii="Arial" w:hAnsi="Arial" w:cs="Arial"/>
              </w:rPr>
              <w:t>NSP</w:t>
            </w:r>
          </w:p>
        </w:tc>
        <w:tc>
          <w:tcPr>
            <w:tcW w:w="5726" w:type="dxa"/>
            <w:noWrap/>
          </w:tcPr>
          <w:p w:rsidR="0029516F" w:rsidRPr="009F29C6" w:rsidRDefault="0029516F" w:rsidP="0078730A">
            <w:pPr>
              <w:rPr>
                <w:rFonts w:ascii="Arial" w:hAnsi="Arial" w:cs="Arial"/>
              </w:rPr>
            </w:pPr>
            <w:r w:rsidRPr="009F29C6">
              <w:rPr>
                <w:rFonts w:ascii="Arial" w:hAnsi="Arial" w:cs="Arial"/>
              </w:rPr>
              <w:t xml:space="preserve">distribution </w:t>
            </w:r>
            <w:r w:rsidR="0078730A" w:rsidRPr="009F29C6">
              <w:rPr>
                <w:rFonts w:ascii="Arial" w:hAnsi="Arial" w:cs="Arial"/>
              </w:rPr>
              <w:t>network service provider</w:t>
            </w:r>
          </w:p>
        </w:tc>
      </w:tr>
      <w:tr w:rsidR="00E65899" w:rsidRPr="009F29C6" w:rsidTr="00660DF5">
        <w:tc>
          <w:tcPr>
            <w:tcW w:w="2802" w:type="dxa"/>
            <w:noWrap/>
          </w:tcPr>
          <w:p w:rsidR="00E65899" w:rsidRPr="009F29C6" w:rsidRDefault="00E65899" w:rsidP="005C1214">
            <w:pPr>
              <w:rPr>
                <w:rFonts w:ascii="Arial" w:hAnsi="Arial" w:cs="Arial"/>
              </w:rPr>
            </w:pPr>
            <w:r>
              <w:rPr>
                <w:rFonts w:ascii="Arial" w:hAnsi="Arial" w:cs="Arial"/>
              </w:rPr>
              <w:t>EBSS</w:t>
            </w:r>
          </w:p>
        </w:tc>
        <w:tc>
          <w:tcPr>
            <w:tcW w:w="5726" w:type="dxa"/>
            <w:noWrap/>
          </w:tcPr>
          <w:p w:rsidR="00E65899" w:rsidRPr="009F29C6" w:rsidRDefault="00E65899" w:rsidP="0078730A">
            <w:pPr>
              <w:rPr>
                <w:rFonts w:ascii="Arial" w:hAnsi="Arial" w:cs="Arial"/>
              </w:rPr>
            </w:pPr>
            <w:r>
              <w:rPr>
                <w:rFonts w:ascii="Arial" w:hAnsi="Arial" w:cs="Arial"/>
              </w:rPr>
              <w:t>efficiency benefit sharing scheme</w:t>
            </w:r>
          </w:p>
        </w:tc>
      </w:tr>
      <w:tr w:rsidR="00E65899"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E65899" w:rsidRPr="009F29C6" w:rsidRDefault="00E65899" w:rsidP="00710A27">
            <w:pPr>
              <w:rPr>
                <w:rFonts w:ascii="Arial" w:hAnsi="Arial" w:cs="Arial"/>
              </w:rPr>
            </w:pPr>
            <w:r>
              <w:rPr>
                <w:rFonts w:ascii="Arial" w:hAnsi="Arial" w:cs="Arial"/>
              </w:rPr>
              <w:t>ENA</w:t>
            </w:r>
          </w:p>
        </w:tc>
        <w:tc>
          <w:tcPr>
            <w:tcW w:w="5726" w:type="dxa"/>
            <w:noWrap/>
          </w:tcPr>
          <w:p w:rsidR="00E65899" w:rsidRPr="009F29C6" w:rsidRDefault="00E65899" w:rsidP="00E30A88">
            <w:pPr>
              <w:rPr>
                <w:rFonts w:ascii="Arial" w:hAnsi="Arial" w:cs="Arial"/>
              </w:rPr>
            </w:pPr>
            <w:r>
              <w:rPr>
                <w:rFonts w:ascii="Arial" w:hAnsi="Arial" w:cs="Arial"/>
              </w:rPr>
              <w:t>Energy Networks Association</w:t>
            </w:r>
          </w:p>
        </w:tc>
      </w:tr>
      <w:tr w:rsidR="00A75C1F" w:rsidRPr="009F29C6" w:rsidTr="00660DF5">
        <w:tc>
          <w:tcPr>
            <w:tcW w:w="2802" w:type="dxa"/>
            <w:noWrap/>
          </w:tcPr>
          <w:p w:rsidR="00A75C1F" w:rsidRPr="009F29C6" w:rsidRDefault="00A75C1F" w:rsidP="00710A27">
            <w:pPr>
              <w:rPr>
                <w:rFonts w:ascii="Arial" w:hAnsi="Arial" w:cs="Arial"/>
              </w:rPr>
            </w:pPr>
            <w:r w:rsidRPr="009F29C6">
              <w:rPr>
                <w:rFonts w:ascii="Arial" w:hAnsi="Arial" w:cs="Arial"/>
              </w:rPr>
              <w:t>E</w:t>
            </w:r>
            <w:r w:rsidR="00710A27" w:rsidRPr="009F29C6">
              <w:rPr>
                <w:rFonts w:ascii="Arial" w:hAnsi="Arial" w:cs="Arial"/>
              </w:rPr>
              <w:t>RC</w:t>
            </w:r>
          </w:p>
        </w:tc>
        <w:tc>
          <w:tcPr>
            <w:tcW w:w="5726" w:type="dxa"/>
            <w:noWrap/>
          </w:tcPr>
          <w:p w:rsidR="00A75C1F" w:rsidRPr="009F29C6" w:rsidRDefault="00710A27" w:rsidP="00E30A88">
            <w:pPr>
              <w:rPr>
                <w:rFonts w:ascii="Arial" w:hAnsi="Arial" w:cs="Arial"/>
              </w:rPr>
            </w:pPr>
            <w:r w:rsidRPr="009F29C6">
              <w:rPr>
                <w:rFonts w:ascii="Arial" w:hAnsi="Arial" w:cs="Arial"/>
              </w:rPr>
              <w:t>equity raising cost</w:t>
            </w:r>
            <w:r w:rsidR="000C2A47" w:rsidRPr="009F29C6">
              <w:rPr>
                <w:rFonts w:ascii="Arial" w:hAnsi="Arial" w:cs="Arial"/>
              </w:rPr>
              <w:t>s</w:t>
            </w:r>
          </w:p>
        </w:tc>
      </w:tr>
      <w:tr w:rsidR="00300110"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300110" w:rsidRPr="009F29C6" w:rsidRDefault="00300110" w:rsidP="00A75C1F">
            <w:pPr>
              <w:rPr>
                <w:rFonts w:ascii="Arial" w:hAnsi="Arial" w:cs="Arial"/>
              </w:rPr>
            </w:pPr>
            <w:r w:rsidRPr="009F29C6">
              <w:rPr>
                <w:rFonts w:ascii="Arial" w:hAnsi="Arial" w:cs="Arial"/>
              </w:rPr>
              <w:t>MAR</w:t>
            </w:r>
          </w:p>
        </w:tc>
        <w:tc>
          <w:tcPr>
            <w:tcW w:w="5726" w:type="dxa"/>
            <w:noWrap/>
          </w:tcPr>
          <w:p w:rsidR="00300110" w:rsidRPr="009F29C6" w:rsidRDefault="00300110" w:rsidP="00A75C1F">
            <w:pPr>
              <w:rPr>
                <w:rFonts w:ascii="Arial" w:hAnsi="Arial" w:cs="Arial"/>
              </w:rPr>
            </w:pPr>
            <w:r w:rsidRPr="009F29C6">
              <w:rPr>
                <w:rFonts w:ascii="Arial" w:hAnsi="Arial" w:cs="Arial"/>
              </w:rPr>
              <w:t>maximum allowed revenue</w:t>
            </w:r>
          </w:p>
        </w:tc>
      </w:tr>
      <w:tr w:rsidR="00A75C1F" w:rsidRPr="009F29C6" w:rsidTr="00660DF5">
        <w:tc>
          <w:tcPr>
            <w:tcW w:w="2802" w:type="dxa"/>
            <w:noWrap/>
          </w:tcPr>
          <w:p w:rsidR="00A75C1F" w:rsidRPr="009F29C6" w:rsidRDefault="00A75C1F" w:rsidP="005C1214">
            <w:pPr>
              <w:rPr>
                <w:rFonts w:ascii="Arial" w:hAnsi="Arial" w:cs="Arial"/>
              </w:rPr>
            </w:pPr>
            <w:r w:rsidRPr="009F29C6">
              <w:rPr>
                <w:rFonts w:ascii="Arial" w:hAnsi="Arial" w:cs="Arial"/>
              </w:rPr>
              <w:t>NER</w:t>
            </w:r>
          </w:p>
        </w:tc>
        <w:tc>
          <w:tcPr>
            <w:tcW w:w="5726" w:type="dxa"/>
            <w:noWrap/>
          </w:tcPr>
          <w:p w:rsidR="00A75C1F" w:rsidRPr="009F29C6" w:rsidRDefault="00A75C1F" w:rsidP="00A75C1F">
            <w:pPr>
              <w:rPr>
                <w:rFonts w:ascii="Arial" w:hAnsi="Arial" w:cs="Arial"/>
              </w:rPr>
            </w:pPr>
            <w:r w:rsidRPr="009F29C6">
              <w:rPr>
                <w:rFonts w:ascii="Arial" w:hAnsi="Arial" w:cs="Arial"/>
              </w:rPr>
              <w:t>National Electricity Rules</w:t>
            </w:r>
          </w:p>
        </w:tc>
      </w:tr>
      <w:tr w:rsidR="0078730A"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78730A" w:rsidRPr="009F29C6" w:rsidRDefault="0078730A" w:rsidP="00A75C1F">
            <w:pPr>
              <w:rPr>
                <w:rFonts w:ascii="Arial" w:hAnsi="Arial" w:cs="Arial"/>
              </w:rPr>
            </w:pPr>
            <w:r w:rsidRPr="009F29C6">
              <w:rPr>
                <w:rFonts w:ascii="Arial" w:hAnsi="Arial" w:cs="Arial"/>
              </w:rPr>
              <w:t>NPV</w:t>
            </w:r>
          </w:p>
        </w:tc>
        <w:tc>
          <w:tcPr>
            <w:tcW w:w="5726" w:type="dxa"/>
            <w:noWrap/>
          </w:tcPr>
          <w:p w:rsidR="0078730A" w:rsidRPr="009F29C6" w:rsidRDefault="0078730A" w:rsidP="00A75C1F">
            <w:pPr>
              <w:rPr>
                <w:rFonts w:ascii="Arial" w:hAnsi="Arial" w:cs="Arial"/>
              </w:rPr>
            </w:pPr>
            <w:r w:rsidRPr="009F29C6">
              <w:rPr>
                <w:rFonts w:ascii="Arial" w:hAnsi="Arial" w:cs="Arial"/>
              </w:rPr>
              <w:t>net present value</w:t>
            </w:r>
          </w:p>
        </w:tc>
      </w:tr>
      <w:tr w:rsidR="00281D47" w:rsidRPr="009F29C6" w:rsidTr="00660DF5">
        <w:tc>
          <w:tcPr>
            <w:tcW w:w="2802" w:type="dxa"/>
            <w:noWrap/>
          </w:tcPr>
          <w:p w:rsidR="00281D47" w:rsidRPr="009F29C6" w:rsidRDefault="00281D47" w:rsidP="00A75C1F">
            <w:pPr>
              <w:rPr>
                <w:rFonts w:ascii="Arial" w:hAnsi="Arial" w:cs="Arial"/>
              </w:rPr>
            </w:pPr>
            <w:r w:rsidRPr="009F29C6">
              <w:rPr>
                <w:rFonts w:ascii="Arial" w:hAnsi="Arial" w:cs="Arial"/>
              </w:rPr>
              <w:t>NSP</w:t>
            </w:r>
          </w:p>
        </w:tc>
        <w:tc>
          <w:tcPr>
            <w:tcW w:w="5726" w:type="dxa"/>
            <w:noWrap/>
          </w:tcPr>
          <w:p w:rsidR="00281D47" w:rsidRPr="009F29C6" w:rsidRDefault="00BC271C" w:rsidP="005C1214">
            <w:pPr>
              <w:rPr>
                <w:rFonts w:ascii="Arial" w:hAnsi="Arial" w:cs="Arial"/>
              </w:rPr>
            </w:pPr>
            <w:r w:rsidRPr="009F29C6">
              <w:rPr>
                <w:rFonts w:ascii="Arial" w:hAnsi="Arial" w:cs="Arial"/>
              </w:rPr>
              <w:t>n</w:t>
            </w:r>
            <w:r w:rsidR="00281D47" w:rsidRPr="009F29C6">
              <w:rPr>
                <w:rFonts w:ascii="Arial" w:hAnsi="Arial" w:cs="Arial"/>
              </w:rPr>
              <w:t xml:space="preserve">etwork service provider </w:t>
            </w:r>
            <w:r w:rsidR="005C1214" w:rsidRPr="009F29C6">
              <w:rPr>
                <w:rFonts w:ascii="Arial" w:hAnsi="Arial" w:cs="Arial"/>
              </w:rPr>
              <w:t>(D</w:t>
            </w:r>
            <w:r w:rsidR="00281D47" w:rsidRPr="009F29C6">
              <w:rPr>
                <w:rFonts w:ascii="Arial" w:hAnsi="Arial" w:cs="Arial"/>
              </w:rPr>
              <w:t xml:space="preserve">NSP or </w:t>
            </w:r>
            <w:r w:rsidR="005C1214" w:rsidRPr="009F29C6">
              <w:rPr>
                <w:rFonts w:ascii="Arial" w:hAnsi="Arial" w:cs="Arial"/>
              </w:rPr>
              <w:t>T</w:t>
            </w:r>
            <w:r w:rsidR="00281D47" w:rsidRPr="009F29C6">
              <w:rPr>
                <w:rFonts w:ascii="Arial" w:hAnsi="Arial" w:cs="Arial"/>
              </w:rPr>
              <w:t>NSP</w:t>
            </w:r>
            <w:r w:rsidR="005C1214" w:rsidRPr="009F29C6">
              <w:rPr>
                <w:rFonts w:ascii="Arial" w:hAnsi="Arial" w:cs="Arial"/>
              </w:rPr>
              <w:t>)</w:t>
            </w:r>
          </w:p>
        </w:tc>
      </w:tr>
      <w:tr w:rsidR="0078730A"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78730A" w:rsidRPr="009F29C6" w:rsidRDefault="0078730A" w:rsidP="00A75C1F">
            <w:pPr>
              <w:rPr>
                <w:rFonts w:ascii="Arial" w:hAnsi="Arial" w:cs="Arial"/>
              </w:rPr>
            </w:pPr>
            <w:r w:rsidRPr="009F29C6">
              <w:rPr>
                <w:rFonts w:ascii="Arial" w:hAnsi="Arial" w:cs="Arial"/>
              </w:rPr>
              <w:t>PTRM</w:t>
            </w:r>
          </w:p>
        </w:tc>
        <w:tc>
          <w:tcPr>
            <w:tcW w:w="5726" w:type="dxa"/>
            <w:noWrap/>
          </w:tcPr>
          <w:p w:rsidR="0078730A" w:rsidRPr="009F29C6" w:rsidRDefault="0078730A" w:rsidP="00A75C1F">
            <w:pPr>
              <w:rPr>
                <w:rFonts w:ascii="Arial" w:hAnsi="Arial" w:cs="Arial"/>
              </w:rPr>
            </w:pPr>
            <w:r w:rsidRPr="009F29C6">
              <w:rPr>
                <w:rFonts w:ascii="Arial" w:hAnsi="Arial" w:cs="Arial"/>
              </w:rPr>
              <w:t>post-tax revenue model</w:t>
            </w:r>
          </w:p>
        </w:tc>
      </w:tr>
      <w:tr w:rsidR="00A75C1F" w:rsidRPr="009F29C6" w:rsidTr="00660DF5">
        <w:tc>
          <w:tcPr>
            <w:tcW w:w="2802" w:type="dxa"/>
            <w:noWrap/>
          </w:tcPr>
          <w:p w:rsidR="00A75C1F" w:rsidRPr="009F29C6" w:rsidRDefault="00A75C1F" w:rsidP="00A75C1F">
            <w:pPr>
              <w:rPr>
                <w:rFonts w:ascii="Arial" w:hAnsi="Arial" w:cs="Arial"/>
              </w:rPr>
            </w:pPr>
            <w:r w:rsidRPr="009F29C6">
              <w:rPr>
                <w:rFonts w:ascii="Arial" w:hAnsi="Arial" w:cs="Arial"/>
              </w:rPr>
              <w:t>RAB</w:t>
            </w:r>
          </w:p>
        </w:tc>
        <w:tc>
          <w:tcPr>
            <w:tcW w:w="5726" w:type="dxa"/>
            <w:noWrap/>
          </w:tcPr>
          <w:p w:rsidR="00A75C1F" w:rsidRPr="009F29C6" w:rsidRDefault="00A75C1F" w:rsidP="00A75C1F">
            <w:pPr>
              <w:rPr>
                <w:rFonts w:ascii="Arial" w:hAnsi="Arial" w:cs="Arial"/>
              </w:rPr>
            </w:pPr>
            <w:r w:rsidRPr="009F29C6">
              <w:rPr>
                <w:rFonts w:ascii="Arial" w:hAnsi="Arial" w:cs="Arial"/>
              </w:rPr>
              <w:t>regulatory asset base</w:t>
            </w:r>
          </w:p>
        </w:tc>
      </w:tr>
      <w:tr w:rsidR="0078730A"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78730A" w:rsidRPr="009F29C6" w:rsidRDefault="0078730A" w:rsidP="00A75C1F">
            <w:pPr>
              <w:rPr>
                <w:rFonts w:ascii="Arial" w:hAnsi="Arial" w:cs="Arial"/>
              </w:rPr>
            </w:pPr>
            <w:r w:rsidRPr="009F29C6">
              <w:rPr>
                <w:rFonts w:ascii="Arial" w:hAnsi="Arial" w:cs="Arial"/>
              </w:rPr>
              <w:t>TAB</w:t>
            </w:r>
          </w:p>
        </w:tc>
        <w:tc>
          <w:tcPr>
            <w:tcW w:w="5726" w:type="dxa"/>
            <w:noWrap/>
          </w:tcPr>
          <w:p w:rsidR="0078730A" w:rsidRPr="009F29C6" w:rsidRDefault="0078730A" w:rsidP="00A75C1F">
            <w:pPr>
              <w:rPr>
                <w:rFonts w:ascii="Arial" w:hAnsi="Arial" w:cs="Arial"/>
              </w:rPr>
            </w:pPr>
            <w:r w:rsidRPr="009F29C6">
              <w:rPr>
                <w:rFonts w:ascii="Arial" w:hAnsi="Arial" w:cs="Arial"/>
              </w:rPr>
              <w:t>tax asset base</w:t>
            </w:r>
          </w:p>
        </w:tc>
      </w:tr>
      <w:tr w:rsidR="0078730A" w:rsidRPr="009F29C6" w:rsidTr="00660DF5">
        <w:tc>
          <w:tcPr>
            <w:tcW w:w="2802" w:type="dxa"/>
            <w:noWrap/>
          </w:tcPr>
          <w:p w:rsidR="0078730A" w:rsidRPr="009F29C6" w:rsidRDefault="0078730A" w:rsidP="00A75C1F">
            <w:pPr>
              <w:rPr>
                <w:rFonts w:ascii="Arial" w:hAnsi="Arial" w:cs="Arial"/>
              </w:rPr>
            </w:pPr>
            <w:r w:rsidRPr="009F29C6">
              <w:rPr>
                <w:rFonts w:ascii="Arial" w:hAnsi="Arial" w:cs="Arial"/>
              </w:rPr>
              <w:t>TNSP</w:t>
            </w:r>
          </w:p>
        </w:tc>
        <w:tc>
          <w:tcPr>
            <w:tcW w:w="5726" w:type="dxa"/>
            <w:noWrap/>
          </w:tcPr>
          <w:p w:rsidR="0078730A" w:rsidRPr="009F29C6" w:rsidRDefault="0078730A" w:rsidP="00A75C1F">
            <w:pPr>
              <w:rPr>
                <w:rFonts w:ascii="Arial" w:hAnsi="Arial" w:cs="Arial"/>
              </w:rPr>
            </w:pPr>
            <w:r w:rsidRPr="009F29C6">
              <w:rPr>
                <w:rFonts w:ascii="Arial" w:hAnsi="Arial" w:cs="Arial"/>
              </w:rPr>
              <w:t>transmission network service provider</w:t>
            </w:r>
          </w:p>
        </w:tc>
      </w:tr>
      <w:tr w:rsidR="00A75C1F" w:rsidRPr="009F29C6"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9F29C6" w:rsidRDefault="00A75C1F" w:rsidP="005C1214">
            <w:pPr>
              <w:rPr>
                <w:rFonts w:ascii="Arial" w:hAnsi="Arial" w:cs="Arial"/>
              </w:rPr>
            </w:pPr>
            <w:r w:rsidRPr="009F29C6">
              <w:rPr>
                <w:rFonts w:ascii="Arial" w:hAnsi="Arial" w:cs="Arial"/>
              </w:rPr>
              <w:t>WACC</w:t>
            </w:r>
          </w:p>
        </w:tc>
        <w:tc>
          <w:tcPr>
            <w:tcW w:w="5726" w:type="dxa"/>
            <w:noWrap/>
          </w:tcPr>
          <w:p w:rsidR="00A75C1F" w:rsidRPr="009F29C6" w:rsidRDefault="00A75C1F" w:rsidP="00A75C1F">
            <w:pPr>
              <w:rPr>
                <w:rFonts w:ascii="Arial" w:hAnsi="Arial" w:cs="Arial"/>
              </w:rPr>
            </w:pPr>
            <w:r w:rsidRPr="009F29C6">
              <w:rPr>
                <w:rFonts w:ascii="Arial" w:hAnsi="Arial" w:cs="Arial"/>
              </w:rPr>
              <w:t>weighted average cost of capital</w:t>
            </w:r>
          </w:p>
        </w:tc>
      </w:tr>
    </w:tbl>
    <w:p w:rsidR="008337FF" w:rsidRPr="009F29C6" w:rsidRDefault="008337FF" w:rsidP="00540029">
      <w:pPr>
        <w:pStyle w:val="AERbodytext"/>
        <w:numPr>
          <w:ilvl w:val="0"/>
          <w:numId w:val="0"/>
        </w:numPr>
        <w:rPr>
          <w:rFonts w:ascii="Arial" w:hAnsi="Arial" w:cs="Arial"/>
        </w:rPr>
      </w:pPr>
    </w:p>
    <w:p w:rsidR="00C5132E" w:rsidRPr="009F29C6" w:rsidRDefault="00491692" w:rsidP="000514DD">
      <w:pPr>
        <w:pStyle w:val="Heading1"/>
        <w:rPr>
          <w:rFonts w:ascii="Arial" w:hAnsi="Arial" w:cs="Arial"/>
        </w:rPr>
      </w:pPr>
      <w:bookmarkStart w:id="13" w:name="_Toc395861692"/>
      <w:bookmarkStart w:id="14" w:name="_Toc408926600"/>
      <w:r w:rsidRPr="009F29C6">
        <w:rPr>
          <w:rFonts w:ascii="Arial" w:hAnsi="Arial" w:cs="Arial"/>
        </w:rPr>
        <w:lastRenderedPageBreak/>
        <w:t>Introduction</w:t>
      </w:r>
      <w:bookmarkEnd w:id="13"/>
      <w:bookmarkEnd w:id="14"/>
    </w:p>
    <w:p w:rsidR="002A22E3" w:rsidRPr="008C75B6" w:rsidRDefault="00596708" w:rsidP="002A22E3">
      <w:pPr>
        <w:pStyle w:val="AERbodytext"/>
        <w:numPr>
          <w:ilvl w:val="0"/>
          <w:numId w:val="9"/>
        </w:numPr>
        <w:rPr>
          <w:rStyle w:val="AERbody"/>
          <w:rFonts w:ascii="Arial" w:hAnsi="Arial" w:cs="Arial"/>
        </w:rPr>
      </w:pPr>
      <w:r w:rsidRPr="009F29C6">
        <w:rPr>
          <w:rStyle w:val="AERbody"/>
          <w:rFonts w:ascii="Arial" w:hAnsi="Arial" w:cs="Arial"/>
        </w:rPr>
        <w:t xml:space="preserve">The </w:t>
      </w:r>
      <w:r w:rsidR="006259E9" w:rsidRPr="009F29C6">
        <w:rPr>
          <w:rStyle w:val="AERbody"/>
          <w:rFonts w:ascii="Arial" w:hAnsi="Arial" w:cs="Arial"/>
        </w:rPr>
        <w:t xml:space="preserve">AER </w:t>
      </w:r>
      <w:r w:rsidRPr="009F29C6">
        <w:rPr>
          <w:rStyle w:val="AERbody"/>
          <w:rFonts w:ascii="Arial" w:hAnsi="Arial" w:cs="Arial"/>
        </w:rPr>
        <w:t>is responsible for the economic regulation of prescribed transmission</w:t>
      </w:r>
      <w:r w:rsidR="006259E9" w:rsidRPr="009F29C6">
        <w:rPr>
          <w:rStyle w:val="AERbody"/>
          <w:rFonts w:ascii="Arial" w:hAnsi="Arial" w:cs="Arial"/>
        </w:rPr>
        <w:t xml:space="preserve"> and </w:t>
      </w:r>
      <w:r w:rsidR="00A91499" w:rsidRPr="009F29C6">
        <w:rPr>
          <w:rStyle w:val="AERbody"/>
          <w:rFonts w:ascii="Arial" w:hAnsi="Arial" w:cs="Arial"/>
        </w:rPr>
        <w:t xml:space="preserve">direct control </w:t>
      </w:r>
      <w:r w:rsidR="006259E9" w:rsidRPr="009F29C6">
        <w:rPr>
          <w:rStyle w:val="AERbody"/>
          <w:rFonts w:ascii="Arial" w:hAnsi="Arial" w:cs="Arial"/>
        </w:rPr>
        <w:t xml:space="preserve">distribution </w:t>
      </w:r>
      <w:r w:rsidRPr="009F29C6">
        <w:rPr>
          <w:rStyle w:val="AERbody"/>
          <w:rFonts w:ascii="Arial" w:hAnsi="Arial" w:cs="Arial"/>
        </w:rPr>
        <w:t>services provided by transmission</w:t>
      </w:r>
      <w:r w:rsidR="006259E9" w:rsidRPr="009F29C6">
        <w:rPr>
          <w:rStyle w:val="AERbody"/>
          <w:rFonts w:ascii="Arial" w:hAnsi="Arial" w:cs="Arial"/>
        </w:rPr>
        <w:t xml:space="preserve"> and distribution</w:t>
      </w:r>
      <w:r w:rsidRPr="009F29C6">
        <w:rPr>
          <w:rStyle w:val="AERbody"/>
          <w:rFonts w:ascii="Arial" w:hAnsi="Arial" w:cs="Arial"/>
        </w:rPr>
        <w:t xml:space="preserve"> network service providers (TNSPs</w:t>
      </w:r>
      <w:r w:rsidR="006259E9" w:rsidRPr="009F29C6">
        <w:rPr>
          <w:rStyle w:val="AERbody"/>
          <w:rFonts w:ascii="Arial" w:hAnsi="Arial" w:cs="Arial"/>
        </w:rPr>
        <w:t xml:space="preserve"> and DNSPs</w:t>
      </w:r>
      <w:r w:rsidRPr="009F29C6">
        <w:rPr>
          <w:rStyle w:val="AERbody"/>
          <w:rFonts w:ascii="Arial" w:hAnsi="Arial" w:cs="Arial"/>
        </w:rPr>
        <w:t>) in the National Electricity Market, in accordance with the National Electricity Rules (NER).</w:t>
      </w:r>
      <w:r w:rsidR="00E65899" w:rsidRPr="004C4C71">
        <w:rPr>
          <w:rStyle w:val="FootnoteReference"/>
          <w:rFonts w:ascii="Arial" w:hAnsi="Arial" w:cs="Arial"/>
        </w:rPr>
        <w:footnoteReference w:id="1"/>
      </w:r>
      <w:r w:rsidR="002A22E3" w:rsidRPr="009F29C6">
        <w:rPr>
          <w:rStyle w:val="AERbody"/>
          <w:rFonts w:ascii="Arial" w:hAnsi="Arial" w:cs="Arial"/>
        </w:rPr>
        <w:t xml:space="preserve"> </w:t>
      </w:r>
      <w:r w:rsidR="00563DBE" w:rsidRPr="009F29C6">
        <w:rPr>
          <w:rStyle w:val="AERbody"/>
          <w:rFonts w:ascii="Arial" w:hAnsi="Arial" w:cs="Arial"/>
        </w:rPr>
        <w:t>T</w:t>
      </w:r>
      <w:r w:rsidR="006259E9" w:rsidRPr="009F29C6">
        <w:rPr>
          <w:rStyle w:val="AERbody"/>
          <w:rFonts w:ascii="Arial" w:hAnsi="Arial" w:cs="Arial"/>
        </w:rPr>
        <w:t>he NER require</w:t>
      </w:r>
      <w:r w:rsidR="002A22E3" w:rsidRPr="009F29C6">
        <w:rPr>
          <w:rStyle w:val="AERbody"/>
          <w:rFonts w:ascii="Arial" w:hAnsi="Arial" w:cs="Arial"/>
        </w:rPr>
        <w:t>s</w:t>
      </w:r>
      <w:r w:rsidRPr="009F29C6">
        <w:rPr>
          <w:rStyle w:val="AERbody"/>
          <w:rFonts w:ascii="Arial" w:hAnsi="Arial" w:cs="Arial"/>
        </w:rPr>
        <w:t xml:space="preserve"> </w:t>
      </w:r>
      <w:r w:rsidR="007F6C20" w:rsidRPr="009F29C6">
        <w:rPr>
          <w:rStyle w:val="AERbody"/>
          <w:rFonts w:ascii="Arial" w:hAnsi="Arial" w:cs="Arial"/>
        </w:rPr>
        <w:t>us to</w:t>
      </w:r>
      <w:r w:rsidR="00727EB4" w:rsidRPr="009F29C6">
        <w:rPr>
          <w:rStyle w:val="AERbody"/>
          <w:rFonts w:ascii="Arial" w:hAnsi="Arial" w:cs="Arial"/>
        </w:rPr>
        <w:t xml:space="preserve"> prepare and publish</w:t>
      </w:r>
      <w:r w:rsidR="000F3B7B" w:rsidRPr="009F29C6">
        <w:rPr>
          <w:rStyle w:val="AERbody"/>
          <w:rFonts w:ascii="Arial" w:hAnsi="Arial" w:cs="Arial"/>
        </w:rPr>
        <w:t xml:space="preserve"> post-tax revenue models</w:t>
      </w:r>
      <w:r w:rsidR="00727EB4" w:rsidRPr="009F29C6">
        <w:rPr>
          <w:rStyle w:val="AERbody"/>
          <w:rFonts w:ascii="Arial" w:hAnsi="Arial" w:cs="Arial"/>
        </w:rPr>
        <w:t xml:space="preserve"> </w:t>
      </w:r>
      <w:r w:rsidR="000F3B7B" w:rsidRPr="009F29C6">
        <w:rPr>
          <w:rStyle w:val="AERbody"/>
          <w:rFonts w:ascii="Arial" w:hAnsi="Arial" w:cs="Arial"/>
        </w:rPr>
        <w:t>(</w:t>
      </w:r>
      <w:r w:rsidR="006259E9" w:rsidRPr="009F29C6">
        <w:rPr>
          <w:rStyle w:val="AERbody"/>
          <w:rFonts w:ascii="Arial" w:hAnsi="Arial" w:cs="Arial"/>
        </w:rPr>
        <w:t>PTRM</w:t>
      </w:r>
      <w:r w:rsidR="00727EB4" w:rsidRPr="009F29C6">
        <w:rPr>
          <w:rStyle w:val="AERbody"/>
          <w:rFonts w:ascii="Arial" w:hAnsi="Arial" w:cs="Arial"/>
        </w:rPr>
        <w:t>s</w:t>
      </w:r>
      <w:r w:rsidR="000F3B7B" w:rsidRPr="009F29C6">
        <w:rPr>
          <w:rStyle w:val="AERbody"/>
          <w:rFonts w:ascii="Arial" w:hAnsi="Arial" w:cs="Arial"/>
        </w:rPr>
        <w:t>)</w:t>
      </w:r>
      <w:r w:rsidRPr="009F29C6">
        <w:rPr>
          <w:rStyle w:val="AERbody"/>
          <w:rFonts w:ascii="Arial" w:hAnsi="Arial" w:cs="Arial"/>
        </w:rPr>
        <w:t xml:space="preserve"> for TNSPs</w:t>
      </w:r>
      <w:r w:rsidR="002A22E3" w:rsidRPr="009F29C6">
        <w:rPr>
          <w:rStyle w:val="AERbody"/>
          <w:rFonts w:ascii="Arial" w:hAnsi="Arial" w:cs="Arial"/>
        </w:rPr>
        <w:t xml:space="preserve"> and </w:t>
      </w:r>
      <w:r w:rsidR="00563DBE" w:rsidRPr="009F29C6">
        <w:rPr>
          <w:rStyle w:val="AERbody"/>
          <w:rFonts w:ascii="Arial" w:hAnsi="Arial" w:cs="Arial"/>
        </w:rPr>
        <w:t>DNSPs</w:t>
      </w:r>
      <w:r w:rsidR="00923B08" w:rsidRPr="009F29C6">
        <w:rPr>
          <w:rStyle w:val="AERbody"/>
          <w:rFonts w:ascii="Arial" w:hAnsi="Arial" w:cs="Arial"/>
        </w:rPr>
        <w:t>.</w:t>
      </w:r>
      <w:r w:rsidR="00563DBE" w:rsidRPr="009F29C6">
        <w:rPr>
          <w:rStyle w:val="FootnoteReference"/>
          <w:rFonts w:ascii="Arial" w:hAnsi="Arial" w:cs="Arial"/>
        </w:rPr>
        <w:footnoteReference w:id="2"/>
      </w:r>
      <w:r w:rsidR="00923B08" w:rsidRPr="009F29C6">
        <w:rPr>
          <w:rStyle w:val="AERbody"/>
          <w:rFonts w:ascii="Arial" w:hAnsi="Arial" w:cs="Arial"/>
        </w:rPr>
        <w:t xml:space="preserve"> </w:t>
      </w:r>
      <w:r w:rsidR="00281D47" w:rsidRPr="009F29C6">
        <w:rPr>
          <w:rStyle w:val="AERbody"/>
          <w:rFonts w:ascii="Arial" w:hAnsi="Arial" w:cs="Arial"/>
        </w:rPr>
        <w:t>TNSPs and DNSPs can be collectively referred to as network service providers (NSPs).</w:t>
      </w:r>
    </w:p>
    <w:p w:rsidR="0084384B" w:rsidRPr="009F29C6" w:rsidRDefault="00563DBE" w:rsidP="002A22E3">
      <w:pPr>
        <w:pStyle w:val="AERbodytext"/>
        <w:rPr>
          <w:rStyle w:val="AERbody"/>
          <w:rFonts w:ascii="Arial" w:hAnsi="Arial" w:cs="Arial"/>
        </w:rPr>
      </w:pPr>
      <w:r w:rsidRPr="009F29C6">
        <w:rPr>
          <w:rStyle w:val="AERbody"/>
          <w:rFonts w:ascii="Arial" w:hAnsi="Arial" w:cs="Arial"/>
        </w:rPr>
        <w:t>T</w:t>
      </w:r>
      <w:r w:rsidR="00923B08" w:rsidRPr="009F29C6">
        <w:rPr>
          <w:rStyle w:val="AERbody"/>
          <w:rFonts w:ascii="Arial" w:hAnsi="Arial" w:cs="Arial"/>
        </w:rPr>
        <w:t xml:space="preserve">he NER allows </w:t>
      </w:r>
      <w:r w:rsidR="002A22E3" w:rsidRPr="009F29C6">
        <w:rPr>
          <w:rStyle w:val="AERbody"/>
          <w:rFonts w:ascii="Arial" w:hAnsi="Arial" w:cs="Arial"/>
        </w:rPr>
        <w:t>us</w:t>
      </w:r>
      <w:r w:rsidR="00923B08" w:rsidRPr="009F29C6">
        <w:rPr>
          <w:rStyle w:val="AERbody"/>
          <w:rFonts w:ascii="Arial" w:hAnsi="Arial" w:cs="Arial"/>
        </w:rPr>
        <w:t xml:space="preserve"> to amend or replace th</w:t>
      </w:r>
      <w:r w:rsidRPr="009F29C6">
        <w:rPr>
          <w:rStyle w:val="AERbody"/>
          <w:rFonts w:ascii="Arial" w:hAnsi="Arial" w:cs="Arial"/>
        </w:rPr>
        <w:t>e PTRMs of the NSPs</w:t>
      </w:r>
      <w:r w:rsidR="00923B08" w:rsidRPr="009F29C6">
        <w:rPr>
          <w:rStyle w:val="AERbody"/>
          <w:rFonts w:ascii="Arial" w:hAnsi="Arial" w:cs="Arial"/>
        </w:rPr>
        <w:t xml:space="preserve"> and sets out the requirements in doing so.</w:t>
      </w:r>
      <w:r w:rsidRPr="009F29C6">
        <w:rPr>
          <w:rStyle w:val="FootnoteReference"/>
          <w:rFonts w:ascii="Arial" w:hAnsi="Arial" w:cs="Arial"/>
        </w:rPr>
        <w:footnoteReference w:id="3"/>
      </w:r>
      <w:r w:rsidR="002A22E3" w:rsidRPr="009F29C6">
        <w:rPr>
          <w:rStyle w:val="AERbody"/>
          <w:rFonts w:ascii="Arial" w:hAnsi="Arial" w:cs="Arial"/>
        </w:rPr>
        <w:t xml:space="preserve"> </w:t>
      </w:r>
      <w:r w:rsidR="0084384B" w:rsidRPr="009F29C6">
        <w:rPr>
          <w:rStyle w:val="AERbody"/>
          <w:rFonts w:ascii="Arial" w:hAnsi="Arial" w:cs="Arial"/>
        </w:rPr>
        <w:t xml:space="preserve">We released an </w:t>
      </w:r>
      <w:r w:rsidR="0084384B" w:rsidRPr="009F29C6">
        <w:rPr>
          <w:rStyle w:val="AERtextitalic"/>
          <w:rFonts w:ascii="Arial" w:hAnsi="Arial" w:cs="Arial"/>
        </w:rPr>
        <w:t xml:space="preserve">Explanatory </w:t>
      </w:r>
      <w:r w:rsidR="00E962D1" w:rsidRPr="009F29C6">
        <w:rPr>
          <w:rStyle w:val="AERtextitalic"/>
          <w:rFonts w:ascii="Arial" w:hAnsi="Arial" w:cs="Arial"/>
        </w:rPr>
        <w:t>s</w:t>
      </w:r>
      <w:r w:rsidR="0084384B" w:rsidRPr="009F29C6">
        <w:rPr>
          <w:rStyle w:val="AERtextitalic"/>
          <w:rFonts w:ascii="Arial" w:hAnsi="Arial" w:cs="Arial"/>
        </w:rPr>
        <w:t>tatement</w:t>
      </w:r>
      <w:r w:rsidR="0084384B" w:rsidRPr="009F29C6">
        <w:rPr>
          <w:rStyle w:val="AERbody"/>
          <w:rFonts w:ascii="Arial" w:hAnsi="Arial" w:cs="Arial"/>
        </w:rPr>
        <w:t xml:space="preserve"> of proposed amendments to the PTRMs in </w:t>
      </w:r>
      <w:r w:rsidR="00214DF1" w:rsidRPr="009F29C6">
        <w:rPr>
          <w:rStyle w:val="AERbody"/>
          <w:rFonts w:ascii="Arial" w:hAnsi="Arial" w:cs="Arial"/>
        </w:rPr>
        <w:t xml:space="preserve">October </w:t>
      </w:r>
      <w:r w:rsidR="0084384B" w:rsidRPr="009F29C6">
        <w:rPr>
          <w:rStyle w:val="AERbody"/>
          <w:rFonts w:ascii="Arial" w:hAnsi="Arial" w:cs="Arial"/>
        </w:rPr>
        <w:t>2014.</w:t>
      </w:r>
      <w:r w:rsidR="00E962D1" w:rsidRPr="009F29C6">
        <w:rPr>
          <w:rStyle w:val="FootnoteReference"/>
          <w:rFonts w:ascii="Arial" w:hAnsi="Arial" w:cs="Arial"/>
          <w:i/>
        </w:rPr>
        <w:t xml:space="preserve"> </w:t>
      </w:r>
      <w:r w:rsidR="00E962D1" w:rsidRPr="009F29C6">
        <w:rPr>
          <w:rStyle w:val="FootnoteReference"/>
          <w:rFonts w:ascii="Arial" w:hAnsi="Arial" w:cs="Arial"/>
        </w:rPr>
        <w:footnoteReference w:id="4"/>
      </w:r>
      <w:r w:rsidR="0084384B" w:rsidRPr="009F29C6">
        <w:rPr>
          <w:rStyle w:val="AERbody"/>
          <w:rFonts w:ascii="Arial" w:hAnsi="Arial" w:cs="Arial"/>
        </w:rPr>
        <w:t xml:space="preserve"> Seven submissions were received on these proposed amendments.</w:t>
      </w:r>
      <w:r w:rsidR="00291F53">
        <w:rPr>
          <w:rStyle w:val="FootnoteReference"/>
          <w:rFonts w:ascii="Arial" w:hAnsi="Arial" w:cs="Arial"/>
        </w:rPr>
        <w:footnoteReference w:id="5"/>
      </w:r>
      <w:r w:rsidR="0084384B" w:rsidRPr="009F29C6">
        <w:rPr>
          <w:rStyle w:val="AERbody"/>
          <w:rFonts w:ascii="Arial" w:hAnsi="Arial" w:cs="Arial"/>
        </w:rPr>
        <w:t xml:space="preserve"> This decision set</w:t>
      </w:r>
      <w:r w:rsidR="00214DF1" w:rsidRPr="009F29C6">
        <w:rPr>
          <w:rStyle w:val="AERbody"/>
          <w:rFonts w:ascii="Arial" w:hAnsi="Arial" w:cs="Arial"/>
        </w:rPr>
        <w:t>s</w:t>
      </w:r>
      <w:r w:rsidR="0084384B" w:rsidRPr="009F29C6">
        <w:rPr>
          <w:rStyle w:val="AERbody"/>
          <w:rFonts w:ascii="Arial" w:hAnsi="Arial" w:cs="Arial"/>
        </w:rPr>
        <w:t xml:space="preserve"> out t</w:t>
      </w:r>
      <w:r w:rsidR="00214DF1" w:rsidRPr="009F29C6">
        <w:rPr>
          <w:rStyle w:val="AERbody"/>
          <w:rFonts w:ascii="Arial" w:hAnsi="Arial" w:cs="Arial"/>
        </w:rPr>
        <w:t>he AER's final position on the</w:t>
      </w:r>
      <w:r w:rsidR="0084384B" w:rsidRPr="009F29C6">
        <w:rPr>
          <w:rStyle w:val="AERbody"/>
          <w:rFonts w:ascii="Arial" w:hAnsi="Arial" w:cs="Arial"/>
        </w:rPr>
        <w:t xml:space="preserve"> amendments</w:t>
      </w:r>
      <w:r w:rsidR="00214DF1" w:rsidRPr="009F29C6">
        <w:rPr>
          <w:rStyle w:val="AERbody"/>
          <w:rFonts w:ascii="Arial" w:hAnsi="Arial" w:cs="Arial"/>
        </w:rPr>
        <w:t xml:space="preserve"> to the PTRMs</w:t>
      </w:r>
      <w:r w:rsidR="0084384B" w:rsidRPr="009F29C6">
        <w:rPr>
          <w:rStyle w:val="AERbody"/>
          <w:rFonts w:ascii="Arial" w:hAnsi="Arial" w:cs="Arial"/>
        </w:rPr>
        <w:t xml:space="preserve"> and the reasons for the changes.</w:t>
      </w:r>
    </w:p>
    <w:p w:rsidR="00085CB2" w:rsidRPr="009F29C6" w:rsidRDefault="000109A9" w:rsidP="002A22E3">
      <w:pPr>
        <w:pStyle w:val="AERbodytext"/>
        <w:rPr>
          <w:rStyle w:val="AERbody"/>
          <w:rFonts w:ascii="Arial" w:hAnsi="Arial" w:cs="Arial"/>
        </w:rPr>
      </w:pPr>
      <w:r w:rsidRPr="009A5FAF">
        <w:rPr>
          <w:rStyle w:val="AERbody"/>
          <w:rFonts w:ascii="Arial" w:hAnsi="Arial" w:cs="Arial"/>
        </w:rPr>
        <w:fldChar w:fldCharType="begin"/>
      </w:r>
      <w:r w:rsidRPr="009F29C6">
        <w:rPr>
          <w:rStyle w:val="AERbody"/>
          <w:rFonts w:ascii="Arial" w:hAnsi="Arial" w:cs="Arial"/>
        </w:rPr>
        <w:instrText xml:space="preserve"> REF _Ref395078134 \h </w:instrText>
      </w:r>
      <w:r w:rsidR="004C4C71" w:rsidRPr="009F29C6">
        <w:rPr>
          <w:rStyle w:val="AERbody"/>
          <w:rFonts w:ascii="Arial" w:hAnsi="Arial" w:cs="Arial"/>
        </w:rPr>
        <w:instrText xml:space="preserve"> \* MERGEFORMAT </w:instrText>
      </w:r>
      <w:r w:rsidRPr="009A5FAF">
        <w:rPr>
          <w:rStyle w:val="AERbody"/>
          <w:rFonts w:ascii="Arial" w:hAnsi="Arial" w:cs="Arial"/>
        </w:rPr>
      </w:r>
      <w:r w:rsidRPr="009A5FAF">
        <w:rPr>
          <w:rStyle w:val="AERbody"/>
          <w:rFonts w:ascii="Arial" w:hAnsi="Arial" w:cs="Arial"/>
        </w:rPr>
        <w:fldChar w:fldCharType="separate"/>
      </w:r>
      <w:r w:rsidR="00291F53" w:rsidRPr="008C75B6">
        <w:rPr>
          <w:rFonts w:ascii="Arial" w:hAnsi="Arial" w:cs="Arial"/>
        </w:rPr>
        <w:t xml:space="preserve">Table </w:t>
      </w:r>
      <w:r w:rsidRPr="009A5FAF">
        <w:rPr>
          <w:rStyle w:val="AERbody"/>
          <w:rFonts w:ascii="Arial" w:hAnsi="Arial" w:cs="Arial"/>
        </w:rPr>
        <w:fldChar w:fldCharType="end"/>
      </w:r>
      <w:r w:rsidR="00214DF1" w:rsidRPr="009F29C6">
        <w:rPr>
          <w:rStyle w:val="AERbody"/>
          <w:rFonts w:ascii="Arial" w:hAnsi="Arial" w:cs="Arial"/>
        </w:rPr>
        <w:t>1</w:t>
      </w:r>
      <w:r w:rsidRPr="009F29C6">
        <w:rPr>
          <w:rStyle w:val="AERbody"/>
          <w:rFonts w:ascii="Arial" w:hAnsi="Arial" w:cs="Arial"/>
        </w:rPr>
        <w:t xml:space="preserve"> </w:t>
      </w:r>
      <w:r w:rsidR="00047802" w:rsidRPr="009F29C6">
        <w:rPr>
          <w:rStyle w:val="AERbody"/>
          <w:rFonts w:ascii="Arial" w:hAnsi="Arial" w:cs="Arial"/>
        </w:rPr>
        <w:t>shows</w:t>
      </w:r>
      <w:r w:rsidR="00085CB2" w:rsidRPr="009F29C6">
        <w:rPr>
          <w:rStyle w:val="AERbody"/>
          <w:rFonts w:ascii="Arial" w:hAnsi="Arial" w:cs="Arial"/>
        </w:rPr>
        <w:t xml:space="preserve"> the </w:t>
      </w:r>
      <w:r w:rsidR="00CE4F82">
        <w:rPr>
          <w:rStyle w:val="AERbody"/>
          <w:rFonts w:ascii="Arial" w:hAnsi="Arial" w:cs="Arial"/>
        </w:rPr>
        <w:t xml:space="preserve">previous </w:t>
      </w:r>
      <w:r w:rsidR="00085CB2" w:rsidRPr="009F29C6">
        <w:rPr>
          <w:rStyle w:val="AERbody"/>
          <w:rFonts w:ascii="Arial" w:hAnsi="Arial" w:cs="Arial"/>
        </w:rPr>
        <w:t>versions of the PTRMs for TNSPs and DNSPs</w:t>
      </w:r>
      <w:r w:rsidR="00047802" w:rsidRPr="009F29C6">
        <w:rPr>
          <w:rStyle w:val="AERbody"/>
          <w:rFonts w:ascii="Arial" w:hAnsi="Arial" w:cs="Arial"/>
        </w:rPr>
        <w:t>,</w:t>
      </w:r>
      <w:r w:rsidR="00085CB2" w:rsidRPr="009F29C6">
        <w:rPr>
          <w:rStyle w:val="AERbody"/>
          <w:rFonts w:ascii="Arial" w:hAnsi="Arial" w:cs="Arial"/>
        </w:rPr>
        <w:t xml:space="preserve"> the key changes</w:t>
      </w:r>
      <w:r w:rsidR="00923B08" w:rsidRPr="009F29C6">
        <w:rPr>
          <w:rStyle w:val="AERbody"/>
          <w:rFonts w:ascii="Arial" w:hAnsi="Arial" w:cs="Arial"/>
        </w:rPr>
        <w:t xml:space="preserve"> to these model</w:t>
      </w:r>
      <w:r w:rsidR="00D66E9A" w:rsidRPr="009F29C6">
        <w:rPr>
          <w:rStyle w:val="AERbody"/>
          <w:rFonts w:ascii="Arial" w:hAnsi="Arial" w:cs="Arial"/>
        </w:rPr>
        <w:t xml:space="preserve">s </w:t>
      </w:r>
      <w:r w:rsidR="00047802" w:rsidRPr="009F29C6">
        <w:rPr>
          <w:rStyle w:val="AERbody"/>
          <w:rFonts w:ascii="Arial" w:hAnsi="Arial" w:cs="Arial"/>
        </w:rPr>
        <w:t>and when</w:t>
      </w:r>
      <w:r w:rsidR="00AA7E93" w:rsidRPr="009F29C6">
        <w:rPr>
          <w:rStyle w:val="AERbody"/>
          <w:rFonts w:ascii="Arial" w:hAnsi="Arial" w:cs="Arial"/>
        </w:rPr>
        <w:t xml:space="preserve"> they were made</w:t>
      </w:r>
      <w:r w:rsidR="00085CB2" w:rsidRPr="009F29C6">
        <w:rPr>
          <w:rStyle w:val="AERbody"/>
          <w:rFonts w:ascii="Arial" w:hAnsi="Arial" w:cs="Arial"/>
        </w:rPr>
        <w:t xml:space="preserve">. </w:t>
      </w:r>
    </w:p>
    <w:p w:rsidR="00432EC6" w:rsidRPr="009A5FAF" w:rsidRDefault="000109A9" w:rsidP="000109A9">
      <w:pPr>
        <w:pStyle w:val="Caption"/>
        <w:rPr>
          <w:rStyle w:val="AERtextbold"/>
          <w:rFonts w:ascii="Arial" w:hAnsi="Arial" w:cs="Arial"/>
        </w:rPr>
      </w:pPr>
      <w:bookmarkStart w:id="15" w:name="_Ref395078134"/>
      <w:r w:rsidRPr="008C75B6">
        <w:rPr>
          <w:rFonts w:ascii="Arial" w:hAnsi="Arial" w:cs="Arial"/>
        </w:rPr>
        <w:t xml:space="preserve">Table </w:t>
      </w:r>
      <w:bookmarkEnd w:id="15"/>
      <w:r w:rsidR="00214DF1" w:rsidRPr="009F29C6">
        <w:rPr>
          <w:rFonts w:ascii="Arial" w:hAnsi="Arial" w:cs="Arial"/>
        </w:rPr>
        <w:t>1</w:t>
      </w:r>
      <w:r w:rsidRPr="009F29C6">
        <w:rPr>
          <w:rFonts w:ascii="Arial" w:hAnsi="Arial" w:cs="Arial"/>
        </w:rPr>
        <w:t xml:space="preserve"> </w:t>
      </w:r>
      <w:r w:rsidRPr="009F29C6">
        <w:rPr>
          <w:rFonts w:ascii="Arial" w:hAnsi="Arial" w:cs="Arial"/>
        </w:rPr>
        <w:tab/>
      </w:r>
      <w:r w:rsidR="00CE4F82">
        <w:rPr>
          <w:rFonts w:ascii="Arial" w:hAnsi="Arial" w:cs="Arial"/>
        </w:rPr>
        <w:t xml:space="preserve">Previous </w:t>
      </w:r>
      <w:r w:rsidR="00432EC6" w:rsidRPr="009F29C6">
        <w:rPr>
          <w:rStyle w:val="AERtextbold"/>
          <w:rFonts w:ascii="Arial" w:hAnsi="Arial" w:cs="Arial"/>
          <w:b/>
        </w:rPr>
        <w:t xml:space="preserve">PTRM </w:t>
      </w:r>
      <w:r w:rsidR="00CE4F82">
        <w:rPr>
          <w:rStyle w:val="AERtextbold"/>
          <w:rFonts w:ascii="Arial" w:hAnsi="Arial" w:cs="Arial"/>
          <w:b/>
        </w:rPr>
        <w:t>versions</w:t>
      </w:r>
    </w:p>
    <w:tbl>
      <w:tblPr>
        <w:tblStyle w:val="AERtable-text"/>
        <w:tblW w:w="9180" w:type="dxa"/>
        <w:tblLayout w:type="fixed"/>
        <w:tblLook w:val="04A0" w:firstRow="1" w:lastRow="0" w:firstColumn="1" w:lastColumn="0" w:noHBand="0" w:noVBand="1"/>
      </w:tblPr>
      <w:tblGrid>
        <w:gridCol w:w="1526"/>
        <w:gridCol w:w="1276"/>
        <w:gridCol w:w="2551"/>
        <w:gridCol w:w="1559"/>
        <w:gridCol w:w="2268"/>
      </w:tblGrid>
      <w:tr w:rsidR="00085CB2" w:rsidRPr="00F746B6" w:rsidTr="00937CE8">
        <w:trPr>
          <w:cnfStyle w:val="100000000000" w:firstRow="1" w:lastRow="0" w:firstColumn="0" w:lastColumn="0" w:oddVBand="0" w:evenVBand="0" w:oddHBand="0" w:evenHBand="0" w:firstRowFirstColumn="0" w:firstRowLastColumn="0" w:lastRowFirstColumn="0" w:lastRowLastColumn="0"/>
        </w:trPr>
        <w:tc>
          <w:tcPr>
            <w:tcW w:w="1526" w:type="dxa"/>
          </w:tcPr>
          <w:p w:rsidR="00085CB2" w:rsidRPr="00F746B6" w:rsidRDefault="00085CB2" w:rsidP="003766A2">
            <w:pPr>
              <w:pStyle w:val="AERtabletextleft"/>
              <w:jc w:val="both"/>
              <w:rPr>
                <w:rStyle w:val="AERtextbold"/>
                <w:rFonts w:ascii="Arial" w:hAnsi="Arial" w:cs="Arial"/>
                <w:b/>
              </w:rPr>
            </w:pPr>
            <w:r w:rsidRPr="00F746B6">
              <w:rPr>
                <w:rStyle w:val="AERtextbold"/>
                <w:rFonts w:ascii="Arial" w:hAnsi="Arial" w:cs="Arial"/>
                <w:b/>
              </w:rPr>
              <w:t xml:space="preserve">Date </w:t>
            </w:r>
          </w:p>
        </w:tc>
        <w:tc>
          <w:tcPr>
            <w:tcW w:w="1276" w:type="dxa"/>
          </w:tcPr>
          <w:p w:rsidR="00085CB2" w:rsidRPr="00F746B6" w:rsidRDefault="00085CB2" w:rsidP="003C4A39">
            <w:pPr>
              <w:pStyle w:val="AERtabletextleft"/>
              <w:rPr>
                <w:rStyle w:val="AERtextbold"/>
                <w:rFonts w:ascii="Arial" w:hAnsi="Arial" w:cs="Arial"/>
                <w:b/>
              </w:rPr>
            </w:pPr>
            <w:r w:rsidRPr="00F746B6">
              <w:rPr>
                <w:rStyle w:val="AERtextbold"/>
                <w:rFonts w:ascii="Arial" w:hAnsi="Arial" w:cs="Arial"/>
                <w:b/>
              </w:rPr>
              <w:t>TNSP version</w:t>
            </w:r>
          </w:p>
        </w:tc>
        <w:tc>
          <w:tcPr>
            <w:tcW w:w="2551" w:type="dxa"/>
          </w:tcPr>
          <w:p w:rsidR="00085CB2" w:rsidRPr="00F746B6" w:rsidRDefault="00085CB2" w:rsidP="003C4A39">
            <w:pPr>
              <w:pStyle w:val="AERtabletextleft"/>
              <w:rPr>
                <w:rStyle w:val="AERtextbold"/>
                <w:rFonts w:ascii="Arial" w:hAnsi="Arial" w:cs="Arial"/>
                <w:b/>
              </w:rPr>
            </w:pPr>
            <w:r w:rsidRPr="00F746B6">
              <w:rPr>
                <w:rStyle w:val="AERtextbold"/>
                <w:rFonts w:ascii="Arial" w:hAnsi="Arial" w:cs="Arial"/>
                <w:b/>
              </w:rPr>
              <w:t>Key changes</w:t>
            </w:r>
          </w:p>
        </w:tc>
        <w:tc>
          <w:tcPr>
            <w:tcW w:w="1559" w:type="dxa"/>
          </w:tcPr>
          <w:p w:rsidR="00085CB2" w:rsidRPr="00F746B6" w:rsidRDefault="00085CB2" w:rsidP="003C4A39">
            <w:pPr>
              <w:pStyle w:val="AERtabletextleft"/>
              <w:rPr>
                <w:rStyle w:val="AERtextbold"/>
                <w:rFonts w:ascii="Arial" w:hAnsi="Arial" w:cs="Arial"/>
                <w:b/>
              </w:rPr>
            </w:pPr>
            <w:r w:rsidRPr="00F746B6">
              <w:rPr>
                <w:rStyle w:val="AERtextbold"/>
                <w:rFonts w:ascii="Arial" w:hAnsi="Arial" w:cs="Arial"/>
                <w:b/>
              </w:rPr>
              <w:t>DNSP version</w:t>
            </w:r>
          </w:p>
        </w:tc>
        <w:tc>
          <w:tcPr>
            <w:tcW w:w="2268" w:type="dxa"/>
          </w:tcPr>
          <w:p w:rsidR="00085CB2" w:rsidRPr="00F746B6" w:rsidRDefault="00085CB2" w:rsidP="003C4A39">
            <w:pPr>
              <w:pStyle w:val="AERtabletextleft"/>
              <w:rPr>
                <w:rStyle w:val="AERtextbold"/>
                <w:rFonts w:ascii="Arial" w:hAnsi="Arial" w:cs="Arial"/>
                <w:b/>
              </w:rPr>
            </w:pPr>
            <w:r w:rsidRPr="00F746B6">
              <w:rPr>
                <w:rStyle w:val="AERtextbold"/>
                <w:rFonts w:ascii="Arial" w:hAnsi="Arial" w:cs="Arial"/>
                <w:b/>
              </w:rPr>
              <w:t>Key changes</w:t>
            </w:r>
          </w:p>
        </w:tc>
      </w:tr>
      <w:tr w:rsidR="00085CB2" w:rsidRPr="009F29C6" w:rsidTr="00937CE8">
        <w:tc>
          <w:tcPr>
            <w:tcW w:w="1526" w:type="dxa"/>
          </w:tcPr>
          <w:p w:rsidR="00085CB2" w:rsidRPr="008C75B6" w:rsidRDefault="00085CB2" w:rsidP="000F3B7B">
            <w:pPr>
              <w:pStyle w:val="AERtabletextleft"/>
              <w:rPr>
                <w:rStyle w:val="AERbody"/>
                <w:rFonts w:ascii="Arial" w:hAnsi="Arial" w:cs="Arial"/>
                <w:sz w:val="16"/>
              </w:rPr>
            </w:pPr>
            <w:r w:rsidRPr="009F29C6">
              <w:rPr>
                <w:rStyle w:val="AERbody"/>
                <w:rFonts w:ascii="Arial" w:hAnsi="Arial" w:cs="Arial"/>
                <w:sz w:val="16"/>
              </w:rPr>
              <w:t>Sept</w:t>
            </w:r>
            <w:r w:rsidR="000F3B7B" w:rsidRPr="009F29C6">
              <w:rPr>
                <w:rStyle w:val="AERbody"/>
                <w:rFonts w:ascii="Arial" w:hAnsi="Arial" w:cs="Arial"/>
                <w:sz w:val="16"/>
              </w:rPr>
              <w:t>ember</w:t>
            </w:r>
            <w:r w:rsidRPr="009F29C6">
              <w:rPr>
                <w:rStyle w:val="AERbody"/>
                <w:rFonts w:ascii="Arial" w:hAnsi="Arial" w:cs="Arial"/>
                <w:sz w:val="16"/>
              </w:rPr>
              <w:t xml:space="preserve"> 2007</w:t>
            </w:r>
          </w:p>
        </w:tc>
        <w:tc>
          <w:tcPr>
            <w:tcW w:w="1276" w:type="dxa"/>
          </w:tcPr>
          <w:p w:rsidR="00085CB2" w:rsidRPr="009F29C6" w:rsidRDefault="00B74D5B" w:rsidP="00FB0FDB">
            <w:pPr>
              <w:pStyle w:val="AERtabletextleft"/>
              <w:rPr>
                <w:rStyle w:val="AERbody"/>
                <w:rFonts w:ascii="Arial" w:hAnsi="Arial" w:cs="Arial"/>
                <w:sz w:val="16"/>
              </w:rPr>
            </w:pPr>
            <w:r w:rsidRPr="009F29C6">
              <w:rPr>
                <w:rStyle w:val="AERbody"/>
                <w:rFonts w:ascii="Arial" w:hAnsi="Arial" w:cs="Arial"/>
                <w:sz w:val="16"/>
              </w:rPr>
              <w:t>1</w:t>
            </w:r>
          </w:p>
        </w:tc>
        <w:tc>
          <w:tcPr>
            <w:tcW w:w="2551" w:type="dxa"/>
          </w:tcPr>
          <w:p w:rsidR="00085CB2" w:rsidRPr="009F29C6" w:rsidRDefault="00F746B6" w:rsidP="00FB0FDB">
            <w:pPr>
              <w:pStyle w:val="AERtabletextleft"/>
              <w:rPr>
                <w:rStyle w:val="AERbody"/>
                <w:rFonts w:ascii="Arial" w:hAnsi="Arial" w:cs="Arial"/>
                <w:sz w:val="16"/>
              </w:rPr>
            </w:pPr>
            <w:r>
              <w:rPr>
                <w:rStyle w:val="AERbody"/>
                <w:rFonts w:ascii="Arial" w:hAnsi="Arial" w:cs="Arial"/>
                <w:sz w:val="16"/>
              </w:rPr>
              <w:t>–</w:t>
            </w:r>
          </w:p>
        </w:tc>
        <w:tc>
          <w:tcPr>
            <w:tcW w:w="1559" w:type="dxa"/>
          </w:tcPr>
          <w:p w:rsidR="00085CB2" w:rsidRPr="009F29C6" w:rsidRDefault="00F746B6" w:rsidP="00F746B6">
            <w:pPr>
              <w:pStyle w:val="AERtabletextleft"/>
              <w:rPr>
                <w:rStyle w:val="AERbody"/>
                <w:rFonts w:ascii="Arial" w:hAnsi="Arial" w:cs="Arial"/>
                <w:sz w:val="16"/>
              </w:rPr>
            </w:pPr>
            <w:r>
              <w:rPr>
                <w:rStyle w:val="AERbody"/>
                <w:rFonts w:ascii="Arial" w:hAnsi="Arial" w:cs="Arial"/>
                <w:sz w:val="16"/>
              </w:rPr>
              <w:t>n/a</w:t>
            </w:r>
          </w:p>
        </w:tc>
        <w:tc>
          <w:tcPr>
            <w:tcW w:w="2268" w:type="dxa"/>
          </w:tcPr>
          <w:p w:rsidR="00085CB2" w:rsidRPr="009F29C6" w:rsidRDefault="00F746B6" w:rsidP="00FB0FDB">
            <w:pPr>
              <w:pStyle w:val="AERtabletextleft"/>
              <w:rPr>
                <w:rStyle w:val="AERbody"/>
                <w:rFonts w:ascii="Arial" w:hAnsi="Arial" w:cs="Arial"/>
                <w:sz w:val="16"/>
              </w:rPr>
            </w:pPr>
            <w:r>
              <w:rPr>
                <w:rStyle w:val="AERbody"/>
                <w:rFonts w:ascii="Arial" w:hAnsi="Arial" w:cs="Arial"/>
                <w:sz w:val="16"/>
              </w:rPr>
              <w:t>n/a</w:t>
            </w:r>
          </w:p>
        </w:tc>
      </w:tr>
      <w:tr w:rsidR="00085CB2" w:rsidRPr="009F29C6" w:rsidTr="00937CE8">
        <w:trPr>
          <w:cnfStyle w:val="000000010000" w:firstRow="0" w:lastRow="0" w:firstColumn="0" w:lastColumn="0" w:oddVBand="0" w:evenVBand="0" w:oddHBand="0" w:evenHBand="1" w:firstRowFirstColumn="0" w:firstRowLastColumn="0" w:lastRowFirstColumn="0" w:lastRowLastColumn="0"/>
        </w:trPr>
        <w:tc>
          <w:tcPr>
            <w:tcW w:w="1526" w:type="dxa"/>
          </w:tcPr>
          <w:p w:rsidR="00085CB2" w:rsidRPr="009F29C6" w:rsidRDefault="00085CB2" w:rsidP="000F3B7B">
            <w:pPr>
              <w:pStyle w:val="AERtabletextleft"/>
              <w:rPr>
                <w:rStyle w:val="AERbody"/>
                <w:rFonts w:ascii="Arial" w:hAnsi="Arial" w:cs="Arial"/>
                <w:sz w:val="16"/>
              </w:rPr>
            </w:pPr>
            <w:r w:rsidRPr="009F29C6">
              <w:rPr>
                <w:rStyle w:val="AERbody"/>
                <w:rFonts w:ascii="Arial" w:hAnsi="Arial" w:cs="Arial"/>
                <w:sz w:val="16"/>
              </w:rPr>
              <w:t>June 2008</w:t>
            </w:r>
          </w:p>
        </w:tc>
        <w:tc>
          <w:tcPr>
            <w:tcW w:w="1276" w:type="dxa"/>
          </w:tcPr>
          <w:p w:rsidR="00085CB2" w:rsidRPr="009F29C6" w:rsidRDefault="00F746B6" w:rsidP="00FB0FDB">
            <w:pPr>
              <w:pStyle w:val="AERtabletextleft"/>
              <w:rPr>
                <w:rStyle w:val="AERbody"/>
                <w:rFonts w:ascii="Arial" w:hAnsi="Arial" w:cs="Arial"/>
                <w:sz w:val="16"/>
              </w:rPr>
            </w:pPr>
            <w:r>
              <w:rPr>
                <w:rStyle w:val="AERbody"/>
                <w:rFonts w:ascii="Arial" w:hAnsi="Arial" w:cs="Arial"/>
                <w:sz w:val="16"/>
              </w:rPr>
              <w:t>n/a</w:t>
            </w:r>
          </w:p>
        </w:tc>
        <w:tc>
          <w:tcPr>
            <w:tcW w:w="2551" w:type="dxa"/>
          </w:tcPr>
          <w:p w:rsidR="00085CB2" w:rsidRPr="009F29C6" w:rsidRDefault="00F746B6" w:rsidP="00FB0FDB">
            <w:pPr>
              <w:pStyle w:val="AERtabletextleft"/>
              <w:rPr>
                <w:rStyle w:val="AERbody"/>
                <w:rFonts w:ascii="Arial" w:hAnsi="Arial" w:cs="Arial"/>
                <w:sz w:val="16"/>
              </w:rPr>
            </w:pPr>
            <w:r>
              <w:rPr>
                <w:rStyle w:val="AERbody"/>
                <w:rFonts w:ascii="Arial" w:hAnsi="Arial" w:cs="Arial"/>
                <w:sz w:val="16"/>
              </w:rPr>
              <w:t>n/a</w:t>
            </w:r>
          </w:p>
        </w:tc>
        <w:tc>
          <w:tcPr>
            <w:tcW w:w="1559" w:type="dxa"/>
          </w:tcPr>
          <w:p w:rsidR="00085CB2" w:rsidRPr="009F29C6" w:rsidRDefault="00432EC6" w:rsidP="00FB0FDB">
            <w:pPr>
              <w:pStyle w:val="AERtabletextleft"/>
              <w:rPr>
                <w:rStyle w:val="AERbody"/>
                <w:rFonts w:ascii="Arial" w:hAnsi="Arial" w:cs="Arial"/>
                <w:sz w:val="16"/>
              </w:rPr>
            </w:pPr>
            <w:r w:rsidRPr="009F29C6">
              <w:rPr>
                <w:rStyle w:val="AERbody"/>
                <w:rFonts w:ascii="Arial" w:hAnsi="Arial" w:cs="Arial"/>
                <w:sz w:val="16"/>
              </w:rPr>
              <w:t>1</w:t>
            </w:r>
          </w:p>
        </w:tc>
        <w:tc>
          <w:tcPr>
            <w:tcW w:w="2268" w:type="dxa"/>
          </w:tcPr>
          <w:p w:rsidR="00085CB2" w:rsidRPr="009F29C6" w:rsidRDefault="00F746B6" w:rsidP="00FB0FDB">
            <w:pPr>
              <w:pStyle w:val="AERtabletextleft"/>
              <w:rPr>
                <w:rStyle w:val="AERbody"/>
                <w:rFonts w:ascii="Arial" w:hAnsi="Arial" w:cs="Arial"/>
                <w:sz w:val="16"/>
              </w:rPr>
            </w:pPr>
            <w:r>
              <w:rPr>
                <w:rStyle w:val="AERbody"/>
                <w:rFonts w:ascii="Arial" w:hAnsi="Arial" w:cs="Arial"/>
                <w:sz w:val="16"/>
              </w:rPr>
              <w:t>–</w:t>
            </w:r>
          </w:p>
        </w:tc>
      </w:tr>
      <w:tr w:rsidR="00085CB2" w:rsidRPr="009F29C6" w:rsidTr="00937CE8">
        <w:tc>
          <w:tcPr>
            <w:tcW w:w="1526" w:type="dxa"/>
          </w:tcPr>
          <w:p w:rsidR="00085CB2" w:rsidRPr="009F29C6" w:rsidRDefault="00432EC6" w:rsidP="000F3B7B">
            <w:pPr>
              <w:pStyle w:val="AERtabletextleft"/>
              <w:rPr>
                <w:rStyle w:val="AERbody"/>
                <w:rFonts w:ascii="Arial" w:hAnsi="Arial" w:cs="Arial"/>
                <w:sz w:val="16"/>
              </w:rPr>
            </w:pPr>
            <w:r w:rsidRPr="009F29C6">
              <w:rPr>
                <w:rStyle w:val="AERbody"/>
                <w:rFonts w:ascii="Arial" w:hAnsi="Arial" w:cs="Arial"/>
                <w:sz w:val="16"/>
              </w:rPr>
              <w:t>June 2009</w:t>
            </w:r>
          </w:p>
        </w:tc>
        <w:tc>
          <w:tcPr>
            <w:tcW w:w="1276" w:type="dxa"/>
          </w:tcPr>
          <w:p w:rsidR="00085CB2" w:rsidRPr="009F29C6" w:rsidRDefault="00F746B6" w:rsidP="00FB0FDB">
            <w:pPr>
              <w:pStyle w:val="AERtabletextleft"/>
              <w:rPr>
                <w:rStyle w:val="AERbody"/>
                <w:rFonts w:ascii="Arial" w:hAnsi="Arial" w:cs="Arial"/>
                <w:sz w:val="16"/>
              </w:rPr>
            </w:pPr>
            <w:r>
              <w:rPr>
                <w:rStyle w:val="AERbody"/>
                <w:rFonts w:ascii="Arial" w:hAnsi="Arial" w:cs="Arial"/>
                <w:sz w:val="16"/>
              </w:rPr>
              <w:t>n/a</w:t>
            </w:r>
          </w:p>
        </w:tc>
        <w:tc>
          <w:tcPr>
            <w:tcW w:w="2551" w:type="dxa"/>
          </w:tcPr>
          <w:p w:rsidR="00085CB2" w:rsidRPr="009F29C6" w:rsidRDefault="00F746B6" w:rsidP="00FB0FDB">
            <w:pPr>
              <w:pStyle w:val="AERtabletextleft"/>
              <w:rPr>
                <w:rStyle w:val="AERbody"/>
                <w:rFonts w:ascii="Arial" w:hAnsi="Arial" w:cs="Arial"/>
                <w:sz w:val="16"/>
              </w:rPr>
            </w:pPr>
            <w:r>
              <w:rPr>
                <w:rStyle w:val="AERbody"/>
                <w:rFonts w:ascii="Arial" w:hAnsi="Arial" w:cs="Arial"/>
                <w:sz w:val="16"/>
              </w:rPr>
              <w:t>n/a</w:t>
            </w:r>
          </w:p>
        </w:tc>
        <w:tc>
          <w:tcPr>
            <w:tcW w:w="1559" w:type="dxa"/>
          </w:tcPr>
          <w:p w:rsidR="00085CB2" w:rsidRPr="009F29C6" w:rsidRDefault="00432EC6" w:rsidP="00FB0FDB">
            <w:pPr>
              <w:pStyle w:val="AERtabletextleft"/>
              <w:rPr>
                <w:rStyle w:val="AERbody"/>
                <w:rFonts w:ascii="Arial" w:hAnsi="Arial" w:cs="Arial"/>
                <w:sz w:val="16"/>
              </w:rPr>
            </w:pPr>
            <w:r w:rsidRPr="009F29C6">
              <w:rPr>
                <w:rStyle w:val="AERbody"/>
                <w:rFonts w:ascii="Arial" w:hAnsi="Arial" w:cs="Arial"/>
                <w:sz w:val="16"/>
              </w:rPr>
              <w:t>2</w:t>
            </w:r>
          </w:p>
        </w:tc>
        <w:tc>
          <w:tcPr>
            <w:tcW w:w="2268" w:type="dxa"/>
          </w:tcPr>
          <w:p w:rsidR="00085CB2" w:rsidRPr="009F29C6" w:rsidRDefault="00432EC6" w:rsidP="00F14DDC">
            <w:pPr>
              <w:pStyle w:val="AERtabletextleft"/>
              <w:rPr>
                <w:rStyle w:val="AERbody"/>
                <w:rFonts w:ascii="Arial" w:hAnsi="Arial" w:cs="Arial"/>
                <w:sz w:val="16"/>
              </w:rPr>
            </w:pPr>
            <w:r w:rsidRPr="009F29C6">
              <w:rPr>
                <w:rStyle w:val="AERbody"/>
                <w:rFonts w:ascii="Arial" w:hAnsi="Arial" w:cs="Arial"/>
                <w:sz w:val="16"/>
              </w:rPr>
              <w:t xml:space="preserve">Various </w:t>
            </w:r>
            <w:r w:rsidR="00563DBE" w:rsidRPr="009F29C6">
              <w:rPr>
                <w:rStyle w:val="AERbody"/>
                <w:rFonts w:ascii="Arial" w:hAnsi="Arial" w:cs="Arial"/>
                <w:sz w:val="16"/>
              </w:rPr>
              <w:t>non-consequential</w:t>
            </w:r>
            <w:r w:rsidRPr="009F29C6">
              <w:rPr>
                <w:rStyle w:val="AERbody"/>
                <w:rFonts w:ascii="Arial" w:hAnsi="Arial" w:cs="Arial"/>
                <w:sz w:val="16"/>
              </w:rPr>
              <w:t xml:space="preserve"> errors corrected</w:t>
            </w:r>
            <w:r w:rsidR="00F14DDC" w:rsidRPr="009F29C6">
              <w:rPr>
                <w:rStyle w:val="AERbody"/>
                <w:rFonts w:ascii="Arial" w:hAnsi="Arial" w:cs="Arial"/>
                <w:sz w:val="16"/>
              </w:rPr>
              <w:t>.</w:t>
            </w:r>
          </w:p>
        </w:tc>
      </w:tr>
      <w:tr w:rsidR="00085CB2" w:rsidRPr="009F29C6" w:rsidTr="00937CE8">
        <w:trPr>
          <w:cnfStyle w:val="000000010000" w:firstRow="0" w:lastRow="0" w:firstColumn="0" w:lastColumn="0" w:oddVBand="0" w:evenVBand="0" w:oddHBand="0" w:evenHBand="1" w:firstRowFirstColumn="0" w:firstRowLastColumn="0" w:lastRowFirstColumn="0" w:lastRowLastColumn="0"/>
        </w:trPr>
        <w:tc>
          <w:tcPr>
            <w:tcW w:w="1526" w:type="dxa"/>
          </w:tcPr>
          <w:p w:rsidR="00085CB2" w:rsidRPr="009F29C6" w:rsidRDefault="00432EC6" w:rsidP="00534476">
            <w:pPr>
              <w:pStyle w:val="AERtabletextleft"/>
              <w:rPr>
                <w:rStyle w:val="AERbody"/>
                <w:rFonts w:ascii="Arial" w:hAnsi="Arial" w:cs="Arial"/>
                <w:sz w:val="16"/>
              </w:rPr>
            </w:pPr>
            <w:r w:rsidRPr="009F29C6">
              <w:rPr>
                <w:rStyle w:val="AERbody"/>
                <w:rFonts w:ascii="Arial" w:hAnsi="Arial" w:cs="Arial"/>
                <w:sz w:val="16"/>
              </w:rPr>
              <w:t>Dec</w:t>
            </w:r>
            <w:r w:rsidR="000F3B7B" w:rsidRPr="009F29C6">
              <w:rPr>
                <w:rStyle w:val="AERbody"/>
                <w:rFonts w:ascii="Arial" w:hAnsi="Arial" w:cs="Arial"/>
                <w:sz w:val="16"/>
              </w:rPr>
              <w:t xml:space="preserve">ember </w:t>
            </w:r>
            <w:r w:rsidRPr="009F29C6">
              <w:rPr>
                <w:rStyle w:val="AERbody"/>
                <w:rFonts w:ascii="Arial" w:hAnsi="Arial" w:cs="Arial"/>
                <w:sz w:val="16"/>
              </w:rPr>
              <w:t>2010</w:t>
            </w:r>
          </w:p>
        </w:tc>
        <w:tc>
          <w:tcPr>
            <w:tcW w:w="1276" w:type="dxa"/>
          </w:tcPr>
          <w:p w:rsidR="00085CB2" w:rsidRPr="009F29C6" w:rsidRDefault="00B74D5B" w:rsidP="00FB0FDB">
            <w:pPr>
              <w:pStyle w:val="AERtabletextleft"/>
              <w:rPr>
                <w:rStyle w:val="AERbody"/>
                <w:rFonts w:ascii="Arial" w:hAnsi="Arial" w:cs="Arial"/>
                <w:sz w:val="16"/>
              </w:rPr>
            </w:pPr>
            <w:r w:rsidRPr="009F29C6">
              <w:rPr>
                <w:rStyle w:val="AERbody"/>
                <w:rFonts w:ascii="Arial" w:hAnsi="Arial" w:cs="Arial"/>
                <w:sz w:val="16"/>
              </w:rPr>
              <w:t>2</w:t>
            </w:r>
          </w:p>
        </w:tc>
        <w:tc>
          <w:tcPr>
            <w:tcW w:w="2551" w:type="dxa"/>
          </w:tcPr>
          <w:p w:rsidR="00432EC6" w:rsidRPr="009F29C6" w:rsidRDefault="000F3B7B" w:rsidP="003C4A39">
            <w:pPr>
              <w:pStyle w:val="AERtabletextleft"/>
              <w:rPr>
                <w:rStyle w:val="AERbody"/>
                <w:rFonts w:ascii="Arial" w:hAnsi="Arial" w:cs="Arial"/>
                <w:sz w:val="16"/>
              </w:rPr>
            </w:pPr>
            <w:r w:rsidRPr="009F29C6">
              <w:rPr>
                <w:rStyle w:val="AERbody"/>
                <w:rFonts w:ascii="Arial" w:hAnsi="Arial" w:cs="Arial"/>
                <w:sz w:val="16"/>
              </w:rPr>
              <w:t>I</w:t>
            </w:r>
            <w:r w:rsidR="00432EC6" w:rsidRPr="009F29C6">
              <w:rPr>
                <w:rStyle w:val="AERbody"/>
                <w:rFonts w:ascii="Arial" w:hAnsi="Arial" w:cs="Arial"/>
                <w:sz w:val="16"/>
              </w:rPr>
              <w:t xml:space="preserve">nput section </w:t>
            </w:r>
            <w:r w:rsidR="00AC677B" w:rsidRPr="009F29C6">
              <w:rPr>
                <w:rStyle w:val="AERbody"/>
                <w:rFonts w:ascii="Arial" w:hAnsi="Arial" w:cs="Arial"/>
                <w:sz w:val="16"/>
              </w:rPr>
              <w:t>modified</w:t>
            </w:r>
            <w:r w:rsidRPr="009F29C6">
              <w:rPr>
                <w:rStyle w:val="AERbody"/>
                <w:rFonts w:ascii="Arial" w:hAnsi="Arial" w:cs="Arial"/>
                <w:sz w:val="16"/>
              </w:rPr>
              <w:t xml:space="preserve"> to allow</w:t>
            </w:r>
            <w:r w:rsidR="00AC677B" w:rsidRPr="009F29C6">
              <w:rPr>
                <w:rStyle w:val="AERbody"/>
                <w:rFonts w:ascii="Arial" w:hAnsi="Arial" w:cs="Arial"/>
                <w:sz w:val="16"/>
              </w:rPr>
              <w:t xml:space="preserve"> </w:t>
            </w:r>
            <w:r w:rsidR="00432EC6" w:rsidRPr="009F29C6">
              <w:rPr>
                <w:rStyle w:val="AERbody"/>
                <w:rFonts w:ascii="Arial" w:hAnsi="Arial" w:cs="Arial"/>
                <w:sz w:val="16"/>
              </w:rPr>
              <w:t xml:space="preserve">for the opening </w:t>
            </w:r>
            <w:r w:rsidR="00FB0FDB" w:rsidRPr="009F29C6">
              <w:rPr>
                <w:rStyle w:val="AERbody"/>
                <w:rFonts w:ascii="Arial" w:hAnsi="Arial" w:cs="Arial"/>
                <w:sz w:val="16"/>
              </w:rPr>
              <w:t>regulatory asset base (</w:t>
            </w:r>
            <w:r w:rsidR="00432EC6" w:rsidRPr="009F29C6">
              <w:rPr>
                <w:rStyle w:val="AERbody"/>
                <w:rFonts w:ascii="Arial" w:hAnsi="Arial" w:cs="Arial"/>
                <w:sz w:val="16"/>
              </w:rPr>
              <w:t>RAB</w:t>
            </w:r>
            <w:r w:rsidR="00FB0FDB" w:rsidRPr="009F29C6">
              <w:rPr>
                <w:rStyle w:val="AERbody"/>
                <w:rFonts w:ascii="Arial" w:hAnsi="Arial" w:cs="Arial"/>
                <w:sz w:val="16"/>
              </w:rPr>
              <w:t>)</w:t>
            </w:r>
            <w:r w:rsidR="00432EC6" w:rsidRPr="009F29C6">
              <w:rPr>
                <w:rStyle w:val="AERbody"/>
                <w:rFonts w:ascii="Arial" w:hAnsi="Arial" w:cs="Arial"/>
                <w:sz w:val="16"/>
              </w:rPr>
              <w:t xml:space="preserve"> </w:t>
            </w:r>
            <w:r w:rsidRPr="009F29C6">
              <w:rPr>
                <w:rStyle w:val="AERbody"/>
                <w:rFonts w:ascii="Arial" w:hAnsi="Arial" w:cs="Arial"/>
                <w:sz w:val="16"/>
              </w:rPr>
              <w:t xml:space="preserve">to be </w:t>
            </w:r>
            <w:r w:rsidR="00432EC6" w:rsidRPr="009F29C6">
              <w:rPr>
                <w:rStyle w:val="AERbody"/>
                <w:rFonts w:ascii="Arial" w:hAnsi="Arial" w:cs="Arial"/>
                <w:sz w:val="16"/>
              </w:rPr>
              <w:t>based on as-commissioned cap</w:t>
            </w:r>
            <w:r w:rsidR="00BC12B6" w:rsidRPr="009F29C6">
              <w:rPr>
                <w:rStyle w:val="AERbody"/>
                <w:rFonts w:ascii="Arial" w:hAnsi="Arial" w:cs="Arial"/>
                <w:sz w:val="16"/>
              </w:rPr>
              <w:t xml:space="preserve">ital </w:t>
            </w:r>
            <w:r w:rsidR="00432EC6" w:rsidRPr="009F29C6">
              <w:rPr>
                <w:rStyle w:val="AERbody"/>
                <w:rFonts w:ascii="Arial" w:hAnsi="Arial" w:cs="Arial"/>
                <w:sz w:val="16"/>
              </w:rPr>
              <w:t>ex</w:t>
            </w:r>
            <w:r w:rsidR="00BC12B6" w:rsidRPr="009F29C6">
              <w:rPr>
                <w:rStyle w:val="AERbody"/>
                <w:rFonts w:ascii="Arial" w:hAnsi="Arial" w:cs="Arial"/>
                <w:sz w:val="16"/>
              </w:rPr>
              <w:t>penditure</w:t>
            </w:r>
            <w:r w:rsidR="003C4A39" w:rsidRPr="009F29C6">
              <w:rPr>
                <w:rStyle w:val="AERbody"/>
                <w:rFonts w:ascii="Arial" w:hAnsi="Arial" w:cs="Arial"/>
                <w:sz w:val="16"/>
              </w:rPr>
              <w:t>.</w:t>
            </w:r>
            <w:r w:rsidR="00432EC6" w:rsidRPr="009F29C6">
              <w:rPr>
                <w:rStyle w:val="AERbody"/>
                <w:rFonts w:ascii="Arial" w:hAnsi="Arial" w:cs="Arial"/>
                <w:sz w:val="16"/>
              </w:rPr>
              <w:t xml:space="preserve"> </w:t>
            </w:r>
          </w:p>
          <w:p w:rsidR="00432EC6" w:rsidRPr="009F29C6" w:rsidRDefault="000F3B7B" w:rsidP="00E12623">
            <w:pPr>
              <w:pStyle w:val="AERtabletextleft"/>
              <w:rPr>
                <w:rStyle w:val="AERbody"/>
                <w:rFonts w:ascii="Arial" w:hAnsi="Arial" w:cs="Arial"/>
                <w:sz w:val="16"/>
              </w:rPr>
            </w:pPr>
            <w:r w:rsidRPr="009F29C6">
              <w:rPr>
                <w:rStyle w:val="AERbody"/>
                <w:rFonts w:ascii="Arial" w:hAnsi="Arial" w:cs="Arial"/>
                <w:sz w:val="16"/>
              </w:rPr>
              <w:t>F</w:t>
            </w:r>
            <w:r w:rsidR="00432EC6" w:rsidRPr="009F29C6">
              <w:rPr>
                <w:rStyle w:val="AERbody"/>
                <w:rFonts w:ascii="Arial" w:hAnsi="Arial" w:cs="Arial"/>
                <w:sz w:val="16"/>
              </w:rPr>
              <w:t>ormulae to calculate depreciation</w:t>
            </w:r>
            <w:r w:rsidR="00AC677B" w:rsidRPr="009F29C6">
              <w:rPr>
                <w:rStyle w:val="AERbody"/>
                <w:rFonts w:ascii="Arial" w:hAnsi="Arial" w:cs="Arial"/>
                <w:sz w:val="16"/>
              </w:rPr>
              <w:t xml:space="preserve"> adjusted for</w:t>
            </w:r>
            <w:r w:rsidR="00432EC6" w:rsidRPr="009F29C6">
              <w:rPr>
                <w:rStyle w:val="AERbody"/>
                <w:rFonts w:ascii="Arial" w:hAnsi="Arial" w:cs="Arial"/>
                <w:sz w:val="16"/>
              </w:rPr>
              <w:t xml:space="preserve"> th</w:t>
            </w:r>
            <w:r w:rsidR="00BC12B6" w:rsidRPr="009F29C6">
              <w:rPr>
                <w:rStyle w:val="AERbody"/>
                <w:rFonts w:ascii="Arial" w:hAnsi="Arial" w:cs="Arial"/>
                <w:sz w:val="16"/>
              </w:rPr>
              <w:t>e</w:t>
            </w:r>
            <w:r w:rsidR="00432EC6" w:rsidRPr="009F29C6">
              <w:rPr>
                <w:rStyle w:val="AERbody"/>
                <w:rFonts w:ascii="Arial" w:hAnsi="Arial" w:cs="Arial"/>
                <w:sz w:val="16"/>
              </w:rPr>
              <w:t xml:space="preserve"> RAB</w:t>
            </w:r>
            <w:r w:rsidR="00BC12B6" w:rsidRPr="009F29C6">
              <w:rPr>
                <w:rStyle w:val="AERbody"/>
                <w:rFonts w:ascii="Arial" w:hAnsi="Arial" w:cs="Arial"/>
                <w:sz w:val="16"/>
              </w:rPr>
              <w:t xml:space="preserve"> roll forward</w:t>
            </w:r>
            <w:r w:rsidR="003C4A39" w:rsidRPr="009F29C6">
              <w:rPr>
                <w:rStyle w:val="AERbody"/>
                <w:rFonts w:ascii="Arial" w:hAnsi="Arial" w:cs="Arial"/>
                <w:sz w:val="16"/>
              </w:rPr>
              <w:t>.</w:t>
            </w:r>
          </w:p>
          <w:p w:rsidR="00085CB2" w:rsidRPr="009F29C6" w:rsidRDefault="000F3B7B" w:rsidP="00933E21">
            <w:pPr>
              <w:pStyle w:val="AERtabletextleft"/>
              <w:rPr>
                <w:rStyle w:val="AERbody"/>
                <w:rFonts w:ascii="Arial" w:hAnsi="Arial" w:cs="Arial"/>
                <w:sz w:val="16"/>
              </w:rPr>
            </w:pPr>
            <w:r w:rsidRPr="009F29C6">
              <w:rPr>
                <w:rStyle w:val="AERbody"/>
                <w:rFonts w:ascii="Arial" w:hAnsi="Arial" w:cs="Arial"/>
                <w:sz w:val="16"/>
              </w:rPr>
              <w:t>S</w:t>
            </w:r>
            <w:r w:rsidR="00923B08" w:rsidRPr="009F29C6">
              <w:rPr>
                <w:rStyle w:val="AERbody"/>
                <w:rFonts w:ascii="Arial" w:hAnsi="Arial" w:cs="Arial"/>
                <w:sz w:val="16"/>
              </w:rPr>
              <w:t xml:space="preserve">ummary tables </w:t>
            </w:r>
            <w:r w:rsidR="00F746B6">
              <w:rPr>
                <w:rStyle w:val="AERbody"/>
                <w:rFonts w:ascii="Arial" w:hAnsi="Arial" w:cs="Arial"/>
                <w:sz w:val="16"/>
              </w:rPr>
              <w:t xml:space="preserve">and equity raising costs calculation </w:t>
            </w:r>
            <w:r w:rsidR="00923B08" w:rsidRPr="009F29C6">
              <w:rPr>
                <w:rStyle w:val="AERbody"/>
                <w:rFonts w:ascii="Arial" w:hAnsi="Arial" w:cs="Arial"/>
                <w:sz w:val="16"/>
              </w:rPr>
              <w:t>added</w:t>
            </w:r>
            <w:r w:rsidR="003C4A39" w:rsidRPr="009F29C6">
              <w:rPr>
                <w:rStyle w:val="AERbody"/>
                <w:rFonts w:ascii="Arial" w:hAnsi="Arial" w:cs="Arial"/>
                <w:sz w:val="16"/>
              </w:rPr>
              <w:t>.</w:t>
            </w:r>
          </w:p>
        </w:tc>
        <w:tc>
          <w:tcPr>
            <w:tcW w:w="1559" w:type="dxa"/>
          </w:tcPr>
          <w:p w:rsidR="00085CB2" w:rsidRPr="009F29C6" w:rsidRDefault="00F746B6" w:rsidP="00FB0FDB">
            <w:pPr>
              <w:pStyle w:val="AERtabletextleft"/>
              <w:rPr>
                <w:rStyle w:val="AERbody"/>
                <w:rFonts w:ascii="Arial" w:hAnsi="Arial" w:cs="Arial"/>
                <w:sz w:val="16"/>
              </w:rPr>
            </w:pPr>
            <w:r>
              <w:rPr>
                <w:rStyle w:val="AERbody"/>
                <w:rFonts w:ascii="Arial" w:hAnsi="Arial" w:cs="Arial"/>
                <w:sz w:val="16"/>
              </w:rPr>
              <w:t>n/a</w:t>
            </w:r>
          </w:p>
        </w:tc>
        <w:tc>
          <w:tcPr>
            <w:tcW w:w="2268" w:type="dxa"/>
          </w:tcPr>
          <w:p w:rsidR="00085CB2" w:rsidRPr="009F29C6" w:rsidRDefault="00F746B6" w:rsidP="00FB0FDB">
            <w:pPr>
              <w:pStyle w:val="AERtabletextleft"/>
              <w:rPr>
                <w:rStyle w:val="AERbody"/>
                <w:rFonts w:ascii="Arial" w:hAnsi="Arial" w:cs="Arial"/>
                <w:sz w:val="16"/>
              </w:rPr>
            </w:pPr>
            <w:r>
              <w:rPr>
                <w:rStyle w:val="AERbody"/>
                <w:rFonts w:ascii="Arial" w:hAnsi="Arial" w:cs="Arial"/>
                <w:sz w:val="16"/>
              </w:rPr>
              <w:t>n/a</w:t>
            </w:r>
          </w:p>
        </w:tc>
      </w:tr>
    </w:tbl>
    <w:p w:rsidR="00085CB2" w:rsidRPr="009F29C6" w:rsidRDefault="00085CB2" w:rsidP="00085CB2">
      <w:pPr>
        <w:pStyle w:val="AERbodytext"/>
        <w:numPr>
          <w:ilvl w:val="0"/>
          <w:numId w:val="0"/>
        </w:numPr>
        <w:rPr>
          <w:rStyle w:val="AERbody"/>
          <w:rFonts w:ascii="Arial" w:hAnsi="Arial" w:cs="Arial"/>
        </w:rPr>
      </w:pPr>
    </w:p>
    <w:p w:rsidR="00596708" w:rsidRPr="009F29C6" w:rsidRDefault="00923B08" w:rsidP="00AC677B">
      <w:pPr>
        <w:pStyle w:val="AERbodytext"/>
        <w:numPr>
          <w:ilvl w:val="0"/>
          <w:numId w:val="0"/>
        </w:numPr>
        <w:rPr>
          <w:rStyle w:val="AERbody"/>
          <w:rFonts w:ascii="Arial" w:hAnsi="Arial" w:cs="Arial"/>
        </w:rPr>
      </w:pPr>
      <w:r w:rsidRPr="009F29C6">
        <w:rPr>
          <w:rStyle w:val="AERbody"/>
          <w:rFonts w:ascii="Arial" w:hAnsi="Arial" w:cs="Arial"/>
        </w:rPr>
        <w:t>T</w:t>
      </w:r>
      <w:r w:rsidR="0084384B" w:rsidRPr="009F29C6">
        <w:rPr>
          <w:rStyle w:val="AERbody"/>
          <w:rFonts w:ascii="Arial" w:hAnsi="Arial" w:cs="Arial"/>
        </w:rPr>
        <w:t xml:space="preserve">hese </w:t>
      </w:r>
      <w:r w:rsidR="00CE4F82">
        <w:rPr>
          <w:rStyle w:val="AERbody"/>
          <w:rFonts w:ascii="Arial" w:hAnsi="Arial" w:cs="Arial"/>
        </w:rPr>
        <w:t xml:space="preserve">new </w:t>
      </w:r>
      <w:r w:rsidR="00596708" w:rsidRPr="009F29C6">
        <w:rPr>
          <w:rStyle w:val="AERbody"/>
          <w:rFonts w:ascii="Arial" w:hAnsi="Arial" w:cs="Arial"/>
        </w:rPr>
        <w:t>version</w:t>
      </w:r>
      <w:r w:rsidRPr="009F29C6">
        <w:rPr>
          <w:rStyle w:val="AERbody"/>
          <w:rFonts w:ascii="Arial" w:hAnsi="Arial" w:cs="Arial"/>
        </w:rPr>
        <w:t xml:space="preserve">s </w:t>
      </w:r>
      <w:r w:rsidR="00596708" w:rsidRPr="009F29C6">
        <w:rPr>
          <w:rStyle w:val="AERbody"/>
          <w:rFonts w:ascii="Arial" w:hAnsi="Arial" w:cs="Arial"/>
        </w:rPr>
        <w:t>of the PTRM</w:t>
      </w:r>
      <w:r w:rsidRPr="009F29C6">
        <w:rPr>
          <w:rStyle w:val="AERbody"/>
          <w:rFonts w:ascii="Arial" w:hAnsi="Arial" w:cs="Arial"/>
        </w:rPr>
        <w:t>s</w:t>
      </w:r>
      <w:r w:rsidR="00596708" w:rsidRPr="009F29C6">
        <w:rPr>
          <w:rStyle w:val="AERbody"/>
          <w:rFonts w:ascii="Arial" w:hAnsi="Arial" w:cs="Arial"/>
        </w:rPr>
        <w:t xml:space="preserve"> </w:t>
      </w:r>
      <w:r w:rsidR="00534476" w:rsidRPr="009F29C6">
        <w:rPr>
          <w:rStyle w:val="AERbody"/>
          <w:rFonts w:ascii="Arial" w:hAnsi="Arial" w:cs="Arial"/>
        </w:rPr>
        <w:t xml:space="preserve">(which </w:t>
      </w:r>
      <w:r w:rsidR="0084384B" w:rsidRPr="009F29C6">
        <w:rPr>
          <w:rStyle w:val="AERbody"/>
          <w:rFonts w:ascii="Arial" w:hAnsi="Arial" w:cs="Arial"/>
        </w:rPr>
        <w:t>ar</w:t>
      </w:r>
      <w:r w:rsidR="00534476" w:rsidRPr="009F29C6">
        <w:rPr>
          <w:rStyle w:val="AERbody"/>
          <w:rFonts w:ascii="Arial" w:hAnsi="Arial" w:cs="Arial"/>
        </w:rPr>
        <w:t xml:space="preserve">e labelled version 3 for both TNSPs and DNSPs) </w:t>
      </w:r>
      <w:r w:rsidR="00AC677B" w:rsidRPr="009F29C6">
        <w:rPr>
          <w:rStyle w:val="AERbody"/>
          <w:rFonts w:ascii="Arial" w:hAnsi="Arial" w:cs="Arial"/>
        </w:rPr>
        <w:t>give</w:t>
      </w:r>
      <w:r w:rsidR="004A5246" w:rsidRPr="009F29C6">
        <w:rPr>
          <w:rStyle w:val="AERbody"/>
          <w:rFonts w:ascii="Arial" w:hAnsi="Arial" w:cs="Arial"/>
        </w:rPr>
        <w:t xml:space="preserve"> effect to the AER</w:t>
      </w:r>
      <w:r w:rsidR="00064665" w:rsidRPr="009F29C6">
        <w:rPr>
          <w:rStyle w:val="AERbody"/>
          <w:rFonts w:ascii="Arial" w:hAnsi="Arial" w:cs="Arial"/>
        </w:rPr>
        <w:t>'s</w:t>
      </w:r>
      <w:r w:rsidR="004A5246" w:rsidRPr="009F29C6">
        <w:rPr>
          <w:rStyle w:val="AERbody"/>
          <w:rFonts w:ascii="Arial" w:hAnsi="Arial" w:cs="Arial"/>
        </w:rPr>
        <w:t xml:space="preserve"> new </w:t>
      </w:r>
      <w:r w:rsidR="00570A5A" w:rsidRPr="009F29C6">
        <w:rPr>
          <w:rStyle w:val="AERtextitalic"/>
          <w:rFonts w:ascii="Arial" w:hAnsi="Arial" w:cs="Arial"/>
        </w:rPr>
        <w:t>R</w:t>
      </w:r>
      <w:r w:rsidR="004A5246" w:rsidRPr="009F29C6">
        <w:rPr>
          <w:rStyle w:val="AERtextitalic"/>
          <w:rFonts w:ascii="Arial" w:hAnsi="Arial" w:cs="Arial"/>
        </w:rPr>
        <w:t>ate of return g</w:t>
      </w:r>
      <w:r w:rsidR="00AC677B" w:rsidRPr="009F29C6">
        <w:rPr>
          <w:rStyle w:val="AERtextitalic"/>
          <w:rFonts w:ascii="Arial" w:hAnsi="Arial" w:cs="Arial"/>
        </w:rPr>
        <w:t>uideline</w:t>
      </w:r>
      <w:r w:rsidR="00AC677B" w:rsidRPr="009F29C6">
        <w:rPr>
          <w:rStyle w:val="AERbody"/>
          <w:rFonts w:ascii="Arial" w:hAnsi="Arial" w:cs="Arial"/>
        </w:rPr>
        <w:t>.</w:t>
      </w:r>
      <w:r w:rsidR="004A5246" w:rsidRPr="009F29C6">
        <w:rPr>
          <w:rStyle w:val="FootnoteReference"/>
          <w:rFonts w:ascii="Arial" w:hAnsi="Arial" w:cs="Arial"/>
        </w:rPr>
        <w:footnoteReference w:id="6"/>
      </w:r>
      <w:r w:rsidR="00AC677B" w:rsidRPr="009F29C6">
        <w:rPr>
          <w:rStyle w:val="AERbody"/>
          <w:rFonts w:ascii="Arial" w:hAnsi="Arial" w:cs="Arial"/>
        </w:rPr>
        <w:t xml:space="preserve"> Th</w:t>
      </w:r>
      <w:r w:rsidR="008D7CC1" w:rsidRPr="009F29C6">
        <w:rPr>
          <w:rStyle w:val="AERbody"/>
          <w:rFonts w:ascii="Arial" w:hAnsi="Arial" w:cs="Arial"/>
        </w:rPr>
        <w:t xml:space="preserve">e </w:t>
      </w:r>
      <w:r w:rsidR="008D7CC1" w:rsidRPr="009F29C6">
        <w:rPr>
          <w:rStyle w:val="AERtextitalic"/>
          <w:rFonts w:ascii="Arial" w:hAnsi="Arial" w:cs="Arial"/>
        </w:rPr>
        <w:t>Rate of return</w:t>
      </w:r>
      <w:r w:rsidR="00AC677B" w:rsidRPr="009F29C6">
        <w:rPr>
          <w:rStyle w:val="AERtextitalic"/>
          <w:rFonts w:ascii="Arial" w:hAnsi="Arial" w:cs="Arial"/>
        </w:rPr>
        <w:t xml:space="preserve"> guideline</w:t>
      </w:r>
      <w:r w:rsidR="008D7CC1" w:rsidRPr="009F29C6">
        <w:rPr>
          <w:rStyle w:val="AERbody"/>
          <w:rFonts w:ascii="Arial" w:hAnsi="Arial" w:cs="Arial"/>
        </w:rPr>
        <w:t xml:space="preserve"> was developed and published in December 2013</w:t>
      </w:r>
      <w:r w:rsidR="00AC677B" w:rsidRPr="009F29C6">
        <w:rPr>
          <w:rStyle w:val="AERbody"/>
          <w:rFonts w:ascii="Arial" w:hAnsi="Arial" w:cs="Arial"/>
        </w:rPr>
        <w:t xml:space="preserve"> follow</w:t>
      </w:r>
      <w:r w:rsidR="008D7CC1" w:rsidRPr="009F29C6">
        <w:rPr>
          <w:rStyle w:val="AERbody"/>
          <w:rFonts w:ascii="Arial" w:hAnsi="Arial" w:cs="Arial"/>
        </w:rPr>
        <w:t>ing</w:t>
      </w:r>
      <w:r w:rsidR="00AC677B" w:rsidRPr="009F29C6">
        <w:rPr>
          <w:rStyle w:val="AERbody"/>
          <w:rFonts w:ascii="Arial" w:hAnsi="Arial" w:cs="Arial"/>
        </w:rPr>
        <w:t xml:space="preserve"> changes to the </w:t>
      </w:r>
      <w:r w:rsidR="001560F4" w:rsidRPr="009F29C6">
        <w:rPr>
          <w:rStyle w:val="AERbody"/>
          <w:rFonts w:ascii="Arial" w:hAnsi="Arial" w:cs="Arial"/>
        </w:rPr>
        <w:t>NER</w:t>
      </w:r>
      <w:r w:rsidR="00570A5A" w:rsidRPr="009F29C6">
        <w:rPr>
          <w:rStyle w:val="AERbody"/>
          <w:rFonts w:ascii="Arial" w:hAnsi="Arial" w:cs="Arial"/>
        </w:rPr>
        <w:t xml:space="preserve"> </w:t>
      </w:r>
      <w:r w:rsidR="00AC677B" w:rsidRPr="009F29C6">
        <w:rPr>
          <w:rStyle w:val="AERbody"/>
          <w:rFonts w:ascii="Arial" w:hAnsi="Arial" w:cs="Arial"/>
        </w:rPr>
        <w:t xml:space="preserve">by the Australian Energy Market </w:t>
      </w:r>
      <w:r w:rsidR="00AC677B" w:rsidRPr="009F29C6">
        <w:rPr>
          <w:rStyle w:val="AERbody"/>
          <w:rFonts w:ascii="Arial" w:hAnsi="Arial" w:cs="Arial"/>
        </w:rPr>
        <w:lastRenderedPageBreak/>
        <w:t>Commission (AEMC) in November 2012</w:t>
      </w:r>
      <w:r w:rsidR="005554BB" w:rsidRPr="009F29C6">
        <w:rPr>
          <w:rStyle w:val="AERbody"/>
          <w:rFonts w:ascii="Arial" w:hAnsi="Arial" w:cs="Arial"/>
        </w:rPr>
        <w:t>.</w:t>
      </w:r>
      <w:r w:rsidR="004A5246" w:rsidRPr="009F29C6">
        <w:rPr>
          <w:rStyle w:val="FootnoteReference"/>
          <w:rFonts w:ascii="Arial" w:hAnsi="Arial" w:cs="Arial"/>
        </w:rPr>
        <w:footnoteReference w:id="7"/>
      </w:r>
      <w:r w:rsidR="00AC677B" w:rsidRPr="009F29C6">
        <w:rPr>
          <w:rStyle w:val="AERbody"/>
          <w:rFonts w:ascii="Arial" w:hAnsi="Arial" w:cs="Arial"/>
        </w:rPr>
        <w:t xml:space="preserve"> </w:t>
      </w:r>
      <w:r w:rsidR="00727EB4" w:rsidRPr="009F29C6">
        <w:rPr>
          <w:rStyle w:val="AERbody"/>
          <w:rFonts w:ascii="Arial" w:hAnsi="Arial" w:cs="Arial"/>
        </w:rPr>
        <w:t>The most significan</w:t>
      </w:r>
      <w:r w:rsidR="00E30A88" w:rsidRPr="009F29C6">
        <w:rPr>
          <w:rStyle w:val="AERbody"/>
          <w:rFonts w:ascii="Arial" w:hAnsi="Arial" w:cs="Arial"/>
        </w:rPr>
        <w:t>t</w:t>
      </w:r>
      <w:r w:rsidR="00727EB4" w:rsidRPr="009F29C6">
        <w:rPr>
          <w:rStyle w:val="AERbody"/>
          <w:rFonts w:ascii="Arial" w:hAnsi="Arial" w:cs="Arial"/>
        </w:rPr>
        <w:t xml:space="preserve"> change to the PTRMs </w:t>
      </w:r>
      <w:r w:rsidR="0084384B" w:rsidRPr="009F29C6">
        <w:rPr>
          <w:rStyle w:val="AERbody"/>
          <w:rFonts w:ascii="Arial" w:hAnsi="Arial" w:cs="Arial"/>
        </w:rPr>
        <w:t>is</w:t>
      </w:r>
      <w:r w:rsidR="00727EB4" w:rsidRPr="009F29C6">
        <w:rPr>
          <w:rStyle w:val="AERbody"/>
          <w:rFonts w:ascii="Arial" w:hAnsi="Arial" w:cs="Arial"/>
        </w:rPr>
        <w:t xml:space="preserve"> to allow for an annual update for the </w:t>
      </w:r>
      <w:r w:rsidR="008D7CC1" w:rsidRPr="009F29C6">
        <w:rPr>
          <w:rStyle w:val="AERbody"/>
          <w:rFonts w:ascii="Arial" w:hAnsi="Arial" w:cs="Arial"/>
        </w:rPr>
        <w:t>return on</w:t>
      </w:r>
      <w:r w:rsidR="00727EB4" w:rsidRPr="009F29C6">
        <w:rPr>
          <w:rStyle w:val="AERbody"/>
          <w:rFonts w:ascii="Arial" w:hAnsi="Arial" w:cs="Arial"/>
        </w:rPr>
        <w:t xml:space="preserve"> debt. </w:t>
      </w:r>
    </w:p>
    <w:p w:rsidR="00596708" w:rsidRPr="009F29C6" w:rsidRDefault="006C1FE2" w:rsidP="00B227E4">
      <w:pPr>
        <w:pStyle w:val="AERbodytext"/>
        <w:numPr>
          <w:ilvl w:val="0"/>
          <w:numId w:val="9"/>
        </w:numPr>
        <w:rPr>
          <w:rStyle w:val="AERbody"/>
          <w:rFonts w:ascii="Arial" w:hAnsi="Arial" w:cs="Arial"/>
        </w:rPr>
      </w:pPr>
      <w:r w:rsidRPr="009F29C6">
        <w:rPr>
          <w:rStyle w:val="AERbody"/>
          <w:rFonts w:ascii="Arial" w:hAnsi="Arial" w:cs="Arial"/>
        </w:rPr>
        <w:t xml:space="preserve">There are differences between the PTRMs used for TNSPs and DNSPs. However, the amendments discussed in this </w:t>
      </w:r>
      <w:r w:rsidR="00E962D1" w:rsidRPr="009F29C6">
        <w:rPr>
          <w:rStyle w:val="AERbody"/>
          <w:rFonts w:ascii="Arial" w:hAnsi="Arial" w:cs="Arial"/>
        </w:rPr>
        <w:t>final decision</w:t>
      </w:r>
      <w:r w:rsidRPr="009F29C6">
        <w:rPr>
          <w:rStyle w:val="AERbody"/>
          <w:rFonts w:ascii="Arial" w:hAnsi="Arial" w:cs="Arial"/>
        </w:rPr>
        <w:t xml:space="preserve"> affect both in </w:t>
      </w:r>
      <w:r w:rsidR="00047802" w:rsidRPr="009F29C6">
        <w:rPr>
          <w:rStyle w:val="AERbody"/>
          <w:rFonts w:ascii="Arial" w:hAnsi="Arial" w:cs="Arial"/>
        </w:rPr>
        <w:t xml:space="preserve">largely </w:t>
      </w:r>
      <w:r w:rsidRPr="009F29C6">
        <w:rPr>
          <w:rStyle w:val="AERbody"/>
          <w:rFonts w:ascii="Arial" w:hAnsi="Arial" w:cs="Arial"/>
        </w:rPr>
        <w:t xml:space="preserve">the same way and are therefore discussed together. </w:t>
      </w:r>
      <w:r w:rsidR="00FE1F37" w:rsidRPr="009F29C6">
        <w:rPr>
          <w:rStyle w:val="AERbody"/>
          <w:rFonts w:ascii="Arial" w:hAnsi="Arial" w:cs="Arial"/>
        </w:rPr>
        <w:t>Matters that are TNSP or DNSP specific are identified as such.</w:t>
      </w:r>
    </w:p>
    <w:p w:rsidR="00C5132E" w:rsidRPr="008C75B6" w:rsidRDefault="00491692" w:rsidP="00937CE8">
      <w:pPr>
        <w:pStyle w:val="Heading1"/>
        <w:rPr>
          <w:rStyle w:val="AERbody"/>
          <w:rFonts w:ascii="Arial" w:hAnsi="Arial" w:cs="Arial"/>
          <w:color w:val="E36C0A"/>
          <w:sz w:val="36"/>
        </w:rPr>
      </w:pPr>
      <w:bookmarkStart w:id="16" w:name="_Toc395861693"/>
      <w:bookmarkStart w:id="17" w:name="_Toc408926601"/>
      <w:r w:rsidRPr="009F29C6">
        <w:rPr>
          <w:rStyle w:val="AERbody"/>
          <w:rFonts w:ascii="Arial" w:hAnsi="Arial" w:cs="Arial"/>
          <w:color w:val="E36C0A"/>
          <w:sz w:val="36"/>
        </w:rPr>
        <w:lastRenderedPageBreak/>
        <w:t xml:space="preserve">NER </w:t>
      </w:r>
      <w:r w:rsidR="005C1214" w:rsidRPr="009F29C6">
        <w:rPr>
          <w:rStyle w:val="AERbody"/>
          <w:rFonts w:ascii="Arial" w:hAnsi="Arial" w:cs="Arial"/>
          <w:color w:val="E36C0A"/>
          <w:sz w:val="36"/>
        </w:rPr>
        <w:t>r</w:t>
      </w:r>
      <w:r w:rsidRPr="009F29C6">
        <w:rPr>
          <w:rStyle w:val="AERbody"/>
          <w:rFonts w:ascii="Arial" w:hAnsi="Arial" w:cs="Arial"/>
          <w:color w:val="E36C0A"/>
          <w:sz w:val="36"/>
        </w:rPr>
        <w:t>equirements</w:t>
      </w:r>
      <w:bookmarkEnd w:id="16"/>
      <w:bookmarkEnd w:id="17"/>
    </w:p>
    <w:p w:rsidR="00596708" w:rsidRPr="009F29C6" w:rsidRDefault="00844D8E" w:rsidP="00154E43">
      <w:pPr>
        <w:pStyle w:val="AERbodytext"/>
        <w:numPr>
          <w:ilvl w:val="0"/>
          <w:numId w:val="9"/>
        </w:numPr>
        <w:rPr>
          <w:rFonts w:ascii="Arial" w:hAnsi="Arial" w:cs="Arial"/>
        </w:rPr>
      </w:pPr>
      <w:r w:rsidRPr="009F29C6">
        <w:rPr>
          <w:rFonts w:ascii="Arial" w:hAnsi="Arial" w:cs="Arial"/>
        </w:rPr>
        <w:t>T</w:t>
      </w:r>
      <w:r w:rsidR="00596708" w:rsidRPr="009F29C6">
        <w:rPr>
          <w:rFonts w:ascii="Arial" w:hAnsi="Arial" w:cs="Arial"/>
        </w:rPr>
        <w:t>he NER allows the AER to amend or replace the PTRM</w:t>
      </w:r>
      <w:r w:rsidR="001A7126" w:rsidRPr="009F29C6">
        <w:rPr>
          <w:rFonts w:ascii="Arial" w:hAnsi="Arial" w:cs="Arial"/>
        </w:rPr>
        <w:t xml:space="preserve">s of the NSPs </w:t>
      </w:r>
      <w:r w:rsidR="00596708" w:rsidRPr="009F29C6">
        <w:rPr>
          <w:rFonts w:ascii="Arial" w:hAnsi="Arial" w:cs="Arial"/>
        </w:rPr>
        <w:t xml:space="preserve">and sets out the </w:t>
      </w:r>
      <w:r w:rsidR="00172F30" w:rsidRPr="009F29C6">
        <w:rPr>
          <w:rFonts w:ascii="Arial" w:hAnsi="Arial" w:cs="Arial"/>
        </w:rPr>
        <w:t xml:space="preserve">consultation procedures </w:t>
      </w:r>
      <w:r w:rsidR="00596708" w:rsidRPr="009F29C6">
        <w:rPr>
          <w:rFonts w:ascii="Arial" w:hAnsi="Arial" w:cs="Arial"/>
        </w:rPr>
        <w:t>the AER must comply with in doing so.</w:t>
      </w:r>
      <w:r w:rsidRPr="009F29C6">
        <w:rPr>
          <w:rStyle w:val="FootnoteReference"/>
          <w:rFonts w:ascii="Arial" w:hAnsi="Arial" w:cs="Arial"/>
        </w:rPr>
        <w:footnoteReference w:id="8"/>
      </w:r>
      <w:r w:rsidR="00154E43" w:rsidRPr="009F29C6">
        <w:rPr>
          <w:rFonts w:ascii="Arial" w:hAnsi="Arial" w:cs="Arial"/>
        </w:rPr>
        <w:t xml:space="preserve"> </w:t>
      </w:r>
      <w:r w:rsidR="00596708" w:rsidRPr="009F29C6">
        <w:rPr>
          <w:rFonts w:ascii="Arial" w:hAnsi="Arial" w:cs="Arial"/>
        </w:rPr>
        <w:t xml:space="preserve">When </w:t>
      </w:r>
      <w:r w:rsidR="001A7126" w:rsidRPr="009F29C6">
        <w:rPr>
          <w:rFonts w:ascii="Arial" w:hAnsi="Arial" w:cs="Arial"/>
        </w:rPr>
        <w:t>amending the PTRM</w:t>
      </w:r>
      <w:r w:rsidR="00154E43" w:rsidRPr="009F29C6">
        <w:rPr>
          <w:rFonts w:ascii="Arial" w:hAnsi="Arial" w:cs="Arial"/>
        </w:rPr>
        <w:t>,</w:t>
      </w:r>
      <w:r w:rsidR="001A7126" w:rsidRPr="009F29C6">
        <w:rPr>
          <w:rFonts w:ascii="Arial" w:hAnsi="Arial" w:cs="Arial"/>
        </w:rPr>
        <w:t xml:space="preserve"> the </w:t>
      </w:r>
      <w:r w:rsidR="00596708" w:rsidRPr="009F29C6">
        <w:rPr>
          <w:rFonts w:ascii="Arial" w:hAnsi="Arial" w:cs="Arial"/>
        </w:rPr>
        <w:t xml:space="preserve">consultation procedures in the NER require </w:t>
      </w:r>
      <w:r w:rsidR="00153E85" w:rsidRPr="009F29C6">
        <w:rPr>
          <w:rFonts w:ascii="Arial" w:hAnsi="Arial" w:cs="Arial"/>
        </w:rPr>
        <w:t>us</w:t>
      </w:r>
      <w:r w:rsidR="00596708" w:rsidRPr="009F29C6">
        <w:rPr>
          <w:rFonts w:ascii="Arial" w:hAnsi="Arial" w:cs="Arial"/>
        </w:rPr>
        <w:t xml:space="preserve"> to:</w:t>
      </w:r>
      <w:r w:rsidR="00154E43" w:rsidRPr="009F29C6">
        <w:rPr>
          <w:rStyle w:val="FootnoteReference"/>
          <w:rFonts w:ascii="Arial" w:hAnsi="Arial" w:cs="Arial"/>
        </w:rPr>
        <w:footnoteReference w:id="9"/>
      </w:r>
    </w:p>
    <w:p w:rsidR="00596708" w:rsidRPr="009F29C6" w:rsidRDefault="00596708" w:rsidP="00DC1EA7">
      <w:pPr>
        <w:pStyle w:val="AERbulletlistfirststyle"/>
        <w:tabs>
          <w:tab w:val="clear" w:pos="357"/>
          <w:tab w:val="left" w:pos="426"/>
        </w:tabs>
        <w:ind w:left="426" w:hanging="426"/>
        <w:rPr>
          <w:rFonts w:ascii="Arial" w:hAnsi="Arial" w:cs="Arial"/>
        </w:rPr>
      </w:pPr>
      <w:r w:rsidRPr="009F29C6">
        <w:rPr>
          <w:rFonts w:ascii="Arial" w:hAnsi="Arial" w:cs="Arial"/>
        </w:rPr>
        <w:t>publish the proposed amended model</w:t>
      </w:r>
    </w:p>
    <w:p w:rsidR="00596708" w:rsidRPr="009F29C6" w:rsidRDefault="002055BC" w:rsidP="00DC1EA7">
      <w:pPr>
        <w:pStyle w:val="AERbulletlistfirststyle"/>
        <w:tabs>
          <w:tab w:val="clear" w:pos="357"/>
          <w:tab w:val="left" w:pos="426"/>
        </w:tabs>
        <w:ind w:left="426" w:hanging="426"/>
        <w:rPr>
          <w:rFonts w:ascii="Arial" w:hAnsi="Arial" w:cs="Arial"/>
        </w:rPr>
      </w:pPr>
      <w:r w:rsidRPr="009F29C6">
        <w:rPr>
          <w:rFonts w:ascii="Arial" w:hAnsi="Arial" w:cs="Arial"/>
        </w:rPr>
        <w:t xml:space="preserve">publish </w:t>
      </w:r>
      <w:r w:rsidR="00596708" w:rsidRPr="009F29C6">
        <w:rPr>
          <w:rFonts w:ascii="Arial" w:hAnsi="Arial" w:cs="Arial"/>
        </w:rPr>
        <w:t xml:space="preserve">an explanatory statement setting out </w:t>
      </w:r>
      <w:r w:rsidR="00E65899" w:rsidRPr="004C4C71">
        <w:rPr>
          <w:rFonts w:ascii="Arial" w:hAnsi="Arial" w:cs="Arial"/>
        </w:rPr>
        <w:t xml:space="preserve">the </w:t>
      </w:r>
      <w:r w:rsidR="00E65899">
        <w:rPr>
          <w:rFonts w:ascii="Arial" w:hAnsi="Arial" w:cs="Arial"/>
        </w:rPr>
        <w:t xml:space="preserve">provision of the </w:t>
      </w:r>
      <w:r w:rsidR="00190CA4">
        <w:rPr>
          <w:rFonts w:ascii="Arial" w:hAnsi="Arial" w:cs="Arial"/>
        </w:rPr>
        <w:t>NE</w:t>
      </w:r>
      <w:r w:rsidR="00E65899">
        <w:rPr>
          <w:rFonts w:ascii="Arial" w:hAnsi="Arial" w:cs="Arial"/>
        </w:rPr>
        <w:t>R under which the model is proposed to be prepared, made or developed or is required to be reviewed and the reasons for</w:t>
      </w:r>
      <w:r w:rsidR="00E65899" w:rsidRPr="004C4C71">
        <w:rPr>
          <w:rFonts w:ascii="Arial" w:hAnsi="Arial" w:cs="Arial"/>
        </w:rPr>
        <w:t xml:space="preserve"> </w:t>
      </w:r>
      <w:r w:rsidR="00596708" w:rsidRPr="009F29C6">
        <w:rPr>
          <w:rFonts w:ascii="Arial" w:hAnsi="Arial" w:cs="Arial"/>
        </w:rPr>
        <w:t>the proposed amended model</w:t>
      </w:r>
    </w:p>
    <w:p w:rsidR="00596708" w:rsidRPr="009F29C6" w:rsidRDefault="00596708" w:rsidP="00DC1EA7">
      <w:pPr>
        <w:pStyle w:val="AERbulletlistfirststyle"/>
        <w:tabs>
          <w:tab w:val="clear" w:pos="357"/>
          <w:tab w:val="left" w:pos="426"/>
        </w:tabs>
        <w:ind w:left="426" w:hanging="426"/>
        <w:rPr>
          <w:rFonts w:ascii="Arial" w:hAnsi="Arial" w:cs="Arial"/>
        </w:rPr>
      </w:pPr>
      <w:proofErr w:type="gramStart"/>
      <w:r w:rsidRPr="009F29C6">
        <w:rPr>
          <w:rFonts w:ascii="Arial" w:hAnsi="Arial" w:cs="Arial"/>
        </w:rPr>
        <w:t>invite</w:t>
      </w:r>
      <w:proofErr w:type="gramEnd"/>
      <w:r w:rsidRPr="009F29C6">
        <w:rPr>
          <w:rFonts w:ascii="Arial" w:hAnsi="Arial" w:cs="Arial"/>
        </w:rPr>
        <w:t xml:space="preserve"> </w:t>
      </w:r>
      <w:r w:rsidR="002055BC" w:rsidRPr="009F29C6">
        <w:rPr>
          <w:rFonts w:ascii="Arial" w:hAnsi="Arial" w:cs="Arial"/>
        </w:rPr>
        <w:t xml:space="preserve">written </w:t>
      </w:r>
      <w:r w:rsidRPr="009F29C6">
        <w:rPr>
          <w:rFonts w:ascii="Arial" w:hAnsi="Arial" w:cs="Arial"/>
        </w:rPr>
        <w:t>submissions on the proposed amended model.</w:t>
      </w:r>
    </w:p>
    <w:p w:rsidR="00596708" w:rsidRPr="009F29C6" w:rsidRDefault="00596708" w:rsidP="00064605">
      <w:pPr>
        <w:pStyle w:val="AERbodytext"/>
        <w:numPr>
          <w:ilvl w:val="0"/>
          <w:numId w:val="9"/>
        </w:numPr>
        <w:rPr>
          <w:rFonts w:ascii="Arial" w:hAnsi="Arial" w:cs="Arial"/>
        </w:rPr>
      </w:pPr>
      <w:r w:rsidRPr="009F29C6">
        <w:rPr>
          <w:rFonts w:ascii="Arial" w:hAnsi="Arial" w:cs="Arial"/>
        </w:rPr>
        <w:t xml:space="preserve">Interested parties must be allowed </w:t>
      </w:r>
      <w:r w:rsidR="00E65899">
        <w:rPr>
          <w:rFonts w:ascii="Arial" w:hAnsi="Arial" w:cs="Arial"/>
        </w:rPr>
        <w:t>no less than</w:t>
      </w:r>
      <w:r w:rsidRPr="009F29C6">
        <w:rPr>
          <w:rFonts w:ascii="Arial" w:hAnsi="Arial" w:cs="Arial"/>
        </w:rPr>
        <w:t xml:space="preserve"> 30 business days to make submissions to the AER.</w:t>
      </w:r>
      <w:r w:rsidR="00EF0959" w:rsidRPr="009F29C6">
        <w:rPr>
          <w:rStyle w:val="FootnoteReference"/>
          <w:rFonts w:ascii="Arial" w:hAnsi="Arial" w:cs="Arial"/>
        </w:rPr>
        <w:footnoteReference w:id="10"/>
      </w:r>
      <w:r w:rsidRPr="009F29C6">
        <w:rPr>
          <w:rFonts w:ascii="Arial" w:hAnsi="Arial" w:cs="Arial"/>
        </w:rPr>
        <w:t xml:space="preserve"> Within 80 business days of publishing the proposed amended </w:t>
      </w:r>
      <w:r w:rsidR="00570A5A" w:rsidRPr="009F29C6">
        <w:rPr>
          <w:rFonts w:ascii="Arial" w:hAnsi="Arial" w:cs="Arial"/>
        </w:rPr>
        <w:t xml:space="preserve">model </w:t>
      </w:r>
      <w:r w:rsidRPr="009F29C6">
        <w:rPr>
          <w:rFonts w:ascii="Arial" w:hAnsi="Arial" w:cs="Arial"/>
        </w:rPr>
        <w:t xml:space="preserve">the AER must publish its final decision, </w:t>
      </w:r>
      <w:r w:rsidR="00E65899">
        <w:rPr>
          <w:rFonts w:ascii="Arial" w:hAnsi="Arial" w:cs="Arial"/>
        </w:rPr>
        <w:t xml:space="preserve">which sets out the amended model, the provision of the </w:t>
      </w:r>
      <w:r w:rsidR="00190CA4">
        <w:rPr>
          <w:rFonts w:ascii="Arial" w:hAnsi="Arial" w:cs="Arial"/>
        </w:rPr>
        <w:t>NER</w:t>
      </w:r>
      <w:r w:rsidR="00E65899">
        <w:rPr>
          <w:rFonts w:ascii="Arial" w:hAnsi="Arial" w:cs="Arial"/>
        </w:rPr>
        <w:t xml:space="preserve"> under which the model is being amended and the reasons for the amendment</w:t>
      </w:r>
      <w:r w:rsidRPr="009F29C6">
        <w:rPr>
          <w:rFonts w:ascii="Arial" w:hAnsi="Arial" w:cs="Arial"/>
        </w:rPr>
        <w:t>.</w:t>
      </w:r>
      <w:r w:rsidR="00EF0959" w:rsidRPr="009F29C6">
        <w:rPr>
          <w:rStyle w:val="FootnoteReference"/>
          <w:rFonts w:ascii="Arial" w:hAnsi="Arial" w:cs="Arial"/>
        </w:rPr>
        <w:footnoteReference w:id="11"/>
      </w:r>
      <w:r w:rsidR="008C2B93" w:rsidRPr="009F29C6">
        <w:rPr>
          <w:rFonts w:ascii="Arial" w:hAnsi="Arial" w:cs="Arial"/>
        </w:rPr>
        <w:t xml:space="preserve"> </w:t>
      </w:r>
      <w:r w:rsidR="00160AD4" w:rsidRPr="009F29C6">
        <w:rPr>
          <w:rFonts w:ascii="Arial" w:hAnsi="Arial" w:cs="Arial"/>
        </w:rPr>
        <w:t>This decision compl</w:t>
      </w:r>
      <w:r w:rsidR="00E65899">
        <w:rPr>
          <w:rFonts w:ascii="Arial" w:hAnsi="Arial" w:cs="Arial"/>
        </w:rPr>
        <w:t xml:space="preserve">ies with </w:t>
      </w:r>
      <w:r w:rsidR="00160AD4" w:rsidRPr="009F29C6">
        <w:rPr>
          <w:rFonts w:ascii="Arial" w:hAnsi="Arial" w:cs="Arial"/>
        </w:rPr>
        <w:t>these requirements.</w:t>
      </w:r>
    </w:p>
    <w:p w:rsidR="001A5B13" w:rsidRPr="009F29C6" w:rsidRDefault="00844D8E" w:rsidP="00064605">
      <w:pPr>
        <w:pStyle w:val="AERbodytext"/>
        <w:numPr>
          <w:ilvl w:val="0"/>
          <w:numId w:val="9"/>
        </w:numPr>
        <w:rPr>
          <w:rFonts w:ascii="Arial" w:hAnsi="Arial" w:cs="Arial"/>
        </w:rPr>
      </w:pPr>
      <w:r w:rsidRPr="009F29C6">
        <w:rPr>
          <w:rFonts w:ascii="Arial" w:hAnsi="Arial" w:cs="Arial"/>
        </w:rPr>
        <w:t>T</w:t>
      </w:r>
      <w:r w:rsidR="00596708" w:rsidRPr="009F29C6">
        <w:rPr>
          <w:rFonts w:ascii="Arial" w:hAnsi="Arial" w:cs="Arial"/>
        </w:rPr>
        <w:t xml:space="preserve">he NER </w:t>
      </w:r>
      <w:r w:rsidR="00563DBE" w:rsidRPr="009F29C6">
        <w:rPr>
          <w:rFonts w:ascii="Arial" w:hAnsi="Arial" w:cs="Arial"/>
        </w:rPr>
        <w:t xml:space="preserve">also </w:t>
      </w:r>
      <w:r w:rsidR="00596708" w:rsidRPr="009F29C6">
        <w:rPr>
          <w:rFonts w:ascii="Arial" w:hAnsi="Arial" w:cs="Arial"/>
        </w:rPr>
        <w:t xml:space="preserve">sets out the </w:t>
      </w:r>
      <w:r w:rsidR="00172F30" w:rsidRPr="009F29C6">
        <w:rPr>
          <w:rFonts w:ascii="Arial" w:hAnsi="Arial" w:cs="Arial"/>
        </w:rPr>
        <w:t xml:space="preserve">required </w:t>
      </w:r>
      <w:r w:rsidR="00596708" w:rsidRPr="009F29C6">
        <w:rPr>
          <w:rFonts w:ascii="Arial" w:hAnsi="Arial" w:cs="Arial"/>
        </w:rPr>
        <w:t>contents of the PTRM</w:t>
      </w:r>
      <w:r w:rsidR="001A5B13" w:rsidRPr="009F29C6">
        <w:rPr>
          <w:rFonts w:ascii="Arial" w:hAnsi="Arial" w:cs="Arial"/>
        </w:rPr>
        <w:t>.</w:t>
      </w:r>
      <w:r w:rsidRPr="009F29C6">
        <w:rPr>
          <w:rStyle w:val="FootnoteReference"/>
          <w:rFonts w:ascii="Arial" w:hAnsi="Arial" w:cs="Arial"/>
        </w:rPr>
        <w:footnoteReference w:id="12"/>
      </w:r>
      <w:r w:rsidR="001A5B13" w:rsidRPr="009F29C6">
        <w:rPr>
          <w:rFonts w:ascii="Arial" w:hAnsi="Arial" w:cs="Arial"/>
        </w:rPr>
        <w:t xml:space="preserve"> The</w:t>
      </w:r>
      <w:r w:rsidR="00D27A1B" w:rsidRPr="009F29C6">
        <w:rPr>
          <w:rFonts w:ascii="Arial" w:hAnsi="Arial" w:cs="Arial"/>
        </w:rPr>
        <w:t xml:space="preserve"> required</w:t>
      </w:r>
      <w:r w:rsidR="001A5B13" w:rsidRPr="009F29C6">
        <w:rPr>
          <w:rFonts w:ascii="Arial" w:hAnsi="Arial" w:cs="Arial"/>
        </w:rPr>
        <w:t xml:space="preserve"> contents are largely similar for the TNSP and DNSPs</w:t>
      </w:r>
      <w:r w:rsidR="00FB0FDB" w:rsidRPr="009F29C6">
        <w:rPr>
          <w:rFonts w:ascii="Arial" w:hAnsi="Arial" w:cs="Arial"/>
        </w:rPr>
        <w:t>, although expressions</w:t>
      </w:r>
      <w:r w:rsidR="00570A5A" w:rsidRPr="009F29C6">
        <w:rPr>
          <w:rFonts w:ascii="Arial" w:hAnsi="Arial" w:cs="Arial"/>
        </w:rPr>
        <w:t>/terminologies</w:t>
      </w:r>
      <w:r w:rsidR="00FB0FDB" w:rsidRPr="009F29C6">
        <w:rPr>
          <w:rFonts w:ascii="Arial" w:hAnsi="Arial" w:cs="Arial"/>
        </w:rPr>
        <w:t xml:space="preserve"> differ between the relevant clauses</w:t>
      </w:r>
      <w:r w:rsidR="001A5B13" w:rsidRPr="009F29C6">
        <w:rPr>
          <w:rFonts w:ascii="Arial" w:hAnsi="Arial" w:cs="Arial"/>
        </w:rPr>
        <w:t xml:space="preserve">. </w:t>
      </w:r>
      <w:r w:rsidR="00CB4F24" w:rsidRPr="009F29C6">
        <w:rPr>
          <w:rFonts w:ascii="Arial" w:hAnsi="Arial" w:cs="Arial"/>
        </w:rPr>
        <w:t>For example, the TNSP</w:t>
      </w:r>
      <w:r w:rsidR="00570A5A" w:rsidRPr="009F29C6">
        <w:rPr>
          <w:rFonts w:ascii="Arial" w:hAnsi="Arial" w:cs="Arial"/>
        </w:rPr>
        <w:t>'</w:t>
      </w:r>
      <w:r w:rsidR="00CB4F24" w:rsidRPr="009F29C6">
        <w:rPr>
          <w:rFonts w:ascii="Arial" w:hAnsi="Arial" w:cs="Arial"/>
        </w:rPr>
        <w:t xml:space="preserve">s PTRM </w:t>
      </w:r>
      <w:r w:rsidR="00E65899">
        <w:rPr>
          <w:rFonts w:ascii="Arial" w:hAnsi="Arial" w:cs="Arial"/>
        </w:rPr>
        <w:t xml:space="preserve">refers to </w:t>
      </w:r>
      <w:r w:rsidR="00CB4F24" w:rsidRPr="009F29C6">
        <w:rPr>
          <w:rFonts w:ascii="Arial" w:hAnsi="Arial" w:cs="Arial"/>
        </w:rPr>
        <w:t xml:space="preserve">the </w:t>
      </w:r>
      <w:r w:rsidR="004048D7" w:rsidRPr="009F29C6">
        <w:rPr>
          <w:rFonts w:ascii="Arial" w:hAnsi="Arial" w:cs="Arial"/>
        </w:rPr>
        <w:t xml:space="preserve">annual building block revenue requirement (ABBRR) and </w:t>
      </w:r>
      <w:r w:rsidR="00CB4F24" w:rsidRPr="009F29C6">
        <w:rPr>
          <w:rFonts w:ascii="Arial" w:hAnsi="Arial" w:cs="Arial"/>
        </w:rPr>
        <w:t>maximum allowed revenue (MAR) for each year of the regulatory control period.</w:t>
      </w:r>
      <w:r w:rsidR="001F0609" w:rsidRPr="009F29C6">
        <w:rPr>
          <w:rStyle w:val="FootnoteReference"/>
          <w:rFonts w:ascii="Arial" w:hAnsi="Arial" w:cs="Arial"/>
        </w:rPr>
        <w:footnoteReference w:id="13"/>
      </w:r>
      <w:r w:rsidR="00CB4F24" w:rsidRPr="009F29C6">
        <w:rPr>
          <w:rFonts w:ascii="Arial" w:hAnsi="Arial" w:cs="Arial"/>
        </w:rPr>
        <w:t xml:space="preserve"> The DNSP</w:t>
      </w:r>
      <w:r w:rsidR="00570A5A" w:rsidRPr="009F29C6">
        <w:rPr>
          <w:rFonts w:ascii="Arial" w:hAnsi="Arial" w:cs="Arial"/>
        </w:rPr>
        <w:t>'</w:t>
      </w:r>
      <w:r w:rsidR="00CB4F24" w:rsidRPr="009F29C6">
        <w:rPr>
          <w:rFonts w:ascii="Arial" w:hAnsi="Arial" w:cs="Arial"/>
        </w:rPr>
        <w:t xml:space="preserve">s PTRM </w:t>
      </w:r>
      <w:r w:rsidR="00E65899">
        <w:rPr>
          <w:rFonts w:ascii="Arial" w:hAnsi="Arial" w:cs="Arial"/>
        </w:rPr>
        <w:t xml:space="preserve">refers to </w:t>
      </w:r>
      <w:r w:rsidR="00CB4F24" w:rsidRPr="009F29C6">
        <w:rPr>
          <w:rFonts w:ascii="Arial" w:hAnsi="Arial" w:cs="Arial"/>
        </w:rPr>
        <w:t xml:space="preserve">the annual revenue requirement (ARR) </w:t>
      </w:r>
      <w:r w:rsidR="004048D7" w:rsidRPr="009F29C6">
        <w:rPr>
          <w:rFonts w:ascii="Arial" w:hAnsi="Arial" w:cs="Arial"/>
        </w:rPr>
        <w:t xml:space="preserve">and expected revenue </w:t>
      </w:r>
      <w:r w:rsidR="00D27A1B" w:rsidRPr="009F29C6">
        <w:rPr>
          <w:rFonts w:ascii="Arial" w:hAnsi="Arial" w:cs="Arial"/>
        </w:rPr>
        <w:t xml:space="preserve">for each </w:t>
      </w:r>
      <w:r w:rsidR="00CB4F24" w:rsidRPr="009F29C6">
        <w:rPr>
          <w:rFonts w:ascii="Arial" w:hAnsi="Arial" w:cs="Arial"/>
        </w:rPr>
        <w:t>year of the regulatory control period.</w:t>
      </w:r>
      <w:r w:rsidR="001F0609" w:rsidRPr="009F29C6">
        <w:rPr>
          <w:rStyle w:val="FootnoteReference"/>
          <w:rFonts w:ascii="Arial" w:hAnsi="Arial" w:cs="Arial"/>
        </w:rPr>
        <w:footnoteReference w:id="14"/>
      </w:r>
      <w:r w:rsidR="00CB4F24" w:rsidRPr="009F29C6">
        <w:rPr>
          <w:rFonts w:ascii="Arial" w:hAnsi="Arial" w:cs="Arial"/>
        </w:rPr>
        <w:t xml:space="preserve"> Key features of both PTRMs include</w:t>
      </w:r>
      <w:r w:rsidR="004048D7" w:rsidRPr="009F29C6">
        <w:rPr>
          <w:rFonts w:ascii="Arial" w:hAnsi="Arial" w:cs="Arial"/>
        </w:rPr>
        <w:t>:</w:t>
      </w:r>
    </w:p>
    <w:p w:rsidR="00CB4F24" w:rsidRPr="009F29C6" w:rsidRDefault="00CB4F24" w:rsidP="00DC1EA7">
      <w:pPr>
        <w:pStyle w:val="AERbulletlistfirststyle"/>
        <w:tabs>
          <w:tab w:val="clear" w:pos="357"/>
          <w:tab w:val="left" w:pos="426"/>
        </w:tabs>
        <w:ind w:left="426" w:hanging="426"/>
        <w:rPr>
          <w:rFonts w:ascii="Arial" w:hAnsi="Arial" w:cs="Arial"/>
        </w:rPr>
      </w:pPr>
      <w:r w:rsidRPr="009F29C6">
        <w:rPr>
          <w:rFonts w:ascii="Arial" w:hAnsi="Arial" w:cs="Arial"/>
        </w:rPr>
        <w:t>a</w:t>
      </w:r>
      <w:r w:rsidR="00281D47" w:rsidRPr="009F29C6">
        <w:rPr>
          <w:rFonts w:ascii="Arial" w:hAnsi="Arial" w:cs="Arial"/>
        </w:rPr>
        <w:t xml:space="preserve"> methodology that</w:t>
      </w:r>
      <w:r w:rsidRPr="009F29C6">
        <w:rPr>
          <w:rFonts w:ascii="Arial" w:hAnsi="Arial" w:cs="Arial"/>
        </w:rPr>
        <w:t xml:space="preserve"> </w:t>
      </w:r>
      <w:r w:rsidR="00FC5235" w:rsidRPr="009F29C6">
        <w:rPr>
          <w:rFonts w:ascii="Arial" w:hAnsi="Arial" w:cs="Arial"/>
        </w:rPr>
        <w:t xml:space="preserve">seeks </w:t>
      </w:r>
      <w:r w:rsidRPr="009F29C6">
        <w:rPr>
          <w:rFonts w:ascii="Arial" w:hAnsi="Arial" w:cs="Arial"/>
        </w:rPr>
        <w:t xml:space="preserve">to </w:t>
      </w:r>
      <w:r w:rsidR="00FC5235" w:rsidRPr="009F29C6">
        <w:rPr>
          <w:rFonts w:ascii="Arial" w:hAnsi="Arial" w:cs="Arial"/>
        </w:rPr>
        <w:t xml:space="preserve">produce </w:t>
      </w:r>
      <w:r w:rsidRPr="009F29C6">
        <w:rPr>
          <w:rFonts w:ascii="Arial" w:hAnsi="Arial" w:cs="Arial"/>
        </w:rPr>
        <w:t>the best estimates of expected inflation</w:t>
      </w:r>
      <w:r w:rsidR="00E65899">
        <w:rPr>
          <w:rStyle w:val="FootnoteReference"/>
          <w:rFonts w:ascii="Arial" w:hAnsi="Arial" w:cs="Arial"/>
        </w:rPr>
        <w:footnoteReference w:id="15"/>
      </w:r>
    </w:p>
    <w:p w:rsidR="00CB4F24" w:rsidRPr="009F29C6" w:rsidRDefault="00CB4F24" w:rsidP="00DC1EA7">
      <w:pPr>
        <w:pStyle w:val="AERbulletlistfirststyle"/>
        <w:tabs>
          <w:tab w:val="clear" w:pos="357"/>
          <w:tab w:val="left" w:pos="426"/>
        </w:tabs>
        <w:ind w:left="426" w:hanging="426"/>
        <w:rPr>
          <w:rFonts w:ascii="Arial" w:hAnsi="Arial" w:cs="Arial"/>
        </w:rPr>
      </w:pPr>
      <w:r w:rsidRPr="009F29C6">
        <w:rPr>
          <w:rFonts w:ascii="Arial" w:hAnsi="Arial" w:cs="Arial"/>
        </w:rPr>
        <w:t>the timing assumptions and associated discount rates that are to apply in relation to the calculation of the building blocks</w:t>
      </w:r>
      <w:r w:rsidR="00E65899">
        <w:rPr>
          <w:rStyle w:val="FootnoteReference"/>
          <w:rFonts w:ascii="Arial" w:hAnsi="Arial" w:cs="Arial"/>
        </w:rPr>
        <w:footnoteReference w:id="16"/>
      </w:r>
    </w:p>
    <w:p w:rsidR="00CB4F24" w:rsidRPr="009F29C6" w:rsidRDefault="00CB4F24" w:rsidP="00DC1EA7">
      <w:pPr>
        <w:pStyle w:val="AERbulletlistfirststyle"/>
        <w:tabs>
          <w:tab w:val="clear" w:pos="357"/>
          <w:tab w:val="left" w:pos="426"/>
        </w:tabs>
        <w:ind w:left="426" w:hanging="426"/>
        <w:rPr>
          <w:rFonts w:ascii="Arial" w:hAnsi="Arial" w:cs="Arial"/>
        </w:rPr>
      </w:pPr>
      <w:r w:rsidRPr="009F29C6">
        <w:rPr>
          <w:rFonts w:ascii="Arial" w:hAnsi="Arial" w:cs="Arial"/>
        </w:rPr>
        <w:t>the manner in which the estimated cost of corporate income tax is to be calculated</w:t>
      </w:r>
      <w:r w:rsidR="00E65899">
        <w:rPr>
          <w:rStyle w:val="FootnoteReference"/>
          <w:rFonts w:ascii="Arial" w:hAnsi="Arial" w:cs="Arial"/>
        </w:rPr>
        <w:footnoteReference w:id="17"/>
      </w:r>
    </w:p>
    <w:p w:rsidR="00CB4F24" w:rsidRPr="009F29C6" w:rsidRDefault="00281D47" w:rsidP="00DC1EA7">
      <w:pPr>
        <w:pStyle w:val="AERbulletlistfirststyle"/>
        <w:tabs>
          <w:tab w:val="clear" w:pos="357"/>
          <w:tab w:val="left" w:pos="426"/>
        </w:tabs>
        <w:ind w:left="426" w:hanging="426"/>
        <w:rPr>
          <w:rFonts w:ascii="Arial" w:hAnsi="Arial" w:cs="Arial"/>
        </w:rPr>
      </w:pPr>
      <w:r w:rsidRPr="009F29C6">
        <w:rPr>
          <w:rFonts w:ascii="Arial" w:hAnsi="Arial" w:cs="Arial"/>
        </w:rPr>
        <w:t>a</w:t>
      </w:r>
      <w:r w:rsidR="00CB4F24" w:rsidRPr="009F29C6">
        <w:rPr>
          <w:rFonts w:ascii="Arial" w:hAnsi="Arial" w:cs="Arial"/>
        </w:rPr>
        <w:t xml:space="preserve"> net present value (NPV) </w:t>
      </w:r>
      <w:r w:rsidRPr="009F29C6">
        <w:rPr>
          <w:rFonts w:ascii="Arial" w:hAnsi="Arial" w:cs="Arial"/>
        </w:rPr>
        <w:t xml:space="preserve">calculation that sets </w:t>
      </w:r>
      <w:r w:rsidR="00CB4F24" w:rsidRPr="009F29C6">
        <w:rPr>
          <w:rFonts w:ascii="Arial" w:hAnsi="Arial" w:cs="Arial"/>
        </w:rPr>
        <w:t xml:space="preserve">the </w:t>
      </w:r>
      <w:r w:rsidR="00291F53">
        <w:rPr>
          <w:rFonts w:ascii="Arial" w:hAnsi="Arial" w:cs="Arial"/>
        </w:rPr>
        <w:t xml:space="preserve">NPV of the </w:t>
      </w:r>
      <w:r w:rsidR="00D27A1B" w:rsidRPr="009F29C6">
        <w:rPr>
          <w:rFonts w:ascii="Arial" w:hAnsi="Arial" w:cs="Arial"/>
        </w:rPr>
        <w:t xml:space="preserve">total </w:t>
      </w:r>
      <w:r w:rsidR="00E65899">
        <w:rPr>
          <w:rFonts w:ascii="Arial" w:hAnsi="Arial" w:cs="Arial"/>
        </w:rPr>
        <w:t xml:space="preserve">expected </w:t>
      </w:r>
      <w:r w:rsidR="00CB4F24" w:rsidRPr="009F29C6">
        <w:rPr>
          <w:rFonts w:ascii="Arial" w:hAnsi="Arial" w:cs="Arial"/>
        </w:rPr>
        <w:t>MAR</w:t>
      </w:r>
      <w:r w:rsidRPr="009F29C6">
        <w:rPr>
          <w:rFonts w:ascii="Arial" w:hAnsi="Arial" w:cs="Arial"/>
        </w:rPr>
        <w:t>/</w:t>
      </w:r>
      <w:r w:rsidR="009B343D" w:rsidRPr="009F29C6">
        <w:rPr>
          <w:rFonts w:ascii="Arial" w:hAnsi="Arial" w:cs="Arial"/>
        </w:rPr>
        <w:t xml:space="preserve">expected </w:t>
      </w:r>
      <w:r w:rsidR="004048D7" w:rsidRPr="009F29C6">
        <w:rPr>
          <w:rFonts w:ascii="Arial" w:hAnsi="Arial" w:cs="Arial"/>
        </w:rPr>
        <w:t>revenue</w:t>
      </w:r>
      <w:r w:rsidR="00D27A1B" w:rsidRPr="009F29C6">
        <w:rPr>
          <w:rFonts w:ascii="Arial" w:hAnsi="Arial" w:cs="Arial"/>
        </w:rPr>
        <w:t xml:space="preserve"> </w:t>
      </w:r>
      <w:r w:rsidR="00E65899">
        <w:rPr>
          <w:rFonts w:ascii="Arial" w:hAnsi="Arial" w:cs="Arial"/>
        </w:rPr>
        <w:t>(</w:t>
      </w:r>
      <w:r w:rsidR="00D27A1B" w:rsidRPr="009F29C6">
        <w:rPr>
          <w:rFonts w:ascii="Arial" w:hAnsi="Arial" w:cs="Arial"/>
        </w:rPr>
        <w:t xml:space="preserve">for each </w:t>
      </w:r>
      <w:r w:rsidR="00CB4F24" w:rsidRPr="009F29C6">
        <w:rPr>
          <w:rFonts w:ascii="Arial" w:hAnsi="Arial" w:cs="Arial"/>
        </w:rPr>
        <w:t xml:space="preserve">year of </w:t>
      </w:r>
      <w:r w:rsidRPr="009F29C6">
        <w:rPr>
          <w:rFonts w:ascii="Arial" w:hAnsi="Arial" w:cs="Arial"/>
        </w:rPr>
        <w:t>the regulatory control period</w:t>
      </w:r>
      <w:r w:rsidR="00E65899">
        <w:rPr>
          <w:rFonts w:ascii="Arial" w:hAnsi="Arial" w:cs="Arial"/>
        </w:rPr>
        <w:t>)</w:t>
      </w:r>
      <w:r w:rsidR="00CB4F24" w:rsidRPr="009F29C6">
        <w:rPr>
          <w:rFonts w:ascii="Arial" w:hAnsi="Arial" w:cs="Arial"/>
        </w:rPr>
        <w:t xml:space="preserve"> equal to the NPV of the</w:t>
      </w:r>
      <w:r w:rsidR="00D27A1B" w:rsidRPr="009F29C6">
        <w:rPr>
          <w:rFonts w:ascii="Arial" w:hAnsi="Arial" w:cs="Arial"/>
        </w:rPr>
        <w:t xml:space="preserve"> </w:t>
      </w:r>
      <w:r w:rsidR="00E65899">
        <w:rPr>
          <w:rFonts w:ascii="Arial" w:hAnsi="Arial" w:cs="Arial"/>
        </w:rPr>
        <w:t xml:space="preserve">total </w:t>
      </w:r>
      <w:r w:rsidR="004048D7" w:rsidRPr="009F29C6">
        <w:rPr>
          <w:rFonts w:ascii="Arial" w:hAnsi="Arial" w:cs="Arial"/>
        </w:rPr>
        <w:t>ABBRR/ARR</w:t>
      </w:r>
      <w:r w:rsidRPr="009F29C6">
        <w:rPr>
          <w:rFonts w:ascii="Arial" w:hAnsi="Arial" w:cs="Arial"/>
        </w:rPr>
        <w:t xml:space="preserve"> </w:t>
      </w:r>
      <w:r w:rsidR="00E65899">
        <w:rPr>
          <w:rFonts w:ascii="Arial" w:hAnsi="Arial" w:cs="Arial"/>
        </w:rPr>
        <w:t>(</w:t>
      </w:r>
      <w:r w:rsidR="00CB4F24" w:rsidRPr="009F29C6">
        <w:rPr>
          <w:rFonts w:ascii="Arial" w:hAnsi="Arial" w:cs="Arial"/>
        </w:rPr>
        <w:t>for each year</w:t>
      </w:r>
      <w:r w:rsidR="00E65899">
        <w:rPr>
          <w:rFonts w:ascii="Arial" w:hAnsi="Arial" w:cs="Arial"/>
        </w:rPr>
        <w:t>)</w:t>
      </w:r>
      <w:r w:rsidR="00E65899">
        <w:rPr>
          <w:rStyle w:val="FootnoteReference"/>
          <w:rFonts w:ascii="Arial" w:hAnsi="Arial" w:cs="Arial"/>
        </w:rPr>
        <w:footnoteReference w:id="18"/>
      </w:r>
    </w:p>
    <w:p w:rsidR="00CB4F24" w:rsidRPr="009F29C6" w:rsidRDefault="00CB4F24" w:rsidP="00DC1EA7">
      <w:pPr>
        <w:pStyle w:val="AERbulletlistfirststyle"/>
        <w:tabs>
          <w:tab w:val="clear" w:pos="357"/>
          <w:tab w:val="left" w:pos="426"/>
        </w:tabs>
        <w:ind w:left="426" w:hanging="426"/>
        <w:rPr>
          <w:rFonts w:ascii="Arial" w:hAnsi="Arial" w:cs="Arial"/>
        </w:rPr>
      </w:pPr>
      <w:r w:rsidRPr="009F29C6">
        <w:rPr>
          <w:rFonts w:ascii="Arial" w:hAnsi="Arial" w:cs="Arial"/>
        </w:rPr>
        <w:t>the MAR</w:t>
      </w:r>
      <w:r w:rsidR="00281D47" w:rsidRPr="009F29C6">
        <w:rPr>
          <w:rFonts w:ascii="Arial" w:hAnsi="Arial" w:cs="Arial"/>
        </w:rPr>
        <w:t>/</w:t>
      </w:r>
      <w:r w:rsidR="004048D7" w:rsidRPr="009F29C6">
        <w:rPr>
          <w:rFonts w:ascii="Arial" w:hAnsi="Arial" w:cs="Arial"/>
        </w:rPr>
        <w:t>expected revenue</w:t>
      </w:r>
      <w:r w:rsidR="00281D47" w:rsidRPr="009F29C6">
        <w:rPr>
          <w:rFonts w:ascii="Arial" w:hAnsi="Arial" w:cs="Arial"/>
        </w:rPr>
        <w:t xml:space="preserve"> for the </w:t>
      </w:r>
      <w:r w:rsidRPr="009F29C6">
        <w:rPr>
          <w:rFonts w:ascii="Arial" w:hAnsi="Arial" w:cs="Arial"/>
        </w:rPr>
        <w:t xml:space="preserve">NSP </w:t>
      </w:r>
      <w:r w:rsidR="00281D47" w:rsidRPr="009F29C6">
        <w:rPr>
          <w:rFonts w:ascii="Arial" w:hAnsi="Arial" w:cs="Arial"/>
        </w:rPr>
        <w:t>is updated annually</w:t>
      </w:r>
      <w:r w:rsidRPr="009F29C6">
        <w:rPr>
          <w:rFonts w:ascii="Arial" w:hAnsi="Arial" w:cs="Arial"/>
        </w:rPr>
        <w:t xml:space="preserve"> using a CPI – X methodology</w:t>
      </w:r>
      <w:r w:rsidR="00E65899">
        <w:rPr>
          <w:rStyle w:val="FootnoteReference"/>
          <w:rFonts w:ascii="Arial" w:hAnsi="Arial" w:cs="Arial"/>
        </w:rPr>
        <w:footnoteReference w:id="19"/>
      </w:r>
    </w:p>
    <w:p w:rsidR="00E65899" w:rsidRPr="00E65899" w:rsidRDefault="00CB4F24" w:rsidP="00DC1EA7">
      <w:pPr>
        <w:pStyle w:val="AERbulletlistfirststyle"/>
        <w:tabs>
          <w:tab w:val="clear" w:pos="357"/>
          <w:tab w:val="left" w:pos="426"/>
        </w:tabs>
        <w:ind w:left="426" w:hanging="426"/>
        <w:rPr>
          <w:rFonts w:ascii="Arial" w:hAnsi="Arial" w:cs="Arial"/>
        </w:rPr>
      </w:pPr>
      <w:proofErr w:type="gramStart"/>
      <w:r w:rsidRPr="00E65899">
        <w:rPr>
          <w:rFonts w:ascii="Arial" w:hAnsi="Arial" w:cs="Arial"/>
        </w:rPr>
        <w:t>the</w:t>
      </w:r>
      <w:proofErr w:type="gramEnd"/>
      <w:r w:rsidRPr="00E65899">
        <w:rPr>
          <w:rFonts w:ascii="Arial" w:hAnsi="Arial" w:cs="Arial"/>
        </w:rPr>
        <w:t xml:space="preserve"> X factors to apply in the regulatory control period.</w:t>
      </w:r>
      <w:r w:rsidR="00E65899" w:rsidRPr="00DC1EA7">
        <w:rPr>
          <w:rFonts w:ascii="Arial" w:hAnsi="Arial" w:cs="Arial"/>
          <w:vertAlign w:val="superscript"/>
        </w:rPr>
        <w:footnoteReference w:id="20"/>
      </w:r>
    </w:p>
    <w:p w:rsidR="00491692" w:rsidRPr="009F29C6" w:rsidRDefault="00491692" w:rsidP="00491692">
      <w:pPr>
        <w:pStyle w:val="Heading1"/>
        <w:rPr>
          <w:rFonts w:ascii="Arial" w:hAnsi="Arial" w:cs="Arial"/>
        </w:rPr>
      </w:pPr>
      <w:bookmarkStart w:id="18" w:name="_Toc395861694"/>
      <w:bookmarkStart w:id="19" w:name="_Toc408926602"/>
      <w:r w:rsidRPr="009F29C6">
        <w:rPr>
          <w:rFonts w:ascii="Arial" w:hAnsi="Arial" w:cs="Arial"/>
        </w:rPr>
        <w:lastRenderedPageBreak/>
        <w:t>Reasons for the PTRM</w:t>
      </w:r>
      <w:bookmarkEnd w:id="18"/>
      <w:bookmarkEnd w:id="19"/>
    </w:p>
    <w:p w:rsidR="00101E24" w:rsidRPr="009F29C6" w:rsidRDefault="00F92F03" w:rsidP="00064605">
      <w:pPr>
        <w:pStyle w:val="AERbodytext"/>
        <w:numPr>
          <w:ilvl w:val="0"/>
          <w:numId w:val="9"/>
        </w:numPr>
        <w:rPr>
          <w:rFonts w:ascii="Arial" w:hAnsi="Arial" w:cs="Arial"/>
        </w:rPr>
      </w:pPr>
      <w:r>
        <w:rPr>
          <w:rFonts w:ascii="Arial" w:hAnsi="Arial" w:cs="Arial"/>
        </w:rPr>
        <w:t>T</w:t>
      </w:r>
      <w:r w:rsidR="00596708" w:rsidRPr="009F29C6">
        <w:rPr>
          <w:rFonts w:ascii="Arial" w:hAnsi="Arial" w:cs="Arial"/>
        </w:rPr>
        <w:t xml:space="preserve">he </w:t>
      </w:r>
      <w:r>
        <w:rPr>
          <w:rFonts w:ascii="Arial" w:hAnsi="Arial" w:cs="Arial"/>
        </w:rPr>
        <w:t>ultimate</w:t>
      </w:r>
      <w:r w:rsidRPr="009F29C6">
        <w:rPr>
          <w:rFonts w:ascii="Arial" w:hAnsi="Arial" w:cs="Arial"/>
        </w:rPr>
        <w:t xml:space="preserve"> </w:t>
      </w:r>
      <w:r w:rsidR="00DA54B9" w:rsidRPr="009F29C6">
        <w:rPr>
          <w:rFonts w:ascii="Arial" w:hAnsi="Arial" w:cs="Arial"/>
        </w:rPr>
        <w:t xml:space="preserve">purpose of </w:t>
      </w:r>
      <w:r w:rsidR="00596708" w:rsidRPr="009F29C6">
        <w:rPr>
          <w:rFonts w:ascii="Arial" w:hAnsi="Arial" w:cs="Arial"/>
        </w:rPr>
        <w:t>the PTRM is to calculate the</w:t>
      </w:r>
      <w:r>
        <w:rPr>
          <w:rFonts w:ascii="Arial" w:hAnsi="Arial" w:cs="Arial"/>
        </w:rPr>
        <w:t xml:space="preserve"> smoothed</w:t>
      </w:r>
      <w:r w:rsidR="00596708" w:rsidRPr="009F29C6">
        <w:rPr>
          <w:rFonts w:ascii="Arial" w:hAnsi="Arial" w:cs="Arial"/>
        </w:rPr>
        <w:t xml:space="preserve"> </w:t>
      </w:r>
      <w:r w:rsidR="00EE1416" w:rsidRPr="009F29C6">
        <w:rPr>
          <w:rFonts w:ascii="Arial" w:hAnsi="Arial" w:cs="Arial"/>
        </w:rPr>
        <w:t>MAR</w:t>
      </w:r>
      <w:r w:rsidR="00E65899" w:rsidRPr="00E65899">
        <w:rPr>
          <w:rFonts w:ascii="Arial" w:hAnsi="Arial" w:cs="Arial"/>
        </w:rPr>
        <w:t xml:space="preserve"> </w:t>
      </w:r>
      <w:r>
        <w:rPr>
          <w:rFonts w:ascii="Arial" w:hAnsi="Arial" w:cs="Arial"/>
        </w:rPr>
        <w:t>/</w:t>
      </w:r>
      <w:r w:rsidR="004048D7" w:rsidRPr="009F29C6">
        <w:rPr>
          <w:rFonts w:ascii="Arial" w:hAnsi="Arial" w:cs="Arial"/>
        </w:rPr>
        <w:t>expected revenue</w:t>
      </w:r>
      <w:r w:rsidR="00101E24" w:rsidRPr="009F29C6">
        <w:rPr>
          <w:rFonts w:ascii="Arial" w:hAnsi="Arial" w:cs="Arial"/>
        </w:rPr>
        <w:t xml:space="preserve"> for </w:t>
      </w:r>
      <w:r w:rsidR="004048D7" w:rsidRPr="009F29C6">
        <w:rPr>
          <w:rFonts w:ascii="Arial" w:hAnsi="Arial" w:cs="Arial"/>
        </w:rPr>
        <w:t xml:space="preserve">an </w:t>
      </w:r>
      <w:r w:rsidR="00596708" w:rsidRPr="009F29C6">
        <w:rPr>
          <w:rFonts w:ascii="Arial" w:hAnsi="Arial" w:cs="Arial"/>
        </w:rPr>
        <w:t>NSP</w:t>
      </w:r>
      <w:r w:rsidR="000E5C53" w:rsidRPr="009F29C6">
        <w:rPr>
          <w:rFonts w:ascii="Arial" w:hAnsi="Arial" w:cs="Arial"/>
        </w:rPr>
        <w:t xml:space="preserve"> in each</w:t>
      </w:r>
      <w:r w:rsidR="00596708" w:rsidRPr="009F29C6">
        <w:rPr>
          <w:rFonts w:ascii="Arial" w:hAnsi="Arial" w:cs="Arial"/>
        </w:rPr>
        <w:t xml:space="preserve"> year of a regulatory control period</w:t>
      </w:r>
      <w:r w:rsidR="00101E24" w:rsidRPr="009F29C6">
        <w:rPr>
          <w:rFonts w:ascii="Arial" w:hAnsi="Arial" w:cs="Arial"/>
        </w:rPr>
        <w:t xml:space="preserve"> and resulting X factors</w:t>
      </w:r>
      <w:r w:rsidR="00596708" w:rsidRPr="009F29C6">
        <w:rPr>
          <w:rFonts w:ascii="Arial" w:hAnsi="Arial" w:cs="Arial"/>
        </w:rPr>
        <w:t xml:space="preserve"> as part of </w:t>
      </w:r>
      <w:r w:rsidR="004048D7" w:rsidRPr="009F29C6">
        <w:rPr>
          <w:rFonts w:ascii="Arial" w:hAnsi="Arial" w:cs="Arial"/>
        </w:rPr>
        <w:t>a</w:t>
      </w:r>
      <w:r w:rsidR="00596708" w:rsidRPr="009F29C6">
        <w:rPr>
          <w:rFonts w:ascii="Arial" w:hAnsi="Arial" w:cs="Arial"/>
        </w:rPr>
        <w:t xml:space="preserve"> </w:t>
      </w:r>
      <w:r w:rsidR="0036148C" w:rsidRPr="009F29C6">
        <w:rPr>
          <w:rFonts w:ascii="Arial" w:hAnsi="Arial" w:cs="Arial"/>
        </w:rPr>
        <w:t>transmission/distribution</w:t>
      </w:r>
      <w:r w:rsidR="00596708" w:rsidRPr="009F29C6">
        <w:rPr>
          <w:rFonts w:ascii="Arial" w:hAnsi="Arial" w:cs="Arial"/>
        </w:rPr>
        <w:t xml:space="preserve"> determination. </w:t>
      </w:r>
      <w:r w:rsidR="00101E24" w:rsidRPr="009F29C6">
        <w:rPr>
          <w:rFonts w:ascii="Arial" w:hAnsi="Arial" w:cs="Arial"/>
        </w:rPr>
        <w:t xml:space="preserve">The X factors are then used in the annual updates to either revenues or prices </w:t>
      </w:r>
      <w:r w:rsidR="000E5C53" w:rsidRPr="009F29C6">
        <w:rPr>
          <w:rFonts w:ascii="Arial" w:hAnsi="Arial" w:cs="Arial"/>
        </w:rPr>
        <w:t>(</w:t>
      </w:r>
      <w:r w:rsidR="00101E24" w:rsidRPr="009F29C6">
        <w:rPr>
          <w:rFonts w:ascii="Arial" w:hAnsi="Arial" w:cs="Arial"/>
        </w:rPr>
        <w:t>depending on the form of control</w:t>
      </w:r>
      <w:r w:rsidR="000E5C53" w:rsidRPr="009F29C6">
        <w:rPr>
          <w:rFonts w:ascii="Arial" w:hAnsi="Arial" w:cs="Arial"/>
        </w:rPr>
        <w:t>)</w:t>
      </w:r>
      <w:r w:rsidR="00101E24" w:rsidRPr="009F29C6">
        <w:rPr>
          <w:rFonts w:ascii="Arial" w:hAnsi="Arial" w:cs="Arial"/>
        </w:rPr>
        <w:t xml:space="preserve"> and </w:t>
      </w:r>
      <w:r w:rsidR="001560F4" w:rsidRPr="009F29C6">
        <w:rPr>
          <w:rFonts w:ascii="Arial" w:hAnsi="Arial" w:cs="Arial"/>
        </w:rPr>
        <w:t xml:space="preserve">annual </w:t>
      </w:r>
      <w:r w:rsidR="00101E24" w:rsidRPr="009F29C6">
        <w:rPr>
          <w:rFonts w:ascii="Arial" w:hAnsi="Arial" w:cs="Arial"/>
        </w:rPr>
        <w:t>price approval requirements (in the case of DNSPs).</w:t>
      </w:r>
    </w:p>
    <w:p w:rsidR="00596708" w:rsidRPr="009F29C6" w:rsidRDefault="00F92F03" w:rsidP="00101E24">
      <w:pPr>
        <w:pStyle w:val="AERbodytext"/>
        <w:numPr>
          <w:ilvl w:val="0"/>
          <w:numId w:val="9"/>
        </w:numPr>
        <w:rPr>
          <w:rFonts w:ascii="Arial" w:hAnsi="Arial" w:cs="Arial"/>
        </w:rPr>
      </w:pPr>
      <w:r>
        <w:rPr>
          <w:rFonts w:ascii="Arial" w:hAnsi="Arial" w:cs="Arial"/>
        </w:rPr>
        <w:t>Before smoothing revenues, the</w:t>
      </w:r>
      <w:r w:rsidR="004A5246" w:rsidRPr="009F29C6">
        <w:rPr>
          <w:rFonts w:ascii="Arial" w:hAnsi="Arial" w:cs="Arial"/>
        </w:rPr>
        <w:t xml:space="preserve"> </w:t>
      </w:r>
      <w:r w:rsidR="0027688B">
        <w:rPr>
          <w:rFonts w:ascii="Arial" w:hAnsi="Arial" w:cs="Arial"/>
        </w:rPr>
        <w:t>ABBRR</w:t>
      </w:r>
      <w:r w:rsidR="00844D8E" w:rsidRPr="009F29C6">
        <w:rPr>
          <w:rFonts w:ascii="Arial" w:hAnsi="Arial" w:cs="Arial"/>
        </w:rPr>
        <w:t>/</w:t>
      </w:r>
      <w:r w:rsidR="0027688B">
        <w:rPr>
          <w:rFonts w:ascii="Arial" w:hAnsi="Arial" w:cs="Arial"/>
        </w:rPr>
        <w:t>ARR</w:t>
      </w:r>
      <w:r w:rsidR="00596708" w:rsidRPr="009F29C6">
        <w:rPr>
          <w:rFonts w:ascii="Arial" w:hAnsi="Arial" w:cs="Arial"/>
        </w:rPr>
        <w:t xml:space="preserve"> calculated using the PTRM, must be determined using the building block approach set out in the NER.</w:t>
      </w:r>
      <w:r w:rsidR="00844D8E" w:rsidRPr="009F29C6">
        <w:rPr>
          <w:rStyle w:val="FootnoteReference"/>
          <w:rFonts w:ascii="Arial" w:hAnsi="Arial" w:cs="Arial"/>
        </w:rPr>
        <w:footnoteReference w:id="21"/>
      </w:r>
      <w:r w:rsidR="00596708" w:rsidRPr="009F29C6">
        <w:rPr>
          <w:rFonts w:ascii="Arial" w:hAnsi="Arial" w:cs="Arial"/>
        </w:rPr>
        <w:t xml:space="preserve"> The building blocks include:</w:t>
      </w:r>
    </w:p>
    <w:p w:rsidR="00596708" w:rsidRPr="009F29C6" w:rsidRDefault="00596708" w:rsidP="00DC1EA7">
      <w:pPr>
        <w:pStyle w:val="AERbulletlistfirststyle"/>
        <w:tabs>
          <w:tab w:val="clear" w:pos="357"/>
          <w:tab w:val="left" w:pos="426"/>
        </w:tabs>
        <w:ind w:left="426" w:hanging="426"/>
        <w:rPr>
          <w:rFonts w:ascii="Arial" w:hAnsi="Arial" w:cs="Arial"/>
        </w:rPr>
      </w:pPr>
      <w:r w:rsidRPr="009F29C6">
        <w:rPr>
          <w:rFonts w:ascii="Arial" w:hAnsi="Arial" w:cs="Arial"/>
        </w:rPr>
        <w:t>an indexation of the RAB</w:t>
      </w:r>
      <w:r w:rsidR="0027688B">
        <w:rPr>
          <w:rStyle w:val="FootnoteReference"/>
          <w:rFonts w:ascii="Arial" w:hAnsi="Arial" w:cs="Arial"/>
        </w:rPr>
        <w:footnoteReference w:id="22"/>
      </w:r>
    </w:p>
    <w:p w:rsidR="00596708" w:rsidRPr="009F29C6" w:rsidRDefault="00596708" w:rsidP="00DC1EA7">
      <w:pPr>
        <w:pStyle w:val="AERbulletlistfirststyle"/>
        <w:tabs>
          <w:tab w:val="clear" w:pos="357"/>
          <w:tab w:val="left" w:pos="426"/>
        </w:tabs>
        <w:ind w:left="426" w:hanging="426"/>
        <w:rPr>
          <w:rFonts w:ascii="Arial" w:hAnsi="Arial" w:cs="Arial"/>
        </w:rPr>
      </w:pPr>
      <w:r w:rsidRPr="009F29C6">
        <w:rPr>
          <w:rFonts w:ascii="Arial" w:hAnsi="Arial" w:cs="Arial"/>
        </w:rPr>
        <w:t>a return on capital</w:t>
      </w:r>
      <w:r w:rsidR="0027688B">
        <w:rPr>
          <w:rStyle w:val="FootnoteReference"/>
          <w:rFonts w:ascii="Arial" w:hAnsi="Arial" w:cs="Arial"/>
        </w:rPr>
        <w:footnoteReference w:id="23"/>
      </w:r>
    </w:p>
    <w:p w:rsidR="00596708" w:rsidRPr="009F29C6" w:rsidRDefault="00596708" w:rsidP="00DC1EA7">
      <w:pPr>
        <w:pStyle w:val="AERbulletlistfirststyle"/>
        <w:tabs>
          <w:tab w:val="clear" w:pos="357"/>
          <w:tab w:val="left" w:pos="426"/>
        </w:tabs>
        <w:ind w:left="426" w:hanging="426"/>
        <w:rPr>
          <w:rFonts w:ascii="Arial" w:hAnsi="Arial" w:cs="Arial"/>
        </w:rPr>
      </w:pPr>
      <w:r w:rsidRPr="009F29C6">
        <w:rPr>
          <w:rFonts w:ascii="Arial" w:hAnsi="Arial" w:cs="Arial"/>
        </w:rPr>
        <w:t>a return of capital (depreciation)</w:t>
      </w:r>
      <w:r w:rsidR="00E03824" w:rsidRPr="009F29C6">
        <w:rPr>
          <w:rStyle w:val="FootnoteReference"/>
          <w:rFonts w:ascii="Arial" w:hAnsi="Arial" w:cs="Arial"/>
        </w:rPr>
        <w:footnoteReference w:id="24"/>
      </w:r>
    </w:p>
    <w:p w:rsidR="00596708" w:rsidRPr="009F29C6" w:rsidRDefault="00596708" w:rsidP="00DC1EA7">
      <w:pPr>
        <w:pStyle w:val="AERbulletlistfirststyle"/>
        <w:tabs>
          <w:tab w:val="clear" w:pos="357"/>
          <w:tab w:val="left" w:pos="426"/>
        </w:tabs>
        <w:ind w:left="426" w:hanging="426"/>
        <w:rPr>
          <w:rFonts w:ascii="Arial" w:hAnsi="Arial" w:cs="Arial"/>
        </w:rPr>
      </w:pPr>
      <w:r w:rsidRPr="009F29C6">
        <w:rPr>
          <w:rFonts w:ascii="Arial" w:hAnsi="Arial" w:cs="Arial"/>
        </w:rPr>
        <w:t>the estimated cost of corporate income tax</w:t>
      </w:r>
      <w:r w:rsidR="0027688B">
        <w:rPr>
          <w:rStyle w:val="FootnoteReference"/>
          <w:rFonts w:ascii="Arial" w:hAnsi="Arial" w:cs="Arial"/>
        </w:rPr>
        <w:footnoteReference w:id="25"/>
      </w:r>
    </w:p>
    <w:p w:rsidR="000E5C53" w:rsidRPr="009F29C6" w:rsidRDefault="000E5C53" w:rsidP="00DC1EA7">
      <w:pPr>
        <w:pStyle w:val="AERbulletlistfirststyle"/>
        <w:tabs>
          <w:tab w:val="clear" w:pos="357"/>
          <w:tab w:val="left" w:pos="426"/>
        </w:tabs>
        <w:ind w:left="426" w:hanging="426"/>
        <w:rPr>
          <w:rFonts w:ascii="Arial" w:hAnsi="Arial" w:cs="Arial"/>
        </w:rPr>
      </w:pPr>
      <w:r w:rsidRPr="009F29C6">
        <w:rPr>
          <w:rFonts w:ascii="Arial" w:hAnsi="Arial" w:cs="Arial"/>
        </w:rPr>
        <w:t>forecast operating expenditure (</w:t>
      </w:r>
      <w:proofErr w:type="spellStart"/>
      <w:r w:rsidRPr="009F29C6">
        <w:rPr>
          <w:rFonts w:ascii="Arial" w:hAnsi="Arial" w:cs="Arial"/>
        </w:rPr>
        <w:t>opex</w:t>
      </w:r>
      <w:proofErr w:type="spellEnd"/>
      <w:r w:rsidRPr="009F29C6">
        <w:rPr>
          <w:rFonts w:ascii="Arial" w:hAnsi="Arial" w:cs="Arial"/>
        </w:rPr>
        <w:t>)</w:t>
      </w:r>
      <w:r w:rsidR="0027688B" w:rsidRPr="0027688B">
        <w:rPr>
          <w:rStyle w:val="FootnoteReference"/>
          <w:rFonts w:ascii="Arial" w:hAnsi="Arial" w:cs="Arial"/>
        </w:rPr>
        <w:t xml:space="preserve"> </w:t>
      </w:r>
      <w:r w:rsidR="0027688B">
        <w:rPr>
          <w:rStyle w:val="FootnoteReference"/>
          <w:rFonts w:ascii="Arial" w:hAnsi="Arial" w:cs="Arial"/>
        </w:rPr>
        <w:footnoteReference w:id="26"/>
      </w:r>
    </w:p>
    <w:p w:rsidR="00596708" w:rsidRPr="009F29C6" w:rsidRDefault="00596708" w:rsidP="00DC1EA7">
      <w:pPr>
        <w:pStyle w:val="AERbulletlistfirststyle"/>
        <w:tabs>
          <w:tab w:val="clear" w:pos="357"/>
          <w:tab w:val="left" w:pos="426"/>
        </w:tabs>
        <w:ind w:left="426" w:hanging="426"/>
        <w:rPr>
          <w:rFonts w:ascii="Arial" w:hAnsi="Arial" w:cs="Arial"/>
        </w:rPr>
      </w:pPr>
      <w:r w:rsidRPr="009F29C6">
        <w:rPr>
          <w:rFonts w:ascii="Arial" w:hAnsi="Arial" w:cs="Arial"/>
        </w:rPr>
        <w:t>revenue increments or decrements arising f</w:t>
      </w:r>
      <w:r w:rsidR="00EE1416" w:rsidRPr="009F29C6">
        <w:rPr>
          <w:rFonts w:ascii="Arial" w:hAnsi="Arial" w:cs="Arial"/>
        </w:rPr>
        <w:t xml:space="preserve">rom applicable </w:t>
      </w:r>
      <w:r w:rsidR="004A0825" w:rsidRPr="009F29C6">
        <w:rPr>
          <w:rFonts w:ascii="Arial" w:hAnsi="Arial" w:cs="Arial"/>
        </w:rPr>
        <w:t xml:space="preserve">efficiency incentive </w:t>
      </w:r>
      <w:r w:rsidR="00EE1416" w:rsidRPr="009F29C6">
        <w:rPr>
          <w:rFonts w:ascii="Arial" w:hAnsi="Arial" w:cs="Arial"/>
        </w:rPr>
        <w:t>schemes</w:t>
      </w:r>
      <w:r w:rsidR="004A0825" w:rsidRPr="009F29C6">
        <w:rPr>
          <w:rStyle w:val="FootnoteReference"/>
          <w:rFonts w:ascii="Arial" w:hAnsi="Arial" w:cs="Arial"/>
        </w:rPr>
        <w:footnoteReference w:id="27"/>
      </w:r>
      <w:r w:rsidR="00EE1416" w:rsidRPr="009F29C6">
        <w:rPr>
          <w:rFonts w:ascii="Arial" w:hAnsi="Arial" w:cs="Arial"/>
        </w:rPr>
        <w:t xml:space="preserve"> </w:t>
      </w:r>
    </w:p>
    <w:p w:rsidR="00EE1416" w:rsidRPr="009F29C6" w:rsidRDefault="0027688B" w:rsidP="00DC1EA7">
      <w:pPr>
        <w:pStyle w:val="AERbulletlistfirststyle"/>
        <w:tabs>
          <w:tab w:val="clear" w:pos="357"/>
          <w:tab w:val="left" w:pos="426"/>
        </w:tabs>
        <w:ind w:left="426" w:hanging="426"/>
        <w:rPr>
          <w:rFonts w:ascii="Arial" w:hAnsi="Arial" w:cs="Arial"/>
        </w:rPr>
      </w:pPr>
      <w:proofErr w:type="gramStart"/>
      <w:r>
        <w:rPr>
          <w:rFonts w:ascii="Arial" w:hAnsi="Arial" w:cs="Arial"/>
        </w:rPr>
        <w:t>other</w:t>
      </w:r>
      <w:proofErr w:type="gramEnd"/>
      <w:r>
        <w:rPr>
          <w:rFonts w:ascii="Arial" w:hAnsi="Arial" w:cs="Arial"/>
        </w:rPr>
        <w:t xml:space="preserve"> </w:t>
      </w:r>
      <w:r w:rsidR="000E5C53" w:rsidRPr="009F29C6">
        <w:rPr>
          <w:rFonts w:ascii="Arial" w:hAnsi="Arial" w:cs="Arial"/>
        </w:rPr>
        <w:t xml:space="preserve">adjustments </w:t>
      </w:r>
      <w:r>
        <w:rPr>
          <w:rFonts w:ascii="Arial" w:hAnsi="Arial" w:cs="Arial"/>
        </w:rPr>
        <w:t xml:space="preserve">such as those </w:t>
      </w:r>
      <w:r w:rsidR="000E5C53" w:rsidRPr="009F29C6">
        <w:rPr>
          <w:rFonts w:ascii="Arial" w:hAnsi="Arial" w:cs="Arial"/>
        </w:rPr>
        <w:t xml:space="preserve">related to </w:t>
      </w:r>
      <w:r>
        <w:rPr>
          <w:rFonts w:ascii="Arial" w:hAnsi="Arial" w:cs="Arial"/>
        </w:rPr>
        <w:t xml:space="preserve">the application of a control </w:t>
      </w:r>
      <w:r w:rsidR="00EE1416" w:rsidRPr="009F29C6">
        <w:rPr>
          <w:rFonts w:ascii="Arial" w:hAnsi="Arial" w:cs="Arial"/>
        </w:rPr>
        <w:t>mechanism</w:t>
      </w:r>
      <w:r w:rsidR="000E5C53" w:rsidRPr="009F29C6">
        <w:rPr>
          <w:rFonts w:ascii="Arial" w:hAnsi="Arial" w:cs="Arial"/>
        </w:rPr>
        <w:t xml:space="preserve"> used</w:t>
      </w:r>
      <w:r w:rsidR="00EE1416" w:rsidRPr="009F29C6">
        <w:rPr>
          <w:rFonts w:ascii="Arial" w:hAnsi="Arial" w:cs="Arial"/>
        </w:rPr>
        <w:t xml:space="preserve"> in the previous regulatory control period</w:t>
      </w:r>
      <w:r w:rsidR="00E37CB7" w:rsidRPr="009F29C6">
        <w:rPr>
          <w:rFonts w:ascii="Arial" w:hAnsi="Arial" w:cs="Arial"/>
        </w:rPr>
        <w:t xml:space="preserve"> </w:t>
      </w:r>
      <w:r>
        <w:rPr>
          <w:rFonts w:ascii="Arial" w:hAnsi="Arial" w:cs="Arial"/>
        </w:rPr>
        <w:t xml:space="preserve">or </w:t>
      </w:r>
      <w:r w:rsidR="00E37CB7" w:rsidRPr="009F29C6">
        <w:rPr>
          <w:rFonts w:ascii="Arial" w:hAnsi="Arial" w:cs="Arial"/>
        </w:rPr>
        <w:t xml:space="preserve">those related to </w:t>
      </w:r>
      <w:r>
        <w:rPr>
          <w:rFonts w:ascii="Arial" w:hAnsi="Arial" w:cs="Arial"/>
        </w:rPr>
        <w:t xml:space="preserve">the use of </w:t>
      </w:r>
      <w:r w:rsidR="00E71317" w:rsidRPr="009F29C6">
        <w:rPr>
          <w:rFonts w:ascii="Arial" w:hAnsi="Arial" w:cs="Arial"/>
        </w:rPr>
        <w:t>shared</w:t>
      </w:r>
      <w:r w:rsidR="00E37CB7" w:rsidRPr="009F29C6">
        <w:rPr>
          <w:rFonts w:ascii="Arial" w:hAnsi="Arial" w:cs="Arial"/>
        </w:rPr>
        <w:t xml:space="preserve"> assets</w:t>
      </w:r>
      <w:r>
        <w:rPr>
          <w:rFonts w:ascii="Arial" w:hAnsi="Arial" w:cs="Arial"/>
        </w:rPr>
        <w:t xml:space="preserve"> or compensation for other risks</w:t>
      </w:r>
      <w:r w:rsidR="00EE1416" w:rsidRPr="009F29C6">
        <w:rPr>
          <w:rFonts w:ascii="Arial" w:hAnsi="Arial" w:cs="Arial"/>
        </w:rPr>
        <w:t>.</w:t>
      </w:r>
      <w:r>
        <w:rPr>
          <w:rStyle w:val="FootnoteReference"/>
          <w:rFonts w:ascii="Arial" w:hAnsi="Arial" w:cs="Arial"/>
        </w:rPr>
        <w:footnoteReference w:id="28"/>
      </w:r>
    </w:p>
    <w:p w:rsidR="00491692" w:rsidRPr="009F29C6" w:rsidRDefault="001D267F" w:rsidP="00491692">
      <w:pPr>
        <w:pStyle w:val="Heading1"/>
        <w:rPr>
          <w:rFonts w:ascii="Arial" w:hAnsi="Arial" w:cs="Arial"/>
        </w:rPr>
      </w:pPr>
      <w:bookmarkStart w:id="20" w:name="_Toc395861695"/>
      <w:bookmarkStart w:id="21" w:name="_Toc408926603"/>
      <w:r w:rsidRPr="009F29C6">
        <w:rPr>
          <w:rFonts w:ascii="Arial" w:hAnsi="Arial" w:cs="Arial"/>
        </w:rPr>
        <w:lastRenderedPageBreak/>
        <w:t>A</w:t>
      </w:r>
      <w:r w:rsidR="00491692" w:rsidRPr="009F29C6">
        <w:rPr>
          <w:rFonts w:ascii="Arial" w:hAnsi="Arial" w:cs="Arial"/>
        </w:rPr>
        <w:t>mendments</w:t>
      </w:r>
      <w:bookmarkEnd w:id="20"/>
      <w:bookmarkEnd w:id="21"/>
    </w:p>
    <w:p w:rsidR="00520C3F" w:rsidRPr="009F29C6" w:rsidRDefault="00B4437A" w:rsidP="00160AD4">
      <w:pPr>
        <w:pStyle w:val="AERbodytext"/>
        <w:numPr>
          <w:ilvl w:val="0"/>
          <w:numId w:val="0"/>
        </w:numPr>
        <w:rPr>
          <w:rFonts w:ascii="Arial" w:hAnsi="Arial" w:cs="Arial"/>
        </w:rPr>
      </w:pPr>
      <w:r w:rsidRPr="009F29C6">
        <w:rPr>
          <w:rFonts w:ascii="Arial" w:hAnsi="Arial" w:cs="Arial"/>
        </w:rPr>
        <w:t xml:space="preserve">This </w:t>
      </w:r>
      <w:r w:rsidR="00766B0C" w:rsidRPr="009F29C6">
        <w:rPr>
          <w:rFonts w:ascii="Arial" w:hAnsi="Arial" w:cs="Arial"/>
        </w:rPr>
        <w:t>section</w:t>
      </w:r>
      <w:r w:rsidRPr="009F29C6">
        <w:rPr>
          <w:rFonts w:ascii="Arial" w:hAnsi="Arial" w:cs="Arial"/>
        </w:rPr>
        <w:t xml:space="preserve"> sets out </w:t>
      </w:r>
      <w:r w:rsidR="00352F80" w:rsidRPr="009F29C6">
        <w:rPr>
          <w:rFonts w:ascii="Arial" w:hAnsi="Arial" w:cs="Arial"/>
        </w:rPr>
        <w:t>the</w:t>
      </w:r>
      <w:r w:rsidRPr="009F29C6">
        <w:rPr>
          <w:rFonts w:ascii="Arial" w:hAnsi="Arial" w:cs="Arial"/>
        </w:rPr>
        <w:t xml:space="preserve"> amendments to the PTRM</w:t>
      </w:r>
      <w:r w:rsidR="00BC25AF" w:rsidRPr="009F29C6">
        <w:rPr>
          <w:rFonts w:ascii="Arial" w:hAnsi="Arial" w:cs="Arial"/>
        </w:rPr>
        <w:t xml:space="preserve">s for </w:t>
      </w:r>
      <w:r w:rsidR="00A01E96" w:rsidRPr="009F29C6">
        <w:rPr>
          <w:rFonts w:ascii="Arial" w:hAnsi="Arial" w:cs="Arial"/>
        </w:rPr>
        <w:t xml:space="preserve">the </w:t>
      </w:r>
      <w:r w:rsidR="00BC25AF" w:rsidRPr="009F29C6">
        <w:rPr>
          <w:rFonts w:ascii="Arial" w:hAnsi="Arial" w:cs="Arial"/>
        </w:rPr>
        <w:t>NSPs</w:t>
      </w:r>
      <w:r w:rsidRPr="009F29C6">
        <w:rPr>
          <w:rFonts w:ascii="Arial" w:hAnsi="Arial" w:cs="Arial"/>
        </w:rPr>
        <w:t xml:space="preserve"> and the </w:t>
      </w:r>
      <w:r w:rsidR="00A01E96" w:rsidRPr="009F29C6">
        <w:rPr>
          <w:rFonts w:ascii="Arial" w:hAnsi="Arial" w:cs="Arial"/>
        </w:rPr>
        <w:t xml:space="preserve">relevant </w:t>
      </w:r>
      <w:r w:rsidRPr="009F29C6">
        <w:rPr>
          <w:rFonts w:ascii="Arial" w:hAnsi="Arial" w:cs="Arial"/>
        </w:rPr>
        <w:t>handbook</w:t>
      </w:r>
      <w:r w:rsidR="00BC25AF" w:rsidRPr="009F29C6">
        <w:rPr>
          <w:rFonts w:ascii="Arial" w:hAnsi="Arial" w:cs="Arial"/>
        </w:rPr>
        <w:t>s</w:t>
      </w:r>
      <w:r w:rsidRPr="009F29C6">
        <w:rPr>
          <w:rFonts w:ascii="Arial" w:hAnsi="Arial" w:cs="Arial"/>
        </w:rPr>
        <w:t>.</w:t>
      </w:r>
      <w:r w:rsidR="00D6363F" w:rsidRPr="009F29C6">
        <w:rPr>
          <w:rFonts w:ascii="Arial" w:hAnsi="Arial" w:cs="Arial"/>
        </w:rPr>
        <w:t xml:space="preserve"> </w:t>
      </w:r>
      <w:r w:rsidR="00214DF1" w:rsidRPr="009F29C6">
        <w:rPr>
          <w:rFonts w:ascii="Arial" w:hAnsi="Arial" w:cs="Arial"/>
        </w:rPr>
        <w:t>Tables 2</w:t>
      </w:r>
      <w:r w:rsidR="00C1682D" w:rsidRPr="009F29C6">
        <w:rPr>
          <w:rFonts w:ascii="Arial" w:hAnsi="Arial" w:cs="Arial"/>
        </w:rPr>
        <w:t xml:space="preserve"> and </w:t>
      </w:r>
      <w:r w:rsidR="00214DF1" w:rsidRPr="009F29C6">
        <w:rPr>
          <w:rFonts w:ascii="Arial" w:hAnsi="Arial" w:cs="Arial"/>
        </w:rPr>
        <w:t>3</w:t>
      </w:r>
      <w:r w:rsidR="00C1682D" w:rsidRPr="009F29C6">
        <w:rPr>
          <w:rFonts w:ascii="Arial" w:hAnsi="Arial" w:cs="Arial"/>
        </w:rPr>
        <w:t xml:space="preserve"> show which worksheets have been amended, added or removed</w:t>
      </w:r>
      <w:r w:rsidR="0041100C" w:rsidRPr="009F29C6">
        <w:rPr>
          <w:rFonts w:ascii="Arial" w:hAnsi="Arial" w:cs="Arial"/>
        </w:rPr>
        <w:t xml:space="preserve"> from the distribution and transmission PTRMs</w:t>
      </w:r>
      <w:r w:rsidR="00C1682D" w:rsidRPr="009F29C6">
        <w:rPr>
          <w:rFonts w:ascii="Arial" w:hAnsi="Arial" w:cs="Arial"/>
        </w:rPr>
        <w:t>.</w:t>
      </w:r>
      <w:r w:rsidR="00C1682D" w:rsidRPr="009F29C6">
        <w:rPr>
          <w:rStyle w:val="FootnoteReference"/>
          <w:rFonts w:ascii="Arial" w:hAnsi="Arial" w:cs="Arial"/>
        </w:rPr>
        <w:footnoteReference w:id="29"/>
      </w:r>
      <w:r w:rsidR="00160AD4" w:rsidRPr="009F29C6">
        <w:rPr>
          <w:rFonts w:ascii="Arial" w:hAnsi="Arial" w:cs="Arial"/>
        </w:rPr>
        <w:t xml:space="preserve"> </w:t>
      </w:r>
      <w:proofErr w:type="gramStart"/>
      <w:r w:rsidR="00520C3F" w:rsidRPr="009F29C6">
        <w:rPr>
          <w:rFonts w:ascii="Arial" w:hAnsi="Arial" w:cs="Arial"/>
        </w:rPr>
        <w:t>The</w:t>
      </w:r>
      <w:proofErr w:type="gramEnd"/>
      <w:r w:rsidR="00520C3F" w:rsidRPr="009F29C6">
        <w:rPr>
          <w:rFonts w:ascii="Arial" w:hAnsi="Arial" w:cs="Arial"/>
        </w:rPr>
        <w:t xml:space="preserve"> changes bring the structure of the two PTRMs into closer alignment</w:t>
      </w:r>
      <w:r w:rsidR="00214DF1" w:rsidRPr="009F29C6">
        <w:rPr>
          <w:rFonts w:ascii="Arial" w:hAnsi="Arial" w:cs="Arial"/>
        </w:rPr>
        <w:t xml:space="preserve"> compared to versions 2</w:t>
      </w:r>
      <w:r w:rsidR="00160AD4" w:rsidRPr="009F29C6">
        <w:rPr>
          <w:rFonts w:ascii="Arial" w:hAnsi="Arial" w:cs="Arial"/>
        </w:rPr>
        <w:t>.</w:t>
      </w:r>
      <w:r w:rsidR="00520C3F" w:rsidRPr="009F29C6">
        <w:rPr>
          <w:rStyle w:val="FootnoteReference"/>
          <w:rFonts w:ascii="Arial" w:hAnsi="Arial" w:cs="Arial"/>
        </w:rPr>
        <w:footnoteReference w:id="30"/>
      </w:r>
    </w:p>
    <w:p w:rsidR="00D6363F" w:rsidRPr="008C75B6" w:rsidRDefault="00D6363F" w:rsidP="00D6363F">
      <w:pPr>
        <w:pStyle w:val="Caption"/>
        <w:rPr>
          <w:rStyle w:val="AERtextbold"/>
          <w:rFonts w:ascii="Arial" w:hAnsi="Arial" w:cs="Arial"/>
        </w:rPr>
      </w:pPr>
      <w:bookmarkStart w:id="22" w:name="_Ref396312295"/>
      <w:r w:rsidRPr="008C75B6">
        <w:rPr>
          <w:rFonts w:ascii="Arial" w:hAnsi="Arial" w:cs="Arial"/>
        </w:rPr>
        <w:t xml:space="preserve">Table </w:t>
      </w:r>
      <w:bookmarkEnd w:id="22"/>
      <w:r w:rsidR="00214DF1" w:rsidRPr="009F29C6">
        <w:rPr>
          <w:rFonts w:ascii="Arial" w:hAnsi="Arial" w:cs="Arial"/>
        </w:rPr>
        <w:t>2</w:t>
      </w:r>
      <w:r w:rsidRPr="009F29C6">
        <w:rPr>
          <w:rFonts w:ascii="Arial" w:hAnsi="Arial" w:cs="Arial"/>
        </w:rPr>
        <w:t xml:space="preserve"> </w:t>
      </w:r>
      <w:r w:rsidRPr="009F29C6">
        <w:rPr>
          <w:rFonts w:ascii="Arial" w:hAnsi="Arial" w:cs="Arial"/>
        </w:rPr>
        <w:tab/>
        <w:t xml:space="preserve">Changes to the </w:t>
      </w:r>
      <w:r w:rsidR="00E71317" w:rsidRPr="009F29C6">
        <w:rPr>
          <w:rFonts w:ascii="Arial" w:hAnsi="Arial" w:cs="Arial"/>
        </w:rPr>
        <w:t>d</w:t>
      </w:r>
      <w:r w:rsidRPr="009F29C6">
        <w:rPr>
          <w:rFonts w:ascii="Arial" w:hAnsi="Arial" w:cs="Arial"/>
        </w:rPr>
        <w:t>istribution PTRM</w:t>
      </w:r>
      <w:r w:rsidR="00DD72FF" w:rsidRPr="009F29C6">
        <w:rPr>
          <w:rFonts w:ascii="Arial" w:hAnsi="Arial" w:cs="Arial"/>
        </w:rPr>
        <w:t xml:space="preserve"> worksheets</w:t>
      </w:r>
    </w:p>
    <w:tbl>
      <w:tblPr>
        <w:tblStyle w:val="AERtable-text"/>
        <w:tblW w:w="9180" w:type="dxa"/>
        <w:tblLayout w:type="fixed"/>
        <w:tblLook w:val="04A0" w:firstRow="1" w:lastRow="0" w:firstColumn="1" w:lastColumn="0" w:noHBand="0" w:noVBand="1"/>
      </w:tblPr>
      <w:tblGrid>
        <w:gridCol w:w="3060"/>
        <w:gridCol w:w="3060"/>
        <w:gridCol w:w="3060"/>
      </w:tblGrid>
      <w:tr w:rsidR="00D6363F" w:rsidRPr="00F746B6" w:rsidTr="00E922E5">
        <w:trPr>
          <w:cnfStyle w:val="100000000000" w:firstRow="1" w:lastRow="0" w:firstColumn="0" w:lastColumn="0" w:oddVBand="0" w:evenVBand="0" w:oddHBand="0" w:evenHBand="0" w:firstRowFirstColumn="0" w:firstRowLastColumn="0" w:lastRowFirstColumn="0" w:lastRowLastColumn="0"/>
        </w:trPr>
        <w:tc>
          <w:tcPr>
            <w:tcW w:w="3060" w:type="dxa"/>
          </w:tcPr>
          <w:p w:rsidR="00D6363F" w:rsidRPr="00F746B6" w:rsidRDefault="00E922E5" w:rsidP="00E922E5">
            <w:pPr>
              <w:pStyle w:val="AERtabletextleft"/>
              <w:rPr>
                <w:rStyle w:val="AERtextbold"/>
                <w:rFonts w:ascii="Arial" w:hAnsi="Arial" w:cs="Arial"/>
                <w:b/>
              </w:rPr>
            </w:pPr>
            <w:r w:rsidRPr="00F746B6">
              <w:rPr>
                <w:rStyle w:val="AERtextbold"/>
                <w:rFonts w:ascii="Arial" w:hAnsi="Arial" w:cs="Arial"/>
                <w:b/>
              </w:rPr>
              <w:t xml:space="preserve">Old </w:t>
            </w:r>
            <w:r w:rsidR="00D6363F" w:rsidRPr="00F746B6">
              <w:rPr>
                <w:rStyle w:val="AERtextbold"/>
                <w:rFonts w:ascii="Arial" w:hAnsi="Arial" w:cs="Arial"/>
                <w:b/>
              </w:rPr>
              <w:t>PTRM worksheet</w:t>
            </w:r>
            <w:r w:rsidRPr="00F746B6">
              <w:rPr>
                <w:rStyle w:val="AERtextbold"/>
                <w:rFonts w:ascii="Arial" w:hAnsi="Arial" w:cs="Arial"/>
                <w:b/>
              </w:rPr>
              <w:t>s</w:t>
            </w:r>
          </w:p>
        </w:tc>
        <w:tc>
          <w:tcPr>
            <w:tcW w:w="3060" w:type="dxa"/>
          </w:tcPr>
          <w:p w:rsidR="00D6363F" w:rsidRPr="00F746B6" w:rsidRDefault="00E922E5" w:rsidP="00D6363F">
            <w:pPr>
              <w:pStyle w:val="AERtabletextleft"/>
              <w:rPr>
                <w:rStyle w:val="AERtextbold"/>
                <w:rFonts w:ascii="Arial" w:hAnsi="Arial" w:cs="Arial"/>
                <w:b/>
              </w:rPr>
            </w:pPr>
            <w:r w:rsidRPr="00F746B6">
              <w:rPr>
                <w:rStyle w:val="AERtextbold"/>
                <w:rFonts w:ascii="Arial" w:hAnsi="Arial" w:cs="Arial"/>
                <w:b/>
              </w:rPr>
              <w:t>Status</w:t>
            </w:r>
          </w:p>
        </w:tc>
        <w:tc>
          <w:tcPr>
            <w:tcW w:w="3060" w:type="dxa"/>
          </w:tcPr>
          <w:p w:rsidR="00D6363F" w:rsidRPr="00F746B6" w:rsidRDefault="00E922E5" w:rsidP="00E922E5">
            <w:pPr>
              <w:pStyle w:val="AERtabletextleft"/>
              <w:rPr>
                <w:rStyle w:val="AERtextbold"/>
                <w:rFonts w:ascii="Arial" w:hAnsi="Arial" w:cs="Arial"/>
                <w:b/>
              </w:rPr>
            </w:pPr>
            <w:r w:rsidRPr="00F746B6">
              <w:rPr>
                <w:rStyle w:val="AERtextbold"/>
                <w:rFonts w:ascii="Arial" w:hAnsi="Arial" w:cs="Arial"/>
                <w:b/>
              </w:rPr>
              <w:t>New PTRM worksheets</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Intro</w:t>
            </w:r>
          </w:p>
        </w:tc>
        <w:tc>
          <w:tcPr>
            <w:tcW w:w="3060" w:type="dxa"/>
          </w:tcPr>
          <w:p w:rsidR="00E922E5" w:rsidRPr="008C75B6" w:rsidRDefault="00E922E5" w:rsidP="00C1682D">
            <w:pPr>
              <w:pStyle w:val="AERtabletextleft"/>
              <w:rPr>
                <w:rStyle w:val="AERbody"/>
                <w:rFonts w:ascii="Arial" w:hAnsi="Arial" w:cs="Arial"/>
                <w:sz w:val="16"/>
              </w:rPr>
            </w:pPr>
            <w:r w:rsidRPr="009F29C6">
              <w:rPr>
                <w:rStyle w:val="AERbody"/>
                <w:rFonts w:ascii="Arial" w:hAnsi="Arial" w:cs="Arial"/>
                <w:sz w:val="16"/>
              </w:rPr>
              <w:t>Minor changes</w:t>
            </w:r>
            <w:r w:rsidR="00C1682D" w:rsidRPr="009F29C6">
              <w:rPr>
                <w:rStyle w:val="AERbody"/>
                <w:rFonts w:ascii="Arial" w:hAnsi="Arial" w:cs="Arial"/>
                <w:sz w:val="16"/>
              </w:rPr>
              <w:t xml:space="preserve"> only</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Intro</w:t>
            </w:r>
          </w:p>
        </w:tc>
      </w:tr>
      <w:tr w:rsidR="008F4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8F42E5" w:rsidRPr="009F29C6" w:rsidRDefault="008F42E5" w:rsidP="00C1682D">
            <w:pPr>
              <w:pStyle w:val="AERtabletextleft"/>
              <w:rPr>
                <w:rStyle w:val="AERbody"/>
                <w:rFonts w:ascii="Arial" w:hAnsi="Arial" w:cs="Arial"/>
                <w:sz w:val="16"/>
              </w:rPr>
            </w:pPr>
          </w:p>
        </w:tc>
        <w:tc>
          <w:tcPr>
            <w:tcW w:w="3060" w:type="dxa"/>
          </w:tcPr>
          <w:p w:rsidR="008F42E5" w:rsidRPr="009F29C6" w:rsidRDefault="008F42E5" w:rsidP="00C1682D">
            <w:pPr>
              <w:pStyle w:val="AERtabletextleft"/>
              <w:rPr>
                <w:rStyle w:val="AERbody"/>
                <w:rFonts w:ascii="Arial" w:hAnsi="Arial" w:cs="Arial"/>
                <w:sz w:val="16"/>
              </w:rPr>
            </w:pPr>
            <w:r w:rsidRPr="009F29C6">
              <w:rPr>
                <w:rStyle w:val="AERbody"/>
                <w:rFonts w:ascii="Arial" w:hAnsi="Arial" w:cs="Arial"/>
                <w:sz w:val="16"/>
              </w:rPr>
              <w:t>Added</w:t>
            </w:r>
          </w:p>
        </w:tc>
        <w:tc>
          <w:tcPr>
            <w:tcW w:w="3060" w:type="dxa"/>
          </w:tcPr>
          <w:p w:rsidR="008F42E5" w:rsidRPr="009F29C6" w:rsidRDefault="00C316A8" w:rsidP="00D769A4">
            <w:pPr>
              <w:pStyle w:val="AERtabletextleft"/>
              <w:rPr>
                <w:rStyle w:val="AERbody"/>
                <w:rFonts w:ascii="Arial" w:hAnsi="Arial" w:cs="Arial"/>
                <w:sz w:val="16"/>
              </w:rPr>
            </w:pPr>
            <w:r w:rsidRPr="009F29C6">
              <w:rPr>
                <w:rStyle w:val="AERbody"/>
                <w:rFonts w:ascii="Arial" w:hAnsi="Arial" w:cs="Arial"/>
                <w:sz w:val="16"/>
              </w:rPr>
              <w:t xml:space="preserve">DMS </w:t>
            </w:r>
            <w:r w:rsidR="00D769A4" w:rsidRPr="009F29C6">
              <w:rPr>
                <w:rStyle w:val="AERbody"/>
                <w:rFonts w:ascii="Arial" w:hAnsi="Arial" w:cs="Arial"/>
                <w:sz w:val="16"/>
              </w:rPr>
              <w:t>i</w:t>
            </w:r>
            <w:r w:rsidR="008F42E5" w:rsidRPr="009F29C6">
              <w:rPr>
                <w:rStyle w:val="AERbody"/>
                <w:rFonts w:ascii="Arial" w:hAnsi="Arial" w:cs="Arial"/>
                <w:sz w:val="16"/>
              </w:rPr>
              <w:t xml:space="preserve">nput </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Input</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C316A8" w:rsidP="00D769A4">
            <w:pPr>
              <w:pStyle w:val="AERtabletextleft"/>
              <w:rPr>
                <w:rStyle w:val="AERbody"/>
                <w:rFonts w:ascii="Arial" w:hAnsi="Arial" w:cs="Arial"/>
                <w:sz w:val="16"/>
              </w:rPr>
            </w:pPr>
            <w:r w:rsidRPr="009F29C6">
              <w:rPr>
                <w:rStyle w:val="AERbody"/>
                <w:rFonts w:ascii="Arial" w:hAnsi="Arial" w:cs="Arial"/>
                <w:sz w:val="16"/>
              </w:rPr>
              <w:t xml:space="preserve">PTRM </w:t>
            </w:r>
            <w:r w:rsidR="00D769A4" w:rsidRPr="009F29C6">
              <w:rPr>
                <w:rStyle w:val="AERbody"/>
                <w:rFonts w:ascii="Arial" w:hAnsi="Arial" w:cs="Arial"/>
                <w:sz w:val="16"/>
              </w:rPr>
              <w:t>i</w:t>
            </w:r>
            <w:r w:rsidR="00E922E5" w:rsidRPr="009F29C6">
              <w:rPr>
                <w:rStyle w:val="AERbody"/>
                <w:rFonts w:ascii="Arial" w:hAnsi="Arial" w:cs="Arial"/>
                <w:sz w:val="16"/>
              </w:rPr>
              <w:t>nput</w:t>
            </w:r>
            <w:r w:rsidR="008F42E5" w:rsidRPr="009F29C6">
              <w:rPr>
                <w:rStyle w:val="AERbody"/>
                <w:rFonts w:ascii="Arial" w:hAnsi="Arial" w:cs="Arial"/>
                <w:sz w:val="16"/>
              </w:rPr>
              <w:t xml:space="preserve"> </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WACC</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WACC</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Assets</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Assets</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Analysis</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Analysis</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Forecast revenues</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Forecast revenues</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X factor</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 and renamed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X factors</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Added</w:t>
            </w:r>
          </w:p>
        </w:tc>
        <w:tc>
          <w:tcPr>
            <w:tcW w:w="3060" w:type="dxa"/>
          </w:tcPr>
          <w:p w:rsidR="00E922E5" w:rsidRPr="009F29C6" w:rsidRDefault="00C1682D" w:rsidP="00C1682D">
            <w:pPr>
              <w:pStyle w:val="AERtabletextleft"/>
              <w:rPr>
                <w:rStyle w:val="AERbody"/>
                <w:rFonts w:ascii="Arial" w:hAnsi="Arial" w:cs="Arial"/>
                <w:sz w:val="16"/>
              </w:rPr>
            </w:pPr>
            <w:r w:rsidRPr="009F29C6">
              <w:rPr>
                <w:rStyle w:val="AERbody"/>
                <w:rFonts w:ascii="Arial" w:hAnsi="Arial" w:cs="Arial"/>
                <w:sz w:val="16"/>
              </w:rPr>
              <w:t>Revenue s</w:t>
            </w:r>
            <w:r w:rsidR="00E922E5" w:rsidRPr="009F29C6">
              <w:rPr>
                <w:rStyle w:val="AERbody"/>
                <w:rFonts w:ascii="Arial" w:hAnsi="Arial" w:cs="Arial"/>
                <w:sz w:val="16"/>
              </w:rPr>
              <w:t>ummary</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C1682D">
            <w:pPr>
              <w:pStyle w:val="AERtabletextleft"/>
              <w:rPr>
                <w:rStyle w:val="AERbody"/>
                <w:rFonts w:ascii="Arial" w:hAnsi="Arial" w:cs="Arial"/>
                <w:sz w:val="16"/>
              </w:rPr>
            </w:pP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Added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Equity raising cost</w:t>
            </w:r>
            <w:r w:rsidR="000C2A47" w:rsidRPr="009F29C6">
              <w:rPr>
                <w:rStyle w:val="AERbody"/>
                <w:rFonts w:ascii="Arial" w:hAnsi="Arial" w:cs="Arial"/>
                <w:sz w:val="16"/>
              </w:rPr>
              <w:t>s</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1-Revenues</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Minor changes</w:t>
            </w:r>
            <w:r w:rsidR="00C1682D" w:rsidRPr="009F29C6">
              <w:rPr>
                <w:rStyle w:val="AERbody"/>
                <w:rFonts w:ascii="Arial" w:hAnsi="Arial" w:cs="Arial"/>
                <w:sz w:val="16"/>
              </w:rPr>
              <w:t xml:space="preserve"> only</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1-Revenues</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2-Price path</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Minor changes</w:t>
            </w:r>
            <w:r w:rsidR="00C1682D" w:rsidRPr="009F29C6">
              <w:rPr>
                <w:rStyle w:val="AERbody"/>
                <w:rFonts w:ascii="Arial" w:hAnsi="Arial" w:cs="Arial"/>
                <w:sz w:val="16"/>
              </w:rPr>
              <w:t xml:space="preserve"> only</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2-Price path</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3-Building block</w:t>
            </w:r>
            <w:r w:rsidR="00C1682D" w:rsidRPr="009F29C6">
              <w:rPr>
                <w:rStyle w:val="AERbody"/>
                <w:rFonts w:ascii="Arial" w:hAnsi="Arial" w:cs="Arial"/>
                <w:sz w:val="16"/>
              </w:rPr>
              <w:t>s</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Minor changes</w:t>
            </w:r>
            <w:r w:rsidR="00C1682D" w:rsidRPr="009F29C6">
              <w:rPr>
                <w:rStyle w:val="AERbody"/>
                <w:rFonts w:ascii="Arial" w:hAnsi="Arial" w:cs="Arial"/>
                <w:sz w:val="16"/>
              </w:rPr>
              <w:t xml:space="preserve"> only</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3-Building block</w:t>
            </w:r>
            <w:r w:rsidR="00C1682D" w:rsidRPr="009F29C6">
              <w:rPr>
                <w:rStyle w:val="AERbody"/>
                <w:rFonts w:ascii="Arial" w:hAnsi="Arial" w:cs="Arial"/>
                <w:sz w:val="16"/>
              </w:rPr>
              <w:t>s</w:t>
            </w:r>
          </w:p>
        </w:tc>
      </w:tr>
    </w:tbl>
    <w:p w:rsidR="00214DF1" w:rsidRPr="009F29C6" w:rsidRDefault="00214DF1" w:rsidP="00E922E5">
      <w:pPr>
        <w:pStyle w:val="Caption"/>
        <w:rPr>
          <w:rFonts w:ascii="Arial" w:hAnsi="Arial" w:cs="Arial"/>
        </w:rPr>
      </w:pPr>
      <w:bookmarkStart w:id="23" w:name="_Ref396312297"/>
    </w:p>
    <w:p w:rsidR="00E922E5" w:rsidRPr="008C75B6" w:rsidRDefault="00E922E5" w:rsidP="00E922E5">
      <w:pPr>
        <w:pStyle w:val="Caption"/>
        <w:rPr>
          <w:rStyle w:val="AERtextbold"/>
          <w:rFonts w:ascii="Arial" w:hAnsi="Arial" w:cs="Arial"/>
        </w:rPr>
      </w:pPr>
      <w:r w:rsidRPr="008C75B6">
        <w:rPr>
          <w:rFonts w:ascii="Arial" w:hAnsi="Arial" w:cs="Arial"/>
        </w:rPr>
        <w:t xml:space="preserve">Table </w:t>
      </w:r>
      <w:bookmarkEnd w:id="23"/>
      <w:r w:rsidR="00214DF1" w:rsidRPr="009F29C6">
        <w:rPr>
          <w:rFonts w:ascii="Arial" w:hAnsi="Arial" w:cs="Arial"/>
        </w:rPr>
        <w:t>3</w:t>
      </w:r>
      <w:r w:rsidRPr="009F29C6">
        <w:rPr>
          <w:rFonts w:ascii="Arial" w:hAnsi="Arial" w:cs="Arial"/>
        </w:rPr>
        <w:t xml:space="preserve"> </w:t>
      </w:r>
      <w:r w:rsidRPr="009F29C6">
        <w:rPr>
          <w:rFonts w:ascii="Arial" w:hAnsi="Arial" w:cs="Arial"/>
        </w:rPr>
        <w:tab/>
        <w:t xml:space="preserve">Changes to the </w:t>
      </w:r>
      <w:r w:rsidR="00E71317" w:rsidRPr="009F29C6">
        <w:rPr>
          <w:rFonts w:ascii="Arial" w:hAnsi="Arial" w:cs="Arial"/>
        </w:rPr>
        <w:t>t</w:t>
      </w:r>
      <w:r w:rsidRPr="009F29C6">
        <w:rPr>
          <w:rFonts w:ascii="Arial" w:hAnsi="Arial" w:cs="Arial"/>
        </w:rPr>
        <w:t>ransmission PTRM</w:t>
      </w:r>
      <w:r w:rsidR="00DD72FF" w:rsidRPr="009F29C6">
        <w:rPr>
          <w:rFonts w:ascii="Arial" w:hAnsi="Arial" w:cs="Arial"/>
        </w:rPr>
        <w:t xml:space="preserve"> worksheets</w:t>
      </w:r>
    </w:p>
    <w:tbl>
      <w:tblPr>
        <w:tblStyle w:val="AERtable-text"/>
        <w:tblW w:w="9180" w:type="dxa"/>
        <w:tblLayout w:type="fixed"/>
        <w:tblLook w:val="04A0" w:firstRow="1" w:lastRow="0" w:firstColumn="1" w:lastColumn="0" w:noHBand="0" w:noVBand="1"/>
      </w:tblPr>
      <w:tblGrid>
        <w:gridCol w:w="3060"/>
        <w:gridCol w:w="3060"/>
        <w:gridCol w:w="3060"/>
      </w:tblGrid>
      <w:tr w:rsidR="00E922E5" w:rsidRPr="00F746B6" w:rsidTr="00E922E5">
        <w:trPr>
          <w:cnfStyle w:val="100000000000" w:firstRow="1" w:lastRow="0" w:firstColumn="0" w:lastColumn="0" w:oddVBand="0" w:evenVBand="0" w:oddHBand="0" w:evenHBand="0" w:firstRowFirstColumn="0" w:firstRowLastColumn="0" w:lastRowFirstColumn="0" w:lastRowLastColumn="0"/>
        </w:trPr>
        <w:tc>
          <w:tcPr>
            <w:tcW w:w="3060" w:type="dxa"/>
          </w:tcPr>
          <w:p w:rsidR="00E922E5" w:rsidRPr="00F746B6" w:rsidRDefault="00E922E5" w:rsidP="00E922E5">
            <w:pPr>
              <w:pStyle w:val="AERtabletextleft"/>
              <w:rPr>
                <w:rStyle w:val="AERtextbold"/>
                <w:rFonts w:ascii="Arial" w:hAnsi="Arial" w:cs="Arial"/>
                <w:b/>
              </w:rPr>
            </w:pPr>
            <w:r w:rsidRPr="00F746B6">
              <w:rPr>
                <w:rStyle w:val="AERtextbold"/>
                <w:rFonts w:ascii="Arial" w:hAnsi="Arial" w:cs="Arial"/>
                <w:b/>
              </w:rPr>
              <w:t>Old PTRM worksheets</w:t>
            </w:r>
          </w:p>
        </w:tc>
        <w:tc>
          <w:tcPr>
            <w:tcW w:w="3060" w:type="dxa"/>
          </w:tcPr>
          <w:p w:rsidR="00E922E5" w:rsidRPr="00F746B6" w:rsidRDefault="00E922E5" w:rsidP="00E922E5">
            <w:pPr>
              <w:pStyle w:val="AERtabletextleft"/>
              <w:rPr>
                <w:rStyle w:val="AERtextbold"/>
                <w:rFonts w:ascii="Arial" w:hAnsi="Arial" w:cs="Arial"/>
                <w:b/>
              </w:rPr>
            </w:pPr>
            <w:r w:rsidRPr="00F746B6">
              <w:rPr>
                <w:rStyle w:val="AERtextbold"/>
                <w:rFonts w:ascii="Arial" w:hAnsi="Arial" w:cs="Arial"/>
                <w:b/>
              </w:rPr>
              <w:t>Status</w:t>
            </w:r>
          </w:p>
        </w:tc>
        <w:tc>
          <w:tcPr>
            <w:tcW w:w="3060" w:type="dxa"/>
          </w:tcPr>
          <w:p w:rsidR="00E922E5" w:rsidRPr="00F746B6" w:rsidRDefault="00E922E5" w:rsidP="00E922E5">
            <w:pPr>
              <w:pStyle w:val="AERtabletextleft"/>
              <w:rPr>
                <w:rStyle w:val="AERtextbold"/>
                <w:rFonts w:ascii="Arial" w:hAnsi="Arial" w:cs="Arial"/>
                <w:b/>
              </w:rPr>
            </w:pPr>
            <w:r w:rsidRPr="00F746B6">
              <w:rPr>
                <w:rStyle w:val="AERtextbold"/>
                <w:rFonts w:ascii="Arial" w:hAnsi="Arial" w:cs="Arial"/>
                <w:b/>
              </w:rPr>
              <w:t>New PTRM worksheets</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Intro</w:t>
            </w:r>
          </w:p>
        </w:tc>
        <w:tc>
          <w:tcPr>
            <w:tcW w:w="3060" w:type="dxa"/>
          </w:tcPr>
          <w:p w:rsidR="00E922E5" w:rsidRPr="008C75B6" w:rsidRDefault="00E922E5" w:rsidP="00C1682D">
            <w:pPr>
              <w:pStyle w:val="AERtabletextleft"/>
              <w:rPr>
                <w:rStyle w:val="AERbody"/>
                <w:rFonts w:ascii="Arial" w:hAnsi="Arial" w:cs="Arial"/>
                <w:sz w:val="16"/>
              </w:rPr>
            </w:pPr>
            <w:r w:rsidRPr="009F29C6">
              <w:rPr>
                <w:rStyle w:val="AERbody"/>
                <w:rFonts w:ascii="Arial" w:hAnsi="Arial" w:cs="Arial"/>
                <w:sz w:val="16"/>
              </w:rPr>
              <w:t>Minor changes</w:t>
            </w:r>
            <w:r w:rsidR="00C1682D" w:rsidRPr="009F29C6">
              <w:rPr>
                <w:rStyle w:val="AERbody"/>
                <w:rFonts w:ascii="Arial" w:hAnsi="Arial" w:cs="Arial"/>
                <w:sz w:val="16"/>
              </w:rPr>
              <w:t xml:space="preserve"> only</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Intro</w:t>
            </w:r>
          </w:p>
        </w:tc>
      </w:tr>
      <w:tr w:rsidR="008F4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8F42E5" w:rsidRPr="009F29C6" w:rsidRDefault="008F42E5" w:rsidP="00C1682D">
            <w:pPr>
              <w:pStyle w:val="AERtabletextleft"/>
              <w:rPr>
                <w:rStyle w:val="AERbody"/>
                <w:rFonts w:ascii="Arial" w:hAnsi="Arial" w:cs="Arial"/>
                <w:sz w:val="16"/>
              </w:rPr>
            </w:pPr>
          </w:p>
        </w:tc>
        <w:tc>
          <w:tcPr>
            <w:tcW w:w="3060" w:type="dxa"/>
          </w:tcPr>
          <w:p w:rsidR="008F42E5" w:rsidRPr="009F29C6" w:rsidRDefault="008F42E5" w:rsidP="00C1682D">
            <w:pPr>
              <w:pStyle w:val="AERtabletextleft"/>
              <w:rPr>
                <w:rStyle w:val="AERbody"/>
                <w:rFonts w:ascii="Arial" w:hAnsi="Arial" w:cs="Arial"/>
                <w:sz w:val="16"/>
              </w:rPr>
            </w:pPr>
            <w:r w:rsidRPr="009F29C6">
              <w:rPr>
                <w:rStyle w:val="AERbody"/>
                <w:rFonts w:ascii="Arial" w:hAnsi="Arial" w:cs="Arial"/>
                <w:sz w:val="16"/>
              </w:rPr>
              <w:t>Added</w:t>
            </w:r>
          </w:p>
        </w:tc>
        <w:tc>
          <w:tcPr>
            <w:tcW w:w="3060" w:type="dxa"/>
          </w:tcPr>
          <w:p w:rsidR="008F42E5" w:rsidRPr="009F29C6" w:rsidRDefault="00A57E85" w:rsidP="00C1682D">
            <w:pPr>
              <w:pStyle w:val="AERtabletextleft"/>
              <w:rPr>
                <w:rStyle w:val="AERbody"/>
                <w:rFonts w:ascii="Arial" w:hAnsi="Arial" w:cs="Arial"/>
                <w:sz w:val="16"/>
              </w:rPr>
            </w:pPr>
            <w:r w:rsidRPr="009F29C6">
              <w:rPr>
                <w:rStyle w:val="AERbody"/>
                <w:rFonts w:ascii="Arial" w:hAnsi="Arial" w:cs="Arial"/>
                <w:sz w:val="16"/>
              </w:rPr>
              <w:t>DMS Input</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Input</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A57E85" w:rsidP="00C1682D">
            <w:pPr>
              <w:pStyle w:val="AERtabletextleft"/>
              <w:rPr>
                <w:rStyle w:val="AERbody"/>
                <w:rFonts w:ascii="Arial" w:hAnsi="Arial" w:cs="Arial"/>
                <w:sz w:val="16"/>
              </w:rPr>
            </w:pPr>
            <w:r w:rsidRPr="009F29C6">
              <w:rPr>
                <w:rStyle w:val="AERbody"/>
                <w:rFonts w:ascii="Arial" w:hAnsi="Arial" w:cs="Arial"/>
                <w:sz w:val="16"/>
              </w:rPr>
              <w:t xml:space="preserve">PTRM </w:t>
            </w:r>
            <w:r w:rsidR="00E922E5" w:rsidRPr="009F29C6">
              <w:rPr>
                <w:rStyle w:val="AERbody"/>
                <w:rFonts w:ascii="Arial" w:hAnsi="Arial" w:cs="Arial"/>
                <w:sz w:val="16"/>
              </w:rPr>
              <w:t>Input</w:t>
            </w:r>
            <w:r w:rsidR="008F42E5" w:rsidRPr="009F29C6">
              <w:rPr>
                <w:rStyle w:val="AERbody"/>
                <w:rFonts w:ascii="Arial" w:hAnsi="Arial" w:cs="Arial"/>
                <w:sz w:val="16"/>
              </w:rPr>
              <w:t xml:space="preserve"> </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WACC</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WACC</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Assets</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Assets</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Analysis</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Analysis</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Smoothing</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Amended and renamed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X factors</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DD72FF">
            <w:pPr>
              <w:pStyle w:val="AERtabletextleft"/>
              <w:rPr>
                <w:rStyle w:val="AERbody"/>
                <w:rFonts w:ascii="Arial" w:hAnsi="Arial" w:cs="Arial"/>
                <w:sz w:val="16"/>
              </w:rPr>
            </w:pPr>
            <w:r w:rsidRPr="009F29C6">
              <w:rPr>
                <w:rStyle w:val="AERbody"/>
                <w:rFonts w:ascii="Arial" w:hAnsi="Arial" w:cs="Arial"/>
                <w:sz w:val="16"/>
              </w:rPr>
              <w:lastRenderedPageBreak/>
              <w:t xml:space="preserve">Revenue </w:t>
            </w:r>
            <w:r w:rsidR="00DD72FF" w:rsidRPr="009F29C6">
              <w:rPr>
                <w:rStyle w:val="AERbody"/>
                <w:rFonts w:ascii="Arial" w:hAnsi="Arial" w:cs="Arial"/>
                <w:sz w:val="16"/>
              </w:rPr>
              <w:t>s</w:t>
            </w:r>
            <w:r w:rsidRPr="009F29C6">
              <w:rPr>
                <w:rStyle w:val="AERbody"/>
                <w:rFonts w:ascii="Arial" w:hAnsi="Arial" w:cs="Arial"/>
                <w:sz w:val="16"/>
              </w:rPr>
              <w:t>ummary</w:t>
            </w:r>
          </w:p>
        </w:tc>
        <w:tc>
          <w:tcPr>
            <w:tcW w:w="3060" w:type="dxa"/>
          </w:tcPr>
          <w:p w:rsidR="00E922E5" w:rsidRPr="009F29C6" w:rsidRDefault="00E922E5" w:rsidP="00B85426">
            <w:pPr>
              <w:pStyle w:val="AERtabletextleft"/>
              <w:rPr>
                <w:rStyle w:val="AERbody"/>
                <w:rFonts w:ascii="Arial" w:hAnsi="Arial" w:cs="Arial"/>
                <w:sz w:val="16"/>
              </w:rPr>
            </w:pPr>
            <w:r w:rsidRPr="009F29C6">
              <w:rPr>
                <w:rStyle w:val="AERbody"/>
                <w:rFonts w:ascii="Arial" w:hAnsi="Arial" w:cs="Arial"/>
                <w:sz w:val="16"/>
              </w:rPr>
              <w:t>Amended</w:t>
            </w:r>
          </w:p>
        </w:tc>
        <w:tc>
          <w:tcPr>
            <w:tcW w:w="3060" w:type="dxa"/>
          </w:tcPr>
          <w:p w:rsidR="00E922E5" w:rsidRPr="009F29C6" w:rsidRDefault="00C1682D" w:rsidP="00C45C91">
            <w:pPr>
              <w:pStyle w:val="AERtabletextleft"/>
              <w:rPr>
                <w:rStyle w:val="AERbody"/>
                <w:rFonts w:ascii="Arial" w:hAnsi="Arial" w:cs="Arial"/>
                <w:sz w:val="16"/>
              </w:rPr>
            </w:pPr>
            <w:r w:rsidRPr="009F29C6">
              <w:rPr>
                <w:rStyle w:val="AERbody"/>
                <w:rFonts w:ascii="Arial" w:hAnsi="Arial" w:cs="Arial"/>
                <w:sz w:val="16"/>
              </w:rPr>
              <w:t>Revenue s</w:t>
            </w:r>
            <w:r w:rsidR="00E922E5" w:rsidRPr="009F29C6">
              <w:rPr>
                <w:rStyle w:val="AERbody"/>
                <w:rFonts w:ascii="Arial" w:hAnsi="Arial" w:cs="Arial"/>
                <w:sz w:val="16"/>
              </w:rPr>
              <w:t>ummary</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Equity raising cost-capex</w:t>
            </w:r>
          </w:p>
        </w:tc>
        <w:tc>
          <w:tcPr>
            <w:tcW w:w="3060" w:type="dxa"/>
          </w:tcPr>
          <w:p w:rsidR="00E922E5" w:rsidRPr="009F29C6" w:rsidRDefault="00E922E5" w:rsidP="00E71317">
            <w:pPr>
              <w:pStyle w:val="AERtabletextleft"/>
              <w:rPr>
                <w:rStyle w:val="AERbody"/>
                <w:rFonts w:ascii="Arial" w:hAnsi="Arial" w:cs="Arial"/>
                <w:sz w:val="16"/>
              </w:rPr>
            </w:pPr>
            <w:r w:rsidRPr="009F29C6">
              <w:rPr>
                <w:rStyle w:val="AERbody"/>
                <w:rFonts w:ascii="Arial" w:hAnsi="Arial" w:cs="Arial"/>
                <w:sz w:val="16"/>
              </w:rPr>
              <w:t>A</w:t>
            </w:r>
            <w:r w:rsidR="00E71317" w:rsidRPr="009F29C6">
              <w:rPr>
                <w:rStyle w:val="AERbody"/>
                <w:rFonts w:ascii="Arial" w:hAnsi="Arial" w:cs="Arial"/>
                <w:sz w:val="16"/>
              </w:rPr>
              <w:t>men</w:t>
            </w:r>
            <w:r w:rsidRPr="009F29C6">
              <w:rPr>
                <w:rStyle w:val="AERbody"/>
                <w:rFonts w:ascii="Arial" w:hAnsi="Arial" w:cs="Arial"/>
                <w:sz w:val="16"/>
              </w:rPr>
              <w:t>ded and renamed</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Equity raising cost</w:t>
            </w:r>
            <w:r w:rsidR="000C2A47" w:rsidRPr="009F29C6">
              <w:rPr>
                <w:rStyle w:val="AERbody"/>
                <w:rFonts w:ascii="Arial" w:hAnsi="Arial" w:cs="Arial"/>
                <w:sz w:val="16"/>
              </w:rPr>
              <w:t>s</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Price path (nominal)</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Removed</w:t>
            </w:r>
          </w:p>
        </w:tc>
        <w:tc>
          <w:tcPr>
            <w:tcW w:w="3060" w:type="dxa"/>
          </w:tcPr>
          <w:p w:rsidR="00E922E5" w:rsidRPr="009F29C6" w:rsidRDefault="002F4557" w:rsidP="002F4557">
            <w:pPr>
              <w:pStyle w:val="AERtabletextleft"/>
              <w:rPr>
                <w:rStyle w:val="AERbody"/>
                <w:rFonts w:ascii="Arial" w:hAnsi="Arial" w:cs="Arial"/>
                <w:sz w:val="16"/>
              </w:rPr>
            </w:pPr>
            <w:r w:rsidRPr="009F29C6">
              <w:rPr>
                <w:rStyle w:val="AERbody"/>
                <w:rFonts w:ascii="Arial" w:hAnsi="Arial" w:cs="Arial"/>
                <w:sz w:val="16"/>
              </w:rPr>
              <w:t>Moved to</w:t>
            </w:r>
            <w:r w:rsidR="00E71317" w:rsidRPr="009F29C6">
              <w:rPr>
                <w:rStyle w:val="AERbody"/>
                <w:rFonts w:ascii="Arial" w:hAnsi="Arial" w:cs="Arial"/>
                <w:sz w:val="16"/>
              </w:rPr>
              <w:t xml:space="preserve"> Revenue summary</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Price path (real)</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Removed</w:t>
            </w:r>
          </w:p>
        </w:tc>
        <w:tc>
          <w:tcPr>
            <w:tcW w:w="3060" w:type="dxa"/>
          </w:tcPr>
          <w:p w:rsidR="00E922E5" w:rsidRPr="009F29C6" w:rsidRDefault="002F4557" w:rsidP="002F4557">
            <w:pPr>
              <w:pStyle w:val="AERtabletextleft"/>
              <w:rPr>
                <w:rStyle w:val="AERbody"/>
                <w:rFonts w:ascii="Arial" w:hAnsi="Arial" w:cs="Arial"/>
                <w:sz w:val="16"/>
              </w:rPr>
            </w:pPr>
            <w:r w:rsidRPr="009F29C6">
              <w:rPr>
                <w:rStyle w:val="AERbody"/>
                <w:rFonts w:ascii="Arial" w:hAnsi="Arial" w:cs="Arial"/>
                <w:sz w:val="16"/>
              </w:rPr>
              <w:t>Moved to Revenue summary</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1-Revenues</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Minor changes</w:t>
            </w:r>
            <w:r w:rsidR="00C1682D" w:rsidRPr="009F29C6">
              <w:rPr>
                <w:rStyle w:val="AERbody"/>
                <w:rFonts w:ascii="Arial" w:hAnsi="Arial" w:cs="Arial"/>
                <w:sz w:val="16"/>
              </w:rPr>
              <w:t xml:space="preserve"> only</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1-Revenues</w:t>
            </w:r>
          </w:p>
        </w:tc>
      </w:tr>
      <w:tr w:rsidR="00E922E5" w:rsidRPr="009F29C6" w:rsidTr="00E922E5">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2-Price path</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Minor changes</w:t>
            </w:r>
            <w:r w:rsidR="00C1682D" w:rsidRPr="009F29C6">
              <w:rPr>
                <w:rStyle w:val="AERbody"/>
                <w:rFonts w:ascii="Arial" w:hAnsi="Arial" w:cs="Arial"/>
                <w:sz w:val="16"/>
              </w:rPr>
              <w:t xml:space="preserve"> only</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2-Price path</w:t>
            </w:r>
          </w:p>
        </w:tc>
      </w:tr>
      <w:tr w:rsidR="00E922E5" w:rsidRPr="009F29C6" w:rsidTr="00E922E5">
        <w:trPr>
          <w:cnfStyle w:val="000000010000" w:firstRow="0" w:lastRow="0" w:firstColumn="0" w:lastColumn="0" w:oddVBand="0" w:evenVBand="0" w:oddHBand="0" w:evenHBand="1" w:firstRowFirstColumn="0" w:firstRowLastColumn="0" w:lastRowFirstColumn="0" w:lastRowLastColumn="0"/>
        </w:trPr>
        <w:tc>
          <w:tcPr>
            <w:tcW w:w="3060" w:type="dxa"/>
          </w:tcPr>
          <w:p w:rsidR="00E922E5" w:rsidRPr="009F29C6" w:rsidRDefault="00E922E5" w:rsidP="00766B0C">
            <w:pPr>
              <w:pStyle w:val="AERtabletextleft"/>
              <w:rPr>
                <w:rStyle w:val="AERbody"/>
                <w:rFonts w:ascii="Arial" w:hAnsi="Arial" w:cs="Arial"/>
                <w:sz w:val="16"/>
              </w:rPr>
            </w:pPr>
            <w:r w:rsidRPr="009F29C6">
              <w:rPr>
                <w:rStyle w:val="AERbody"/>
                <w:rFonts w:ascii="Arial" w:hAnsi="Arial" w:cs="Arial"/>
                <w:sz w:val="16"/>
              </w:rPr>
              <w:t>Chart 3-Building block</w:t>
            </w:r>
            <w:r w:rsidR="00C1682D" w:rsidRPr="009F29C6">
              <w:rPr>
                <w:rStyle w:val="AERbody"/>
                <w:rFonts w:ascii="Arial" w:hAnsi="Arial" w:cs="Arial"/>
                <w:sz w:val="16"/>
              </w:rPr>
              <w:t>s</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Minor changes</w:t>
            </w:r>
            <w:r w:rsidR="00C1682D" w:rsidRPr="009F29C6">
              <w:rPr>
                <w:rStyle w:val="AERbody"/>
                <w:rFonts w:ascii="Arial" w:hAnsi="Arial" w:cs="Arial"/>
                <w:sz w:val="16"/>
              </w:rPr>
              <w:t xml:space="preserve"> only</w:t>
            </w:r>
          </w:p>
        </w:tc>
        <w:tc>
          <w:tcPr>
            <w:tcW w:w="3060" w:type="dxa"/>
          </w:tcPr>
          <w:p w:rsidR="00E922E5" w:rsidRPr="009F29C6" w:rsidRDefault="00E922E5" w:rsidP="00C1682D">
            <w:pPr>
              <w:pStyle w:val="AERtabletextleft"/>
              <w:rPr>
                <w:rStyle w:val="AERbody"/>
                <w:rFonts w:ascii="Arial" w:hAnsi="Arial" w:cs="Arial"/>
                <w:sz w:val="16"/>
              </w:rPr>
            </w:pPr>
            <w:r w:rsidRPr="009F29C6">
              <w:rPr>
                <w:rStyle w:val="AERbody"/>
                <w:rFonts w:ascii="Arial" w:hAnsi="Arial" w:cs="Arial"/>
                <w:sz w:val="16"/>
              </w:rPr>
              <w:t>Chart 3-Building block</w:t>
            </w:r>
            <w:r w:rsidR="00C1682D" w:rsidRPr="009F29C6">
              <w:rPr>
                <w:rStyle w:val="AERbody"/>
                <w:rFonts w:ascii="Arial" w:hAnsi="Arial" w:cs="Arial"/>
                <w:sz w:val="16"/>
              </w:rPr>
              <w:t>s</w:t>
            </w:r>
          </w:p>
        </w:tc>
      </w:tr>
    </w:tbl>
    <w:p w:rsidR="00E922E5" w:rsidRPr="009F29C6" w:rsidRDefault="00E922E5" w:rsidP="00E922E5">
      <w:pPr>
        <w:pStyle w:val="AERbodytext"/>
        <w:numPr>
          <w:ilvl w:val="0"/>
          <w:numId w:val="9"/>
        </w:numPr>
        <w:rPr>
          <w:rStyle w:val="AERbody"/>
          <w:rFonts w:ascii="Arial" w:hAnsi="Arial" w:cs="Arial"/>
        </w:rPr>
      </w:pPr>
    </w:p>
    <w:p w:rsidR="007621C8" w:rsidRPr="009F29C6" w:rsidRDefault="007621C8" w:rsidP="007621C8">
      <w:pPr>
        <w:pStyle w:val="Heading2"/>
        <w:rPr>
          <w:rFonts w:ascii="Arial" w:hAnsi="Arial" w:cs="Arial"/>
        </w:rPr>
      </w:pPr>
      <w:bookmarkStart w:id="24" w:name="_Toc395861697"/>
      <w:bookmarkStart w:id="25" w:name="_Toc408926604"/>
      <w:r w:rsidRPr="009F29C6">
        <w:rPr>
          <w:rFonts w:ascii="Arial" w:hAnsi="Arial" w:cs="Arial"/>
        </w:rPr>
        <w:t>Changes</w:t>
      </w:r>
      <w:r w:rsidR="008D7CC1" w:rsidRPr="009F29C6">
        <w:rPr>
          <w:rFonts w:ascii="Arial" w:hAnsi="Arial" w:cs="Arial"/>
        </w:rPr>
        <w:t xml:space="preserve"> to the PTRM</w:t>
      </w:r>
      <w:bookmarkEnd w:id="24"/>
      <w:bookmarkEnd w:id="25"/>
    </w:p>
    <w:p w:rsidR="00105219" w:rsidRPr="009F29C6" w:rsidRDefault="00105219" w:rsidP="005B5861">
      <w:pPr>
        <w:pStyle w:val="AERbodytext"/>
        <w:numPr>
          <w:ilvl w:val="0"/>
          <w:numId w:val="9"/>
        </w:numPr>
        <w:rPr>
          <w:rFonts w:ascii="Arial" w:hAnsi="Arial" w:cs="Arial"/>
        </w:rPr>
      </w:pPr>
      <w:r w:rsidRPr="009F29C6">
        <w:rPr>
          <w:rFonts w:ascii="Arial" w:hAnsi="Arial" w:cs="Arial"/>
        </w:rPr>
        <w:t xml:space="preserve">In November 2012, the AEMC amended the rules that determine how the AER sets the revenues for regulated electricity and gas </w:t>
      </w:r>
      <w:r w:rsidR="005B5861" w:rsidRPr="009F29C6">
        <w:rPr>
          <w:rFonts w:ascii="Arial" w:hAnsi="Arial" w:cs="Arial"/>
        </w:rPr>
        <w:t>networks.</w:t>
      </w:r>
      <w:r w:rsidR="0027688B">
        <w:rPr>
          <w:rStyle w:val="FootnoteReference"/>
          <w:rFonts w:ascii="Arial" w:hAnsi="Arial" w:cs="Arial"/>
        </w:rPr>
        <w:footnoteReference w:id="31"/>
      </w:r>
      <w:r w:rsidRPr="009F29C6">
        <w:rPr>
          <w:rFonts w:ascii="Arial" w:hAnsi="Arial" w:cs="Arial"/>
        </w:rPr>
        <w:t xml:space="preserve"> In particular, the new rules change the way we establish the rate of return on capital, a key determinant of regulated revenues. These rules also introduced the prospect of revenue adjustments </w:t>
      </w:r>
      <w:r w:rsidR="005B5861" w:rsidRPr="009F29C6">
        <w:rPr>
          <w:rFonts w:ascii="Arial" w:hAnsi="Arial" w:cs="Arial"/>
        </w:rPr>
        <w:t xml:space="preserve">(decrement) for shared assets. </w:t>
      </w:r>
      <w:r w:rsidRPr="009F29C6">
        <w:rPr>
          <w:rFonts w:ascii="Arial" w:hAnsi="Arial" w:cs="Arial"/>
        </w:rPr>
        <w:t xml:space="preserve">In December 2013, we published our </w:t>
      </w:r>
      <w:r w:rsidRPr="009F29C6">
        <w:rPr>
          <w:rFonts w:ascii="Arial" w:hAnsi="Arial" w:cs="Arial"/>
          <w:i/>
        </w:rPr>
        <w:t>Rate of return</w:t>
      </w:r>
      <w:r w:rsidR="005B5861" w:rsidRPr="009F29C6">
        <w:rPr>
          <w:rFonts w:ascii="Arial" w:hAnsi="Arial" w:cs="Arial"/>
        </w:rPr>
        <w:t xml:space="preserve"> and </w:t>
      </w:r>
      <w:proofErr w:type="gramStart"/>
      <w:r w:rsidR="005B5861" w:rsidRPr="009F29C6">
        <w:rPr>
          <w:rFonts w:ascii="Arial" w:hAnsi="Arial" w:cs="Arial"/>
          <w:i/>
        </w:rPr>
        <w:t>Shared</w:t>
      </w:r>
      <w:proofErr w:type="gramEnd"/>
      <w:r w:rsidR="005B5861" w:rsidRPr="009F29C6">
        <w:rPr>
          <w:rFonts w:ascii="Arial" w:hAnsi="Arial" w:cs="Arial"/>
          <w:i/>
        </w:rPr>
        <w:t xml:space="preserve"> a</w:t>
      </w:r>
      <w:r w:rsidRPr="009F29C6">
        <w:rPr>
          <w:rFonts w:ascii="Arial" w:hAnsi="Arial" w:cs="Arial"/>
          <w:i/>
        </w:rPr>
        <w:t>sset</w:t>
      </w:r>
      <w:r w:rsidRPr="009F29C6">
        <w:rPr>
          <w:rFonts w:ascii="Arial" w:hAnsi="Arial" w:cs="Arial"/>
        </w:rPr>
        <w:t xml:space="preserve"> guidelines, which set out how we intend to implement the new rules</w:t>
      </w:r>
      <w:r w:rsidR="005B5861" w:rsidRPr="009F29C6">
        <w:rPr>
          <w:rFonts w:ascii="Arial" w:hAnsi="Arial" w:cs="Arial"/>
        </w:rPr>
        <w:t xml:space="preserve"> in relation to these matters</w:t>
      </w:r>
      <w:r w:rsidRPr="009F29C6">
        <w:rPr>
          <w:rFonts w:ascii="Arial" w:hAnsi="Arial" w:cs="Arial"/>
        </w:rPr>
        <w:t xml:space="preserve">.  </w:t>
      </w:r>
    </w:p>
    <w:p w:rsidR="00105219" w:rsidRPr="009F29C6" w:rsidRDefault="00105219" w:rsidP="00105219">
      <w:pPr>
        <w:pStyle w:val="AERbodytext"/>
        <w:numPr>
          <w:ilvl w:val="0"/>
          <w:numId w:val="0"/>
        </w:numPr>
        <w:rPr>
          <w:rFonts w:ascii="Arial" w:hAnsi="Arial" w:cs="Arial"/>
        </w:rPr>
      </w:pPr>
      <w:r w:rsidRPr="009F29C6">
        <w:rPr>
          <w:rFonts w:ascii="Arial" w:hAnsi="Arial" w:cs="Arial"/>
        </w:rPr>
        <w:t xml:space="preserve">In May 2014, we undertook preliminary consultation with various NSPs and industry bodies on the key changes to the PTRM. The feedback received to this consultation was discussed in our </w:t>
      </w:r>
      <w:r w:rsidRPr="009F29C6">
        <w:rPr>
          <w:rStyle w:val="AERtextitalic"/>
          <w:rFonts w:ascii="Arial" w:hAnsi="Arial" w:cs="Arial"/>
        </w:rPr>
        <w:t xml:space="preserve">Explanatory </w:t>
      </w:r>
      <w:r w:rsidR="00E962D1" w:rsidRPr="009F29C6">
        <w:rPr>
          <w:rStyle w:val="AERtextitalic"/>
          <w:rFonts w:ascii="Arial" w:hAnsi="Arial" w:cs="Arial"/>
        </w:rPr>
        <w:t>s</w:t>
      </w:r>
      <w:r w:rsidRPr="009F29C6">
        <w:rPr>
          <w:rStyle w:val="AERtextitalic"/>
          <w:rFonts w:ascii="Arial" w:hAnsi="Arial" w:cs="Arial"/>
        </w:rPr>
        <w:t>tatement,</w:t>
      </w:r>
      <w:r w:rsidRPr="009F29C6">
        <w:rPr>
          <w:rFonts w:ascii="Arial" w:hAnsi="Arial" w:cs="Arial"/>
        </w:rPr>
        <w:t xml:space="preserve"> released in </w:t>
      </w:r>
      <w:r w:rsidR="00214DF1" w:rsidRPr="009F29C6">
        <w:rPr>
          <w:rFonts w:ascii="Arial" w:hAnsi="Arial" w:cs="Arial"/>
        </w:rPr>
        <w:t>October</w:t>
      </w:r>
      <w:r w:rsidRPr="009F29C6">
        <w:rPr>
          <w:rFonts w:ascii="Arial" w:hAnsi="Arial" w:cs="Arial"/>
        </w:rPr>
        <w:t xml:space="preserve"> 2014.</w:t>
      </w:r>
      <w:r w:rsidR="005B5861" w:rsidRPr="009F29C6">
        <w:rPr>
          <w:rFonts w:ascii="Arial" w:hAnsi="Arial" w:cs="Arial"/>
        </w:rPr>
        <w:t xml:space="preserve"> Revised handbooks and proposed PTRMs were also released at th</w:t>
      </w:r>
      <w:r w:rsidR="00D769A4" w:rsidRPr="009F29C6">
        <w:rPr>
          <w:rFonts w:ascii="Arial" w:hAnsi="Arial" w:cs="Arial"/>
        </w:rPr>
        <w:t>at</w:t>
      </w:r>
      <w:r w:rsidR="005B5861" w:rsidRPr="009F29C6">
        <w:rPr>
          <w:rFonts w:ascii="Arial" w:hAnsi="Arial" w:cs="Arial"/>
        </w:rPr>
        <w:t xml:space="preserve"> time.</w:t>
      </w:r>
    </w:p>
    <w:p w:rsidR="00105219" w:rsidRPr="009F29C6" w:rsidRDefault="00105219" w:rsidP="00105219">
      <w:pPr>
        <w:pStyle w:val="AERbodytext"/>
        <w:numPr>
          <w:ilvl w:val="0"/>
          <w:numId w:val="0"/>
        </w:numPr>
        <w:rPr>
          <w:rFonts w:ascii="Arial" w:hAnsi="Arial" w:cs="Arial"/>
        </w:rPr>
      </w:pPr>
      <w:r w:rsidRPr="009F29C6">
        <w:rPr>
          <w:rFonts w:ascii="Arial" w:hAnsi="Arial" w:cs="Arial"/>
        </w:rPr>
        <w:t xml:space="preserve">Seven submissions were received in response to </w:t>
      </w:r>
      <w:r w:rsidR="005B5861" w:rsidRPr="009F29C6">
        <w:rPr>
          <w:rFonts w:ascii="Arial" w:hAnsi="Arial" w:cs="Arial"/>
        </w:rPr>
        <w:t>t</w:t>
      </w:r>
      <w:r w:rsidRPr="009F29C6">
        <w:rPr>
          <w:rFonts w:ascii="Arial" w:hAnsi="Arial" w:cs="Arial"/>
        </w:rPr>
        <w:t xml:space="preserve">he </w:t>
      </w:r>
      <w:r w:rsidRPr="009F29C6">
        <w:rPr>
          <w:rStyle w:val="AERtextitalic"/>
          <w:rFonts w:ascii="Arial" w:hAnsi="Arial" w:cs="Arial"/>
        </w:rPr>
        <w:t xml:space="preserve">Explanatory </w:t>
      </w:r>
      <w:r w:rsidR="00E962D1" w:rsidRPr="009F29C6">
        <w:rPr>
          <w:rStyle w:val="AERtextitalic"/>
          <w:rFonts w:ascii="Arial" w:hAnsi="Arial" w:cs="Arial"/>
        </w:rPr>
        <w:t>s</w:t>
      </w:r>
      <w:r w:rsidRPr="009F29C6">
        <w:rPr>
          <w:rStyle w:val="AERtextitalic"/>
          <w:rFonts w:ascii="Arial" w:hAnsi="Arial" w:cs="Arial"/>
        </w:rPr>
        <w:t>tatement</w:t>
      </w:r>
      <w:r w:rsidRPr="009F29C6">
        <w:rPr>
          <w:rFonts w:ascii="Arial" w:hAnsi="Arial" w:cs="Arial"/>
        </w:rPr>
        <w:t xml:space="preserve"> and revised handbooks and PTRMs.</w:t>
      </w:r>
      <w:r w:rsidR="00444C58">
        <w:rPr>
          <w:rStyle w:val="FootnoteReference"/>
          <w:rFonts w:ascii="Arial" w:hAnsi="Arial" w:cs="Arial"/>
        </w:rPr>
        <w:footnoteReference w:id="32"/>
      </w:r>
      <w:r w:rsidRPr="009F29C6">
        <w:rPr>
          <w:rFonts w:ascii="Arial" w:hAnsi="Arial" w:cs="Arial"/>
        </w:rPr>
        <w:t xml:space="preserve"> </w:t>
      </w:r>
      <w:proofErr w:type="gramStart"/>
      <w:r w:rsidRPr="009F29C6">
        <w:rPr>
          <w:rFonts w:ascii="Arial" w:hAnsi="Arial" w:cs="Arial"/>
        </w:rPr>
        <w:t>Overall,</w:t>
      </w:r>
      <w:proofErr w:type="gramEnd"/>
      <w:r w:rsidRPr="009F29C6">
        <w:rPr>
          <w:rFonts w:ascii="Arial" w:hAnsi="Arial" w:cs="Arial"/>
        </w:rPr>
        <w:t xml:space="preserve"> these submissions were supportive of the key amendments proposed by the AER with only a few specific matters raised. Responses to th</w:t>
      </w:r>
      <w:r w:rsidR="005B5861" w:rsidRPr="009F29C6">
        <w:rPr>
          <w:rFonts w:ascii="Arial" w:hAnsi="Arial" w:cs="Arial"/>
        </w:rPr>
        <w:t xml:space="preserve">ese particular matters are noted below </w:t>
      </w:r>
      <w:r w:rsidRPr="009F29C6">
        <w:rPr>
          <w:rFonts w:ascii="Arial" w:hAnsi="Arial" w:cs="Arial"/>
        </w:rPr>
        <w:t>and discussed in more detail in section 5</w:t>
      </w:r>
      <w:r w:rsidR="005B5861" w:rsidRPr="009F29C6">
        <w:rPr>
          <w:rFonts w:ascii="Arial" w:hAnsi="Arial" w:cs="Arial"/>
        </w:rPr>
        <w:t xml:space="preserve"> (particularly where the AER has not accepted a submission's proposal)</w:t>
      </w:r>
      <w:r w:rsidRPr="009F29C6">
        <w:rPr>
          <w:rFonts w:ascii="Arial" w:hAnsi="Arial" w:cs="Arial"/>
        </w:rPr>
        <w:t>.</w:t>
      </w:r>
    </w:p>
    <w:p w:rsidR="008508F2" w:rsidRPr="009F29C6" w:rsidRDefault="008508F2" w:rsidP="008508F2">
      <w:pPr>
        <w:pStyle w:val="AERbodytext"/>
        <w:rPr>
          <w:rFonts w:ascii="Arial" w:hAnsi="Arial" w:cs="Arial"/>
        </w:rPr>
      </w:pPr>
      <w:r w:rsidRPr="009F29C6">
        <w:rPr>
          <w:rFonts w:ascii="Arial" w:hAnsi="Arial" w:cs="Arial"/>
        </w:rPr>
        <w:t xml:space="preserve">The </w:t>
      </w:r>
      <w:r w:rsidR="00E962D1" w:rsidRPr="009F29C6">
        <w:rPr>
          <w:rFonts w:ascii="Arial" w:hAnsi="Arial" w:cs="Arial"/>
        </w:rPr>
        <w:t xml:space="preserve">final </w:t>
      </w:r>
      <w:r w:rsidRPr="009F29C6">
        <w:rPr>
          <w:rFonts w:ascii="Arial" w:hAnsi="Arial" w:cs="Arial"/>
        </w:rPr>
        <w:t xml:space="preserve">amended PTRMs are at appendices A and B for TNSPs and DNSPs respectively. The </w:t>
      </w:r>
      <w:r w:rsidR="00E962D1" w:rsidRPr="009F29C6">
        <w:rPr>
          <w:rFonts w:ascii="Arial" w:hAnsi="Arial" w:cs="Arial"/>
        </w:rPr>
        <w:t xml:space="preserve">final </w:t>
      </w:r>
      <w:r w:rsidRPr="009F29C6">
        <w:rPr>
          <w:rFonts w:ascii="Arial" w:hAnsi="Arial" w:cs="Arial"/>
        </w:rPr>
        <w:t>amended handbooks are at appendices C and D for TNSPs and DNSPs respectively.</w:t>
      </w:r>
    </w:p>
    <w:p w:rsidR="00105219" w:rsidRPr="009F29C6" w:rsidRDefault="00F05AA7" w:rsidP="00105219">
      <w:pPr>
        <w:pStyle w:val="AERbodytext"/>
        <w:numPr>
          <w:ilvl w:val="0"/>
          <w:numId w:val="0"/>
        </w:numPr>
        <w:rPr>
          <w:rFonts w:ascii="Arial" w:hAnsi="Arial" w:cs="Arial"/>
        </w:rPr>
      </w:pPr>
      <w:r w:rsidRPr="009F29C6">
        <w:rPr>
          <w:rFonts w:ascii="Arial" w:hAnsi="Arial" w:cs="Arial"/>
        </w:rPr>
        <w:t xml:space="preserve">The changes </w:t>
      </w:r>
      <w:r w:rsidR="000547D4" w:rsidRPr="009F29C6">
        <w:rPr>
          <w:rFonts w:ascii="Arial" w:hAnsi="Arial" w:cs="Arial"/>
        </w:rPr>
        <w:t xml:space="preserve">to the PTRMs </w:t>
      </w:r>
      <w:r w:rsidRPr="009F29C6">
        <w:rPr>
          <w:rFonts w:ascii="Arial" w:hAnsi="Arial" w:cs="Arial"/>
        </w:rPr>
        <w:t>are</w:t>
      </w:r>
      <w:r w:rsidR="007621C8" w:rsidRPr="009F29C6">
        <w:rPr>
          <w:rFonts w:ascii="Arial" w:hAnsi="Arial" w:cs="Arial"/>
        </w:rPr>
        <w:t xml:space="preserve"> </w:t>
      </w:r>
      <w:r w:rsidR="005B5861" w:rsidRPr="009F29C6">
        <w:rPr>
          <w:rFonts w:ascii="Arial" w:hAnsi="Arial" w:cs="Arial"/>
        </w:rPr>
        <w:t xml:space="preserve">now </w:t>
      </w:r>
      <w:r w:rsidRPr="009F29C6">
        <w:rPr>
          <w:rFonts w:ascii="Arial" w:hAnsi="Arial" w:cs="Arial"/>
        </w:rPr>
        <w:t xml:space="preserve">discussed </w:t>
      </w:r>
      <w:r w:rsidR="007621C8" w:rsidRPr="009F29C6">
        <w:rPr>
          <w:rFonts w:ascii="Arial" w:hAnsi="Arial" w:cs="Arial"/>
        </w:rPr>
        <w:t xml:space="preserve">in </w:t>
      </w:r>
      <w:r w:rsidR="005B5861" w:rsidRPr="009F29C6">
        <w:rPr>
          <w:rFonts w:ascii="Arial" w:hAnsi="Arial" w:cs="Arial"/>
        </w:rPr>
        <w:t>further detail.</w:t>
      </w:r>
      <w:r w:rsidR="0041100C" w:rsidRPr="009F29C6">
        <w:rPr>
          <w:rFonts w:ascii="Arial" w:hAnsi="Arial" w:cs="Arial"/>
        </w:rPr>
        <w:t xml:space="preserve"> A </w:t>
      </w:r>
      <w:r w:rsidR="00F92F03">
        <w:rPr>
          <w:rFonts w:ascii="Arial" w:hAnsi="Arial" w:cs="Arial"/>
        </w:rPr>
        <w:t>detailed</w:t>
      </w:r>
      <w:r w:rsidR="00F92F03" w:rsidRPr="009F29C6">
        <w:rPr>
          <w:rFonts w:ascii="Arial" w:hAnsi="Arial" w:cs="Arial"/>
        </w:rPr>
        <w:t xml:space="preserve"> </w:t>
      </w:r>
      <w:r w:rsidR="0041100C" w:rsidRPr="009F29C6">
        <w:rPr>
          <w:rFonts w:ascii="Arial" w:hAnsi="Arial" w:cs="Arial"/>
        </w:rPr>
        <w:t>list of changes is contained in appendix E.</w:t>
      </w:r>
    </w:p>
    <w:p w:rsidR="00746797" w:rsidRPr="009F29C6" w:rsidRDefault="00746797" w:rsidP="006C1FE2">
      <w:pPr>
        <w:pStyle w:val="Heading3"/>
        <w:rPr>
          <w:rFonts w:ascii="Arial" w:hAnsi="Arial" w:cs="Arial"/>
        </w:rPr>
      </w:pPr>
      <w:bookmarkStart w:id="26" w:name="_Toc408926605"/>
      <w:r w:rsidRPr="009F29C6">
        <w:rPr>
          <w:rFonts w:ascii="Arial" w:hAnsi="Arial" w:cs="Arial"/>
        </w:rPr>
        <w:lastRenderedPageBreak/>
        <w:t>Return on equity changes</w:t>
      </w:r>
      <w:bookmarkEnd w:id="26"/>
    </w:p>
    <w:p w:rsidR="00745618" w:rsidRPr="009F29C6" w:rsidRDefault="00746797" w:rsidP="00745618">
      <w:pPr>
        <w:rPr>
          <w:rFonts w:ascii="Arial" w:hAnsi="Arial" w:cs="Arial"/>
        </w:rPr>
      </w:pPr>
      <w:r w:rsidRPr="009F29C6">
        <w:rPr>
          <w:rFonts w:ascii="Arial" w:hAnsi="Arial" w:cs="Arial"/>
        </w:rPr>
        <w:t xml:space="preserve">The changes specifically related to the return on equity are relatively </w:t>
      </w:r>
      <w:r w:rsidR="00745618" w:rsidRPr="009F29C6">
        <w:rPr>
          <w:rFonts w:ascii="Arial" w:hAnsi="Arial" w:cs="Arial"/>
        </w:rPr>
        <w:t xml:space="preserve">minor. </w:t>
      </w:r>
      <w:r w:rsidRPr="009F29C6">
        <w:rPr>
          <w:rFonts w:ascii="Arial" w:hAnsi="Arial" w:cs="Arial"/>
        </w:rPr>
        <w:t>The return on equity is no longer calculated</w:t>
      </w:r>
      <w:r w:rsidR="00296807" w:rsidRPr="009F29C6">
        <w:rPr>
          <w:rFonts w:ascii="Arial" w:hAnsi="Arial" w:cs="Arial"/>
        </w:rPr>
        <w:t xml:space="preserve"> solely</w:t>
      </w:r>
      <w:r w:rsidRPr="009F29C6">
        <w:rPr>
          <w:rFonts w:ascii="Arial" w:hAnsi="Arial" w:cs="Arial"/>
        </w:rPr>
        <w:t xml:space="preserve"> from </w:t>
      </w:r>
      <w:r w:rsidR="00844128" w:rsidRPr="009F29C6">
        <w:rPr>
          <w:rFonts w:ascii="Arial" w:hAnsi="Arial" w:cs="Arial"/>
        </w:rPr>
        <w:t>the capital asset pricing model (</w:t>
      </w:r>
      <w:r w:rsidRPr="009F29C6">
        <w:rPr>
          <w:rFonts w:ascii="Arial" w:hAnsi="Arial" w:cs="Arial"/>
        </w:rPr>
        <w:t>CAPM</w:t>
      </w:r>
      <w:r w:rsidR="00844128" w:rsidRPr="009F29C6">
        <w:rPr>
          <w:rFonts w:ascii="Arial" w:hAnsi="Arial" w:cs="Arial"/>
        </w:rPr>
        <w:t>)</w:t>
      </w:r>
      <w:r w:rsidRPr="009F29C6">
        <w:rPr>
          <w:rFonts w:ascii="Arial" w:hAnsi="Arial" w:cs="Arial"/>
        </w:rPr>
        <w:t xml:space="preserve"> components (</w:t>
      </w:r>
      <w:r w:rsidR="00443294" w:rsidRPr="009F29C6">
        <w:rPr>
          <w:rFonts w:ascii="Arial" w:hAnsi="Arial" w:cs="Arial"/>
        </w:rPr>
        <w:t xml:space="preserve">risk free rate, </w:t>
      </w:r>
      <w:r w:rsidRPr="009F29C6">
        <w:rPr>
          <w:rFonts w:ascii="Arial" w:hAnsi="Arial" w:cs="Arial"/>
        </w:rPr>
        <w:t>market risk premium and equity beta), and the</w:t>
      </w:r>
      <w:r w:rsidR="002D39BF" w:rsidRPr="009F29C6">
        <w:rPr>
          <w:rFonts w:ascii="Arial" w:hAnsi="Arial" w:cs="Arial"/>
        </w:rPr>
        <w:t>se</w:t>
      </w:r>
      <w:r w:rsidRPr="009F29C6">
        <w:rPr>
          <w:rFonts w:ascii="Arial" w:hAnsi="Arial" w:cs="Arial"/>
        </w:rPr>
        <w:t xml:space="preserve"> com</w:t>
      </w:r>
      <w:r w:rsidR="00745618" w:rsidRPr="009F29C6">
        <w:rPr>
          <w:rFonts w:ascii="Arial" w:hAnsi="Arial" w:cs="Arial"/>
        </w:rPr>
        <w:t xml:space="preserve">ponent inputs have been removed in the </w:t>
      </w:r>
      <w:r w:rsidR="000642C4" w:rsidRPr="009F29C6">
        <w:rPr>
          <w:rFonts w:ascii="Arial" w:hAnsi="Arial" w:cs="Arial"/>
        </w:rPr>
        <w:t xml:space="preserve">final </w:t>
      </w:r>
      <w:r w:rsidR="00745618" w:rsidRPr="009F29C6">
        <w:rPr>
          <w:rFonts w:ascii="Arial" w:hAnsi="Arial" w:cs="Arial"/>
        </w:rPr>
        <w:t>amended PTRMs.</w:t>
      </w:r>
    </w:p>
    <w:p w:rsidR="00746797" w:rsidRPr="009F29C6" w:rsidRDefault="00746797" w:rsidP="00745618">
      <w:pPr>
        <w:rPr>
          <w:rFonts w:ascii="Arial" w:hAnsi="Arial" w:cs="Arial"/>
        </w:rPr>
      </w:pPr>
      <w:r w:rsidRPr="009F29C6">
        <w:rPr>
          <w:rFonts w:ascii="Arial" w:hAnsi="Arial" w:cs="Arial"/>
        </w:rPr>
        <w:t>Instead, the user directly enters the overall return on equity input. For simplicity, we have only included the ‘final’ return on equity</w:t>
      </w:r>
      <w:r w:rsidR="00E03824" w:rsidRPr="009F29C6">
        <w:rPr>
          <w:rFonts w:ascii="Arial" w:hAnsi="Arial" w:cs="Arial"/>
        </w:rPr>
        <w:t xml:space="preserve"> as</w:t>
      </w:r>
      <w:r w:rsidRPr="009F29C6">
        <w:rPr>
          <w:rFonts w:ascii="Arial" w:hAnsi="Arial" w:cs="Arial"/>
        </w:rPr>
        <w:t xml:space="preserve"> input</w:t>
      </w:r>
      <w:r w:rsidR="00E03824" w:rsidRPr="009F29C6">
        <w:rPr>
          <w:rFonts w:ascii="Arial" w:hAnsi="Arial" w:cs="Arial"/>
        </w:rPr>
        <w:t xml:space="preserve"> to the PTRM</w:t>
      </w:r>
      <w:r w:rsidRPr="009F29C6">
        <w:rPr>
          <w:rFonts w:ascii="Arial" w:hAnsi="Arial" w:cs="Arial"/>
        </w:rPr>
        <w:t>.</w:t>
      </w:r>
      <w:r w:rsidR="00745618" w:rsidRPr="009F29C6">
        <w:rPr>
          <w:rFonts w:ascii="Arial" w:hAnsi="Arial" w:cs="Arial"/>
        </w:rPr>
        <w:t xml:space="preserve"> </w:t>
      </w:r>
      <w:r w:rsidRPr="009F29C6">
        <w:rPr>
          <w:rFonts w:ascii="Arial" w:hAnsi="Arial" w:cs="Arial"/>
        </w:rPr>
        <w:t xml:space="preserve">This value then feeds into the calculation of </w:t>
      </w:r>
      <w:r w:rsidR="00745618" w:rsidRPr="009F29C6">
        <w:rPr>
          <w:rFonts w:ascii="Arial" w:hAnsi="Arial" w:cs="Arial"/>
        </w:rPr>
        <w:t>the overall return on capital</w:t>
      </w:r>
      <w:r w:rsidRPr="009F29C6">
        <w:rPr>
          <w:rFonts w:ascii="Arial" w:hAnsi="Arial" w:cs="Arial"/>
        </w:rPr>
        <w:t xml:space="preserve"> and discount rates.</w:t>
      </w:r>
      <w:r w:rsidR="00745618" w:rsidRPr="009F29C6">
        <w:rPr>
          <w:rStyle w:val="FootnoteReference"/>
          <w:rFonts w:ascii="Arial" w:hAnsi="Arial" w:cs="Arial"/>
        </w:rPr>
        <w:footnoteReference w:id="33"/>
      </w:r>
      <w:r w:rsidR="000547D4" w:rsidRPr="009F29C6">
        <w:rPr>
          <w:rFonts w:ascii="Arial" w:hAnsi="Arial" w:cs="Arial"/>
        </w:rPr>
        <w:t xml:space="preserve"> </w:t>
      </w:r>
    </w:p>
    <w:p w:rsidR="000547D4" w:rsidRPr="009F29C6" w:rsidRDefault="000547D4" w:rsidP="00745618">
      <w:pPr>
        <w:rPr>
          <w:rFonts w:ascii="Arial" w:hAnsi="Arial" w:cs="Arial"/>
        </w:rPr>
      </w:pPr>
      <w:r w:rsidRPr="009F29C6">
        <w:rPr>
          <w:rFonts w:ascii="Arial" w:hAnsi="Arial" w:cs="Arial"/>
        </w:rPr>
        <w:t>No issues were raised by submissions regarding th</w:t>
      </w:r>
      <w:r w:rsidR="00D01A82" w:rsidRPr="009F29C6">
        <w:rPr>
          <w:rFonts w:ascii="Arial" w:hAnsi="Arial" w:cs="Arial"/>
        </w:rPr>
        <w:t>e general approach to this matter.</w:t>
      </w:r>
      <w:r w:rsidR="00BD49B9">
        <w:rPr>
          <w:rStyle w:val="FootnoteReference"/>
          <w:rFonts w:ascii="Arial" w:hAnsi="Arial" w:cs="Arial"/>
        </w:rPr>
        <w:footnoteReference w:id="34"/>
      </w:r>
      <w:r w:rsidR="00D01A82" w:rsidRPr="009F29C6">
        <w:rPr>
          <w:rFonts w:ascii="Arial" w:hAnsi="Arial" w:cs="Arial"/>
        </w:rPr>
        <w:t xml:space="preserve"> However, Networks NSW </w:t>
      </w:r>
      <w:r w:rsidR="00D769A4" w:rsidRPr="009F29C6">
        <w:rPr>
          <w:rFonts w:ascii="Arial" w:hAnsi="Arial" w:cs="Arial"/>
        </w:rPr>
        <w:t>submitted</w:t>
      </w:r>
      <w:r w:rsidR="00D01A82" w:rsidRPr="009F29C6">
        <w:rPr>
          <w:rFonts w:ascii="Arial" w:hAnsi="Arial" w:cs="Arial"/>
        </w:rPr>
        <w:t xml:space="preserve"> we should not </w:t>
      </w:r>
      <w:r w:rsidR="00D769A4" w:rsidRPr="009F29C6">
        <w:rPr>
          <w:rFonts w:ascii="Arial" w:hAnsi="Arial" w:cs="Arial"/>
        </w:rPr>
        <w:t xml:space="preserve">apply the </w:t>
      </w:r>
      <w:r w:rsidR="00D01A82" w:rsidRPr="009F29C6">
        <w:rPr>
          <w:rFonts w:ascii="Arial" w:hAnsi="Arial" w:cs="Arial"/>
        </w:rPr>
        <w:t xml:space="preserve">round </w:t>
      </w:r>
      <w:r w:rsidR="00D769A4" w:rsidRPr="009F29C6">
        <w:rPr>
          <w:rFonts w:ascii="Arial" w:hAnsi="Arial" w:cs="Arial"/>
        </w:rPr>
        <w:t xml:space="preserve">function to </w:t>
      </w:r>
      <w:r w:rsidR="00D01A82" w:rsidRPr="009F29C6">
        <w:rPr>
          <w:rFonts w:ascii="Arial" w:hAnsi="Arial" w:cs="Arial"/>
        </w:rPr>
        <w:t xml:space="preserve">the </w:t>
      </w:r>
      <w:r w:rsidR="00D769A4" w:rsidRPr="009F29C6">
        <w:rPr>
          <w:rFonts w:ascii="Arial" w:hAnsi="Arial" w:cs="Arial"/>
        </w:rPr>
        <w:t>return on equity</w:t>
      </w:r>
      <w:r w:rsidR="00BC6387" w:rsidRPr="009F29C6">
        <w:rPr>
          <w:rFonts w:ascii="Arial" w:hAnsi="Arial" w:cs="Arial"/>
        </w:rPr>
        <w:t xml:space="preserve"> automatically</w:t>
      </w:r>
      <w:r w:rsidR="00D01A82" w:rsidRPr="009F29C6">
        <w:rPr>
          <w:rFonts w:ascii="Arial" w:hAnsi="Arial" w:cs="Arial"/>
        </w:rPr>
        <w:t xml:space="preserve"> within the PTRM</w:t>
      </w:r>
      <w:r w:rsidR="00BC6387" w:rsidRPr="009F29C6">
        <w:rPr>
          <w:rFonts w:ascii="Arial" w:hAnsi="Arial" w:cs="Arial"/>
        </w:rPr>
        <w:t xml:space="preserve"> but rather make such rounding explicit in our decisions</w:t>
      </w:r>
      <w:r w:rsidR="00D01A82" w:rsidRPr="009F29C6">
        <w:rPr>
          <w:rFonts w:ascii="Arial" w:hAnsi="Arial" w:cs="Arial"/>
        </w:rPr>
        <w:t>.</w:t>
      </w:r>
      <w:r w:rsidR="00D01A82" w:rsidRPr="009F29C6">
        <w:rPr>
          <w:rStyle w:val="FootnoteReference"/>
          <w:rFonts w:ascii="Arial" w:hAnsi="Arial" w:cs="Arial"/>
        </w:rPr>
        <w:footnoteReference w:id="35"/>
      </w:r>
      <w:r w:rsidR="00D01A82" w:rsidRPr="009F29C6">
        <w:rPr>
          <w:rFonts w:ascii="Arial" w:hAnsi="Arial" w:cs="Arial"/>
        </w:rPr>
        <w:t xml:space="preserve"> We have accepted this submission and will round </w:t>
      </w:r>
      <w:r w:rsidR="00BC6387" w:rsidRPr="009F29C6">
        <w:rPr>
          <w:rFonts w:ascii="Arial" w:hAnsi="Arial" w:cs="Arial"/>
        </w:rPr>
        <w:t xml:space="preserve">the </w:t>
      </w:r>
      <w:r w:rsidR="00D769A4" w:rsidRPr="009F29C6">
        <w:rPr>
          <w:rFonts w:ascii="Arial" w:hAnsi="Arial" w:cs="Arial"/>
        </w:rPr>
        <w:t xml:space="preserve">return on equity </w:t>
      </w:r>
      <w:r w:rsidR="00BC6387" w:rsidRPr="009F29C6">
        <w:rPr>
          <w:rFonts w:ascii="Arial" w:hAnsi="Arial" w:cs="Arial"/>
        </w:rPr>
        <w:t xml:space="preserve">input </w:t>
      </w:r>
      <w:r w:rsidR="00D01A82" w:rsidRPr="009F29C6">
        <w:rPr>
          <w:rFonts w:ascii="Arial" w:hAnsi="Arial" w:cs="Arial"/>
        </w:rPr>
        <w:t xml:space="preserve">outside the </w:t>
      </w:r>
      <w:r w:rsidR="000642C4" w:rsidRPr="009F29C6">
        <w:rPr>
          <w:rFonts w:ascii="Arial" w:hAnsi="Arial" w:cs="Arial"/>
        </w:rPr>
        <w:t xml:space="preserve">final amended </w:t>
      </w:r>
      <w:r w:rsidR="00D769A4" w:rsidRPr="009F29C6">
        <w:rPr>
          <w:rFonts w:ascii="Arial" w:hAnsi="Arial" w:cs="Arial"/>
        </w:rPr>
        <w:t>PTRM</w:t>
      </w:r>
      <w:r w:rsidR="000642C4" w:rsidRPr="009F29C6">
        <w:rPr>
          <w:rFonts w:ascii="Arial" w:hAnsi="Arial" w:cs="Arial"/>
        </w:rPr>
        <w:t>s</w:t>
      </w:r>
      <w:r w:rsidRPr="009F29C6">
        <w:rPr>
          <w:rFonts w:ascii="Arial" w:hAnsi="Arial" w:cs="Arial"/>
        </w:rPr>
        <w:t>.</w:t>
      </w:r>
      <w:r w:rsidR="007931B5" w:rsidRPr="009F29C6">
        <w:rPr>
          <w:rStyle w:val="FootnoteReference"/>
          <w:rFonts w:ascii="Arial" w:hAnsi="Arial" w:cs="Arial"/>
        </w:rPr>
        <w:footnoteReference w:id="36"/>
      </w:r>
    </w:p>
    <w:p w:rsidR="00746797" w:rsidRPr="009F29C6" w:rsidRDefault="00746797" w:rsidP="006C1FE2">
      <w:pPr>
        <w:pStyle w:val="Heading3"/>
        <w:rPr>
          <w:rFonts w:ascii="Arial" w:hAnsi="Arial" w:cs="Arial"/>
        </w:rPr>
      </w:pPr>
      <w:bookmarkStart w:id="27" w:name="_Toc408926606"/>
      <w:r w:rsidRPr="009F29C6">
        <w:rPr>
          <w:rFonts w:ascii="Arial" w:hAnsi="Arial" w:cs="Arial"/>
        </w:rPr>
        <w:t>Return on debt changes</w:t>
      </w:r>
      <w:bookmarkEnd w:id="27"/>
    </w:p>
    <w:p w:rsidR="00AC677B" w:rsidRPr="009F29C6" w:rsidRDefault="00746797" w:rsidP="00F05AA7">
      <w:pPr>
        <w:rPr>
          <w:rFonts w:ascii="Arial" w:hAnsi="Arial" w:cs="Arial"/>
        </w:rPr>
      </w:pPr>
      <w:r w:rsidRPr="009F29C6">
        <w:rPr>
          <w:rFonts w:ascii="Arial" w:hAnsi="Arial" w:cs="Arial"/>
        </w:rPr>
        <w:t xml:space="preserve">The changes related to the return on </w:t>
      </w:r>
      <w:r w:rsidR="00F05AA7" w:rsidRPr="009F29C6">
        <w:rPr>
          <w:rFonts w:ascii="Arial" w:hAnsi="Arial" w:cs="Arial"/>
        </w:rPr>
        <w:t xml:space="preserve">debt are more substantial. </w:t>
      </w:r>
      <w:r w:rsidRPr="009F29C6">
        <w:rPr>
          <w:rFonts w:ascii="Arial" w:hAnsi="Arial" w:cs="Arial"/>
        </w:rPr>
        <w:t xml:space="preserve">The user no longer enters </w:t>
      </w:r>
      <w:r w:rsidR="00A63E76" w:rsidRPr="009F29C6">
        <w:rPr>
          <w:rFonts w:ascii="Arial" w:hAnsi="Arial" w:cs="Arial"/>
        </w:rPr>
        <w:t>the</w:t>
      </w:r>
      <w:r w:rsidRPr="009F29C6">
        <w:rPr>
          <w:rFonts w:ascii="Arial" w:hAnsi="Arial" w:cs="Arial"/>
        </w:rPr>
        <w:t xml:space="preserve"> debt risk premium input (which </w:t>
      </w:r>
      <w:r w:rsidR="00C9144A" w:rsidRPr="009F29C6">
        <w:rPr>
          <w:rFonts w:ascii="Arial" w:hAnsi="Arial" w:cs="Arial"/>
        </w:rPr>
        <w:t>wa</w:t>
      </w:r>
      <w:r w:rsidRPr="009F29C6">
        <w:rPr>
          <w:rFonts w:ascii="Arial" w:hAnsi="Arial" w:cs="Arial"/>
        </w:rPr>
        <w:t>s then presumed constant across the regulatory control period)</w:t>
      </w:r>
      <w:r w:rsidR="00F05AA7" w:rsidRPr="009F29C6">
        <w:rPr>
          <w:rFonts w:ascii="Arial" w:hAnsi="Arial" w:cs="Arial"/>
        </w:rPr>
        <w:t xml:space="preserve"> and </w:t>
      </w:r>
      <w:r w:rsidR="00A63E76" w:rsidRPr="009F29C6">
        <w:rPr>
          <w:rFonts w:ascii="Arial" w:hAnsi="Arial" w:cs="Arial"/>
        </w:rPr>
        <w:t xml:space="preserve">the </w:t>
      </w:r>
      <w:r w:rsidR="00F05AA7" w:rsidRPr="009F29C6">
        <w:rPr>
          <w:rFonts w:ascii="Arial" w:hAnsi="Arial" w:cs="Arial"/>
        </w:rPr>
        <w:t>risk free rate</w:t>
      </w:r>
      <w:r w:rsidR="00A63E76" w:rsidRPr="009F29C6">
        <w:rPr>
          <w:rFonts w:ascii="Arial" w:hAnsi="Arial" w:cs="Arial"/>
        </w:rPr>
        <w:t xml:space="preserve"> input</w:t>
      </w:r>
      <w:r w:rsidRPr="009F29C6">
        <w:rPr>
          <w:rFonts w:ascii="Arial" w:hAnsi="Arial" w:cs="Arial"/>
        </w:rPr>
        <w:t>.</w:t>
      </w:r>
    </w:p>
    <w:p w:rsidR="00AE27A2" w:rsidRPr="009F29C6" w:rsidRDefault="00746797" w:rsidP="00AE27A2">
      <w:pPr>
        <w:pStyle w:val="AERbulletlistfirststyle"/>
        <w:numPr>
          <w:ilvl w:val="0"/>
          <w:numId w:val="0"/>
        </w:numPr>
        <w:rPr>
          <w:rFonts w:ascii="Arial" w:hAnsi="Arial" w:cs="Arial"/>
        </w:rPr>
      </w:pPr>
      <w:r w:rsidRPr="009F29C6">
        <w:rPr>
          <w:rFonts w:ascii="Arial" w:hAnsi="Arial" w:cs="Arial"/>
        </w:rPr>
        <w:t>Instead, the key input is the estimate of the trailing average portfolio return on debt for each year of the regulatory control period.</w:t>
      </w:r>
      <w:r w:rsidR="00B06E6B" w:rsidRPr="009F29C6">
        <w:rPr>
          <w:rStyle w:val="FootnoteReference"/>
          <w:rFonts w:ascii="Arial" w:hAnsi="Arial" w:cs="Arial"/>
        </w:rPr>
        <w:footnoteReference w:id="37"/>
      </w:r>
      <w:r w:rsidRPr="009F29C6">
        <w:rPr>
          <w:rFonts w:ascii="Arial" w:hAnsi="Arial" w:cs="Arial"/>
        </w:rPr>
        <w:t xml:space="preserve"> The different </w:t>
      </w:r>
      <w:r w:rsidR="00443294" w:rsidRPr="009F29C6">
        <w:rPr>
          <w:rFonts w:ascii="Arial" w:hAnsi="Arial" w:cs="Arial"/>
        </w:rPr>
        <w:t>annual</w:t>
      </w:r>
      <w:r w:rsidRPr="009F29C6">
        <w:rPr>
          <w:rFonts w:ascii="Arial" w:hAnsi="Arial" w:cs="Arial"/>
        </w:rPr>
        <w:t xml:space="preserve"> values for the return on debt will then flow through to all linked building block revenue components. </w:t>
      </w:r>
    </w:p>
    <w:p w:rsidR="00745618" w:rsidRPr="009F29C6" w:rsidRDefault="00746797" w:rsidP="00AE27A2">
      <w:pPr>
        <w:pStyle w:val="AERbulletlistfirststyle"/>
        <w:numPr>
          <w:ilvl w:val="0"/>
          <w:numId w:val="0"/>
        </w:numPr>
        <w:rPr>
          <w:rFonts w:ascii="Arial" w:hAnsi="Arial" w:cs="Arial"/>
        </w:rPr>
      </w:pPr>
      <w:r w:rsidRPr="009F29C6">
        <w:rPr>
          <w:rFonts w:ascii="Arial" w:hAnsi="Arial" w:cs="Arial"/>
        </w:rPr>
        <w:t xml:space="preserve">The user is also </w:t>
      </w:r>
      <w:r w:rsidR="00A63E76" w:rsidRPr="009F29C6">
        <w:rPr>
          <w:rFonts w:ascii="Arial" w:hAnsi="Arial" w:cs="Arial"/>
        </w:rPr>
        <w:t>required</w:t>
      </w:r>
      <w:r w:rsidRPr="009F29C6">
        <w:rPr>
          <w:rFonts w:ascii="Arial" w:hAnsi="Arial" w:cs="Arial"/>
        </w:rPr>
        <w:t xml:space="preserve"> to enter the update year when updating the annual return on debt within the regulatory control period. This does not change the underlying calculation of smoothed or unsmoothed revenues</w:t>
      </w:r>
      <w:r w:rsidR="00AC02B5" w:rsidRPr="009F29C6">
        <w:rPr>
          <w:rFonts w:ascii="Arial" w:hAnsi="Arial" w:cs="Arial"/>
        </w:rPr>
        <w:t>,</w:t>
      </w:r>
      <w:r w:rsidRPr="009F29C6">
        <w:rPr>
          <w:rFonts w:ascii="Arial" w:hAnsi="Arial" w:cs="Arial"/>
        </w:rPr>
        <w:t xml:space="preserve"> but it does change the presentation of context-sensitive labels and comments that should guide the user.</w:t>
      </w:r>
      <w:r w:rsidR="00745618" w:rsidRPr="009F29C6">
        <w:rPr>
          <w:rFonts w:ascii="Arial" w:hAnsi="Arial" w:cs="Arial"/>
        </w:rPr>
        <w:t xml:space="preserve"> </w:t>
      </w:r>
    </w:p>
    <w:p w:rsidR="000547D4" w:rsidRPr="009F29C6" w:rsidRDefault="000547D4" w:rsidP="000547D4">
      <w:pPr>
        <w:rPr>
          <w:rFonts w:ascii="Arial" w:hAnsi="Arial" w:cs="Arial"/>
        </w:rPr>
      </w:pPr>
      <w:r w:rsidRPr="009F29C6">
        <w:rPr>
          <w:rFonts w:ascii="Arial" w:hAnsi="Arial" w:cs="Arial"/>
        </w:rPr>
        <w:t>No issues were raised by submissions regarding this change</w:t>
      </w:r>
      <w:r w:rsidR="000642C4" w:rsidRPr="009F29C6">
        <w:rPr>
          <w:rFonts w:ascii="Arial" w:hAnsi="Arial" w:cs="Arial"/>
        </w:rPr>
        <w:t xml:space="preserve">, and </w:t>
      </w:r>
      <w:r w:rsidR="00B66765">
        <w:rPr>
          <w:rFonts w:ascii="Arial" w:hAnsi="Arial" w:cs="Arial"/>
        </w:rPr>
        <w:t xml:space="preserve">Networks NSW </w:t>
      </w:r>
      <w:r w:rsidR="000642C4" w:rsidRPr="009F29C6">
        <w:rPr>
          <w:rFonts w:ascii="Arial" w:hAnsi="Arial" w:cs="Arial"/>
        </w:rPr>
        <w:t>explicitly endorsed the AER approach.</w:t>
      </w:r>
      <w:r w:rsidR="000642C4" w:rsidRPr="009F29C6">
        <w:rPr>
          <w:rStyle w:val="FootnoteReference"/>
          <w:rFonts w:ascii="Arial" w:hAnsi="Arial" w:cs="Arial"/>
        </w:rPr>
        <w:footnoteReference w:id="38"/>
      </w:r>
    </w:p>
    <w:p w:rsidR="00C351C0" w:rsidRPr="009F29C6" w:rsidRDefault="00C351C0" w:rsidP="00C351C0">
      <w:pPr>
        <w:pStyle w:val="Heading3"/>
        <w:numPr>
          <w:ilvl w:val="3"/>
          <w:numId w:val="8"/>
        </w:numPr>
        <w:rPr>
          <w:rFonts w:ascii="Arial" w:hAnsi="Arial" w:cs="Arial"/>
        </w:rPr>
      </w:pPr>
      <w:bookmarkStart w:id="28" w:name="_Toc408926607"/>
      <w:r w:rsidRPr="009F29C6">
        <w:rPr>
          <w:rFonts w:ascii="Arial" w:hAnsi="Arial" w:cs="Arial"/>
        </w:rPr>
        <w:t>Future years' return on debt</w:t>
      </w:r>
      <w:bookmarkEnd w:id="28"/>
    </w:p>
    <w:p w:rsidR="00C351C0" w:rsidRPr="009F29C6" w:rsidRDefault="00C351C0" w:rsidP="00C351C0">
      <w:pPr>
        <w:pStyle w:val="AERbodytext"/>
        <w:numPr>
          <w:ilvl w:val="0"/>
          <w:numId w:val="9"/>
        </w:numPr>
        <w:rPr>
          <w:rFonts w:ascii="Arial" w:hAnsi="Arial" w:cs="Arial"/>
        </w:rPr>
      </w:pPr>
      <w:r w:rsidRPr="009F29C6">
        <w:rPr>
          <w:rFonts w:ascii="Arial" w:hAnsi="Arial" w:cs="Arial"/>
        </w:rPr>
        <w:t xml:space="preserve">The return on debt when updated for a particular year will also </w:t>
      </w:r>
      <w:r w:rsidR="00A63E76" w:rsidRPr="009F29C6">
        <w:rPr>
          <w:rFonts w:ascii="Arial" w:hAnsi="Arial" w:cs="Arial"/>
        </w:rPr>
        <w:t>apply</w:t>
      </w:r>
      <w:r w:rsidRPr="009F29C6">
        <w:rPr>
          <w:rFonts w:ascii="Arial" w:hAnsi="Arial" w:cs="Arial"/>
        </w:rPr>
        <w:t xml:space="preserve"> for all remaining years of the regulatory control period. This was a significant issue raised in the initial consultation and was a question put to stakeholders in the </w:t>
      </w:r>
      <w:r w:rsidRPr="009F29C6">
        <w:rPr>
          <w:rFonts w:ascii="Arial" w:hAnsi="Arial" w:cs="Arial"/>
          <w:i/>
        </w:rPr>
        <w:t>Explanatory statement</w:t>
      </w:r>
      <w:r w:rsidRPr="009F29C6">
        <w:rPr>
          <w:rFonts w:ascii="Arial" w:hAnsi="Arial" w:cs="Arial"/>
        </w:rPr>
        <w:t xml:space="preserve"> of the proposed amendments to the PTRMs. Th</w:t>
      </w:r>
      <w:r w:rsidR="00A63E76" w:rsidRPr="009F29C6">
        <w:rPr>
          <w:rFonts w:ascii="Arial" w:hAnsi="Arial" w:cs="Arial"/>
        </w:rPr>
        <w:t>e</w:t>
      </w:r>
      <w:r w:rsidRPr="009F29C6">
        <w:rPr>
          <w:rFonts w:ascii="Arial" w:hAnsi="Arial" w:cs="Arial"/>
        </w:rPr>
        <w:t xml:space="preserve"> </w:t>
      </w:r>
      <w:r w:rsidRPr="009F29C6">
        <w:rPr>
          <w:rStyle w:val="AERtextitalic"/>
          <w:rFonts w:ascii="Arial" w:hAnsi="Arial" w:cs="Arial"/>
        </w:rPr>
        <w:t>Explanatory statement</w:t>
      </w:r>
      <w:r w:rsidRPr="009F29C6">
        <w:rPr>
          <w:rFonts w:ascii="Arial" w:hAnsi="Arial" w:cs="Arial"/>
        </w:rPr>
        <w:t xml:space="preserve"> also included examples to investigate the impact of the proposed approach.</w:t>
      </w:r>
    </w:p>
    <w:p w:rsidR="00C351C0" w:rsidRPr="009F29C6" w:rsidRDefault="00C351C0" w:rsidP="000547D4">
      <w:pPr>
        <w:pStyle w:val="AERbodytext"/>
        <w:numPr>
          <w:ilvl w:val="0"/>
          <w:numId w:val="9"/>
        </w:numPr>
        <w:rPr>
          <w:rFonts w:ascii="Arial" w:hAnsi="Arial" w:cs="Arial"/>
        </w:rPr>
      </w:pPr>
      <w:r w:rsidRPr="009F29C6">
        <w:rPr>
          <w:rFonts w:ascii="Arial" w:hAnsi="Arial" w:cs="Arial"/>
        </w:rPr>
        <w:lastRenderedPageBreak/>
        <w:t xml:space="preserve">No submissions raised </w:t>
      </w:r>
      <w:r w:rsidR="00A63E76" w:rsidRPr="009F29C6">
        <w:rPr>
          <w:rFonts w:ascii="Arial" w:hAnsi="Arial" w:cs="Arial"/>
        </w:rPr>
        <w:t>issue with</w:t>
      </w:r>
      <w:r w:rsidRPr="009F29C6">
        <w:rPr>
          <w:rFonts w:ascii="Arial" w:hAnsi="Arial" w:cs="Arial"/>
        </w:rPr>
        <w:t xml:space="preserve"> the AER's proposed approach. Energex </w:t>
      </w:r>
      <w:r w:rsidR="00A63E76" w:rsidRPr="009F29C6">
        <w:rPr>
          <w:rFonts w:ascii="Arial" w:hAnsi="Arial" w:cs="Arial"/>
        </w:rPr>
        <w:t xml:space="preserve">specifically </w:t>
      </w:r>
      <w:r w:rsidRPr="009F29C6">
        <w:rPr>
          <w:rFonts w:ascii="Arial" w:hAnsi="Arial" w:cs="Arial"/>
        </w:rPr>
        <w:t>endorsed the AER's approach to updating the return on debt for all remaining years of the regulatory control period.</w:t>
      </w:r>
      <w:r w:rsidR="00844128" w:rsidRPr="009F29C6">
        <w:rPr>
          <w:rStyle w:val="FootnoteReference"/>
          <w:rFonts w:ascii="Arial" w:hAnsi="Arial" w:cs="Arial"/>
        </w:rPr>
        <w:footnoteReference w:id="39"/>
      </w:r>
    </w:p>
    <w:p w:rsidR="00746797" w:rsidRPr="009F29C6" w:rsidRDefault="00844128" w:rsidP="00176C19">
      <w:pPr>
        <w:pStyle w:val="Heading3"/>
        <w:rPr>
          <w:rFonts w:ascii="Arial" w:hAnsi="Arial" w:cs="Arial"/>
        </w:rPr>
      </w:pPr>
      <w:bookmarkStart w:id="29" w:name="_Toc408926608"/>
      <w:r w:rsidRPr="009F29C6">
        <w:rPr>
          <w:rFonts w:ascii="Arial" w:hAnsi="Arial" w:cs="Arial"/>
        </w:rPr>
        <w:t>Rate of r</w:t>
      </w:r>
      <w:r w:rsidR="00746797" w:rsidRPr="009F29C6">
        <w:rPr>
          <w:rFonts w:ascii="Arial" w:hAnsi="Arial" w:cs="Arial"/>
        </w:rPr>
        <w:t>eturn on capital changes</w:t>
      </w:r>
      <w:bookmarkEnd w:id="29"/>
    </w:p>
    <w:p w:rsidR="00746797" w:rsidRPr="009F29C6" w:rsidRDefault="00F05AA7" w:rsidP="00746797">
      <w:pPr>
        <w:rPr>
          <w:rFonts w:ascii="Arial" w:hAnsi="Arial" w:cs="Arial"/>
        </w:rPr>
      </w:pPr>
      <w:r w:rsidRPr="009F29C6">
        <w:rPr>
          <w:rFonts w:ascii="Arial" w:hAnsi="Arial" w:cs="Arial"/>
        </w:rPr>
        <w:t xml:space="preserve">Given the </w:t>
      </w:r>
      <w:r w:rsidR="0000147B" w:rsidRPr="009F29C6">
        <w:rPr>
          <w:rFonts w:ascii="Arial" w:hAnsi="Arial" w:cs="Arial"/>
        </w:rPr>
        <w:t>return on debt changes</w:t>
      </w:r>
      <w:r w:rsidRPr="009F29C6">
        <w:rPr>
          <w:rFonts w:ascii="Arial" w:hAnsi="Arial" w:cs="Arial"/>
        </w:rPr>
        <w:t>, t</w:t>
      </w:r>
      <w:r w:rsidR="00746797" w:rsidRPr="009F29C6">
        <w:rPr>
          <w:rFonts w:ascii="Arial" w:hAnsi="Arial" w:cs="Arial"/>
        </w:rPr>
        <w:t xml:space="preserve">he </w:t>
      </w:r>
      <w:r w:rsidR="00844128" w:rsidRPr="009F29C6">
        <w:rPr>
          <w:rFonts w:ascii="Arial" w:hAnsi="Arial" w:cs="Arial"/>
        </w:rPr>
        <w:t xml:space="preserve">rate of </w:t>
      </w:r>
      <w:r w:rsidR="00746797" w:rsidRPr="009F29C6">
        <w:rPr>
          <w:rFonts w:ascii="Arial" w:hAnsi="Arial" w:cs="Arial"/>
        </w:rPr>
        <w:t>return on capital can now vary from year to year</w:t>
      </w:r>
      <w:r w:rsidR="00844128" w:rsidRPr="009F29C6">
        <w:rPr>
          <w:rFonts w:ascii="Arial" w:hAnsi="Arial" w:cs="Arial"/>
        </w:rPr>
        <w:t xml:space="preserve"> during the regulatory control period</w:t>
      </w:r>
      <w:r w:rsidR="007621C8" w:rsidRPr="009F29C6">
        <w:rPr>
          <w:rFonts w:ascii="Arial" w:hAnsi="Arial" w:cs="Arial"/>
        </w:rPr>
        <w:t xml:space="preserve">. This gives rise to </w:t>
      </w:r>
      <w:r w:rsidR="0000147B" w:rsidRPr="009F29C6">
        <w:rPr>
          <w:rFonts w:ascii="Arial" w:hAnsi="Arial" w:cs="Arial"/>
        </w:rPr>
        <w:t xml:space="preserve">further </w:t>
      </w:r>
      <w:r w:rsidR="007621C8" w:rsidRPr="009F29C6">
        <w:rPr>
          <w:rFonts w:ascii="Arial" w:hAnsi="Arial" w:cs="Arial"/>
        </w:rPr>
        <w:t>consequential changes to the PTRM</w:t>
      </w:r>
      <w:r w:rsidR="00746797" w:rsidRPr="009F29C6">
        <w:rPr>
          <w:rFonts w:ascii="Arial" w:hAnsi="Arial" w:cs="Arial"/>
        </w:rPr>
        <w:t xml:space="preserve">. There are two ways in which the </w:t>
      </w:r>
      <w:r w:rsidR="00844128" w:rsidRPr="009F29C6">
        <w:rPr>
          <w:rFonts w:ascii="Arial" w:hAnsi="Arial" w:cs="Arial"/>
        </w:rPr>
        <w:t xml:space="preserve">rate of </w:t>
      </w:r>
      <w:r w:rsidR="00746797" w:rsidRPr="009F29C6">
        <w:rPr>
          <w:rFonts w:ascii="Arial" w:hAnsi="Arial" w:cs="Arial"/>
        </w:rPr>
        <w:t>return on capital affects the outputs of the PTRM:</w:t>
      </w:r>
    </w:p>
    <w:p w:rsidR="00746797" w:rsidRPr="009F29C6" w:rsidRDefault="00746797" w:rsidP="00F05AA7">
      <w:pPr>
        <w:pStyle w:val="AERnumberedlistfirststyle"/>
        <w:rPr>
          <w:rFonts w:ascii="Arial" w:hAnsi="Arial" w:cs="Arial"/>
        </w:rPr>
      </w:pPr>
      <w:r w:rsidRPr="009F29C6">
        <w:rPr>
          <w:rFonts w:ascii="Arial" w:hAnsi="Arial" w:cs="Arial"/>
        </w:rPr>
        <w:t xml:space="preserve">The </w:t>
      </w:r>
      <w:r w:rsidR="00844128" w:rsidRPr="009F29C6">
        <w:rPr>
          <w:rFonts w:ascii="Arial" w:hAnsi="Arial" w:cs="Arial"/>
        </w:rPr>
        <w:t xml:space="preserve">rate of </w:t>
      </w:r>
      <w:r w:rsidRPr="009F29C6">
        <w:rPr>
          <w:rFonts w:ascii="Arial" w:hAnsi="Arial" w:cs="Arial"/>
        </w:rPr>
        <w:t xml:space="preserve">return is an input into several of the revenue building blocks. </w:t>
      </w:r>
    </w:p>
    <w:p w:rsidR="00746797" w:rsidRPr="009F29C6" w:rsidRDefault="00746797" w:rsidP="00F05AA7">
      <w:pPr>
        <w:pStyle w:val="AERnumberedlistfirststyle"/>
        <w:rPr>
          <w:rFonts w:ascii="Arial" w:hAnsi="Arial" w:cs="Arial"/>
        </w:rPr>
      </w:pPr>
      <w:r w:rsidRPr="009F29C6">
        <w:rPr>
          <w:rFonts w:ascii="Arial" w:hAnsi="Arial" w:cs="Arial"/>
        </w:rPr>
        <w:t xml:space="preserve">The </w:t>
      </w:r>
      <w:r w:rsidR="00844128" w:rsidRPr="009F29C6">
        <w:rPr>
          <w:rFonts w:ascii="Arial" w:hAnsi="Arial" w:cs="Arial"/>
        </w:rPr>
        <w:t xml:space="preserve">rate of </w:t>
      </w:r>
      <w:r w:rsidRPr="009F29C6">
        <w:rPr>
          <w:rFonts w:ascii="Arial" w:hAnsi="Arial" w:cs="Arial"/>
        </w:rPr>
        <w:t xml:space="preserve">return is the discount rate used in the NPV calculation to equalise smoothed and unsmoothed revenue profiles. </w:t>
      </w:r>
    </w:p>
    <w:p w:rsidR="00746797" w:rsidRPr="009F29C6" w:rsidRDefault="00746797" w:rsidP="00746797">
      <w:pPr>
        <w:rPr>
          <w:rFonts w:ascii="Arial" w:hAnsi="Arial" w:cs="Arial"/>
        </w:rPr>
      </w:pPr>
      <w:r w:rsidRPr="009F29C6">
        <w:rPr>
          <w:rFonts w:ascii="Arial" w:hAnsi="Arial" w:cs="Arial"/>
        </w:rPr>
        <w:t>The major changes to the building block revenue calculations are as follows:</w:t>
      </w:r>
    </w:p>
    <w:p w:rsidR="00AC677B" w:rsidRPr="009F29C6" w:rsidRDefault="00746797" w:rsidP="00DC1EA7">
      <w:pPr>
        <w:pStyle w:val="AERbulletlistfirststyle"/>
        <w:tabs>
          <w:tab w:val="clear" w:pos="357"/>
          <w:tab w:val="left" w:pos="426"/>
        </w:tabs>
        <w:ind w:left="426" w:hanging="426"/>
        <w:rPr>
          <w:rFonts w:ascii="Arial" w:hAnsi="Arial" w:cs="Arial"/>
        </w:rPr>
      </w:pPr>
      <w:r w:rsidRPr="009F29C6">
        <w:rPr>
          <w:rFonts w:ascii="Arial" w:hAnsi="Arial" w:cs="Arial"/>
        </w:rPr>
        <w:t>New var</w:t>
      </w:r>
      <w:r w:rsidR="00296807" w:rsidRPr="009F29C6">
        <w:rPr>
          <w:rFonts w:ascii="Arial" w:hAnsi="Arial" w:cs="Arial"/>
        </w:rPr>
        <w:t>iables are defined to allow the</w:t>
      </w:r>
      <w:r w:rsidRPr="009F29C6">
        <w:rPr>
          <w:rFonts w:ascii="Arial" w:hAnsi="Arial" w:cs="Arial"/>
        </w:rPr>
        <w:t xml:space="preserve"> PTRM to include different real vanilla </w:t>
      </w:r>
      <w:r w:rsidR="00844128" w:rsidRPr="009F29C6">
        <w:rPr>
          <w:rFonts w:ascii="Arial" w:hAnsi="Arial" w:cs="Arial"/>
        </w:rPr>
        <w:t>weighted average cost of capital (</w:t>
      </w:r>
      <w:r w:rsidRPr="009F29C6">
        <w:rPr>
          <w:rFonts w:ascii="Arial" w:hAnsi="Arial" w:cs="Arial"/>
        </w:rPr>
        <w:t>WACC</w:t>
      </w:r>
      <w:r w:rsidR="00844128" w:rsidRPr="009F29C6">
        <w:rPr>
          <w:rFonts w:ascii="Arial" w:hAnsi="Arial" w:cs="Arial"/>
        </w:rPr>
        <w:t>)</w:t>
      </w:r>
      <w:r w:rsidRPr="009F29C6">
        <w:rPr>
          <w:rFonts w:ascii="Arial" w:hAnsi="Arial" w:cs="Arial"/>
        </w:rPr>
        <w:t xml:space="preserve"> values for each year of the regulatory control period, which previously </w:t>
      </w:r>
      <w:r w:rsidR="00844128" w:rsidRPr="009F29C6">
        <w:rPr>
          <w:rFonts w:ascii="Arial" w:hAnsi="Arial" w:cs="Arial"/>
        </w:rPr>
        <w:t>only</w:t>
      </w:r>
      <w:r w:rsidRPr="009F29C6">
        <w:rPr>
          <w:rFonts w:ascii="Arial" w:hAnsi="Arial" w:cs="Arial"/>
        </w:rPr>
        <w:t xml:space="preserve"> required</w:t>
      </w:r>
      <w:r w:rsidR="00844128" w:rsidRPr="009F29C6">
        <w:rPr>
          <w:rFonts w:ascii="Arial" w:hAnsi="Arial" w:cs="Arial"/>
        </w:rPr>
        <w:t xml:space="preserve"> one real vanilla WACC value to be defined</w:t>
      </w:r>
      <w:r w:rsidRPr="009F29C6">
        <w:rPr>
          <w:rFonts w:ascii="Arial" w:hAnsi="Arial" w:cs="Arial"/>
        </w:rPr>
        <w:t>. New defined variables ‘rvanilla01’, ‘rvanilla02’ to ‘rvanilla10’ replace the previously single defined ‘</w:t>
      </w:r>
      <w:proofErr w:type="spellStart"/>
      <w:r w:rsidRPr="009F29C6">
        <w:rPr>
          <w:rFonts w:ascii="Arial" w:hAnsi="Arial" w:cs="Arial"/>
        </w:rPr>
        <w:t>rvanilla</w:t>
      </w:r>
      <w:proofErr w:type="spellEnd"/>
      <w:r w:rsidRPr="009F29C6">
        <w:rPr>
          <w:rFonts w:ascii="Arial" w:hAnsi="Arial" w:cs="Arial"/>
        </w:rPr>
        <w:t>’ variable used for the half WACC adjustment.</w:t>
      </w:r>
      <w:r w:rsidRPr="009F29C6">
        <w:rPr>
          <w:rStyle w:val="FootnoteReference"/>
          <w:rFonts w:ascii="Arial" w:hAnsi="Arial" w:cs="Arial"/>
        </w:rPr>
        <w:footnoteReference w:id="40"/>
      </w:r>
      <w:r w:rsidRPr="009F29C6">
        <w:rPr>
          <w:rFonts w:ascii="Arial" w:hAnsi="Arial" w:cs="Arial"/>
        </w:rPr>
        <w:t xml:space="preserve"> </w:t>
      </w:r>
    </w:p>
    <w:p w:rsidR="00AC677B" w:rsidRPr="009F29C6" w:rsidRDefault="00746797" w:rsidP="00DC1EA7">
      <w:pPr>
        <w:pStyle w:val="AERbulletlistfirststyle"/>
        <w:tabs>
          <w:tab w:val="clear" w:pos="357"/>
          <w:tab w:val="left" w:pos="426"/>
        </w:tabs>
        <w:ind w:left="426" w:hanging="426"/>
        <w:rPr>
          <w:rFonts w:ascii="Arial" w:hAnsi="Arial" w:cs="Arial"/>
        </w:rPr>
      </w:pPr>
      <w:r w:rsidRPr="009F29C6">
        <w:rPr>
          <w:rFonts w:ascii="Arial" w:hAnsi="Arial" w:cs="Arial"/>
        </w:rPr>
        <w:t xml:space="preserve">The </w:t>
      </w:r>
      <w:r w:rsidR="00E03824" w:rsidRPr="009F29C6">
        <w:rPr>
          <w:rFonts w:ascii="Arial" w:hAnsi="Arial" w:cs="Arial"/>
        </w:rPr>
        <w:t xml:space="preserve">allowed </w:t>
      </w:r>
      <w:r w:rsidR="00844128" w:rsidRPr="009F29C6">
        <w:rPr>
          <w:rFonts w:ascii="Arial" w:hAnsi="Arial" w:cs="Arial"/>
        </w:rPr>
        <w:t xml:space="preserve">rate of </w:t>
      </w:r>
      <w:r w:rsidRPr="009F29C6">
        <w:rPr>
          <w:rFonts w:ascii="Arial" w:hAnsi="Arial" w:cs="Arial"/>
        </w:rPr>
        <w:t xml:space="preserve">return on debt component of the </w:t>
      </w:r>
      <w:r w:rsidR="00844128" w:rsidRPr="009F29C6">
        <w:rPr>
          <w:rFonts w:ascii="Arial" w:hAnsi="Arial" w:cs="Arial"/>
        </w:rPr>
        <w:t xml:space="preserve">rate of </w:t>
      </w:r>
      <w:r w:rsidRPr="009F29C6">
        <w:rPr>
          <w:rFonts w:ascii="Arial" w:hAnsi="Arial" w:cs="Arial"/>
        </w:rPr>
        <w:t>return calculation for each year now refers to the prevailing trailing average portfolio return on debt for that year.</w:t>
      </w:r>
      <w:r w:rsidR="00FD66AA" w:rsidRPr="009F29C6">
        <w:rPr>
          <w:rFonts w:ascii="Arial" w:hAnsi="Arial" w:cs="Arial"/>
        </w:rPr>
        <w:t xml:space="preserve"> T</w:t>
      </w:r>
      <w:r w:rsidR="00C45812" w:rsidRPr="009F29C6">
        <w:rPr>
          <w:rFonts w:ascii="Arial" w:hAnsi="Arial" w:cs="Arial"/>
        </w:rPr>
        <w:t xml:space="preserve">he trailing average return on debt calculated at the most recent annual update is </w:t>
      </w:r>
      <w:r w:rsidR="00074339" w:rsidRPr="009F29C6">
        <w:rPr>
          <w:rFonts w:ascii="Arial" w:hAnsi="Arial" w:cs="Arial"/>
        </w:rPr>
        <w:t xml:space="preserve">assumed to apply for the remainder of the regulatory control period. </w:t>
      </w:r>
    </w:p>
    <w:p w:rsidR="00746797" w:rsidRPr="009F29C6" w:rsidRDefault="00176C19" w:rsidP="00DC1EA7">
      <w:pPr>
        <w:pStyle w:val="AERbulletlistfirststyle"/>
        <w:tabs>
          <w:tab w:val="clear" w:pos="357"/>
          <w:tab w:val="left" w:pos="426"/>
        </w:tabs>
        <w:ind w:left="426" w:hanging="426"/>
        <w:rPr>
          <w:rFonts w:ascii="Arial" w:hAnsi="Arial" w:cs="Arial"/>
        </w:rPr>
      </w:pPr>
      <w:r w:rsidRPr="009F29C6">
        <w:rPr>
          <w:rFonts w:ascii="Arial" w:hAnsi="Arial" w:cs="Arial"/>
        </w:rPr>
        <w:t>The</w:t>
      </w:r>
      <w:r w:rsidR="00746797" w:rsidRPr="009F29C6">
        <w:rPr>
          <w:rFonts w:ascii="Arial" w:hAnsi="Arial" w:cs="Arial"/>
        </w:rPr>
        <w:t xml:space="preserve"> PTRM calculates straight-line depreciation using the initial value of cap</w:t>
      </w:r>
      <w:r w:rsidR="006D27F4" w:rsidRPr="009F29C6">
        <w:rPr>
          <w:rFonts w:ascii="Arial" w:hAnsi="Arial" w:cs="Arial"/>
        </w:rPr>
        <w:t xml:space="preserve">ital </w:t>
      </w:r>
      <w:r w:rsidR="00746797" w:rsidRPr="009F29C6">
        <w:rPr>
          <w:rFonts w:ascii="Arial" w:hAnsi="Arial" w:cs="Arial"/>
        </w:rPr>
        <w:t>ex</w:t>
      </w:r>
      <w:r w:rsidR="006D27F4" w:rsidRPr="009F29C6">
        <w:rPr>
          <w:rFonts w:ascii="Arial" w:hAnsi="Arial" w:cs="Arial"/>
        </w:rPr>
        <w:t>penditure</w:t>
      </w:r>
      <w:r w:rsidR="00746797" w:rsidRPr="009F29C6">
        <w:rPr>
          <w:rFonts w:ascii="Arial" w:hAnsi="Arial" w:cs="Arial"/>
        </w:rPr>
        <w:t xml:space="preserve"> added to the RAB. This includes half a year of the WACC, in line with the PTRM’s timing assumption. These calculations now refer to the newly defined ‘</w:t>
      </w:r>
      <w:proofErr w:type="spellStart"/>
      <w:r w:rsidR="00746797" w:rsidRPr="009F29C6">
        <w:rPr>
          <w:rFonts w:ascii="Arial" w:hAnsi="Arial" w:cs="Arial"/>
        </w:rPr>
        <w:t>rvanillaXX</w:t>
      </w:r>
      <w:proofErr w:type="spellEnd"/>
      <w:r w:rsidR="00746797" w:rsidRPr="009F29C6">
        <w:rPr>
          <w:rFonts w:ascii="Arial" w:hAnsi="Arial" w:cs="Arial"/>
        </w:rPr>
        <w:t>’ variable for the prevailing WACC in the year in which the cap</w:t>
      </w:r>
      <w:r w:rsidR="006D27F4" w:rsidRPr="009F29C6">
        <w:rPr>
          <w:rFonts w:ascii="Arial" w:hAnsi="Arial" w:cs="Arial"/>
        </w:rPr>
        <w:t xml:space="preserve">ital </w:t>
      </w:r>
      <w:r w:rsidR="00746797" w:rsidRPr="009F29C6">
        <w:rPr>
          <w:rFonts w:ascii="Arial" w:hAnsi="Arial" w:cs="Arial"/>
        </w:rPr>
        <w:t>ex</w:t>
      </w:r>
      <w:r w:rsidR="006D27F4" w:rsidRPr="009F29C6">
        <w:rPr>
          <w:rFonts w:ascii="Arial" w:hAnsi="Arial" w:cs="Arial"/>
        </w:rPr>
        <w:t>penditure</w:t>
      </w:r>
      <w:r w:rsidR="00746797" w:rsidRPr="009F29C6">
        <w:rPr>
          <w:rFonts w:ascii="Arial" w:hAnsi="Arial" w:cs="Arial"/>
        </w:rPr>
        <w:t xml:space="preserve"> is added to the RAB. Previously, all calculations referred to a single, constant real vanilla WACC value as determined in </w:t>
      </w:r>
      <w:r w:rsidR="006D27F4" w:rsidRPr="009F29C6">
        <w:rPr>
          <w:rFonts w:ascii="Arial" w:hAnsi="Arial" w:cs="Arial"/>
        </w:rPr>
        <w:t>our</w:t>
      </w:r>
      <w:r w:rsidR="00746797" w:rsidRPr="009F29C6">
        <w:rPr>
          <w:rFonts w:ascii="Arial" w:hAnsi="Arial" w:cs="Arial"/>
        </w:rPr>
        <w:t xml:space="preserve"> final decision.</w:t>
      </w:r>
    </w:p>
    <w:p w:rsidR="00064605" w:rsidRPr="009F29C6" w:rsidRDefault="00746797" w:rsidP="00937CE8">
      <w:pPr>
        <w:rPr>
          <w:rFonts w:ascii="Arial" w:hAnsi="Arial" w:cs="Arial"/>
        </w:rPr>
      </w:pPr>
      <w:r w:rsidRPr="009F29C6">
        <w:rPr>
          <w:rFonts w:ascii="Arial" w:hAnsi="Arial" w:cs="Arial"/>
        </w:rPr>
        <w:t xml:space="preserve">The major change to the NPV calculations is </w:t>
      </w:r>
      <w:r w:rsidR="00256EE9" w:rsidRPr="009F29C6">
        <w:rPr>
          <w:rFonts w:ascii="Arial" w:hAnsi="Arial" w:cs="Arial"/>
        </w:rPr>
        <w:t>that</w:t>
      </w:r>
      <w:r w:rsidR="00872DCF" w:rsidRPr="009F29C6">
        <w:rPr>
          <w:rFonts w:ascii="Arial" w:hAnsi="Arial" w:cs="Arial"/>
        </w:rPr>
        <w:t xml:space="preserve"> </w:t>
      </w:r>
      <w:r w:rsidR="00256EE9" w:rsidRPr="009F29C6">
        <w:rPr>
          <w:rFonts w:ascii="Arial" w:hAnsi="Arial" w:cs="Arial"/>
        </w:rPr>
        <w:t>t</w:t>
      </w:r>
      <w:r w:rsidRPr="009F29C6">
        <w:rPr>
          <w:rFonts w:ascii="Arial" w:hAnsi="Arial" w:cs="Arial"/>
        </w:rPr>
        <w:t>he discount rate applied to each year when calculating the NPV is the cumulative discount rate for all relevant years, even when the individual year ha</w:t>
      </w:r>
      <w:r w:rsidR="006D27F4" w:rsidRPr="009F29C6">
        <w:rPr>
          <w:rFonts w:ascii="Arial" w:hAnsi="Arial" w:cs="Arial"/>
        </w:rPr>
        <w:t>s</w:t>
      </w:r>
      <w:r w:rsidRPr="009F29C6">
        <w:rPr>
          <w:rFonts w:ascii="Arial" w:hAnsi="Arial" w:cs="Arial"/>
        </w:rPr>
        <w:t xml:space="preserve"> a different return on capital. Hence, the </w:t>
      </w:r>
      <w:r w:rsidR="00256EE9" w:rsidRPr="009F29C6">
        <w:rPr>
          <w:rStyle w:val="AERtextitalic"/>
          <w:rFonts w:ascii="Arial" w:hAnsi="Arial" w:cs="Arial"/>
        </w:rPr>
        <w:t>X factor</w:t>
      </w:r>
      <w:r w:rsidR="00DD72FF" w:rsidRPr="009F29C6">
        <w:rPr>
          <w:rStyle w:val="AERtextitalic"/>
          <w:rFonts w:ascii="Arial" w:hAnsi="Arial" w:cs="Arial"/>
        </w:rPr>
        <w:t>s</w:t>
      </w:r>
      <w:r w:rsidR="00256EE9" w:rsidRPr="009F29C6">
        <w:rPr>
          <w:rFonts w:ascii="Arial" w:hAnsi="Arial" w:cs="Arial"/>
        </w:rPr>
        <w:t xml:space="preserve"> </w:t>
      </w:r>
      <w:r w:rsidRPr="009F29C6">
        <w:rPr>
          <w:rFonts w:ascii="Arial" w:hAnsi="Arial" w:cs="Arial"/>
        </w:rPr>
        <w:t xml:space="preserve">worksheet </w:t>
      </w:r>
      <w:r w:rsidR="00C9144A" w:rsidRPr="009F29C6">
        <w:rPr>
          <w:rFonts w:ascii="Arial" w:hAnsi="Arial" w:cs="Arial"/>
        </w:rPr>
        <w:t xml:space="preserve">for revenue smoothing purposes </w:t>
      </w:r>
      <w:r w:rsidRPr="009F29C6">
        <w:rPr>
          <w:rFonts w:ascii="Arial" w:hAnsi="Arial" w:cs="Arial"/>
        </w:rPr>
        <w:t>accommodates the use of different</w:t>
      </w:r>
      <w:r w:rsidR="00844128" w:rsidRPr="009F29C6">
        <w:rPr>
          <w:rFonts w:ascii="Arial" w:hAnsi="Arial" w:cs="Arial"/>
        </w:rPr>
        <w:t xml:space="preserve"> rate</w:t>
      </w:r>
      <w:r w:rsidR="003868DF" w:rsidRPr="009F29C6">
        <w:rPr>
          <w:rFonts w:ascii="Arial" w:hAnsi="Arial" w:cs="Arial"/>
        </w:rPr>
        <w:t>s of</w:t>
      </w:r>
      <w:r w:rsidRPr="009F29C6">
        <w:rPr>
          <w:rFonts w:ascii="Arial" w:hAnsi="Arial" w:cs="Arial"/>
        </w:rPr>
        <w:t xml:space="preserve"> return on capital for each year.</w:t>
      </w:r>
    </w:p>
    <w:p w:rsidR="00FD66AA" w:rsidRPr="009F29C6" w:rsidRDefault="00FD66AA" w:rsidP="00937CE8">
      <w:pPr>
        <w:rPr>
          <w:rFonts w:ascii="Arial" w:hAnsi="Arial" w:cs="Arial"/>
        </w:rPr>
      </w:pPr>
      <w:r w:rsidRPr="009F29C6">
        <w:rPr>
          <w:rFonts w:ascii="Arial" w:hAnsi="Arial" w:cs="Arial"/>
        </w:rPr>
        <w:t>Submissions were supportive o</w:t>
      </w:r>
      <w:r w:rsidR="00844128" w:rsidRPr="009F29C6">
        <w:rPr>
          <w:rFonts w:ascii="Arial" w:hAnsi="Arial" w:cs="Arial"/>
        </w:rPr>
        <w:t>f</w:t>
      </w:r>
      <w:r w:rsidRPr="009F29C6">
        <w:rPr>
          <w:rFonts w:ascii="Arial" w:hAnsi="Arial" w:cs="Arial"/>
        </w:rPr>
        <w:t xml:space="preserve"> the changes made regarding th</w:t>
      </w:r>
      <w:r w:rsidR="00CE51F9" w:rsidRPr="009F29C6">
        <w:rPr>
          <w:rFonts w:ascii="Arial" w:hAnsi="Arial" w:cs="Arial"/>
        </w:rPr>
        <w:t>ese</w:t>
      </w:r>
      <w:r w:rsidRPr="009F29C6">
        <w:rPr>
          <w:rFonts w:ascii="Arial" w:hAnsi="Arial" w:cs="Arial"/>
        </w:rPr>
        <w:t xml:space="preserve"> matter</w:t>
      </w:r>
      <w:r w:rsidR="00CE51F9" w:rsidRPr="009F29C6">
        <w:rPr>
          <w:rFonts w:ascii="Arial" w:hAnsi="Arial" w:cs="Arial"/>
        </w:rPr>
        <w:t>s</w:t>
      </w:r>
      <w:r w:rsidRPr="009F29C6">
        <w:rPr>
          <w:rFonts w:ascii="Arial" w:hAnsi="Arial" w:cs="Arial"/>
        </w:rPr>
        <w:t>.</w:t>
      </w:r>
      <w:r w:rsidR="00291F53">
        <w:rPr>
          <w:rStyle w:val="FootnoteReference"/>
          <w:rFonts w:ascii="Arial" w:hAnsi="Arial" w:cs="Arial"/>
        </w:rPr>
        <w:footnoteReference w:id="41"/>
      </w:r>
      <w:r w:rsidRPr="009F29C6">
        <w:rPr>
          <w:rFonts w:ascii="Arial" w:hAnsi="Arial" w:cs="Arial"/>
        </w:rPr>
        <w:t xml:space="preserve"> However, </w:t>
      </w:r>
      <w:r w:rsidR="00844128" w:rsidRPr="009F29C6">
        <w:rPr>
          <w:rFonts w:ascii="Arial" w:hAnsi="Arial" w:cs="Arial"/>
        </w:rPr>
        <w:t>two</w:t>
      </w:r>
      <w:r w:rsidRPr="009F29C6">
        <w:rPr>
          <w:rFonts w:ascii="Arial" w:hAnsi="Arial" w:cs="Arial"/>
        </w:rPr>
        <w:t xml:space="preserve"> submissions suggested the use of a pre-tax WACC, </w:t>
      </w:r>
      <w:r w:rsidR="008508F2" w:rsidRPr="009F29C6">
        <w:rPr>
          <w:rFonts w:ascii="Arial" w:hAnsi="Arial" w:cs="Arial"/>
        </w:rPr>
        <w:t>rather</w:t>
      </w:r>
      <w:r w:rsidRPr="009F29C6">
        <w:rPr>
          <w:rFonts w:ascii="Arial" w:hAnsi="Arial" w:cs="Arial"/>
        </w:rPr>
        <w:t xml:space="preserve"> than </w:t>
      </w:r>
      <w:r w:rsidR="008508F2" w:rsidRPr="009F29C6">
        <w:rPr>
          <w:rFonts w:ascii="Arial" w:hAnsi="Arial" w:cs="Arial"/>
        </w:rPr>
        <w:t xml:space="preserve">the </w:t>
      </w:r>
      <w:r w:rsidR="00844128" w:rsidRPr="009F29C6">
        <w:rPr>
          <w:rFonts w:ascii="Arial" w:hAnsi="Arial" w:cs="Arial"/>
        </w:rPr>
        <w:t xml:space="preserve">(partially </w:t>
      </w:r>
      <w:r w:rsidRPr="009F29C6">
        <w:rPr>
          <w:rFonts w:ascii="Arial" w:hAnsi="Arial" w:cs="Arial"/>
        </w:rPr>
        <w:t>post-tax</w:t>
      </w:r>
      <w:r w:rsidR="00844128" w:rsidRPr="009F29C6">
        <w:rPr>
          <w:rFonts w:ascii="Arial" w:hAnsi="Arial" w:cs="Arial"/>
        </w:rPr>
        <w:t>)</w:t>
      </w:r>
      <w:r w:rsidRPr="009F29C6">
        <w:rPr>
          <w:rFonts w:ascii="Arial" w:hAnsi="Arial" w:cs="Arial"/>
        </w:rPr>
        <w:t xml:space="preserve"> </w:t>
      </w:r>
      <w:r w:rsidR="008508F2" w:rsidRPr="009F29C6">
        <w:rPr>
          <w:rFonts w:ascii="Arial" w:hAnsi="Arial" w:cs="Arial"/>
        </w:rPr>
        <w:t xml:space="preserve">vanilla </w:t>
      </w:r>
      <w:r w:rsidRPr="009F29C6">
        <w:rPr>
          <w:rFonts w:ascii="Arial" w:hAnsi="Arial" w:cs="Arial"/>
        </w:rPr>
        <w:t xml:space="preserve">WACC </w:t>
      </w:r>
      <w:r w:rsidR="00C9144A" w:rsidRPr="009F29C6">
        <w:rPr>
          <w:rFonts w:ascii="Arial" w:hAnsi="Arial" w:cs="Arial"/>
        </w:rPr>
        <w:t xml:space="preserve">as the discount rate </w:t>
      </w:r>
      <w:r w:rsidRPr="009F29C6">
        <w:rPr>
          <w:rFonts w:ascii="Arial" w:hAnsi="Arial" w:cs="Arial"/>
        </w:rPr>
        <w:t xml:space="preserve">for </w:t>
      </w:r>
      <w:r w:rsidR="00C9144A" w:rsidRPr="009F29C6">
        <w:rPr>
          <w:rFonts w:ascii="Arial" w:hAnsi="Arial" w:cs="Arial"/>
        </w:rPr>
        <w:t xml:space="preserve">revenue </w:t>
      </w:r>
      <w:r w:rsidRPr="009F29C6">
        <w:rPr>
          <w:rFonts w:ascii="Arial" w:hAnsi="Arial" w:cs="Arial"/>
        </w:rPr>
        <w:t>smoothing. We d</w:t>
      </w:r>
      <w:r w:rsidR="000C2A47" w:rsidRPr="009F29C6">
        <w:rPr>
          <w:rFonts w:ascii="Arial" w:hAnsi="Arial" w:cs="Arial"/>
        </w:rPr>
        <w:t xml:space="preserve">o not </w:t>
      </w:r>
      <w:r w:rsidRPr="009F29C6">
        <w:rPr>
          <w:rFonts w:ascii="Arial" w:hAnsi="Arial" w:cs="Arial"/>
        </w:rPr>
        <w:t xml:space="preserve">agree with these submissions for </w:t>
      </w:r>
      <w:r w:rsidR="00900EC0" w:rsidRPr="009F29C6">
        <w:rPr>
          <w:rFonts w:ascii="Arial" w:hAnsi="Arial" w:cs="Arial"/>
        </w:rPr>
        <w:t xml:space="preserve">the </w:t>
      </w:r>
      <w:r w:rsidRPr="009F29C6">
        <w:rPr>
          <w:rFonts w:ascii="Arial" w:hAnsi="Arial" w:cs="Arial"/>
        </w:rPr>
        <w:t>reasons discussed in section 5.</w:t>
      </w:r>
    </w:p>
    <w:p w:rsidR="00064605" w:rsidRPr="009F29C6" w:rsidRDefault="00064605" w:rsidP="007621C8">
      <w:pPr>
        <w:pStyle w:val="Heading3"/>
        <w:rPr>
          <w:rFonts w:ascii="Arial" w:hAnsi="Arial" w:cs="Arial"/>
        </w:rPr>
      </w:pPr>
      <w:bookmarkStart w:id="30" w:name="_Toc408926609"/>
      <w:r w:rsidRPr="009F29C6">
        <w:rPr>
          <w:rFonts w:ascii="Arial" w:hAnsi="Arial" w:cs="Arial"/>
        </w:rPr>
        <w:lastRenderedPageBreak/>
        <w:t>Equity raising cost</w:t>
      </w:r>
      <w:r w:rsidR="000C2A47" w:rsidRPr="009F29C6">
        <w:rPr>
          <w:rFonts w:ascii="Arial" w:hAnsi="Arial" w:cs="Arial"/>
        </w:rPr>
        <w:t>s</w:t>
      </w:r>
      <w:r w:rsidRPr="009F29C6">
        <w:rPr>
          <w:rFonts w:ascii="Arial" w:hAnsi="Arial" w:cs="Arial"/>
        </w:rPr>
        <w:t xml:space="preserve"> </w:t>
      </w:r>
      <w:r w:rsidR="003B054C" w:rsidRPr="009F29C6">
        <w:rPr>
          <w:rFonts w:ascii="Arial" w:hAnsi="Arial" w:cs="Arial"/>
        </w:rPr>
        <w:t>changes</w:t>
      </w:r>
      <w:bookmarkEnd w:id="30"/>
    </w:p>
    <w:p w:rsidR="00FE3C04" w:rsidRPr="009F29C6" w:rsidRDefault="003B054C" w:rsidP="000E5357">
      <w:pPr>
        <w:pStyle w:val="AERbodytext"/>
        <w:rPr>
          <w:rFonts w:ascii="Arial" w:hAnsi="Arial" w:cs="Arial"/>
          <w:shd w:val="clear" w:color="auto" w:fill="FFFF00"/>
        </w:rPr>
      </w:pPr>
      <w:r w:rsidRPr="009F29C6">
        <w:rPr>
          <w:rFonts w:ascii="Arial" w:hAnsi="Arial" w:cs="Arial"/>
        </w:rPr>
        <w:t xml:space="preserve">Another consequential change due to the </w:t>
      </w:r>
      <w:r w:rsidR="00525F67" w:rsidRPr="009F29C6">
        <w:rPr>
          <w:rFonts w:ascii="Arial" w:hAnsi="Arial" w:cs="Arial"/>
        </w:rPr>
        <w:t>return on</w:t>
      </w:r>
      <w:r w:rsidRPr="009F29C6">
        <w:rPr>
          <w:rFonts w:ascii="Arial" w:hAnsi="Arial" w:cs="Arial"/>
        </w:rPr>
        <w:t xml:space="preserve"> debt </w:t>
      </w:r>
      <w:r w:rsidR="00B70BB1" w:rsidRPr="009F29C6">
        <w:rPr>
          <w:rFonts w:ascii="Arial" w:hAnsi="Arial" w:cs="Arial"/>
        </w:rPr>
        <w:t>updates</w:t>
      </w:r>
      <w:r w:rsidRPr="009F29C6">
        <w:rPr>
          <w:rFonts w:ascii="Arial" w:hAnsi="Arial" w:cs="Arial"/>
        </w:rPr>
        <w:t xml:space="preserve"> is that the </w:t>
      </w:r>
      <w:r w:rsidR="00525F67" w:rsidRPr="009F29C6">
        <w:rPr>
          <w:rFonts w:ascii="Arial" w:hAnsi="Arial" w:cs="Arial"/>
        </w:rPr>
        <w:t>benchmark equity raising cost</w:t>
      </w:r>
      <w:r w:rsidR="000C2A47" w:rsidRPr="009F29C6">
        <w:rPr>
          <w:rFonts w:ascii="Arial" w:hAnsi="Arial" w:cs="Arial"/>
        </w:rPr>
        <w:t>s</w:t>
      </w:r>
      <w:r w:rsidR="00525F67" w:rsidRPr="009F29C6">
        <w:rPr>
          <w:rFonts w:ascii="Arial" w:hAnsi="Arial" w:cs="Arial"/>
        </w:rPr>
        <w:t xml:space="preserve"> (</w:t>
      </w:r>
      <w:r w:rsidRPr="009F29C6">
        <w:rPr>
          <w:rFonts w:ascii="Arial" w:hAnsi="Arial" w:cs="Arial"/>
        </w:rPr>
        <w:t>ERC</w:t>
      </w:r>
      <w:r w:rsidR="00525F67" w:rsidRPr="009F29C6">
        <w:rPr>
          <w:rFonts w:ascii="Arial" w:hAnsi="Arial" w:cs="Arial"/>
        </w:rPr>
        <w:t>)</w:t>
      </w:r>
      <w:r w:rsidRPr="009F29C6">
        <w:rPr>
          <w:rFonts w:ascii="Arial" w:hAnsi="Arial" w:cs="Arial"/>
        </w:rPr>
        <w:t xml:space="preserve"> will also need to be updated annually. The </w:t>
      </w:r>
      <w:r w:rsidRPr="009F29C6">
        <w:rPr>
          <w:rStyle w:val="AERtextitalic"/>
          <w:rFonts w:ascii="Arial" w:hAnsi="Arial" w:cs="Arial"/>
        </w:rPr>
        <w:t>E</w:t>
      </w:r>
      <w:r w:rsidR="00525F67" w:rsidRPr="009F29C6">
        <w:rPr>
          <w:rStyle w:val="AERtextitalic"/>
          <w:rFonts w:ascii="Arial" w:hAnsi="Arial" w:cs="Arial"/>
        </w:rPr>
        <w:t>quity raising cost–capex</w:t>
      </w:r>
      <w:r w:rsidRPr="009F29C6">
        <w:rPr>
          <w:rFonts w:ascii="Arial" w:hAnsi="Arial" w:cs="Arial"/>
        </w:rPr>
        <w:t xml:space="preserve"> </w:t>
      </w:r>
      <w:r w:rsidR="00525F67" w:rsidRPr="009F29C6">
        <w:rPr>
          <w:rFonts w:ascii="Arial" w:hAnsi="Arial" w:cs="Arial"/>
        </w:rPr>
        <w:t>work</w:t>
      </w:r>
      <w:r w:rsidR="00D20311" w:rsidRPr="009F29C6">
        <w:rPr>
          <w:rFonts w:ascii="Arial" w:hAnsi="Arial" w:cs="Arial"/>
        </w:rPr>
        <w:t>sheet has been</w:t>
      </w:r>
      <w:r w:rsidRPr="009F29C6">
        <w:rPr>
          <w:rFonts w:ascii="Arial" w:hAnsi="Arial" w:cs="Arial"/>
        </w:rPr>
        <w:t xml:space="preserve"> amend</w:t>
      </w:r>
      <w:r w:rsidR="00D20311" w:rsidRPr="009F29C6">
        <w:rPr>
          <w:rFonts w:ascii="Arial" w:hAnsi="Arial" w:cs="Arial"/>
        </w:rPr>
        <w:t>ed</w:t>
      </w:r>
      <w:r w:rsidRPr="009F29C6">
        <w:rPr>
          <w:rFonts w:ascii="Arial" w:hAnsi="Arial" w:cs="Arial"/>
        </w:rPr>
        <w:t xml:space="preserve"> </w:t>
      </w:r>
      <w:r w:rsidR="00D20311" w:rsidRPr="009F29C6">
        <w:rPr>
          <w:rFonts w:ascii="Arial" w:hAnsi="Arial" w:cs="Arial"/>
        </w:rPr>
        <w:t>(and renamed</w:t>
      </w:r>
      <w:r w:rsidR="00DD72FF" w:rsidRPr="009F29C6">
        <w:rPr>
          <w:rFonts w:ascii="Arial" w:hAnsi="Arial" w:cs="Arial"/>
        </w:rPr>
        <w:t xml:space="preserve">) </w:t>
      </w:r>
      <w:r w:rsidRPr="009F29C6">
        <w:rPr>
          <w:rFonts w:ascii="Arial" w:hAnsi="Arial" w:cs="Arial"/>
        </w:rPr>
        <w:t>to allow the ERC to be updated annually</w:t>
      </w:r>
      <w:r w:rsidR="00BC6387" w:rsidRPr="009F29C6">
        <w:rPr>
          <w:rFonts w:ascii="Arial" w:hAnsi="Arial" w:cs="Arial"/>
        </w:rPr>
        <w:t xml:space="preserve"> for TNSPs</w:t>
      </w:r>
      <w:r w:rsidRPr="009F29C6">
        <w:rPr>
          <w:rFonts w:ascii="Arial" w:hAnsi="Arial" w:cs="Arial"/>
        </w:rPr>
        <w:t>.</w:t>
      </w:r>
      <w:r w:rsidR="00D20311" w:rsidRPr="009F29C6">
        <w:rPr>
          <w:rFonts w:ascii="Arial" w:hAnsi="Arial" w:cs="Arial"/>
        </w:rPr>
        <w:t xml:space="preserve"> </w:t>
      </w:r>
      <w:r w:rsidRPr="009F29C6">
        <w:rPr>
          <w:rFonts w:ascii="Arial" w:hAnsi="Arial" w:cs="Arial"/>
        </w:rPr>
        <w:t xml:space="preserve">In addition, an </w:t>
      </w:r>
      <w:r w:rsidRPr="009F29C6">
        <w:rPr>
          <w:rStyle w:val="AERtextitalic"/>
          <w:rFonts w:ascii="Arial" w:hAnsi="Arial" w:cs="Arial"/>
        </w:rPr>
        <w:t>E</w:t>
      </w:r>
      <w:r w:rsidR="00525F67" w:rsidRPr="009F29C6">
        <w:rPr>
          <w:rStyle w:val="AERtextitalic"/>
          <w:rFonts w:ascii="Arial" w:hAnsi="Arial" w:cs="Arial"/>
        </w:rPr>
        <w:t>quity raising cost</w:t>
      </w:r>
      <w:r w:rsidR="000C2A47" w:rsidRPr="009F29C6">
        <w:rPr>
          <w:rStyle w:val="AERtextitalic"/>
          <w:rFonts w:ascii="Arial" w:hAnsi="Arial" w:cs="Arial"/>
        </w:rPr>
        <w:t>s</w:t>
      </w:r>
      <w:r w:rsidR="00BC6387" w:rsidRPr="009F29C6">
        <w:rPr>
          <w:rFonts w:ascii="Arial" w:hAnsi="Arial" w:cs="Arial"/>
        </w:rPr>
        <w:t xml:space="preserve"> </w:t>
      </w:r>
      <w:r w:rsidR="00666427">
        <w:rPr>
          <w:rFonts w:ascii="Arial" w:hAnsi="Arial" w:cs="Arial"/>
        </w:rPr>
        <w:t>work</w:t>
      </w:r>
      <w:r w:rsidR="00BC6387" w:rsidRPr="009F29C6">
        <w:rPr>
          <w:rFonts w:ascii="Arial" w:hAnsi="Arial" w:cs="Arial"/>
        </w:rPr>
        <w:t>sheet has been added to the DNSP PTRM</w:t>
      </w:r>
      <w:r w:rsidR="00917236" w:rsidRPr="009F29C6">
        <w:rPr>
          <w:rFonts w:ascii="Arial" w:hAnsi="Arial" w:cs="Arial"/>
        </w:rPr>
        <w:t xml:space="preserve">, standardising our approach across the two </w:t>
      </w:r>
      <w:r w:rsidR="00CC1B43" w:rsidRPr="009F29C6">
        <w:rPr>
          <w:rFonts w:ascii="Arial" w:hAnsi="Arial" w:cs="Arial"/>
        </w:rPr>
        <w:t>models</w:t>
      </w:r>
      <w:r w:rsidR="00BC6387" w:rsidRPr="009F29C6">
        <w:rPr>
          <w:rFonts w:ascii="Arial" w:hAnsi="Arial" w:cs="Arial"/>
        </w:rPr>
        <w:t>.</w:t>
      </w:r>
      <w:r w:rsidR="00FE3C04" w:rsidRPr="009F29C6">
        <w:rPr>
          <w:rFonts w:ascii="Arial" w:hAnsi="Arial" w:cs="Arial"/>
        </w:rPr>
        <w:t xml:space="preserve"> There were a number of submissions relating to the </w:t>
      </w:r>
      <w:r w:rsidR="000C2A47" w:rsidRPr="009F29C6">
        <w:rPr>
          <w:rFonts w:ascii="Arial" w:hAnsi="Arial" w:cs="Arial"/>
        </w:rPr>
        <w:t>ERC</w:t>
      </w:r>
      <w:r w:rsidR="00FE3C04" w:rsidRPr="009F29C6">
        <w:rPr>
          <w:rFonts w:ascii="Arial" w:hAnsi="Arial" w:cs="Arial"/>
        </w:rPr>
        <w:t xml:space="preserve"> calculation </w:t>
      </w:r>
      <w:r w:rsidR="00425881" w:rsidRPr="009F29C6">
        <w:rPr>
          <w:rFonts w:ascii="Arial" w:hAnsi="Arial" w:cs="Arial"/>
        </w:rPr>
        <w:t>in the proposed PTRM</w:t>
      </w:r>
      <w:r w:rsidR="00FE3C04" w:rsidRPr="009F29C6">
        <w:rPr>
          <w:rFonts w:ascii="Arial" w:hAnsi="Arial" w:cs="Arial"/>
        </w:rPr>
        <w:t xml:space="preserve">, and we have made some changes in response. </w:t>
      </w:r>
    </w:p>
    <w:p w:rsidR="00C25545" w:rsidRPr="009F29C6" w:rsidRDefault="00C25545" w:rsidP="00B969F9">
      <w:pPr>
        <w:pStyle w:val="AERbodytext"/>
        <w:rPr>
          <w:rStyle w:val="AERtexthighlight"/>
          <w:rFonts w:ascii="Arial" w:hAnsi="Arial" w:cs="Arial"/>
        </w:rPr>
      </w:pPr>
      <w:r w:rsidRPr="009F29C6">
        <w:rPr>
          <w:rStyle w:val="AERbody"/>
          <w:rFonts w:ascii="Arial" w:hAnsi="Arial" w:cs="Arial"/>
        </w:rPr>
        <w:t>N</w:t>
      </w:r>
      <w:r w:rsidR="00FD4910" w:rsidRPr="009F29C6">
        <w:rPr>
          <w:rStyle w:val="AERbody"/>
          <w:rFonts w:ascii="Arial" w:hAnsi="Arial" w:cs="Arial"/>
        </w:rPr>
        <w:t xml:space="preserve">etworks </w:t>
      </w:r>
      <w:r w:rsidRPr="009F29C6">
        <w:rPr>
          <w:rStyle w:val="AERbody"/>
          <w:rFonts w:ascii="Arial" w:hAnsi="Arial" w:cs="Arial"/>
        </w:rPr>
        <w:t xml:space="preserve">NSW </w:t>
      </w:r>
      <w:r w:rsidR="000E5357" w:rsidRPr="009F29C6">
        <w:rPr>
          <w:rStyle w:val="AERbody"/>
          <w:rFonts w:ascii="Arial" w:hAnsi="Arial" w:cs="Arial"/>
        </w:rPr>
        <w:t>noted that t</w:t>
      </w:r>
      <w:r w:rsidRPr="009F29C6">
        <w:rPr>
          <w:rStyle w:val="AERbody"/>
          <w:rFonts w:ascii="Arial" w:hAnsi="Arial" w:cs="Arial"/>
        </w:rPr>
        <w:t xml:space="preserve">he PTRM removes the 'half WACC' adjustment to capex for the purpose of estimating the funding requirements. However, </w:t>
      </w:r>
      <w:r w:rsidR="000E5357" w:rsidRPr="009F29C6">
        <w:rPr>
          <w:rStyle w:val="AERbody"/>
          <w:rFonts w:ascii="Arial" w:hAnsi="Arial" w:cs="Arial"/>
        </w:rPr>
        <w:t xml:space="preserve">it </w:t>
      </w:r>
      <w:r w:rsidR="00B70BB1" w:rsidRPr="009F29C6">
        <w:rPr>
          <w:rStyle w:val="AERbody"/>
          <w:rFonts w:ascii="Arial" w:hAnsi="Arial" w:cs="Arial"/>
        </w:rPr>
        <w:t>submitted</w:t>
      </w:r>
      <w:r w:rsidR="000E5357" w:rsidRPr="009F29C6">
        <w:rPr>
          <w:rStyle w:val="AERbody"/>
          <w:rFonts w:ascii="Arial" w:hAnsi="Arial" w:cs="Arial"/>
        </w:rPr>
        <w:t xml:space="preserve"> that </w:t>
      </w:r>
      <w:r w:rsidRPr="009F29C6">
        <w:rPr>
          <w:rStyle w:val="AERbody"/>
          <w:rFonts w:ascii="Arial" w:hAnsi="Arial" w:cs="Arial"/>
        </w:rPr>
        <w:t xml:space="preserve">as the </w:t>
      </w:r>
      <w:r w:rsidR="00B70BB1" w:rsidRPr="009F29C6">
        <w:rPr>
          <w:rStyle w:val="AERbody"/>
          <w:rFonts w:ascii="Arial" w:hAnsi="Arial" w:cs="Arial"/>
        </w:rPr>
        <w:t>ERC</w:t>
      </w:r>
      <w:r w:rsidRPr="009F29C6">
        <w:rPr>
          <w:rStyle w:val="AERbody"/>
          <w:rFonts w:ascii="Arial" w:hAnsi="Arial" w:cs="Arial"/>
        </w:rPr>
        <w:t xml:space="preserve"> </w:t>
      </w:r>
      <w:r w:rsidR="00B70BB1" w:rsidRPr="009F29C6">
        <w:rPr>
          <w:rStyle w:val="AERbody"/>
          <w:rFonts w:ascii="Arial" w:hAnsi="Arial" w:cs="Arial"/>
        </w:rPr>
        <w:t>is</w:t>
      </w:r>
      <w:r w:rsidRPr="009F29C6">
        <w:rPr>
          <w:rStyle w:val="AERbody"/>
          <w:rFonts w:ascii="Arial" w:hAnsi="Arial" w:cs="Arial"/>
        </w:rPr>
        <w:t xml:space="preserve"> calculated as year-end amounts the </w:t>
      </w:r>
      <w:r w:rsidR="005D2E20" w:rsidRPr="009F29C6">
        <w:rPr>
          <w:rStyle w:val="AERbody"/>
          <w:rFonts w:ascii="Arial" w:hAnsi="Arial" w:cs="Arial"/>
        </w:rPr>
        <w:t>‘</w:t>
      </w:r>
      <w:r w:rsidRPr="009F29C6">
        <w:rPr>
          <w:rStyle w:val="AERbody"/>
          <w:rFonts w:ascii="Arial" w:hAnsi="Arial" w:cs="Arial"/>
        </w:rPr>
        <w:t>half WACC</w:t>
      </w:r>
      <w:r w:rsidR="005D2E20" w:rsidRPr="009F29C6">
        <w:rPr>
          <w:rStyle w:val="AERbody"/>
          <w:rFonts w:ascii="Arial" w:hAnsi="Arial" w:cs="Arial"/>
        </w:rPr>
        <w:t>’</w:t>
      </w:r>
      <w:r w:rsidRPr="009F29C6">
        <w:rPr>
          <w:rStyle w:val="AERbody"/>
          <w:rFonts w:ascii="Arial" w:hAnsi="Arial" w:cs="Arial"/>
        </w:rPr>
        <w:t xml:space="preserve"> adjustment should not be removed.</w:t>
      </w:r>
      <w:r w:rsidR="00FA7347" w:rsidRPr="009F29C6">
        <w:rPr>
          <w:rStyle w:val="FootnoteReference"/>
          <w:rFonts w:ascii="Arial" w:hAnsi="Arial" w:cs="Arial"/>
        </w:rPr>
        <w:footnoteReference w:id="42"/>
      </w:r>
      <w:r w:rsidR="000E5357" w:rsidRPr="009F29C6">
        <w:rPr>
          <w:rStyle w:val="AERbody"/>
          <w:rFonts w:ascii="Arial" w:hAnsi="Arial" w:cs="Arial"/>
        </w:rPr>
        <w:t xml:space="preserve"> </w:t>
      </w:r>
      <w:r w:rsidR="009E6F01" w:rsidRPr="009F29C6">
        <w:rPr>
          <w:rStyle w:val="AERbody"/>
          <w:rFonts w:ascii="Arial" w:hAnsi="Arial" w:cs="Arial"/>
        </w:rPr>
        <w:t xml:space="preserve">We have not accepted this submission. </w:t>
      </w:r>
      <w:r w:rsidR="00B969F9" w:rsidRPr="009F29C6">
        <w:rPr>
          <w:rStyle w:val="AERbody"/>
          <w:rFonts w:ascii="Arial" w:hAnsi="Arial" w:cs="Arial"/>
        </w:rPr>
        <w:t xml:space="preserve">This </w:t>
      </w:r>
      <w:r w:rsidR="00425881" w:rsidRPr="009F29C6">
        <w:rPr>
          <w:rStyle w:val="AERbody"/>
          <w:rFonts w:ascii="Arial" w:hAnsi="Arial" w:cs="Arial"/>
        </w:rPr>
        <w:t xml:space="preserve">adjustment </w:t>
      </w:r>
      <w:r w:rsidR="00B969F9" w:rsidRPr="009F29C6">
        <w:rPr>
          <w:rStyle w:val="AERbody"/>
          <w:rFonts w:ascii="Arial" w:hAnsi="Arial" w:cs="Arial"/>
        </w:rPr>
        <w:t>provides a return on capex during the year it is incurred, and reflects the difference between the assumed timing of capex (i.e. incurred evenly throughout the year) and the year</w:t>
      </w:r>
      <w:r w:rsidR="000C2A47" w:rsidRPr="009F29C6">
        <w:rPr>
          <w:rStyle w:val="AERbody"/>
          <w:rFonts w:ascii="Arial" w:hAnsi="Arial" w:cs="Arial"/>
        </w:rPr>
        <w:t>-end</w:t>
      </w:r>
      <w:r w:rsidR="00B969F9" w:rsidRPr="009F29C6">
        <w:rPr>
          <w:rStyle w:val="AERbody"/>
          <w:rFonts w:ascii="Arial" w:hAnsi="Arial" w:cs="Arial"/>
        </w:rPr>
        <w:t xml:space="preserve"> cash</w:t>
      </w:r>
      <w:r w:rsidR="009F29C6" w:rsidRPr="009F29C6">
        <w:rPr>
          <w:rStyle w:val="AERbody"/>
          <w:rFonts w:ascii="Arial" w:hAnsi="Arial" w:cs="Arial"/>
        </w:rPr>
        <w:t xml:space="preserve"> </w:t>
      </w:r>
      <w:r w:rsidR="00B969F9" w:rsidRPr="009F29C6">
        <w:rPr>
          <w:rStyle w:val="AERbody"/>
          <w:rFonts w:ascii="Arial" w:hAnsi="Arial" w:cs="Arial"/>
        </w:rPr>
        <w:t>flows in the PTRM. However, for financing purposes, it is only the net capex value (without the half-WACC adjustment) that is of relevance.</w:t>
      </w:r>
      <w:r w:rsidR="00B969F9" w:rsidRPr="009F29C6">
        <w:rPr>
          <w:rStyle w:val="FootnoteReference"/>
          <w:rFonts w:ascii="Arial" w:hAnsi="Arial" w:cs="Arial"/>
        </w:rPr>
        <w:footnoteReference w:id="43"/>
      </w:r>
      <w:r w:rsidR="00B969F9" w:rsidRPr="009F29C6">
        <w:rPr>
          <w:rStyle w:val="AERbody"/>
          <w:rFonts w:ascii="Arial" w:hAnsi="Arial" w:cs="Arial"/>
        </w:rPr>
        <w:t xml:space="preserve"> This reflects the correct basis for calculating the funds required from internal sources (retained cash flows) and external sources (dividend reinvestment plans or seasoned equity offerings). After ERC are calculated, the PTRM already applies the half WACC adjustment when the ERC are added to the </w:t>
      </w:r>
      <w:r w:rsidR="00190CA4">
        <w:rPr>
          <w:rStyle w:val="AERbody"/>
          <w:rFonts w:ascii="Arial" w:hAnsi="Arial" w:cs="Arial"/>
        </w:rPr>
        <w:t>RAB for amortisation purposes</w:t>
      </w:r>
      <w:r w:rsidR="00B969F9" w:rsidRPr="009F29C6">
        <w:rPr>
          <w:rStyle w:val="AERbody"/>
          <w:rFonts w:ascii="Arial" w:hAnsi="Arial" w:cs="Arial"/>
        </w:rPr>
        <w:t>.</w:t>
      </w:r>
      <w:r w:rsidR="00FA7347" w:rsidRPr="009F29C6">
        <w:rPr>
          <w:rStyle w:val="FootnoteReference"/>
          <w:rFonts w:ascii="Arial" w:hAnsi="Arial" w:cs="Arial"/>
        </w:rPr>
        <w:footnoteReference w:id="44"/>
      </w:r>
      <w:r w:rsidR="00B969F9" w:rsidRPr="009F29C6">
        <w:rPr>
          <w:rStyle w:val="AERbody"/>
          <w:rFonts w:ascii="Arial" w:hAnsi="Arial" w:cs="Arial"/>
        </w:rPr>
        <w:t xml:space="preserve"> </w:t>
      </w:r>
      <w:r w:rsidR="00C42B76" w:rsidRPr="009F29C6">
        <w:rPr>
          <w:rStyle w:val="AERbody"/>
          <w:rFonts w:ascii="Arial" w:hAnsi="Arial" w:cs="Arial"/>
        </w:rPr>
        <w:t xml:space="preserve"> </w:t>
      </w:r>
      <w:r w:rsidR="00B969F9" w:rsidRPr="009F29C6">
        <w:rPr>
          <w:rStyle w:val="AERbody"/>
          <w:rFonts w:ascii="Arial" w:hAnsi="Arial" w:cs="Arial"/>
        </w:rPr>
        <w:t xml:space="preserve">Hence, </w:t>
      </w:r>
      <w:r w:rsidR="00F43C26">
        <w:rPr>
          <w:rStyle w:val="AERbody"/>
          <w:rFonts w:ascii="Arial" w:hAnsi="Arial" w:cs="Arial"/>
        </w:rPr>
        <w:t>includ</w:t>
      </w:r>
      <w:r w:rsidR="00425881" w:rsidRPr="009F29C6">
        <w:rPr>
          <w:rStyle w:val="AERbody"/>
          <w:rFonts w:ascii="Arial" w:hAnsi="Arial" w:cs="Arial"/>
        </w:rPr>
        <w:t xml:space="preserve">ing the half WACC adjustment </w:t>
      </w:r>
      <w:r w:rsidR="00B969F9" w:rsidRPr="009F29C6">
        <w:rPr>
          <w:rStyle w:val="AERbody"/>
          <w:rFonts w:ascii="Arial" w:hAnsi="Arial" w:cs="Arial"/>
        </w:rPr>
        <w:t xml:space="preserve">in the ERC calculation itself </w:t>
      </w:r>
      <w:r w:rsidR="00425881" w:rsidRPr="009F29C6">
        <w:rPr>
          <w:rStyle w:val="AERbody"/>
          <w:rFonts w:ascii="Arial" w:hAnsi="Arial" w:cs="Arial"/>
        </w:rPr>
        <w:t xml:space="preserve">as </w:t>
      </w:r>
      <w:r w:rsidR="00B969F9" w:rsidRPr="009F29C6">
        <w:rPr>
          <w:rStyle w:val="AERbody"/>
          <w:rFonts w:ascii="Arial" w:hAnsi="Arial" w:cs="Arial"/>
        </w:rPr>
        <w:t xml:space="preserve">submitted </w:t>
      </w:r>
      <w:r w:rsidR="00425881" w:rsidRPr="009F29C6">
        <w:rPr>
          <w:rStyle w:val="AERbody"/>
          <w:rFonts w:ascii="Arial" w:hAnsi="Arial" w:cs="Arial"/>
        </w:rPr>
        <w:t>by Networks NSW would result in double compensation for this component.</w:t>
      </w:r>
    </w:p>
    <w:p w:rsidR="004A48C8" w:rsidRPr="009F29C6" w:rsidRDefault="0090720F" w:rsidP="00D20311">
      <w:pPr>
        <w:pStyle w:val="AERbodytext"/>
        <w:numPr>
          <w:ilvl w:val="0"/>
          <w:numId w:val="0"/>
        </w:numPr>
        <w:rPr>
          <w:rStyle w:val="AERbody"/>
          <w:rFonts w:ascii="Arial" w:hAnsi="Arial" w:cs="Arial"/>
        </w:rPr>
      </w:pPr>
      <w:r w:rsidRPr="009F29C6">
        <w:rPr>
          <w:rStyle w:val="AERbody"/>
          <w:rFonts w:ascii="Arial" w:hAnsi="Arial" w:cs="Arial"/>
        </w:rPr>
        <w:t>The United Energy</w:t>
      </w:r>
      <w:r w:rsidR="00190CA4">
        <w:rPr>
          <w:rStyle w:val="AERbody"/>
          <w:rFonts w:ascii="Arial" w:hAnsi="Arial" w:cs="Arial"/>
        </w:rPr>
        <w:t>/</w:t>
      </w:r>
      <w:proofErr w:type="spellStart"/>
      <w:r w:rsidRPr="009F29C6">
        <w:rPr>
          <w:rStyle w:val="AERbody"/>
          <w:rFonts w:ascii="Arial" w:hAnsi="Arial" w:cs="Arial"/>
        </w:rPr>
        <w:t>Multi</w:t>
      </w:r>
      <w:r w:rsidR="00B70BB1" w:rsidRPr="009F29C6">
        <w:rPr>
          <w:rStyle w:val="AERbody"/>
          <w:rFonts w:ascii="Arial" w:hAnsi="Arial" w:cs="Arial"/>
        </w:rPr>
        <w:t>net</w:t>
      </w:r>
      <w:proofErr w:type="spellEnd"/>
      <w:r w:rsidR="00B70BB1" w:rsidRPr="009F29C6">
        <w:rPr>
          <w:rStyle w:val="AERbody"/>
          <w:rFonts w:ascii="Arial" w:hAnsi="Arial" w:cs="Arial"/>
        </w:rPr>
        <w:t xml:space="preserve"> </w:t>
      </w:r>
      <w:r w:rsidRPr="009F29C6">
        <w:rPr>
          <w:rStyle w:val="AERbody"/>
          <w:rFonts w:ascii="Arial" w:hAnsi="Arial" w:cs="Arial"/>
        </w:rPr>
        <w:t xml:space="preserve">Gas submission also </w:t>
      </w:r>
      <w:r w:rsidR="008006EB" w:rsidRPr="009F29C6">
        <w:rPr>
          <w:rStyle w:val="AERbody"/>
          <w:rFonts w:ascii="Arial" w:hAnsi="Arial" w:cs="Arial"/>
        </w:rPr>
        <w:t xml:space="preserve">made a number of </w:t>
      </w:r>
      <w:r w:rsidR="004A48C8" w:rsidRPr="009F29C6">
        <w:rPr>
          <w:rStyle w:val="AERbody"/>
          <w:rFonts w:ascii="Arial" w:hAnsi="Arial" w:cs="Arial"/>
        </w:rPr>
        <w:t>comments</w:t>
      </w:r>
      <w:r w:rsidR="008006EB" w:rsidRPr="009F29C6">
        <w:rPr>
          <w:rStyle w:val="AERbody"/>
          <w:rFonts w:ascii="Arial" w:hAnsi="Arial" w:cs="Arial"/>
        </w:rPr>
        <w:t xml:space="preserve"> on the ERC calculation</w:t>
      </w:r>
      <w:r w:rsidR="004A48C8" w:rsidRPr="009F29C6">
        <w:rPr>
          <w:rStyle w:val="AERbody"/>
          <w:rFonts w:ascii="Arial" w:hAnsi="Arial" w:cs="Arial"/>
        </w:rPr>
        <w:t>:</w:t>
      </w:r>
      <w:r w:rsidR="002B33C0" w:rsidRPr="009F29C6">
        <w:rPr>
          <w:rStyle w:val="FootnoteReference"/>
          <w:rFonts w:ascii="Arial" w:hAnsi="Arial" w:cs="Arial"/>
        </w:rPr>
        <w:footnoteReference w:id="45"/>
      </w:r>
    </w:p>
    <w:p w:rsidR="004A48C8" w:rsidRPr="009F29C6" w:rsidRDefault="004A48C8" w:rsidP="004A48C8">
      <w:pPr>
        <w:pStyle w:val="AERbulletlistfirststyle"/>
        <w:ind w:left="357" w:hanging="357"/>
        <w:rPr>
          <w:rFonts w:ascii="Arial" w:hAnsi="Arial" w:cs="Arial"/>
        </w:rPr>
      </w:pPr>
      <w:r w:rsidRPr="009F29C6">
        <w:rPr>
          <w:rFonts w:ascii="Arial" w:hAnsi="Arial" w:cs="Arial"/>
        </w:rPr>
        <w:t xml:space="preserve">The impact of revenue adjustments </w:t>
      </w:r>
      <w:r w:rsidR="0027688B">
        <w:rPr>
          <w:rFonts w:ascii="Arial" w:hAnsi="Arial" w:cs="Arial"/>
        </w:rPr>
        <w:t>efficiency benefit sharing scheme (</w:t>
      </w:r>
      <w:r w:rsidR="008418EB" w:rsidRPr="009F29C6">
        <w:rPr>
          <w:rFonts w:ascii="Arial" w:hAnsi="Arial" w:cs="Arial"/>
        </w:rPr>
        <w:t>EBSS</w:t>
      </w:r>
      <w:r w:rsidR="0027688B">
        <w:rPr>
          <w:rFonts w:ascii="Arial" w:hAnsi="Arial" w:cs="Arial"/>
        </w:rPr>
        <w:t>)</w:t>
      </w:r>
      <w:r w:rsidR="008418EB" w:rsidRPr="009F29C6">
        <w:rPr>
          <w:rFonts w:ascii="Arial" w:hAnsi="Arial" w:cs="Arial"/>
        </w:rPr>
        <w:t xml:space="preserve">, </w:t>
      </w:r>
      <w:r w:rsidR="0027688B">
        <w:rPr>
          <w:rFonts w:ascii="Arial" w:hAnsi="Arial" w:cs="Arial"/>
        </w:rPr>
        <w:t>capital expenditure sharing scheme (</w:t>
      </w:r>
      <w:r w:rsidR="008418EB" w:rsidRPr="009F29C6">
        <w:rPr>
          <w:rFonts w:ascii="Arial" w:hAnsi="Arial" w:cs="Arial"/>
        </w:rPr>
        <w:t>CESS</w:t>
      </w:r>
      <w:r w:rsidR="0027688B">
        <w:rPr>
          <w:rFonts w:ascii="Arial" w:hAnsi="Arial" w:cs="Arial"/>
        </w:rPr>
        <w:t>),</w:t>
      </w:r>
      <w:r w:rsidR="008418EB" w:rsidRPr="009F29C6">
        <w:rPr>
          <w:rFonts w:ascii="Arial" w:hAnsi="Arial" w:cs="Arial"/>
        </w:rPr>
        <w:t xml:space="preserve"> or other schemes) </w:t>
      </w:r>
      <w:r w:rsidRPr="009F29C6">
        <w:rPr>
          <w:rFonts w:ascii="Arial" w:hAnsi="Arial" w:cs="Arial"/>
        </w:rPr>
        <w:t>on the ERC calculation should be ‘consistent with the treatment of carry-overs</w:t>
      </w:r>
      <w:r w:rsidR="008006EB" w:rsidRPr="009F29C6">
        <w:rPr>
          <w:rFonts w:ascii="Arial" w:hAnsi="Arial" w:cs="Arial"/>
        </w:rPr>
        <w:t xml:space="preserve"> </w:t>
      </w:r>
      <w:r w:rsidRPr="009F29C6">
        <w:rPr>
          <w:rFonts w:ascii="Arial" w:hAnsi="Arial" w:cs="Arial"/>
        </w:rPr>
        <w:t>under the EBSS’, which is that the revenue adjustments do not bolster or diminish the estimate of retained cash flows.</w:t>
      </w:r>
    </w:p>
    <w:p w:rsidR="008418EB" w:rsidRPr="009F29C6" w:rsidRDefault="008418EB" w:rsidP="004A48C8">
      <w:pPr>
        <w:pStyle w:val="AERbulletlistfirststyle"/>
        <w:ind w:left="357" w:hanging="357"/>
        <w:rPr>
          <w:rFonts w:ascii="Arial" w:hAnsi="Arial" w:cs="Arial"/>
        </w:rPr>
      </w:pPr>
      <w:r w:rsidRPr="009F29C6">
        <w:rPr>
          <w:rFonts w:ascii="Arial" w:hAnsi="Arial" w:cs="Arial"/>
        </w:rPr>
        <w:t>The input variables for the ERC calculation should be subject to review.</w:t>
      </w:r>
    </w:p>
    <w:p w:rsidR="008418EB" w:rsidRPr="009F29C6" w:rsidRDefault="008418EB" w:rsidP="004A48C8">
      <w:pPr>
        <w:pStyle w:val="AERbulletlistfirststyle"/>
        <w:ind w:left="357" w:hanging="357"/>
        <w:rPr>
          <w:rFonts w:ascii="Arial" w:hAnsi="Arial" w:cs="Arial"/>
        </w:rPr>
      </w:pPr>
      <w:r w:rsidRPr="009F29C6">
        <w:rPr>
          <w:rFonts w:ascii="Arial" w:hAnsi="Arial" w:cs="Arial"/>
        </w:rPr>
        <w:t>The gross capital expenditure, rather than net capital expenditure (after the deduction of capital contributions) is the relevant cash flow for the ERC calculations. As a result, the framework needed to change to reflect the additional dividend distributions arising from customer contributions, both in terms of ensuring that shareholders can realise the benefits from gamma and in the need for additional complimentary capital expenditure.</w:t>
      </w:r>
    </w:p>
    <w:p w:rsidR="004147B4" w:rsidRPr="009F29C6" w:rsidRDefault="009F29C6" w:rsidP="00D20311">
      <w:pPr>
        <w:pStyle w:val="AERbodytext"/>
        <w:numPr>
          <w:ilvl w:val="0"/>
          <w:numId w:val="0"/>
        </w:numPr>
        <w:rPr>
          <w:rStyle w:val="AERbody"/>
          <w:rFonts w:ascii="Arial" w:hAnsi="Arial" w:cs="Arial"/>
        </w:rPr>
      </w:pPr>
      <w:r w:rsidRPr="009F29C6">
        <w:rPr>
          <w:rStyle w:val="AERbody"/>
          <w:rFonts w:ascii="Arial" w:hAnsi="Arial" w:cs="Arial"/>
        </w:rPr>
        <w:t>In response to the first point, t</w:t>
      </w:r>
      <w:r w:rsidR="008418EB" w:rsidRPr="009F29C6">
        <w:rPr>
          <w:rStyle w:val="AERbody"/>
          <w:rFonts w:ascii="Arial" w:hAnsi="Arial" w:cs="Arial"/>
        </w:rPr>
        <w:t xml:space="preserve">he final amended PTRM now more transparently presents the effect of revenue adjustments on the ERC calculation. </w:t>
      </w:r>
      <w:r w:rsidR="004147B4" w:rsidRPr="009F29C6">
        <w:rPr>
          <w:rStyle w:val="AERbody"/>
          <w:rFonts w:ascii="Arial" w:hAnsi="Arial" w:cs="Arial"/>
        </w:rPr>
        <w:t>The submission appears to have concluded from a note in the proposed amended PTRM that the AER currently excludes EBSS revenues from the ERC calculation. That is not the case</w:t>
      </w:r>
      <w:r w:rsidR="002B33C0" w:rsidRPr="009F29C6">
        <w:rPr>
          <w:rStyle w:val="AERbody"/>
          <w:rFonts w:ascii="Arial" w:hAnsi="Arial" w:cs="Arial"/>
        </w:rPr>
        <w:t>. T</w:t>
      </w:r>
      <w:r w:rsidR="004147B4" w:rsidRPr="009F29C6">
        <w:rPr>
          <w:rStyle w:val="AERbody"/>
          <w:rFonts w:ascii="Arial" w:hAnsi="Arial" w:cs="Arial"/>
        </w:rPr>
        <w:t xml:space="preserve">he EBSS revenues were included </w:t>
      </w:r>
      <w:r w:rsidR="002B33C0" w:rsidRPr="009F29C6">
        <w:rPr>
          <w:rStyle w:val="AERbody"/>
          <w:rFonts w:ascii="Arial" w:hAnsi="Arial" w:cs="Arial"/>
        </w:rPr>
        <w:t xml:space="preserve">with the </w:t>
      </w:r>
      <w:proofErr w:type="spellStart"/>
      <w:r w:rsidR="004147B4" w:rsidRPr="009F29C6">
        <w:rPr>
          <w:rStyle w:val="AERbody"/>
          <w:rFonts w:ascii="Arial" w:hAnsi="Arial" w:cs="Arial"/>
        </w:rPr>
        <w:t>opex</w:t>
      </w:r>
      <w:proofErr w:type="spellEnd"/>
      <w:r w:rsidR="004147B4" w:rsidRPr="009F29C6">
        <w:rPr>
          <w:rStyle w:val="AERbody"/>
          <w:rFonts w:ascii="Arial" w:hAnsi="Arial" w:cs="Arial"/>
        </w:rPr>
        <w:t xml:space="preserve"> </w:t>
      </w:r>
      <w:r w:rsidR="002B33C0" w:rsidRPr="009F29C6">
        <w:rPr>
          <w:rStyle w:val="AERbody"/>
          <w:rFonts w:ascii="Arial" w:hAnsi="Arial" w:cs="Arial"/>
        </w:rPr>
        <w:t xml:space="preserve">building block </w:t>
      </w:r>
      <w:r w:rsidR="004147B4" w:rsidRPr="009F29C6">
        <w:rPr>
          <w:rStyle w:val="AERbody"/>
          <w:rFonts w:ascii="Arial" w:hAnsi="Arial" w:cs="Arial"/>
        </w:rPr>
        <w:t>in the previous PTRM</w:t>
      </w:r>
      <w:r w:rsidR="002B33C0" w:rsidRPr="009F29C6">
        <w:rPr>
          <w:rStyle w:val="AERbody"/>
          <w:rFonts w:ascii="Arial" w:hAnsi="Arial" w:cs="Arial"/>
        </w:rPr>
        <w:t xml:space="preserve"> (version 2), both as a contribution to total revenue and as a cash</w:t>
      </w:r>
      <w:r w:rsidR="00190CA4">
        <w:rPr>
          <w:rStyle w:val="AERbody"/>
          <w:rFonts w:ascii="Arial" w:hAnsi="Arial" w:cs="Arial"/>
        </w:rPr>
        <w:t xml:space="preserve"> </w:t>
      </w:r>
      <w:r w:rsidR="002B33C0" w:rsidRPr="009F29C6">
        <w:rPr>
          <w:rStyle w:val="AERbody"/>
          <w:rFonts w:ascii="Arial" w:hAnsi="Arial" w:cs="Arial"/>
        </w:rPr>
        <w:t xml:space="preserve">flow deduction. As such, they </w:t>
      </w:r>
      <w:r w:rsidR="004147B4" w:rsidRPr="009F29C6">
        <w:rPr>
          <w:rStyle w:val="AERbody"/>
          <w:rFonts w:ascii="Arial" w:hAnsi="Arial" w:cs="Arial"/>
        </w:rPr>
        <w:t xml:space="preserve">did not need to be added separately to revenues in the ERC calculation. The note in the </w:t>
      </w:r>
      <w:r w:rsidR="002B33C0" w:rsidRPr="009F29C6">
        <w:rPr>
          <w:rStyle w:val="AERbody"/>
          <w:rFonts w:ascii="Arial" w:hAnsi="Arial" w:cs="Arial"/>
        </w:rPr>
        <w:t xml:space="preserve">proposed amended PTRM </w:t>
      </w:r>
      <w:r w:rsidR="004147B4" w:rsidRPr="009F29C6">
        <w:rPr>
          <w:rStyle w:val="AERbody"/>
          <w:rFonts w:ascii="Arial" w:hAnsi="Arial" w:cs="Arial"/>
        </w:rPr>
        <w:t>was to make clear we were not double counting these revenues.</w:t>
      </w:r>
      <w:r w:rsidR="002B33C0" w:rsidRPr="009F29C6">
        <w:rPr>
          <w:rStyle w:val="AERbody"/>
          <w:rFonts w:ascii="Arial" w:hAnsi="Arial" w:cs="Arial"/>
        </w:rPr>
        <w:t xml:space="preserve"> The new layout in the final amended PTRM makes clear that all categories of revenue adjustments will be treated consistent with the treatment of EBSS in the prior version.</w:t>
      </w:r>
    </w:p>
    <w:p w:rsidR="002B33C0" w:rsidRPr="009F29C6" w:rsidRDefault="002B33C0" w:rsidP="00D20311">
      <w:pPr>
        <w:pStyle w:val="AERbodytext"/>
        <w:numPr>
          <w:ilvl w:val="0"/>
          <w:numId w:val="0"/>
        </w:numPr>
        <w:rPr>
          <w:rStyle w:val="AERbody"/>
          <w:rFonts w:ascii="Arial" w:hAnsi="Arial" w:cs="Arial"/>
        </w:rPr>
      </w:pPr>
      <w:r w:rsidRPr="009F29C6">
        <w:rPr>
          <w:rStyle w:val="AERbody"/>
          <w:rFonts w:ascii="Arial" w:hAnsi="Arial" w:cs="Arial"/>
        </w:rPr>
        <w:lastRenderedPageBreak/>
        <w:t xml:space="preserve">We agree that the </w:t>
      </w:r>
      <w:r w:rsidR="00F70778" w:rsidRPr="009F29C6">
        <w:rPr>
          <w:rStyle w:val="AERbody"/>
          <w:rFonts w:ascii="Arial" w:hAnsi="Arial" w:cs="Arial"/>
        </w:rPr>
        <w:t xml:space="preserve">ERC </w:t>
      </w:r>
      <w:r w:rsidRPr="009F29C6">
        <w:rPr>
          <w:rStyle w:val="AERbody"/>
          <w:rFonts w:ascii="Arial" w:hAnsi="Arial" w:cs="Arial"/>
        </w:rPr>
        <w:t xml:space="preserve">input variables should be updated from time to time, </w:t>
      </w:r>
      <w:r w:rsidR="00F70778" w:rsidRPr="009F29C6">
        <w:rPr>
          <w:rStyle w:val="AERbody"/>
          <w:rFonts w:ascii="Arial" w:hAnsi="Arial" w:cs="Arial"/>
        </w:rPr>
        <w:t xml:space="preserve">and the current PTRM maintains these as inputs to the model (rather than hard coding values, </w:t>
      </w:r>
      <w:r w:rsidR="00B66765">
        <w:rPr>
          <w:rStyle w:val="AERbody"/>
          <w:rFonts w:ascii="Arial" w:hAnsi="Arial" w:cs="Arial"/>
        </w:rPr>
        <w:t>which would make updating more difficult</w:t>
      </w:r>
      <w:r w:rsidR="00F70778" w:rsidRPr="009F29C6">
        <w:rPr>
          <w:rStyle w:val="AERbody"/>
          <w:rFonts w:ascii="Arial" w:hAnsi="Arial" w:cs="Arial"/>
        </w:rPr>
        <w:t>). We have not attempted to revise the values for these inputs as part of the PTRM update process.</w:t>
      </w:r>
      <w:r w:rsidR="00BD49B9">
        <w:rPr>
          <w:rStyle w:val="FootnoteReference"/>
          <w:rFonts w:ascii="Arial" w:hAnsi="Arial" w:cs="Arial"/>
        </w:rPr>
        <w:footnoteReference w:id="46"/>
      </w:r>
    </w:p>
    <w:p w:rsidR="00C25545" w:rsidRPr="009A5FAF" w:rsidRDefault="00FA0608" w:rsidP="00D20311">
      <w:pPr>
        <w:pStyle w:val="AERbodytext"/>
        <w:numPr>
          <w:ilvl w:val="0"/>
          <w:numId w:val="0"/>
        </w:numPr>
        <w:rPr>
          <w:rStyle w:val="AERbody"/>
          <w:rFonts w:ascii="Arial" w:hAnsi="Arial" w:cs="Arial"/>
        </w:rPr>
      </w:pPr>
      <w:r w:rsidRPr="009F29C6">
        <w:rPr>
          <w:rStyle w:val="AERbody"/>
          <w:rFonts w:ascii="Arial" w:hAnsi="Arial" w:cs="Arial"/>
        </w:rPr>
        <w:t xml:space="preserve">We </w:t>
      </w:r>
      <w:r w:rsidR="00F70778" w:rsidRPr="009F29C6">
        <w:rPr>
          <w:rStyle w:val="AERbody"/>
          <w:rFonts w:ascii="Arial" w:hAnsi="Arial" w:cs="Arial"/>
        </w:rPr>
        <w:t>consider that the ERC calculation is correct to consider net capex (after deducting capital contributions) as the relevant cash flow</w:t>
      </w:r>
      <w:r w:rsidRPr="009F29C6">
        <w:rPr>
          <w:rStyle w:val="AERbody"/>
          <w:rFonts w:ascii="Arial" w:hAnsi="Arial" w:cs="Arial"/>
        </w:rPr>
        <w:t>. It is not the gross capex that the service provider needs to raise funds for</w:t>
      </w:r>
      <w:r w:rsidR="00175051" w:rsidRPr="009F29C6">
        <w:rPr>
          <w:rStyle w:val="AERbody"/>
          <w:rFonts w:ascii="Arial" w:hAnsi="Arial" w:cs="Arial"/>
        </w:rPr>
        <w:t xml:space="preserve">, but rather the net capex, with </w:t>
      </w:r>
      <w:r w:rsidRPr="009F29C6">
        <w:rPr>
          <w:rStyle w:val="AERbody"/>
          <w:rFonts w:ascii="Arial" w:hAnsi="Arial" w:cs="Arial"/>
        </w:rPr>
        <w:t xml:space="preserve">customers </w:t>
      </w:r>
      <w:r w:rsidR="00175051" w:rsidRPr="009F29C6">
        <w:rPr>
          <w:rStyle w:val="AERbody"/>
          <w:rFonts w:ascii="Arial" w:hAnsi="Arial" w:cs="Arial"/>
        </w:rPr>
        <w:t>contributing the difference</w:t>
      </w:r>
      <w:r w:rsidRPr="009F29C6">
        <w:rPr>
          <w:rStyle w:val="AERbody"/>
          <w:rFonts w:ascii="Arial" w:hAnsi="Arial" w:cs="Arial"/>
        </w:rPr>
        <w:t xml:space="preserve">. </w:t>
      </w:r>
      <w:r w:rsidR="00F70778" w:rsidRPr="009F29C6">
        <w:rPr>
          <w:rStyle w:val="AERbody"/>
          <w:rFonts w:ascii="Arial" w:hAnsi="Arial" w:cs="Arial"/>
        </w:rPr>
        <w:t xml:space="preserve">Further, the PTRM correctly models tax implications arising from these capital contributions. The calculation of retained earnings </w:t>
      </w:r>
      <w:r w:rsidR="009F29C6" w:rsidRPr="009F29C6">
        <w:rPr>
          <w:rStyle w:val="AERbody"/>
          <w:rFonts w:ascii="Arial" w:hAnsi="Arial" w:cs="Arial"/>
        </w:rPr>
        <w:t xml:space="preserve">on the </w:t>
      </w:r>
      <w:r w:rsidR="009F29C6" w:rsidRPr="009F29C6">
        <w:rPr>
          <w:rStyle w:val="AERbody"/>
          <w:rFonts w:ascii="Arial" w:hAnsi="Arial" w:cs="Arial"/>
          <w:i/>
        </w:rPr>
        <w:t>Equity Raising Costs</w:t>
      </w:r>
      <w:r w:rsidR="009F29C6" w:rsidRPr="009F29C6">
        <w:rPr>
          <w:rStyle w:val="AERbody"/>
          <w:rFonts w:ascii="Arial" w:hAnsi="Arial" w:cs="Arial"/>
        </w:rPr>
        <w:t xml:space="preserve"> </w:t>
      </w:r>
      <w:r w:rsidR="00666427">
        <w:rPr>
          <w:rStyle w:val="AERbody"/>
          <w:rFonts w:ascii="Arial" w:hAnsi="Arial" w:cs="Arial"/>
        </w:rPr>
        <w:t>work</w:t>
      </w:r>
      <w:r w:rsidR="009F29C6" w:rsidRPr="009F29C6">
        <w:rPr>
          <w:rStyle w:val="AERbody"/>
          <w:rFonts w:ascii="Arial" w:hAnsi="Arial" w:cs="Arial"/>
        </w:rPr>
        <w:t xml:space="preserve">sheet </w:t>
      </w:r>
      <w:r w:rsidR="00F70778" w:rsidRPr="009F29C6">
        <w:rPr>
          <w:rStyle w:val="AERbody"/>
          <w:rFonts w:ascii="Arial" w:hAnsi="Arial" w:cs="Arial"/>
        </w:rPr>
        <w:t xml:space="preserve">explicitly </w:t>
      </w:r>
      <w:r w:rsidR="009F29C6" w:rsidRPr="009F29C6">
        <w:rPr>
          <w:rStyle w:val="AERbody"/>
          <w:rFonts w:ascii="Arial" w:hAnsi="Arial" w:cs="Arial"/>
        </w:rPr>
        <w:t xml:space="preserve">models the dividends to be distributed such that </w:t>
      </w:r>
      <w:r w:rsidR="00F70778" w:rsidRPr="009F29C6">
        <w:rPr>
          <w:rStyle w:val="AERbody"/>
          <w:rFonts w:ascii="Arial" w:hAnsi="Arial" w:cs="Arial"/>
        </w:rPr>
        <w:t xml:space="preserve">shareholders are certain to realise the </w:t>
      </w:r>
      <w:r w:rsidR="009F29C6" w:rsidRPr="009F29C6">
        <w:rPr>
          <w:rStyle w:val="AERbody"/>
          <w:rFonts w:ascii="Arial" w:hAnsi="Arial" w:cs="Arial"/>
        </w:rPr>
        <w:t xml:space="preserve">value of imputation credits consistent </w:t>
      </w:r>
      <w:r w:rsidR="00F70778" w:rsidRPr="009F29C6">
        <w:rPr>
          <w:rStyle w:val="AERbody"/>
          <w:rFonts w:ascii="Arial" w:hAnsi="Arial" w:cs="Arial"/>
        </w:rPr>
        <w:t>with the value of gamma</w:t>
      </w:r>
      <w:r w:rsidR="009F29C6" w:rsidRPr="009F29C6">
        <w:rPr>
          <w:rStyle w:val="AERbody"/>
          <w:rFonts w:ascii="Arial" w:hAnsi="Arial" w:cs="Arial"/>
        </w:rPr>
        <w:t xml:space="preserve"> used as an input to the model.</w:t>
      </w:r>
    </w:p>
    <w:p w:rsidR="007931B5" w:rsidRPr="009F29C6" w:rsidRDefault="007931B5" w:rsidP="007931B5">
      <w:pPr>
        <w:pStyle w:val="AERbodytext"/>
        <w:numPr>
          <w:ilvl w:val="0"/>
          <w:numId w:val="0"/>
        </w:numPr>
        <w:rPr>
          <w:rStyle w:val="AERtexthighlight"/>
          <w:rFonts w:ascii="Arial" w:hAnsi="Arial" w:cs="Arial"/>
        </w:rPr>
      </w:pPr>
      <w:r w:rsidRPr="009F29C6">
        <w:rPr>
          <w:rStyle w:val="AERbody"/>
          <w:rFonts w:ascii="Arial" w:hAnsi="Arial" w:cs="Arial"/>
        </w:rPr>
        <w:t xml:space="preserve">Finally, Networks NSW submitted that the </w:t>
      </w:r>
      <w:r w:rsidR="000C2A47" w:rsidRPr="009F29C6">
        <w:rPr>
          <w:rStyle w:val="AERbody"/>
          <w:rFonts w:ascii="Arial" w:hAnsi="Arial" w:cs="Arial"/>
        </w:rPr>
        <w:t>ERC</w:t>
      </w:r>
      <w:r w:rsidRPr="009F29C6">
        <w:rPr>
          <w:rStyle w:val="AERbody"/>
          <w:rFonts w:ascii="Arial" w:hAnsi="Arial" w:cs="Arial"/>
        </w:rPr>
        <w:t xml:space="preserve"> use the nominal closing RAB from the prior year to estimate the capital raising costs, when the nominal (inflated) opening RAB value should be used to ensure proper application of inflation.</w:t>
      </w:r>
      <w:r w:rsidR="00FA7347" w:rsidRPr="009F29C6">
        <w:rPr>
          <w:rStyle w:val="FootnoteReference"/>
          <w:rFonts w:ascii="Arial" w:hAnsi="Arial" w:cs="Arial"/>
        </w:rPr>
        <w:footnoteReference w:id="47"/>
      </w:r>
      <w:r w:rsidRPr="009F29C6">
        <w:rPr>
          <w:rFonts w:ascii="Arial" w:hAnsi="Arial" w:cs="Arial"/>
        </w:rPr>
        <w:t xml:space="preserve"> </w:t>
      </w:r>
      <w:r w:rsidRPr="009F29C6">
        <w:rPr>
          <w:rStyle w:val="AERbody"/>
          <w:rFonts w:ascii="Arial" w:hAnsi="Arial" w:cs="Arial"/>
        </w:rPr>
        <w:t xml:space="preserve">We have implemented this suggestion, noting that the change has no effect on the </w:t>
      </w:r>
      <w:r w:rsidR="000C2A47" w:rsidRPr="009F29C6">
        <w:rPr>
          <w:rStyle w:val="AERbody"/>
          <w:rFonts w:ascii="Arial" w:hAnsi="Arial" w:cs="Arial"/>
        </w:rPr>
        <w:t>ERC</w:t>
      </w:r>
      <w:r w:rsidRPr="009F29C6">
        <w:rPr>
          <w:rStyle w:val="AERbody"/>
          <w:rFonts w:ascii="Arial" w:hAnsi="Arial" w:cs="Arial"/>
        </w:rPr>
        <w:t xml:space="preserve"> calculation</w:t>
      </w:r>
      <w:r w:rsidR="000C2A47" w:rsidRPr="009F29C6">
        <w:rPr>
          <w:rStyle w:val="AERbody"/>
          <w:rFonts w:ascii="Arial" w:hAnsi="Arial" w:cs="Arial"/>
        </w:rPr>
        <w:t xml:space="preserve"> itself</w:t>
      </w:r>
      <w:r w:rsidRPr="009F29C6">
        <w:rPr>
          <w:rStyle w:val="AERbody"/>
          <w:rFonts w:ascii="Arial" w:hAnsi="Arial" w:cs="Arial"/>
        </w:rPr>
        <w:t>.</w:t>
      </w:r>
      <w:r w:rsidRPr="009F29C6">
        <w:rPr>
          <w:rStyle w:val="FootnoteReference"/>
          <w:rFonts w:ascii="Arial" w:hAnsi="Arial" w:cs="Arial"/>
        </w:rPr>
        <w:footnoteReference w:id="48"/>
      </w:r>
    </w:p>
    <w:p w:rsidR="00FE3C04" w:rsidRPr="009F29C6" w:rsidRDefault="00FE3C04" w:rsidP="00061663">
      <w:pPr>
        <w:pStyle w:val="Heading3"/>
        <w:rPr>
          <w:rFonts w:ascii="Arial" w:hAnsi="Arial" w:cs="Arial"/>
        </w:rPr>
      </w:pPr>
      <w:bookmarkStart w:id="31" w:name="_Toc408926610"/>
      <w:r w:rsidRPr="009F29C6">
        <w:rPr>
          <w:rFonts w:ascii="Arial" w:hAnsi="Arial" w:cs="Arial"/>
        </w:rPr>
        <w:t>Debt raising cost</w:t>
      </w:r>
      <w:r w:rsidR="00BE6E9B" w:rsidRPr="009F29C6">
        <w:rPr>
          <w:rFonts w:ascii="Arial" w:hAnsi="Arial" w:cs="Arial"/>
        </w:rPr>
        <w:t>s</w:t>
      </w:r>
      <w:r w:rsidRPr="009F29C6">
        <w:rPr>
          <w:rFonts w:ascii="Arial" w:hAnsi="Arial" w:cs="Arial"/>
        </w:rPr>
        <w:t xml:space="preserve"> calculation</w:t>
      </w:r>
      <w:bookmarkEnd w:id="31"/>
    </w:p>
    <w:p w:rsidR="00FE3C04" w:rsidRPr="009F29C6" w:rsidRDefault="00FE3C04" w:rsidP="00FE3C04">
      <w:pPr>
        <w:pStyle w:val="AERbodytext"/>
        <w:numPr>
          <w:ilvl w:val="0"/>
          <w:numId w:val="0"/>
        </w:numPr>
        <w:rPr>
          <w:rFonts w:ascii="Arial" w:hAnsi="Arial" w:cs="Arial"/>
        </w:rPr>
      </w:pPr>
      <w:r w:rsidRPr="009F29C6">
        <w:rPr>
          <w:rFonts w:ascii="Arial" w:hAnsi="Arial" w:cs="Arial"/>
        </w:rPr>
        <w:t xml:space="preserve">Networks NSW submitted that (as with equity raising costs) the debt raising </w:t>
      </w:r>
      <w:r w:rsidRPr="009F29C6">
        <w:rPr>
          <w:rStyle w:val="AERbody"/>
          <w:rFonts w:ascii="Arial" w:hAnsi="Arial" w:cs="Arial"/>
        </w:rPr>
        <w:t>cost</w:t>
      </w:r>
      <w:r w:rsidR="00BE6E9B" w:rsidRPr="009F29C6">
        <w:rPr>
          <w:rStyle w:val="AERbody"/>
          <w:rFonts w:ascii="Arial" w:hAnsi="Arial" w:cs="Arial"/>
        </w:rPr>
        <w:t>s</w:t>
      </w:r>
      <w:r w:rsidRPr="009F29C6">
        <w:rPr>
          <w:rStyle w:val="AERbody"/>
          <w:rFonts w:ascii="Arial" w:hAnsi="Arial" w:cs="Arial"/>
        </w:rPr>
        <w:t xml:space="preserve"> calculation should use the nominal (inflated) opening RAB value, rather than nominal closing RAB from the prior year as in </w:t>
      </w:r>
      <w:r w:rsidR="00425881" w:rsidRPr="009F29C6">
        <w:rPr>
          <w:rStyle w:val="AERbody"/>
          <w:rFonts w:ascii="Arial" w:hAnsi="Arial" w:cs="Arial"/>
        </w:rPr>
        <w:t xml:space="preserve">version 2 of the </w:t>
      </w:r>
      <w:r w:rsidR="007931B5" w:rsidRPr="009F29C6">
        <w:rPr>
          <w:rStyle w:val="AERbody"/>
          <w:rFonts w:ascii="Arial" w:hAnsi="Arial" w:cs="Arial"/>
        </w:rPr>
        <w:t>TNSP PTRM.</w:t>
      </w:r>
      <w:r w:rsidR="007931B5" w:rsidRPr="009F29C6">
        <w:rPr>
          <w:rStyle w:val="FootnoteReference"/>
          <w:rFonts w:ascii="Arial" w:hAnsi="Arial" w:cs="Arial"/>
        </w:rPr>
        <w:footnoteReference w:id="49"/>
      </w:r>
      <w:r w:rsidR="007931B5" w:rsidRPr="009F29C6">
        <w:rPr>
          <w:rStyle w:val="AERbody"/>
          <w:rFonts w:ascii="Arial" w:hAnsi="Arial" w:cs="Arial"/>
        </w:rPr>
        <w:t xml:space="preserve"> </w:t>
      </w:r>
      <w:r w:rsidRPr="009F29C6">
        <w:rPr>
          <w:rStyle w:val="AERbody"/>
          <w:rFonts w:ascii="Arial" w:hAnsi="Arial" w:cs="Arial"/>
        </w:rPr>
        <w:t xml:space="preserve">We have implemented this suggestion, noting that the change </w:t>
      </w:r>
      <w:r w:rsidR="007931B5" w:rsidRPr="009F29C6">
        <w:rPr>
          <w:rStyle w:val="AERbody"/>
          <w:rFonts w:ascii="Arial" w:hAnsi="Arial" w:cs="Arial"/>
        </w:rPr>
        <w:t>will result in a slight increase in the calculated cost</w:t>
      </w:r>
      <w:r w:rsidR="00BE6E9B" w:rsidRPr="009F29C6">
        <w:rPr>
          <w:rStyle w:val="AERbody"/>
          <w:rFonts w:ascii="Arial" w:hAnsi="Arial" w:cs="Arial"/>
        </w:rPr>
        <w:t>s</w:t>
      </w:r>
      <w:r w:rsidR="007931B5" w:rsidRPr="009F29C6">
        <w:rPr>
          <w:rStyle w:val="AERbody"/>
          <w:rFonts w:ascii="Arial" w:hAnsi="Arial" w:cs="Arial"/>
        </w:rPr>
        <w:t xml:space="preserve"> of raising debt (reflecting one year’s inflation).</w:t>
      </w:r>
    </w:p>
    <w:p w:rsidR="00566FE5" w:rsidRPr="009F29C6" w:rsidRDefault="00566FE5" w:rsidP="00061663">
      <w:pPr>
        <w:pStyle w:val="Heading3"/>
        <w:rPr>
          <w:rFonts w:ascii="Arial" w:hAnsi="Arial" w:cs="Arial"/>
        </w:rPr>
      </w:pPr>
      <w:bookmarkStart w:id="32" w:name="_Toc408926611"/>
      <w:r w:rsidRPr="009F29C6">
        <w:rPr>
          <w:rFonts w:ascii="Arial" w:hAnsi="Arial" w:cs="Arial"/>
        </w:rPr>
        <w:t>X factor recalculation</w:t>
      </w:r>
      <w:bookmarkEnd w:id="32"/>
    </w:p>
    <w:p w:rsidR="00D330F7" w:rsidRPr="009F29C6" w:rsidRDefault="00566FE5" w:rsidP="00064605">
      <w:pPr>
        <w:pStyle w:val="AERbodytext"/>
        <w:numPr>
          <w:ilvl w:val="0"/>
          <w:numId w:val="0"/>
        </w:numPr>
        <w:rPr>
          <w:rFonts w:ascii="Arial" w:hAnsi="Arial" w:cs="Arial"/>
        </w:rPr>
      </w:pPr>
      <w:r w:rsidRPr="009F29C6">
        <w:rPr>
          <w:rFonts w:ascii="Arial" w:hAnsi="Arial" w:cs="Arial"/>
        </w:rPr>
        <w:t xml:space="preserve">With the annual </w:t>
      </w:r>
      <w:r w:rsidR="00525F67" w:rsidRPr="009F29C6">
        <w:rPr>
          <w:rFonts w:ascii="Arial" w:hAnsi="Arial" w:cs="Arial"/>
        </w:rPr>
        <w:t xml:space="preserve">return on debt </w:t>
      </w:r>
      <w:r w:rsidRPr="009F29C6">
        <w:rPr>
          <w:rFonts w:ascii="Arial" w:hAnsi="Arial" w:cs="Arial"/>
        </w:rPr>
        <w:t xml:space="preserve">update </w:t>
      </w:r>
      <w:r w:rsidR="00525F67" w:rsidRPr="009F29C6">
        <w:rPr>
          <w:rFonts w:ascii="Arial" w:hAnsi="Arial" w:cs="Arial"/>
        </w:rPr>
        <w:t>in</w:t>
      </w:r>
      <w:r w:rsidRPr="009F29C6">
        <w:rPr>
          <w:rFonts w:ascii="Arial" w:hAnsi="Arial" w:cs="Arial"/>
        </w:rPr>
        <w:t xml:space="preserve"> the PTRM, the X factor will </w:t>
      </w:r>
      <w:r w:rsidR="00525F67" w:rsidRPr="009F29C6">
        <w:rPr>
          <w:rFonts w:ascii="Arial" w:hAnsi="Arial" w:cs="Arial"/>
        </w:rPr>
        <w:t xml:space="preserve">also need to </w:t>
      </w:r>
      <w:r w:rsidRPr="009F29C6">
        <w:rPr>
          <w:rFonts w:ascii="Arial" w:hAnsi="Arial" w:cs="Arial"/>
        </w:rPr>
        <w:t>be updated annually.</w:t>
      </w:r>
      <w:r w:rsidR="00840E18" w:rsidRPr="009F29C6">
        <w:rPr>
          <w:rStyle w:val="FootnoteReference"/>
          <w:rFonts w:ascii="Arial" w:hAnsi="Arial" w:cs="Arial"/>
        </w:rPr>
        <w:footnoteReference w:id="50"/>
      </w:r>
      <w:r w:rsidRPr="009F29C6">
        <w:rPr>
          <w:rFonts w:ascii="Arial" w:hAnsi="Arial" w:cs="Arial"/>
        </w:rPr>
        <w:t xml:space="preserve"> </w:t>
      </w:r>
      <w:r w:rsidR="006A08ED" w:rsidRPr="009F29C6">
        <w:rPr>
          <w:rFonts w:ascii="Arial" w:hAnsi="Arial" w:cs="Arial"/>
        </w:rPr>
        <w:t>The building block revenues will be updated and the revenues resmoothed to determine revised X factors from year 2 onwards</w:t>
      </w:r>
      <w:r w:rsidR="006D27F4" w:rsidRPr="009F29C6">
        <w:rPr>
          <w:rFonts w:ascii="Arial" w:hAnsi="Arial" w:cs="Arial"/>
        </w:rPr>
        <w:t xml:space="preserve"> of a regulatory control period</w:t>
      </w:r>
      <w:r w:rsidR="006A08ED" w:rsidRPr="009F29C6">
        <w:rPr>
          <w:rFonts w:ascii="Arial" w:hAnsi="Arial" w:cs="Arial"/>
        </w:rPr>
        <w:t xml:space="preserve">. </w:t>
      </w:r>
      <w:r w:rsidR="00D20311" w:rsidRPr="009F29C6">
        <w:rPr>
          <w:rFonts w:ascii="Arial" w:hAnsi="Arial" w:cs="Arial"/>
        </w:rPr>
        <w:t>T</w:t>
      </w:r>
      <w:r w:rsidRPr="009F29C6">
        <w:rPr>
          <w:rFonts w:ascii="Arial" w:hAnsi="Arial" w:cs="Arial"/>
        </w:rPr>
        <w:t xml:space="preserve">he </w:t>
      </w:r>
      <w:r w:rsidRPr="009F29C6">
        <w:rPr>
          <w:rStyle w:val="AERtextitalic"/>
          <w:rFonts w:ascii="Arial" w:hAnsi="Arial" w:cs="Arial"/>
        </w:rPr>
        <w:t>X factors</w:t>
      </w:r>
      <w:r w:rsidRPr="009F29C6">
        <w:rPr>
          <w:rFonts w:ascii="Arial" w:hAnsi="Arial" w:cs="Arial"/>
        </w:rPr>
        <w:t xml:space="preserve"> </w:t>
      </w:r>
      <w:r w:rsidR="00525F67" w:rsidRPr="009F29C6">
        <w:rPr>
          <w:rFonts w:ascii="Arial" w:hAnsi="Arial" w:cs="Arial"/>
        </w:rPr>
        <w:t>work</w:t>
      </w:r>
      <w:r w:rsidR="00D20311" w:rsidRPr="009F29C6">
        <w:rPr>
          <w:rFonts w:ascii="Arial" w:hAnsi="Arial" w:cs="Arial"/>
        </w:rPr>
        <w:t>sheet</w:t>
      </w:r>
      <w:r w:rsidRPr="009F29C6">
        <w:rPr>
          <w:rFonts w:ascii="Arial" w:hAnsi="Arial" w:cs="Arial"/>
        </w:rPr>
        <w:t xml:space="preserve"> in the </w:t>
      </w:r>
      <w:r w:rsidR="00D20311" w:rsidRPr="009F29C6">
        <w:rPr>
          <w:rFonts w:ascii="Arial" w:hAnsi="Arial" w:cs="Arial"/>
        </w:rPr>
        <w:t xml:space="preserve">PTRMs </w:t>
      </w:r>
      <w:r w:rsidRPr="009F29C6">
        <w:rPr>
          <w:rFonts w:ascii="Arial" w:hAnsi="Arial" w:cs="Arial"/>
        </w:rPr>
        <w:t>include revised X factor calculation buttons</w:t>
      </w:r>
      <w:r w:rsidR="00866079" w:rsidRPr="009F29C6">
        <w:rPr>
          <w:rFonts w:ascii="Arial" w:hAnsi="Arial" w:cs="Arial"/>
        </w:rPr>
        <w:t xml:space="preserve"> with built in macros</w:t>
      </w:r>
      <w:r w:rsidRPr="009F29C6">
        <w:rPr>
          <w:rFonts w:ascii="Arial" w:hAnsi="Arial" w:cs="Arial"/>
        </w:rPr>
        <w:t xml:space="preserve">. </w:t>
      </w:r>
    </w:p>
    <w:p w:rsidR="00566FE5" w:rsidRPr="009F29C6" w:rsidRDefault="00D20311" w:rsidP="00064605">
      <w:pPr>
        <w:pStyle w:val="AERbodytext"/>
        <w:numPr>
          <w:ilvl w:val="0"/>
          <w:numId w:val="0"/>
        </w:numPr>
        <w:rPr>
          <w:rFonts w:ascii="Arial" w:hAnsi="Arial" w:cs="Arial"/>
        </w:rPr>
      </w:pPr>
      <w:r w:rsidRPr="009F29C6">
        <w:rPr>
          <w:rFonts w:ascii="Arial" w:hAnsi="Arial" w:cs="Arial"/>
        </w:rPr>
        <w:t>T</w:t>
      </w:r>
      <w:r w:rsidR="006A08ED" w:rsidRPr="009F29C6">
        <w:rPr>
          <w:rFonts w:ascii="Arial" w:hAnsi="Arial" w:cs="Arial"/>
        </w:rPr>
        <w:t>he updated X factor</w:t>
      </w:r>
      <w:r w:rsidR="00D330F7" w:rsidRPr="009F29C6">
        <w:rPr>
          <w:rFonts w:ascii="Arial" w:hAnsi="Arial" w:cs="Arial"/>
        </w:rPr>
        <w:t>s</w:t>
      </w:r>
      <w:r w:rsidR="006A08ED" w:rsidRPr="009F29C6">
        <w:rPr>
          <w:rFonts w:ascii="Arial" w:hAnsi="Arial" w:cs="Arial"/>
        </w:rPr>
        <w:t xml:space="preserve"> </w:t>
      </w:r>
      <w:r w:rsidR="00F00B5E" w:rsidRPr="009F29C6">
        <w:rPr>
          <w:rFonts w:ascii="Arial" w:hAnsi="Arial" w:cs="Arial"/>
        </w:rPr>
        <w:t>are</w:t>
      </w:r>
      <w:r w:rsidR="006A08ED" w:rsidRPr="009F29C6">
        <w:rPr>
          <w:rFonts w:ascii="Arial" w:hAnsi="Arial" w:cs="Arial"/>
        </w:rPr>
        <w:t xml:space="preserve"> determined such that the entire impact of the annual </w:t>
      </w:r>
      <w:r w:rsidR="00525F67" w:rsidRPr="009F29C6">
        <w:rPr>
          <w:rFonts w:ascii="Arial" w:hAnsi="Arial" w:cs="Arial"/>
        </w:rPr>
        <w:t>return on debt update</w:t>
      </w:r>
      <w:r w:rsidR="006A08ED" w:rsidRPr="009F29C6">
        <w:rPr>
          <w:rFonts w:ascii="Arial" w:hAnsi="Arial" w:cs="Arial"/>
        </w:rPr>
        <w:t xml:space="preserve"> is realised in the year to which the change relates.</w:t>
      </w:r>
      <w:r w:rsidR="00F00B5E" w:rsidRPr="009F29C6">
        <w:rPr>
          <w:rFonts w:ascii="Arial" w:hAnsi="Arial" w:cs="Arial"/>
        </w:rPr>
        <w:t xml:space="preserve"> </w:t>
      </w:r>
      <w:r w:rsidR="005D2E20" w:rsidRPr="009F29C6">
        <w:rPr>
          <w:rFonts w:ascii="Arial" w:hAnsi="Arial" w:cs="Arial"/>
        </w:rPr>
        <w:t>The approach for u</w:t>
      </w:r>
      <w:r w:rsidR="00566FE5" w:rsidRPr="009F29C6">
        <w:rPr>
          <w:rFonts w:ascii="Arial" w:hAnsi="Arial" w:cs="Arial"/>
        </w:rPr>
        <w:t xml:space="preserve">pdating the X factors is discussed in further detail in the </w:t>
      </w:r>
      <w:r w:rsidR="00525F67" w:rsidRPr="009F29C6">
        <w:rPr>
          <w:rFonts w:ascii="Arial" w:hAnsi="Arial" w:cs="Arial"/>
        </w:rPr>
        <w:t xml:space="preserve">PTRM </w:t>
      </w:r>
      <w:r w:rsidR="00566FE5" w:rsidRPr="009F29C6">
        <w:rPr>
          <w:rFonts w:ascii="Arial" w:hAnsi="Arial" w:cs="Arial"/>
        </w:rPr>
        <w:t>handbooks.</w:t>
      </w:r>
    </w:p>
    <w:p w:rsidR="00F00B5E" w:rsidRPr="009F29C6" w:rsidRDefault="00F00B5E" w:rsidP="00064605">
      <w:pPr>
        <w:pStyle w:val="AERbodytext"/>
        <w:numPr>
          <w:ilvl w:val="0"/>
          <w:numId w:val="0"/>
        </w:numPr>
        <w:rPr>
          <w:rFonts w:ascii="Arial" w:hAnsi="Arial" w:cs="Arial"/>
        </w:rPr>
      </w:pPr>
      <w:r w:rsidRPr="009F29C6">
        <w:rPr>
          <w:rFonts w:ascii="Arial" w:hAnsi="Arial" w:cs="Arial"/>
        </w:rPr>
        <w:t xml:space="preserve">No issues were raised by submissions regarding this change. </w:t>
      </w:r>
    </w:p>
    <w:p w:rsidR="00BD0308" w:rsidRPr="009F29C6" w:rsidRDefault="00BD0308" w:rsidP="007621C8">
      <w:pPr>
        <w:pStyle w:val="Heading3"/>
        <w:rPr>
          <w:rFonts w:ascii="Arial" w:hAnsi="Arial" w:cs="Arial"/>
        </w:rPr>
      </w:pPr>
      <w:bookmarkStart w:id="33" w:name="_Toc408926612"/>
      <w:r w:rsidRPr="009F29C6">
        <w:rPr>
          <w:rFonts w:ascii="Arial" w:hAnsi="Arial" w:cs="Arial"/>
        </w:rPr>
        <w:t>Revenue adjustments</w:t>
      </w:r>
      <w:bookmarkEnd w:id="33"/>
      <w:r w:rsidR="00A96EDF" w:rsidRPr="009F29C6">
        <w:rPr>
          <w:rFonts w:ascii="Arial" w:hAnsi="Arial" w:cs="Arial"/>
        </w:rPr>
        <w:t xml:space="preserve"> </w:t>
      </w:r>
    </w:p>
    <w:p w:rsidR="00A96EDF" w:rsidRPr="009F29C6" w:rsidRDefault="00A96EDF" w:rsidP="00443E76">
      <w:pPr>
        <w:pStyle w:val="AERbodytext"/>
        <w:rPr>
          <w:rFonts w:ascii="Arial" w:hAnsi="Arial" w:cs="Arial"/>
        </w:rPr>
      </w:pPr>
      <w:r w:rsidRPr="009F29C6">
        <w:rPr>
          <w:rFonts w:ascii="Arial" w:hAnsi="Arial" w:cs="Arial"/>
        </w:rPr>
        <w:t>There can be other revenue adjustments besides the standard building block components</w:t>
      </w:r>
      <w:r w:rsidR="00512E4B" w:rsidRPr="009F29C6">
        <w:rPr>
          <w:rFonts w:ascii="Arial" w:hAnsi="Arial" w:cs="Arial"/>
        </w:rPr>
        <w:t xml:space="preserve"> on occasion</w:t>
      </w:r>
      <w:r w:rsidRPr="009F29C6">
        <w:rPr>
          <w:rFonts w:ascii="Arial" w:hAnsi="Arial" w:cs="Arial"/>
        </w:rPr>
        <w:t>. To pick up these potential revenues adjustments</w:t>
      </w:r>
      <w:r w:rsidR="006D27F4" w:rsidRPr="009F29C6">
        <w:rPr>
          <w:rFonts w:ascii="Arial" w:hAnsi="Arial" w:cs="Arial"/>
        </w:rPr>
        <w:t xml:space="preserve"> as provided for in the NER</w:t>
      </w:r>
      <w:r w:rsidRPr="009F29C6">
        <w:rPr>
          <w:rFonts w:ascii="Arial" w:hAnsi="Arial" w:cs="Arial"/>
        </w:rPr>
        <w:t>, extra input sections have been added to the</w:t>
      </w:r>
      <w:r w:rsidR="00FA7347" w:rsidRPr="009F29C6">
        <w:rPr>
          <w:rFonts w:ascii="Arial" w:hAnsi="Arial" w:cs="Arial"/>
        </w:rPr>
        <w:t xml:space="preserve"> final amended</w:t>
      </w:r>
      <w:r w:rsidR="00594189" w:rsidRPr="009F29C6">
        <w:rPr>
          <w:rFonts w:ascii="Arial" w:hAnsi="Arial" w:cs="Arial"/>
        </w:rPr>
        <w:t xml:space="preserve"> </w:t>
      </w:r>
      <w:r w:rsidRPr="009F29C6">
        <w:rPr>
          <w:rFonts w:ascii="Arial" w:hAnsi="Arial" w:cs="Arial"/>
        </w:rPr>
        <w:t>PTRM</w:t>
      </w:r>
      <w:r w:rsidR="00FA7347" w:rsidRPr="009F29C6">
        <w:rPr>
          <w:rFonts w:ascii="Arial" w:hAnsi="Arial" w:cs="Arial"/>
        </w:rPr>
        <w:t>s</w:t>
      </w:r>
      <w:r w:rsidRPr="009F29C6">
        <w:rPr>
          <w:rFonts w:ascii="Arial" w:hAnsi="Arial" w:cs="Arial"/>
        </w:rPr>
        <w:t>.</w:t>
      </w:r>
      <w:r w:rsidR="00FA7347" w:rsidRPr="009F29C6">
        <w:rPr>
          <w:rFonts w:ascii="Arial" w:hAnsi="Arial" w:cs="Arial"/>
        </w:rPr>
        <w:t xml:space="preserve"> The treatment of revenue adjustments in the </w:t>
      </w:r>
      <w:r w:rsidR="00FA7347" w:rsidRPr="009F29C6">
        <w:rPr>
          <w:rFonts w:ascii="Arial" w:hAnsi="Arial" w:cs="Arial"/>
        </w:rPr>
        <w:lastRenderedPageBreak/>
        <w:t xml:space="preserve">final amended PTRMs differs from </w:t>
      </w:r>
      <w:r w:rsidR="00AB4B24" w:rsidRPr="009F29C6">
        <w:rPr>
          <w:rFonts w:ascii="Arial" w:hAnsi="Arial" w:cs="Arial"/>
        </w:rPr>
        <w:t>that in</w:t>
      </w:r>
      <w:r w:rsidR="00FA7347" w:rsidRPr="009F29C6">
        <w:rPr>
          <w:rFonts w:ascii="Arial" w:hAnsi="Arial" w:cs="Arial"/>
        </w:rPr>
        <w:t xml:space="preserve"> the proposed amended PTRMs (October 2014), reflecting our response to the submissions received</w:t>
      </w:r>
      <w:r w:rsidR="00AB4B24" w:rsidRPr="009F29C6">
        <w:rPr>
          <w:rFonts w:ascii="Arial" w:hAnsi="Arial" w:cs="Arial"/>
        </w:rPr>
        <w:t xml:space="preserve"> on these issues.</w:t>
      </w:r>
    </w:p>
    <w:p w:rsidR="00AB4B24" w:rsidRPr="009F29C6" w:rsidRDefault="00AB4B24" w:rsidP="00917236">
      <w:pPr>
        <w:pStyle w:val="AERbodytext"/>
        <w:rPr>
          <w:rFonts w:ascii="Arial" w:hAnsi="Arial" w:cs="Arial"/>
        </w:rPr>
      </w:pPr>
      <w:r w:rsidRPr="009F29C6">
        <w:rPr>
          <w:rFonts w:ascii="Arial" w:hAnsi="Arial" w:cs="Arial"/>
        </w:rPr>
        <w:t>Networks NSW submitted that the proposed amended PTRMs did not include all the different types of revenue adjustments (incentive revenue, control mechanism carryovers, and shared asset revenue) in the annual revenue requirement.</w:t>
      </w:r>
      <w:r w:rsidRPr="009F29C6">
        <w:rPr>
          <w:rStyle w:val="FootnoteReference"/>
          <w:rFonts w:ascii="Arial" w:hAnsi="Arial" w:cs="Arial"/>
        </w:rPr>
        <w:footnoteReference w:id="51"/>
      </w:r>
      <w:r w:rsidRPr="009F29C6">
        <w:rPr>
          <w:rFonts w:ascii="Arial" w:hAnsi="Arial" w:cs="Arial"/>
        </w:rPr>
        <w:t xml:space="preserve"> We understand this as a presentation issue which </w:t>
      </w:r>
      <w:r w:rsidR="00444C58">
        <w:rPr>
          <w:rFonts w:ascii="Arial" w:hAnsi="Arial" w:cs="Arial"/>
        </w:rPr>
        <w:t>arose because the proposed amended PTRM</w:t>
      </w:r>
      <w:r w:rsidR="00291F53">
        <w:rPr>
          <w:rFonts w:ascii="Arial" w:hAnsi="Arial" w:cs="Arial"/>
        </w:rPr>
        <w:t>s</w:t>
      </w:r>
      <w:r w:rsidR="00444C58">
        <w:rPr>
          <w:rFonts w:ascii="Arial" w:hAnsi="Arial" w:cs="Arial"/>
        </w:rPr>
        <w:t xml:space="preserve"> </w:t>
      </w:r>
      <w:r w:rsidRPr="009F29C6">
        <w:rPr>
          <w:rFonts w:ascii="Arial" w:hAnsi="Arial" w:cs="Arial"/>
        </w:rPr>
        <w:t>report</w:t>
      </w:r>
      <w:r w:rsidR="00444C58">
        <w:rPr>
          <w:rFonts w:ascii="Arial" w:hAnsi="Arial" w:cs="Arial"/>
        </w:rPr>
        <w:t>ed</w:t>
      </w:r>
      <w:r w:rsidRPr="009F29C6">
        <w:rPr>
          <w:rFonts w:ascii="Arial" w:hAnsi="Arial" w:cs="Arial"/>
        </w:rPr>
        <w:t xml:space="preserve"> </w:t>
      </w:r>
      <w:r w:rsidR="00444C58">
        <w:rPr>
          <w:rFonts w:ascii="Arial" w:hAnsi="Arial" w:cs="Arial"/>
        </w:rPr>
        <w:t xml:space="preserve">only </w:t>
      </w:r>
      <w:r w:rsidRPr="009F29C6">
        <w:rPr>
          <w:rFonts w:ascii="Arial" w:hAnsi="Arial" w:cs="Arial"/>
        </w:rPr>
        <w:t xml:space="preserve">some adjustments and categories on the </w:t>
      </w:r>
      <w:r w:rsidRPr="00291F53">
        <w:rPr>
          <w:rFonts w:ascii="Arial" w:hAnsi="Arial" w:cs="Arial"/>
          <w:i/>
        </w:rPr>
        <w:t>Analysis</w:t>
      </w:r>
      <w:r w:rsidRPr="009F29C6">
        <w:rPr>
          <w:rFonts w:ascii="Arial" w:hAnsi="Arial" w:cs="Arial"/>
        </w:rPr>
        <w:t xml:space="preserve"> </w:t>
      </w:r>
      <w:r w:rsidR="00666427">
        <w:rPr>
          <w:rFonts w:ascii="Arial" w:hAnsi="Arial" w:cs="Arial"/>
        </w:rPr>
        <w:t>work</w:t>
      </w:r>
      <w:r w:rsidRPr="009F29C6">
        <w:rPr>
          <w:rFonts w:ascii="Arial" w:hAnsi="Arial" w:cs="Arial"/>
        </w:rPr>
        <w:t xml:space="preserve">sheet, even though all </w:t>
      </w:r>
      <w:r w:rsidR="00444C58">
        <w:rPr>
          <w:rFonts w:ascii="Arial" w:hAnsi="Arial" w:cs="Arial"/>
        </w:rPr>
        <w:t>we</w:t>
      </w:r>
      <w:r w:rsidRPr="009F29C6">
        <w:rPr>
          <w:rFonts w:ascii="Arial" w:hAnsi="Arial" w:cs="Arial"/>
        </w:rPr>
        <w:t xml:space="preserve">re included in the annual revenue requirement used on the </w:t>
      </w:r>
      <w:r w:rsidRPr="00291F53">
        <w:rPr>
          <w:rFonts w:ascii="Arial" w:hAnsi="Arial" w:cs="Arial"/>
          <w:i/>
        </w:rPr>
        <w:t>X</w:t>
      </w:r>
      <w:r w:rsidR="00666427">
        <w:rPr>
          <w:rFonts w:ascii="Arial" w:hAnsi="Arial" w:cs="Arial"/>
          <w:i/>
        </w:rPr>
        <w:t> </w:t>
      </w:r>
      <w:r w:rsidRPr="00291F53">
        <w:rPr>
          <w:rFonts w:ascii="Arial" w:hAnsi="Arial" w:cs="Arial"/>
          <w:i/>
        </w:rPr>
        <w:t>factors</w:t>
      </w:r>
      <w:r w:rsidRPr="009F29C6">
        <w:rPr>
          <w:rFonts w:ascii="Arial" w:hAnsi="Arial" w:cs="Arial"/>
        </w:rPr>
        <w:t xml:space="preserve"> </w:t>
      </w:r>
      <w:r w:rsidR="00666427">
        <w:rPr>
          <w:rFonts w:ascii="Arial" w:hAnsi="Arial" w:cs="Arial"/>
        </w:rPr>
        <w:t>work</w:t>
      </w:r>
      <w:r w:rsidRPr="009F29C6">
        <w:rPr>
          <w:rFonts w:ascii="Arial" w:hAnsi="Arial" w:cs="Arial"/>
        </w:rPr>
        <w:t>sheet. The final amended PTRMs now consistently report all such adjustments</w:t>
      </w:r>
      <w:r w:rsidR="00594189" w:rsidRPr="009F29C6">
        <w:rPr>
          <w:rFonts w:ascii="Arial" w:hAnsi="Arial" w:cs="Arial"/>
        </w:rPr>
        <w:t xml:space="preserve"> across all </w:t>
      </w:r>
      <w:r w:rsidR="00666427">
        <w:rPr>
          <w:rFonts w:ascii="Arial" w:hAnsi="Arial" w:cs="Arial"/>
        </w:rPr>
        <w:t>work</w:t>
      </w:r>
      <w:r w:rsidR="00594189" w:rsidRPr="009F29C6">
        <w:rPr>
          <w:rFonts w:ascii="Arial" w:hAnsi="Arial" w:cs="Arial"/>
        </w:rPr>
        <w:t>sheets</w:t>
      </w:r>
      <w:r w:rsidRPr="009F29C6">
        <w:rPr>
          <w:rFonts w:ascii="Arial" w:hAnsi="Arial" w:cs="Arial"/>
        </w:rPr>
        <w:t xml:space="preserve">, </w:t>
      </w:r>
      <w:r w:rsidR="00594189" w:rsidRPr="009F29C6">
        <w:rPr>
          <w:rFonts w:ascii="Arial" w:hAnsi="Arial" w:cs="Arial"/>
        </w:rPr>
        <w:t>including the use of the category ‘Revenue adjustments’ when presenting the building block derivation of the annual revenue requirement</w:t>
      </w:r>
      <w:r w:rsidR="000C2A47" w:rsidRPr="009F29C6">
        <w:rPr>
          <w:rFonts w:ascii="Arial" w:hAnsi="Arial" w:cs="Arial"/>
        </w:rPr>
        <w:t xml:space="preserve">.  </w:t>
      </w:r>
    </w:p>
    <w:p w:rsidR="00720721" w:rsidRPr="009F29C6" w:rsidRDefault="00E06923" w:rsidP="00917236">
      <w:pPr>
        <w:pStyle w:val="AERbodytext"/>
        <w:rPr>
          <w:rFonts w:ascii="Arial" w:hAnsi="Arial" w:cs="Arial"/>
        </w:rPr>
      </w:pPr>
      <w:r w:rsidRPr="009F29C6">
        <w:rPr>
          <w:rFonts w:ascii="Arial" w:hAnsi="Arial" w:cs="Arial"/>
        </w:rPr>
        <w:t>Several</w:t>
      </w:r>
      <w:r w:rsidR="00D47BEC" w:rsidRPr="009F29C6">
        <w:rPr>
          <w:rFonts w:ascii="Arial" w:hAnsi="Arial" w:cs="Arial"/>
        </w:rPr>
        <w:t xml:space="preserve"> submissions raised concerns with the revenue adjustment related to </w:t>
      </w:r>
      <w:proofErr w:type="gramStart"/>
      <w:r w:rsidR="00D47BEC" w:rsidRPr="009F29C6">
        <w:rPr>
          <w:rFonts w:ascii="Arial" w:hAnsi="Arial" w:cs="Arial"/>
        </w:rPr>
        <w:t>shared</w:t>
      </w:r>
      <w:proofErr w:type="gramEnd"/>
      <w:r w:rsidR="00D47BEC" w:rsidRPr="009F29C6">
        <w:rPr>
          <w:rFonts w:ascii="Arial" w:hAnsi="Arial" w:cs="Arial"/>
        </w:rPr>
        <w:t xml:space="preserve"> assets</w:t>
      </w:r>
      <w:r w:rsidRPr="009F29C6">
        <w:rPr>
          <w:rFonts w:ascii="Arial" w:hAnsi="Arial" w:cs="Arial"/>
        </w:rPr>
        <w:t xml:space="preserve"> applied in the proposed </w:t>
      </w:r>
      <w:r w:rsidR="00FA7347" w:rsidRPr="009F29C6">
        <w:rPr>
          <w:rFonts w:ascii="Arial" w:hAnsi="Arial" w:cs="Arial"/>
        </w:rPr>
        <w:t xml:space="preserve">amended </w:t>
      </w:r>
      <w:r w:rsidRPr="009F29C6">
        <w:rPr>
          <w:rFonts w:ascii="Arial" w:hAnsi="Arial" w:cs="Arial"/>
        </w:rPr>
        <w:t>PTRMs</w:t>
      </w:r>
      <w:r w:rsidR="00D47BEC" w:rsidRPr="009F29C6">
        <w:rPr>
          <w:rFonts w:ascii="Arial" w:hAnsi="Arial" w:cs="Arial"/>
        </w:rPr>
        <w:t>.</w:t>
      </w:r>
      <w:r w:rsidRPr="009F29C6">
        <w:rPr>
          <w:rStyle w:val="FootnoteReference"/>
          <w:rFonts w:ascii="Arial" w:hAnsi="Arial" w:cs="Arial"/>
        </w:rPr>
        <w:footnoteReference w:id="52"/>
      </w:r>
      <w:r w:rsidR="00D47BEC" w:rsidRPr="009F29C6">
        <w:rPr>
          <w:rFonts w:ascii="Arial" w:hAnsi="Arial" w:cs="Arial"/>
        </w:rPr>
        <w:t xml:space="preserve"> These submissions noted that removing these revenues from the unsmoothed revenue requirement</w:t>
      </w:r>
      <w:r w:rsidRPr="009F29C6">
        <w:rPr>
          <w:rFonts w:ascii="Arial" w:hAnsi="Arial" w:cs="Arial"/>
        </w:rPr>
        <w:t>s</w:t>
      </w:r>
      <w:r w:rsidR="00D47BEC" w:rsidRPr="009F29C6">
        <w:rPr>
          <w:rFonts w:ascii="Arial" w:hAnsi="Arial" w:cs="Arial"/>
        </w:rPr>
        <w:t xml:space="preserve"> would reduce the service provider's tax allowance. They </w:t>
      </w:r>
      <w:r w:rsidR="005D2E20" w:rsidRPr="009F29C6">
        <w:rPr>
          <w:rFonts w:ascii="Arial" w:hAnsi="Arial" w:cs="Arial"/>
        </w:rPr>
        <w:t>submitted</w:t>
      </w:r>
      <w:r w:rsidR="00D47BEC" w:rsidRPr="009F29C6">
        <w:rPr>
          <w:rFonts w:ascii="Arial" w:hAnsi="Arial" w:cs="Arial"/>
        </w:rPr>
        <w:t xml:space="preserve"> this effectively increased the sharing percentage beyond the 10 per cent </w:t>
      </w:r>
      <w:r w:rsidR="005D2E20" w:rsidRPr="009F29C6">
        <w:rPr>
          <w:rFonts w:ascii="Arial" w:hAnsi="Arial" w:cs="Arial"/>
        </w:rPr>
        <w:t xml:space="preserve">set out </w:t>
      </w:r>
      <w:r w:rsidR="00D47BEC" w:rsidRPr="009F29C6">
        <w:rPr>
          <w:rFonts w:ascii="Arial" w:hAnsi="Arial" w:cs="Arial"/>
        </w:rPr>
        <w:t xml:space="preserve">in the </w:t>
      </w:r>
      <w:r w:rsidRPr="009F29C6">
        <w:rPr>
          <w:rFonts w:ascii="Arial" w:hAnsi="Arial" w:cs="Arial"/>
          <w:i/>
        </w:rPr>
        <w:t>S</w:t>
      </w:r>
      <w:r w:rsidR="00D47BEC" w:rsidRPr="009F29C6">
        <w:rPr>
          <w:rFonts w:ascii="Arial" w:hAnsi="Arial" w:cs="Arial"/>
          <w:i/>
        </w:rPr>
        <w:t>hared assets</w:t>
      </w:r>
      <w:r w:rsidR="00D47BEC" w:rsidRPr="009F29C6">
        <w:rPr>
          <w:rFonts w:ascii="Arial" w:hAnsi="Arial" w:cs="Arial"/>
        </w:rPr>
        <w:t xml:space="preserve"> guideline. We agree that such an outcome </w:t>
      </w:r>
      <w:r w:rsidR="00C4144C" w:rsidRPr="009F29C6">
        <w:rPr>
          <w:rFonts w:ascii="Arial" w:hAnsi="Arial" w:cs="Arial"/>
        </w:rPr>
        <w:t>would have arisen under the approach in the proposed amended PTRMs.</w:t>
      </w:r>
      <w:r w:rsidR="00D47BEC" w:rsidRPr="009F29C6">
        <w:rPr>
          <w:rFonts w:ascii="Arial" w:hAnsi="Arial" w:cs="Arial"/>
        </w:rPr>
        <w:t xml:space="preserve"> </w:t>
      </w:r>
      <w:r w:rsidR="00C4144C" w:rsidRPr="009F29C6">
        <w:rPr>
          <w:rFonts w:ascii="Arial" w:hAnsi="Arial" w:cs="Arial"/>
        </w:rPr>
        <w:t xml:space="preserve">In response, we </w:t>
      </w:r>
      <w:r w:rsidR="00D47BEC" w:rsidRPr="009F29C6">
        <w:rPr>
          <w:rFonts w:ascii="Arial" w:hAnsi="Arial" w:cs="Arial"/>
        </w:rPr>
        <w:t xml:space="preserve">have </w:t>
      </w:r>
      <w:r w:rsidR="00594189" w:rsidRPr="009F29C6">
        <w:rPr>
          <w:rFonts w:ascii="Arial" w:hAnsi="Arial" w:cs="Arial"/>
        </w:rPr>
        <w:t xml:space="preserve">changed </w:t>
      </w:r>
      <w:r w:rsidR="00D47BEC" w:rsidRPr="009F29C6">
        <w:rPr>
          <w:rFonts w:ascii="Arial" w:hAnsi="Arial" w:cs="Arial"/>
        </w:rPr>
        <w:t xml:space="preserve">the </w:t>
      </w:r>
      <w:r w:rsidR="00FA7347" w:rsidRPr="009F29C6">
        <w:rPr>
          <w:rFonts w:ascii="Arial" w:hAnsi="Arial" w:cs="Arial"/>
        </w:rPr>
        <w:t xml:space="preserve">final amended </w:t>
      </w:r>
      <w:r w:rsidR="00D47BEC" w:rsidRPr="009F29C6">
        <w:rPr>
          <w:rFonts w:ascii="Arial" w:hAnsi="Arial" w:cs="Arial"/>
        </w:rPr>
        <w:t xml:space="preserve">PTRMs such that </w:t>
      </w:r>
      <w:r w:rsidR="00C4144C" w:rsidRPr="009F29C6">
        <w:rPr>
          <w:rFonts w:ascii="Arial" w:hAnsi="Arial" w:cs="Arial"/>
        </w:rPr>
        <w:t xml:space="preserve">shared asset revenue adjustment will have no impact on the calculation of the </w:t>
      </w:r>
      <w:r w:rsidR="00D47BEC" w:rsidRPr="009F29C6">
        <w:rPr>
          <w:rFonts w:ascii="Arial" w:hAnsi="Arial" w:cs="Arial"/>
        </w:rPr>
        <w:t xml:space="preserve">tax allowance </w:t>
      </w:r>
      <w:r w:rsidR="00C4144C" w:rsidRPr="009F29C6">
        <w:rPr>
          <w:rFonts w:ascii="Arial" w:hAnsi="Arial" w:cs="Arial"/>
        </w:rPr>
        <w:t>and so the 10 per cent target will be met</w:t>
      </w:r>
      <w:r w:rsidR="00D47BEC" w:rsidRPr="009F29C6">
        <w:rPr>
          <w:rFonts w:ascii="Arial" w:hAnsi="Arial" w:cs="Arial"/>
        </w:rPr>
        <w:t>.</w:t>
      </w:r>
      <w:r w:rsidR="00B17E10" w:rsidRPr="009F29C6">
        <w:rPr>
          <w:rStyle w:val="FootnoteReference"/>
          <w:rFonts w:ascii="Arial" w:hAnsi="Arial" w:cs="Arial"/>
        </w:rPr>
        <w:footnoteReference w:id="53"/>
      </w:r>
    </w:p>
    <w:p w:rsidR="00CE77FD" w:rsidRPr="009F29C6" w:rsidRDefault="00594189" w:rsidP="00917236">
      <w:pPr>
        <w:pStyle w:val="AERbodytext"/>
        <w:rPr>
          <w:rFonts w:ascii="Arial" w:hAnsi="Arial" w:cs="Arial"/>
        </w:rPr>
      </w:pPr>
      <w:r w:rsidRPr="009F29C6">
        <w:rPr>
          <w:rFonts w:ascii="Arial" w:hAnsi="Arial" w:cs="Arial"/>
        </w:rPr>
        <w:t xml:space="preserve">More generally, the </w:t>
      </w:r>
      <w:r w:rsidR="00C4144C" w:rsidRPr="009F29C6">
        <w:rPr>
          <w:rFonts w:ascii="Arial" w:hAnsi="Arial" w:cs="Arial"/>
        </w:rPr>
        <w:t xml:space="preserve">ability to include many different revenue adjustments in the PTRMs means that </w:t>
      </w:r>
      <w:r w:rsidR="00D32856" w:rsidRPr="009F29C6">
        <w:rPr>
          <w:rFonts w:ascii="Arial" w:hAnsi="Arial" w:cs="Arial"/>
        </w:rPr>
        <w:t>it is not possible to hard code in the model the taxation implications of each adjustment.</w:t>
      </w:r>
      <w:r w:rsidR="00D32856" w:rsidRPr="009F29C6">
        <w:rPr>
          <w:rStyle w:val="FootnoteReference"/>
          <w:rFonts w:ascii="Arial" w:hAnsi="Arial" w:cs="Arial"/>
        </w:rPr>
        <w:footnoteReference w:id="54"/>
      </w:r>
      <w:r w:rsidR="00D32856" w:rsidRPr="009F29C6">
        <w:rPr>
          <w:rFonts w:ascii="Arial" w:hAnsi="Arial" w:cs="Arial"/>
        </w:rPr>
        <w:t xml:space="preserve"> </w:t>
      </w:r>
      <w:r w:rsidR="00C4144C" w:rsidRPr="009F29C6">
        <w:rPr>
          <w:rFonts w:ascii="Arial" w:hAnsi="Arial" w:cs="Arial"/>
        </w:rPr>
        <w:t xml:space="preserve">Submissions were received from several parties </w:t>
      </w:r>
      <w:r w:rsidR="00D32856" w:rsidRPr="009F29C6">
        <w:rPr>
          <w:rFonts w:ascii="Arial" w:hAnsi="Arial" w:cs="Arial"/>
        </w:rPr>
        <w:t>on the particular tax treatment that should apply to certain types of adjustments.</w:t>
      </w:r>
      <w:r w:rsidR="00D32856" w:rsidRPr="009F29C6">
        <w:rPr>
          <w:rStyle w:val="FootnoteReference"/>
          <w:rFonts w:ascii="Arial" w:hAnsi="Arial" w:cs="Arial"/>
        </w:rPr>
        <w:footnoteReference w:id="55"/>
      </w:r>
      <w:r w:rsidR="00720721" w:rsidRPr="009F29C6">
        <w:rPr>
          <w:rFonts w:ascii="Arial" w:hAnsi="Arial" w:cs="Arial"/>
        </w:rPr>
        <w:t xml:space="preserve"> The</w:t>
      </w:r>
      <w:r w:rsidR="005D2E20" w:rsidRPr="009F29C6">
        <w:rPr>
          <w:rFonts w:ascii="Arial" w:hAnsi="Arial" w:cs="Arial"/>
        </w:rPr>
        <w:t xml:space="preserve"> final</w:t>
      </w:r>
      <w:r w:rsidR="00720721" w:rsidRPr="009F29C6">
        <w:rPr>
          <w:rFonts w:ascii="Arial" w:hAnsi="Arial" w:cs="Arial"/>
        </w:rPr>
        <w:t xml:space="preserve"> PTRMs have been designed with switches that allow </w:t>
      </w:r>
      <w:r w:rsidR="00C4144C" w:rsidRPr="009F29C6">
        <w:rPr>
          <w:rFonts w:ascii="Arial" w:hAnsi="Arial" w:cs="Arial"/>
        </w:rPr>
        <w:t xml:space="preserve">each </w:t>
      </w:r>
      <w:r w:rsidR="00720721" w:rsidRPr="009F29C6">
        <w:rPr>
          <w:rFonts w:ascii="Arial" w:hAnsi="Arial" w:cs="Arial"/>
        </w:rPr>
        <w:t>revenue adjustment to be either included or excluded from the tax calculation. This will allow the AER to confirm its position of these tax matters during the reset process.</w:t>
      </w:r>
      <w:r w:rsidRPr="009F29C6">
        <w:rPr>
          <w:rStyle w:val="FootnoteReference"/>
          <w:rFonts w:ascii="Arial" w:hAnsi="Arial" w:cs="Arial"/>
        </w:rPr>
        <w:footnoteReference w:id="56"/>
      </w:r>
    </w:p>
    <w:p w:rsidR="00064605" w:rsidRPr="009F29C6" w:rsidRDefault="00CE77FD" w:rsidP="007621C8">
      <w:pPr>
        <w:pStyle w:val="Heading3"/>
        <w:rPr>
          <w:rFonts w:ascii="Arial" w:hAnsi="Arial" w:cs="Arial"/>
        </w:rPr>
      </w:pPr>
      <w:bookmarkStart w:id="34" w:name="_Toc408926613"/>
      <w:r w:rsidRPr="009F29C6">
        <w:rPr>
          <w:rFonts w:ascii="Arial" w:hAnsi="Arial" w:cs="Arial"/>
        </w:rPr>
        <w:t>Minor p</w:t>
      </w:r>
      <w:r w:rsidR="0072766F" w:rsidRPr="009F29C6">
        <w:rPr>
          <w:rFonts w:ascii="Arial" w:hAnsi="Arial" w:cs="Arial"/>
        </w:rPr>
        <w:t>resentation</w:t>
      </w:r>
      <w:r w:rsidRPr="009F29C6">
        <w:rPr>
          <w:rFonts w:ascii="Arial" w:hAnsi="Arial" w:cs="Arial"/>
        </w:rPr>
        <w:t>al</w:t>
      </w:r>
      <w:r w:rsidR="00023674" w:rsidRPr="009F29C6">
        <w:rPr>
          <w:rFonts w:ascii="Arial" w:hAnsi="Arial" w:cs="Arial"/>
        </w:rPr>
        <w:t xml:space="preserve"> and </w:t>
      </w:r>
      <w:r w:rsidRPr="009F29C6">
        <w:rPr>
          <w:rFonts w:ascii="Arial" w:hAnsi="Arial" w:cs="Arial"/>
        </w:rPr>
        <w:t>operational changes</w:t>
      </w:r>
      <w:bookmarkEnd w:id="34"/>
    </w:p>
    <w:p w:rsidR="00946F41" w:rsidRPr="008C75B6" w:rsidRDefault="00CE77FD" w:rsidP="009B15AA">
      <w:pPr>
        <w:pStyle w:val="AERbodytext"/>
        <w:numPr>
          <w:ilvl w:val="0"/>
          <w:numId w:val="0"/>
        </w:numPr>
        <w:rPr>
          <w:rStyle w:val="AERbody"/>
          <w:rFonts w:ascii="Arial" w:hAnsi="Arial" w:cs="Arial"/>
        </w:rPr>
      </w:pPr>
      <w:r w:rsidRPr="009F29C6">
        <w:rPr>
          <w:rStyle w:val="AERbody"/>
          <w:rFonts w:ascii="Arial" w:hAnsi="Arial" w:cs="Arial"/>
        </w:rPr>
        <w:t>M</w:t>
      </w:r>
      <w:r w:rsidR="00566FE5" w:rsidRPr="009F29C6">
        <w:rPr>
          <w:rStyle w:val="AERbody"/>
          <w:rFonts w:ascii="Arial" w:hAnsi="Arial" w:cs="Arial"/>
        </w:rPr>
        <w:t>inor presentational and operational changes</w:t>
      </w:r>
      <w:r w:rsidR="009B15AA" w:rsidRPr="009F29C6">
        <w:rPr>
          <w:rStyle w:val="AERbody"/>
          <w:rFonts w:ascii="Arial" w:hAnsi="Arial" w:cs="Arial"/>
        </w:rPr>
        <w:t xml:space="preserve"> were flagged in the </w:t>
      </w:r>
      <w:r w:rsidR="00C25545" w:rsidRPr="009F29C6">
        <w:rPr>
          <w:rStyle w:val="AERtextitalic"/>
          <w:rFonts w:ascii="Arial" w:hAnsi="Arial" w:cs="Arial"/>
        </w:rPr>
        <w:t xml:space="preserve">Explanatory </w:t>
      </w:r>
      <w:r w:rsidR="000917DF" w:rsidRPr="009F29C6">
        <w:rPr>
          <w:rStyle w:val="AERtextitalic"/>
          <w:rFonts w:ascii="Arial" w:hAnsi="Arial" w:cs="Arial"/>
        </w:rPr>
        <w:t>s</w:t>
      </w:r>
      <w:r w:rsidR="00C25545" w:rsidRPr="009F29C6">
        <w:rPr>
          <w:rStyle w:val="AERtextitalic"/>
          <w:rFonts w:ascii="Arial" w:hAnsi="Arial" w:cs="Arial"/>
        </w:rPr>
        <w:t>tatement</w:t>
      </w:r>
      <w:r w:rsidR="00C25545" w:rsidRPr="009F29C6">
        <w:rPr>
          <w:rStyle w:val="AERbody"/>
          <w:rFonts w:ascii="Arial" w:hAnsi="Arial" w:cs="Arial"/>
        </w:rPr>
        <w:t>.</w:t>
      </w:r>
      <w:r w:rsidR="009B15AA" w:rsidRPr="009F29C6">
        <w:rPr>
          <w:rStyle w:val="FootnoteReference"/>
          <w:rFonts w:ascii="Arial" w:hAnsi="Arial" w:cs="Arial"/>
        </w:rPr>
        <w:footnoteReference w:id="57"/>
      </w:r>
      <w:r w:rsidR="009B15AA" w:rsidRPr="009F29C6">
        <w:rPr>
          <w:rStyle w:val="AERbody"/>
          <w:rFonts w:ascii="Arial" w:hAnsi="Arial" w:cs="Arial"/>
        </w:rPr>
        <w:t xml:space="preserve"> No submissions raised concerns with these changes, although some further </w:t>
      </w:r>
      <w:r w:rsidR="00C25545" w:rsidRPr="009F29C6">
        <w:rPr>
          <w:rStyle w:val="AERbody"/>
          <w:rFonts w:ascii="Arial" w:hAnsi="Arial" w:cs="Arial"/>
        </w:rPr>
        <w:t>minor</w:t>
      </w:r>
      <w:r w:rsidR="009B15AA" w:rsidRPr="009F29C6">
        <w:rPr>
          <w:rStyle w:val="AERbody"/>
          <w:rFonts w:ascii="Arial" w:hAnsi="Arial" w:cs="Arial"/>
        </w:rPr>
        <w:t xml:space="preserve"> issues were raised. We have accepted a number of these </w:t>
      </w:r>
      <w:r w:rsidR="00C25545" w:rsidRPr="009F29C6">
        <w:rPr>
          <w:rStyle w:val="AERbody"/>
          <w:rFonts w:ascii="Arial" w:hAnsi="Arial" w:cs="Arial"/>
        </w:rPr>
        <w:t>suggestions</w:t>
      </w:r>
      <w:r w:rsidR="009D153B" w:rsidRPr="009F29C6">
        <w:rPr>
          <w:rStyle w:val="AERbody"/>
          <w:rFonts w:ascii="Arial" w:hAnsi="Arial" w:cs="Arial"/>
        </w:rPr>
        <w:t>. In particular;</w:t>
      </w:r>
      <w:r w:rsidR="009B15AA" w:rsidRPr="009F29C6">
        <w:rPr>
          <w:rStyle w:val="AERbody"/>
          <w:rFonts w:ascii="Arial" w:hAnsi="Arial" w:cs="Arial"/>
        </w:rPr>
        <w:t xml:space="preserve"> </w:t>
      </w:r>
    </w:p>
    <w:p w:rsidR="0095605A" w:rsidRPr="009F29C6" w:rsidRDefault="00CE77FD" w:rsidP="00DC1EA7">
      <w:pPr>
        <w:pStyle w:val="AERbulletlistfirststyle"/>
        <w:tabs>
          <w:tab w:val="clear" w:pos="357"/>
          <w:tab w:val="left" w:pos="426"/>
        </w:tabs>
        <w:ind w:left="426" w:hanging="426"/>
        <w:rPr>
          <w:rStyle w:val="AERtexthighlight"/>
          <w:rFonts w:ascii="Arial" w:hAnsi="Arial" w:cs="Arial"/>
        </w:rPr>
      </w:pPr>
      <w:proofErr w:type="spellStart"/>
      <w:r w:rsidRPr="009F29C6">
        <w:rPr>
          <w:rStyle w:val="AERbody"/>
          <w:rFonts w:ascii="Arial" w:hAnsi="Arial" w:cs="Arial"/>
        </w:rPr>
        <w:t>SumProduct</w:t>
      </w:r>
      <w:proofErr w:type="spellEnd"/>
      <w:r w:rsidRPr="009F29C6">
        <w:rPr>
          <w:rStyle w:val="AERbody"/>
          <w:rFonts w:ascii="Arial" w:hAnsi="Arial" w:cs="Arial"/>
        </w:rPr>
        <w:t xml:space="preserve"> was commissioned by United Energy</w:t>
      </w:r>
      <w:r w:rsidR="00666427">
        <w:rPr>
          <w:rStyle w:val="AERbody"/>
          <w:rFonts w:ascii="Arial" w:hAnsi="Arial" w:cs="Arial"/>
        </w:rPr>
        <w:t>/</w:t>
      </w:r>
      <w:proofErr w:type="spellStart"/>
      <w:r w:rsidRPr="009F29C6">
        <w:rPr>
          <w:rStyle w:val="AERbody"/>
          <w:rFonts w:ascii="Arial" w:hAnsi="Arial" w:cs="Arial"/>
        </w:rPr>
        <w:t>Multi</w:t>
      </w:r>
      <w:r w:rsidR="000917DF" w:rsidRPr="009F29C6">
        <w:rPr>
          <w:rStyle w:val="AERbody"/>
          <w:rFonts w:ascii="Arial" w:hAnsi="Arial" w:cs="Arial"/>
        </w:rPr>
        <w:t>net</w:t>
      </w:r>
      <w:proofErr w:type="spellEnd"/>
      <w:r w:rsidR="000917DF" w:rsidRPr="009F29C6">
        <w:rPr>
          <w:rStyle w:val="AERbody"/>
          <w:rFonts w:ascii="Arial" w:hAnsi="Arial" w:cs="Arial"/>
        </w:rPr>
        <w:t xml:space="preserve"> </w:t>
      </w:r>
      <w:r w:rsidRPr="009F29C6">
        <w:rPr>
          <w:rStyle w:val="AERbody"/>
          <w:rFonts w:ascii="Arial" w:hAnsi="Arial" w:cs="Arial"/>
        </w:rPr>
        <w:t>Gas to do a review of the proposed PTRMs.</w:t>
      </w:r>
      <w:r w:rsidR="009F29C6" w:rsidRPr="009F29C6">
        <w:rPr>
          <w:rStyle w:val="FootnoteReference"/>
          <w:rFonts w:ascii="Arial" w:hAnsi="Arial" w:cs="Arial"/>
        </w:rPr>
        <w:footnoteReference w:id="58"/>
      </w:r>
      <w:r w:rsidRPr="009F29C6">
        <w:rPr>
          <w:rStyle w:val="AERbody"/>
          <w:rFonts w:ascii="Arial" w:hAnsi="Arial" w:cs="Arial"/>
        </w:rPr>
        <w:t xml:space="preserve"> We reviewed each of </w:t>
      </w:r>
      <w:r w:rsidR="009D153B" w:rsidRPr="009F29C6">
        <w:rPr>
          <w:rStyle w:val="AERbody"/>
          <w:rFonts w:ascii="Arial" w:hAnsi="Arial" w:cs="Arial"/>
        </w:rPr>
        <w:t>its</w:t>
      </w:r>
      <w:r w:rsidRPr="009F29C6">
        <w:rPr>
          <w:rStyle w:val="AERbody"/>
          <w:rFonts w:ascii="Arial" w:hAnsi="Arial" w:cs="Arial"/>
        </w:rPr>
        <w:t xml:space="preserve"> suggestions and </w:t>
      </w:r>
      <w:r w:rsidR="009D153B" w:rsidRPr="009F29C6">
        <w:rPr>
          <w:rStyle w:val="AERbody"/>
          <w:rFonts w:ascii="Arial" w:hAnsi="Arial" w:cs="Arial"/>
        </w:rPr>
        <w:t>adopt</w:t>
      </w:r>
      <w:r w:rsidRPr="009F29C6">
        <w:rPr>
          <w:rStyle w:val="AERbody"/>
          <w:rFonts w:ascii="Arial" w:hAnsi="Arial" w:cs="Arial"/>
        </w:rPr>
        <w:t xml:space="preserve">ed many of </w:t>
      </w:r>
      <w:r w:rsidR="009D153B" w:rsidRPr="009F29C6">
        <w:rPr>
          <w:rStyle w:val="AERbody"/>
          <w:rFonts w:ascii="Arial" w:hAnsi="Arial" w:cs="Arial"/>
        </w:rPr>
        <w:t>them</w:t>
      </w:r>
      <w:r w:rsidRPr="009F29C6">
        <w:rPr>
          <w:rStyle w:val="AERbody"/>
          <w:rFonts w:ascii="Arial" w:hAnsi="Arial" w:cs="Arial"/>
        </w:rPr>
        <w:t>. These suggestions covered such issues as</w:t>
      </w:r>
      <w:r w:rsidR="000917DF" w:rsidRPr="009F29C6">
        <w:rPr>
          <w:rStyle w:val="AERbody"/>
          <w:rFonts w:ascii="Arial" w:hAnsi="Arial" w:cs="Arial"/>
        </w:rPr>
        <w:t>:</w:t>
      </w:r>
      <w:r w:rsidRPr="009F29C6">
        <w:rPr>
          <w:rStyle w:val="AERbody"/>
          <w:rFonts w:ascii="Arial" w:hAnsi="Arial" w:cs="Arial"/>
        </w:rPr>
        <w:t xml:space="preserve"> incorrect cell references, incorrect labelling, </w:t>
      </w:r>
      <w:proofErr w:type="gramStart"/>
      <w:r w:rsidRPr="009F29C6">
        <w:rPr>
          <w:rStyle w:val="AERbody"/>
          <w:rFonts w:ascii="Arial" w:hAnsi="Arial" w:cs="Arial"/>
        </w:rPr>
        <w:t>redundant</w:t>
      </w:r>
      <w:proofErr w:type="gramEnd"/>
      <w:r w:rsidRPr="009F29C6">
        <w:rPr>
          <w:rStyle w:val="AERbody"/>
          <w:rFonts w:ascii="Arial" w:hAnsi="Arial" w:cs="Arial"/>
        </w:rPr>
        <w:t xml:space="preserve"> cells impacting file size and stability, and streamlining formula</w:t>
      </w:r>
      <w:r w:rsidR="000917DF" w:rsidRPr="009F29C6">
        <w:rPr>
          <w:rStyle w:val="AERbody"/>
          <w:rFonts w:ascii="Arial" w:hAnsi="Arial" w:cs="Arial"/>
        </w:rPr>
        <w:t>e</w:t>
      </w:r>
      <w:r w:rsidRPr="009F29C6">
        <w:rPr>
          <w:rStyle w:val="AERbody"/>
          <w:rFonts w:ascii="Arial" w:hAnsi="Arial" w:cs="Arial"/>
        </w:rPr>
        <w:t xml:space="preserve">. </w:t>
      </w:r>
    </w:p>
    <w:p w:rsidR="00897F23" w:rsidRPr="009F29C6" w:rsidRDefault="0090720F" w:rsidP="00DC1EA7">
      <w:pPr>
        <w:pStyle w:val="AERbulletlistfirststyle"/>
        <w:tabs>
          <w:tab w:val="clear" w:pos="357"/>
          <w:tab w:val="left" w:pos="426"/>
        </w:tabs>
        <w:ind w:left="426" w:hanging="426"/>
        <w:rPr>
          <w:rStyle w:val="AERbody"/>
          <w:rFonts w:ascii="Arial" w:hAnsi="Arial" w:cs="Arial"/>
        </w:rPr>
      </w:pPr>
      <w:r w:rsidRPr="009F29C6">
        <w:rPr>
          <w:rStyle w:val="AERbody"/>
          <w:rFonts w:ascii="Arial" w:hAnsi="Arial" w:cs="Arial"/>
        </w:rPr>
        <w:lastRenderedPageBreak/>
        <w:t xml:space="preserve">The </w:t>
      </w:r>
      <w:r w:rsidR="00FD4910" w:rsidRPr="009F29C6">
        <w:rPr>
          <w:rStyle w:val="AERbody"/>
          <w:rFonts w:ascii="Arial" w:hAnsi="Arial" w:cs="Arial"/>
        </w:rPr>
        <w:t>Energy Networks Association (</w:t>
      </w:r>
      <w:r w:rsidR="00D86D36" w:rsidRPr="009F29C6">
        <w:rPr>
          <w:rStyle w:val="AERbody"/>
          <w:rFonts w:ascii="Arial" w:hAnsi="Arial" w:cs="Arial"/>
        </w:rPr>
        <w:t>ENA</w:t>
      </w:r>
      <w:r w:rsidR="00FD4910" w:rsidRPr="009F29C6">
        <w:rPr>
          <w:rStyle w:val="AERbody"/>
          <w:rFonts w:ascii="Arial" w:hAnsi="Arial" w:cs="Arial"/>
        </w:rPr>
        <w:t>)</w:t>
      </w:r>
      <w:r w:rsidR="00D86D36" w:rsidRPr="009F29C6">
        <w:rPr>
          <w:rStyle w:val="AERbody"/>
          <w:rFonts w:ascii="Arial" w:hAnsi="Arial" w:cs="Arial"/>
        </w:rPr>
        <w:t xml:space="preserve"> </w:t>
      </w:r>
      <w:r w:rsidRPr="009F29C6">
        <w:rPr>
          <w:rStyle w:val="AERbody"/>
          <w:rFonts w:ascii="Arial" w:hAnsi="Arial" w:cs="Arial"/>
        </w:rPr>
        <w:t xml:space="preserve">raised </w:t>
      </w:r>
      <w:r w:rsidR="000917DF" w:rsidRPr="009F29C6">
        <w:rPr>
          <w:rStyle w:val="AERbody"/>
          <w:rFonts w:ascii="Arial" w:hAnsi="Arial" w:cs="Arial"/>
        </w:rPr>
        <w:t>some</w:t>
      </w:r>
      <w:r w:rsidRPr="009F29C6">
        <w:rPr>
          <w:rStyle w:val="AERbody"/>
          <w:rFonts w:ascii="Arial" w:hAnsi="Arial" w:cs="Arial"/>
        </w:rPr>
        <w:t xml:space="preserve"> issues with the regulatory </w:t>
      </w:r>
      <w:r w:rsidR="009D153B" w:rsidRPr="009F29C6">
        <w:rPr>
          <w:rStyle w:val="AERbody"/>
          <w:rFonts w:ascii="Arial" w:hAnsi="Arial" w:cs="Arial"/>
        </w:rPr>
        <w:t xml:space="preserve">control </w:t>
      </w:r>
      <w:r w:rsidRPr="009F29C6">
        <w:rPr>
          <w:rStyle w:val="AERbody"/>
          <w:rFonts w:ascii="Arial" w:hAnsi="Arial" w:cs="Arial"/>
        </w:rPr>
        <w:t>period</w:t>
      </w:r>
      <w:r w:rsidR="009D153B" w:rsidRPr="009F29C6">
        <w:rPr>
          <w:rStyle w:val="AERbody"/>
          <w:rFonts w:ascii="Arial" w:hAnsi="Arial" w:cs="Arial"/>
        </w:rPr>
        <w:t xml:space="preserve"> variable, noting a summation of values not responding to the length of regulatory control period chosen and an incorrect cell reference.</w:t>
      </w:r>
      <w:r w:rsidR="00BD49B9">
        <w:rPr>
          <w:rStyle w:val="FootnoteReference"/>
          <w:rFonts w:ascii="Arial" w:hAnsi="Arial" w:cs="Arial"/>
        </w:rPr>
        <w:footnoteReference w:id="59"/>
      </w:r>
    </w:p>
    <w:p w:rsidR="00B4797B" w:rsidRPr="009F29C6" w:rsidRDefault="0090720F" w:rsidP="00DC1EA7">
      <w:pPr>
        <w:pStyle w:val="AERbulletlistfirststyle"/>
        <w:tabs>
          <w:tab w:val="clear" w:pos="357"/>
          <w:tab w:val="left" w:pos="426"/>
        </w:tabs>
        <w:ind w:left="426" w:hanging="426"/>
        <w:rPr>
          <w:rStyle w:val="AERbody"/>
          <w:rFonts w:ascii="Arial" w:hAnsi="Arial" w:cs="Arial"/>
        </w:rPr>
      </w:pPr>
      <w:r w:rsidRPr="009F29C6">
        <w:rPr>
          <w:rStyle w:val="AERbody"/>
          <w:rFonts w:ascii="Arial" w:hAnsi="Arial" w:cs="Arial"/>
        </w:rPr>
        <w:t>N</w:t>
      </w:r>
      <w:r w:rsidR="005D2E20" w:rsidRPr="009F29C6">
        <w:rPr>
          <w:rStyle w:val="AERbody"/>
          <w:rFonts w:ascii="Arial" w:hAnsi="Arial" w:cs="Arial"/>
        </w:rPr>
        <w:t xml:space="preserve">etworks </w:t>
      </w:r>
      <w:r w:rsidRPr="009F29C6">
        <w:rPr>
          <w:rStyle w:val="AERbody"/>
          <w:rFonts w:ascii="Arial" w:hAnsi="Arial" w:cs="Arial"/>
        </w:rPr>
        <w:t xml:space="preserve">NSW </w:t>
      </w:r>
      <w:r w:rsidR="001061E8" w:rsidRPr="009F29C6">
        <w:rPr>
          <w:rStyle w:val="AERbody"/>
          <w:rFonts w:ascii="Arial" w:hAnsi="Arial" w:cs="Arial"/>
        </w:rPr>
        <w:t>provided sample code to simplify several macros and made several other recommendations concerning spreadsheet presentation and layout.</w:t>
      </w:r>
      <w:r w:rsidR="001061E8" w:rsidRPr="009F29C6">
        <w:rPr>
          <w:rStyle w:val="FootnoteReference"/>
          <w:rFonts w:ascii="Arial" w:hAnsi="Arial" w:cs="Arial"/>
        </w:rPr>
        <w:footnoteReference w:id="60"/>
      </w:r>
    </w:p>
    <w:p w:rsidR="00B4797B" w:rsidRPr="009F29C6" w:rsidRDefault="005D09EA" w:rsidP="00B4797B">
      <w:pPr>
        <w:pStyle w:val="Heading3"/>
        <w:rPr>
          <w:rFonts w:ascii="Arial" w:hAnsi="Arial" w:cs="Arial"/>
        </w:rPr>
      </w:pPr>
      <w:bookmarkStart w:id="35" w:name="_Toc408926614"/>
      <w:r w:rsidRPr="009F29C6">
        <w:rPr>
          <w:rFonts w:ascii="Arial" w:hAnsi="Arial" w:cs="Arial"/>
        </w:rPr>
        <w:t xml:space="preserve">Input </w:t>
      </w:r>
      <w:r w:rsidR="00666427">
        <w:rPr>
          <w:rFonts w:ascii="Arial" w:hAnsi="Arial" w:cs="Arial"/>
        </w:rPr>
        <w:t>work</w:t>
      </w:r>
      <w:r w:rsidR="00B4797B" w:rsidRPr="009F29C6">
        <w:rPr>
          <w:rFonts w:ascii="Arial" w:hAnsi="Arial" w:cs="Arial"/>
        </w:rPr>
        <w:t>sheet for AER data</w:t>
      </w:r>
      <w:r w:rsidR="006A1FD7" w:rsidRPr="009F29C6">
        <w:rPr>
          <w:rFonts w:ascii="Arial" w:hAnsi="Arial" w:cs="Arial"/>
        </w:rPr>
        <w:t xml:space="preserve"> management system</w:t>
      </w:r>
      <w:bookmarkEnd w:id="35"/>
    </w:p>
    <w:p w:rsidR="00B4797B" w:rsidRPr="009F29C6" w:rsidRDefault="00B4797B" w:rsidP="00B4797B">
      <w:pPr>
        <w:pStyle w:val="AERbodytext"/>
        <w:rPr>
          <w:rFonts w:ascii="Arial" w:hAnsi="Arial" w:cs="Arial"/>
        </w:rPr>
      </w:pPr>
      <w:r w:rsidRPr="009F29C6">
        <w:rPr>
          <w:rFonts w:ascii="Arial" w:hAnsi="Arial" w:cs="Arial"/>
        </w:rPr>
        <w:t xml:space="preserve">The AER has </w:t>
      </w:r>
      <w:r w:rsidR="005D09EA" w:rsidRPr="009F29C6">
        <w:rPr>
          <w:rFonts w:ascii="Arial" w:hAnsi="Arial" w:cs="Arial"/>
        </w:rPr>
        <w:t xml:space="preserve">developed a data management system (DMS) to collect data from regulatory information notices and from the various regulatory models. We have </w:t>
      </w:r>
      <w:r w:rsidRPr="009F29C6">
        <w:rPr>
          <w:rFonts w:ascii="Arial" w:hAnsi="Arial" w:cs="Arial"/>
        </w:rPr>
        <w:t xml:space="preserve">added a </w:t>
      </w:r>
      <w:r w:rsidR="005D09EA" w:rsidRPr="009F29C6">
        <w:rPr>
          <w:rFonts w:ascii="Arial" w:hAnsi="Arial" w:cs="Arial"/>
        </w:rPr>
        <w:t xml:space="preserve">new </w:t>
      </w:r>
      <w:r w:rsidR="005D09EA" w:rsidRPr="009F29C6">
        <w:rPr>
          <w:rFonts w:ascii="Arial" w:hAnsi="Arial" w:cs="Arial"/>
          <w:i/>
        </w:rPr>
        <w:t>DMS inpu</w:t>
      </w:r>
      <w:r w:rsidR="009A5FAF">
        <w:rPr>
          <w:rFonts w:ascii="Arial" w:hAnsi="Arial" w:cs="Arial"/>
          <w:i/>
        </w:rPr>
        <w:t>t</w:t>
      </w:r>
      <w:r w:rsidR="005D09EA" w:rsidRPr="009F29C6">
        <w:rPr>
          <w:rFonts w:ascii="Arial" w:hAnsi="Arial" w:cs="Arial"/>
        </w:rPr>
        <w:t xml:space="preserve"> </w:t>
      </w:r>
      <w:r w:rsidR="000917DF" w:rsidRPr="009F29C6">
        <w:rPr>
          <w:rFonts w:ascii="Arial" w:hAnsi="Arial" w:cs="Arial"/>
        </w:rPr>
        <w:t>work</w:t>
      </w:r>
      <w:r w:rsidRPr="009F29C6">
        <w:rPr>
          <w:rFonts w:ascii="Arial" w:hAnsi="Arial" w:cs="Arial"/>
        </w:rPr>
        <w:t xml:space="preserve">sheet to </w:t>
      </w:r>
      <w:r w:rsidR="005D09EA" w:rsidRPr="009F29C6">
        <w:rPr>
          <w:rFonts w:ascii="Arial" w:hAnsi="Arial" w:cs="Arial"/>
        </w:rPr>
        <w:t xml:space="preserve">help our system ingest the </w:t>
      </w:r>
      <w:r w:rsidR="000917DF" w:rsidRPr="009F29C6">
        <w:rPr>
          <w:rFonts w:ascii="Arial" w:hAnsi="Arial" w:cs="Arial"/>
        </w:rPr>
        <w:t xml:space="preserve">relevant </w:t>
      </w:r>
      <w:r w:rsidR="005D09EA" w:rsidRPr="009F29C6">
        <w:rPr>
          <w:rFonts w:ascii="Arial" w:hAnsi="Arial" w:cs="Arial"/>
        </w:rPr>
        <w:t>data from the PTRMs</w:t>
      </w:r>
      <w:r w:rsidRPr="009F29C6">
        <w:rPr>
          <w:rFonts w:ascii="Arial" w:hAnsi="Arial" w:cs="Arial"/>
        </w:rPr>
        <w:t xml:space="preserve">. This </w:t>
      </w:r>
      <w:r w:rsidR="000917DF" w:rsidRPr="009F29C6">
        <w:rPr>
          <w:rFonts w:ascii="Arial" w:hAnsi="Arial" w:cs="Arial"/>
        </w:rPr>
        <w:t>work</w:t>
      </w:r>
      <w:r w:rsidRPr="009F29C6">
        <w:rPr>
          <w:rFonts w:ascii="Arial" w:hAnsi="Arial" w:cs="Arial"/>
        </w:rPr>
        <w:t xml:space="preserve">sheet has no impact on the operation of the PTRM. </w:t>
      </w:r>
      <w:r w:rsidR="005D09EA" w:rsidRPr="009F29C6">
        <w:rPr>
          <w:rFonts w:ascii="Arial" w:hAnsi="Arial" w:cs="Arial"/>
        </w:rPr>
        <w:t xml:space="preserve">The </w:t>
      </w:r>
      <w:r w:rsidR="000917DF" w:rsidRPr="009F29C6">
        <w:rPr>
          <w:rFonts w:ascii="Arial" w:hAnsi="Arial" w:cs="Arial"/>
        </w:rPr>
        <w:t>work</w:t>
      </w:r>
      <w:r w:rsidR="005D09EA" w:rsidRPr="009F29C6">
        <w:rPr>
          <w:rFonts w:ascii="Arial" w:hAnsi="Arial" w:cs="Arial"/>
        </w:rPr>
        <w:t xml:space="preserve">sheet previously </w:t>
      </w:r>
      <w:r w:rsidR="000917DF" w:rsidRPr="009F29C6">
        <w:rPr>
          <w:rFonts w:ascii="Arial" w:hAnsi="Arial" w:cs="Arial"/>
        </w:rPr>
        <w:t>labelled</w:t>
      </w:r>
      <w:r w:rsidR="005D09EA" w:rsidRPr="009F29C6">
        <w:rPr>
          <w:rFonts w:ascii="Arial" w:hAnsi="Arial" w:cs="Arial"/>
        </w:rPr>
        <w:t xml:space="preserve"> </w:t>
      </w:r>
      <w:r w:rsidR="000917DF" w:rsidRPr="009F29C6">
        <w:rPr>
          <w:rFonts w:ascii="Arial" w:hAnsi="Arial" w:cs="Arial"/>
          <w:i/>
        </w:rPr>
        <w:t>I</w:t>
      </w:r>
      <w:r w:rsidR="005D09EA" w:rsidRPr="009F29C6">
        <w:rPr>
          <w:rFonts w:ascii="Arial" w:hAnsi="Arial" w:cs="Arial"/>
          <w:i/>
        </w:rPr>
        <w:t xml:space="preserve">nput </w:t>
      </w:r>
      <w:r w:rsidR="005D09EA" w:rsidRPr="009F29C6">
        <w:rPr>
          <w:rFonts w:ascii="Arial" w:hAnsi="Arial" w:cs="Arial"/>
        </w:rPr>
        <w:t xml:space="preserve">has been renamed </w:t>
      </w:r>
      <w:r w:rsidR="005D09EA" w:rsidRPr="009F29C6">
        <w:rPr>
          <w:rFonts w:ascii="Arial" w:hAnsi="Arial" w:cs="Arial"/>
          <w:i/>
        </w:rPr>
        <w:t>PTRM input</w:t>
      </w:r>
      <w:r w:rsidR="005D09EA" w:rsidRPr="009F29C6">
        <w:rPr>
          <w:rFonts w:ascii="Arial" w:hAnsi="Arial" w:cs="Arial"/>
        </w:rPr>
        <w:t xml:space="preserve"> to distinguish the two input </w:t>
      </w:r>
      <w:r w:rsidR="000917DF" w:rsidRPr="009F29C6">
        <w:rPr>
          <w:rFonts w:ascii="Arial" w:hAnsi="Arial" w:cs="Arial"/>
        </w:rPr>
        <w:t>work</w:t>
      </w:r>
      <w:r w:rsidR="005D09EA" w:rsidRPr="009F29C6">
        <w:rPr>
          <w:rFonts w:ascii="Arial" w:hAnsi="Arial" w:cs="Arial"/>
        </w:rPr>
        <w:t>sheets.</w:t>
      </w:r>
      <w:r w:rsidRPr="009F29C6">
        <w:rPr>
          <w:rFonts w:ascii="Arial" w:hAnsi="Arial" w:cs="Arial"/>
        </w:rPr>
        <w:t xml:space="preserve"> </w:t>
      </w:r>
      <w:r w:rsidR="005D09EA" w:rsidRPr="009F29C6">
        <w:rPr>
          <w:rFonts w:ascii="Arial" w:hAnsi="Arial" w:cs="Arial"/>
        </w:rPr>
        <w:t xml:space="preserve">Service providers will need to complete both input </w:t>
      </w:r>
      <w:r w:rsidR="000917DF" w:rsidRPr="009F29C6">
        <w:rPr>
          <w:rFonts w:ascii="Arial" w:hAnsi="Arial" w:cs="Arial"/>
        </w:rPr>
        <w:t>work</w:t>
      </w:r>
      <w:r w:rsidR="005D09EA" w:rsidRPr="009F29C6">
        <w:rPr>
          <w:rFonts w:ascii="Arial" w:hAnsi="Arial" w:cs="Arial"/>
        </w:rPr>
        <w:t>sheets when submitting their proposed PTRMs</w:t>
      </w:r>
      <w:r w:rsidR="009A5FAF">
        <w:rPr>
          <w:rFonts w:ascii="Arial" w:hAnsi="Arial" w:cs="Arial"/>
        </w:rPr>
        <w:t>.</w:t>
      </w:r>
      <w:r w:rsidR="007754CA">
        <w:rPr>
          <w:rFonts w:ascii="Arial" w:hAnsi="Arial" w:cs="Arial"/>
        </w:rPr>
        <w:t xml:space="preserve"> </w:t>
      </w:r>
      <w:r w:rsidR="009A5FAF">
        <w:rPr>
          <w:rFonts w:ascii="Arial" w:hAnsi="Arial" w:cs="Arial"/>
        </w:rPr>
        <w:t>T</w:t>
      </w:r>
      <w:r w:rsidR="000C2A47" w:rsidRPr="009F29C6">
        <w:rPr>
          <w:rFonts w:ascii="Arial" w:hAnsi="Arial" w:cs="Arial"/>
        </w:rPr>
        <w:t>he additional information required is minimal (contact details and a few cells identifying the context for the PTRM submission).</w:t>
      </w:r>
    </w:p>
    <w:p w:rsidR="00223FD6" w:rsidRPr="009F29C6" w:rsidRDefault="00B4797B" w:rsidP="00223FD6">
      <w:pPr>
        <w:pStyle w:val="Heading3"/>
        <w:rPr>
          <w:rFonts w:ascii="Arial" w:hAnsi="Arial" w:cs="Arial"/>
        </w:rPr>
      </w:pPr>
      <w:bookmarkStart w:id="36" w:name="_Toc408926615"/>
      <w:r w:rsidRPr="009F29C6">
        <w:rPr>
          <w:rFonts w:ascii="Arial" w:hAnsi="Arial" w:cs="Arial"/>
        </w:rPr>
        <w:t>Handbook clarifications</w:t>
      </w:r>
      <w:bookmarkEnd w:id="36"/>
    </w:p>
    <w:p w:rsidR="00B4797B" w:rsidRPr="009F29C6" w:rsidRDefault="00223FD6" w:rsidP="00B4797B">
      <w:pPr>
        <w:pStyle w:val="AERbulletlistfirststyle"/>
        <w:numPr>
          <w:ilvl w:val="0"/>
          <w:numId w:val="0"/>
        </w:numPr>
        <w:rPr>
          <w:rFonts w:ascii="Arial" w:hAnsi="Arial" w:cs="Arial"/>
        </w:rPr>
      </w:pPr>
      <w:r w:rsidRPr="009F29C6">
        <w:rPr>
          <w:rFonts w:ascii="Arial" w:hAnsi="Arial" w:cs="Arial"/>
        </w:rPr>
        <w:t>Although no issues were identified in the operation of depreciation in the PTRM</w:t>
      </w:r>
      <w:r w:rsidR="000917DF" w:rsidRPr="009F29C6">
        <w:rPr>
          <w:rFonts w:ascii="Arial" w:hAnsi="Arial" w:cs="Arial"/>
        </w:rPr>
        <w:t>, which had not changed</w:t>
      </w:r>
      <w:r w:rsidRPr="009F29C6">
        <w:rPr>
          <w:rFonts w:ascii="Arial" w:hAnsi="Arial" w:cs="Arial"/>
        </w:rPr>
        <w:t>, some s</w:t>
      </w:r>
      <w:r w:rsidR="0022481F" w:rsidRPr="009F29C6">
        <w:rPr>
          <w:rFonts w:ascii="Arial" w:hAnsi="Arial" w:cs="Arial"/>
        </w:rPr>
        <w:t xml:space="preserve">ubmissions questioned the wording of the handbook in relation to </w:t>
      </w:r>
      <w:r w:rsidRPr="009F29C6">
        <w:rPr>
          <w:rFonts w:ascii="Arial" w:hAnsi="Arial" w:cs="Arial"/>
        </w:rPr>
        <w:t xml:space="preserve">alternative depreciation </w:t>
      </w:r>
      <w:r w:rsidR="000917DF" w:rsidRPr="009F29C6">
        <w:rPr>
          <w:rFonts w:ascii="Arial" w:hAnsi="Arial" w:cs="Arial"/>
        </w:rPr>
        <w:t>profiles</w:t>
      </w:r>
      <w:r w:rsidRPr="009F29C6">
        <w:rPr>
          <w:rFonts w:ascii="Arial" w:hAnsi="Arial" w:cs="Arial"/>
        </w:rPr>
        <w:t xml:space="preserve"> to</w:t>
      </w:r>
      <w:r w:rsidR="0022481F" w:rsidRPr="009F29C6">
        <w:rPr>
          <w:rFonts w:ascii="Arial" w:hAnsi="Arial" w:cs="Arial"/>
        </w:rPr>
        <w:t xml:space="preserve"> </w:t>
      </w:r>
      <w:r w:rsidRPr="009F29C6">
        <w:rPr>
          <w:rFonts w:ascii="Arial" w:hAnsi="Arial" w:cs="Arial"/>
        </w:rPr>
        <w:t>that used in the PTRM</w:t>
      </w:r>
      <w:r w:rsidR="0022481F" w:rsidRPr="009F29C6">
        <w:rPr>
          <w:rFonts w:ascii="Arial" w:hAnsi="Arial" w:cs="Arial"/>
        </w:rPr>
        <w:t>.</w:t>
      </w:r>
      <w:r w:rsidR="00200416" w:rsidRPr="009F29C6">
        <w:rPr>
          <w:rStyle w:val="FootnoteReference"/>
          <w:rFonts w:ascii="Arial" w:hAnsi="Arial" w:cs="Arial"/>
        </w:rPr>
        <w:footnoteReference w:id="61"/>
      </w:r>
      <w:r w:rsidR="0022481F" w:rsidRPr="009F29C6">
        <w:rPr>
          <w:rFonts w:ascii="Arial" w:hAnsi="Arial" w:cs="Arial"/>
        </w:rPr>
        <w:t xml:space="preserve"> </w:t>
      </w:r>
      <w:r w:rsidRPr="009F29C6">
        <w:rPr>
          <w:rFonts w:ascii="Arial" w:hAnsi="Arial" w:cs="Arial"/>
        </w:rPr>
        <w:t xml:space="preserve">Service providers </w:t>
      </w:r>
      <w:r w:rsidR="000917DF" w:rsidRPr="009F29C6">
        <w:rPr>
          <w:rFonts w:ascii="Arial" w:hAnsi="Arial" w:cs="Arial"/>
        </w:rPr>
        <w:t>noted the</w:t>
      </w:r>
      <w:r w:rsidRPr="009F29C6">
        <w:rPr>
          <w:rFonts w:ascii="Arial" w:hAnsi="Arial" w:cs="Arial"/>
        </w:rPr>
        <w:t xml:space="preserve"> value in discussing any alternative depreciation </w:t>
      </w:r>
      <w:r w:rsidR="000917DF" w:rsidRPr="009F29C6">
        <w:rPr>
          <w:rFonts w:ascii="Arial" w:hAnsi="Arial" w:cs="Arial"/>
        </w:rPr>
        <w:t>profiles</w:t>
      </w:r>
      <w:r w:rsidRPr="009F29C6">
        <w:rPr>
          <w:rFonts w:ascii="Arial" w:hAnsi="Arial" w:cs="Arial"/>
        </w:rPr>
        <w:t xml:space="preserve"> to that used in the PTRM with the AER before </w:t>
      </w:r>
      <w:r w:rsidR="000917DF" w:rsidRPr="009F29C6">
        <w:rPr>
          <w:rFonts w:ascii="Arial" w:hAnsi="Arial" w:cs="Arial"/>
        </w:rPr>
        <w:t>lodging</w:t>
      </w:r>
      <w:r w:rsidRPr="009F29C6">
        <w:rPr>
          <w:rFonts w:ascii="Arial" w:hAnsi="Arial" w:cs="Arial"/>
        </w:rPr>
        <w:t xml:space="preserve"> their regulatory proposals. However, they </w:t>
      </w:r>
      <w:r w:rsidR="000917DF" w:rsidRPr="009F29C6">
        <w:rPr>
          <w:rFonts w:ascii="Arial" w:hAnsi="Arial" w:cs="Arial"/>
        </w:rPr>
        <w:t>submitted</w:t>
      </w:r>
      <w:r w:rsidRPr="009F29C6">
        <w:rPr>
          <w:rFonts w:ascii="Arial" w:hAnsi="Arial" w:cs="Arial"/>
        </w:rPr>
        <w:t xml:space="preserve"> the language </w:t>
      </w:r>
      <w:r w:rsidR="000917DF" w:rsidRPr="009F29C6">
        <w:rPr>
          <w:rFonts w:ascii="Arial" w:hAnsi="Arial" w:cs="Arial"/>
        </w:rPr>
        <w:t>used in the handbook</w:t>
      </w:r>
      <w:r w:rsidRPr="009F29C6">
        <w:rPr>
          <w:rFonts w:ascii="Arial" w:hAnsi="Arial" w:cs="Arial"/>
        </w:rPr>
        <w:t xml:space="preserve"> suggested this was a requirement. We agree that this is not a requirement of the </w:t>
      </w:r>
      <w:r w:rsidR="00EC1338" w:rsidRPr="009F29C6">
        <w:rPr>
          <w:rFonts w:ascii="Arial" w:hAnsi="Arial" w:cs="Arial"/>
        </w:rPr>
        <w:t>NER</w:t>
      </w:r>
      <w:r w:rsidRPr="009F29C6">
        <w:rPr>
          <w:rFonts w:ascii="Arial" w:hAnsi="Arial" w:cs="Arial"/>
        </w:rPr>
        <w:t xml:space="preserve"> and have amended the handbook accordingly.</w:t>
      </w:r>
      <w:r w:rsidR="00B4797B" w:rsidRPr="009F29C6">
        <w:rPr>
          <w:rFonts w:ascii="Arial" w:hAnsi="Arial" w:cs="Arial"/>
        </w:rPr>
        <w:t xml:space="preserve"> </w:t>
      </w:r>
    </w:p>
    <w:p w:rsidR="007E5C2C" w:rsidRPr="009F29C6" w:rsidRDefault="00144011" w:rsidP="00144011">
      <w:pPr>
        <w:pStyle w:val="AERbulletlistfirststyle"/>
        <w:numPr>
          <w:ilvl w:val="0"/>
          <w:numId w:val="0"/>
        </w:numPr>
        <w:rPr>
          <w:rStyle w:val="AERbody"/>
          <w:rFonts w:ascii="Arial" w:hAnsi="Arial" w:cs="Arial"/>
        </w:rPr>
      </w:pPr>
      <w:r w:rsidRPr="009F29C6">
        <w:rPr>
          <w:rFonts w:ascii="Arial" w:hAnsi="Arial" w:cs="Arial"/>
        </w:rPr>
        <w:t>The submission from United Energy</w:t>
      </w:r>
      <w:r w:rsidR="00666427">
        <w:rPr>
          <w:rFonts w:ascii="Arial" w:hAnsi="Arial" w:cs="Arial"/>
        </w:rPr>
        <w:t>/</w:t>
      </w:r>
      <w:proofErr w:type="spellStart"/>
      <w:r w:rsidRPr="009F29C6">
        <w:rPr>
          <w:rFonts w:ascii="Arial" w:hAnsi="Arial" w:cs="Arial"/>
        </w:rPr>
        <w:t>Multi</w:t>
      </w:r>
      <w:r w:rsidR="00EC1338" w:rsidRPr="009F29C6">
        <w:rPr>
          <w:rFonts w:ascii="Arial" w:hAnsi="Arial" w:cs="Arial"/>
        </w:rPr>
        <w:t>net</w:t>
      </w:r>
      <w:proofErr w:type="spellEnd"/>
      <w:r w:rsidR="00EC1338" w:rsidRPr="009F29C6">
        <w:rPr>
          <w:rFonts w:ascii="Arial" w:hAnsi="Arial" w:cs="Arial"/>
        </w:rPr>
        <w:t xml:space="preserve"> </w:t>
      </w:r>
      <w:r w:rsidRPr="009F29C6">
        <w:rPr>
          <w:rFonts w:ascii="Arial" w:hAnsi="Arial" w:cs="Arial"/>
        </w:rPr>
        <w:t>Gas noted t</w:t>
      </w:r>
      <w:r w:rsidRPr="009F29C6">
        <w:rPr>
          <w:rStyle w:val="AERbody"/>
          <w:rFonts w:ascii="Arial" w:hAnsi="Arial" w:cs="Arial"/>
        </w:rPr>
        <w:t>he handbook does not mention CESS, and that the NER references for the other revenue adjustments had not been broadened to reflect the new clauses.</w:t>
      </w:r>
      <w:r w:rsidR="001F3256">
        <w:rPr>
          <w:rStyle w:val="FootnoteReference"/>
          <w:rFonts w:ascii="Arial" w:hAnsi="Arial" w:cs="Arial"/>
        </w:rPr>
        <w:footnoteReference w:id="62"/>
      </w:r>
      <w:r w:rsidRPr="009F29C6">
        <w:rPr>
          <w:rStyle w:val="AERbody"/>
          <w:rFonts w:ascii="Arial" w:hAnsi="Arial" w:cs="Arial"/>
        </w:rPr>
        <w:t xml:space="preserve"> We have included in the handbook additional NER references to allow users a better understanding of the legal basis for the adjustments.</w:t>
      </w:r>
    </w:p>
    <w:p w:rsidR="00144011" w:rsidRPr="009F29C6" w:rsidRDefault="00144011" w:rsidP="00144011">
      <w:pPr>
        <w:pStyle w:val="AERbulletlistfirststyle"/>
        <w:numPr>
          <w:ilvl w:val="0"/>
          <w:numId w:val="0"/>
        </w:numPr>
        <w:rPr>
          <w:rStyle w:val="AERtexthighlight"/>
          <w:rFonts w:ascii="Arial" w:hAnsi="Arial" w:cs="Arial"/>
        </w:rPr>
      </w:pPr>
    </w:p>
    <w:p w:rsidR="001A2088" w:rsidRPr="009F29C6" w:rsidRDefault="001A2088" w:rsidP="009357C1">
      <w:pPr>
        <w:pStyle w:val="Heading1"/>
        <w:rPr>
          <w:rFonts w:ascii="Arial" w:hAnsi="Arial" w:cs="Arial"/>
        </w:rPr>
      </w:pPr>
      <w:bookmarkStart w:id="37" w:name="_Toc408926616"/>
      <w:bookmarkStart w:id="38" w:name="_Toc395861698"/>
      <w:r w:rsidRPr="008C75B6">
        <w:rPr>
          <w:rFonts w:ascii="Arial" w:hAnsi="Arial" w:cs="Arial"/>
        </w:rPr>
        <w:lastRenderedPageBreak/>
        <w:t>Consultation</w:t>
      </w:r>
      <w:bookmarkEnd w:id="37"/>
    </w:p>
    <w:p w:rsidR="001A2088" w:rsidRPr="009F29C6" w:rsidRDefault="001A2088" w:rsidP="009357C1">
      <w:pPr>
        <w:pStyle w:val="AERbodytext"/>
        <w:rPr>
          <w:rFonts w:ascii="Arial" w:hAnsi="Arial" w:cs="Arial"/>
        </w:rPr>
      </w:pPr>
      <w:r w:rsidRPr="009F29C6">
        <w:rPr>
          <w:rFonts w:ascii="Arial" w:hAnsi="Arial" w:cs="Arial"/>
        </w:rPr>
        <w:t xml:space="preserve">This </w:t>
      </w:r>
      <w:r w:rsidR="00766B0C" w:rsidRPr="009F29C6">
        <w:rPr>
          <w:rFonts w:ascii="Arial" w:hAnsi="Arial" w:cs="Arial"/>
        </w:rPr>
        <w:t>section</w:t>
      </w:r>
      <w:r w:rsidRPr="009F29C6">
        <w:rPr>
          <w:rFonts w:ascii="Arial" w:hAnsi="Arial" w:cs="Arial"/>
        </w:rPr>
        <w:t xml:space="preserve"> </w:t>
      </w:r>
      <w:r w:rsidR="0095605A" w:rsidRPr="009F29C6">
        <w:rPr>
          <w:rFonts w:ascii="Arial" w:hAnsi="Arial" w:cs="Arial"/>
        </w:rPr>
        <w:t xml:space="preserve">highlights the consultation that has been undertaken with stakeholders and our response to issues </w:t>
      </w:r>
      <w:proofErr w:type="gramStart"/>
      <w:r w:rsidR="0095605A" w:rsidRPr="009F29C6">
        <w:rPr>
          <w:rFonts w:ascii="Arial" w:hAnsi="Arial" w:cs="Arial"/>
        </w:rPr>
        <w:t>raised</w:t>
      </w:r>
      <w:proofErr w:type="gramEnd"/>
      <w:r w:rsidR="0095605A" w:rsidRPr="009F29C6">
        <w:rPr>
          <w:rFonts w:ascii="Arial" w:hAnsi="Arial" w:cs="Arial"/>
        </w:rPr>
        <w:t xml:space="preserve"> in submissions</w:t>
      </w:r>
      <w:r w:rsidR="00D93F35" w:rsidRPr="009F29C6">
        <w:rPr>
          <w:rFonts w:ascii="Arial" w:hAnsi="Arial" w:cs="Arial"/>
        </w:rPr>
        <w:t xml:space="preserve"> which we have not accepted</w:t>
      </w:r>
      <w:r w:rsidRPr="009F29C6">
        <w:rPr>
          <w:rFonts w:ascii="Arial" w:hAnsi="Arial" w:cs="Arial"/>
        </w:rPr>
        <w:t>.</w:t>
      </w:r>
    </w:p>
    <w:p w:rsidR="00BC25AF" w:rsidRPr="009F29C6" w:rsidRDefault="00372E7E" w:rsidP="00BC25AF">
      <w:pPr>
        <w:pStyle w:val="Heading2"/>
        <w:rPr>
          <w:rFonts w:ascii="Arial" w:hAnsi="Arial" w:cs="Arial"/>
        </w:rPr>
      </w:pPr>
      <w:bookmarkStart w:id="39" w:name="_Toc408926617"/>
      <w:r w:rsidRPr="009F29C6">
        <w:rPr>
          <w:rFonts w:ascii="Arial" w:hAnsi="Arial" w:cs="Arial"/>
        </w:rPr>
        <w:t xml:space="preserve">Initial </w:t>
      </w:r>
      <w:r w:rsidR="00BC25AF" w:rsidRPr="009F29C6">
        <w:rPr>
          <w:rFonts w:ascii="Arial" w:hAnsi="Arial" w:cs="Arial"/>
        </w:rPr>
        <w:t>consultation</w:t>
      </w:r>
      <w:bookmarkEnd w:id="38"/>
      <w:bookmarkEnd w:id="39"/>
    </w:p>
    <w:p w:rsidR="001D267F" w:rsidRPr="009F29C6" w:rsidRDefault="007E5C2C" w:rsidP="007E5C2C">
      <w:pPr>
        <w:pStyle w:val="AERbodytext"/>
        <w:rPr>
          <w:rFonts w:ascii="Arial" w:hAnsi="Arial" w:cs="Arial"/>
        </w:rPr>
      </w:pPr>
      <w:r w:rsidRPr="009F29C6">
        <w:rPr>
          <w:rFonts w:ascii="Arial" w:hAnsi="Arial" w:cs="Arial"/>
        </w:rPr>
        <w:t xml:space="preserve">In May 2014 we undertook </w:t>
      </w:r>
      <w:r w:rsidR="0095605A" w:rsidRPr="009F29C6">
        <w:rPr>
          <w:rFonts w:ascii="Arial" w:hAnsi="Arial" w:cs="Arial"/>
        </w:rPr>
        <w:t xml:space="preserve">initial </w:t>
      </w:r>
      <w:r w:rsidRPr="009F29C6">
        <w:rPr>
          <w:rFonts w:ascii="Arial" w:hAnsi="Arial" w:cs="Arial"/>
        </w:rPr>
        <w:t>consultation</w:t>
      </w:r>
      <w:r w:rsidR="0095605A" w:rsidRPr="009F29C6">
        <w:rPr>
          <w:rFonts w:ascii="Arial" w:hAnsi="Arial" w:cs="Arial"/>
        </w:rPr>
        <w:t>s</w:t>
      </w:r>
      <w:r w:rsidRPr="009F29C6">
        <w:rPr>
          <w:rFonts w:ascii="Arial" w:hAnsi="Arial" w:cs="Arial"/>
        </w:rPr>
        <w:t xml:space="preserve"> with 19 service providers and industry bodies, sending them example TNSP/DNSP PTRMs with some initial changes, particularly in accommodating the changes to the return on equity and return on debt. The ENA provided a response, with six NSPs also responding with comments. Two NSPs responded by noting the ENA's comments.</w:t>
      </w:r>
      <w:r w:rsidR="0095605A" w:rsidRPr="009F29C6">
        <w:rPr>
          <w:rFonts w:ascii="Arial" w:hAnsi="Arial" w:cs="Arial"/>
        </w:rPr>
        <w:t xml:space="preserve"> </w:t>
      </w:r>
    </w:p>
    <w:p w:rsidR="00DE51B7" w:rsidRPr="009F29C6" w:rsidRDefault="0095605A" w:rsidP="0095605A">
      <w:pPr>
        <w:pStyle w:val="AERbodytext"/>
        <w:rPr>
          <w:rFonts w:ascii="Arial" w:hAnsi="Arial" w:cs="Arial"/>
        </w:rPr>
      </w:pPr>
      <w:r w:rsidRPr="009F29C6">
        <w:rPr>
          <w:rFonts w:ascii="Arial" w:hAnsi="Arial" w:cs="Arial"/>
        </w:rPr>
        <w:t xml:space="preserve">The issues raised in these consultations were discussed in the </w:t>
      </w:r>
      <w:r w:rsidRPr="009F29C6">
        <w:rPr>
          <w:rStyle w:val="AERtextitalic"/>
          <w:rFonts w:ascii="Arial" w:hAnsi="Arial" w:cs="Arial"/>
        </w:rPr>
        <w:t>Explanatory statement</w:t>
      </w:r>
      <w:r w:rsidR="00C351C0" w:rsidRPr="009F29C6">
        <w:rPr>
          <w:rFonts w:ascii="Arial" w:hAnsi="Arial" w:cs="Arial"/>
        </w:rPr>
        <w:t xml:space="preserve">, along with </w:t>
      </w:r>
      <w:r w:rsidRPr="009F29C6">
        <w:rPr>
          <w:rFonts w:ascii="Arial" w:hAnsi="Arial" w:cs="Arial"/>
        </w:rPr>
        <w:t>further issue</w:t>
      </w:r>
      <w:r w:rsidR="00C351C0" w:rsidRPr="009F29C6">
        <w:rPr>
          <w:rFonts w:ascii="Arial" w:hAnsi="Arial" w:cs="Arial"/>
        </w:rPr>
        <w:t>s</w:t>
      </w:r>
      <w:r w:rsidRPr="009F29C6">
        <w:rPr>
          <w:rFonts w:ascii="Arial" w:hAnsi="Arial" w:cs="Arial"/>
        </w:rPr>
        <w:t xml:space="preserve"> raised by the AER. For the most part, our proposed responses to these issues have either been supported by (or have not drawn further comment from) stakeholders. However, a </w:t>
      </w:r>
      <w:r w:rsidR="00C351C0" w:rsidRPr="009F29C6">
        <w:rPr>
          <w:rFonts w:ascii="Arial" w:hAnsi="Arial" w:cs="Arial"/>
        </w:rPr>
        <w:t>few</w:t>
      </w:r>
      <w:r w:rsidRPr="009F29C6">
        <w:rPr>
          <w:rFonts w:ascii="Arial" w:hAnsi="Arial" w:cs="Arial"/>
        </w:rPr>
        <w:t xml:space="preserve"> issues were raised </w:t>
      </w:r>
      <w:r w:rsidR="00C351C0" w:rsidRPr="009F29C6">
        <w:rPr>
          <w:rFonts w:ascii="Arial" w:hAnsi="Arial" w:cs="Arial"/>
        </w:rPr>
        <w:t xml:space="preserve">again </w:t>
      </w:r>
      <w:r w:rsidRPr="009F29C6">
        <w:rPr>
          <w:rFonts w:ascii="Arial" w:hAnsi="Arial" w:cs="Arial"/>
        </w:rPr>
        <w:t xml:space="preserve">in formal submissions. </w:t>
      </w:r>
    </w:p>
    <w:p w:rsidR="001D267F" w:rsidRPr="009F29C6" w:rsidRDefault="001D267F" w:rsidP="001D267F">
      <w:pPr>
        <w:pStyle w:val="Heading2"/>
        <w:rPr>
          <w:rFonts w:ascii="Arial" w:hAnsi="Arial" w:cs="Arial"/>
        </w:rPr>
      </w:pPr>
      <w:bookmarkStart w:id="40" w:name="_Toc408926618"/>
      <w:r w:rsidRPr="009F29C6">
        <w:rPr>
          <w:rFonts w:ascii="Arial" w:hAnsi="Arial" w:cs="Arial"/>
        </w:rPr>
        <w:t>Submissions on proposed amendments</w:t>
      </w:r>
      <w:bookmarkEnd w:id="40"/>
    </w:p>
    <w:p w:rsidR="001D267F" w:rsidRPr="009F29C6" w:rsidRDefault="00C25545" w:rsidP="00BC25AF">
      <w:pPr>
        <w:pStyle w:val="AERbodytext"/>
        <w:rPr>
          <w:rFonts w:ascii="Arial" w:hAnsi="Arial" w:cs="Arial"/>
        </w:rPr>
      </w:pPr>
      <w:r w:rsidRPr="009F29C6">
        <w:rPr>
          <w:rFonts w:ascii="Arial" w:hAnsi="Arial" w:cs="Arial"/>
        </w:rPr>
        <w:t xml:space="preserve">We received </w:t>
      </w:r>
      <w:r w:rsidR="00DB7025" w:rsidRPr="009F29C6">
        <w:rPr>
          <w:rFonts w:ascii="Arial" w:hAnsi="Arial" w:cs="Arial"/>
        </w:rPr>
        <w:t>seven</w:t>
      </w:r>
      <w:r w:rsidRPr="009F29C6">
        <w:rPr>
          <w:rFonts w:ascii="Arial" w:hAnsi="Arial" w:cs="Arial"/>
        </w:rPr>
        <w:t xml:space="preserve"> submissions on the proposed amendments to the PTRMs</w:t>
      </w:r>
      <w:r w:rsidRPr="009F29C6">
        <w:rPr>
          <w:rStyle w:val="AERbody"/>
          <w:rFonts w:ascii="Arial" w:hAnsi="Arial" w:cs="Arial"/>
        </w:rPr>
        <w:t>.</w:t>
      </w:r>
      <w:r w:rsidR="00291F53">
        <w:rPr>
          <w:rStyle w:val="FootnoteReference"/>
          <w:rFonts w:ascii="Arial" w:hAnsi="Arial" w:cs="Arial"/>
        </w:rPr>
        <w:footnoteReference w:id="63"/>
      </w:r>
      <w:r w:rsidR="00C351C0" w:rsidRPr="009F29C6">
        <w:rPr>
          <w:rStyle w:val="AERbody"/>
          <w:rFonts w:ascii="Arial" w:hAnsi="Arial" w:cs="Arial"/>
        </w:rPr>
        <w:t xml:space="preserve"> </w:t>
      </w:r>
      <w:proofErr w:type="gramStart"/>
      <w:r w:rsidR="00C351C0" w:rsidRPr="009F29C6">
        <w:rPr>
          <w:rStyle w:val="AERbody"/>
          <w:rFonts w:ascii="Arial" w:hAnsi="Arial" w:cs="Arial"/>
        </w:rPr>
        <w:t>A</w:t>
      </w:r>
      <w:proofErr w:type="gramEnd"/>
      <w:r w:rsidR="00C351C0" w:rsidRPr="009F29C6">
        <w:rPr>
          <w:rStyle w:val="AERbody"/>
          <w:rFonts w:ascii="Arial" w:hAnsi="Arial" w:cs="Arial"/>
        </w:rPr>
        <w:t xml:space="preserve"> number of suggestions made in submissions have been </w:t>
      </w:r>
      <w:r w:rsidR="00FD4910" w:rsidRPr="009F29C6">
        <w:rPr>
          <w:rStyle w:val="AERbody"/>
          <w:rFonts w:ascii="Arial" w:hAnsi="Arial" w:cs="Arial"/>
        </w:rPr>
        <w:t>adopted</w:t>
      </w:r>
      <w:r w:rsidR="00C351C0" w:rsidRPr="009F29C6">
        <w:rPr>
          <w:rStyle w:val="AERbody"/>
          <w:rFonts w:ascii="Arial" w:hAnsi="Arial" w:cs="Arial"/>
        </w:rPr>
        <w:t xml:space="preserve"> </w:t>
      </w:r>
      <w:r w:rsidR="008E696B">
        <w:rPr>
          <w:rStyle w:val="AERbody"/>
          <w:rFonts w:ascii="Arial" w:hAnsi="Arial" w:cs="Arial"/>
        </w:rPr>
        <w:t xml:space="preserve">(in whole or in part) </w:t>
      </w:r>
      <w:r w:rsidR="00C351C0" w:rsidRPr="009F29C6">
        <w:rPr>
          <w:rStyle w:val="AERbody"/>
          <w:rFonts w:ascii="Arial" w:hAnsi="Arial" w:cs="Arial"/>
        </w:rPr>
        <w:t>in the final amendments to the PTRMs and handbooks as discussed in section 4. However, there were also suggestions that we have not accepted. These issues are discussed below.</w:t>
      </w:r>
    </w:p>
    <w:p w:rsidR="001D267F" w:rsidRPr="009F29C6" w:rsidRDefault="00171602" w:rsidP="00897F23">
      <w:pPr>
        <w:pStyle w:val="Heading3"/>
        <w:rPr>
          <w:rFonts w:ascii="Arial" w:hAnsi="Arial" w:cs="Arial"/>
        </w:rPr>
      </w:pPr>
      <w:bookmarkStart w:id="41" w:name="_Toc408926619"/>
      <w:r w:rsidRPr="009F29C6">
        <w:rPr>
          <w:rFonts w:ascii="Arial" w:hAnsi="Arial" w:cs="Arial"/>
        </w:rPr>
        <w:t>Discount rate</w:t>
      </w:r>
      <w:r w:rsidR="00D93F35" w:rsidRPr="009F29C6">
        <w:rPr>
          <w:rFonts w:ascii="Arial" w:hAnsi="Arial" w:cs="Arial"/>
        </w:rPr>
        <w:t xml:space="preserve"> used for s</w:t>
      </w:r>
      <w:r w:rsidR="00112C84" w:rsidRPr="009F29C6">
        <w:rPr>
          <w:rFonts w:ascii="Arial" w:hAnsi="Arial" w:cs="Arial"/>
        </w:rPr>
        <w:t>moothing revenues</w:t>
      </w:r>
      <w:bookmarkEnd w:id="41"/>
    </w:p>
    <w:p w:rsidR="008863D6" w:rsidRPr="009F29C6" w:rsidRDefault="008863D6" w:rsidP="008863D6">
      <w:pPr>
        <w:rPr>
          <w:rFonts w:ascii="Arial" w:hAnsi="Arial" w:cs="Arial"/>
        </w:rPr>
      </w:pPr>
      <w:r w:rsidRPr="009F29C6">
        <w:rPr>
          <w:rFonts w:ascii="Arial" w:hAnsi="Arial" w:cs="Arial"/>
        </w:rPr>
        <w:t xml:space="preserve">In our </w:t>
      </w:r>
      <w:r w:rsidRPr="009F29C6">
        <w:rPr>
          <w:rFonts w:ascii="Arial" w:hAnsi="Arial" w:cs="Arial"/>
          <w:i/>
        </w:rPr>
        <w:t>Explanatory statement</w:t>
      </w:r>
      <w:r w:rsidRPr="009F29C6">
        <w:rPr>
          <w:rFonts w:ascii="Arial" w:hAnsi="Arial" w:cs="Arial"/>
        </w:rPr>
        <w:t>, we asked for comments on the form of the discount rate used when deriving smoothed revenue across the regulatory control period.</w:t>
      </w:r>
      <w:r w:rsidRPr="009F29C6">
        <w:rPr>
          <w:rStyle w:val="FootnoteReference"/>
          <w:rFonts w:ascii="Arial" w:hAnsi="Arial" w:cs="Arial"/>
        </w:rPr>
        <w:footnoteReference w:id="64"/>
      </w:r>
      <w:r w:rsidRPr="009F29C6">
        <w:rPr>
          <w:rFonts w:ascii="Arial" w:hAnsi="Arial" w:cs="Arial"/>
        </w:rPr>
        <w:t xml:space="preserve"> After considering the limited number of responses on this issue, we hav</w:t>
      </w:r>
      <w:r w:rsidR="00171602" w:rsidRPr="009F29C6">
        <w:rPr>
          <w:rFonts w:ascii="Arial" w:hAnsi="Arial" w:cs="Arial"/>
        </w:rPr>
        <w:t>e decided to retain the use of the</w:t>
      </w:r>
      <w:r w:rsidRPr="009F29C6">
        <w:rPr>
          <w:rFonts w:ascii="Arial" w:hAnsi="Arial" w:cs="Arial"/>
        </w:rPr>
        <w:t xml:space="preserve"> vanilla WACC when smoothing, consistent with our previous approach.</w:t>
      </w:r>
      <w:r w:rsidRPr="009F29C6">
        <w:rPr>
          <w:rStyle w:val="FootnoteReference"/>
          <w:rFonts w:ascii="Arial" w:hAnsi="Arial" w:cs="Arial"/>
        </w:rPr>
        <w:footnoteReference w:id="65"/>
      </w:r>
      <w:r w:rsidRPr="009F29C6">
        <w:rPr>
          <w:rFonts w:ascii="Arial" w:hAnsi="Arial" w:cs="Arial"/>
        </w:rPr>
        <w:t xml:space="preserve"> The AER considers that the opportunity cost to use for smoothing is preferably a post-tax </w:t>
      </w:r>
      <w:r w:rsidR="00171602" w:rsidRPr="009F29C6">
        <w:rPr>
          <w:rFonts w:ascii="Arial" w:hAnsi="Arial" w:cs="Arial"/>
        </w:rPr>
        <w:t>rate</w:t>
      </w:r>
      <w:r w:rsidRPr="009F29C6">
        <w:rPr>
          <w:rFonts w:ascii="Arial" w:hAnsi="Arial" w:cs="Arial"/>
        </w:rPr>
        <w:t>.</w:t>
      </w:r>
      <w:r w:rsidRPr="009F29C6">
        <w:rPr>
          <w:rStyle w:val="FootnoteReference"/>
          <w:rFonts w:ascii="Arial" w:hAnsi="Arial" w:cs="Arial"/>
        </w:rPr>
        <w:footnoteReference w:id="66"/>
      </w:r>
      <w:r w:rsidRPr="009F29C6">
        <w:rPr>
          <w:rFonts w:ascii="Arial" w:hAnsi="Arial" w:cs="Arial"/>
        </w:rPr>
        <w:t xml:space="preserve"> The service provider cannot retain the tax on the returns earned (or foregone) on the incremental revenues invested in alternative investments.</w:t>
      </w:r>
      <w:r w:rsidRPr="009F29C6">
        <w:rPr>
          <w:rStyle w:val="FootnoteReference"/>
          <w:rFonts w:ascii="Arial" w:hAnsi="Arial" w:cs="Arial"/>
        </w:rPr>
        <w:footnoteReference w:id="67"/>
      </w:r>
      <w:r w:rsidRPr="009F29C6">
        <w:rPr>
          <w:rFonts w:ascii="Arial" w:hAnsi="Arial" w:cs="Arial"/>
        </w:rPr>
        <w:t xml:space="preserve"> To deduct/add pre-tax returns earned in one year from future years is double taxing, or over compensating on tax, depending on whether the incremental revenues are positive or negative.</w:t>
      </w:r>
      <w:r w:rsidRPr="009F29C6">
        <w:rPr>
          <w:rStyle w:val="FootnoteReference"/>
          <w:rFonts w:ascii="Arial" w:hAnsi="Arial" w:cs="Arial"/>
        </w:rPr>
        <w:footnoteReference w:id="68"/>
      </w:r>
    </w:p>
    <w:p w:rsidR="008863D6" w:rsidRPr="009F29C6" w:rsidRDefault="008863D6" w:rsidP="008863D6">
      <w:pPr>
        <w:rPr>
          <w:rFonts w:ascii="Arial" w:hAnsi="Arial" w:cs="Arial"/>
        </w:rPr>
      </w:pPr>
      <w:r w:rsidRPr="009F29C6">
        <w:rPr>
          <w:rFonts w:ascii="Arial" w:hAnsi="Arial" w:cs="Arial"/>
        </w:rPr>
        <w:t xml:space="preserve">Energex and </w:t>
      </w:r>
      <w:proofErr w:type="spellStart"/>
      <w:r w:rsidRPr="009F29C6">
        <w:rPr>
          <w:rFonts w:ascii="Arial" w:hAnsi="Arial" w:cs="Arial"/>
        </w:rPr>
        <w:t>Jemena</w:t>
      </w:r>
      <w:proofErr w:type="spellEnd"/>
      <w:r w:rsidRPr="009F29C6">
        <w:rPr>
          <w:rFonts w:ascii="Arial" w:hAnsi="Arial" w:cs="Arial"/>
        </w:rPr>
        <w:t xml:space="preserve"> submitted that instead of a vanilla WACC, a pre-tax WACC should be used when calculating the NPV of total revenue over the regulatory control period.</w:t>
      </w:r>
      <w:r w:rsidRPr="009F29C6">
        <w:rPr>
          <w:rStyle w:val="FootnoteReference"/>
          <w:rFonts w:ascii="Arial" w:hAnsi="Arial" w:cs="Arial"/>
        </w:rPr>
        <w:footnoteReference w:id="69"/>
      </w:r>
      <w:r w:rsidRPr="009F29C6">
        <w:rPr>
          <w:rFonts w:ascii="Arial" w:hAnsi="Arial" w:cs="Arial"/>
        </w:rPr>
        <w:t xml:space="preserve"> We note that this </w:t>
      </w:r>
      <w:r w:rsidRPr="009F29C6">
        <w:rPr>
          <w:rFonts w:ascii="Arial" w:hAnsi="Arial" w:cs="Arial"/>
        </w:rPr>
        <w:lastRenderedPageBreak/>
        <w:t>would require converting the post-tax return on equity (a direct input to the model) into a pre-tax return on equity, but this is problematic.</w:t>
      </w:r>
      <w:r w:rsidR="00C53E89" w:rsidRPr="009F29C6">
        <w:rPr>
          <w:rStyle w:val="FootnoteReference"/>
          <w:rFonts w:ascii="Arial" w:hAnsi="Arial" w:cs="Arial"/>
        </w:rPr>
        <w:footnoteReference w:id="70"/>
      </w:r>
      <w:r w:rsidRPr="009F29C6">
        <w:rPr>
          <w:rFonts w:ascii="Arial" w:hAnsi="Arial" w:cs="Arial"/>
        </w:rPr>
        <w:t xml:space="preserve"> The financial literature (including that referenced by </w:t>
      </w:r>
      <w:proofErr w:type="spellStart"/>
      <w:r w:rsidRPr="009F29C6">
        <w:rPr>
          <w:rFonts w:ascii="Arial" w:hAnsi="Arial" w:cs="Arial"/>
        </w:rPr>
        <w:t>Jemena</w:t>
      </w:r>
      <w:proofErr w:type="spellEnd"/>
      <w:r w:rsidRPr="009F29C6">
        <w:rPr>
          <w:rFonts w:ascii="Arial" w:hAnsi="Arial" w:cs="Arial"/>
        </w:rPr>
        <w:t xml:space="preserve"> in its submission) makes clear that the pre-tax WACC calculated in this way will not be accurate where there are differences in the timing of cash flows and their taxation implications.</w:t>
      </w:r>
      <w:r w:rsidR="00C53E89" w:rsidRPr="009F29C6">
        <w:rPr>
          <w:rStyle w:val="FootnoteReference"/>
          <w:rFonts w:ascii="Arial" w:hAnsi="Arial" w:cs="Arial"/>
        </w:rPr>
        <w:footnoteReference w:id="71"/>
      </w:r>
      <w:r w:rsidRPr="009F29C6">
        <w:rPr>
          <w:rFonts w:ascii="Arial" w:hAnsi="Arial" w:cs="Arial"/>
        </w:rPr>
        <w:t xml:space="preserve"> This is the case when we compare the smoothed and unsmoothed total revenue, and the concern is exacerbated by the use of a time varying WACC.</w:t>
      </w:r>
      <w:r w:rsidR="00C53E89" w:rsidRPr="009F29C6">
        <w:rPr>
          <w:rStyle w:val="FootnoteReference"/>
          <w:rFonts w:ascii="Arial" w:hAnsi="Arial" w:cs="Arial"/>
        </w:rPr>
        <w:footnoteReference w:id="72"/>
      </w:r>
    </w:p>
    <w:p w:rsidR="00112C84" w:rsidRPr="009F29C6" w:rsidRDefault="008863D6" w:rsidP="00BC25AF">
      <w:pPr>
        <w:rPr>
          <w:rFonts w:ascii="Arial" w:hAnsi="Arial" w:cs="Arial"/>
        </w:rPr>
      </w:pPr>
      <w:r w:rsidRPr="009F29C6">
        <w:rPr>
          <w:rFonts w:ascii="Arial" w:hAnsi="Arial" w:cs="Arial"/>
        </w:rPr>
        <w:t>In practice, the form of WACC used when discounting smoothed and unsmoothed revenue does not have a material impact on revenue outcomes.</w:t>
      </w:r>
      <w:r w:rsidR="00BD49B9">
        <w:rPr>
          <w:rStyle w:val="FootnoteReference"/>
          <w:rFonts w:ascii="Arial" w:hAnsi="Arial" w:cs="Arial"/>
        </w:rPr>
        <w:footnoteReference w:id="73"/>
      </w:r>
      <w:r w:rsidRPr="009F29C6">
        <w:rPr>
          <w:rFonts w:ascii="Arial" w:hAnsi="Arial" w:cs="Arial"/>
        </w:rPr>
        <w:t xml:space="preserve"> Even in extreme circumstances, u</w:t>
      </w:r>
      <w:r w:rsidR="00171602" w:rsidRPr="009F29C6">
        <w:rPr>
          <w:rFonts w:ascii="Arial" w:hAnsi="Arial" w:cs="Arial"/>
        </w:rPr>
        <w:t>sing a pre-tax WACC instead of the</w:t>
      </w:r>
      <w:r w:rsidRPr="009F29C6">
        <w:rPr>
          <w:rFonts w:ascii="Arial" w:hAnsi="Arial" w:cs="Arial"/>
        </w:rPr>
        <w:t xml:space="preserve"> vanilla WACC changes total smoothed revenue across the regulatory control period by no more than 0.1 per cent.</w:t>
      </w:r>
      <w:r w:rsidR="00C53E89" w:rsidRPr="009F29C6">
        <w:rPr>
          <w:rStyle w:val="FootnoteReference"/>
          <w:rFonts w:ascii="Arial" w:hAnsi="Arial" w:cs="Arial"/>
        </w:rPr>
        <w:footnoteReference w:id="74"/>
      </w:r>
      <w:r w:rsidRPr="009F29C6">
        <w:rPr>
          <w:rFonts w:ascii="Arial" w:hAnsi="Arial" w:cs="Arial"/>
        </w:rPr>
        <w:t xml:space="preserve"> Further, although the pre-tax WACC will always be a higher discount rate than the equivalent vanilla WACC, the effect on total smoothed revenue will not be a systematic increase. Rather, total smoothed revenue can either increase or decrease depending on the relative profiles of unsmoothed and smoothed revenue.</w:t>
      </w:r>
      <w:r w:rsidR="00C53E89" w:rsidRPr="009F29C6">
        <w:rPr>
          <w:rStyle w:val="FootnoteReference"/>
          <w:rFonts w:ascii="Arial" w:hAnsi="Arial" w:cs="Arial"/>
        </w:rPr>
        <w:footnoteReference w:id="75"/>
      </w:r>
    </w:p>
    <w:p w:rsidR="00D86D36" w:rsidRPr="009F29C6" w:rsidRDefault="00D86D36" w:rsidP="00D86D36">
      <w:pPr>
        <w:pStyle w:val="Heading3"/>
        <w:rPr>
          <w:rFonts w:ascii="Arial" w:hAnsi="Arial" w:cs="Arial"/>
        </w:rPr>
      </w:pPr>
      <w:bookmarkStart w:id="42" w:name="_Toc408926620"/>
      <w:r w:rsidRPr="009F29C6">
        <w:rPr>
          <w:rFonts w:ascii="Arial" w:hAnsi="Arial" w:cs="Arial"/>
        </w:rPr>
        <w:t>Use of alternative units of measure</w:t>
      </w:r>
      <w:bookmarkEnd w:id="42"/>
    </w:p>
    <w:p w:rsidR="009B15AA" w:rsidRPr="009F29C6" w:rsidRDefault="00603A31" w:rsidP="00603A31">
      <w:pPr>
        <w:pStyle w:val="AERbodytext"/>
        <w:numPr>
          <w:ilvl w:val="0"/>
          <w:numId w:val="0"/>
        </w:numPr>
        <w:rPr>
          <w:rFonts w:ascii="Arial" w:hAnsi="Arial" w:cs="Arial"/>
        </w:rPr>
      </w:pPr>
      <w:r w:rsidRPr="009F29C6">
        <w:rPr>
          <w:rFonts w:ascii="Arial" w:hAnsi="Arial" w:cs="Arial"/>
        </w:rPr>
        <w:t xml:space="preserve">The </w:t>
      </w:r>
      <w:r w:rsidR="00C25545" w:rsidRPr="009F29C6">
        <w:rPr>
          <w:rFonts w:ascii="Arial" w:hAnsi="Arial" w:cs="Arial"/>
        </w:rPr>
        <w:t xml:space="preserve">ENA </w:t>
      </w:r>
      <w:r w:rsidRPr="009F29C6">
        <w:rPr>
          <w:rStyle w:val="AERbody"/>
          <w:rFonts w:ascii="Arial" w:hAnsi="Arial" w:cs="Arial"/>
        </w:rPr>
        <w:t>submitted that it would be useful for a service provider to have</w:t>
      </w:r>
      <w:r w:rsidR="00C25545" w:rsidRPr="009F29C6">
        <w:rPr>
          <w:rStyle w:val="AERbody"/>
          <w:rFonts w:ascii="Arial" w:hAnsi="Arial" w:cs="Arial"/>
        </w:rPr>
        <w:t xml:space="preserve"> flexibility to nominate </w:t>
      </w:r>
      <w:r w:rsidRPr="009F29C6">
        <w:rPr>
          <w:rStyle w:val="AERbody"/>
          <w:rFonts w:ascii="Arial" w:hAnsi="Arial" w:cs="Arial"/>
        </w:rPr>
        <w:t>different unit</w:t>
      </w:r>
      <w:r w:rsidR="00C25545" w:rsidRPr="009F29C6">
        <w:rPr>
          <w:rStyle w:val="AERbody"/>
          <w:rFonts w:ascii="Arial" w:hAnsi="Arial" w:cs="Arial"/>
        </w:rPr>
        <w:t xml:space="preserve"> price</w:t>
      </w:r>
      <w:r w:rsidRPr="009F29C6">
        <w:rPr>
          <w:rStyle w:val="AERbody"/>
          <w:rFonts w:ascii="Arial" w:hAnsi="Arial" w:cs="Arial"/>
        </w:rPr>
        <w:t>s</w:t>
      </w:r>
      <w:r w:rsidR="00C25545" w:rsidRPr="009F29C6">
        <w:rPr>
          <w:rStyle w:val="AERbody"/>
          <w:rFonts w:ascii="Arial" w:hAnsi="Arial" w:cs="Arial"/>
        </w:rPr>
        <w:t xml:space="preserve"> and quantities</w:t>
      </w:r>
      <w:r w:rsidRPr="009F29C6">
        <w:rPr>
          <w:rStyle w:val="AERbody"/>
          <w:rFonts w:ascii="Arial" w:hAnsi="Arial" w:cs="Arial"/>
        </w:rPr>
        <w:t xml:space="preserve"> than shown in the PTRM</w:t>
      </w:r>
      <w:r w:rsidR="00C25545" w:rsidRPr="009F29C6">
        <w:rPr>
          <w:rStyle w:val="AERbody"/>
          <w:rFonts w:ascii="Arial" w:hAnsi="Arial" w:cs="Arial"/>
        </w:rPr>
        <w:t>.</w:t>
      </w:r>
      <w:r w:rsidR="007754CA">
        <w:rPr>
          <w:rStyle w:val="FootnoteReference"/>
          <w:rFonts w:ascii="Arial" w:hAnsi="Arial" w:cs="Arial"/>
        </w:rPr>
        <w:footnoteReference w:id="76"/>
      </w:r>
      <w:r w:rsidRPr="009F29C6">
        <w:rPr>
          <w:rStyle w:val="AERbody"/>
          <w:rFonts w:ascii="Arial" w:hAnsi="Arial" w:cs="Arial"/>
        </w:rPr>
        <w:t xml:space="preserve"> While the PTRM is set up with particular default units, there are notes in the PTRM that the service provider can change the pricing structure as required for the price cap function in the DNSP PTRM to operate correctly. The PTRM cannot be set up to cater for all pricing possibilities in advance, so we recognise that adjustments may have to be made to the units of measure at times by the services providers. We therefore do not propose any further refinements in this regard.</w:t>
      </w:r>
    </w:p>
    <w:p w:rsidR="00C702AD" w:rsidRPr="009F29C6" w:rsidRDefault="00CE42E7" w:rsidP="002609DE">
      <w:pPr>
        <w:pStyle w:val="UnnumberedHeading"/>
        <w:rPr>
          <w:rFonts w:ascii="Arial" w:hAnsi="Arial" w:cs="Arial"/>
        </w:rPr>
      </w:pPr>
      <w:bookmarkStart w:id="43" w:name="_Toc395861699"/>
      <w:bookmarkStart w:id="44" w:name="_Toc408926621"/>
      <w:r w:rsidRPr="009F29C6">
        <w:rPr>
          <w:rFonts w:ascii="Arial" w:hAnsi="Arial" w:cs="Arial"/>
        </w:rPr>
        <w:lastRenderedPageBreak/>
        <w:t>Appendices</w:t>
      </w:r>
      <w:bookmarkEnd w:id="43"/>
      <w:bookmarkEnd w:id="44"/>
    </w:p>
    <w:p w:rsidR="002208AD" w:rsidRPr="009F29C6" w:rsidRDefault="002208AD" w:rsidP="000B6708">
      <w:pPr>
        <w:pStyle w:val="AERbodytext"/>
        <w:rPr>
          <w:rFonts w:ascii="Arial" w:hAnsi="Arial" w:cs="Arial"/>
        </w:rPr>
      </w:pPr>
      <w:r w:rsidRPr="009F29C6">
        <w:rPr>
          <w:rFonts w:ascii="Arial" w:hAnsi="Arial" w:cs="Arial"/>
        </w:rPr>
        <w:t xml:space="preserve">The appendices include the </w:t>
      </w:r>
      <w:r w:rsidR="004E3B36" w:rsidRPr="009F29C6">
        <w:rPr>
          <w:rFonts w:ascii="Arial" w:hAnsi="Arial" w:cs="Arial"/>
        </w:rPr>
        <w:t>final amended</w:t>
      </w:r>
      <w:r w:rsidRPr="009F29C6">
        <w:rPr>
          <w:rFonts w:ascii="Arial" w:hAnsi="Arial" w:cs="Arial"/>
        </w:rPr>
        <w:t xml:space="preserve"> models and handbooks.</w:t>
      </w:r>
      <w:r w:rsidR="00F00B5E" w:rsidRPr="009F29C6">
        <w:rPr>
          <w:rFonts w:ascii="Arial" w:hAnsi="Arial" w:cs="Arial"/>
        </w:rPr>
        <w:t xml:space="preserve"> There is</w:t>
      </w:r>
      <w:r w:rsidRPr="009F29C6">
        <w:rPr>
          <w:rFonts w:ascii="Arial" w:hAnsi="Arial" w:cs="Arial"/>
        </w:rPr>
        <w:t xml:space="preserve"> </w:t>
      </w:r>
      <w:r w:rsidR="000B6708" w:rsidRPr="009F29C6">
        <w:rPr>
          <w:rFonts w:ascii="Arial" w:hAnsi="Arial" w:cs="Arial"/>
        </w:rPr>
        <w:t>a high level summary</w:t>
      </w:r>
      <w:r w:rsidR="003A594E" w:rsidRPr="009F29C6">
        <w:rPr>
          <w:rFonts w:ascii="Arial" w:hAnsi="Arial" w:cs="Arial"/>
        </w:rPr>
        <w:t xml:space="preserve"> of changes</w:t>
      </w:r>
      <w:r w:rsidR="000B6708" w:rsidRPr="009F29C6">
        <w:rPr>
          <w:rFonts w:ascii="Arial" w:hAnsi="Arial" w:cs="Arial"/>
        </w:rPr>
        <w:t xml:space="preserve"> </w:t>
      </w:r>
      <w:r w:rsidR="00F00B5E" w:rsidRPr="009F29C6">
        <w:rPr>
          <w:rFonts w:ascii="Arial" w:hAnsi="Arial" w:cs="Arial"/>
        </w:rPr>
        <w:t xml:space="preserve">for version 3 </w:t>
      </w:r>
      <w:r w:rsidR="000B6708" w:rsidRPr="009F29C6">
        <w:rPr>
          <w:rFonts w:ascii="Arial" w:hAnsi="Arial" w:cs="Arial"/>
        </w:rPr>
        <w:t>in the</w:t>
      </w:r>
      <w:r w:rsidR="000B6708" w:rsidRPr="009F29C6">
        <w:rPr>
          <w:rStyle w:val="AERtextitalic"/>
          <w:rFonts w:ascii="Arial" w:hAnsi="Arial" w:cs="Arial"/>
        </w:rPr>
        <w:t xml:space="preserve"> Intro</w:t>
      </w:r>
      <w:r w:rsidR="000B6708" w:rsidRPr="009F29C6">
        <w:rPr>
          <w:rFonts w:ascii="Arial" w:hAnsi="Arial" w:cs="Arial"/>
        </w:rPr>
        <w:t xml:space="preserve"> </w:t>
      </w:r>
      <w:r w:rsidR="00534476" w:rsidRPr="009F29C6">
        <w:rPr>
          <w:rFonts w:ascii="Arial" w:hAnsi="Arial" w:cs="Arial"/>
        </w:rPr>
        <w:t>work</w:t>
      </w:r>
      <w:r w:rsidR="000B6708" w:rsidRPr="009F29C6">
        <w:rPr>
          <w:rFonts w:ascii="Arial" w:hAnsi="Arial" w:cs="Arial"/>
        </w:rPr>
        <w:t>sheet</w:t>
      </w:r>
      <w:r w:rsidR="00F00B5E" w:rsidRPr="009F29C6">
        <w:rPr>
          <w:rFonts w:ascii="Arial" w:hAnsi="Arial" w:cs="Arial"/>
        </w:rPr>
        <w:t>s of the PTRMs</w:t>
      </w:r>
      <w:r w:rsidR="00E555D2" w:rsidRPr="009F29C6">
        <w:rPr>
          <w:rFonts w:ascii="Arial" w:hAnsi="Arial" w:cs="Arial"/>
        </w:rPr>
        <w:t xml:space="preserve"> and a detailed list of changes in appendix</w:t>
      </w:r>
      <w:r w:rsidR="004F469E">
        <w:rPr>
          <w:rFonts w:ascii="Arial" w:hAnsi="Arial" w:cs="Arial"/>
        </w:rPr>
        <w:t> </w:t>
      </w:r>
      <w:r w:rsidR="00E555D2" w:rsidRPr="009F29C6">
        <w:rPr>
          <w:rFonts w:ascii="Arial" w:hAnsi="Arial" w:cs="Arial"/>
        </w:rPr>
        <w:t>E</w:t>
      </w:r>
      <w:r w:rsidR="000B6708" w:rsidRPr="009F29C6">
        <w:rPr>
          <w:rFonts w:ascii="Arial" w:hAnsi="Arial" w:cs="Arial"/>
        </w:rPr>
        <w:t xml:space="preserve">. </w:t>
      </w:r>
    </w:p>
    <w:p w:rsidR="00DD6F68" w:rsidRPr="009F29C6" w:rsidRDefault="00CE42E7" w:rsidP="00E23724">
      <w:pPr>
        <w:pStyle w:val="Heading3"/>
        <w:numPr>
          <w:ilvl w:val="0"/>
          <w:numId w:val="0"/>
        </w:numPr>
        <w:rPr>
          <w:rFonts w:ascii="Arial" w:hAnsi="Arial" w:cs="Arial"/>
        </w:rPr>
      </w:pPr>
      <w:bookmarkStart w:id="45" w:name="_Toc408926622"/>
      <w:r w:rsidRPr="009F29C6">
        <w:rPr>
          <w:rFonts w:ascii="Arial" w:hAnsi="Arial" w:cs="Arial"/>
        </w:rPr>
        <w:t>Appendix A: Post-tax revenue model (</w:t>
      </w:r>
      <w:r w:rsidR="00140701" w:rsidRPr="009F29C6">
        <w:rPr>
          <w:rFonts w:ascii="Arial" w:hAnsi="Arial" w:cs="Arial"/>
        </w:rPr>
        <w:t>t</w:t>
      </w:r>
      <w:r w:rsidRPr="009F29C6">
        <w:rPr>
          <w:rFonts w:ascii="Arial" w:hAnsi="Arial" w:cs="Arial"/>
        </w:rPr>
        <w:t>ransmission)</w:t>
      </w:r>
      <w:bookmarkEnd w:id="45"/>
    </w:p>
    <w:p w:rsidR="007113BD" w:rsidRPr="009F29C6" w:rsidRDefault="00CE42E7" w:rsidP="00E23724">
      <w:pPr>
        <w:pStyle w:val="Heading3"/>
        <w:numPr>
          <w:ilvl w:val="0"/>
          <w:numId w:val="0"/>
        </w:numPr>
        <w:rPr>
          <w:rFonts w:ascii="Arial" w:hAnsi="Arial" w:cs="Arial"/>
        </w:rPr>
      </w:pPr>
      <w:bookmarkStart w:id="46" w:name="_Toc408926623"/>
      <w:r w:rsidRPr="009F29C6">
        <w:rPr>
          <w:rFonts w:ascii="Arial" w:hAnsi="Arial" w:cs="Arial"/>
        </w:rPr>
        <w:t>Appendix B: Post-tax revenue model (</w:t>
      </w:r>
      <w:r w:rsidR="00140701" w:rsidRPr="009F29C6">
        <w:rPr>
          <w:rFonts w:ascii="Arial" w:hAnsi="Arial" w:cs="Arial"/>
        </w:rPr>
        <w:t>d</w:t>
      </w:r>
      <w:r w:rsidRPr="009F29C6">
        <w:rPr>
          <w:rFonts w:ascii="Arial" w:hAnsi="Arial" w:cs="Arial"/>
        </w:rPr>
        <w:t>istribution)</w:t>
      </w:r>
      <w:bookmarkEnd w:id="11"/>
      <w:bookmarkEnd w:id="12"/>
      <w:bookmarkEnd w:id="46"/>
    </w:p>
    <w:p w:rsidR="00CE42E7" w:rsidRPr="009F29C6" w:rsidRDefault="00CE42E7" w:rsidP="00E23724">
      <w:pPr>
        <w:pStyle w:val="Heading3"/>
        <w:numPr>
          <w:ilvl w:val="0"/>
          <w:numId w:val="0"/>
        </w:numPr>
        <w:rPr>
          <w:rFonts w:ascii="Arial" w:hAnsi="Arial" w:cs="Arial"/>
        </w:rPr>
      </w:pPr>
      <w:bookmarkStart w:id="47" w:name="_Toc408926624"/>
      <w:r w:rsidRPr="009F29C6">
        <w:rPr>
          <w:rFonts w:ascii="Arial" w:hAnsi="Arial" w:cs="Arial"/>
        </w:rPr>
        <w:t>Appendix C: Post-tax revenue model handbook (</w:t>
      </w:r>
      <w:r w:rsidR="00140701" w:rsidRPr="009F29C6">
        <w:rPr>
          <w:rFonts w:ascii="Arial" w:hAnsi="Arial" w:cs="Arial"/>
        </w:rPr>
        <w:t>t</w:t>
      </w:r>
      <w:r w:rsidRPr="009F29C6">
        <w:rPr>
          <w:rFonts w:ascii="Arial" w:hAnsi="Arial" w:cs="Arial"/>
        </w:rPr>
        <w:t>ransmission)</w:t>
      </w:r>
      <w:bookmarkEnd w:id="47"/>
    </w:p>
    <w:p w:rsidR="00CE42E7" w:rsidRPr="009F29C6" w:rsidRDefault="00CE42E7" w:rsidP="00E23724">
      <w:pPr>
        <w:pStyle w:val="Heading3"/>
        <w:numPr>
          <w:ilvl w:val="0"/>
          <w:numId w:val="0"/>
        </w:numPr>
        <w:rPr>
          <w:rFonts w:ascii="Arial" w:hAnsi="Arial" w:cs="Arial"/>
        </w:rPr>
      </w:pPr>
      <w:bookmarkStart w:id="48" w:name="_Toc408926625"/>
      <w:r w:rsidRPr="009F29C6">
        <w:rPr>
          <w:rFonts w:ascii="Arial" w:hAnsi="Arial" w:cs="Arial"/>
        </w:rPr>
        <w:t>Appendix D: Post-tax revenue model handbook (</w:t>
      </w:r>
      <w:r w:rsidR="00140701" w:rsidRPr="009F29C6">
        <w:rPr>
          <w:rFonts w:ascii="Arial" w:hAnsi="Arial" w:cs="Arial"/>
        </w:rPr>
        <w:t>d</w:t>
      </w:r>
      <w:r w:rsidRPr="009F29C6">
        <w:rPr>
          <w:rFonts w:ascii="Arial" w:hAnsi="Arial" w:cs="Arial"/>
        </w:rPr>
        <w:t>istribution)</w:t>
      </w:r>
      <w:bookmarkEnd w:id="48"/>
    </w:p>
    <w:p w:rsidR="00E555D2" w:rsidRPr="009F29C6" w:rsidRDefault="00E555D2" w:rsidP="00E555D2">
      <w:pPr>
        <w:pStyle w:val="Heading3"/>
        <w:numPr>
          <w:ilvl w:val="0"/>
          <w:numId w:val="0"/>
        </w:numPr>
        <w:rPr>
          <w:rFonts w:ascii="Arial" w:hAnsi="Arial" w:cs="Arial"/>
        </w:rPr>
      </w:pPr>
      <w:bookmarkStart w:id="49" w:name="_Toc408926626"/>
      <w:r w:rsidRPr="009F29C6">
        <w:rPr>
          <w:rFonts w:ascii="Arial" w:hAnsi="Arial" w:cs="Arial"/>
        </w:rPr>
        <w:t>Appendix E: Detailed list of changes from previous versions of the models</w:t>
      </w:r>
      <w:bookmarkEnd w:id="49"/>
    </w:p>
    <w:p w:rsidR="00CE42E7" w:rsidRPr="009F29C6" w:rsidRDefault="00CE42E7" w:rsidP="00CE42E7">
      <w:pPr>
        <w:pStyle w:val="AERbodytext"/>
        <w:numPr>
          <w:ilvl w:val="0"/>
          <w:numId w:val="0"/>
        </w:numPr>
        <w:rPr>
          <w:rFonts w:ascii="Arial" w:hAnsi="Arial" w:cs="Arial"/>
        </w:rPr>
      </w:pPr>
    </w:p>
    <w:sectPr w:rsidR="00CE42E7" w:rsidRPr="009F29C6" w:rsidSect="004C4C7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A4" w:rsidRPr="00AB4345" w:rsidRDefault="00190CA4" w:rsidP="00AB4345">
      <w:r>
        <w:separator/>
      </w:r>
    </w:p>
  </w:endnote>
  <w:endnote w:type="continuationSeparator" w:id="0">
    <w:p w:rsidR="00190CA4" w:rsidRPr="00AB4345" w:rsidRDefault="00190CA4"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54882516"/>
      <w:docPartObj>
        <w:docPartGallery w:val="Page Numbers (Bottom of Page)"/>
        <w:docPartUnique/>
      </w:docPartObj>
    </w:sdtPr>
    <w:sdtEndPr/>
    <w:sdtContent>
      <w:p w:rsidR="00190CA4" w:rsidRPr="0036368B" w:rsidRDefault="00190CA4" w:rsidP="0036368B">
        <w:pPr>
          <w:pStyle w:val="Footer"/>
          <w:jc w:val="right"/>
          <w:rPr>
            <w:rFonts w:ascii="Arial" w:hAnsi="Arial" w:cs="Arial"/>
          </w:rPr>
        </w:pPr>
        <w:r w:rsidRPr="0036368B">
          <w:rPr>
            <w:rFonts w:ascii="Arial" w:hAnsi="Arial" w:cs="Arial"/>
          </w:rPr>
          <w:fldChar w:fldCharType="begin"/>
        </w:r>
        <w:r w:rsidRPr="0036368B">
          <w:rPr>
            <w:rFonts w:ascii="Arial" w:hAnsi="Arial" w:cs="Arial"/>
          </w:rPr>
          <w:instrText xml:space="preserve"> PAGE   \* MERGEFORMAT </w:instrText>
        </w:r>
        <w:r w:rsidRPr="0036368B">
          <w:rPr>
            <w:rFonts w:ascii="Arial" w:hAnsi="Arial" w:cs="Arial"/>
          </w:rPr>
          <w:fldChar w:fldCharType="separate"/>
        </w:r>
        <w:r w:rsidR="004570BB">
          <w:rPr>
            <w:rFonts w:ascii="Arial" w:hAnsi="Arial" w:cs="Arial"/>
            <w:noProof/>
          </w:rPr>
          <w:t>4</w:t>
        </w:r>
        <w:r w:rsidRPr="0036368B">
          <w:rPr>
            <w:rFonts w:ascii="Arial" w:hAnsi="Arial" w:cs="Arial"/>
          </w:rPr>
          <w:fldChar w:fldCharType="end"/>
        </w:r>
        <w:r w:rsidRPr="0036368B">
          <w:rPr>
            <w:rFonts w:ascii="Arial" w:hAnsi="Arial" w:cs="Arial"/>
          </w:rPr>
          <w:tab/>
        </w:r>
        <w:r>
          <w:rPr>
            <w:rFonts w:ascii="Arial" w:hAnsi="Arial" w:cs="Arial"/>
          </w:rPr>
          <w:t xml:space="preserve">                      </w:t>
        </w:r>
        <w:r w:rsidRPr="0036368B">
          <w:rPr>
            <w:rStyle w:val="AERbody"/>
            <w:rFonts w:ascii="Arial" w:hAnsi="Arial" w:cs="Arial"/>
          </w:rPr>
          <w:t xml:space="preserve">Amendments to the electricity transmission and distribution network service providers </w:t>
        </w:r>
        <w:r w:rsidRPr="0036368B">
          <w:rPr>
            <w:rStyle w:val="AERbody"/>
            <w:rFonts w:ascii="Arial" w:hAnsi="Arial" w:cs="Arial"/>
          </w:rPr>
          <w:br/>
          <w:t>post-tax revenue models | Final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A4" w:rsidRPr="0036368B" w:rsidRDefault="00190CA4" w:rsidP="0036368B">
    <w:pPr>
      <w:pStyle w:val="Footer"/>
      <w:jc w:val="left"/>
      <w:rPr>
        <w:rStyle w:val="AERbody"/>
        <w:rFonts w:ascii="Arial" w:hAnsi="Arial" w:cs="Arial"/>
      </w:rPr>
    </w:pPr>
    <w:r w:rsidRPr="0036368B">
      <w:rPr>
        <w:rStyle w:val="AERbody"/>
        <w:rFonts w:ascii="Arial" w:hAnsi="Arial" w:cs="Arial"/>
      </w:rPr>
      <w:t xml:space="preserve">Amendments to the electricity transmission and distribution network service providers </w:t>
    </w:r>
    <w:r w:rsidRPr="0036368B">
      <w:rPr>
        <w:rStyle w:val="AERbody"/>
        <w:rFonts w:ascii="Arial" w:hAnsi="Arial" w:cs="Arial"/>
      </w:rPr>
      <w:tab/>
    </w:r>
    <w:r w:rsidRPr="0036368B">
      <w:rPr>
        <w:rStyle w:val="AERbody"/>
        <w:rFonts w:ascii="Arial" w:hAnsi="Arial" w:cs="Arial"/>
      </w:rPr>
      <w:fldChar w:fldCharType="begin"/>
    </w:r>
    <w:r w:rsidRPr="0036368B">
      <w:rPr>
        <w:rStyle w:val="AERbody"/>
        <w:rFonts w:ascii="Arial" w:hAnsi="Arial" w:cs="Arial"/>
      </w:rPr>
      <w:instrText xml:space="preserve"> PAGE   \* MERGEFORMAT </w:instrText>
    </w:r>
    <w:r w:rsidRPr="0036368B">
      <w:rPr>
        <w:rStyle w:val="AERbody"/>
        <w:rFonts w:ascii="Arial" w:hAnsi="Arial" w:cs="Arial"/>
      </w:rPr>
      <w:fldChar w:fldCharType="separate"/>
    </w:r>
    <w:r w:rsidR="004570BB">
      <w:rPr>
        <w:rStyle w:val="AERbody"/>
        <w:rFonts w:ascii="Arial" w:hAnsi="Arial" w:cs="Arial"/>
        <w:noProof/>
      </w:rPr>
      <w:t>3</w:t>
    </w:r>
    <w:r w:rsidRPr="0036368B">
      <w:rPr>
        <w:rStyle w:val="AERbody"/>
        <w:rFonts w:ascii="Arial" w:hAnsi="Arial" w:cs="Arial"/>
      </w:rPr>
      <w:fldChar w:fldCharType="end"/>
    </w:r>
  </w:p>
  <w:p w:rsidR="00190CA4" w:rsidRPr="0036368B" w:rsidRDefault="00190CA4" w:rsidP="0036368B">
    <w:pPr>
      <w:pStyle w:val="Footer"/>
      <w:jc w:val="left"/>
      <w:rPr>
        <w:rStyle w:val="AERbody"/>
        <w:rFonts w:ascii="Arial" w:hAnsi="Arial" w:cs="Arial"/>
      </w:rPr>
    </w:pPr>
    <w:proofErr w:type="gramStart"/>
    <w:r w:rsidRPr="0036368B">
      <w:rPr>
        <w:rStyle w:val="AERbody"/>
        <w:rFonts w:ascii="Arial" w:hAnsi="Arial" w:cs="Arial"/>
      </w:rPr>
      <w:t>post-tax</w:t>
    </w:r>
    <w:proofErr w:type="gramEnd"/>
    <w:r w:rsidRPr="0036368B">
      <w:rPr>
        <w:rStyle w:val="AERbody"/>
        <w:rFonts w:ascii="Arial" w:hAnsi="Arial" w:cs="Arial"/>
      </w:rPr>
      <w:t xml:space="preserve"> revenue models | Final decision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A4" w:rsidRPr="00AB4345" w:rsidRDefault="00190CA4" w:rsidP="00AB4345">
      <w:r>
        <w:separator/>
      </w:r>
    </w:p>
  </w:footnote>
  <w:footnote w:type="continuationSeparator" w:id="0">
    <w:p w:rsidR="00190CA4" w:rsidRPr="00AB4345" w:rsidRDefault="00190CA4" w:rsidP="00AB4345">
      <w:r>
        <w:continuationSeparator/>
      </w:r>
    </w:p>
  </w:footnote>
  <w:footnote w:id="1">
    <w:p w:rsidR="00190CA4" w:rsidRPr="002104C0" w:rsidRDefault="00190CA4" w:rsidP="00E65899">
      <w:pPr>
        <w:pStyle w:val="FootnoteText"/>
        <w:rPr>
          <w:rFonts w:ascii="Arial" w:hAnsi="Arial" w:cs="Arial"/>
        </w:rPr>
      </w:pPr>
      <w:r w:rsidRPr="002104C0">
        <w:rPr>
          <w:rStyle w:val="FootnoteReference"/>
          <w:rFonts w:ascii="Arial" w:hAnsi="Arial" w:cs="Arial"/>
        </w:rPr>
        <w:footnoteRef/>
      </w:r>
      <w:r w:rsidRPr="002104C0">
        <w:rPr>
          <w:rFonts w:ascii="Arial" w:hAnsi="Arial" w:cs="Arial"/>
        </w:rPr>
        <w:t xml:space="preserve"> </w:t>
      </w:r>
      <w:r w:rsidRPr="002104C0">
        <w:rPr>
          <w:rFonts w:ascii="Arial" w:hAnsi="Arial" w:cs="Arial"/>
        </w:rPr>
        <w:tab/>
      </w:r>
      <w:proofErr w:type="gramStart"/>
      <w:r w:rsidRPr="002104C0">
        <w:rPr>
          <w:rFonts w:ascii="Arial" w:hAnsi="Arial" w:cs="Arial"/>
        </w:rPr>
        <w:t>Chapters 6A and 6 of the NER for TNSPs and DNSPs respectively.</w:t>
      </w:r>
      <w:proofErr w:type="gramEnd"/>
    </w:p>
  </w:footnote>
  <w:footnote w:id="2">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r>
      <w:r w:rsidRPr="005B1BBF">
        <w:rPr>
          <w:rFonts w:ascii="Arial" w:hAnsi="Arial" w:cs="Arial"/>
        </w:rPr>
        <w:t xml:space="preserve">NER, clauses </w:t>
      </w:r>
      <w:proofErr w:type="gramStart"/>
      <w:r w:rsidRPr="005B1BBF">
        <w:rPr>
          <w:rFonts w:ascii="Arial" w:hAnsi="Arial" w:cs="Arial"/>
        </w:rPr>
        <w:t>6A.5.2</w:t>
      </w:r>
      <w:r>
        <w:rPr>
          <w:rFonts w:ascii="Arial" w:hAnsi="Arial" w:cs="Arial"/>
        </w:rPr>
        <w:t>(</w:t>
      </w:r>
      <w:proofErr w:type="gramEnd"/>
      <w:r>
        <w:rPr>
          <w:rFonts w:ascii="Arial" w:hAnsi="Arial" w:cs="Arial"/>
        </w:rPr>
        <w:t>a) and 6.4.1(a).</w:t>
      </w:r>
    </w:p>
  </w:footnote>
  <w:footnote w:id="3">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NER, clauses </w:t>
      </w:r>
      <w:proofErr w:type="gramStart"/>
      <w:r w:rsidRPr="009F29C6">
        <w:rPr>
          <w:rFonts w:ascii="Arial" w:hAnsi="Arial" w:cs="Arial"/>
        </w:rPr>
        <w:t>6A.5.2(</w:t>
      </w:r>
      <w:proofErr w:type="gramEnd"/>
      <w:r w:rsidRPr="009F29C6">
        <w:rPr>
          <w:rFonts w:ascii="Arial" w:hAnsi="Arial" w:cs="Arial"/>
        </w:rPr>
        <w:t>b) and 6.4.1(b), read with the applicable consultation procedures.</w:t>
      </w:r>
    </w:p>
  </w:footnote>
  <w:footnote w:id="4">
    <w:p w:rsidR="00190CA4" w:rsidRPr="009F29C6" w:rsidRDefault="00190CA4" w:rsidP="00E962D1">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AER, </w:t>
      </w:r>
      <w:r w:rsidRPr="009F29C6">
        <w:rPr>
          <w:rFonts w:ascii="Arial" w:hAnsi="Arial" w:cs="Arial"/>
          <w:i/>
        </w:rPr>
        <w:t>Explanatory Statement; Proposed amendment Electricity transmission and distribution network service providers Post-tax revenue models (version 3)</w:t>
      </w:r>
      <w:r w:rsidRPr="009F29C6">
        <w:rPr>
          <w:rFonts w:ascii="Arial" w:hAnsi="Arial" w:cs="Arial"/>
        </w:rPr>
        <w:t>, 3 October 2014</w:t>
      </w:r>
      <w:r>
        <w:rPr>
          <w:rFonts w:ascii="Arial" w:hAnsi="Arial" w:cs="Arial"/>
        </w:rPr>
        <w:t xml:space="preserve"> (AER, </w:t>
      </w:r>
      <w:r w:rsidRPr="007754CA">
        <w:rPr>
          <w:rFonts w:ascii="Arial" w:hAnsi="Arial" w:cs="Arial"/>
          <w:i/>
        </w:rPr>
        <w:t>Explanatory statement, Proposed amended PTRMs</w:t>
      </w:r>
      <w:r>
        <w:rPr>
          <w:rFonts w:ascii="Arial" w:hAnsi="Arial" w:cs="Arial"/>
        </w:rPr>
        <w:t>, October 2014.</w:t>
      </w:r>
    </w:p>
  </w:footnote>
  <w:footnote w:id="5">
    <w:p w:rsidR="00190CA4" w:rsidRPr="00291F53" w:rsidRDefault="00190CA4">
      <w:pPr>
        <w:pStyle w:val="FootnoteText"/>
        <w:rPr>
          <w:rFonts w:ascii="Arial" w:hAnsi="Arial" w:cs="Arial"/>
        </w:rPr>
      </w:pPr>
      <w:r w:rsidRPr="00291F53">
        <w:rPr>
          <w:rStyle w:val="FootnoteReference"/>
          <w:rFonts w:ascii="Arial" w:hAnsi="Arial" w:cs="Arial"/>
        </w:rPr>
        <w:footnoteRef/>
      </w:r>
      <w:r w:rsidRPr="00291F53">
        <w:rPr>
          <w:rFonts w:ascii="Arial" w:hAnsi="Arial" w:cs="Arial"/>
        </w:rPr>
        <w:t xml:space="preserve"> </w:t>
      </w:r>
      <w:r w:rsidRPr="00291F53">
        <w:rPr>
          <w:rFonts w:ascii="Arial" w:hAnsi="Arial" w:cs="Arial"/>
        </w:rPr>
        <w:tab/>
        <w:t xml:space="preserve">These submissions are listed in </w:t>
      </w:r>
      <w:r>
        <w:rPr>
          <w:rFonts w:ascii="Arial" w:hAnsi="Arial" w:cs="Arial"/>
        </w:rPr>
        <w:t xml:space="preserve">a footnote to </w:t>
      </w:r>
      <w:r w:rsidRPr="00291F53">
        <w:rPr>
          <w:rFonts w:ascii="Arial" w:hAnsi="Arial" w:cs="Arial"/>
        </w:rPr>
        <w:t>section 4</w:t>
      </w:r>
      <w:r>
        <w:rPr>
          <w:rFonts w:ascii="Arial" w:hAnsi="Arial" w:cs="Arial"/>
        </w:rPr>
        <w:t>.1</w:t>
      </w:r>
      <w:r w:rsidRPr="00291F53">
        <w:rPr>
          <w:rFonts w:ascii="Arial" w:hAnsi="Arial" w:cs="Arial"/>
        </w:rPr>
        <w:t>.</w:t>
      </w:r>
    </w:p>
  </w:footnote>
  <w:footnote w:id="6">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AER, </w:t>
      </w:r>
      <w:r w:rsidRPr="009F29C6">
        <w:rPr>
          <w:rFonts w:ascii="Arial" w:hAnsi="Arial" w:cs="Arial"/>
          <w:i/>
        </w:rPr>
        <w:t>Better regulation, Rate of return guideline</w:t>
      </w:r>
      <w:r w:rsidRPr="009F29C6">
        <w:rPr>
          <w:rFonts w:ascii="Arial" w:hAnsi="Arial" w:cs="Arial"/>
        </w:rPr>
        <w:t>, December 2013.</w:t>
      </w:r>
    </w:p>
  </w:footnote>
  <w:footnote w:id="7">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AEMC, </w:t>
      </w:r>
      <w:r w:rsidRPr="009F29C6">
        <w:rPr>
          <w:rFonts w:ascii="Arial" w:hAnsi="Arial" w:cs="Arial"/>
          <w:i/>
        </w:rPr>
        <w:t>Rule determination, National electricity amendment (Economic regulation of network service providers) rule 2012, National gas amendment (Price and revenue regulation of gas services) rule 2012</w:t>
      </w:r>
      <w:r w:rsidRPr="009F29C6">
        <w:rPr>
          <w:rFonts w:ascii="Arial" w:hAnsi="Arial" w:cs="Arial"/>
        </w:rPr>
        <w:t>, 29 November 2012.</w:t>
      </w:r>
    </w:p>
  </w:footnote>
  <w:footnote w:id="8">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NER, clauses </w:t>
      </w:r>
      <w:proofErr w:type="gramStart"/>
      <w:r w:rsidRPr="009F29C6">
        <w:rPr>
          <w:rFonts w:ascii="Arial" w:hAnsi="Arial" w:cs="Arial"/>
        </w:rPr>
        <w:t>6A.5.2(</w:t>
      </w:r>
      <w:proofErr w:type="gramEnd"/>
      <w:r w:rsidRPr="009F29C6">
        <w:rPr>
          <w:rFonts w:ascii="Arial" w:hAnsi="Arial" w:cs="Arial"/>
        </w:rPr>
        <w:t>b) and 6.4.1(b).</w:t>
      </w:r>
    </w:p>
  </w:footnote>
  <w:footnote w:id="9">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NER, clauses </w:t>
      </w:r>
      <w:proofErr w:type="gramStart"/>
      <w:r w:rsidRPr="009F29C6">
        <w:rPr>
          <w:rFonts w:ascii="Arial" w:hAnsi="Arial" w:cs="Arial"/>
        </w:rPr>
        <w:t>6A.20(</w:t>
      </w:r>
      <w:proofErr w:type="gramEnd"/>
      <w:r w:rsidRPr="009F29C6">
        <w:rPr>
          <w:rFonts w:ascii="Arial" w:hAnsi="Arial" w:cs="Arial"/>
        </w:rPr>
        <w:t>b) and 6.16(b).</w:t>
      </w:r>
    </w:p>
  </w:footnote>
  <w:footnote w:id="10">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r>
      <w:proofErr w:type="gramStart"/>
      <w:r w:rsidRPr="009F29C6">
        <w:rPr>
          <w:rFonts w:ascii="Arial" w:hAnsi="Arial" w:cs="Arial"/>
        </w:rPr>
        <w:t>NER, clauses 6A.20(c) and 6.16(c).</w:t>
      </w:r>
      <w:proofErr w:type="gramEnd"/>
    </w:p>
  </w:footnote>
  <w:footnote w:id="11">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NER, clauses </w:t>
      </w:r>
      <w:proofErr w:type="gramStart"/>
      <w:r w:rsidRPr="009F29C6">
        <w:rPr>
          <w:rFonts w:ascii="Arial" w:hAnsi="Arial" w:cs="Arial"/>
        </w:rPr>
        <w:t>6A.20(</w:t>
      </w:r>
      <w:proofErr w:type="gramEnd"/>
      <w:r w:rsidRPr="009F29C6">
        <w:rPr>
          <w:rFonts w:ascii="Arial" w:hAnsi="Arial" w:cs="Arial"/>
        </w:rPr>
        <w:t>e) and 6.16(e).</w:t>
      </w:r>
    </w:p>
  </w:footnote>
  <w:footnote w:id="12">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r>
      <w:proofErr w:type="gramStart"/>
      <w:r w:rsidRPr="009F29C6">
        <w:rPr>
          <w:rFonts w:ascii="Arial" w:hAnsi="Arial" w:cs="Arial"/>
        </w:rPr>
        <w:t>NER, clauses 6A.5.3 and 6.4.2.</w:t>
      </w:r>
      <w:proofErr w:type="gramEnd"/>
    </w:p>
  </w:footnote>
  <w:footnote w:id="13">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r>
      <w:proofErr w:type="gramStart"/>
      <w:r w:rsidRPr="009F29C6">
        <w:rPr>
          <w:rFonts w:ascii="Arial" w:hAnsi="Arial" w:cs="Arial"/>
        </w:rPr>
        <w:t>NER, clauses 6A.5.3 and 6A.6.8.</w:t>
      </w:r>
      <w:proofErr w:type="gramEnd"/>
    </w:p>
  </w:footnote>
  <w:footnote w:id="14">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r>
      <w:proofErr w:type="gramStart"/>
      <w:r w:rsidRPr="009F29C6">
        <w:rPr>
          <w:rFonts w:ascii="Arial" w:hAnsi="Arial" w:cs="Arial"/>
        </w:rPr>
        <w:t>NER, clauses 6.4.2 and 6.5.9.</w:t>
      </w:r>
      <w:proofErr w:type="gramEnd"/>
    </w:p>
  </w:footnote>
  <w:footnote w:id="15">
    <w:p w:rsidR="00190CA4" w:rsidRPr="00E65899" w:rsidRDefault="00190CA4" w:rsidP="00E65899">
      <w:pPr>
        <w:pStyle w:val="FootnoteText"/>
        <w:rPr>
          <w:rFonts w:ascii="Arial" w:hAnsi="Arial" w:cs="Arial"/>
        </w:rPr>
      </w:pPr>
      <w:r w:rsidRPr="00E65899">
        <w:rPr>
          <w:rStyle w:val="FootnoteReference"/>
          <w:rFonts w:ascii="Arial" w:hAnsi="Arial" w:cs="Arial"/>
        </w:rPr>
        <w:footnoteRef/>
      </w:r>
      <w:r w:rsidRPr="00E65899">
        <w:rPr>
          <w:rFonts w:ascii="Arial" w:hAnsi="Arial" w:cs="Arial"/>
        </w:rPr>
        <w:t xml:space="preserve"> </w:t>
      </w:r>
      <w:r w:rsidRPr="00E65899">
        <w:rPr>
          <w:rFonts w:ascii="Arial" w:hAnsi="Arial" w:cs="Arial"/>
        </w:rPr>
        <w:tab/>
        <w:t>NER, clauses 6A.5.3(b)(1) and 6.4.2(b)(1)</w:t>
      </w:r>
    </w:p>
  </w:footnote>
  <w:footnote w:id="16">
    <w:p w:rsidR="00190CA4" w:rsidRPr="00E65899" w:rsidRDefault="00190CA4" w:rsidP="00E65899">
      <w:pPr>
        <w:pStyle w:val="FootnoteText"/>
        <w:rPr>
          <w:rFonts w:ascii="Arial" w:hAnsi="Arial" w:cs="Arial"/>
        </w:rPr>
      </w:pPr>
      <w:r w:rsidRPr="00E65899">
        <w:rPr>
          <w:rStyle w:val="FootnoteReference"/>
          <w:rFonts w:ascii="Arial" w:hAnsi="Arial" w:cs="Arial"/>
        </w:rPr>
        <w:footnoteRef/>
      </w:r>
      <w:r w:rsidRPr="00E65899">
        <w:rPr>
          <w:rFonts w:ascii="Arial" w:hAnsi="Arial" w:cs="Arial"/>
        </w:rPr>
        <w:t xml:space="preserve"> </w:t>
      </w:r>
      <w:r w:rsidRPr="00E65899">
        <w:rPr>
          <w:rFonts w:ascii="Arial" w:hAnsi="Arial" w:cs="Arial"/>
        </w:rPr>
        <w:tab/>
        <w:t>NER, clauses 6A.5.3(b)(2) and 6.4.2(b)(2)</w:t>
      </w:r>
    </w:p>
  </w:footnote>
  <w:footnote w:id="17">
    <w:p w:rsidR="00190CA4" w:rsidRPr="00E65899" w:rsidRDefault="00190CA4" w:rsidP="00E65899">
      <w:pPr>
        <w:pStyle w:val="FootnoteText"/>
        <w:rPr>
          <w:rFonts w:ascii="Arial" w:hAnsi="Arial" w:cs="Arial"/>
        </w:rPr>
      </w:pPr>
      <w:r w:rsidRPr="00E65899">
        <w:rPr>
          <w:rStyle w:val="FootnoteReference"/>
          <w:rFonts w:ascii="Arial" w:hAnsi="Arial" w:cs="Arial"/>
        </w:rPr>
        <w:footnoteRef/>
      </w:r>
      <w:r w:rsidRPr="00E65899">
        <w:rPr>
          <w:rFonts w:ascii="Arial" w:hAnsi="Arial" w:cs="Arial"/>
        </w:rPr>
        <w:t xml:space="preserve"> </w:t>
      </w:r>
      <w:r w:rsidRPr="00E65899">
        <w:rPr>
          <w:rFonts w:ascii="Arial" w:hAnsi="Arial" w:cs="Arial"/>
        </w:rPr>
        <w:tab/>
        <w:t>NER, clauses 6A.5.3(b)(4) and 6.4.2(b)(4)</w:t>
      </w:r>
    </w:p>
  </w:footnote>
  <w:footnote w:id="18">
    <w:p w:rsidR="00190CA4" w:rsidRPr="00E65899" w:rsidRDefault="00190CA4" w:rsidP="00E65899">
      <w:pPr>
        <w:pStyle w:val="FootnoteText"/>
        <w:rPr>
          <w:rFonts w:ascii="Arial" w:hAnsi="Arial" w:cs="Arial"/>
        </w:rPr>
      </w:pPr>
      <w:r w:rsidRPr="00E65899">
        <w:rPr>
          <w:rStyle w:val="FootnoteReference"/>
          <w:rFonts w:ascii="Arial" w:hAnsi="Arial" w:cs="Arial"/>
        </w:rPr>
        <w:footnoteRef/>
      </w:r>
      <w:r w:rsidRPr="00E65899">
        <w:rPr>
          <w:rFonts w:ascii="Arial" w:hAnsi="Arial" w:cs="Arial"/>
        </w:rPr>
        <w:t xml:space="preserve"> </w:t>
      </w:r>
      <w:r w:rsidRPr="00E65899">
        <w:rPr>
          <w:rFonts w:ascii="Arial" w:hAnsi="Arial" w:cs="Arial"/>
        </w:rPr>
        <w:tab/>
        <w:t>NER, clauses 6A.5.3(c</w:t>
      </w:r>
      <w:proofErr w:type="gramStart"/>
      <w:r w:rsidRPr="00E65899">
        <w:rPr>
          <w:rFonts w:ascii="Arial" w:hAnsi="Arial" w:cs="Arial"/>
        </w:rPr>
        <w:t>)(</w:t>
      </w:r>
      <w:proofErr w:type="gramEnd"/>
      <w:r w:rsidRPr="00E65899">
        <w:rPr>
          <w:rFonts w:ascii="Arial" w:hAnsi="Arial" w:cs="Arial"/>
        </w:rPr>
        <w:t>1) and 6.5.9(b)(3).</w:t>
      </w:r>
    </w:p>
  </w:footnote>
  <w:footnote w:id="19">
    <w:p w:rsidR="00190CA4" w:rsidRDefault="00190CA4" w:rsidP="00E65899">
      <w:pPr>
        <w:pStyle w:val="FootnoteText"/>
      </w:pPr>
      <w:r>
        <w:rPr>
          <w:rStyle w:val="FootnoteReference"/>
        </w:rPr>
        <w:footnoteRef/>
      </w:r>
      <w:r>
        <w:t xml:space="preserve"> </w:t>
      </w:r>
      <w:r>
        <w:tab/>
      </w:r>
      <w:r w:rsidRPr="005B1BBF">
        <w:rPr>
          <w:rFonts w:ascii="Arial" w:hAnsi="Arial" w:cs="Arial"/>
        </w:rPr>
        <w:t xml:space="preserve">NER, clause </w:t>
      </w:r>
      <w:proofErr w:type="gramStart"/>
      <w:r w:rsidRPr="005B1BBF">
        <w:rPr>
          <w:rFonts w:ascii="Arial" w:hAnsi="Arial" w:cs="Arial"/>
        </w:rPr>
        <w:t>6A.5.3(</w:t>
      </w:r>
      <w:proofErr w:type="gramEnd"/>
      <w:r w:rsidRPr="005B1BBF">
        <w:rPr>
          <w:rFonts w:ascii="Arial" w:hAnsi="Arial" w:cs="Arial"/>
        </w:rPr>
        <w:t>b)(5) and</w:t>
      </w:r>
      <w:r>
        <w:rPr>
          <w:rFonts w:ascii="Arial" w:hAnsi="Arial" w:cs="Arial"/>
        </w:rPr>
        <w:t xml:space="preserve"> 6.5.9.</w:t>
      </w:r>
    </w:p>
  </w:footnote>
  <w:footnote w:id="20">
    <w:p w:rsidR="00190CA4" w:rsidRDefault="00190CA4" w:rsidP="00E65899">
      <w:pPr>
        <w:pStyle w:val="FootnoteText"/>
      </w:pPr>
      <w:r>
        <w:rPr>
          <w:rStyle w:val="FootnoteReference"/>
        </w:rPr>
        <w:footnoteRef/>
      </w:r>
      <w:r>
        <w:t xml:space="preserve"> </w:t>
      </w:r>
      <w:r>
        <w:tab/>
      </w:r>
      <w:proofErr w:type="gramStart"/>
      <w:r w:rsidRPr="005B1BBF">
        <w:rPr>
          <w:rFonts w:ascii="Arial" w:hAnsi="Arial" w:cs="Arial"/>
        </w:rPr>
        <w:t>NER, clauses 6A.6.8 and 6.5.9.</w:t>
      </w:r>
      <w:proofErr w:type="gramEnd"/>
    </w:p>
  </w:footnote>
  <w:footnote w:id="21">
    <w:p w:rsidR="00190CA4" w:rsidRPr="0027688B" w:rsidRDefault="00190CA4" w:rsidP="00E86BA6">
      <w:pPr>
        <w:pStyle w:val="FootnoteText"/>
        <w:rPr>
          <w:rFonts w:ascii="Arial" w:hAnsi="Arial" w:cs="Arial"/>
        </w:rPr>
      </w:pPr>
      <w:r w:rsidRPr="0027688B">
        <w:rPr>
          <w:rStyle w:val="FootnoteReference"/>
          <w:rFonts w:ascii="Arial" w:hAnsi="Arial" w:cs="Arial"/>
        </w:rPr>
        <w:footnoteRef/>
      </w:r>
      <w:r w:rsidRPr="0027688B">
        <w:rPr>
          <w:rFonts w:ascii="Arial" w:hAnsi="Arial" w:cs="Arial"/>
        </w:rPr>
        <w:t xml:space="preserve"> </w:t>
      </w:r>
      <w:r w:rsidRPr="0027688B">
        <w:rPr>
          <w:rFonts w:ascii="Arial" w:hAnsi="Arial" w:cs="Arial"/>
        </w:rPr>
        <w:tab/>
      </w:r>
      <w:proofErr w:type="gramStart"/>
      <w:r w:rsidRPr="0027688B">
        <w:rPr>
          <w:rFonts w:ascii="Arial" w:hAnsi="Arial" w:cs="Arial"/>
        </w:rPr>
        <w:t>NER, clauses 6A.5.4 and 6.4.3.</w:t>
      </w:r>
      <w:proofErr w:type="gramEnd"/>
    </w:p>
  </w:footnote>
  <w:footnote w:id="22">
    <w:p w:rsidR="00190CA4" w:rsidRPr="0027688B" w:rsidRDefault="00190CA4" w:rsidP="0027688B">
      <w:pPr>
        <w:pStyle w:val="FootnoteText"/>
        <w:rPr>
          <w:rFonts w:ascii="Arial" w:hAnsi="Arial" w:cs="Arial"/>
        </w:rPr>
      </w:pPr>
      <w:r w:rsidRPr="0027688B">
        <w:rPr>
          <w:rStyle w:val="FootnoteReference"/>
          <w:rFonts w:ascii="Arial" w:hAnsi="Arial" w:cs="Arial"/>
        </w:rPr>
        <w:footnoteRef/>
      </w:r>
      <w:r w:rsidRPr="0027688B">
        <w:rPr>
          <w:rFonts w:ascii="Arial" w:hAnsi="Arial" w:cs="Arial"/>
        </w:rPr>
        <w:t xml:space="preserve"> </w:t>
      </w:r>
      <w:r w:rsidRPr="0027688B">
        <w:rPr>
          <w:rFonts w:ascii="Arial" w:hAnsi="Arial" w:cs="Arial"/>
        </w:rPr>
        <w:tab/>
        <w:t xml:space="preserve">NER, clauses </w:t>
      </w:r>
      <w:proofErr w:type="gramStart"/>
      <w:r w:rsidRPr="0027688B">
        <w:rPr>
          <w:rFonts w:ascii="Arial" w:hAnsi="Arial" w:cs="Arial"/>
        </w:rPr>
        <w:t>6A.5.4(</w:t>
      </w:r>
      <w:proofErr w:type="gramEnd"/>
      <w:r w:rsidRPr="0027688B">
        <w:rPr>
          <w:rFonts w:ascii="Arial" w:hAnsi="Arial" w:cs="Arial"/>
        </w:rPr>
        <w:t>a)(1) and 6.4.3(a)(1).</w:t>
      </w:r>
    </w:p>
  </w:footnote>
  <w:footnote w:id="23">
    <w:p w:rsidR="00190CA4" w:rsidRPr="0027688B" w:rsidRDefault="00190CA4" w:rsidP="0027688B">
      <w:pPr>
        <w:pStyle w:val="FootnoteText"/>
        <w:rPr>
          <w:rFonts w:ascii="Arial" w:hAnsi="Arial" w:cs="Arial"/>
        </w:rPr>
      </w:pPr>
      <w:r w:rsidRPr="0027688B">
        <w:rPr>
          <w:rStyle w:val="FootnoteReference"/>
          <w:rFonts w:ascii="Arial" w:hAnsi="Arial" w:cs="Arial"/>
        </w:rPr>
        <w:footnoteRef/>
      </w:r>
      <w:r w:rsidRPr="0027688B">
        <w:rPr>
          <w:rFonts w:ascii="Arial" w:hAnsi="Arial" w:cs="Arial"/>
        </w:rPr>
        <w:t xml:space="preserve"> </w:t>
      </w:r>
      <w:r w:rsidRPr="0027688B">
        <w:rPr>
          <w:rFonts w:ascii="Arial" w:hAnsi="Arial" w:cs="Arial"/>
        </w:rPr>
        <w:tab/>
        <w:t xml:space="preserve">NER, clauses </w:t>
      </w:r>
      <w:proofErr w:type="gramStart"/>
      <w:r w:rsidRPr="0027688B">
        <w:rPr>
          <w:rFonts w:ascii="Arial" w:hAnsi="Arial" w:cs="Arial"/>
        </w:rPr>
        <w:t>6A.5.4(</w:t>
      </w:r>
      <w:proofErr w:type="gramEnd"/>
      <w:r w:rsidRPr="0027688B">
        <w:rPr>
          <w:rFonts w:ascii="Arial" w:hAnsi="Arial" w:cs="Arial"/>
        </w:rPr>
        <w:t>a)(2) and 6.4.3(a)(2).</w:t>
      </w:r>
    </w:p>
  </w:footnote>
  <w:footnote w:id="24">
    <w:p w:rsidR="00190CA4" w:rsidRPr="0027688B" w:rsidRDefault="00190CA4" w:rsidP="00E86BA6">
      <w:pPr>
        <w:pStyle w:val="FootnoteText"/>
        <w:rPr>
          <w:rFonts w:ascii="Arial" w:hAnsi="Arial" w:cs="Arial"/>
        </w:rPr>
      </w:pPr>
      <w:r w:rsidRPr="0027688B">
        <w:rPr>
          <w:rStyle w:val="FootnoteReference"/>
          <w:rFonts w:ascii="Arial" w:hAnsi="Arial" w:cs="Arial"/>
        </w:rPr>
        <w:footnoteRef/>
      </w:r>
      <w:r w:rsidRPr="0027688B">
        <w:rPr>
          <w:rFonts w:ascii="Arial" w:hAnsi="Arial" w:cs="Arial"/>
        </w:rPr>
        <w:t xml:space="preserve"> </w:t>
      </w:r>
      <w:r w:rsidRPr="0027688B">
        <w:rPr>
          <w:rFonts w:ascii="Arial" w:hAnsi="Arial" w:cs="Arial"/>
        </w:rPr>
        <w:tab/>
        <w:t>The net total of the indexation of the RAB and depreciation building blocks is referred to as 'regulatory depreciation'.</w:t>
      </w:r>
    </w:p>
  </w:footnote>
  <w:footnote w:id="25">
    <w:p w:rsidR="00190CA4" w:rsidRPr="0027688B" w:rsidRDefault="00190CA4" w:rsidP="0027688B">
      <w:pPr>
        <w:pStyle w:val="FootnoteText"/>
        <w:rPr>
          <w:rFonts w:ascii="Arial" w:hAnsi="Arial" w:cs="Arial"/>
        </w:rPr>
      </w:pPr>
      <w:r w:rsidRPr="0027688B">
        <w:rPr>
          <w:rStyle w:val="FootnoteReference"/>
          <w:rFonts w:ascii="Arial" w:hAnsi="Arial" w:cs="Arial"/>
        </w:rPr>
        <w:footnoteRef/>
      </w:r>
      <w:r w:rsidRPr="0027688B">
        <w:rPr>
          <w:rFonts w:ascii="Arial" w:hAnsi="Arial" w:cs="Arial"/>
        </w:rPr>
        <w:t xml:space="preserve"> </w:t>
      </w:r>
      <w:r w:rsidRPr="0027688B">
        <w:rPr>
          <w:rFonts w:ascii="Arial" w:hAnsi="Arial" w:cs="Arial"/>
        </w:rPr>
        <w:tab/>
        <w:t xml:space="preserve">NER, clauses </w:t>
      </w:r>
      <w:proofErr w:type="gramStart"/>
      <w:r w:rsidRPr="0027688B">
        <w:rPr>
          <w:rFonts w:ascii="Arial" w:hAnsi="Arial" w:cs="Arial"/>
        </w:rPr>
        <w:t>6A.5.4(</w:t>
      </w:r>
      <w:proofErr w:type="gramEnd"/>
      <w:r w:rsidRPr="0027688B">
        <w:rPr>
          <w:rFonts w:ascii="Arial" w:hAnsi="Arial" w:cs="Arial"/>
        </w:rPr>
        <w:t>a)(4) and 6.4.3(a)(4).</w:t>
      </w:r>
    </w:p>
  </w:footnote>
  <w:footnote w:id="26">
    <w:p w:rsidR="00190CA4" w:rsidRPr="0027688B" w:rsidRDefault="00190CA4" w:rsidP="0027688B">
      <w:pPr>
        <w:pStyle w:val="FootnoteText"/>
        <w:rPr>
          <w:rFonts w:ascii="Arial" w:hAnsi="Arial" w:cs="Arial"/>
        </w:rPr>
      </w:pPr>
      <w:r w:rsidRPr="0027688B">
        <w:rPr>
          <w:rStyle w:val="FootnoteReference"/>
          <w:rFonts w:ascii="Arial" w:hAnsi="Arial" w:cs="Arial"/>
        </w:rPr>
        <w:footnoteRef/>
      </w:r>
      <w:r w:rsidRPr="0027688B">
        <w:rPr>
          <w:rFonts w:ascii="Arial" w:hAnsi="Arial" w:cs="Arial"/>
        </w:rPr>
        <w:t xml:space="preserve"> </w:t>
      </w:r>
      <w:r w:rsidRPr="0027688B">
        <w:rPr>
          <w:rFonts w:ascii="Arial" w:hAnsi="Arial" w:cs="Arial"/>
        </w:rPr>
        <w:tab/>
        <w:t xml:space="preserve">NER, clauses </w:t>
      </w:r>
      <w:proofErr w:type="gramStart"/>
      <w:r w:rsidRPr="0027688B">
        <w:rPr>
          <w:rFonts w:ascii="Arial" w:hAnsi="Arial" w:cs="Arial"/>
        </w:rPr>
        <w:t>6A.5.4(</w:t>
      </w:r>
      <w:proofErr w:type="gramEnd"/>
      <w:r w:rsidRPr="0027688B">
        <w:rPr>
          <w:rFonts w:ascii="Arial" w:hAnsi="Arial" w:cs="Arial"/>
        </w:rPr>
        <w:t>a)(6) and 6.4.3(a)(7).</w:t>
      </w:r>
    </w:p>
  </w:footnote>
  <w:footnote w:id="27">
    <w:p w:rsidR="00190CA4" w:rsidRPr="009F29C6" w:rsidRDefault="00190CA4" w:rsidP="00E86BA6">
      <w:pPr>
        <w:pStyle w:val="FootnoteText"/>
        <w:rPr>
          <w:rFonts w:ascii="Arial" w:hAnsi="Arial" w:cs="Arial"/>
        </w:rPr>
      </w:pPr>
      <w:r w:rsidRPr="0027688B">
        <w:rPr>
          <w:rStyle w:val="FootnoteReference"/>
          <w:rFonts w:ascii="Arial" w:hAnsi="Arial" w:cs="Arial"/>
        </w:rPr>
        <w:footnoteRef/>
      </w:r>
      <w:r w:rsidRPr="0027688B">
        <w:rPr>
          <w:rFonts w:ascii="Arial" w:hAnsi="Arial" w:cs="Arial"/>
        </w:rPr>
        <w:t xml:space="preserve"> </w:t>
      </w:r>
      <w:r w:rsidRPr="0027688B">
        <w:rPr>
          <w:rFonts w:ascii="Arial" w:hAnsi="Arial" w:cs="Arial"/>
        </w:rPr>
        <w:tab/>
        <w:t xml:space="preserve">NER, clauses </w:t>
      </w:r>
      <w:proofErr w:type="gramStart"/>
      <w:r w:rsidRPr="0027688B">
        <w:rPr>
          <w:rFonts w:ascii="Arial" w:hAnsi="Arial" w:cs="Arial"/>
        </w:rPr>
        <w:t>6A.5.4(</w:t>
      </w:r>
      <w:proofErr w:type="gramEnd"/>
      <w:r w:rsidRPr="0027688B">
        <w:rPr>
          <w:rFonts w:ascii="Arial" w:hAnsi="Arial" w:cs="Arial"/>
        </w:rPr>
        <w:t xml:space="preserve">a)(5) and 6.4.3(a)(5). Being </w:t>
      </w:r>
      <w:r w:rsidRPr="009F29C6">
        <w:rPr>
          <w:rFonts w:ascii="Arial" w:hAnsi="Arial" w:cs="Arial"/>
        </w:rPr>
        <w:t>any efficiency benefit sharing schemes</w:t>
      </w:r>
      <w:r>
        <w:rPr>
          <w:rFonts w:ascii="Arial" w:hAnsi="Arial" w:cs="Arial"/>
        </w:rPr>
        <w:t xml:space="preserve"> (EBSS)</w:t>
      </w:r>
      <w:r w:rsidRPr="009F29C6">
        <w:rPr>
          <w:rFonts w:ascii="Arial" w:hAnsi="Arial" w:cs="Arial"/>
        </w:rPr>
        <w:t>, capital expenditure sharing schemes</w:t>
      </w:r>
      <w:r>
        <w:rPr>
          <w:rFonts w:ascii="Arial" w:hAnsi="Arial" w:cs="Arial"/>
        </w:rPr>
        <w:t xml:space="preserve"> (CESS)</w:t>
      </w:r>
      <w:r w:rsidRPr="009F29C6">
        <w:rPr>
          <w:rFonts w:ascii="Arial" w:hAnsi="Arial" w:cs="Arial"/>
        </w:rPr>
        <w:t>, service target performance incentive schemes, or small scale incentive schemes applied to the NSP (and, in the case of DNSPs, any applicable demand management and embedded generation schemes).</w:t>
      </w:r>
    </w:p>
  </w:footnote>
  <w:footnote w:id="28">
    <w:p w:rsidR="00190CA4" w:rsidRDefault="00190CA4" w:rsidP="0027688B">
      <w:pPr>
        <w:pStyle w:val="FootnoteText"/>
      </w:pPr>
      <w:r>
        <w:rPr>
          <w:rStyle w:val="FootnoteReference"/>
        </w:rPr>
        <w:footnoteRef/>
      </w:r>
      <w:r>
        <w:t xml:space="preserve"> </w:t>
      </w:r>
      <w:r>
        <w:tab/>
      </w:r>
      <w:r w:rsidRPr="009A2950">
        <w:rPr>
          <w:rFonts w:ascii="Arial" w:hAnsi="Arial" w:cs="Arial"/>
        </w:rPr>
        <w:t xml:space="preserve">NER, clauses </w:t>
      </w:r>
      <w:proofErr w:type="gramStart"/>
      <w:r w:rsidRPr="009A2950">
        <w:rPr>
          <w:rFonts w:ascii="Arial" w:hAnsi="Arial" w:cs="Arial"/>
        </w:rPr>
        <w:t>6A.5.4(</w:t>
      </w:r>
      <w:proofErr w:type="gramEnd"/>
      <w:r w:rsidRPr="009A2950">
        <w:rPr>
          <w:rFonts w:ascii="Arial" w:hAnsi="Arial" w:cs="Arial"/>
        </w:rPr>
        <w:t>a)</w:t>
      </w:r>
      <w:r>
        <w:rPr>
          <w:rFonts w:ascii="Arial" w:hAnsi="Arial" w:cs="Arial"/>
        </w:rPr>
        <w:t>(5A), (7)</w:t>
      </w:r>
      <w:r w:rsidRPr="009A2950">
        <w:rPr>
          <w:rFonts w:ascii="Arial" w:hAnsi="Arial" w:cs="Arial"/>
        </w:rPr>
        <w:t xml:space="preserve"> and 6.4.3(a)</w:t>
      </w:r>
      <w:r>
        <w:rPr>
          <w:rFonts w:ascii="Arial" w:hAnsi="Arial" w:cs="Arial"/>
        </w:rPr>
        <w:t>(6), (6A).</w:t>
      </w:r>
    </w:p>
  </w:footnote>
  <w:footnote w:id="29">
    <w:p w:rsidR="00190CA4" w:rsidRPr="009F29C6" w:rsidRDefault="00190CA4" w:rsidP="00E86BA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Minor changes are changes to formatting or labelling which, while noted for completeness, are not consequential to the operation of the PTRM. </w:t>
      </w:r>
    </w:p>
  </w:footnote>
  <w:footnote w:id="30">
    <w:p w:rsidR="00190CA4" w:rsidRPr="009F29C6" w:rsidRDefault="00190CA4" w:rsidP="00520C3F">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r>
      <w:r>
        <w:rPr>
          <w:rFonts w:ascii="Arial" w:hAnsi="Arial" w:cs="Arial"/>
        </w:rPr>
        <w:t xml:space="preserve">For further detail see </w:t>
      </w:r>
      <w:r w:rsidRPr="009F29C6">
        <w:rPr>
          <w:rFonts w:ascii="Arial" w:hAnsi="Arial" w:cs="Arial"/>
        </w:rPr>
        <w:t xml:space="preserve">AER, </w:t>
      </w:r>
      <w:r w:rsidRPr="009F29C6">
        <w:rPr>
          <w:rFonts w:ascii="Arial" w:hAnsi="Arial" w:cs="Arial"/>
          <w:i/>
        </w:rPr>
        <w:t>Explanatory Statement; Proposed amend</w:t>
      </w:r>
      <w:r>
        <w:rPr>
          <w:rFonts w:ascii="Arial" w:hAnsi="Arial" w:cs="Arial"/>
          <w:i/>
        </w:rPr>
        <w:t xml:space="preserve">ed PTRMs, </w:t>
      </w:r>
      <w:r w:rsidRPr="009F29C6">
        <w:rPr>
          <w:rFonts w:ascii="Arial" w:hAnsi="Arial" w:cs="Arial"/>
        </w:rPr>
        <w:t>October 2014.</w:t>
      </w:r>
    </w:p>
  </w:footnote>
  <w:footnote w:id="31">
    <w:p w:rsidR="00190CA4" w:rsidRPr="0027688B" w:rsidRDefault="00190CA4" w:rsidP="0027688B">
      <w:pPr>
        <w:pStyle w:val="FootnoteText"/>
        <w:rPr>
          <w:rFonts w:ascii="Arial" w:hAnsi="Arial" w:cs="Arial"/>
        </w:rPr>
      </w:pPr>
      <w:r w:rsidRPr="0027688B">
        <w:rPr>
          <w:rStyle w:val="FootnoteReference"/>
          <w:rFonts w:ascii="Arial" w:hAnsi="Arial" w:cs="Arial"/>
        </w:rPr>
        <w:footnoteRef/>
      </w:r>
      <w:r w:rsidRPr="0027688B">
        <w:rPr>
          <w:rFonts w:ascii="Arial" w:hAnsi="Arial" w:cs="Arial"/>
        </w:rPr>
        <w:t xml:space="preserve"> </w:t>
      </w:r>
      <w:r w:rsidRPr="0027688B">
        <w:rPr>
          <w:rFonts w:ascii="Arial" w:hAnsi="Arial" w:cs="Arial"/>
        </w:rPr>
        <w:tab/>
        <w:t xml:space="preserve">AEMC, </w:t>
      </w:r>
      <w:r w:rsidRPr="0027688B">
        <w:rPr>
          <w:rFonts w:ascii="Arial" w:hAnsi="Arial" w:cs="Arial"/>
          <w:i/>
        </w:rPr>
        <w:t>Rule determination, National electricity amendment (Economic regulation of network service providers) rule 2012, National gas amendment (Price and revenue regulation of gas services) rule 2012</w:t>
      </w:r>
      <w:r w:rsidRPr="0027688B">
        <w:rPr>
          <w:rFonts w:ascii="Arial" w:hAnsi="Arial" w:cs="Arial"/>
        </w:rPr>
        <w:t>, 29 November 2012.</w:t>
      </w:r>
    </w:p>
  </w:footnote>
  <w:footnote w:id="32">
    <w:p w:rsidR="00190CA4" w:rsidRPr="00444C58" w:rsidRDefault="00190CA4">
      <w:pPr>
        <w:pStyle w:val="FootnoteText"/>
        <w:rPr>
          <w:rFonts w:ascii="Arial" w:hAnsi="Arial" w:cs="Arial"/>
        </w:rPr>
      </w:pPr>
      <w:r w:rsidRPr="00444C58">
        <w:rPr>
          <w:rStyle w:val="FootnoteReference"/>
          <w:rFonts w:ascii="Arial" w:hAnsi="Arial" w:cs="Arial"/>
        </w:rPr>
        <w:footnoteRef/>
      </w:r>
      <w:r w:rsidRPr="00444C58">
        <w:rPr>
          <w:rFonts w:ascii="Arial" w:hAnsi="Arial" w:cs="Arial"/>
        </w:rPr>
        <w:t xml:space="preserve"> </w:t>
      </w:r>
      <w:r w:rsidRPr="00444C58">
        <w:rPr>
          <w:rFonts w:ascii="Arial" w:hAnsi="Arial" w:cs="Arial"/>
        </w:rPr>
        <w:tab/>
      </w:r>
      <w:proofErr w:type="spellStart"/>
      <w:r w:rsidRPr="00402679">
        <w:rPr>
          <w:rFonts w:ascii="Arial" w:hAnsi="Arial" w:cs="Arial"/>
        </w:rPr>
        <w:t>Ausnet</w:t>
      </w:r>
      <w:proofErr w:type="spellEnd"/>
      <w:r w:rsidRPr="00402679">
        <w:rPr>
          <w:rFonts w:ascii="Arial" w:hAnsi="Arial" w:cs="Arial"/>
        </w:rPr>
        <w:t xml:space="preserve"> Services, </w:t>
      </w:r>
      <w:r w:rsidRPr="00402679">
        <w:rPr>
          <w:rFonts w:ascii="Arial" w:hAnsi="Arial" w:cs="Arial"/>
          <w:i/>
        </w:rPr>
        <w:t>Submission re: Post-tax revenue models (transmission and distribution)</w:t>
      </w:r>
      <w:r w:rsidRPr="00402679">
        <w:rPr>
          <w:rFonts w:ascii="Arial" w:hAnsi="Arial" w:cs="Arial"/>
        </w:rPr>
        <w:t>, 17 November 2014</w:t>
      </w:r>
      <w:r>
        <w:rPr>
          <w:rFonts w:ascii="Arial" w:hAnsi="Arial" w:cs="Arial"/>
        </w:rPr>
        <w:t xml:space="preserve"> </w:t>
      </w:r>
      <w:r w:rsidRPr="00402679">
        <w:rPr>
          <w:rFonts w:ascii="Arial" w:hAnsi="Arial" w:cs="Arial"/>
        </w:rPr>
        <w:t>(</w:t>
      </w:r>
      <w:proofErr w:type="spellStart"/>
      <w:r w:rsidRPr="00402679">
        <w:rPr>
          <w:rFonts w:ascii="Arial" w:hAnsi="Arial" w:cs="Arial"/>
        </w:rPr>
        <w:t>Ausnet</w:t>
      </w:r>
      <w:proofErr w:type="spellEnd"/>
      <w:r w:rsidRPr="00402679">
        <w:rPr>
          <w:rFonts w:ascii="Arial" w:hAnsi="Arial" w:cs="Arial"/>
        </w:rPr>
        <w:t xml:space="preserve">, </w:t>
      </w:r>
      <w:r w:rsidRPr="00402679">
        <w:rPr>
          <w:rFonts w:ascii="Arial" w:hAnsi="Arial" w:cs="Arial"/>
          <w:i/>
        </w:rPr>
        <w:t>Submission on PTRMs</w:t>
      </w:r>
      <w:r w:rsidRPr="00402679">
        <w:rPr>
          <w:rFonts w:ascii="Arial" w:hAnsi="Arial" w:cs="Arial"/>
        </w:rPr>
        <w:t>, November 2014)</w:t>
      </w:r>
      <w:r>
        <w:rPr>
          <w:rFonts w:ascii="Arial" w:hAnsi="Arial" w:cs="Arial"/>
        </w:rPr>
        <w:t>;</w:t>
      </w:r>
      <w:r w:rsidRPr="00444C58">
        <w:rPr>
          <w:rFonts w:ascii="Arial" w:hAnsi="Arial" w:cs="Arial"/>
        </w:rPr>
        <w:t xml:space="preserve"> </w:t>
      </w:r>
      <w:r>
        <w:rPr>
          <w:rFonts w:ascii="Arial" w:hAnsi="Arial" w:cs="Arial"/>
        </w:rPr>
        <w:tab/>
      </w:r>
      <w:r>
        <w:rPr>
          <w:rFonts w:ascii="Arial" w:hAnsi="Arial" w:cs="Arial"/>
        </w:rPr>
        <w:br/>
      </w:r>
      <w:r w:rsidRPr="00444C58">
        <w:rPr>
          <w:rFonts w:ascii="Arial" w:hAnsi="Arial" w:cs="Arial"/>
        </w:rPr>
        <w:t>E</w:t>
      </w:r>
      <w:r>
        <w:rPr>
          <w:rFonts w:ascii="Arial" w:hAnsi="Arial" w:cs="Arial"/>
        </w:rPr>
        <w:t xml:space="preserve">nergy </w:t>
      </w:r>
      <w:r w:rsidRPr="00444C58">
        <w:rPr>
          <w:rFonts w:ascii="Arial" w:hAnsi="Arial" w:cs="Arial"/>
        </w:rPr>
        <w:t>N</w:t>
      </w:r>
      <w:r>
        <w:rPr>
          <w:rFonts w:ascii="Arial" w:hAnsi="Arial" w:cs="Arial"/>
        </w:rPr>
        <w:t xml:space="preserve">etworks </w:t>
      </w:r>
      <w:r w:rsidRPr="00444C58">
        <w:rPr>
          <w:rFonts w:ascii="Arial" w:hAnsi="Arial" w:cs="Arial"/>
        </w:rPr>
        <w:t>A</w:t>
      </w:r>
      <w:r>
        <w:rPr>
          <w:rFonts w:ascii="Arial" w:hAnsi="Arial" w:cs="Arial"/>
        </w:rPr>
        <w:t>ssociation</w:t>
      </w:r>
      <w:r w:rsidRPr="00444C58">
        <w:rPr>
          <w:rFonts w:ascii="Arial" w:hAnsi="Arial" w:cs="Arial"/>
        </w:rPr>
        <w:t xml:space="preserve">, </w:t>
      </w:r>
      <w:r w:rsidRPr="00444C58">
        <w:rPr>
          <w:rFonts w:ascii="Arial" w:hAnsi="Arial" w:cs="Arial"/>
          <w:i/>
        </w:rPr>
        <w:t>Submission re: AER proposed amendments to post-tax revenue models – electricity transmission and distribution</w:t>
      </w:r>
      <w:r w:rsidRPr="00444C58">
        <w:rPr>
          <w:rFonts w:ascii="Arial" w:hAnsi="Arial" w:cs="Arial"/>
        </w:rPr>
        <w:t xml:space="preserve">, 17 November 2014, (ENA, </w:t>
      </w:r>
      <w:r w:rsidRPr="00444C58">
        <w:rPr>
          <w:rFonts w:ascii="Arial" w:hAnsi="Arial" w:cs="Arial"/>
          <w:i/>
        </w:rPr>
        <w:t>Submission on PTRMs</w:t>
      </w:r>
      <w:r w:rsidRPr="00444C58">
        <w:rPr>
          <w:rFonts w:ascii="Arial" w:hAnsi="Arial" w:cs="Arial"/>
        </w:rPr>
        <w:t>, November 2014);</w:t>
      </w:r>
      <w:r>
        <w:rPr>
          <w:rFonts w:ascii="Arial" w:hAnsi="Arial" w:cs="Arial"/>
        </w:rPr>
        <w:tab/>
      </w:r>
      <w:r>
        <w:rPr>
          <w:rFonts w:ascii="Arial" w:hAnsi="Arial" w:cs="Arial"/>
        </w:rPr>
        <w:br/>
      </w:r>
      <w:r w:rsidRPr="009F29C6">
        <w:rPr>
          <w:rFonts w:ascii="Arial" w:hAnsi="Arial" w:cs="Arial"/>
        </w:rPr>
        <w:t xml:space="preserve">Energex, </w:t>
      </w:r>
      <w:r w:rsidRPr="009F29C6">
        <w:rPr>
          <w:rFonts w:ascii="Arial" w:hAnsi="Arial" w:cs="Arial"/>
          <w:i/>
        </w:rPr>
        <w:t>Submission</w:t>
      </w:r>
      <w:r>
        <w:rPr>
          <w:rFonts w:ascii="Arial" w:hAnsi="Arial" w:cs="Arial"/>
          <w:i/>
        </w:rPr>
        <w:t xml:space="preserve"> re:</w:t>
      </w:r>
      <w:r w:rsidRPr="009F29C6">
        <w:rPr>
          <w:rFonts w:ascii="Arial" w:hAnsi="Arial" w:cs="Arial"/>
          <w:i/>
        </w:rPr>
        <w:t xml:space="preserve"> Proposed amendments to the post-tax revenue models (version 3)</w:t>
      </w:r>
      <w:r>
        <w:rPr>
          <w:rFonts w:ascii="Arial" w:hAnsi="Arial" w:cs="Arial"/>
        </w:rPr>
        <w:t xml:space="preserve">, 10 November 2014, (Energex, </w:t>
      </w:r>
      <w:r w:rsidRPr="00BD49B9">
        <w:rPr>
          <w:rFonts w:ascii="Arial" w:hAnsi="Arial" w:cs="Arial"/>
          <w:i/>
        </w:rPr>
        <w:t>Submission on PTRMs</w:t>
      </w:r>
      <w:r>
        <w:rPr>
          <w:rFonts w:ascii="Arial" w:hAnsi="Arial" w:cs="Arial"/>
        </w:rPr>
        <w:t>, November 2014);</w:t>
      </w:r>
      <w:r>
        <w:rPr>
          <w:rFonts w:ascii="Arial" w:hAnsi="Arial" w:cs="Arial"/>
        </w:rPr>
        <w:tab/>
      </w:r>
      <w:r>
        <w:rPr>
          <w:rFonts w:ascii="Arial" w:hAnsi="Arial" w:cs="Arial"/>
        </w:rPr>
        <w:br/>
      </w:r>
      <w:proofErr w:type="spellStart"/>
      <w:r w:rsidRPr="00444C58">
        <w:rPr>
          <w:rFonts w:ascii="Arial" w:hAnsi="Arial" w:cs="Arial"/>
        </w:rPr>
        <w:t>Jemena</w:t>
      </w:r>
      <w:proofErr w:type="spellEnd"/>
      <w:r w:rsidRPr="00444C58">
        <w:rPr>
          <w:rFonts w:ascii="Arial" w:hAnsi="Arial" w:cs="Arial"/>
        </w:rPr>
        <w:t xml:space="preserve"> Electricity Networks (Vic) Ltd, </w:t>
      </w:r>
      <w:proofErr w:type="spellStart"/>
      <w:r w:rsidRPr="00444C58">
        <w:rPr>
          <w:rFonts w:ascii="Arial" w:hAnsi="Arial" w:cs="Arial"/>
          <w:i/>
        </w:rPr>
        <w:t>Jemena</w:t>
      </w:r>
      <w:proofErr w:type="spellEnd"/>
      <w:r w:rsidRPr="00444C58">
        <w:rPr>
          <w:rFonts w:ascii="Arial" w:hAnsi="Arial" w:cs="Arial"/>
          <w:i/>
        </w:rPr>
        <w:t xml:space="preserve"> submission – AER proposed amendments to post-tax revenue models – Electricity transmission and distribution</w:t>
      </w:r>
      <w:r w:rsidRPr="00444C58">
        <w:rPr>
          <w:rFonts w:ascii="Arial" w:hAnsi="Arial" w:cs="Arial"/>
        </w:rPr>
        <w:t>, 17 November 2014 (</w:t>
      </w:r>
      <w:proofErr w:type="spellStart"/>
      <w:r w:rsidRPr="00444C58">
        <w:rPr>
          <w:rFonts w:ascii="Arial" w:hAnsi="Arial" w:cs="Arial"/>
        </w:rPr>
        <w:t>Jemena</w:t>
      </w:r>
      <w:proofErr w:type="spellEnd"/>
      <w:r w:rsidRPr="00444C58">
        <w:rPr>
          <w:rFonts w:ascii="Arial" w:hAnsi="Arial" w:cs="Arial"/>
        </w:rPr>
        <w:t xml:space="preserve">, </w:t>
      </w:r>
      <w:r w:rsidRPr="00047C1F">
        <w:rPr>
          <w:rFonts w:ascii="Arial" w:hAnsi="Arial" w:cs="Arial"/>
          <w:i/>
        </w:rPr>
        <w:t>Submission on PTRMs</w:t>
      </w:r>
      <w:r w:rsidRPr="00444C58">
        <w:rPr>
          <w:rFonts w:ascii="Arial" w:hAnsi="Arial" w:cs="Arial"/>
        </w:rPr>
        <w:t xml:space="preserve">, November 2014); </w:t>
      </w:r>
      <w:r>
        <w:rPr>
          <w:rFonts w:ascii="Arial" w:hAnsi="Arial" w:cs="Arial"/>
        </w:rPr>
        <w:tab/>
      </w:r>
      <w:r>
        <w:rPr>
          <w:rFonts w:ascii="Arial" w:hAnsi="Arial" w:cs="Arial"/>
        </w:rPr>
        <w:br/>
      </w:r>
      <w:r w:rsidRPr="00444C58">
        <w:rPr>
          <w:rFonts w:ascii="Arial" w:hAnsi="Arial" w:cs="Arial"/>
        </w:rPr>
        <w:t xml:space="preserve">Networks NSW, </w:t>
      </w:r>
      <w:r w:rsidRPr="00444C58">
        <w:rPr>
          <w:rFonts w:ascii="Arial" w:hAnsi="Arial" w:cs="Arial"/>
          <w:i/>
        </w:rPr>
        <w:t>Networks NSW submission on changes to the Distribution Post-Tax Revenue Model,</w:t>
      </w:r>
      <w:r w:rsidRPr="00444C58">
        <w:rPr>
          <w:rFonts w:ascii="Arial" w:hAnsi="Arial" w:cs="Arial"/>
        </w:rPr>
        <w:t xml:space="preserve"> 17 November 2014, (Networks NSW, </w:t>
      </w:r>
      <w:r w:rsidRPr="00444C58">
        <w:rPr>
          <w:rFonts w:ascii="Arial" w:hAnsi="Arial" w:cs="Arial"/>
          <w:i/>
        </w:rPr>
        <w:t>Submission on distribution PTRM</w:t>
      </w:r>
      <w:r w:rsidRPr="00444C58">
        <w:rPr>
          <w:rFonts w:ascii="Arial" w:hAnsi="Arial" w:cs="Arial"/>
        </w:rPr>
        <w:t>, November 2014</w:t>
      </w:r>
      <w:r>
        <w:rPr>
          <w:rFonts w:ascii="Arial" w:hAnsi="Arial" w:cs="Arial"/>
        </w:rPr>
        <w:t>);</w:t>
      </w:r>
      <w:r w:rsidRPr="00444C58">
        <w:rPr>
          <w:rFonts w:ascii="Arial" w:hAnsi="Arial" w:cs="Arial"/>
        </w:rPr>
        <w:t xml:space="preserve"> </w:t>
      </w:r>
      <w:r>
        <w:rPr>
          <w:rFonts w:ascii="Arial" w:hAnsi="Arial" w:cs="Arial"/>
        </w:rPr>
        <w:tab/>
      </w:r>
      <w:r>
        <w:rPr>
          <w:rFonts w:ascii="Arial" w:hAnsi="Arial" w:cs="Arial"/>
        </w:rPr>
        <w:br/>
        <w:t xml:space="preserve">SA Power Networks, </w:t>
      </w:r>
      <w:r w:rsidRPr="00B66765">
        <w:rPr>
          <w:rFonts w:ascii="Arial" w:hAnsi="Arial" w:cs="Arial"/>
          <w:i/>
        </w:rPr>
        <w:t>Submission re: AER proposed amendments to post-tax revenue models, Electricity transmission and distribution</w:t>
      </w:r>
      <w:r>
        <w:rPr>
          <w:rFonts w:ascii="Arial" w:hAnsi="Arial" w:cs="Arial"/>
        </w:rPr>
        <w:t xml:space="preserve">, 13 November 2014 (SAPN, </w:t>
      </w:r>
      <w:r w:rsidRPr="00047C1F">
        <w:rPr>
          <w:rFonts w:ascii="Arial" w:hAnsi="Arial" w:cs="Arial"/>
          <w:i/>
        </w:rPr>
        <w:t>Submission on PTRMs</w:t>
      </w:r>
      <w:r>
        <w:rPr>
          <w:rFonts w:ascii="Arial" w:hAnsi="Arial" w:cs="Arial"/>
        </w:rPr>
        <w:t>, November 2014</w:t>
      </w:r>
      <w:r>
        <w:rPr>
          <w:rFonts w:ascii="Arial" w:hAnsi="Arial" w:cs="Arial"/>
        </w:rPr>
        <w:tab/>
        <w:t>); and</w:t>
      </w:r>
      <w:r>
        <w:rPr>
          <w:rFonts w:ascii="Arial" w:hAnsi="Arial" w:cs="Arial"/>
        </w:rPr>
        <w:tab/>
      </w:r>
      <w:r>
        <w:rPr>
          <w:rFonts w:ascii="Arial" w:hAnsi="Arial" w:cs="Arial"/>
        </w:rPr>
        <w:br/>
      </w:r>
      <w:r w:rsidRPr="007754CA">
        <w:rPr>
          <w:rFonts w:ascii="Arial" w:hAnsi="Arial" w:cs="Arial"/>
        </w:rPr>
        <w:t xml:space="preserve">United Energy and Multinet Gas, </w:t>
      </w:r>
      <w:r w:rsidRPr="007754CA">
        <w:rPr>
          <w:rFonts w:ascii="Arial" w:hAnsi="Arial" w:cs="Arial"/>
          <w:i/>
        </w:rPr>
        <w:t>Letter re: Submission to the AER’s consultation on the post-tax revenue model</w:t>
      </w:r>
      <w:r w:rsidRPr="00444C58">
        <w:rPr>
          <w:rFonts w:ascii="Arial" w:hAnsi="Arial" w:cs="Arial"/>
        </w:rPr>
        <w:t xml:space="preserve">, 17 November 2014, pp. 1–4 (United Energy, </w:t>
      </w:r>
      <w:r w:rsidRPr="00444C58">
        <w:rPr>
          <w:rFonts w:ascii="Arial" w:hAnsi="Arial" w:cs="Arial"/>
          <w:i/>
        </w:rPr>
        <w:t>Submission on PTRM</w:t>
      </w:r>
      <w:r>
        <w:rPr>
          <w:rFonts w:ascii="Arial" w:hAnsi="Arial" w:cs="Arial"/>
          <w:i/>
        </w:rPr>
        <w:t>s</w:t>
      </w:r>
      <w:r>
        <w:rPr>
          <w:rFonts w:ascii="Arial" w:hAnsi="Arial" w:cs="Arial"/>
        </w:rPr>
        <w:t xml:space="preserve">, </w:t>
      </w:r>
      <w:r w:rsidRPr="00444C58">
        <w:rPr>
          <w:rFonts w:ascii="Arial" w:hAnsi="Arial" w:cs="Arial"/>
        </w:rPr>
        <w:t>November 2014)</w:t>
      </w:r>
      <w:r>
        <w:rPr>
          <w:rFonts w:ascii="Arial" w:hAnsi="Arial" w:cs="Arial"/>
        </w:rPr>
        <w:t>.</w:t>
      </w:r>
    </w:p>
  </w:footnote>
  <w:footnote w:id="33">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The determination of the overall return on equity will necessarily involve separate modelling outside of the PTRM.</w:t>
      </w:r>
    </w:p>
  </w:footnote>
  <w:footnote w:id="34">
    <w:p w:rsidR="00190CA4" w:rsidRPr="00BD49B9" w:rsidRDefault="00190CA4">
      <w:pPr>
        <w:pStyle w:val="FootnoteText"/>
        <w:rPr>
          <w:rFonts w:ascii="Arial" w:hAnsi="Arial" w:cs="Arial"/>
        </w:rPr>
      </w:pPr>
      <w:r w:rsidRPr="00BD49B9">
        <w:rPr>
          <w:rStyle w:val="FootnoteReference"/>
          <w:rFonts w:ascii="Arial" w:hAnsi="Arial" w:cs="Arial"/>
        </w:rPr>
        <w:footnoteRef/>
      </w:r>
      <w:r w:rsidRPr="00BD49B9">
        <w:rPr>
          <w:rFonts w:ascii="Arial" w:hAnsi="Arial" w:cs="Arial"/>
        </w:rPr>
        <w:t xml:space="preserve"> </w:t>
      </w:r>
      <w:r w:rsidRPr="00BD49B9">
        <w:rPr>
          <w:rFonts w:ascii="Arial" w:hAnsi="Arial" w:cs="Arial"/>
        </w:rPr>
        <w:tab/>
        <w:t xml:space="preserve">The ENA </w:t>
      </w:r>
      <w:r>
        <w:rPr>
          <w:rFonts w:ascii="Arial" w:hAnsi="Arial" w:cs="Arial"/>
        </w:rPr>
        <w:t xml:space="preserve">submission </w:t>
      </w:r>
      <w:r w:rsidRPr="00BD49B9">
        <w:rPr>
          <w:rFonts w:ascii="Arial" w:hAnsi="Arial" w:cs="Arial"/>
        </w:rPr>
        <w:t>explicitly endorse</w:t>
      </w:r>
      <w:r>
        <w:rPr>
          <w:rFonts w:ascii="Arial" w:hAnsi="Arial" w:cs="Arial"/>
        </w:rPr>
        <w:t>d</w:t>
      </w:r>
      <w:r w:rsidRPr="00BD49B9">
        <w:rPr>
          <w:rFonts w:ascii="Arial" w:hAnsi="Arial" w:cs="Arial"/>
        </w:rPr>
        <w:t xml:space="preserve"> the separation of </w:t>
      </w:r>
      <w:r>
        <w:rPr>
          <w:rFonts w:ascii="Arial" w:hAnsi="Arial" w:cs="Arial"/>
        </w:rPr>
        <w:t xml:space="preserve">WACC modelling from the PTRM. ENA, </w:t>
      </w:r>
      <w:r w:rsidRPr="00BD49B9">
        <w:rPr>
          <w:rFonts w:ascii="Arial" w:hAnsi="Arial" w:cs="Arial"/>
          <w:i/>
        </w:rPr>
        <w:t>Submission on PTRMs</w:t>
      </w:r>
      <w:r>
        <w:rPr>
          <w:rFonts w:ascii="Arial" w:hAnsi="Arial" w:cs="Arial"/>
        </w:rPr>
        <w:t>, November 2014, p. 1.</w:t>
      </w:r>
    </w:p>
  </w:footnote>
  <w:footnote w:id="35">
    <w:p w:rsidR="00190CA4" w:rsidRPr="009F29C6" w:rsidRDefault="00190CA4" w:rsidP="00BC6387">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r>
      <w:proofErr w:type="gramStart"/>
      <w:r w:rsidRPr="009F29C6">
        <w:rPr>
          <w:rFonts w:ascii="Arial" w:hAnsi="Arial" w:cs="Arial"/>
        </w:rPr>
        <w:t xml:space="preserve">Networks NSW, </w:t>
      </w:r>
      <w:r w:rsidRPr="009F29C6">
        <w:rPr>
          <w:rFonts w:ascii="Arial" w:hAnsi="Arial" w:cs="Arial"/>
          <w:i/>
        </w:rPr>
        <w:t>Submission on distribution PTRM</w:t>
      </w:r>
      <w:r w:rsidRPr="009F29C6">
        <w:rPr>
          <w:rFonts w:ascii="Arial" w:hAnsi="Arial" w:cs="Arial"/>
        </w:rPr>
        <w:t>, November 2014</w:t>
      </w:r>
      <w:r>
        <w:rPr>
          <w:rFonts w:ascii="Arial" w:hAnsi="Arial" w:cs="Arial"/>
        </w:rPr>
        <w:t>, Attachment 1, p. 2</w:t>
      </w:r>
      <w:r w:rsidRPr="009F29C6">
        <w:rPr>
          <w:rFonts w:ascii="Arial" w:hAnsi="Arial" w:cs="Arial"/>
        </w:rPr>
        <w:t>.</w:t>
      </w:r>
      <w:proofErr w:type="gramEnd"/>
    </w:p>
  </w:footnote>
  <w:footnote w:id="36">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This is consistent with our overall approach of separating WACC modelling from PTRM modelling, That is, all calculations required to determine the WACC are undertaken separately to the PTRM, and only the final output from the WACC modelling is entered into the PTRM.</w:t>
      </w:r>
    </w:p>
  </w:footnote>
  <w:footnote w:id="37">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As with the return on equity, there will be separate modelling to derive the trailing average portfolio return on debt input.</w:t>
      </w:r>
    </w:p>
  </w:footnote>
  <w:footnote w:id="38">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Networks NSW, </w:t>
      </w:r>
      <w:r w:rsidRPr="009F29C6">
        <w:rPr>
          <w:rFonts w:ascii="Arial" w:hAnsi="Arial" w:cs="Arial"/>
          <w:i/>
        </w:rPr>
        <w:t>Submission on distribution PTRM</w:t>
      </w:r>
      <w:r w:rsidRPr="009F29C6">
        <w:rPr>
          <w:rFonts w:ascii="Arial" w:hAnsi="Arial" w:cs="Arial"/>
        </w:rPr>
        <w:t xml:space="preserve">, November 2014, </w:t>
      </w:r>
      <w:proofErr w:type="gramStart"/>
      <w:r w:rsidRPr="009F29C6">
        <w:rPr>
          <w:rFonts w:ascii="Arial" w:hAnsi="Arial" w:cs="Arial"/>
        </w:rPr>
        <w:t>p</w:t>
      </w:r>
      <w:proofErr w:type="gramEnd"/>
      <w:r w:rsidRPr="009F29C6">
        <w:rPr>
          <w:rFonts w:ascii="Arial" w:hAnsi="Arial" w:cs="Arial"/>
        </w:rPr>
        <w:t>. 1.</w:t>
      </w:r>
    </w:p>
  </w:footnote>
  <w:footnote w:id="39">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r>
      <w:r>
        <w:rPr>
          <w:rFonts w:ascii="Arial" w:hAnsi="Arial" w:cs="Arial"/>
        </w:rPr>
        <w:t xml:space="preserve">Energex, </w:t>
      </w:r>
      <w:r w:rsidRPr="00BD49B9">
        <w:rPr>
          <w:rFonts w:ascii="Arial" w:hAnsi="Arial" w:cs="Arial"/>
          <w:i/>
        </w:rPr>
        <w:t>Submission on PTRMs</w:t>
      </w:r>
      <w:r>
        <w:rPr>
          <w:rFonts w:ascii="Arial" w:hAnsi="Arial" w:cs="Arial"/>
        </w:rPr>
        <w:t>, November 2014, p. 1</w:t>
      </w:r>
      <w:r w:rsidRPr="009F29C6">
        <w:rPr>
          <w:rFonts w:ascii="Arial" w:hAnsi="Arial" w:cs="Arial"/>
        </w:rPr>
        <w:t>.</w:t>
      </w:r>
    </w:p>
  </w:footnote>
  <w:footnote w:id="40">
    <w:p w:rsidR="00190CA4" w:rsidRPr="009F29C6" w:rsidRDefault="00190CA4" w:rsidP="00E86BA6">
      <w:pPr>
        <w:pStyle w:val="FootnoteText"/>
        <w:rPr>
          <w:rFonts w:ascii="Arial" w:hAnsi="Arial" w:cs="Arial"/>
          <w:szCs w:val="16"/>
        </w:rPr>
      </w:pPr>
      <w:r w:rsidRPr="009F29C6">
        <w:rPr>
          <w:rStyle w:val="FootnoteReference"/>
          <w:rFonts w:ascii="Arial" w:hAnsi="Arial" w:cs="Arial"/>
          <w:szCs w:val="16"/>
        </w:rPr>
        <w:footnoteRef/>
      </w:r>
      <w:r w:rsidRPr="009F29C6">
        <w:rPr>
          <w:rFonts w:ascii="Arial" w:hAnsi="Arial" w:cs="Arial"/>
          <w:szCs w:val="16"/>
        </w:rPr>
        <w:t xml:space="preserve"> </w:t>
      </w:r>
      <w:r w:rsidRPr="009F29C6">
        <w:rPr>
          <w:rFonts w:ascii="Arial" w:hAnsi="Arial" w:cs="Arial"/>
          <w:szCs w:val="16"/>
        </w:rPr>
        <w:tab/>
      </w:r>
      <w:r w:rsidRPr="009F29C6">
        <w:rPr>
          <w:rFonts w:ascii="Arial" w:hAnsi="Arial" w:cs="Arial"/>
        </w:rPr>
        <w:t xml:space="preserve">Similarly, the nominal vanilla WACC for each year is defined using the variables ‘vanilla01, </w:t>
      </w:r>
      <w:proofErr w:type="gramStart"/>
      <w:r w:rsidRPr="009F29C6">
        <w:rPr>
          <w:rFonts w:ascii="Arial" w:hAnsi="Arial" w:cs="Arial"/>
        </w:rPr>
        <w:t>vanilla02,..</w:t>
      </w:r>
      <w:proofErr w:type="gramEnd"/>
      <w:r w:rsidRPr="009F29C6">
        <w:rPr>
          <w:rFonts w:ascii="Arial" w:hAnsi="Arial" w:cs="Arial"/>
        </w:rPr>
        <w:t xml:space="preserve"> </w:t>
      </w:r>
      <w:proofErr w:type="gramStart"/>
      <w:r w:rsidRPr="009F29C6">
        <w:rPr>
          <w:rFonts w:ascii="Arial" w:hAnsi="Arial" w:cs="Arial"/>
        </w:rPr>
        <w:t>, vanilla10’.</w:t>
      </w:r>
      <w:proofErr w:type="gramEnd"/>
      <w:r w:rsidRPr="009F29C6">
        <w:rPr>
          <w:rFonts w:ascii="Arial" w:hAnsi="Arial" w:cs="Arial"/>
        </w:rPr>
        <w:t xml:space="preserve"> This replaces the previous single ‘vanilla’ variable which was presumed constant across the entire regulatory control period.</w:t>
      </w:r>
    </w:p>
  </w:footnote>
  <w:footnote w:id="41">
    <w:p w:rsidR="00190CA4" w:rsidRPr="00291F53" w:rsidRDefault="00190CA4">
      <w:pPr>
        <w:pStyle w:val="FootnoteText"/>
        <w:rPr>
          <w:rFonts w:ascii="Arial" w:hAnsi="Arial" w:cs="Arial"/>
        </w:rPr>
      </w:pPr>
      <w:r w:rsidRPr="00291F53">
        <w:rPr>
          <w:rStyle w:val="FootnoteReference"/>
          <w:rFonts w:ascii="Arial" w:hAnsi="Arial" w:cs="Arial"/>
        </w:rPr>
        <w:footnoteRef/>
      </w:r>
      <w:r w:rsidRPr="00291F53">
        <w:rPr>
          <w:rFonts w:ascii="Arial" w:hAnsi="Arial" w:cs="Arial"/>
        </w:rPr>
        <w:t xml:space="preserve"> </w:t>
      </w:r>
      <w:r w:rsidRPr="00291F53">
        <w:rPr>
          <w:rFonts w:ascii="Arial" w:hAnsi="Arial" w:cs="Arial"/>
        </w:rPr>
        <w:tab/>
        <w:t xml:space="preserve">ENA, </w:t>
      </w:r>
      <w:r w:rsidRPr="00291F53">
        <w:rPr>
          <w:rFonts w:ascii="Arial" w:hAnsi="Arial" w:cs="Arial"/>
          <w:i/>
        </w:rPr>
        <w:t>Submission on PTRMs</w:t>
      </w:r>
      <w:r w:rsidRPr="00291F53">
        <w:rPr>
          <w:rFonts w:ascii="Arial" w:hAnsi="Arial" w:cs="Arial"/>
        </w:rPr>
        <w:t>, November 2014, p. 1</w:t>
      </w:r>
      <w:r>
        <w:rPr>
          <w:rFonts w:ascii="Arial" w:hAnsi="Arial" w:cs="Arial"/>
        </w:rPr>
        <w:t xml:space="preserve">; Energex, </w:t>
      </w:r>
      <w:r w:rsidRPr="00BD49B9">
        <w:rPr>
          <w:rFonts w:ascii="Arial" w:hAnsi="Arial" w:cs="Arial"/>
          <w:i/>
        </w:rPr>
        <w:t>Submission on PTRMs</w:t>
      </w:r>
      <w:r>
        <w:rPr>
          <w:rFonts w:ascii="Arial" w:hAnsi="Arial" w:cs="Arial"/>
        </w:rPr>
        <w:t xml:space="preserve">, November 2014, p. 1; and </w:t>
      </w:r>
      <w:r w:rsidRPr="009F29C6">
        <w:rPr>
          <w:rFonts w:ascii="Arial" w:hAnsi="Arial" w:cs="Arial"/>
        </w:rPr>
        <w:t xml:space="preserve">Networks NSW, </w:t>
      </w:r>
      <w:r w:rsidRPr="009F29C6">
        <w:rPr>
          <w:rFonts w:ascii="Arial" w:hAnsi="Arial" w:cs="Arial"/>
          <w:i/>
        </w:rPr>
        <w:t>Submission on distribution PTRM</w:t>
      </w:r>
      <w:r w:rsidRPr="009F29C6">
        <w:rPr>
          <w:rFonts w:ascii="Arial" w:hAnsi="Arial" w:cs="Arial"/>
        </w:rPr>
        <w:t>, November 2014</w:t>
      </w:r>
      <w:r>
        <w:rPr>
          <w:rFonts w:ascii="Arial" w:hAnsi="Arial" w:cs="Arial"/>
        </w:rPr>
        <w:t>, Attachment 1, p. 2.</w:t>
      </w:r>
    </w:p>
  </w:footnote>
  <w:footnote w:id="42">
    <w:p w:rsidR="00190CA4" w:rsidRPr="009F29C6" w:rsidRDefault="00190CA4" w:rsidP="00FA7347">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Networks NSW, </w:t>
      </w:r>
      <w:r w:rsidRPr="009F29C6">
        <w:rPr>
          <w:rFonts w:ascii="Arial" w:hAnsi="Arial" w:cs="Arial"/>
          <w:i/>
        </w:rPr>
        <w:t>Submission on Distribution PTRM,</w:t>
      </w:r>
      <w:r w:rsidRPr="009F29C6">
        <w:rPr>
          <w:rFonts w:ascii="Arial" w:hAnsi="Arial" w:cs="Arial"/>
        </w:rPr>
        <w:t xml:space="preserve"> November 2014, Attachment 1, p. 3.</w:t>
      </w:r>
    </w:p>
  </w:footnote>
  <w:footnote w:id="43">
    <w:p w:rsidR="00190CA4" w:rsidRPr="009F29C6" w:rsidRDefault="00190CA4" w:rsidP="00B969F9">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See AER, </w:t>
      </w:r>
      <w:r w:rsidRPr="009F29C6">
        <w:rPr>
          <w:rFonts w:ascii="Arial" w:hAnsi="Arial" w:cs="Arial"/>
          <w:i/>
        </w:rPr>
        <w:t>Final decision, New South Wales distribution determination, 2009–10 to 2013–14</w:t>
      </w:r>
      <w:r w:rsidRPr="009F29C6">
        <w:rPr>
          <w:rFonts w:ascii="Arial" w:hAnsi="Arial" w:cs="Arial"/>
        </w:rPr>
        <w:t>, 28 April 2009, p. 587.</w:t>
      </w:r>
    </w:p>
  </w:footnote>
  <w:footnote w:id="44">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See the </w:t>
      </w:r>
      <w:r w:rsidRPr="009F29C6">
        <w:rPr>
          <w:rFonts w:ascii="Arial" w:hAnsi="Arial" w:cs="Arial"/>
          <w:i/>
        </w:rPr>
        <w:t>Assets</w:t>
      </w:r>
      <w:r w:rsidRPr="009F29C6">
        <w:rPr>
          <w:rFonts w:ascii="Arial" w:hAnsi="Arial" w:cs="Arial"/>
        </w:rPr>
        <w:t xml:space="preserve"> </w:t>
      </w:r>
      <w:r w:rsidR="00666427">
        <w:rPr>
          <w:rFonts w:ascii="Arial" w:hAnsi="Arial" w:cs="Arial"/>
        </w:rPr>
        <w:t>work</w:t>
      </w:r>
      <w:r>
        <w:rPr>
          <w:rFonts w:ascii="Arial" w:hAnsi="Arial" w:cs="Arial"/>
        </w:rPr>
        <w:t>sheet</w:t>
      </w:r>
      <w:r w:rsidRPr="009F29C6">
        <w:rPr>
          <w:rFonts w:ascii="Arial" w:hAnsi="Arial" w:cs="Arial"/>
        </w:rPr>
        <w:t>, row 40 of the final amended DNSP PTRM and row 60 of the final amended TNSP PTRM.</w:t>
      </w:r>
    </w:p>
  </w:footnote>
  <w:footnote w:id="45">
    <w:p w:rsidR="00190CA4" w:rsidRPr="008C75B6" w:rsidRDefault="00190CA4">
      <w:pPr>
        <w:pStyle w:val="FootnoteText"/>
        <w:rPr>
          <w:rFonts w:ascii="Arial" w:hAnsi="Arial" w:cs="Arial"/>
        </w:rPr>
      </w:pPr>
      <w:r w:rsidRPr="008C75B6">
        <w:rPr>
          <w:rStyle w:val="FootnoteReference"/>
          <w:rFonts w:ascii="Arial" w:hAnsi="Arial" w:cs="Arial"/>
        </w:rPr>
        <w:footnoteRef/>
      </w:r>
      <w:r w:rsidRPr="008C75B6">
        <w:rPr>
          <w:rFonts w:ascii="Arial" w:hAnsi="Arial" w:cs="Arial"/>
        </w:rPr>
        <w:t xml:space="preserve"> </w:t>
      </w:r>
      <w:r w:rsidRPr="008C75B6">
        <w:rPr>
          <w:rFonts w:ascii="Arial" w:hAnsi="Arial" w:cs="Arial"/>
        </w:rPr>
        <w:tab/>
      </w:r>
      <w:proofErr w:type="gramStart"/>
      <w:r w:rsidRPr="009F29C6">
        <w:rPr>
          <w:rFonts w:ascii="Arial" w:hAnsi="Arial" w:cs="Arial"/>
        </w:rPr>
        <w:t xml:space="preserve">United Energy, </w:t>
      </w:r>
      <w:r w:rsidRPr="009F29C6">
        <w:rPr>
          <w:rFonts w:ascii="Arial" w:hAnsi="Arial" w:cs="Arial"/>
          <w:i/>
        </w:rPr>
        <w:t>Submission on PTRM</w:t>
      </w:r>
      <w:r>
        <w:rPr>
          <w:rFonts w:ascii="Arial" w:hAnsi="Arial" w:cs="Arial"/>
          <w:i/>
        </w:rPr>
        <w:t>s</w:t>
      </w:r>
      <w:r w:rsidRPr="009F29C6">
        <w:rPr>
          <w:rFonts w:ascii="Arial" w:hAnsi="Arial" w:cs="Arial"/>
        </w:rPr>
        <w:t>, November 2014, pp. 5–6.</w:t>
      </w:r>
      <w:proofErr w:type="gramEnd"/>
    </w:p>
  </w:footnote>
  <w:footnote w:id="46">
    <w:p w:rsidR="00190CA4" w:rsidRPr="00BD49B9" w:rsidRDefault="00190CA4">
      <w:pPr>
        <w:pStyle w:val="FootnoteText"/>
        <w:rPr>
          <w:rFonts w:ascii="Arial" w:hAnsi="Arial" w:cs="Arial"/>
        </w:rPr>
      </w:pPr>
      <w:r w:rsidRPr="00BD49B9">
        <w:rPr>
          <w:rStyle w:val="FootnoteReference"/>
          <w:rFonts w:ascii="Arial" w:hAnsi="Arial" w:cs="Arial"/>
        </w:rPr>
        <w:footnoteRef/>
      </w:r>
      <w:r w:rsidRPr="00BD49B9">
        <w:rPr>
          <w:rFonts w:ascii="Arial" w:hAnsi="Arial" w:cs="Arial"/>
        </w:rPr>
        <w:t xml:space="preserve"> </w:t>
      </w:r>
      <w:r w:rsidRPr="00BD49B9">
        <w:rPr>
          <w:rFonts w:ascii="Arial" w:hAnsi="Arial" w:cs="Arial"/>
        </w:rPr>
        <w:tab/>
        <w:t xml:space="preserve">The ENA submission also noted that the ERC </w:t>
      </w:r>
      <w:r>
        <w:rPr>
          <w:rFonts w:ascii="Arial" w:hAnsi="Arial" w:cs="Arial"/>
        </w:rPr>
        <w:t xml:space="preserve">methodology had not been reviewed as part of the overall Better Regulation program. </w:t>
      </w:r>
      <w:r w:rsidRPr="00402679">
        <w:rPr>
          <w:rFonts w:ascii="Arial" w:hAnsi="Arial" w:cs="Arial"/>
        </w:rPr>
        <w:t xml:space="preserve">ENA, </w:t>
      </w:r>
      <w:r w:rsidRPr="00BD49B9">
        <w:rPr>
          <w:rFonts w:ascii="Arial" w:hAnsi="Arial" w:cs="Arial"/>
          <w:i/>
        </w:rPr>
        <w:t>Submission</w:t>
      </w:r>
      <w:r>
        <w:rPr>
          <w:rFonts w:ascii="Arial" w:hAnsi="Arial" w:cs="Arial"/>
          <w:i/>
        </w:rPr>
        <w:t xml:space="preserve"> on PTRMs</w:t>
      </w:r>
      <w:r>
        <w:rPr>
          <w:rFonts w:ascii="Arial" w:hAnsi="Arial" w:cs="Arial"/>
        </w:rPr>
        <w:t>, November 2014.</w:t>
      </w:r>
    </w:p>
  </w:footnote>
  <w:footnote w:id="47">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Networks NSW, </w:t>
      </w:r>
      <w:r w:rsidRPr="009F29C6">
        <w:rPr>
          <w:rFonts w:ascii="Arial" w:hAnsi="Arial" w:cs="Arial"/>
          <w:i/>
        </w:rPr>
        <w:t>Submission on Distribution PTRM,</w:t>
      </w:r>
      <w:r w:rsidRPr="009F29C6">
        <w:rPr>
          <w:rFonts w:ascii="Arial" w:hAnsi="Arial" w:cs="Arial"/>
        </w:rPr>
        <w:t xml:space="preserve"> November 2014, Attachment 1, p. 2.</w:t>
      </w:r>
    </w:p>
  </w:footnote>
  <w:footnote w:id="48">
    <w:p w:rsidR="00190CA4" w:rsidRPr="008C75B6" w:rsidRDefault="00190CA4" w:rsidP="007931B5">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The opening RAB is presented in the </w:t>
      </w:r>
      <w:r w:rsidRPr="009F29C6">
        <w:rPr>
          <w:rFonts w:ascii="Arial" w:hAnsi="Arial" w:cs="Arial"/>
          <w:i/>
        </w:rPr>
        <w:t>Equity raising costs</w:t>
      </w:r>
      <w:r w:rsidRPr="009F29C6">
        <w:rPr>
          <w:rFonts w:ascii="Arial" w:hAnsi="Arial" w:cs="Arial"/>
        </w:rPr>
        <w:t xml:space="preserve"> worksheet only to provide context for the capex program; it plays no direct role in the calculation of the ERC.</w:t>
      </w:r>
    </w:p>
  </w:footnote>
  <w:footnote w:id="49">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Networks NSW, </w:t>
      </w:r>
      <w:r w:rsidRPr="009F29C6">
        <w:rPr>
          <w:rFonts w:ascii="Arial" w:hAnsi="Arial" w:cs="Arial"/>
          <w:i/>
        </w:rPr>
        <w:t>Submission on Distribution PTRM,</w:t>
      </w:r>
      <w:r w:rsidRPr="009F29C6">
        <w:rPr>
          <w:rFonts w:ascii="Arial" w:hAnsi="Arial" w:cs="Arial"/>
        </w:rPr>
        <w:t xml:space="preserve"> November 2014, Attachment 1, p. 2.</w:t>
      </w:r>
    </w:p>
  </w:footnote>
  <w:footnote w:id="50">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The NSW DNSPs suggested in initial consultation that the X factors from the final decision could be left unchanged and instead new yearly factors, labelled W factors, would be changed in response to the annual return on debt update. We explained our reasoning against this suggestion in the </w:t>
      </w:r>
      <w:r w:rsidRPr="009F29C6">
        <w:rPr>
          <w:rFonts w:ascii="Arial" w:hAnsi="Arial" w:cs="Arial"/>
          <w:i/>
        </w:rPr>
        <w:t>Explanatory statement</w:t>
      </w:r>
      <w:r w:rsidRPr="009F29C6">
        <w:rPr>
          <w:rFonts w:ascii="Arial" w:hAnsi="Arial" w:cs="Arial"/>
        </w:rPr>
        <w:t>, with no further submissions received on the matter.</w:t>
      </w:r>
    </w:p>
  </w:footnote>
  <w:footnote w:id="51">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Networks NSW, </w:t>
      </w:r>
      <w:r w:rsidRPr="009F29C6">
        <w:rPr>
          <w:rFonts w:ascii="Arial" w:hAnsi="Arial" w:cs="Arial"/>
          <w:i/>
        </w:rPr>
        <w:t>Submission on Distribution PTRM,</w:t>
      </w:r>
      <w:r w:rsidRPr="009F29C6">
        <w:rPr>
          <w:rFonts w:ascii="Arial" w:hAnsi="Arial" w:cs="Arial"/>
        </w:rPr>
        <w:t xml:space="preserve"> November 2014, Attachment 1, p. 2</w:t>
      </w:r>
    </w:p>
  </w:footnote>
  <w:footnote w:id="52">
    <w:p w:rsidR="00190CA4" w:rsidRPr="00444C58" w:rsidRDefault="00190CA4" w:rsidP="00E06923">
      <w:pPr>
        <w:pStyle w:val="FootnoteText"/>
        <w:rPr>
          <w:rFonts w:ascii="Arial" w:hAnsi="Arial" w:cs="Arial"/>
        </w:rPr>
      </w:pPr>
      <w:r w:rsidRPr="007754CA">
        <w:rPr>
          <w:rStyle w:val="FootnoteReference"/>
          <w:rFonts w:ascii="Arial" w:hAnsi="Arial" w:cs="Arial"/>
        </w:rPr>
        <w:footnoteRef/>
      </w:r>
      <w:r w:rsidRPr="007754CA">
        <w:rPr>
          <w:rFonts w:ascii="Arial" w:hAnsi="Arial" w:cs="Arial"/>
        </w:rPr>
        <w:t xml:space="preserve"> </w:t>
      </w:r>
      <w:r w:rsidRPr="007754CA">
        <w:rPr>
          <w:rFonts w:ascii="Arial" w:hAnsi="Arial" w:cs="Arial"/>
        </w:rPr>
        <w:tab/>
        <w:t xml:space="preserve">A detailed treatment is included in </w:t>
      </w:r>
      <w:r w:rsidRPr="00444C58">
        <w:rPr>
          <w:rFonts w:ascii="Arial" w:hAnsi="Arial" w:cs="Arial"/>
        </w:rPr>
        <w:t xml:space="preserve">United Energy, </w:t>
      </w:r>
      <w:r w:rsidRPr="00444C58">
        <w:rPr>
          <w:rFonts w:ascii="Arial" w:hAnsi="Arial" w:cs="Arial"/>
          <w:i/>
        </w:rPr>
        <w:t>Submission on the PTRM</w:t>
      </w:r>
      <w:r w:rsidRPr="00444C58">
        <w:rPr>
          <w:rFonts w:ascii="Arial" w:hAnsi="Arial" w:cs="Arial"/>
        </w:rPr>
        <w:t>, 17 November 2014</w:t>
      </w:r>
      <w:r w:rsidRPr="00047C1F">
        <w:rPr>
          <w:rFonts w:ascii="Arial" w:hAnsi="Arial" w:cs="Arial"/>
        </w:rPr>
        <w:t xml:space="preserve"> </w:t>
      </w:r>
      <w:r w:rsidRPr="00444C58">
        <w:rPr>
          <w:rFonts w:ascii="Arial" w:hAnsi="Arial" w:cs="Arial"/>
        </w:rPr>
        <w:t>pp. 1–4</w:t>
      </w:r>
      <w:r>
        <w:rPr>
          <w:rFonts w:ascii="Arial" w:hAnsi="Arial" w:cs="Arial"/>
        </w:rPr>
        <w:t xml:space="preserve"> and the attached consultant report NERA Economic Consulting, </w:t>
      </w:r>
      <w:r w:rsidRPr="00BA36BF">
        <w:rPr>
          <w:rFonts w:ascii="Arial" w:hAnsi="Arial" w:cs="Arial"/>
          <w:i/>
        </w:rPr>
        <w:t>Memo re: Shared Assets and the PTRM</w:t>
      </w:r>
      <w:r>
        <w:rPr>
          <w:rFonts w:ascii="Arial" w:hAnsi="Arial" w:cs="Arial"/>
        </w:rPr>
        <w:t>, 13 November 2014</w:t>
      </w:r>
      <w:r w:rsidRPr="00444C58">
        <w:rPr>
          <w:rFonts w:ascii="Arial" w:hAnsi="Arial" w:cs="Arial"/>
        </w:rPr>
        <w:t xml:space="preserve">. See also </w:t>
      </w:r>
      <w:proofErr w:type="spellStart"/>
      <w:r w:rsidRPr="00444C58">
        <w:rPr>
          <w:rFonts w:ascii="Arial" w:hAnsi="Arial" w:cs="Arial"/>
        </w:rPr>
        <w:t>Ausnet</w:t>
      </w:r>
      <w:proofErr w:type="spellEnd"/>
      <w:r w:rsidRPr="00444C58">
        <w:rPr>
          <w:rFonts w:ascii="Arial" w:hAnsi="Arial" w:cs="Arial"/>
        </w:rPr>
        <w:t xml:space="preserve"> </w:t>
      </w:r>
      <w:r w:rsidRPr="00047C1F">
        <w:rPr>
          <w:rFonts w:ascii="Arial" w:hAnsi="Arial" w:cs="Arial"/>
          <w:i/>
        </w:rPr>
        <w:t>Submission on PTRMs</w:t>
      </w:r>
      <w:r w:rsidRPr="00047C1F">
        <w:rPr>
          <w:rFonts w:ascii="Arial" w:hAnsi="Arial" w:cs="Arial"/>
        </w:rPr>
        <w:t>, November 2014</w:t>
      </w:r>
      <w:r>
        <w:rPr>
          <w:rFonts w:ascii="Arial" w:hAnsi="Arial" w:cs="Arial"/>
        </w:rPr>
        <w:t>, p. 1</w:t>
      </w:r>
      <w:r w:rsidRPr="00444C58">
        <w:rPr>
          <w:rFonts w:ascii="Arial" w:hAnsi="Arial" w:cs="Arial"/>
        </w:rPr>
        <w:t xml:space="preserve">; ENA, </w:t>
      </w:r>
      <w:r w:rsidRPr="00444C58">
        <w:rPr>
          <w:rFonts w:ascii="Arial" w:hAnsi="Arial" w:cs="Arial"/>
          <w:i/>
        </w:rPr>
        <w:t>Submission on PTRMs</w:t>
      </w:r>
      <w:r w:rsidRPr="00444C58">
        <w:rPr>
          <w:rFonts w:ascii="Arial" w:hAnsi="Arial" w:cs="Arial"/>
        </w:rPr>
        <w:t>, November 2014, pp. 1–2</w:t>
      </w:r>
      <w:r>
        <w:rPr>
          <w:rFonts w:ascii="Arial" w:hAnsi="Arial" w:cs="Arial"/>
        </w:rPr>
        <w:t xml:space="preserve">; </w:t>
      </w:r>
      <w:proofErr w:type="spellStart"/>
      <w:r>
        <w:rPr>
          <w:rFonts w:ascii="Arial" w:hAnsi="Arial" w:cs="Arial"/>
        </w:rPr>
        <w:t>Jemena</w:t>
      </w:r>
      <w:proofErr w:type="spellEnd"/>
      <w:r>
        <w:rPr>
          <w:rFonts w:ascii="Arial" w:hAnsi="Arial" w:cs="Arial"/>
        </w:rPr>
        <w:t xml:space="preserve">, </w:t>
      </w:r>
      <w:r w:rsidRPr="00BA36BF">
        <w:rPr>
          <w:rFonts w:ascii="Arial" w:hAnsi="Arial" w:cs="Arial"/>
          <w:i/>
        </w:rPr>
        <w:t>Submissions on PTRM</w:t>
      </w:r>
      <w:r>
        <w:rPr>
          <w:rFonts w:ascii="Arial" w:hAnsi="Arial" w:cs="Arial"/>
        </w:rPr>
        <w:t xml:space="preserve">s, November 2014, Appendix 1, pp. 2–3; and SAPN, </w:t>
      </w:r>
      <w:r w:rsidRPr="00291F53">
        <w:rPr>
          <w:rFonts w:ascii="Arial" w:hAnsi="Arial" w:cs="Arial"/>
          <w:i/>
        </w:rPr>
        <w:t>Submission on PTRMs</w:t>
      </w:r>
      <w:r>
        <w:rPr>
          <w:rFonts w:ascii="Arial" w:hAnsi="Arial" w:cs="Arial"/>
        </w:rPr>
        <w:t>, November 2014, pp. 1–2.</w:t>
      </w:r>
    </w:p>
  </w:footnote>
  <w:footnote w:id="53">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This is one of the two approaches suggested by NERA as part of the submission by United Energy</w:t>
      </w:r>
      <w:r w:rsidR="00666427">
        <w:rPr>
          <w:rFonts w:ascii="Arial" w:hAnsi="Arial" w:cs="Arial"/>
        </w:rPr>
        <w:t>/</w:t>
      </w:r>
      <w:proofErr w:type="spellStart"/>
      <w:r w:rsidRPr="009F29C6">
        <w:rPr>
          <w:rFonts w:ascii="Arial" w:hAnsi="Arial" w:cs="Arial"/>
        </w:rPr>
        <w:t>Mul</w:t>
      </w:r>
      <w:r>
        <w:rPr>
          <w:rFonts w:ascii="Arial" w:hAnsi="Arial" w:cs="Arial"/>
        </w:rPr>
        <w:t>t</w:t>
      </w:r>
      <w:r w:rsidRPr="009F29C6">
        <w:rPr>
          <w:rFonts w:ascii="Arial" w:hAnsi="Arial" w:cs="Arial"/>
        </w:rPr>
        <w:t>inet</w:t>
      </w:r>
      <w:proofErr w:type="spellEnd"/>
      <w:r w:rsidRPr="009F29C6">
        <w:rPr>
          <w:rFonts w:ascii="Arial" w:hAnsi="Arial" w:cs="Arial"/>
        </w:rPr>
        <w:t xml:space="preserve"> Gas.</w:t>
      </w:r>
    </w:p>
  </w:footnote>
  <w:footnote w:id="54">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That is, whether the revenue adjustment should be treated as taxable income and (separately) if it should be treated as a tax expense.</w:t>
      </w:r>
    </w:p>
  </w:footnote>
  <w:footnote w:id="55">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For example, see Networks NSW, </w:t>
      </w:r>
      <w:r w:rsidRPr="009F29C6">
        <w:rPr>
          <w:rFonts w:ascii="Arial" w:hAnsi="Arial" w:cs="Arial"/>
          <w:i/>
        </w:rPr>
        <w:t>Submission on Distribution PTRM,</w:t>
      </w:r>
      <w:r w:rsidRPr="009F29C6">
        <w:rPr>
          <w:rFonts w:ascii="Arial" w:hAnsi="Arial" w:cs="Arial"/>
        </w:rPr>
        <w:t xml:space="preserve"> November 2014, Attachment 1, pp. 1–2; United Energy, </w:t>
      </w:r>
      <w:r w:rsidRPr="009F29C6">
        <w:rPr>
          <w:rFonts w:ascii="Arial" w:hAnsi="Arial" w:cs="Arial"/>
          <w:i/>
        </w:rPr>
        <w:t>Submission on PTRM</w:t>
      </w:r>
      <w:r>
        <w:rPr>
          <w:rFonts w:ascii="Arial" w:hAnsi="Arial" w:cs="Arial"/>
          <w:i/>
        </w:rPr>
        <w:t>s</w:t>
      </w:r>
      <w:r w:rsidRPr="009F29C6">
        <w:rPr>
          <w:rFonts w:ascii="Arial" w:hAnsi="Arial" w:cs="Arial"/>
        </w:rPr>
        <w:t>, November 2014, p. 4.</w:t>
      </w:r>
    </w:p>
  </w:footnote>
  <w:footnote w:id="56">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The PTRM templates include sample revenue adjustments line items, which should be treated as basic examples of the type of revenue adjustments (and tax treatments) that might be included. The examples should not be read as indicating the AER’s position on the tax implications of these particular revenue adjustments.</w:t>
      </w:r>
    </w:p>
  </w:footnote>
  <w:footnote w:id="57">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AER, </w:t>
      </w:r>
      <w:r w:rsidRPr="009F29C6">
        <w:rPr>
          <w:rFonts w:ascii="Arial" w:hAnsi="Arial" w:cs="Arial"/>
          <w:i/>
        </w:rPr>
        <w:t>Explanatory Statement</w:t>
      </w:r>
      <w:r>
        <w:rPr>
          <w:rFonts w:ascii="Arial" w:hAnsi="Arial" w:cs="Arial"/>
          <w:i/>
        </w:rPr>
        <w:t>,</w:t>
      </w:r>
      <w:r w:rsidRPr="009F29C6">
        <w:rPr>
          <w:rFonts w:ascii="Arial" w:hAnsi="Arial" w:cs="Arial"/>
          <w:i/>
        </w:rPr>
        <w:t xml:space="preserve"> Proposed amend</w:t>
      </w:r>
      <w:r>
        <w:rPr>
          <w:rFonts w:ascii="Arial" w:hAnsi="Arial" w:cs="Arial"/>
          <w:i/>
        </w:rPr>
        <w:t>ed PTRMs</w:t>
      </w:r>
      <w:r w:rsidRPr="009F29C6">
        <w:rPr>
          <w:rFonts w:ascii="Arial" w:hAnsi="Arial" w:cs="Arial"/>
        </w:rPr>
        <w:t>, October 2014, p. 15.</w:t>
      </w:r>
    </w:p>
  </w:footnote>
  <w:footnote w:id="58">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United Energy, </w:t>
      </w:r>
      <w:r w:rsidRPr="009F29C6">
        <w:rPr>
          <w:rFonts w:ascii="Arial" w:hAnsi="Arial" w:cs="Arial"/>
          <w:i/>
        </w:rPr>
        <w:t>Submission on PTRM</w:t>
      </w:r>
      <w:r>
        <w:rPr>
          <w:rFonts w:ascii="Arial" w:hAnsi="Arial" w:cs="Arial"/>
          <w:i/>
        </w:rPr>
        <w:t>s</w:t>
      </w:r>
      <w:r w:rsidRPr="009F29C6">
        <w:rPr>
          <w:rFonts w:ascii="Arial" w:hAnsi="Arial" w:cs="Arial"/>
        </w:rPr>
        <w:t xml:space="preserve">, 17 November 2014, </w:t>
      </w:r>
      <w:proofErr w:type="gramStart"/>
      <w:r w:rsidRPr="009F29C6">
        <w:rPr>
          <w:rFonts w:ascii="Arial" w:hAnsi="Arial" w:cs="Arial"/>
        </w:rPr>
        <w:t>attachment</w:t>
      </w:r>
      <w:proofErr w:type="gramEnd"/>
      <w:r>
        <w:rPr>
          <w:rFonts w:ascii="Arial" w:hAnsi="Arial" w:cs="Arial"/>
        </w:rPr>
        <w:t>.</w:t>
      </w:r>
    </w:p>
  </w:footnote>
  <w:footnote w:id="59">
    <w:p w:rsidR="00190CA4" w:rsidRPr="007754CA" w:rsidRDefault="00190CA4">
      <w:pPr>
        <w:pStyle w:val="FootnoteText"/>
        <w:rPr>
          <w:rFonts w:ascii="Arial" w:hAnsi="Arial" w:cs="Arial"/>
        </w:rPr>
      </w:pPr>
      <w:r w:rsidRPr="007754CA">
        <w:rPr>
          <w:rStyle w:val="FootnoteReference"/>
          <w:rFonts w:ascii="Arial" w:hAnsi="Arial" w:cs="Arial"/>
        </w:rPr>
        <w:footnoteRef/>
      </w:r>
      <w:r w:rsidRPr="007754CA">
        <w:rPr>
          <w:rFonts w:ascii="Arial" w:hAnsi="Arial" w:cs="Arial"/>
        </w:rPr>
        <w:t xml:space="preserve"> </w:t>
      </w:r>
      <w:r w:rsidRPr="007754CA">
        <w:rPr>
          <w:rFonts w:ascii="Arial" w:hAnsi="Arial" w:cs="Arial"/>
        </w:rPr>
        <w:tab/>
        <w:t xml:space="preserve">ENA, </w:t>
      </w:r>
      <w:r w:rsidRPr="007754CA">
        <w:rPr>
          <w:rFonts w:ascii="Arial" w:hAnsi="Arial" w:cs="Arial"/>
          <w:i/>
        </w:rPr>
        <w:t>Submission on PTRMs</w:t>
      </w:r>
      <w:r>
        <w:rPr>
          <w:rFonts w:ascii="Arial" w:hAnsi="Arial" w:cs="Arial"/>
        </w:rPr>
        <w:t>, November 2014, p. 3.</w:t>
      </w:r>
    </w:p>
  </w:footnote>
  <w:footnote w:id="60">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Networks NSW, </w:t>
      </w:r>
      <w:r w:rsidRPr="009F29C6">
        <w:rPr>
          <w:rFonts w:ascii="Arial" w:hAnsi="Arial" w:cs="Arial"/>
          <w:i/>
        </w:rPr>
        <w:t>Submission on Distribution PTRM,</w:t>
      </w:r>
      <w:r w:rsidRPr="009F29C6">
        <w:rPr>
          <w:rFonts w:ascii="Arial" w:hAnsi="Arial" w:cs="Arial"/>
        </w:rPr>
        <w:t xml:space="preserve"> November 2014, Attachment 1, p. 3–4.</w:t>
      </w:r>
    </w:p>
  </w:footnote>
  <w:footnote w:id="61">
    <w:p w:rsidR="00190CA4" w:rsidRPr="009F29C6" w:rsidRDefault="00190CA4" w:rsidP="00200416">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r>
      <w:proofErr w:type="spellStart"/>
      <w:r>
        <w:rPr>
          <w:rFonts w:ascii="Arial" w:hAnsi="Arial" w:cs="Arial"/>
        </w:rPr>
        <w:t>Ausnet</w:t>
      </w:r>
      <w:proofErr w:type="spellEnd"/>
      <w:r>
        <w:rPr>
          <w:rFonts w:ascii="Arial" w:hAnsi="Arial" w:cs="Arial"/>
        </w:rPr>
        <w:t xml:space="preserve">, </w:t>
      </w:r>
      <w:r w:rsidRPr="00BD49B9">
        <w:rPr>
          <w:rFonts w:ascii="Arial" w:hAnsi="Arial" w:cs="Arial"/>
          <w:i/>
        </w:rPr>
        <w:t>Submission on PTRMs</w:t>
      </w:r>
      <w:r>
        <w:rPr>
          <w:rFonts w:ascii="Arial" w:hAnsi="Arial" w:cs="Arial"/>
        </w:rPr>
        <w:t xml:space="preserve">, November 2014, p. 1; ENA, </w:t>
      </w:r>
      <w:r w:rsidRPr="007754CA">
        <w:rPr>
          <w:rFonts w:ascii="Arial" w:hAnsi="Arial" w:cs="Arial"/>
          <w:i/>
        </w:rPr>
        <w:t>Submission on PTRM</w:t>
      </w:r>
      <w:r>
        <w:rPr>
          <w:rFonts w:ascii="Arial" w:hAnsi="Arial" w:cs="Arial"/>
          <w:i/>
        </w:rPr>
        <w:t>s</w:t>
      </w:r>
      <w:r>
        <w:rPr>
          <w:rFonts w:ascii="Arial" w:hAnsi="Arial" w:cs="Arial"/>
        </w:rPr>
        <w:t xml:space="preserve">, November 2014, pp. 2–3; and </w:t>
      </w:r>
      <w:proofErr w:type="spellStart"/>
      <w:r>
        <w:rPr>
          <w:rFonts w:ascii="Arial" w:hAnsi="Arial" w:cs="Arial"/>
        </w:rPr>
        <w:t>Jemena</w:t>
      </w:r>
      <w:proofErr w:type="spellEnd"/>
      <w:r>
        <w:rPr>
          <w:rFonts w:ascii="Arial" w:hAnsi="Arial" w:cs="Arial"/>
        </w:rPr>
        <w:t xml:space="preserve">, </w:t>
      </w:r>
      <w:r w:rsidRPr="001F3256">
        <w:rPr>
          <w:rFonts w:ascii="Arial" w:hAnsi="Arial" w:cs="Arial"/>
          <w:i/>
        </w:rPr>
        <w:t>Submission on PTRMs</w:t>
      </w:r>
      <w:r>
        <w:rPr>
          <w:rFonts w:ascii="Arial" w:hAnsi="Arial" w:cs="Arial"/>
        </w:rPr>
        <w:t>, November 2014, Appendix 1, pp. 4–5.</w:t>
      </w:r>
    </w:p>
  </w:footnote>
  <w:footnote w:id="62">
    <w:p w:rsidR="00190CA4" w:rsidRPr="001F3256" w:rsidRDefault="00190CA4">
      <w:pPr>
        <w:pStyle w:val="FootnoteText"/>
        <w:rPr>
          <w:rFonts w:ascii="Arial" w:hAnsi="Arial" w:cs="Arial"/>
        </w:rPr>
      </w:pPr>
      <w:r w:rsidRPr="001F3256">
        <w:rPr>
          <w:rStyle w:val="FootnoteReference"/>
          <w:rFonts w:ascii="Arial" w:hAnsi="Arial" w:cs="Arial"/>
        </w:rPr>
        <w:footnoteRef/>
      </w:r>
      <w:r w:rsidRPr="001F3256">
        <w:rPr>
          <w:rFonts w:ascii="Arial" w:hAnsi="Arial" w:cs="Arial"/>
        </w:rPr>
        <w:t xml:space="preserve"> </w:t>
      </w:r>
      <w:r w:rsidRPr="001F3256">
        <w:rPr>
          <w:rFonts w:ascii="Arial" w:hAnsi="Arial" w:cs="Arial"/>
        </w:rPr>
        <w:tab/>
      </w:r>
      <w:proofErr w:type="gramStart"/>
      <w:r w:rsidRPr="001F3256">
        <w:rPr>
          <w:rFonts w:ascii="Arial" w:hAnsi="Arial" w:cs="Arial"/>
        </w:rPr>
        <w:t>United Energy</w:t>
      </w:r>
      <w:r>
        <w:rPr>
          <w:rFonts w:ascii="Arial" w:hAnsi="Arial" w:cs="Arial"/>
        </w:rPr>
        <w:t xml:space="preserve">, </w:t>
      </w:r>
      <w:r w:rsidRPr="00666427">
        <w:rPr>
          <w:rFonts w:ascii="Arial" w:hAnsi="Arial" w:cs="Arial"/>
          <w:i/>
        </w:rPr>
        <w:t>Submission on PTRMs</w:t>
      </w:r>
      <w:r>
        <w:rPr>
          <w:rFonts w:ascii="Arial" w:hAnsi="Arial" w:cs="Arial"/>
        </w:rPr>
        <w:t>, November 2014, p. 4.</w:t>
      </w:r>
      <w:proofErr w:type="gramEnd"/>
    </w:p>
  </w:footnote>
  <w:footnote w:id="63">
    <w:p w:rsidR="00190CA4" w:rsidRPr="00291F53" w:rsidRDefault="00190CA4">
      <w:pPr>
        <w:pStyle w:val="FootnoteText"/>
        <w:rPr>
          <w:rFonts w:ascii="Arial" w:hAnsi="Arial" w:cs="Arial"/>
        </w:rPr>
      </w:pPr>
      <w:r w:rsidRPr="00291F53">
        <w:rPr>
          <w:rStyle w:val="FootnoteReference"/>
          <w:rFonts w:ascii="Arial" w:hAnsi="Arial" w:cs="Arial"/>
        </w:rPr>
        <w:footnoteRef/>
      </w:r>
      <w:r w:rsidRPr="00291F53">
        <w:rPr>
          <w:rFonts w:ascii="Arial" w:hAnsi="Arial" w:cs="Arial"/>
        </w:rPr>
        <w:t xml:space="preserve"> </w:t>
      </w:r>
      <w:r w:rsidRPr="00291F53">
        <w:rPr>
          <w:rFonts w:ascii="Arial" w:hAnsi="Arial" w:cs="Arial"/>
        </w:rPr>
        <w:tab/>
        <w:t xml:space="preserve">These submissions are listed in </w:t>
      </w:r>
      <w:r>
        <w:rPr>
          <w:rFonts w:ascii="Arial" w:hAnsi="Arial" w:cs="Arial"/>
        </w:rPr>
        <w:t xml:space="preserve">a footnote in </w:t>
      </w:r>
      <w:r w:rsidRPr="00291F53">
        <w:rPr>
          <w:rFonts w:ascii="Arial" w:hAnsi="Arial" w:cs="Arial"/>
        </w:rPr>
        <w:t>section 4.1.</w:t>
      </w:r>
    </w:p>
  </w:footnote>
  <w:footnote w:id="64">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AER, </w:t>
      </w:r>
      <w:r w:rsidRPr="009F29C6">
        <w:rPr>
          <w:rFonts w:ascii="Arial" w:hAnsi="Arial" w:cs="Arial"/>
          <w:i/>
        </w:rPr>
        <w:t xml:space="preserve">Explanatory statement, </w:t>
      </w:r>
      <w:proofErr w:type="gramStart"/>
      <w:r w:rsidRPr="009F29C6">
        <w:rPr>
          <w:rFonts w:ascii="Arial" w:hAnsi="Arial" w:cs="Arial"/>
          <w:i/>
        </w:rPr>
        <w:t>Proposed</w:t>
      </w:r>
      <w:proofErr w:type="gramEnd"/>
      <w:r w:rsidRPr="009F29C6">
        <w:rPr>
          <w:rFonts w:ascii="Arial" w:hAnsi="Arial" w:cs="Arial"/>
          <w:i/>
        </w:rPr>
        <w:t xml:space="preserve"> amend</w:t>
      </w:r>
      <w:r>
        <w:rPr>
          <w:rFonts w:ascii="Arial" w:hAnsi="Arial" w:cs="Arial"/>
          <w:i/>
        </w:rPr>
        <w:t xml:space="preserve">ed PTRMs, </w:t>
      </w:r>
      <w:r w:rsidRPr="009F29C6">
        <w:rPr>
          <w:rFonts w:ascii="Arial" w:hAnsi="Arial" w:cs="Arial"/>
        </w:rPr>
        <w:t>October 2014, pp. 17, 19.</w:t>
      </w:r>
    </w:p>
  </w:footnote>
  <w:footnote w:id="65">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The legislative requirement is that the net present value of the smoothed and unsmoothed total revenue streams are equal, as set out in NER, clauses 6.5.9(3), 6A.5.3(c) and 6A.6.8(c). There is an equivalent provision in rule 92(2) of the NGR.</w:t>
      </w:r>
    </w:p>
  </w:footnote>
  <w:footnote w:id="66">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The vanilla WACC is considered a reasonable proxy for the opportunity cost of funds despite it not being purely post-tax.</w:t>
      </w:r>
    </w:p>
  </w:footnote>
  <w:footnote w:id="67">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By incremental revenues, we mean the difference between the smoothed and unsmoothed revenues for a particular year. It is assumed the costs are paid consistent with the timing of the unsmoothed revenues. Therefore if smoothed revenues are received that are greater than the unsmoothed revenues, the incremental revenues can be invested in alternative investments in the meantime.</w:t>
      </w:r>
    </w:p>
  </w:footnote>
  <w:footnote w:id="68">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For example, if the service provider received $100 in incremental revenues in year 1. In year 2, the service provider would only have to return the $100 plus the post-tax returns earned on this investment. To deduct from year 2 revenues also the tax on that alternative investment would be double taxing. That is, the government collects the tax on the returns earned on the $100 investment in year 1 and then the regulator takes it again if the pre-tax returns are deducted from revenues in year 2.</w:t>
      </w:r>
    </w:p>
  </w:footnote>
  <w:footnote w:id="69">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The Energex and </w:t>
      </w:r>
      <w:proofErr w:type="spellStart"/>
      <w:r w:rsidRPr="009F29C6">
        <w:rPr>
          <w:rFonts w:ascii="Arial" w:hAnsi="Arial" w:cs="Arial"/>
        </w:rPr>
        <w:t>Jemena</w:t>
      </w:r>
      <w:proofErr w:type="spellEnd"/>
      <w:r w:rsidRPr="009F29C6">
        <w:rPr>
          <w:rFonts w:ascii="Arial" w:hAnsi="Arial" w:cs="Arial"/>
        </w:rPr>
        <w:t xml:space="preserve"> submissions appear to directly equate total revenue with operating income (earnings before interest and tax). </w:t>
      </w:r>
      <w:proofErr w:type="spellStart"/>
      <w:r w:rsidRPr="009F29C6">
        <w:rPr>
          <w:rFonts w:ascii="Arial" w:hAnsi="Arial" w:cs="Arial"/>
        </w:rPr>
        <w:t>Jemena’s</w:t>
      </w:r>
      <w:proofErr w:type="spellEnd"/>
      <w:r w:rsidRPr="009F29C6">
        <w:rPr>
          <w:rFonts w:ascii="Arial" w:hAnsi="Arial" w:cs="Arial"/>
        </w:rPr>
        <w:t xml:space="preserve"> submission correctly noted that under the Officer (1994) framework used by the AER, either operating income (not total revenue) is discounted using a pre-tax WACC, or after-tax income is discounted using a post-tax WACC. See </w:t>
      </w:r>
      <w:proofErr w:type="spellStart"/>
      <w:r w:rsidRPr="009F29C6">
        <w:rPr>
          <w:rFonts w:ascii="Arial" w:hAnsi="Arial" w:cs="Arial"/>
        </w:rPr>
        <w:t>Jemena</w:t>
      </w:r>
      <w:proofErr w:type="spellEnd"/>
      <w:r>
        <w:rPr>
          <w:rFonts w:ascii="Arial" w:hAnsi="Arial" w:cs="Arial"/>
        </w:rPr>
        <w:t>,</w:t>
      </w:r>
      <w:r w:rsidRPr="009F29C6">
        <w:rPr>
          <w:rFonts w:ascii="Arial" w:hAnsi="Arial" w:cs="Arial"/>
        </w:rPr>
        <w:t xml:space="preserve"> </w:t>
      </w:r>
      <w:r>
        <w:rPr>
          <w:rFonts w:ascii="Arial" w:hAnsi="Arial" w:cs="Arial"/>
          <w:i/>
        </w:rPr>
        <w:t>S</w:t>
      </w:r>
      <w:r w:rsidRPr="009F29C6">
        <w:rPr>
          <w:rFonts w:ascii="Arial" w:hAnsi="Arial" w:cs="Arial"/>
          <w:i/>
        </w:rPr>
        <w:t>ubmission</w:t>
      </w:r>
      <w:r>
        <w:rPr>
          <w:rFonts w:ascii="Arial" w:hAnsi="Arial" w:cs="Arial"/>
          <w:i/>
        </w:rPr>
        <w:t xml:space="preserve"> on PTRMs, </w:t>
      </w:r>
      <w:r w:rsidRPr="009F29C6">
        <w:rPr>
          <w:rFonts w:ascii="Arial" w:hAnsi="Arial" w:cs="Arial"/>
        </w:rPr>
        <w:t>November 2014, Appendix 1, p. 6; Energex</w:t>
      </w:r>
      <w:r w:rsidRPr="009F29C6">
        <w:rPr>
          <w:rFonts w:ascii="Arial" w:hAnsi="Arial" w:cs="Arial"/>
          <w:i/>
        </w:rPr>
        <w:t xml:space="preserve">, </w:t>
      </w:r>
      <w:r>
        <w:rPr>
          <w:rFonts w:ascii="Arial" w:hAnsi="Arial" w:cs="Arial"/>
          <w:i/>
        </w:rPr>
        <w:t>Submission</w:t>
      </w:r>
      <w:r w:rsidRPr="009F29C6">
        <w:rPr>
          <w:rFonts w:ascii="Arial" w:hAnsi="Arial" w:cs="Arial"/>
          <w:i/>
        </w:rPr>
        <w:t xml:space="preserve"> </w:t>
      </w:r>
      <w:r>
        <w:rPr>
          <w:rFonts w:ascii="Arial" w:hAnsi="Arial" w:cs="Arial"/>
          <w:i/>
        </w:rPr>
        <w:t>on PTRMs</w:t>
      </w:r>
      <w:r w:rsidRPr="009F29C6">
        <w:rPr>
          <w:rFonts w:ascii="Arial" w:hAnsi="Arial" w:cs="Arial"/>
        </w:rPr>
        <w:t xml:space="preserve">, November 2014, pp. 1–2; and R. Officer, ‘The cost of capital of a company under an imputation tax system’, </w:t>
      </w:r>
      <w:r w:rsidRPr="009F29C6">
        <w:rPr>
          <w:rFonts w:ascii="Arial" w:hAnsi="Arial" w:cs="Arial"/>
          <w:i/>
        </w:rPr>
        <w:t>Accounting and Finance</w:t>
      </w:r>
      <w:r w:rsidRPr="009F29C6">
        <w:rPr>
          <w:rFonts w:ascii="Arial" w:hAnsi="Arial" w:cs="Arial"/>
        </w:rPr>
        <w:t>, 1994, vol. 34(1), pp. 1–17.</w:t>
      </w:r>
    </w:p>
  </w:footnote>
  <w:footnote w:id="70">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The proposed PTRM undertakes this conversion (for display purposes only) using the relevant Officer formula. While this is the best available approach, it is only an approximation. Under the Officer (1994) framework this conversion is accurate (not an approximation) because the framework assumes the use of perpetuities and that the effective tax rate is known.</w:t>
      </w:r>
    </w:p>
  </w:footnote>
  <w:footnote w:id="71">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 xml:space="preserve">W. </w:t>
      </w:r>
      <w:proofErr w:type="spellStart"/>
      <w:r w:rsidRPr="009F29C6">
        <w:rPr>
          <w:rFonts w:ascii="Arial" w:hAnsi="Arial" w:cs="Arial"/>
        </w:rPr>
        <w:t>Lonergan</w:t>
      </w:r>
      <w:proofErr w:type="spellEnd"/>
      <w:r w:rsidRPr="009F29C6">
        <w:rPr>
          <w:rFonts w:ascii="Arial" w:hAnsi="Arial" w:cs="Arial"/>
        </w:rPr>
        <w:t xml:space="preserve">, ‘Pre and </w:t>
      </w:r>
      <w:proofErr w:type="spellStart"/>
      <w:r w:rsidRPr="009F29C6">
        <w:rPr>
          <w:rFonts w:ascii="Arial" w:hAnsi="Arial" w:cs="Arial"/>
        </w:rPr>
        <w:t>post tax</w:t>
      </w:r>
      <w:proofErr w:type="spellEnd"/>
      <w:r w:rsidRPr="009F29C6">
        <w:rPr>
          <w:rFonts w:ascii="Arial" w:hAnsi="Arial" w:cs="Arial"/>
        </w:rPr>
        <w:t xml:space="preserve"> discount rates and cash flows – A technical note’</w:t>
      </w:r>
      <w:r w:rsidRPr="009F29C6">
        <w:rPr>
          <w:rFonts w:ascii="Arial" w:hAnsi="Arial" w:cs="Arial"/>
          <w:i/>
        </w:rPr>
        <w:t>, The Journal of Applied Research in Accounting and Finance</w:t>
      </w:r>
      <w:r w:rsidRPr="009F29C6">
        <w:rPr>
          <w:rFonts w:ascii="Arial" w:hAnsi="Arial" w:cs="Arial"/>
        </w:rPr>
        <w:t xml:space="preserve">, 2009, vol. 4(1), pp. 41–45. See also two response articles including K. Davis, ‘Why </w:t>
      </w:r>
      <w:proofErr w:type="spellStart"/>
      <w:r w:rsidRPr="009F29C6">
        <w:rPr>
          <w:rFonts w:ascii="Arial" w:hAnsi="Arial" w:cs="Arial"/>
        </w:rPr>
        <w:t>pre tax</w:t>
      </w:r>
      <w:proofErr w:type="spellEnd"/>
      <w:r w:rsidRPr="009F29C6">
        <w:rPr>
          <w:rFonts w:ascii="Arial" w:hAnsi="Arial" w:cs="Arial"/>
        </w:rPr>
        <w:t xml:space="preserve"> discount rates should be avoided’, </w:t>
      </w:r>
      <w:r w:rsidRPr="009F29C6">
        <w:rPr>
          <w:rFonts w:ascii="Arial" w:hAnsi="Arial" w:cs="Arial"/>
          <w:i/>
        </w:rPr>
        <w:t>The Journal of Applied Research in Accounting and Finance</w:t>
      </w:r>
      <w:r w:rsidRPr="009F29C6">
        <w:rPr>
          <w:rFonts w:ascii="Arial" w:hAnsi="Arial" w:cs="Arial"/>
        </w:rPr>
        <w:t xml:space="preserve">, 2010, vol. 5(2), pp. 2–5; and M. Dempsey, M. McKenzie and G. </w:t>
      </w:r>
      <w:proofErr w:type="spellStart"/>
      <w:r w:rsidRPr="009F29C6">
        <w:rPr>
          <w:rFonts w:ascii="Arial" w:hAnsi="Arial" w:cs="Arial"/>
        </w:rPr>
        <w:t>Partington</w:t>
      </w:r>
      <w:proofErr w:type="spellEnd"/>
      <w:r w:rsidRPr="009F29C6">
        <w:rPr>
          <w:rFonts w:ascii="Arial" w:hAnsi="Arial" w:cs="Arial"/>
        </w:rPr>
        <w:t xml:space="preserve">, ‘The problem of pre-tax valuations: A note’, </w:t>
      </w:r>
      <w:r w:rsidRPr="009F29C6">
        <w:rPr>
          <w:rFonts w:ascii="Arial" w:hAnsi="Arial" w:cs="Arial"/>
          <w:i/>
        </w:rPr>
        <w:t>The Journal of Applied Research in Accounting and Finance</w:t>
      </w:r>
      <w:r w:rsidRPr="009F29C6">
        <w:rPr>
          <w:rFonts w:ascii="Arial" w:hAnsi="Arial" w:cs="Arial"/>
        </w:rPr>
        <w:t>, 2010, vol. 5(2), pp. 10–13.</w:t>
      </w:r>
    </w:p>
  </w:footnote>
  <w:footnote w:id="72">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The financial theory cited above all assumes the post-tax WACC is constant.</w:t>
      </w:r>
    </w:p>
  </w:footnote>
  <w:footnote w:id="73">
    <w:p w:rsidR="00190CA4" w:rsidRPr="00BD49B9" w:rsidRDefault="00190CA4">
      <w:pPr>
        <w:pStyle w:val="FootnoteText"/>
        <w:rPr>
          <w:rFonts w:ascii="Arial" w:hAnsi="Arial" w:cs="Arial"/>
        </w:rPr>
      </w:pPr>
      <w:r w:rsidRPr="00BD49B9">
        <w:rPr>
          <w:rStyle w:val="FootnoteReference"/>
          <w:rFonts w:ascii="Arial" w:hAnsi="Arial" w:cs="Arial"/>
        </w:rPr>
        <w:footnoteRef/>
      </w:r>
      <w:r w:rsidRPr="00BD49B9">
        <w:rPr>
          <w:rFonts w:ascii="Arial" w:hAnsi="Arial" w:cs="Arial"/>
        </w:rPr>
        <w:t xml:space="preserve"> </w:t>
      </w:r>
      <w:r w:rsidRPr="00BD49B9">
        <w:rPr>
          <w:rFonts w:ascii="Arial" w:hAnsi="Arial" w:cs="Arial"/>
        </w:rPr>
        <w:tab/>
        <w:t>This</w:t>
      </w:r>
      <w:r>
        <w:rPr>
          <w:rFonts w:ascii="Arial" w:hAnsi="Arial" w:cs="Arial"/>
        </w:rPr>
        <w:t xml:space="preserve"> immateriality </w:t>
      </w:r>
      <w:r w:rsidRPr="00BD49B9">
        <w:rPr>
          <w:rFonts w:ascii="Arial" w:hAnsi="Arial" w:cs="Arial"/>
        </w:rPr>
        <w:t>was noted</w:t>
      </w:r>
      <w:r>
        <w:rPr>
          <w:rFonts w:ascii="Arial" w:hAnsi="Arial" w:cs="Arial"/>
        </w:rPr>
        <w:t xml:space="preserve"> in </w:t>
      </w:r>
      <w:r w:rsidRPr="00BD49B9">
        <w:rPr>
          <w:rFonts w:ascii="Arial" w:hAnsi="Arial" w:cs="Arial"/>
        </w:rPr>
        <w:t xml:space="preserve">Energex, </w:t>
      </w:r>
      <w:r w:rsidRPr="00BD49B9">
        <w:rPr>
          <w:rFonts w:ascii="Arial" w:hAnsi="Arial" w:cs="Arial"/>
          <w:i/>
        </w:rPr>
        <w:t>Submission on PTRMs</w:t>
      </w:r>
      <w:r w:rsidRPr="00BD49B9">
        <w:rPr>
          <w:rFonts w:ascii="Arial" w:hAnsi="Arial" w:cs="Arial"/>
        </w:rPr>
        <w:t xml:space="preserve">, November 2014, </w:t>
      </w:r>
      <w:proofErr w:type="gramStart"/>
      <w:r w:rsidRPr="00BD49B9">
        <w:rPr>
          <w:rFonts w:ascii="Arial" w:hAnsi="Arial" w:cs="Arial"/>
        </w:rPr>
        <w:t>p</w:t>
      </w:r>
      <w:proofErr w:type="gramEnd"/>
      <w:r w:rsidRPr="00BD49B9">
        <w:rPr>
          <w:rFonts w:ascii="Arial" w:hAnsi="Arial" w:cs="Arial"/>
        </w:rPr>
        <w:t>. 2.</w:t>
      </w:r>
    </w:p>
  </w:footnote>
  <w:footnote w:id="74">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The ‘extreme circumstances’ considered here are the latest round of draft decisions for NSW and ACT electricity networks, where as a result of the 2014–15 transitional decision there was substantial over-recovery at the start of the regulatory control period (and therefore substantial under-recovery at the end of the period).</w:t>
      </w:r>
    </w:p>
  </w:footnote>
  <w:footnote w:id="75">
    <w:p w:rsidR="00190CA4" w:rsidRPr="009F29C6" w:rsidRDefault="00190CA4">
      <w:pPr>
        <w:pStyle w:val="FootnoteText"/>
        <w:rPr>
          <w:rFonts w:ascii="Arial" w:hAnsi="Arial" w:cs="Arial"/>
        </w:rPr>
      </w:pPr>
      <w:r w:rsidRPr="009F29C6">
        <w:rPr>
          <w:rStyle w:val="FootnoteReference"/>
          <w:rFonts w:ascii="Arial" w:hAnsi="Arial" w:cs="Arial"/>
        </w:rPr>
        <w:footnoteRef/>
      </w:r>
      <w:r w:rsidRPr="009F29C6">
        <w:rPr>
          <w:rFonts w:ascii="Arial" w:hAnsi="Arial" w:cs="Arial"/>
        </w:rPr>
        <w:t xml:space="preserve"> </w:t>
      </w:r>
      <w:r w:rsidRPr="009F29C6">
        <w:rPr>
          <w:rFonts w:ascii="Arial" w:hAnsi="Arial" w:cs="Arial"/>
        </w:rPr>
        <w:tab/>
        <w:t>If smoothed revenue is more 'front-ended' than unsmoothed revenue (that is, over-recovers in early years of the regulatory control period and under-recovers in later years), then increasing the discount rate (moving from vanilla to pre-tax) decreases the smoothed revenue requirement overall. Conversely, if smoothed revenue is 'back-ended' relative to unsmoothed revenue (that is, under-recovers in early years and then over-recovers in later years), then increasing the discount rate increases the smoothed revenue requirement overall.</w:t>
      </w:r>
    </w:p>
  </w:footnote>
  <w:footnote w:id="76">
    <w:p w:rsidR="00190CA4" w:rsidRDefault="00190CA4">
      <w:pPr>
        <w:pStyle w:val="FootnoteText"/>
      </w:pPr>
      <w:r>
        <w:rPr>
          <w:rStyle w:val="FootnoteReference"/>
        </w:rPr>
        <w:footnoteRef/>
      </w:r>
      <w:r>
        <w:t xml:space="preserve"> </w:t>
      </w:r>
      <w:r>
        <w:tab/>
      </w:r>
      <w:r w:rsidRPr="00402679">
        <w:rPr>
          <w:rFonts w:ascii="Arial" w:hAnsi="Arial" w:cs="Arial"/>
        </w:rPr>
        <w:t xml:space="preserve">ENA, </w:t>
      </w:r>
      <w:r w:rsidRPr="007754CA">
        <w:rPr>
          <w:rFonts w:ascii="Arial" w:hAnsi="Arial" w:cs="Arial"/>
          <w:i/>
        </w:rPr>
        <w:t>Submission on PTRMs</w:t>
      </w:r>
      <w:r>
        <w:rPr>
          <w:rFonts w:ascii="Arial" w:hAnsi="Arial" w:cs="Arial"/>
        </w:rPr>
        <w:t>, November 2014,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00B3749"/>
    <w:multiLevelType w:val="hybridMultilevel"/>
    <w:tmpl w:val="652A6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B612CC"/>
    <w:multiLevelType w:val="multilevel"/>
    <w:tmpl w:val="6C3CD5A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4F49178"/>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499"/>
        </w:tabs>
        <w:ind w:left="499"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5"/>
  </w:num>
  <w:num w:numId="3">
    <w:abstractNumId w:val="3"/>
  </w:num>
  <w:num w:numId="4">
    <w:abstractNumId w:val="7"/>
  </w:num>
  <w:num w:numId="5">
    <w:abstractNumId w:val="0"/>
  </w:num>
  <w:num w:numId="6">
    <w:abstractNumId w:val="6"/>
    <w:lvlOverride w:ilvl="0">
      <w:lvl w:ilvl="0">
        <w:start w:val="1"/>
        <w:numFmt w:val="none"/>
        <w:pStyle w:val="AERbodytext"/>
        <w:lvlText w:val="%1"/>
        <w:lvlJc w:val="left"/>
        <w:pPr>
          <w:tabs>
            <w:tab w:val="num" w:pos="0"/>
          </w:tabs>
          <w:ind w:left="0" w:firstLine="0"/>
        </w:pPr>
        <w:rPr>
          <w:rFonts w:hint="default"/>
        </w:rPr>
      </w:lvl>
    </w:lvlOverride>
  </w:num>
  <w:num w:numId="7">
    <w:abstractNumId w:val="4"/>
  </w:num>
  <w:num w:numId="8">
    <w:abstractNumId w:val="2"/>
  </w:num>
  <w:num w:numId="9">
    <w:abstractNumId w:val="6"/>
  </w:num>
  <w:num w:numId="10">
    <w:abstractNumId w:val="2"/>
  </w:num>
  <w:num w:numId="11">
    <w:abstractNumId w:val="6"/>
    <w:lvlOverride w:ilvl="0">
      <w:lvl w:ilvl="0">
        <w:start w:val="1"/>
        <w:numFmt w:val="none"/>
        <w:pStyle w:val="AERbodytext"/>
        <w:lvlText w:val="%1"/>
        <w:lvlJc w:val="left"/>
        <w:pPr>
          <w:tabs>
            <w:tab w:val="num" w:pos="0"/>
          </w:tabs>
          <w:ind w:left="0" w:firstLine="0"/>
        </w:pPr>
        <w:rPr>
          <w:rFonts w:hint="default"/>
        </w:rPr>
      </w:lvl>
    </w:lvlOverride>
  </w:num>
  <w:num w:numId="12">
    <w:abstractNumId w:val="1"/>
  </w:num>
  <w:num w:numId="13">
    <w:abstractNumId w:val="5"/>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30401">
      <o:colormru v:ext="edit" colors="silver,#ddd"/>
    </o:shapedefaults>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180\D14 128830  Explanatory statement - proposed amendments to the transmission and distribution PTRMs - post board for release.DOCX"/>
  </w:docVars>
  <w:rsids>
    <w:rsidRoot w:val="000C052F"/>
    <w:rsid w:val="00000702"/>
    <w:rsid w:val="00000FBB"/>
    <w:rsid w:val="0000147B"/>
    <w:rsid w:val="0000257E"/>
    <w:rsid w:val="00002B65"/>
    <w:rsid w:val="00003188"/>
    <w:rsid w:val="00003434"/>
    <w:rsid w:val="00003849"/>
    <w:rsid w:val="00003B01"/>
    <w:rsid w:val="000042F6"/>
    <w:rsid w:val="000045C3"/>
    <w:rsid w:val="00004F2A"/>
    <w:rsid w:val="00005DBA"/>
    <w:rsid w:val="000061AF"/>
    <w:rsid w:val="00006CC4"/>
    <w:rsid w:val="000105B6"/>
    <w:rsid w:val="00010680"/>
    <w:rsid w:val="000109A9"/>
    <w:rsid w:val="00011129"/>
    <w:rsid w:val="0001161D"/>
    <w:rsid w:val="00011EFE"/>
    <w:rsid w:val="00012401"/>
    <w:rsid w:val="00012880"/>
    <w:rsid w:val="00012CD3"/>
    <w:rsid w:val="00013022"/>
    <w:rsid w:val="000131E1"/>
    <w:rsid w:val="00013950"/>
    <w:rsid w:val="000146C6"/>
    <w:rsid w:val="00015F8C"/>
    <w:rsid w:val="0001633E"/>
    <w:rsid w:val="00016C3F"/>
    <w:rsid w:val="00017813"/>
    <w:rsid w:val="00017E54"/>
    <w:rsid w:val="0002175A"/>
    <w:rsid w:val="00021E47"/>
    <w:rsid w:val="00022606"/>
    <w:rsid w:val="000232E0"/>
    <w:rsid w:val="00023674"/>
    <w:rsid w:val="0002443A"/>
    <w:rsid w:val="00024902"/>
    <w:rsid w:val="00024DB0"/>
    <w:rsid w:val="00025152"/>
    <w:rsid w:val="00025CFC"/>
    <w:rsid w:val="00026BBB"/>
    <w:rsid w:val="00027666"/>
    <w:rsid w:val="00027908"/>
    <w:rsid w:val="00030066"/>
    <w:rsid w:val="000313A0"/>
    <w:rsid w:val="00031B91"/>
    <w:rsid w:val="00031D8C"/>
    <w:rsid w:val="0003213B"/>
    <w:rsid w:val="00033BFF"/>
    <w:rsid w:val="00034A30"/>
    <w:rsid w:val="00034D1A"/>
    <w:rsid w:val="000359C0"/>
    <w:rsid w:val="00035D89"/>
    <w:rsid w:val="00036E33"/>
    <w:rsid w:val="00040498"/>
    <w:rsid w:val="00040599"/>
    <w:rsid w:val="00040749"/>
    <w:rsid w:val="00040DDE"/>
    <w:rsid w:val="0004176A"/>
    <w:rsid w:val="000428EE"/>
    <w:rsid w:val="00042B1E"/>
    <w:rsid w:val="00044BDE"/>
    <w:rsid w:val="00045878"/>
    <w:rsid w:val="00045E0A"/>
    <w:rsid w:val="00046402"/>
    <w:rsid w:val="000464A0"/>
    <w:rsid w:val="0004760F"/>
    <w:rsid w:val="00047802"/>
    <w:rsid w:val="0004794B"/>
    <w:rsid w:val="00047C1F"/>
    <w:rsid w:val="00050A09"/>
    <w:rsid w:val="00050F47"/>
    <w:rsid w:val="00050FB6"/>
    <w:rsid w:val="000514DD"/>
    <w:rsid w:val="00051551"/>
    <w:rsid w:val="000526A1"/>
    <w:rsid w:val="000526B3"/>
    <w:rsid w:val="000528EB"/>
    <w:rsid w:val="0005369A"/>
    <w:rsid w:val="00053B5C"/>
    <w:rsid w:val="0005467F"/>
    <w:rsid w:val="000547D4"/>
    <w:rsid w:val="000554A5"/>
    <w:rsid w:val="00055759"/>
    <w:rsid w:val="00055D12"/>
    <w:rsid w:val="000561B9"/>
    <w:rsid w:val="00057870"/>
    <w:rsid w:val="00057EA2"/>
    <w:rsid w:val="00060100"/>
    <w:rsid w:val="00060770"/>
    <w:rsid w:val="00061663"/>
    <w:rsid w:val="000625D7"/>
    <w:rsid w:val="00062889"/>
    <w:rsid w:val="00062A5F"/>
    <w:rsid w:val="00063169"/>
    <w:rsid w:val="0006337E"/>
    <w:rsid w:val="000633E6"/>
    <w:rsid w:val="000642C4"/>
    <w:rsid w:val="00064605"/>
    <w:rsid w:val="00064665"/>
    <w:rsid w:val="00064FE6"/>
    <w:rsid w:val="000650E0"/>
    <w:rsid w:val="00066E03"/>
    <w:rsid w:val="0006747A"/>
    <w:rsid w:val="00070053"/>
    <w:rsid w:val="00071B86"/>
    <w:rsid w:val="00072936"/>
    <w:rsid w:val="00073208"/>
    <w:rsid w:val="0007365F"/>
    <w:rsid w:val="0007367D"/>
    <w:rsid w:val="00074339"/>
    <w:rsid w:val="00074470"/>
    <w:rsid w:val="00074860"/>
    <w:rsid w:val="000749DE"/>
    <w:rsid w:val="00074B4C"/>
    <w:rsid w:val="00074FBA"/>
    <w:rsid w:val="000764EC"/>
    <w:rsid w:val="000778A8"/>
    <w:rsid w:val="00081068"/>
    <w:rsid w:val="00081541"/>
    <w:rsid w:val="0008259F"/>
    <w:rsid w:val="00083592"/>
    <w:rsid w:val="000836C8"/>
    <w:rsid w:val="00084120"/>
    <w:rsid w:val="000847BB"/>
    <w:rsid w:val="00084F34"/>
    <w:rsid w:val="000851F1"/>
    <w:rsid w:val="00085CB2"/>
    <w:rsid w:val="00085EB6"/>
    <w:rsid w:val="00086505"/>
    <w:rsid w:val="00090478"/>
    <w:rsid w:val="00090DAA"/>
    <w:rsid w:val="000917DF"/>
    <w:rsid w:val="0009184A"/>
    <w:rsid w:val="00091B2E"/>
    <w:rsid w:val="00091E6C"/>
    <w:rsid w:val="00092094"/>
    <w:rsid w:val="00092CE0"/>
    <w:rsid w:val="000932B3"/>
    <w:rsid w:val="0009356D"/>
    <w:rsid w:val="00094452"/>
    <w:rsid w:val="000945EE"/>
    <w:rsid w:val="00095E6B"/>
    <w:rsid w:val="00096559"/>
    <w:rsid w:val="00096718"/>
    <w:rsid w:val="000A1A55"/>
    <w:rsid w:val="000A1CC2"/>
    <w:rsid w:val="000A2DF9"/>
    <w:rsid w:val="000A34E1"/>
    <w:rsid w:val="000A41C3"/>
    <w:rsid w:val="000A42CE"/>
    <w:rsid w:val="000A492C"/>
    <w:rsid w:val="000A4C7A"/>
    <w:rsid w:val="000A5216"/>
    <w:rsid w:val="000A5342"/>
    <w:rsid w:val="000A5512"/>
    <w:rsid w:val="000A647B"/>
    <w:rsid w:val="000A6680"/>
    <w:rsid w:val="000A7B22"/>
    <w:rsid w:val="000B03BA"/>
    <w:rsid w:val="000B066D"/>
    <w:rsid w:val="000B0F95"/>
    <w:rsid w:val="000B15CA"/>
    <w:rsid w:val="000B1720"/>
    <w:rsid w:val="000B2C24"/>
    <w:rsid w:val="000B2DD8"/>
    <w:rsid w:val="000B49F0"/>
    <w:rsid w:val="000B5321"/>
    <w:rsid w:val="000B54A6"/>
    <w:rsid w:val="000B57EA"/>
    <w:rsid w:val="000B5A02"/>
    <w:rsid w:val="000B6708"/>
    <w:rsid w:val="000B7DF0"/>
    <w:rsid w:val="000C052F"/>
    <w:rsid w:val="000C0F80"/>
    <w:rsid w:val="000C17B7"/>
    <w:rsid w:val="000C271A"/>
    <w:rsid w:val="000C2841"/>
    <w:rsid w:val="000C2A47"/>
    <w:rsid w:val="000C3062"/>
    <w:rsid w:val="000C3430"/>
    <w:rsid w:val="000C3976"/>
    <w:rsid w:val="000C4F08"/>
    <w:rsid w:val="000C53F0"/>
    <w:rsid w:val="000C6BFC"/>
    <w:rsid w:val="000C781B"/>
    <w:rsid w:val="000C7AA1"/>
    <w:rsid w:val="000C7D07"/>
    <w:rsid w:val="000D03A8"/>
    <w:rsid w:val="000D03C2"/>
    <w:rsid w:val="000D04B1"/>
    <w:rsid w:val="000D1B53"/>
    <w:rsid w:val="000D1C2F"/>
    <w:rsid w:val="000D1F02"/>
    <w:rsid w:val="000D231B"/>
    <w:rsid w:val="000D2A68"/>
    <w:rsid w:val="000D2F5B"/>
    <w:rsid w:val="000D3171"/>
    <w:rsid w:val="000D32DB"/>
    <w:rsid w:val="000D3958"/>
    <w:rsid w:val="000D401F"/>
    <w:rsid w:val="000D49C4"/>
    <w:rsid w:val="000D4A4B"/>
    <w:rsid w:val="000D4A6A"/>
    <w:rsid w:val="000D5B70"/>
    <w:rsid w:val="000D6111"/>
    <w:rsid w:val="000D613F"/>
    <w:rsid w:val="000D6261"/>
    <w:rsid w:val="000D6CF7"/>
    <w:rsid w:val="000D7073"/>
    <w:rsid w:val="000E02C7"/>
    <w:rsid w:val="000E1A25"/>
    <w:rsid w:val="000E20C4"/>
    <w:rsid w:val="000E2483"/>
    <w:rsid w:val="000E3444"/>
    <w:rsid w:val="000E3C98"/>
    <w:rsid w:val="000E44B3"/>
    <w:rsid w:val="000E45DF"/>
    <w:rsid w:val="000E49A3"/>
    <w:rsid w:val="000E5087"/>
    <w:rsid w:val="000E50FD"/>
    <w:rsid w:val="000E5145"/>
    <w:rsid w:val="000E5357"/>
    <w:rsid w:val="000E540C"/>
    <w:rsid w:val="000E5416"/>
    <w:rsid w:val="000E5C53"/>
    <w:rsid w:val="000E6052"/>
    <w:rsid w:val="000E6238"/>
    <w:rsid w:val="000E66D1"/>
    <w:rsid w:val="000E676A"/>
    <w:rsid w:val="000E71D9"/>
    <w:rsid w:val="000E74F2"/>
    <w:rsid w:val="000E77E2"/>
    <w:rsid w:val="000E78BF"/>
    <w:rsid w:val="000E7C32"/>
    <w:rsid w:val="000E7E39"/>
    <w:rsid w:val="000F028A"/>
    <w:rsid w:val="000F0A33"/>
    <w:rsid w:val="000F0AAD"/>
    <w:rsid w:val="000F149F"/>
    <w:rsid w:val="000F1580"/>
    <w:rsid w:val="000F2699"/>
    <w:rsid w:val="000F30CC"/>
    <w:rsid w:val="000F3A6A"/>
    <w:rsid w:val="000F3B7B"/>
    <w:rsid w:val="000F41DC"/>
    <w:rsid w:val="000F4420"/>
    <w:rsid w:val="000F4708"/>
    <w:rsid w:val="000F4B85"/>
    <w:rsid w:val="000F56AA"/>
    <w:rsid w:val="000F6AB5"/>
    <w:rsid w:val="000F7618"/>
    <w:rsid w:val="001007F2"/>
    <w:rsid w:val="001008DB"/>
    <w:rsid w:val="0010192D"/>
    <w:rsid w:val="00101E24"/>
    <w:rsid w:val="00101E59"/>
    <w:rsid w:val="00102429"/>
    <w:rsid w:val="00102A34"/>
    <w:rsid w:val="00102BFC"/>
    <w:rsid w:val="001033B3"/>
    <w:rsid w:val="00104C88"/>
    <w:rsid w:val="00104CDE"/>
    <w:rsid w:val="00105219"/>
    <w:rsid w:val="00105636"/>
    <w:rsid w:val="00105DC1"/>
    <w:rsid w:val="001060C4"/>
    <w:rsid w:val="001061E8"/>
    <w:rsid w:val="00106A70"/>
    <w:rsid w:val="001070C6"/>
    <w:rsid w:val="00107185"/>
    <w:rsid w:val="00110030"/>
    <w:rsid w:val="00110CDA"/>
    <w:rsid w:val="00112153"/>
    <w:rsid w:val="00112C84"/>
    <w:rsid w:val="001131D4"/>
    <w:rsid w:val="00114397"/>
    <w:rsid w:val="001148B7"/>
    <w:rsid w:val="00114ABE"/>
    <w:rsid w:val="001159E8"/>
    <w:rsid w:val="001162DD"/>
    <w:rsid w:val="00116CC1"/>
    <w:rsid w:val="00116ED0"/>
    <w:rsid w:val="0012037E"/>
    <w:rsid w:val="00121A45"/>
    <w:rsid w:val="001223D4"/>
    <w:rsid w:val="001225E6"/>
    <w:rsid w:val="00123623"/>
    <w:rsid w:val="00124A3E"/>
    <w:rsid w:val="00126B50"/>
    <w:rsid w:val="0012741E"/>
    <w:rsid w:val="0012766E"/>
    <w:rsid w:val="001277E6"/>
    <w:rsid w:val="00127837"/>
    <w:rsid w:val="00127E36"/>
    <w:rsid w:val="00127EDB"/>
    <w:rsid w:val="001300DA"/>
    <w:rsid w:val="00130149"/>
    <w:rsid w:val="0013022D"/>
    <w:rsid w:val="001304F9"/>
    <w:rsid w:val="00130AFB"/>
    <w:rsid w:val="001324C8"/>
    <w:rsid w:val="00132996"/>
    <w:rsid w:val="00132C2F"/>
    <w:rsid w:val="00133150"/>
    <w:rsid w:val="0013368B"/>
    <w:rsid w:val="00133FAE"/>
    <w:rsid w:val="00134AC3"/>
    <w:rsid w:val="001363F4"/>
    <w:rsid w:val="001370D6"/>
    <w:rsid w:val="00137605"/>
    <w:rsid w:val="00140701"/>
    <w:rsid w:val="00140FCF"/>
    <w:rsid w:val="00141A68"/>
    <w:rsid w:val="00141A81"/>
    <w:rsid w:val="00141FF1"/>
    <w:rsid w:val="0014219C"/>
    <w:rsid w:val="001421F4"/>
    <w:rsid w:val="00142296"/>
    <w:rsid w:val="00142384"/>
    <w:rsid w:val="001429FB"/>
    <w:rsid w:val="00143B2A"/>
    <w:rsid w:val="00143E5F"/>
    <w:rsid w:val="00144011"/>
    <w:rsid w:val="00144789"/>
    <w:rsid w:val="00144D88"/>
    <w:rsid w:val="0014577D"/>
    <w:rsid w:val="0014650D"/>
    <w:rsid w:val="0014692D"/>
    <w:rsid w:val="00146C9A"/>
    <w:rsid w:val="00146DA7"/>
    <w:rsid w:val="001471C9"/>
    <w:rsid w:val="001510AD"/>
    <w:rsid w:val="001517A6"/>
    <w:rsid w:val="00152426"/>
    <w:rsid w:val="00152AF2"/>
    <w:rsid w:val="00152C82"/>
    <w:rsid w:val="00152FF5"/>
    <w:rsid w:val="00153518"/>
    <w:rsid w:val="001538AF"/>
    <w:rsid w:val="00153E85"/>
    <w:rsid w:val="00153EF5"/>
    <w:rsid w:val="00153EF8"/>
    <w:rsid w:val="001542E7"/>
    <w:rsid w:val="001543D2"/>
    <w:rsid w:val="001549D0"/>
    <w:rsid w:val="00154E43"/>
    <w:rsid w:val="00154F6B"/>
    <w:rsid w:val="001553F0"/>
    <w:rsid w:val="00155958"/>
    <w:rsid w:val="00155DD0"/>
    <w:rsid w:val="00155E8D"/>
    <w:rsid w:val="001560F4"/>
    <w:rsid w:val="0015690E"/>
    <w:rsid w:val="00156A05"/>
    <w:rsid w:val="00156E8A"/>
    <w:rsid w:val="001570F0"/>
    <w:rsid w:val="00160294"/>
    <w:rsid w:val="00160538"/>
    <w:rsid w:val="00160AD4"/>
    <w:rsid w:val="00161B32"/>
    <w:rsid w:val="001621C0"/>
    <w:rsid w:val="0016326F"/>
    <w:rsid w:val="001632B2"/>
    <w:rsid w:val="00163374"/>
    <w:rsid w:val="00163835"/>
    <w:rsid w:val="001640EB"/>
    <w:rsid w:val="001647B8"/>
    <w:rsid w:val="00164E80"/>
    <w:rsid w:val="00165BE2"/>
    <w:rsid w:val="00166CAA"/>
    <w:rsid w:val="001671F4"/>
    <w:rsid w:val="00167B00"/>
    <w:rsid w:val="00167C70"/>
    <w:rsid w:val="00167F52"/>
    <w:rsid w:val="00171602"/>
    <w:rsid w:val="00172E33"/>
    <w:rsid w:val="00172F30"/>
    <w:rsid w:val="00173A3E"/>
    <w:rsid w:val="00174026"/>
    <w:rsid w:val="00174B6F"/>
    <w:rsid w:val="0017503F"/>
    <w:rsid w:val="00175051"/>
    <w:rsid w:val="00175905"/>
    <w:rsid w:val="00175954"/>
    <w:rsid w:val="00175CBC"/>
    <w:rsid w:val="00176C19"/>
    <w:rsid w:val="00176D43"/>
    <w:rsid w:val="0017748D"/>
    <w:rsid w:val="00177514"/>
    <w:rsid w:val="001800EA"/>
    <w:rsid w:val="0018087D"/>
    <w:rsid w:val="00181402"/>
    <w:rsid w:val="0018268A"/>
    <w:rsid w:val="00182791"/>
    <w:rsid w:val="00184A47"/>
    <w:rsid w:val="001856EE"/>
    <w:rsid w:val="00186A17"/>
    <w:rsid w:val="00187306"/>
    <w:rsid w:val="00190CA4"/>
    <w:rsid w:val="00190CB4"/>
    <w:rsid w:val="00191862"/>
    <w:rsid w:val="00191C97"/>
    <w:rsid w:val="001923DC"/>
    <w:rsid w:val="0019284E"/>
    <w:rsid w:val="001936BB"/>
    <w:rsid w:val="00193785"/>
    <w:rsid w:val="00193C82"/>
    <w:rsid w:val="00193F67"/>
    <w:rsid w:val="00194BF0"/>
    <w:rsid w:val="00194C3C"/>
    <w:rsid w:val="00194D21"/>
    <w:rsid w:val="00195B4C"/>
    <w:rsid w:val="00195BBB"/>
    <w:rsid w:val="00195F38"/>
    <w:rsid w:val="0019662B"/>
    <w:rsid w:val="0019686E"/>
    <w:rsid w:val="00196A28"/>
    <w:rsid w:val="001972E2"/>
    <w:rsid w:val="001A03F4"/>
    <w:rsid w:val="001A09D9"/>
    <w:rsid w:val="001A0F4D"/>
    <w:rsid w:val="001A0F87"/>
    <w:rsid w:val="001A2088"/>
    <w:rsid w:val="001A21B2"/>
    <w:rsid w:val="001A23DB"/>
    <w:rsid w:val="001A2CF8"/>
    <w:rsid w:val="001A38F7"/>
    <w:rsid w:val="001A42BA"/>
    <w:rsid w:val="001A5B13"/>
    <w:rsid w:val="001A5D0B"/>
    <w:rsid w:val="001A6075"/>
    <w:rsid w:val="001A60E3"/>
    <w:rsid w:val="001A68D8"/>
    <w:rsid w:val="001A6DD9"/>
    <w:rsid w:val="001A7126"/>
    <w:rsid w:val="001A7127"/>
    <w:rsid w:val="001A75B4"/>
    <w:rsid w:val="001B0A4E"/>
    <w:rsid w:val="001B0E5F"/>
    <w:rsid w:val="001B1885"/>
    <w:rsid w:val="001B1E9F"/>
    <w:rsid w:val="001B215E"/>
    <w:rsid w:val="001B2AF5"/>
    <w:rsid w:val="001B3430"/>
    <w:rsid w:val="001B4246"/>
    <w:rsid w:val="001B43F8"/>
    <w:rsid w:val="001B560D"/>
    <w:rsid w:val="001B6DC7"/>
    <w:rsid w:val="001C0804"/>
    <w:rsid w:val="001C118C"/>
    <w:rsid w:val="001C12E5"/>
    <w:rsid w:val="001C1772"/>
    <w:rsid w:val="001C3523"/>
    <w:rsid w:val="001C36F5"/>
    <w:rsid w:val="001C3A09"/>
    <w:rsid w:val="001C3C62"/>
    <w:rsid w:val="001C3D19"/>
    <w:rsid w:val="001C4923"/>
    <w:rsid w:val="001C518E"/>
    <w:rsid w:val="001C56B9"/>
    <w:rsid w:val="001C586F"/>
    <w:rsid w:val="001C6836"/>
    <w:rsid w:val="001C6989"/>
    <w:rsid w:val="001C7109"/>
    <w:rsid w:val="001C7BDE"/>
    <w:rsid w:val="001D1580"/>
    <w:rsid w:val="001D15FE"/>
    <w:rsid w:val="001D1725"/>
    <w:rsid w:val="001D1CD2"/>
    <w:rsid w:val="001D267F"/>
    <w:rsid w:val="001D369D"/>
    <w:rsid w:val="001D4F63"/>
    <w:rsid w:val="001D5760"/>
    <w:rsid w:val="001D5A94"/>
    <w:rsid w:val="001D5B10"/>
    <w:rsid w:val="001D5E25"/>
    <w:rsid w:val="001D6D50"/>
    <w:rsid w:val="001D7154"/>
    <w:rsid w:val="001D7C89"/>
    <w:rsid w:val="001E26C4"/>
    <w:rsid w:val="001E2758"/>
    <w:rsid w:val="001E32BF"/>
    <w:rsid w:val="001E3422"/>
    <w:rsid w:val="001E34DE"/>
    <w:rsid w:val="001E498A"/>
    <w:rsid w:val="001E4B02"/>
    <w:rsid w:val="001E4E7E"/>
    <w:rsid w:val="001E554F"/>
    <w:rsid w:val="001E5810"/>
    <w:rsid w:val="001E59D7"/>
    <w:rsid w:val="001E6976"/>
    <w:rsid w:val="001E6C66"/>
    <w:rsid w:val="001F0029"/>
    <w:rsid w:val="001F053A"/>
    <w:rsid w:val="001F0609"/>
    <w:rsid w:val="001F1034"/>
    <w:rsid w:val="001F144E"/>
    <w:rsid w:val="001F2FE3"/>
    <w:rsid w:val="001F3256"/>
    <w:rsid w:val="001F41A9"/>
    <w:rsid w:val="001F4390"/>
    <w:rsid w:val="001F5262"/>
    <w:rsid w:val="001F5364"/>
    <w:rsid w:val="001F6CBC"/>
    <w:rsid w:val="001F7DC2"/>
    <w:rsid w:val="00200416"/>
    <w:rsid w:val="0020079E"/>
    <w:rsid w:val="00200DAD"/>
    <w:rsid w:val="002023EA"/>
    <w:rsid w:val="0020253B"/>
    <w:rsid w:val="00202ECA"/>
    <w:rsid w:val="0020348F"/>
    <w:rsid w:val="00203B4D"/>
    <w:rsid w:val="00203D93"/>
    <w:rsid w:val="00204238"/>
    <w:rsid w:val="002055BC"/>
    <w:rsid w:val="00205C50"/>
    <w:rsid w:val="00205F7A"/>
    <w:rsid w:val="00206FCA"/>
    <w:rsid w:val="0020711E"/>
    <w:rsid w:val="0020740F"/>
    <w:rsid w:val="00210029"/>
    <w:rsid w:val="002100AF"/>
    <w:rsid w:val="002104C0"/>
    <w:rsid w:val="00210880"/>
    <w:rsid w:val="0021234D"/>
    <w:rsid w:val="00214C1C"/>
    <w:rsid w:val="00214DF1"/>
    <w:rsid w:val="00215660"/>
    <w:rsid w:val="00215827"/>
    <w:rsid w:val="002162FF"/>
    <w:rsid w:val="00217E39"/>
    <w:rsid w:val="0022049F"/>
    <w:rsid w:val="00220547"/>
    <w:rsid w:val="002208AD"/>
    <w:rsid w:val="00220D9D"/>
    <w:rsid w:val="002225A9"/>
    <w:rsid w:val="0022278C"/>
    <w:rsid w:val="0022350A"/>
    <w:rsid w:val="00223A15"/>
    <w:rsid w:val="00223C04"/>
    <w:rsid w:val="00223F9E"/>
    <w:rsid w:val="00223FD6"/>
    <w:rsid w:val="0022481F"/>
    <w:rsid w:val="00224982"/>
    <w:rsid w:val="00224A10"/>
    <w:rsid w:val="00224AFC"/>
    <w:rsid w:val="002257B9"/>
    <w:rsid w:val="00225910"/>
    <w:rsid w:val="00226008"/>
    <w:rsid w:val="002261C1"/>
    <w:rsid w:val="00226695"/>
    <w:rsid w:val="0022669A"/>
    <w:rsid w:val="0022673F"/>
    <w:rsid w:val="00226ACC"/>
    <w:rsid w:val="00227CD8"/>
    <w:rsid w:val="0023116F"/>
    <w:rsid w:val="0023137D"/>
    <w:rsid w:val="00231586"/>
    <w:rsid w:val="00231D4E"/>
    <w:rsid w:val="00232523"/>
    <w:rsid w:val="002331F9"/>
    <w:rsid w:val="00233A2B"/>
    <w:rsid w:val="00234558"/>
    <w:rsid w:val="00235EC8"/>
    <w:rsid w:val="00236171"/>
    <w:rsid w:val="002365FD"/>
    <w:rsid w:val="002368D4"/>
    <w:rsid w:val="00237A11"/>
    <w:rsid w:val="00237D2E"/>
    <w:rsid w:val="0024000A"/>
    <w:rsid w:val="002402B9"/>
    <w:rsid w:val="00240815"/>
    <w:rsid w:val="00241898"/>
    <w:rsid w:val="00241933"/>
    <w:rsid w:val="00241AB0"/>
    <w:rsid w:val="002423F9"/>
    <w:rsid w:val="0024402E"/>
    <w:rsid w:val="00244A7D"/>
    <w:rsid w:val="0024523B"/>
    <w:rsid w:val="00245AED"/>
    <w:rsid w:val="002468DA"/>
    <w:rsid w:val="00247D18"/>
    <w:rsid w:val="00250023"/>
    <w:rsid w:val="00251873"/>
    <w:rsid w:val="00251AD6"/>
    <w:rsid w:val="0025234F"/>
    <w:rsid w:val="00252460"/>
    <w:rsid w:val="00252DE2"/>
    <w:rsid w:val="00254681"/>
    <w:rsid w:val="00254947"/>
    <w:rsid w:val="00254AB6"/>
    <w:rsid w:val="00255254"/>
    <w:rsid w:val="00256EE9"/>
    <w:rsid w:val="0025716A"/>
    <w:rsid w:val="00257C8E"/>
    <w:rsid w:val="00260420"/>
    <w:rsid w:val="0026085C"/>
    <w:rsid w:val="002609DE"/>
    <w:rsid w:val="00260D13"/>
    <w:rsid w:val="00262FF7"/>
    <w:rsid w:val="00263142"/>
    <w:rsid w:val="00263210"/>
    <w:rsid w:val="00264BAF"/>
    <w:rsid w:val="00264C4F"/>
    <w:rsid w:val="00265930"/>
    <w:rsid w:val="00266710"/>
    <w:rsid w:val="002669AE"/>
    <w:rsid w:val="00266E83"/>
    <w:rsid w:val="00267CA3"/>
    <w:rsid w:val="00270000"/>
    <w:rsid w:val="00271039"/>
    <w:rsid w:val="00271AD4"/>
    <w:rsid w:val="00271AFE"/>
    <w:rsid w:val="00272C34"/>
    <w:rsid w:val="00272DEA"/>
    <w:rsid w:val="002735E7"/>
    <w:rsid w:val="00273824"/>
    <w:rsid w:val="00273929"/>
    <w:rsid w:val="002740E5"/>
    <w:rsid w:val="002758BC"/>
    <w:rsid w:val="0027688B"/>
    <w:rsid w:val="00276A11"/>
    <w:rsid w:val="002771A5"/>
    <w:rsid w:val="00277D08"/>
    <w:rsid w:val="002805B8"/>
    <w:rsid w:val="0028078E"/>
    <w:rsid w:val="00281D47"/>
    <w:rsid w:val="00282209"/>
    <w:rsid w:val="002829C2"/>
    <w:rsid w:val="002832BA"/>
    <w:rsid w:val="00283AAD"/>
    <w:rsid w:val="0028475D"/>
    <w:rsid w:val="00284B9D"/>
    <w:rsid w:val="00284C99"/>
    <w:rsid w:val="00285FF7"/>
    <w:rsid w:val="00287DB0"/>
    <w:rsid w:val="00290F02"/>
    <w:rsid w:val="002914D2"/>
    <w:rsid w:val="00291F53"/>
    <w:rsid w:val="002921EE"/>
    <w:rsid w:val="00292750"/>
    <w:rsid w:val="00292ED2"/>
    <w:rsid w:val="00292F5A"/>
    <w:rsid w:val="002938CE"/>
    <w:rsid w:val="00293929"/>
    <w:rsid w:val="00293C09"/>
    <w:rsid w:val="00293ED1"/>
    <w:rsid w:val="00294A91"/>
    <w:rsid w:val="00294D56"/>
    <w:rsid w:val="0029516F"/>
    <w:rsid w:val="00295546"/>
    <w:rsid w:val="0029584F"/>
    <w:rsid w:val="00295A46"/>
    <w:rsid w:val="00295EE4"/>
    <w:rsid w:val="002960F5"/>
    <w:rsid w:val="00296807"/>
    <w:rsid w:val="002A0C7D"/>
    <w:rsid w:val="002A1B39"/>
    <w:rsid w:val="002A21E6"/>
    <w:rsid w:val="002A22E3"/>
    <w:rsid w:val="002A3246"/>
    <w:rsid w:val="002A33B5"/>
    <w:rsid w:val="002A3D7A"/>
    <w:rsid w:val="002A4067"/>
    <w:rsid w:val="002A4190"/>
    <w:rsid w:val="002A4216"/>
    <w:rsid w:val="002A5152"/>
    <w:rsid w:val="002A6517"/>
    <w:rsid w:val="002A7131"/>
    <w:rsid w:val="002A737F"/>
    <w:rsid w:val="002A75D9"/>
    <w:rsid w:val="002B0005"/>
    <w:rsid w:val="002B0332"/>
    <w:rsid w:val="002B0834"/>
    <w:rsid w:val="002B0F56"/>
    <w:rsid w:val="002B11B1"/>
    <w:rsid w:val="002B122C"/>
    <w:rsid w:val="002B1714"/>
    <w:rsid w:val="002B1E90"/>
    <w:rsid w:val="002B29FE"/>
    <w:rsid w:val="002B2CDE"/>
    <w:rsid w:val="002B2E31"/>
    <w:rsid w:val="002B33C0"/>
    <w:rsid w:val="002B419D"/>
    <w:rsid w:val="002B51E5"/>
    <w:rsid w:val="002B54C3"/>
    <w:rsid w:val="002B5AF2"/>
    <w:rsid w:val="002B5FD7"/>
    <w:rsid w:val="002B6640"/>
    <w:rsid w:val="002C019B"/>
    <w:rsid w:val="002C0290"/>
    <w:rsid w:val="002C02A8"/>
    <w:rsid w:val="002C0563"/>
    <w:rsid w:val="002C1197"/>
    <w:rsid w:val="002C1E35"/>
    <w:rsid w:val="002C2BAA"/>
    <w:rsid w:val="002C4A5E"/>
    <w:rsid w:val="002C6DD7"/>
    <w:rsid w:val="002C788E"/>
    <w:rsid w:val="002C78D6"/>
    <w:rsid w:val="002C7F7C"/>
    <w:rsid w:val="002D099A"/>
    <w:rsid w:val="002D0AB4"/>
    <w:rsid w:val="002D0C94"/>
    <w:rsid w:val="002D0D97"/>
    <w:rsid w:val="002D0DB0"/>
    <w:rsid w:val="002D2213"/>
    <w:rsid w:val="002D23FC"/>
    <w:rsid w:val="002D2451"/>
    <w:rsid w:val="002D3286"/>
    <w:rsid w:val="002D3660"/>
    <w:rsid w:val="002D39BF"/>
    <w:rsid w:val="002D3ACD"/>
    <w:rsid w:val="002D3B42"/>
    <w:rsid w:val="002D46C9"/>
    <w:rsid w:val="002D5239"/>
    <w:rsid w:val="002D5B7D"/>
    <w:rsid w:val="002D5F57"/>
    <w:rsid w:val="002D61AC"/>
    <w:rsid w:val="002D70D8"/>
    <w:rsid w:val="002E0F2C"/>
    <w:rsid w:val="002E1699"/>
    <w:rsid w:val="002E4720"/>
    <w:rsid w:val="002E4812"/>
    <w:rsid w:val="002E49AD"/>
    <w:rsid w:val="002E4D41"/>
    <w:rsid w:val="002E4DFF"/>
    <w:rsid w:val="002E5160"/>
    <w:rsid w:val="002E5812"/>
    <w:rsid w:val="002E64CA"/>
    <w:rsid w:val="002E7CFA"/>
    <w:rsid w:val="002F123E"/>
    <w:rsid w:val="002F158D"/>
    <w:rsid w:val="002F1A5F"/>
    <w:rsid w:val="002F1E97"/>
    <w:rsid w:val="002F2028"/>
    <w:rsid w:val="002F2251"/>
    <w:rsid w:val="002F27EF"/>
    <w:rsid w:val="002F39EE"/>
    <w:rsid w:val="002F3AE9"/>
    <w:rsid w:val="002F4557"/>
    <w:rsid w:val="002F4CE1"/>
    <w:rsid w:val="002F571D"/>
    <w:rsid w:val="002F5A81"/>
    <w:rsid w:val="002F62E6"/>
    <w:rsid w:val="002F6578"/>
    <w:rsid w:val="002F6DD7"/>
    <w:rsid w:val="002F6E6E"/>
    <w:rsid w:val="002F7E61"/>
    <w:rsid w:val="00300110"/>
    <w:rsid w:val="003009E4"/>
    <w:rsid w:val="00302645"/>
    <w:rsid w:val="00303397"/>
    <w:rsid w:val="00303452"/>
    <w:rsid w:val="00303D46"/>
    <w:rsid w:val="00304104"/>
    <w:rsid w:val="003043AE"/>
    <w:rsid w:val="00305644"/>
    <w:rsid w:val="003056DB"/>
    <w:rsid w:val="0030646D"/>
    <w:rsid w:val="00306E12"/>
    <w:rsid w:val="0030703A"/>
    <w:rsid w:val="003071CD"/>
    <w:rsid w:val="00307304"/>
    <w:rsid w:val="003073C8"/>
    <w:rsid w:val="00307F55"/>
    <w:rsid w:val="0031043E"/>
    <w:rsid w:val="00310AEA"/>
    <w:rsid w:val="003115F6"/>
    <w:rsid w:val="00311B5B"/>
    <w:rsid w:val="00313566"/>
    <w:rsid w:val="003135A0"/>
    <w:rsid w:val="0031375E"/>
    <w:rsid w:val="00313E30"/>
    <w:rsid w:val="003148D1"/>
    <w:rsid w:val="00316141"/>
    <w:rsid w:val="00316955"/>
    <w:rsid w:val="00316CCF"/>
    <w:rsid w:val="0031721B"/>
    <w:rsid w:val="00317357"/>
    <w:rsid w:val="00317714"/>
    <w:rsid w:val="00317AF6"/>
    <w:rsid w:val="00317E5B"/>
    <w:rsid w:val="00320520"/>
    <w:rsid w:val="0032093A"/>
    <w:rsid w:val="003209CE"/>
    <w:rsid w:val="00320EBF"/>
    <w:rsid w:val="003211C0"/>
    <w:rsid w:val="00323BAF"/>
    <w:rsid w:val="00324305"/>
    <w:rsid w:val="00325101"/>
    <w:rsid w:val="0032552B"/>
    <w:rsid w:val="00325EDB"/>
    <w:rsid w:val="00326017"/>
    <w:rsid w:val="00326D87"/>
    <w:rsid w:val="00327ED3"/>
    <w:rsid w:val="0033028D"/>
    <w:rsid w:val="00330A15"/>
    <w:rsid w:val="00330ED9"/>
    <w:rsid w:val="00331201"/>
    <w:rsid w:val="003312CF"/>
    <w:rsid w:val="0033165C"/>
    <w:rsid w:val="00331DEA"/>
    <w:rsid w:val="003320E1"/>
    <w:rsid w:val="003324F7"/>
    <w:rsid w:val="00332FDC"/>
    <w:rsid w:val="003334E0"/>
    <w:rsid w:val="00333B70"/>
    <w:rsid w:val="003341AF"/>
    <w:rsid w:val="00334993"/>
    <w:rsid w:val="00334F88"/>
    <w:rsid w:val="0033529D"/>
    <w:rsid w:val="0033535C"/>
    <w:rsid w:val="00336498"/>
    <w:rsid w:val="00336F69"/>
    <w:rsid w:val="00337CFC"/>
    <w:rsid w:val="00340853"/>
    <w:rsid w:val="003416C7"/>
    <w:rsid w:val="0034172F"/>
    <w:rsid w:val="0034216C"/>
    <w:rsid w:val="00343D6E"/>
    <w:rsid w:val="00343FD0"/>
    <w:rsid w:val="00343FD8"/>
    <w:rsid w:val="003451B7"/>
    <w:rsid w:val="00345484"/>
    <w:rsid w:val="003461CE"/>
    <w:rsid w:val="003464F1"/>
    <w:rsid w:val="00346EEA"/>
    <w:rsid w:val="00347A98"/>
    <w:rsid w:val="00347EAD"/>
    <w:rsid w:val="00350498"/>
    <w:rsid w:val="00350876"/>
    <w:rsid w:val="00351B6D"/>
    <w:rsid w:val="003527FE"/>
    <w:rsid w:val="003528C6"/>
    <w:rsid w:val="00352F80"/>
    <w:rsid w:val="00353056"/>
    <w:rsid w:val="003530E8"/>
    <w:rsid w:val="00353440"/>
    <w:rsid w:val="003536A7"/>
    <w:rsid w:val="0035374B"/>
    <w:rsid w:val="00353930"/>
    <w:rsid w:val="00353BE7"/>
    <w:rsid w:val="00353C76"/>
    <w:rsid w:val="00353E35"/>
    <w:rsid w:val="00353EDE"/>
    <w:rsid w:val="003543F9"/>
    <w:rsid w:val="00354723"/>
    <w:rsid w:val="00354757"/>
    <w:rsid w:val="00354A72"/>
    <w:rsid w:val="003553C2"/>
    <w:rsid w:val="0035664E"/>
    <w:rsid w:val="00356977"/>
    <w:rsid w:val="00357427"/>
    <w:rsid w:val="00357695"/>
    <w:rsid w:val="003610DA"/>
    <w:rsid w:val="003612E5"/>
    <w:rsid w:val="00361317"/>
    <w:rsid w:val="0036148C"/>
    <w:rsid w:val="00361DAB"/>
    <w:rsid w:val="0036216C"/>
    <w:rsid w:val="00362253"/>
    <w:rsid w:val="0036368B"/>
    <w:rsid w:val="00363CC5"/>
    <w:rsid w:val="003640EE"/>
    <w:rsid w:val="00364747"/>
    <w:rsid w:val="00364806"/>
    <w:rsid w:val="00364E93"/>
    <w:rsid w:val="003651B7"/>
    <w:rsid w:val="00365635"/>
    <w:rsid w:val="00365668"/>
    <w:rsid w:val="00365F18"/>
    <w:rsid w:val="00367393"/>
    <w:rsid w:val="00367494"/>
    <w:rsid w:val="0036797C"/>
    <w:rsid w:val="00367B22"/>
    <w:rsid w:val="00367BDB"/>
    <w:rsid w:val="00367DB7"/>
    <w:rsid w:val="00370403"/>
    <w:rsid w:val="003705F1"/>
    <w:rsid w:val="003707A0"/>
    <w:rsid w:val="003707DB"/>
    <w:rsid w:val="00370B67"/>
    <w:rsid w:val="00371C7A"/>
    <w:rsid w:val="00372E7E"/>
    <w:rsid w:val="00374892"/>
    <w:rsid w:val="00375AEC"/>
    <w:rsid w:val="003760F0"/>
    <w:rsid w:val="003761E1"/>
    <w:rsid w:val="00376236"/>
    <w:rsid w:val="003764E2"/>
    <w:rsid w:val="0037652C"/>
    <w:rsid w:val="003766A2"/>
    <w:rsid w:val="00376C95"/>
    <w:rsid w:val="003774D1"/>
    <w:rsid w:val="003800E4"/>
    <w:rsid w:val="003801EE"/>
    <w:rsid w:val="00380E1A"/>
    <w:rsid w:val="00380FF5"/>
    <w:rsid w:val="003815A8"/>
    <w:rsid w:val="0038275D"/>
    <w:rsid w:val="003829C3"/>
    <w:rsid w:val="003831C2"/>
    <w:rsid w:val="0038385B"/>
    <w:rsid w:val="0038681C"/>
    <w:rsid w:val="003868DF"/>
    <w:rsid w:val="003873D4"/>
    <w:rsid w:val="003875F4"/>
    <w:rsid w:val="003900BE"/>
    <w:rsid w:val="003911F7"/>
    <w:rsid w:val="00392130"/>
    <w:rsid w:val="0039282E"/>
    <w:rsid w:val="00393C0A"/>
    <w:rsid w:val="0039456F"/>
    <w:rsid w:val="00394570"/>
    <w:rsid w:val="003950FA"/>
    <w:rsid w:val="00395108"/>
    <w:rsid w:val="003962A2"/>
    <w:rsid w:val="00396C37"/>
    <w:rsid w:val="00396E5F"/>
    <w:rsid w:val="00396ED5"/>
    <w:rsid w:val="003972A1"/>
    <w:rsid w:val="00397369"/>
    <w:rsid w:val="00397AD2"/>
    <w:rsid w:val="003A0F44"/>
    <w:rsid w:val="003A10A1"/>
    <w:rsid w:val="003A17B3"/>
    <w:rsid w:val="003A4475"/>
    <w:rsid w:val="003A44A0"/>
    <w:rsid w:val="003A594E"/>
    <w:rsid w:val="003A5EEC"/>
    <w:rsid w:val="003A6174"/>
    <w:rsid w:val="003A771A"/>
    <w:rsid w:val="003A78F0"/>
    <w:rsid w:val="003B054C"/>
    <w:rsid w:val="003B058E"/>
    <w:rsid w:val="003B0DEA"/>
    <w:rsid w:val="003B184B"/>
    <w:rsid w:val="003B286A"/>
    <w:rsid w:val="003B2D45"/>
    <w:rsid w:val="003B475C"/>
    <w:rsid w:val="003B4870"/>
    <w:rsid w:val="003B59A3"/>
    <w:rsid w:val="003B5CDD"/>
    <w:rsid w:val="003B671D"/>
    <w:rsid w:val="003B6CAE"/>
    <w:rsid w:val="003B7070"/>
    <w:rsid w:val="003B71F3"/>
    <w:rsid w:val="003B750E"/>
    <w:rsid w:val="003C0055"/>
    <w:rsid w:val="003C00B9"/>
    <w:rsid w:val="003C2014"/>
    <w:rsid w:val="003C2483"/>
    <w:rsid w:val="003C4A39"/>
    <w:rsid w:val="003C6BED"/>
    <w:rsid w:val="003C7308"/>
    <w:rsid w:val="003C74B1"/>
    <w:rsid w:val="003C7E57"/>
    <w:rsid w:val="003D0342"/>
    <w:rsid w:val="003D0CA6"/>
    <w:rsid w:val="003D0DB6"/>
    <w:rsid w:val="003D1EEA"/>
    <w:rsid w:val="003D288B"/>
    <w:rsid w:val="003D2BB1"/>
    <w:rsid w:val="003D2CE1"/>
    <w:rsid w:val="003D3B37"/>
    <w:rsid w:val="003D454D"/>
    <w:rsid w:val="003D45CA"/>
    <w:rsid w:val="003D4731"/>
    <w:rsid w:val="003D48A2"/>
    <w:rsid w:val="003D4E7A"/>
    <w:rsid w:val="003D5243"/>
    <w:rsid w:val="003D5696"/>
    <w:rsid w:val="003D6C50"/>
    <w:rsid w:val="003D6CFB"/>
    <w:rsid w:val="003E01EC"/>
    <w:rsid w:val="003E0C47"/>
    <w:rsid w:val="003E0D03"/>
    <w:rsid w:val="003E24FC"/>
    <w:rsid w:val="003E2EB4"/>
    <w:rsid w:val="003E39B2"/>
    <w:rsid w:val="003E5B5E"/>
    <w:rsid w:val="003E5C29"/>
    <w:rsid w:val="003E5F03"/>
    <w:rsid w:val="003E62CC"/>
    <w:rsid w:val="003E69DA"/>
    <w:rsid w:val="003E6F72"/>
    <w:rsid w:val="003E7CC1"/>
    <w:rsid w:val="003F0410"/>
    <w:rsid w:val="003F0738"/>
    <w:rsid w:val="003F143B"/>
    <w:rsid w:val="003F14F4"/>
    <w:rsid w:val="003F1B8F"/>
    <w:rsid w:val="003F22FD"/>
    <w:rsid w:val="003F2F35"/>
    <w:rsid w:val="003F3428"/>
    <w:rsid w:val="003F3EA8"/>
    <w:rsid w:val="003F557C"/>
    <w:rsid w:val="003F559E"/>
    <w:rsid w:val="003F59D0"/>
    <w:rsid w:val="003F5EE4"/>
    <w:rsid w:val="003F6187"/>
    <w:rsid w:val="003F665C"/>
    <w:rsid w:val="003F7FCF"/>
    <w:rsid w:val="0040020D"/>
    <w:rsid w:val="00400982"/>
    <w:rsid w:val="0040159D"/>
    <w:rsid w:val="00401B28"/>
    <w:rsid w:val="00402AA3"/>
    <w:rsid w:val="00402AF5"/>
    <w:rsid w:val="00402D26"/>
    <w:rsid w:val="00402D9F"/>
    <w:rsid w:val="004030AB"/>
    <w:rsid w:val="00403482"/>
    <w:rsid w:val="0040357E"/>
    <w:rsid w:val="004048D7"/>
    <w:rsid w:val="004054B2"/>
    <w:rsid w:val="004059C5"/>
    <w:rsid w:val="00405B2A"/>
    <w:rsid w:val="0040708A"/>
    <w:rsid w:val="004073A2"/>
    <w:rsid w:val="00407E8D"/>
    <w:rsid w:val="00407EE9"/>
    <w:rsid w:val="00410440"/>
    <w:rsid w:val="004106A7"/>
    <w:rsid w:val="00410C4C"/>
    <w:rsid w:val="0041100C"/>
    <w:rsid w:val="00411628"/>
    <w:rsid w:val="004119B7"/>
    <w:rsid w:val="00412282"/>
    <w:rsid w:val="00413AAB"/>
    <w:rsid w:val="004147B4"/>
    <w:rsid w:val="00414928"/>
    <w:rsid w:val="0041657A"/>
    <w:rsid w:val="00416774"/>
    <w:rsid w:val="004167F9"/>
    <w:rsid w:val="00416B67"/>
    <w:rsid w:val="00416E79"/>
    <w:rsid w:val="00417728"/>
    <w:rsid w:val="00417DE5"/>
    <w:rsid w:val="00420BBF"/>
    <w:rsid w:val="004215D2"/>
    <w:rsid w:val="00421B91"/>
    <w:rsid w:val="00421DC7"/>
    <w:rsid w:val="00422716"/>
    <w:rsid w:val="00422CDA"/>
    <w:rsid w:val="00422DC4"/>
    <w:rsid w:val="00423234"/>
    <w:rsid w:val="004242C4"/>
    <w:rsid w:val="0042432A"/>
    <w:rsid w:val="00424722"/>
    <w:rsid w:val="00424AB9"/>
    <w:rsid w:val="00424E0E"/>
    <w:rsid w:val="004253A4"/>
    <w:rsid w:val="004256BA"/>
    <w:rsid w:val="00425881"/>
    <w:rsid w:val="00425E6B"/>
    <w:rsid w:val="004260F1"/>
    <w:rsid w:val="00426CE3"/>
    <w:rsid w:val="0042767A"/>
    <w:rsid w:val="004279A5"/>
    <w:rsid w:val="00427EF1"/>
    <w:rsid w:val="004305F2"/>
    <w:rsid w:val="004307DB"/>
    <w:rsid w:val="00431999"/>
    <w:rsid w:val="00431B18"/>
    <w:rsid w:val="00431D93"/>
    <w:rsid w:val="00431FC8"/>
    <w:rsid w:val="0043205C"/>
    <w:rsid w:val="00432CF1"/>
    <w:rsid w:val="00432EC6"/>
    <w:rsid w:val="00433553"/>
    <w:rsid w:val="004337E1"/>
    <w:rsid w:val="00433E3E"/>
    <w:rsid w:val="004340D3"/>
    <w:rsid w:val="00434FB7"/>
    <w:rsid w:val="0043520E"/>
    <w:rsid w:val="00435682"/>
    <w:rsid w:val="00435908"/>
    <w:rsid w:val="004359D1"/>
    <w:rsid w:val="00435F12"/>
    <w:rsid w:val="0043695C"/>
    <w:rsid w:val="004371B9"/>
    <w:rsid w:val="00440F9E"/>
    <w:rsid w:val="00441D75"/>
    <w:rsid w:val="00442A25"/>
    <w:rsid w:val="00442EE8"/>
    <w:rsid w:val="004431FC"/>
    <w:rsid w:val="00443294"/>
    <w:rsid w:val="00443E76"/>
    <w:rsid w:val="00444423"/>
    <w:rsid w:val="00444C58"/>
    <w:rsid w:val="0044527B"/>
    <w:rsid w:val="00445797"/>
    <w:rsid w:val="0044581E"/>
    <w:rsid w:val="00445F50"/>
    <w:rsid w:val="0044633C"/>
    <w:rsid w:val="004471C3"/>
    <w:rsid w:val="0044747F"/>
    <w:rsid w:val="00447850"/>
    <w:rsid w:val="004501EA"/>
    <w:rsid w:val="004515B1"/>
    <w:rsid w:val="00451AAD"/>
    <w:rsid w:val="0045224C"/>
    <w:rsid w:val="00453479"/>
    <w:rsid w:val="0045351C"/>
    <w:rsid w:val="00453930"/>
    <w:rsid w:val="00453CAF"/>
    <w:rsid w:val="00453CBD"/>
    <w:rsid w:val="00454281"/>
    <w:rsid w:val="004543A1"/>
    <w:rsid w:val="004544C3"/>
    <w:rsid w:val="00454D13"/>
    <w:rsid w:val="00455291"/>
    <w:rsid w:val="00455DCE"/>
    <w:rsid w:val="00456081"/>
    <w:rsid w:val="004570BB"/>
    <w:rsid w:val="0045793A"/>
    <w:rsid w:val="0046087C"/>
    <w:rsid w:val="00460B7E"/>
    <w:rsid w:val="00460DD3"/>
    <w:rsid w:val="00461031"/>
    <w:rsid w:val="00461195"/>
    <w:rsid w:val="00462298"/>
    <w:rsid w:val="0046261B"/>
    <w:rsid w:val="00462659"/>
    <w:rsid w:val="00462C05"/>
    <w:rsid w:val="004634A4"/>
    <w:rsid w:val="0046357E"/>
    <w:rsid w:val="00463E08"/>
    <w:rsid w:val="00464309"/>
    <w:rsid w:val="00464BC3"/>
    <w:rsid w:val="00464F5D"/>
    <w:rsid w:val="004650B4"/>
    <w:rsid w:val="00465F52"/>
    <w:rsid w:val="00466182"/>
    <w:rsid w:val="0046623F"/>
    <w:rsid w:val="00466E3C"/>
    <w:rsid w:val="0046716F"/>
    <w:rsid w:val="00467F43"/>
    <w:rsid w:val="00471677"/>
    <w:rsid w:val="00472D74"/>
    <w:rsid w:val="00473B5B"/>
    <w:rsid w:val="00473EB2"/>
    <w:rsid w:val="00474CB4"/>
    <w:rsid w:val="00474FBD"/>
    <w:rsid w:val="00475377"/>
    <w:rsid w:val="00475AB6"/>
    <w:rsid w:val="00476009"/>
    <w:rsid w:val="00476411"/>
    <w:rsid w:val="004766CF"/>
    <w:rsid w:val="004770F1"/>
    <w:rsid w:val="0047741F"/>
    <w:rsid w:val="00480110"/>
    <w:rsid w:val="0048095D"/>
    <w:rsid w:val="00480BCB"/>
    <w:rsid w:val="00480BDF"/>
    <w:rsid w:val="00480D3C"/>
    <w:rsid w:val="00481478"/>
    <w:rsid w:val="00481AAC"/>
    <w:rsid w:val="0048240F"/>
    <w:rsid w:val="004827F4"/>
    <w:rsid w:val="00482FEC"/>
    <w:rsid w:val="00483C6F"/>
    <w:rsid w:val="00484827"/>
    <w:rsid w:val="004850EF"/>
    <w:rsid w:val="004856FD"/>
    <w:rsid w:val="0048574D"/>
    <w:rsid w:val="00485ACE"/>
    <w:rsid w:val="00485AE2"/>
    <w:rsid w:val="004860CB"/>
    <w:rsid w:val="00486438"/>
    <w:rsid w:val="0048681E"/>
    <w:rsid w:val="00486D78"/>
    <w:rsid w:val="00487084"/>
    <w:rsid w:val="00487CC6"/>
    <w:rsid w:val="004901B3"/>
    <w:rsid w:val="004901E9"/>
    <w:rsid w:val="00490608"/>
    <w:rsid w:val="00490628"/>
    <w:rsid w:val="004914CD"/>
    <w:rsid w:val="00491668"/>
    <w:rsid w:val="00491692"/>
    <w:rsid w:val="00491D7D"/>
    <w:rsid w:val="00493B02"/>
    <w:rsid w:val="0049483B"/>
    <w:rsid w:val="00494CC1"/>
    <w:rsid w:val="004963EA"/>
    <w:rsid w:val="0049711B"/>
    <w:rsid w:val="004A0825"/>
    <w:rsid w:val="004A0E4A"/>
    <w:rsid w:val="004A12A4"/>
    <w:rsid w:val="004A1379"/>
    <w:rsid w:val="004A1AE1"/>
    <w:rsid w:val="004A1D5E"/>
    <w:rsid w:val="004A1D6A"/>
    <w:rsid w:val="004A1D7B"/>
    <w:rsid w:val="004A1DF7"/>
    <w:rsid w:val="004A2785"/>
    <w:rsid w:val="004A2BE1"/>
    <w:rsid w:val="004A3247"/>
    <w:rsid w:val="004A3CF9"/>
    <w:rsid w:val="004A44B7"/>
    <w:rsid w:val="004A48C8"/>
    <w:rsid w:val="004A4B88"/>
    <w:rsid w:val="004A4EE3"/>
    <w:rsid w:val="004A5246"/>
    <w:rsid w:val="004A6937"/>
    <w:rsid w:val="004A6AA2"/>
    <w:rsid w:val="004A7544"/>
    <w:rsid w:val="004A768B"/>
    <w:rsid w:val="004A7741"/>
    <w:rsid w:val="004B05EE"/>
    <w:rsid w:val="004B0773"/>
    <w:rsid w:val="004B1208"/>
    <w:rsid w:val="004B2411"/>
    <w:rsid w:val="004B293A"/>
    <w:rsid w:val="004B350D"/>
    <w:rsid w:val="004B459E"/>
    <w:rsid w:val="004B4AD0"/>
    <w:rsid w:val="004B5777"/>
    <w:rsid w:val="004B5A22"/>
    <w:rsid w:val="004B5A42"/>
    <w:rsid w:val="004B5D3A"/>
    <w:rsid w:val="004B5FAC"/>
    <w:rsid w:val="004B6D39"/>
    <w:rsid w:val="004B6E23"/>
    <w:rsid w:val="004C01C2"/>
    <w:rsid w:val="004C05D2"/>
    <w:rsid w:val="004C0C0B"/>
    <w:rsid w:val="004C0F19"/>
    <w:rsid w:val="004C117D"/>
    <w:rsid w:val="004C1880"/>
    <w:rsid w:val="004C2F1B"/>
    <w:rsid w:val="004C3590"/>
    <w:rsid w:val="004C3DE4"/>
    <w:rsid w:val="004C3F45"/>
    <w:rsid w:val="004C485F"/>
    <w:rsid w:val="004C4AA1"/>
    <w:rsid w:val="004C4C71"/>
    <w:rsid w:val="004C5553"/>
    <w:rsid w:val="004C6708"/>
    <w:rsid w:val="004C67C1"/>
    <w:rsid w:val="004C6F33"/>
    <w:rsid w:val="004C70DC"/>
    <w:rsid w:val="004C71C8"/>
    <w:rsid w:val="004D0656"/>
    <w:rsid w:val="004D09DD"/>
    <w:rsid w:val="004D1440"/>
    <w:rsid w:val="004D1B6D"/>
    <w:rsid w:val="004D1DF5"/>
    <w:rsid w:val="004D2DAA"/>
    <w:rsid w:val="004D3047"/>
    <w:rsid w:val="004D482D"/>
    <w:rsid w:val="004D4FC9"/>
    <w:rsid w:val="004D6B1B"/>
    <w:rsid w:val="004D79C4"/>
    <w:rsid w:val="004E0D32"/>
    <w:rsid w:val="004E149E"/>
    <w:rsid w:val="004E19AB"/>
    <w:rsid w:val="004E29C0"/>
    <w:rsid w:val="004E357A"/>
    <w:rsid w:val="004E358E"/>
    <w:rsid w:val="004E390D"/>
    <w:rsid w:val="004E3B36"/>
    <w:rsid w:val="004E40EF"/>
    <w:rsid w:val="004E4B3B"/>
    <w:rsid w:val="004E50DD"/>
    <w:rsid w:val="004E681F"/>
    <w:rsid w:val="004E68A6"/>
    <w:rsid w:val="004E6EC3"/>
    <w:rsid w:val="004E7335"/>
    <w:rsid w:val="004E73F7"/>
    <w:rsid w:val="004F0E48"/>
    <w:rsid w:val="004F11F4"/>
    <w:rsid w:val="004F1453"/>
    <w:rsid w:val="004F16C3"/>
    <w:rsid w:val="004F1AC6"/>
    <w:rsid w:val="004F1C80"/>
    <w:rsid w:val="004F2619"/>
    <w:rsid w:val="004F26E7"/>
    <w:rsid w:val="004F2B2F"/>
    <w:rsid w:val="004F2ECB"/>
    <w:rsid w:val="004F35B5"/>
    <w:rsid w:val="004F368D"/>
    <w:rsid w:val="004F44BB"/>
    <w:rsid w:val="004F4634"/>
    <w:rsid w:val="004F469E"/>
    <w:rsid w:val="004F516A"/>
    <w:rsid w:val="004F54B0"/>
    <w:rsid w:val="004F66E9"/>
    <w:rsid w:val="004F76A0"/>
    <w:rsid w:val="004F7C11"/>
    <w:rsid w:val="004F7E86"/>
    <w:rsid w:val="00500E7F"/>
    <w:rsid w:val="00501324"/>
    <w:rsid w:val="00502320"/>
    <w:rsid w:val="00502BAF"/>
    <w:rsid w:val="005031A7"/>
    <w:rsid w:val="005037B2"/>
    <w:rsid w:val="00504C31"/>
    <w:rsid w:val="0050523F"/>
    <w:rsid w:val="0050617A"/>
    <w:rsid w:val="005064EF"/>
    <w:rsid w:val="005066EE"/>
    <w:rsid w:val="0050732E"/>
    <w:rsid w:val="00511440"/>
    <w:rsid w:val="0051275D"/>
    <w:rsid w:val="0051289A"/>
    <w:rsid w:val="00512E4B"/>
    <w:rsid w:val="005134A5"/>
    <w:rsid w:val="00513676"/>
    <w:rsid w:val="00513A20"/>
    <w:rsid w:val="00513C38"/>
    <w:rsid w:val="00513D25"/>
    <w:rsid w:val="005145C5"/>
    <w:rsid w:val="0051531C"/>
    <w:rsid w:val="005157B8"/>
    <w:rsid w:val="00515D1D"/>
    <w:rsid w:val="00515E2C"/>
    <w:rsid w:val="00516B10"/>
    <w:rsid w:val="00516F79"/>
    <w:rsid w:val="00517141"/>
    <w:rsid w:val="00517A47"/>
    <w:rsid w:val="00517CDB"/>
    <w:rsid w:val="00517EA8"/>
    <w:rsid w:val="005202F3"/>
    <w:rsid w:val="00520C3F"/>
    <w:rsid w:val="005212D6"/>
    <w:rsid w:val="0052179D"/>
    <w:rsid w:val="0052268B"/>
    <w:rsid w:val="0052274B"/>
    <w:rsid w:val="00523B20"/>
    <w:rsid w:val="00523FC7"/>
    <w:rsid w:val="00524C1F"/>
    <w:rsid w:val="00524C50"/>
    <w:rsid w:val="00524C85"/>
    <w:rsid w:val="0052533C"/>
    <w:rsid w:val="00525349"/>
    <w:rsid w:val="005254A4"/>
    <w:rsid w:val="0052577F"/>
    <w:rsid w:val="00525F67"/>
    <w:rsid w:val="00526085"/>
    <w:rsid w:val="00526B23"/>
    <w:rsid w:val="0052752E"/>
    <w:rsid w:val="00527927"/>
    <w:rsid w:val="00530718"/>
    <w:rsid w:val="00530DFB"/>
    <w:rsid w:val="0053143B"/>
    <w:rsid w:val="00531CD6"/>
    <w:rsid w:val="00531CF2"/>
    <w:rsid w:val="00531F95"/>
    <w:rsid w:val="0053255A"/>
    <w:rsid w:val="00532898"/>
    <w:rsid w:val="005336AE"/>
    <w:rsid w:val="00534476"/>
    <w:rsid w:val="00534F3B"/>
    <w:rsid w:val="00535280"/>
    <w:rsid w:val="005357F1"/>
    <w:rsid w:val="00535F99"/>
    <w:rsid w:val="00536C25"/>
    <w:rsid w:val="00537465"/>
    <w:rsid w:val="00540029"/>
    <w:rsid w:val="00540F35"/>
    <w:rsid w:val="005417DF"/>
    <w:rsid w:val="00541909"/>
    <w:rsid w:val="005423E7"/>
    <w:rsid w:val="00542DA7"/>
    <w:rsid w:val="00542FF2"/>
    <w:rsid w:val="00543481"/>
    <w:rsid w:val="00543D0E"/>
    <w:rsid w:val="00544AB5"/>
    <w:rsid w:val="00544AD9"/>
    <w:rsid w:val="005456A9"/>
    <w:rsid w:val="00545F57"/>
    <w:rsid w:val="00546A0A"/>
    <w:rsid w:val="005478F4"/>
    <w:rsid w:val="00550493"/>
    <w:rsid w:val="00550AEF"/>
    <w:rsid w:val="00550CDC"/>
    <w:rsid w:val="00550F4A"/>
    <w:rsid w:val="00551962"/>
    <w:rsid w:val="00551EDC"/>
    <w:rsid w:val="005536D1"/>
    <w:rsid w:val="00553993"/>
    <w:rsid w:val="00553C05"/>
    <w:rsid w:val="005547E6"/>
    <w:rsid w:val="00554C96"/>
    <w:rsid w:val="00554F10"/>
    <w:rsid w:val="005554BB"/>
    <w:rsid w:val="005554EF"/>
    <w:rsid w:val="005557FD"/>
    <w:rsid w:val="0055588A"/>
    <w:rsid w:val="00555D52"/>
    <w:rsid w:val="00556356"/>
    <w:rsid w:val="00556373"/>
    <w:rsid w:val="005564E4"/>
    <w:rsid w:val="005566D7"/>
    <w:rsid w:val="005567E4"/>
    <w:rsid w:val="005569C6"/>
    <w:rsid w:val="005573F6"/>
    <w:rsid w:val="0055752A"/>
    <w:rsid w:val="005578D8"/>
    <w:rsid w:val="005609CC"/>
    <w:rsid w:val="00561F7F"/>
    <w:rsid w:val="00562A7F"/>
    <w:rsid w:val="0056366D"/>
    <w:rsid w:val="00563DBE"/>
    <w:rsid w:val="00563FEC"/>
    <w:rsid w:val="00564A22"/>
    <w:rsid w:val="00566112"/>
    <w:rsid w:val="00566B35"/>
    <w:rsid w:val="00566FE5"/>
    <w:rsid w:val="00567F77"/>
    <w:rsid w:val="00570A5A"/>
    <w:rsid w:val="0057124D"/>
    <w:rsid w:val="00571D2C"/>
    <w:rsid w:val="005720C5"/>
    <w:rsid w:val="005732CC"/>
    <w:rsid w:val="00573697"/>
    <w:rsid w:val="00574504"/>
    <w:rsid w:val="00574636"/>
    <w:rsid w:val="00575422"/>
    <w:rsid w:val="00575E90"/>
    <w:rsid w:val="0057680D"/>
    <w:rsid w:val="005771A4"/>
    <w:rsid w:val="00577964"/>
    <w:rsid w:val="005803F5"/>
    <w:rsid w:val="00580D2D"/>
    <w:rsid w:val="00580F6F"/>
    <w:rsid w:val="005812E3"/>
    <w:rsid w:val="0058146D"/>
    <w:rsid w:val="00581D34"/>
    <w:rsid w:val="0058269F"/>
    <w:rsid w:val="005832E7"/>
    <w:rsid w:val="00583C35"/>
    <w:rsid w:val="00583DE7"/>
    <w:rsid w:val="00583F06"/>
    <w:rsid w:val="005843BA"/>
    <w:rsid w:val="00584947"/>
    <w:rsid w:val="005866EB"/>
    <w:rsid w:val="005868C1"/>
    <w:rsid w:val="0058728F"/>
    <w:rsid w:val="005879F4"/>
    <w:rsid w:val="00592350"/>
    <w:rsid w:val="00592361"/>
    <w:rsid w:val="0059288F"/>
    <w:rsid w:val="00592BE6"/>
    <w:rsid w:val="00592EF3"/>
    <w:rsid w:val="0059339E"/>
    <w:rsid w:val="005938C6"/>
    <w:rsid w:val="005938E1"/>
    <w:rsid w:val="005939C9"/>
    <w:rsid w:val="00593BAC"/>
    <w:rsid w:val="00594049"/>
    <w:rsid w:val="00594189"/>
    <w:rsid w:val="005947A5"/>
    <w:rsid w:val="00594E87"/>
    <w:rsid w:val="0059520B"/>
    <w:rsid w:val="005956F3"/>
    <w:rsid w:val="00596708"/>
    <w:rsid w:val="00596A75"/>
    <w:rsid w:val="00596D28"/>
    <w:rsid w:val="00597A9D"/>
    <w:rsid w:val="005A0387"/>
    <w:rsid w:val="005A0431"/>
    <w:rsid w:val="005A04F8"/>
    <w:rsid w:val="005A0CB5"/>
    <w:rsid w:val="005A1763"/>
    <w:rsid w:val="005A1F5B"/>
    <w:rsid w:val="005A20BA"/>
    <w:rsid w:val="005A2899"/>
    <w:rsid w:val="005A29F6"/>
    <w:rsid w:val="005A2BD9"/>
    <w:rsid w:val="005A427E"/>
    <w:rsid w:val="005A516C"/>
    <w:rsid w:val="005A5FB6"/>
    <w:rsid w:val="005A6063"/>
    <w:rsid w:val="005A64C4"/>
    <w:rsid w:val="005A6DB5"/>
    <w:rsid w:val="005A7190"/>
    <w:rsid w:val="005A746C"/>
    <w:rsid w:val="005A7AF5"/>
    <w:rsid w:val="005A7FD7"/>
    <w:rsid w:val="005B051C"/>
    <w:rsid w:val="005B06C4"/>
    <w:rsid w:val="005B0E5E"/>
    <w:rsid w:val="005B141E"/>
    <w:rsid w:val="005B1A6A"/>
    <w:rsid w:val="005B21F4"/>
    <w:rsid w:val="005B24AA"/>
    <w:rsid w:val="005B2F78"/>
    <w:rsid w:val="005B3752"/>
    <w:rsid w:val="005B5861"/>
    <w:rsid w:val="005B5D7B"/>
    <w:rsid w:val="005B6130"/>
    <w:rsid w:val="005B61C2"/>
    <w:rsid w:val="005B64C7"/>
    <w:rsid w:val="005B73C9"/>
    <w:rsid w:val="005B7C49"/>
    <w:rsid w:val="005C0115"/>
    <w:rsid w:val="005C0AEF"/>
    <w:rsid w:val="005C0E2E"/>
    <w:rsid w:val="005C1214"/>
    <w:rsid w:val="005C218B"/>
    <w:rsid w:val="005C267F"/>
    <w:rsid w:val="005C278B"/>
    <w:rsid w:val="005C299A"/>
    <w:rsid w:val="005C2CFC"/>
    <w:rsid w:val="005C3084"/>
    <w:rsid w:val="005C314B"/>
    <w:rsid w:val="005C4036"/>
    <w:rsid w:val="005C4328"/>
    <w:rsid w:val="005C4C3C"/>
    <w:rsid w:val="005C4E27"/>
    <w:rsid w:val="005C5CBC"/>
    <w:rsid w:val="005C5ED4"/>
    <w:rsid w:val="005C6240"/>
    <w:rsid w:val="005C7A3A"/>
    <w:rsid w:val="005D03EF"/>
    <w:rsid w:val="005D0782"/>
    <w:rsid w:val="005D09EA"/>
    <w:rsid w:val="005D0CB7"/>
    <w:rsid w:val="005D1643"/>
    <w:rsid w:val="005D1E12"/>
    <w:rsid w:val="005D2480"/>
    <w:rsid w:val="005D25A0"/>
    <w:rsid w:val="005D26B7"/>
    <w:rsid w:val="005D2723"/>
    <w:rsid w:val="005D2E20"/>
    <w:rsid w:val="005D3D0D"/>
    <w:rsid w:val="005D41B2"/>
    <w:rsid w:val="005D4AA1"/>
    <w:rsid w:val="005D4B42"/>
    <w:rsid w:val="005D5172"/>
    <w:rsid w:val="005D6334"/>
    <w:rsid w:val="005D7EF7"/>
    <w:rsid w:val="005E02DB"/>
    <w:rsid w:val="005E0771"/>
    <w:rsid w:val="005E200A"/>
    <w:rsid w:val="005E2123"/>
    <w:rsid w:val="005E215E"/>
    <w:rsid w:val="005E228C"/>
    <w:rsid w:val="005E22FD"/>
    <w:rsid w:val="005E2355"/>
    <w:rsid w:val="005E262E"/>
    <w:rsid w:val="005E2B52"/>
    <w:rsid w:val="005E3A90"/>
    <w:rsid w:val="005E4A5A"/>
    <w:rsid w:val="005E4CBD"/>
    <w:rsid w:val="005E4EDF"/>
    <w:rsid w:val="005E5D3E"/>
    <w:rsid w:val="005E5ED8"/>
    <w:rsid w:val="005E6437"/>
    <w:rsid w:val="005E6DD8"/>
    <w:rsid w:val="005E6FBE"/>
    <w:rsid w:val="005E7351"/>
    <w:rsid w:val="005E7D02"/>
    <w:rsid w:val="005F1F86"/>
    <w:rsid w:val="005F2019"/>
    <w:rsid w:val="005F3835"/>
    <w:rsid w:val="005F3A5A"/>
    <w:rsid w:val="005F4EE4"/>
    <w:rsid w:val="005F4FA0"/>
    <w:rsid w:val="005F5B73"/>
    <w:rsid w:val="005F7245"/>
    <w:rsid w:val="005F7C10"/>
    <w:rsid w:val="005F7D5D"/>
    <w:rsid w:val="005F7EC8"/>
    <w:rsid w:val="005F7F03"/>
    <w:rsid w:val="005F7FC3"/>
    <w:rsid w:val="006012F4"/>
    <w:rsid w:val="0060146C"/>
    <w:rsid w:val="0060207D"/>
    <w:rsid w:val="00602492"/>
    <w:rsid w:val="006035B6"/>
    <w:rsid w:val="0060368E"/>
    <w:rsid w:val="00603946"/>
    <w:rsid w:val="006039F2"/>
    <w:rsid w:val="00603A31"/>
    <w:rsid w:val="00604E1B"/>
    <w:rsid w:val="0060576E"/>
    <w:rsid w:val="0060582C"/>
    <w:rsid w:val="006061B0"/>
    <w:rsid w:val="00606821"/>
    <w:rsid w:val="006072EB"/>
    <w:rsid w:val="0060732E"/>
    <w:rsid w:val="006076A9"/>
    <w:rsid w:val="00607E68"/>
    <w:rsid w:val="006100FA"/>
    <w:rsid w:val="006104B8"/>
    <w:rsid w:val="00610874"/>
    <w:rsid w:val="00610C7F"/>
    <w:rsid w:val="006114DE"/>
    <w:rsid w:val="00611521"/>
    <w:rsid w:val="0061187C"/>
    <w:rsid w:val="00611D05"/>
    <w:rsid w:val="00611DCF"/>
    <w:rsid w:val="00612024"/>
    <w:rsid w:val="006120BD"/>
    <w:rsid w:val="006143D5"/>
    <w:rsid w:val="006160E0"/>
    <w:rsid w:val="0061624D"/>
    <w:rsid w:val="00616924"/>
    <w:rsid w:val="006170E4"/>
    <w:rsid w:val="006172C4"/>
    <w:rsid w:val="00617440"/>
    <w:rsid w:val="006174F4"/>
    <w:rsid w:val="00617F19"/>
    <w:rsid w:val="0062061D"/>
    <w:rsid w:val="006208CB"/>
    <w:rsid w:val="00620D4D"/>
    <w:rsid w:val="00620F6C"/>
    <w:rsid w:val="00621685"/>
    <w:rsid w:val="00621DE2"/>
    <w:rsid w:val="006235C0"/>
    <w:rsid w:val="0062425F"/>
    <w:rsid w:val="006242DD"/>
    <w:rsid w:val="00624446"/>
    <w:rsid w:val="0062445B"/>
    <w:rsid w:val="00624472"/>
    <w:rsid w:val="006246B7"/>
    <w:rsid w:val="006259E9"/>
    <w:rsid w:val="00625E92"/>
    <w:rsid w:val="00625F2D"/>
    <w:rsid w:val="00627007"/>
    <w:rsid w:val="00627A91"/>
    <w:rsid w:val="006306F3"/>
    <w:rsid w:val="00630F66"/>
    <w:rsid w:val="006311BB"/>
    <w:rsid w:val="0063141B"/>
    <w:rsid w:val="00631D41"/>
    <w:rsid w:val="00632DD4"/>
    <w:rsid w:val="00633528"/>
    <w:rsid w:val="00634481"/>
    <w:rsid w:val="00634C1D"/>
    <w:rsid w:val="00634C22"/>
    <w:rsid w:val="00635952"/>
    <w:rsid w:val="00635C90"/>
    <w:rsid w:val="006360BD"/>
    <w:rsid w:val="006360F2"/>
    <w:rsid w:val="0063699B"/>
    <w:rsid w:val="0063716F"/>
    <w:rsid w:val="006410D0"/>
    <w:rsid w:val="0064149B"/>
    <w:rsid w:val="00641800"/>
    <w:rsid w:val="00641AA5"/>
    <w:rsid w:val="006448A3"/>
    <w:rsid w:val="0064495C"/>
    <w:rsid w:val="006467B8"/>
    <w:rsid w:val="00646C1D"/>
    <w:rsid w:val="006472F0"/>
    <w:rsid w:val="00647535"/>
    <w:rsid w:val="00647538"/>
    <w:rsid w:val="006507DC"/>
    <w:rsid w:val="006516C1"/>
    <w:rsid w:val="00652659"/>
    <w:rsid w:val="0065324B"/>
    <w:rsid w:val="006536D3"/>
    <w:rsid w:val="006544EA"/>
    <w:rsid w:val="0065497F"/>
    <w:rsid w:val="00655A33"/>
    <w:rsid w:val="0065648F"/>
    <w:rsid w:val="00657133"/>
    <w:rsid w:val="00657241"/>
    <w:rsid w:val="006572B5"/>
    <w:rsid w:val="00657452"/>
    <w:rsid w:val="00660DF5"/>
    <w:rsid w:val="00660FC9"/>
    <w:rsid w:val="00661732"/>
    <w:rsid w:val="006629FD"/>
    <w:rsid w:val="00663401"/>
    <w:rsid w:val="006635B3"/>
    <w:rsid w:val="00664261"/>
    <w:rsid w:val="00664E1A"/>
    <w:rsid w:val="0066569F"/>
    <w:rsid w:val="006656B5"/>
    <w:rsid w:val="00665CFF"/>
    <w:rsid w:val="00666020"/>
    <w:rsid w:val="0066625F"/>
    <w:rsid w:val="0066631A"/>
    <w:rsid w:val="0066638D"/>
    <w:rsid w:val="00666427"/>
    <w:rsid w:val="00667564"/>
    <w:rsid w:val="00667C33"/>
    <w:rsid w:val="00670394"/>
    <w:rsid w:val="00670774"/>
    <w:rsid w:val="006712B2"/>
    <w:rsid w:val="00671576"/>
    <w:rsid w:val="00671D49"/>
    <w:rsid w:val="0067222A"/>
    <w:rsid w:val="006722E4"/>
    <w:rsid w:val="00672B50"/>
    <w:rsid w:val="00673C9A"/>
    <w:rsid w:val="00674A0C"/>
    <w:rsid w:val="00674CCF"/>
    <w:rsid w:val="00675F62"/>
    <w:rsid w:val="00676427"/>
    <w:rsid w:val="0067686A"/>
    <w:rsid w:val="00676E60"/>
    <w:rsid w:val="006772CA"/>
    <w:rsid w:val="0067730B"/>
    <w:rsid w:val="00680812"/>
    <w:rsid w:val="00680E67"/>
    <w:rsid w:val="006818CA"/>
    <w:rsid w:val="0068336E"/>
    <w:rsid w:val="00683B1A"/>
    <w:rsid w:val="0068497C"/>
    <w:rsid w:val="0068549E"/>
    <w:rsid w:val="006864C4"/>
    <w:rsid w:val="00687744"/>
    <w:rsid w:val="00687A31"/>
    <w:rsid w:val="00687FAF"/>
    <w:rsid w:val="0069004B"/>
    <w:rsid w:val="0069042E"/>
    <w:rsid w:val="006906D9"/>
    <w:rsid w:val="006911E3"/>
    <w:rsid w:val="006913D5"/>
    <w:rsid w:val="00691954"/>
    <w:rsid w:val="00692672"/>
    <w:rsid w:val="00692EE2"/>
    <w:rsid w:val="006931F4"/>
    <w:rsid w:val="00695062"/>
    <w:rsid w:val="00695148"/>
    <w:rsid w:val="006959A9"/>
    <w:rsid w:val="006963D4"/>
    <w:rsid w:val="00696967"/>
    <w:rsid w:val="00697432"/>
    <w:rsid w:val="00697D05"/>
    <w:rsid w:val="006A08ED"/>
    <w:rsid w:val="006A1FD7"/>
    <w:rsid w:val="006A2058"/>
    <w:rsid w:val="006A21CB"/>
    <w:rsid w:val="006A2F24"/>
    <w:rsid w:val="006A5BCC"/>
    <w:rsid w:val="006A668F"/>
    <w:rsid w:val="006A6F8D"/>
    <w:rsid w:val="006A7276"/>
    <w:rsid w:val="006A7EF2"/>
    <w:rsid w:val="006B0390"/>
    <w:rsid w:val="006B065E"/>
    <w:rsid w:val="006B08EB"/>
    <w:rsid w:val="006B0B54"/>
    <w:rsid w:val="006B11D0"/>
    <w:rsid w:val="006B13D1"/>
    <w:rsid w:val="006B4255"/>
    <w:rsid w:val="006B448C"/>
    <w:rsid w:val="006B481F"/>
    <w:rsid w:val="006B54AB"/>
    <w:rsid w:val="006B56B6"/>
    <w:rsid w:val="006B5BBB"/>
    <w:rsid w:val="006B5C72"/>
    <w:rsid w:val="006C04A7"/>
    <w:rsid w:val="006C0D83"/>
    <w:rsid w:val="006C1B7F"/>
    <w:rsid w:val="006C1E5B"/>
    <w:rsid w:val="006C1FE2"/>
    <w:rsid w:val="006C2076"/>
    <w:rsid w:val="006C2762"/>
    <w:rsid w:val="006C305D"/>
    <w:rsid w:val="006C39E9"/>
    <w:rsid w:val="006C3C67"/>
    <w:rsid w:val="006C3FBC"/>
    <w:rsid w:val="006C75B3"/>
    <w:rsid w:val="006C7636"/>
    <w:rsid w:val="006D180D"/>
    <w:rsid w:val="006D183B"/>
    <w:rsid w:val="006D27F4"/>
    <w:rsid w:val="006D4386"/>
    <w:rsid w:val="006D476D"/>
    <w:rsid w:val="006D4DAC"/>
    <w:rsid w:val="006D4DD8"/>
    <w:rsid w:val="006D4F78"/>
    <w:rsid w:val="006D5918"/>
    <w:rsid w:val="006D5B0A"/>
    <w:rsid w:val="006D63C0"/>
    <w:rsid w:val="006D70D6"/>
    <w:rsid w:val="006D71F8"/>
    <w:rsid w:val="006D770A"/>
    <w:rsid w:val="006D7887"/>
    <w:rsid w:val="006E0EAF"/>
    <w:rsid w:val="006E10A8"/>
    <w:rsid w:val="006E1466"/>
    <w:rsid w:val="006E2790"/>
    <w:rsid w:val="006E2797"/>
    <w:rsid w:val="006E2D2C"/>
    <w:rsid w:val="006E3B90"/>
    <w:rsid w:val="006E479A"/>
    <w:rsid w:val="006E4CA1"/>
    <w:rsid w:val="006E4D65"/>
    <w:rsid w:val="006E4E93"/>
    <w:rsid w:val="006E5EDE"/>
    <w:rsid w:val="006E6214"/>
    <w:rsid w:val="006E74AB"/>
    <w:rsid w:val="006E78F8"/>
    <w:rsid w:val="006E7E9B"/>
    <w:rsid w:val="006E7FB5"/>
    <w:rsid w:val="006F138C"/>
    <w:rsid w:val="006F1483"/>
    <w:rsid w:val="006F2519"/>
    <w:rsid w:val="006F2FC9"/>
    <w:rsid w:val="006F427C"/>
    <w:rsid w:val="006F436F"/>
    <w:rsid w:val="006F5216"/>
    <w:rsid w:val="006F5EBC"/>
    <w:rsid w:val="006F6328"/>
    <w:rsid w:val="006F638E"/>
    <w:rsid w:val="006F67F4"/>
    <w:rsid w:val="006F6BC2"/>
    <w:rsid w:val="006F78EC"/>
    <w:rsid w:val="006F7C80"/>
    <w:rsid w:val="006F7E6E"/>
    <w:rsid w:val="00700967"/>
    <w:rsid w:val="00701382"/>
    <w:rsid w:val="00701F54"/>
    <w:rsid w:val="007023EB"/>
    <w:rsid w:val="007026D4"/>
    <w:rsid w:val="0070329F"/>
    <w:rsid w:val="007033A9"/>
    <w:rsid w:val="00703CCF"/>
    <w:rsid w:val="00703E42"/>
    <w:rsid w:val="00704094"/>
    <w:rsid w:val="007045FC"/>
    <w:rsid w:val="00706928"/>
    <w:rsid w:val="00707E48"/>
    <w:rsid w:val="007108A2"/>
    <w:rsid w:val="007109EE"/>
    <w:rsid w:val="00710A27"/>
    <w:rsid w:val="00710C9F"/>
    <w:rsid w:val="00710D78"/>
    <w:rsid w:val="007113BD"/>
    <w:rsid w:val="007118D4"/>
    <w:rsid w:val="00712035"/>
    <w:rsid w:val="00712BA1"/>
    <w:rsid w:val="00713702"/>
    <w:rsid w:val="00714AD6"/>
    <w:rsid w:val="00715014"/>
    <w:rsid w:val="00715B0B"/>
    <w:rsid w:val="00715C8F"/>
    <w:rsid w:val="007161A6"/>
    <w:rsid w:val="007171D3"/>
    <w:rsid w:val="00717BE2"/>
    <w:rsid w:val="0072011C"/>
    <w:rsid w:val="007202AE"/>
    <w:rsid w:val="0072066E"/>
    <w:rsid w:val="00720721"/>
    <w:rsid w:val="00720D0A"/>
    <w:rsid w:val="007211E6"/>
    <w:rsid w:val="00721C5B"/>
    <w:rsid w:val="00721E33"/>
    <w:rsid w:val="0072292B"/>
    <w:rsid w:val="00723B28"/>
    <w:rsid w:val="0072401D"/>
    <w:rsid w:val="007244F9"/>
    <w:rsid w:val="0072452C"/>
    <w:rsid w:val="00724E88"/>
    <w:rsid w:val="00724FEA"/>
    <w:rsid w:val="0072545A"/>
    <w:rsid w:val="00725EC7"/>
    <w:rsid w:val="007272B0"/>
    <w:rsid w:val="0072766F"/>
    <w:rsid w:val="00727EB4"/>
    <w:rsid w:val="00730367"/>
    <w:rsid w:val="00730C75"/>
    <w:rsid w:val="00730F19"/>
    <w:rsid w:val="007314C1"/>
    <w:rsid w:val="0073157A"/>
    <w:rsid w:val="00731921"/>
    <w:rsid w:val="00731C94"/>
    <w:rsid w:val="00732949"/>
    <w:rsid w:val="007329F8"/>
    <w:rsid w:val="00733135"/>
    <w:rsid w:val="007336D2"/>
    <w:rsid w:val="00734675"/>
    <w:rsid w:val="00734945"/>
    <w:rsid w:val="00735078"/>
    <w:rsid w:val="007355CE"/>
    <w:rsid w:val="007360E3"/>
    <w:rsid w:val="0073668A"/>
    <w:rsid w:val="007368AD"/>
    <w:rsid w:val="00737296"/>
    <w:rsid w:val="00737556"/>
    <w:rsid w:val="00737AC7"/>
    <w:rsid w:val="0074092C"/>
    <w:rsid w:val="00741424"/>
    <w:rsid w:val="007425FA"/>
    <w:rsid w:val="007434E9"/>
    <w:rsid w:val="0074382F"/>
    <w:rsid w:val="00743B5B"/>
    <w:rsid w:val="00745618"/>
    <w:rsid w:val="0074562B"/>
    <w:rsid w:val="007459BC"/>
    <w:rsid w:val="00746797"/>
    <w:rsid w:val="007477C0"/>
    <w:rsid w:val="00747EEE"/>
    <w:rsid w:val="00750B2B"/>
    <w:rsid w:val="00750CCA"/>
    <w:rsid w:val="007516A0"/>
    <w:rsid w:val="007516DB"/>
    <w:rsid w:val="00751D2A"/>
    <w:rsid w:val="00751D6D"/>
    <w:rsid w:val="0075210C"/>
    <w:rsid w:val="00752EFA"/>
    <w:rsid w:val="00753760"/>
    <w:rsid w:val="0075415B"/>
    <w:rsid w:val="0075417F"/>
    <w:rsid w:val="007545A3"/>
    <w:rsid w:val="007548B7"/>
    <w:rsid w:val="00754945"/>
    <w:rsid w:val="00755095"/>
    <w:rsid w:val="0075524D"/>
    <w:rsid w:val="00755A32"/>
    <w:rsid w:val="00755B75"/>
    <w:rsid w:val="00755DD6"/>
    <w:rsid w:val="00756A24"/>
    <w:rsid w:val="00757F81"/>
    <w:rsid w:val="007607E1"/>
    <w:rsid w:val="007621C8"/>
    <w:rsid w:val="00763446"/>
    <w:rsid w:val="0076350A"/>
    <w:rsid w:val="00763DCE"/>
    <w:rsid w:val="0076533C"/>
    <w:rsid w:val="00766871"/>
    <w:rsid w:val="00766B0C"/>
    <w:rsid w:val="0076718C"/>
    <w:rsid w:val="007679EA"/>
    <w:rsid w:val="0077171B"/>
    <w:rsid w:val="00771E54"/>
    <w:rsid w:val="00772064"/>
    <w:rsid w:val="00772284"/>
    <w:rsid w:val="0077232D"/>
    <w:rsid w:val="0077256D"/>
    <w:rsid w:val="00772EFF"/>
    <w:rsid w:val="00773D47"/>
    <w:rsid w:val="007742DF"/>
    <w:rsid w:val="0077445B"/>
    <w:rsid w:val="007754CA"/>
    <w:rsid w:val="00775C8C"/>
    <w:rsid w:val="0077632E"/>
    <w:rsid w:val="007768B8"/>
    <w:rsid w:val="00776B85"/>
    <w:rsid w:val="00780CA6"/>
    <w:rsid w:val="00780E29"/>
    <w:rsid w:val="00781517"/>
    <w:rsid w:val="007820EF"/>
    <w:rsid w:val="00783510"/>
    <w:rsid w:val="007836C7"/>
    <w:rsid w:val="00783B16"/>
    <w:rsid w:val="0078406B"/>
    <w:rsid w:val="0078413F"/>
    <w:rsid w:val="00784984"/>
    <w:rsid w:val="00785055"/>
    <w:rsid w:val="00785266"/>
    <w:rsid w:val="007855F3"/>
    <w:rsid w:val="007856EA"/>
    <w:rsid w:val="007858B1"/>
    <w:rsid w:val="00785A40"/>
    <w:rsid w:val="00785F65"/>
    <w:rsid w:val="00786450"/>
    <w:rsid w:val="0078730A"/>
    <w:rsid w:val="00790760"/>
    <w:rsid w:val="00790859"/>
    <w:rsid w:val="00790EA1"/>
    <w:rsid w:val="00791066"/>
    <w:rsid w:val="00792158"/>
    <w:rsid w:val="00792600"/>
    <w:rsid w:val="007928A3"/>
    <w:rsid w:val="007931B5"/>
    <w:rsid w:val="0079466A"/>
    <w:rsid w:val="00795BBE"/>
    <w:rsid w:val="00796774"/>
    <w:rsid w:val="00796A07"/>
    <w:rsid w:val="00797847"/>
    <w:rsid w:val="007A05D3"/>
    <w:rsid w:val="007A0632"/>
    <w:rsid w:val="007A0E1D"/>
    <w:rsid w:val="007A154F"/>
    <w:rsid w:val="007A17A8"/>
    <w:rsid w:val="007A1BFE"/>
    <w:rsid w:val="007A2C7D"/>
    <w:rsid w:val="007A414C"/>
    <w:rsid w:val="007A4B9A"/>
    <w:rsid w:val="007A5B59"/>
    <w:rsid w:val="007A5C5C"/>
    <w:rsid w:val="007A5FF8"/>
    <w:rsid w:val="007A641B"/>
    <w:rsid w:val="007A677A"/>
    <w:rsid w:val="007A69A3"/>
    <w:rsid w:val="007A7287"/>
    <w:rsid w:val="007B10B4"/>
    <w:rsid w:val="007B131B"/>
    <w:rsid w:val="007B1744"/>
    <w:rsid w:val="007B276D"/>
    <w:rsid w:val="007B35C9"/>
    <w:rsid w:val="007B515A"/>
    <w:rsid w:val="007B5266"/>
    <w:rsid w:val="007B5ADA"/>
    <w:rsid w:val="007B5CAF"/>
    <w:rsid w:val="007C1250"/>
    <w:rsid w:val="007C2215"/>
    <w:rsid w:val="007C3128"/>
    <w:rsid w:val="007C32E8"/>
    <w:rsid w:val="007C3986"/>
    <w:rsid w:val="007C3B11"/>
    <w:rsid w:val="007C429E"/>
    <w:rsid w:val="007C5007"/>
    <w:rsid w:val="007C5E9A"/>
    <w:rsid w:val="007C6394"/>
    <w:rsid w:val="007C641B"/>
    <w:rsid w:val="007C698F"/>
    <w:rsid w:val="007C7065"/>
    <w:rsid w:val="007C729F"/>
    <w:rsid w:val="007C7D1B"/>
    <w:rsid w:val="007D0903"/>
    <w:rsid w:val="007D0B96"/>
    <w:rsid w:val="007D135D"/>
    <w:rsid w:val="007D1880"/>
    <w:rsid w:val="007D1983"/>
    <w:rsid w:val="007D2347"/>
    <w:rsid w:val="007D27A7"/>
    <w:rsid w:val="007D3558"/>
    <w:rsid w:val="007D3AB3"/>
    <w:rsid w:val="007D3B9A"/>
    <w:rsid w:val="007D3CD4"/>
    <w:rsid w:val="007D461D"/>
    <w:rsid w:val="007D470F"/>
    <w:rsid w:val="007D4C2A"/>
    <w:rsid w:val="007D4E90"/>
    <w:rsid w:val="007D59BE"/>
    <w:rsid w:val="007D62C5"/>
    <w:rsid w:val="007D62EF"/>
    <w:rsid w:val="007D660D"/>
    <w:rsid w:val="007D7A85"/>
    <w:rsid w:val="007E14A8"/>
    <w:rsid w:val="007E1810"/>
    <w:rsid w:val="007E1A6C"/>
    <w:rsid w:val="007E1BCF"/>
    <w:rsid w:val="007E1C61"/>
    <w:rsid w:val="007E2289"/>
    <w:rsid w:val="007E29B5"/>
    <w:rsid w:val="007E3C46"/>
    <w:rsid w:val="007E5C2C"/>
    <w:rsid w:val="007E677A"/>
    <w:rsid w:val="007F0C9C"/>
    <w:rsid w:val="007F10E3"/>
    <w:rsid w:val="007F137C"/>
    <w:rsid w:val="007F17B2"/>
    <w:rsid w:val="007F18B8"/>
    <w:rsid w:val="007F214A"/>
    <w:rsid w:val="007F2C0E"/>
    <w:rsid w:val="007F336B"/>
    <w:rsid w:val="007F3380"/>
    <w:rsid w:val="007F345C"/>
    <w:rsid w:val="007F395C"/>
    <w:rsid w:val="007F3E80"/>
    <w:rsid w:val="007F3F3C"/>
    <w:rsid w:val="007F40EE"/>
    <w:rsid w:val="007F43CA"/>
    <w:rsid w:val="007F5084"/>
    <w:rsid w:val="007F63FB"/>
    <w:rsid w:val="007F6876"/>
    <w:rsid w:val="007F6B8F"/>
    <w:rsid w:val="007F6C20"/>
    <w:rsid w:val="007F6D14"/>
    <w:rsid w:val="007F6D8E"/>
    <w:rsid w:val="007F6EAA"/>
    <w:rsid w:val="007F7610"/>
    <w:rsid w:val="007F79BA"/>
    <w:rsid w:val="00800576"/>
    <w:rsid w:val="008006EB"/>
    <w:rsid w:val="00800AE9"/>
    <w:rsid w:val="00802398"/>
    <w:rsid w:val="008024FD"/>
    <w:rsid w:val="008027A3"/>
    <w:rsid w:val="008031BB"/>
    <w:rsid w:val="0080374B"/>
    <w:rsid w:val="00803C7F"/>
    <w:rsid w:val="00804751"/>
    <w:rsid w:val="0080484B"/>
    <w:rsid w:val="00804AEB"/>
    <w:rsid w:val="00804BFC"/>
    <w:rsid w:val="008059F7"/>
    <w:rsid w:val="00806046"/>
    <w:rsid w:val="008062F6"/>
    <w:rsid w:val="00806330"/>
    <w:rsid w:val="00806C1B"/>
    <w:rsid w:val="00806E55"/>
    <w:rsid w:val="00807500"/>
    <w:rsid w:val="008076A7"/>
    <w:rsid w:val="008079F0"/>
    <w:rsid w:val="00807C76"/>
    <w:rsid w:val="0081108C"/>
    <w:rsid w:val="00811170"/>
    <w:rsid w:val="0081153F"/>
    <w:rsid w:val="00811BE8"/>
    <w:rsid w:val="00813410"/>
    <w:rsid w:val="00813AE2"/>
    <w:rsid w:val="0081410A"/>
    <w:rsid w:val="008141C5"/>
    <w:rsid w:val="00814B0E"/>
    <w:rsid w:val="0081522E"/>
    <w:rsid w:val="00816A7A"/>
    <w:rsid w:val="00816BB5"/>
    <w:rsid w:val="008170B2"/>
    <w:rsid w:val="008170D7"/>
    <w:rsid w:val="008175FC"/>
    <w:rsid w:val="00817A44"/>
    <w:rsid w:val="00820F5F"/>
    <w:rsid w:val="0082125D"/>
    <w:rsid w:val="00821C20"/>
    <w:rsid w:val="00821FF8"/>
    <w:rsid w:val="00823388"/>
    <w:rsid w:val="008236C8"/>
    <w:rsid w:val="00823D95"/>
    <w:rsid w:val="00824C49"/>
    <w:rsid w:val="00824CC8"/>
    <w:rsid w:val="00825020"/>
    <w:rsid w:val="00826031"/>
    <w:rsid w:val="008262CE"/>
    <w:rsid w:val="008263A2"/>
    <w:rsid w:val="00826414"/>
    <w:rsid w:val="008265C1"/>
    <w:rsid w:val="008273CA"/>
    <w:rsid w:val="008301FD"/>
    <w:rsid w:val="00831445"/>
    <w:rsid w:val="008332E1"/>
    <w:rsid w:val="008337FF"/>
    <w:rsid w:val="0083401B"/>
    <w:rsid w:val="008350D0"/>
    <w:rsid w:val="00835343"/>
    <w:rsid w:val="008354FD"/>
    <w:rsid w:val="00836AD2"/>
    <w:rsid w:val="00836D17"/>
    <w:rsid w:val="00837028"/>
    <w:rsid w:val="00837263"/>
    <w:rsid w:val="00837E7A"/>
    <w:rsid w:val="00840449"/>
    <w:rsid w:val="00840A55"/>
    <w:rsid w:val="00840CEB"/>
    <w:rsid w:val="00840D83"/>
    <w:rsid w:val="00840E18"/>
    <w:rsid w:val="008412AE"/>
    <w:rsid w:val="008412E7"/>
    <w:rsid w:val="008418EB"/>
    <w:rsid w:val="00841E25"/>
    <w:rsid w:val="00841FBD"/>
    <w:rsid w:val="00841FEA"/>
    <w:rsid w:val="0084365A"/>
    <w:rsid w:val="0084384B"/>
    <w:rsid w:val="00843F11"/>
    <w:rsid w:val="00844128"/>
    <w:rsid w:val="00844D8E"/>
    <w:rsid w:val="008454C6"/>
    <w:rsid w:val="00846269"/>
    <w:rsid w:val="008464CD"/>
    <w:rsid w:val="008466C8"/>
    <w:rsid w:val="0084684E"/>
    <w:rsid w:val="0084699D"/>
    <w:rsid w:val="00846B1A"/>
    <w:rsid w:val="0084798A"/>
    <w:rsid w:val="0085062E"/>
    <w:rsid w:val="008508F2"/>
    <w:rsid w:val="008513B0"/>
    <w:rsid w:val="008515EE"/>
    <w:rsid w:val="008516E4"/>
    <w:rsid w:val="00852499"/>
    <w:rsid w:val="00852845"/>
    <w:rsid w:val="00852B53"/>
    <w:rsid w:val="00852BC8"/>
    <w:rsid w:val="00853F38"/>
    <w:rsid w:val="00854124"/>
    <w:rsid w:val="008550FB"/>
    <w:rsid w:val="00855488"/>
    <w:rsid w:val="00855566"/>
    <w:rsid w:val="00855917"/>
    <w:rsid w:val="00855D8C"/>
    <w:rsid w:val="0085600D"/>
    <w:rsid w:val="00856B1C"/>
    <w:rsid w:val="00856DCC"/>
    <w:rsid w:val="00856F7D"/>
    <w:rsid w:val="008575B9"/>
    <w:rsid w:val="008575E3"/>
    <w:rsid w:val="00857CDD"/>
    <w:rsid w:val="00860299"/>
    <w:rsid w:val="00860760"/>
    <w:rsid w:val="008609B3"/>
    <w:rsid w:val="008615F6"/>
    <w:rsid w:val="00861BD8"/>
    <w:rsid w:val="00861C4E"/>
    <w:rsid w:val="00861D3A"/>
    <w:rsid w:val="00862667"/>
    <w:rsid w:val="00863543"/>
    <w:rsid w:val="008641D8"/>
    <w:rsid w:val="0086490E"/>
    <w:rsid w:val="008659B7"/>
    <w:rsid w:val="00866079"/>
    <w:rsid w:val="008661DF"/>
    <w:rsid w:val="00866327"/>
    <w:rsid w:val="00866D21"/>
    <w:rsid w:val="00866DF9"/>
    <w:rsid w:val="008676A1"/>
    <w:rsid w:val="00867796"/>
    <w:rsid w:val="00867E8C"/>
    <w:rsid w:val="008701C4"/>
    <w:rsid w:val="00870A20"/>
    <w:rsid w:val="00870D0E"/>
    <w:rsid w:val="008710FA"/>
    <w:rsid w:val="0087190C"/>
    <w:rsid w:val="008720E6"/>
    <w:rsid w:val="0087280B"/>
    <w:rsid w:val="00872D85"/>
    <w:rsid w:val="00872DCF"/>
    <w:rsid w:val="00873A9B"/>
    <w:rsid w:val="008740EE"/>
    <w:rsid w:val="008744DC"/>
    <w:rsid w:val="008745FB"/>
    <w:rsid w:val="00875620"/>
    <w:rsid w:val="00875720"/>
    <w:rsid w:val="008763AE"/>
    <w:rsid w:val="0087682A"/>
    <w:rsid w:val="00876A2F"/>
    <w:rsid w:val="008773A6"/>
    <w:rsid w:val="0088147D"/>
    <w:rsid w:val="00881828"/>
    <w:rsid w:val="008818D7"/>
    <w:rsid w:val="00881DCA"/>
    <w:rsid w:val="00883446"/>
    <w:rsid w:val="00883DDA"/>
    <w:rsid w:val="00884CBD"/>
    <w:rsid w:val="00885EA8"/>
    <w:rsid w:val="008863D6"/>
    <w:rsid w:val="00886648"/>
    <w:rsid w:val="00886791"/>
    <w:rsid w:val="00886F13"/>
    <w:rsid w:val="0088713B"/>
    <w:rsid w:val="008873E4"/>
    <w:rsid w:val="00890188"/>
    <w:rsid w:val="008903DF"/>
    <w:rsid w:val="00891755"/>
    <w:rsid w:val="00891FF9"/>
    <w:rsid w:val="00892298"/>
    <w:rsid w:val="008927D6"/>
    <w:rsid w:val="008928B2"/>
    <w:rsid w:val="00892DA2"/>
    <w:rsid w:val="00893367"/>
    <w:rsid w:val="00893612"/>
    <w:rsid w:val="0089379F"/>
    <w:rsid w:val="008939F6"/>
    <w:rsid w:val="00893D07"/>
    <w:rsid w:val="00893EDD"/>
    <w:rsid w:val="00895F40"/>
    <w:rsid w:val="008978DC"/>
    <w:rsid w:val="00897F23"/>
    <w:rsid w:val="008A041A"/>
    <w:rsid w:val="008A0661"/>
    <w:rsid w:val="008A0929"/>
    <w:rsid w:val="008A1927"/>
    <w:rsid w:val="008A21C4"/>
    <w:rsid w:val="008A2435"/>
    <w:rsid w:val="008A2D4C"/>
    <w:rsid w:val="008A306D"/>
    <w:rsid w:val="008A43FC"/>
    <w:rsid w:val="008A442E"/>
    <w:rsid w:val="008A4C5C"/>
    <w:rsid w:val="008A4CED"/>
    <w:rsid w:val="008A5705"/>
    <w:rsid w:val="008A597A"/>
    <w:rsid w:val="008A65FD"/>
    <w:rsid w:val="008A66E4"/>
    <w:rsid w:val="008A6B05"/>
    <w:rsid w:val="008A7139"/>
    <w:rsid w:val="008A746B"/>
    <w:rsid w:val="008B0078"/>
    <w:rsid w:val="008B02A0"/>
    <w:rsid w:val="008B06FC"/>
    <w:rsid w:val="008B1D08"/>
    <w:rsid w:val="008B25DE"/>
    <w:rsid w:val="008B2746"/>
    <w:rsid w:val="008B2906"/>
    <w:rsid w:val="008B29AD"/>
    <w:rsid w:val="008B31CA"/>
    <w:rsid w:val="008B382B"/>
    <w:rsid w:val="008B3C64"/>
    <w:rsid w:val="008B40CD"/>
    <w:rsid w:val="008B53C4"/>
    <w:rsid w:val="008B76A1"/>
    <w:rsid w:val="008B7956"/>
    <w:rsid w:val="008B7FC5"/>
    <w:rsid w:val="008C0014"/>
    <w:rsid w:val="008C010B"/>
    <w:rsid w:val="008C082D"/>
    <w:rsid w:val="008C0C5F"/>
    <w:rsid w:val="008C1B03"/>
    <w:rsid w:val="008C2B93"/>
    <w:rsid w:val="008C32F3"/>
    <w:rsid w:val="008C33BD"/>
    <w:rsid w:val="008C35C5"/>
    <w:rsid w:val="008C3722"/>
    <w:rsid w:val="008C3B67"/>
    <w:rsid w:val="008C3E91"/>
    <w:rsid w:val="008C3F48"/>
    <w:rsid w:val="008C4EDA"/>
    <w:rsid w:val="008C558F"/>
    <w:rsid w:val="008C5FDA"/>
    <w:rsid w:val="008C6418"/>
    <w:rsid w:val="008C6421"/>
    <w:rsid w:val="008C6913"/>
    <w:rsid w:val="008C697E"/>
    <w:rsid w:val="008C6BE6"/>
    <w:rsid w:val="008C71F8"/>
    <w:rsid w:val="008C726C"/>
    <w:rsid w:val="008C7585"/>
    <w:rsid w:val="008C7597"/>
    <w:rsid w:val="008C75B6"/>
    <w:rsid w:val="008C7FC9"/>
    <w:rsid w:val="008D1092"/>
    <w:rsid w:val="008D1610"/>
    <w:rsid w:val="008D413C"/>
    <w:rsid w:val="008D49B4"/>
    <w:rsid w:val="008D49E5"/>
    <w:rsid w:val="008D50B5"/>
    <w:rsid w:val="008D51F4"/>
    <w:rsid w:val="008D5DD9"/>
    <w:rsid w:val="008D63B1"/>
    <w:rsid w:val="008D66CB"/>
    <w:rsid w:val="008D6C1E"/>
    <w:rsid w:val="008D705D"/>
    <w:rsid w:val="008D7498"/>
    <w:rsid w:val="008D76D9"/>
    <w:rsid w:val="008D76F8"/>
    <w:rsid w:val="008D7CC1"/>
    <w:rsid w:val="008E09BC"/>
    <w:rsid w:val="008E1594"/>
    <w:rsid w:val="008E275D"/>
    <w:rsid w:val="008E3FA2"/>
    <w:rsid w:val="008E4AE5"/>
    <w:rsid w:val="008E52ED"/>
    <w:rsid w:val="008E58C0"/>
    <w:rsid w:val="008E696B"/>
    <w:rsid w:val="008E74D4"/>
    <w:rsid w:val="008E7687"/>
    <w:rsid w:val="008F06B6"/>
    <w:rsid w:val="008F13CC"/>
    <w:rsid w:val="008F167D"/>
    <w:rsid w:val="008F2B9B"/>
    <w:rsid w:val="008F2BDE"/>
    <w:rsid w:val="008F3259"/>
    <w:rsid w:val="008F344E"/>
    <w:rsid w:val="008F35D3"/>
    <w:rsid w:val="008F42E5"/>
    <w:rsid w:val="008F444D"/>
    <w:rsid w:val="008F563A"/>
    <w:rsid w:val="008F616B"/>
    <w:rsid w:val="008F65A5"/>
    <w:rsid w:val="008F6F4F"/>
    <w:rsid w:val="008F7898"/>
    <w:rsid w:val="00900056"/>
    <w:rsid w:val="009007AD"/>
    <w:rsid w:val="00900C13"/>
    <w:rsid w:val="00900EC0"/>
    <w:rsid w:val="009010F7"/>
    <w:rsid w:val="00901268"/>
    <w:rsid w:val="00901423"/>
    <w:rsid w:val="00901431"/>
    <w:rsid w:val="00901AD6"/>
    <w:rsid w:val="0090264C"/>
    <w:rsid w:val="00904773"/>
    <w:rsid w:val="00904CF0"/>
    <w:rsid w:val="0090573C"/>
    <w:rsid w:val="00905D44"/>
    <w:rsid w:val="0090720F"/>
    <w:rsid w:val="009072DA"/>
    <w:rsid w:val="00907454"/>
    <w:rsid w:val="009074E8"/>
    <w:rsid w:val="009103BF"/>
    <w:rsid w:val="009106E8"/>
    <w:rsid w:val="00910873"/>
    <w:rsid w:val="00910C47"/>
    <w:rsid w:val="009116EF"/>
    <w:rsid w:val="0091180C"/>
    <w:rsid w:val="00911C85"/>
    <w:rsid w:val="00912153"/>
    <w:rsid w:val="00912276"/>
    <w:rsid w:val="0091417F"/>
    <w:rsid w:val="0091438C"/>
    <w:rsid w:val="00915080"/>
    <w:rsid w:val="00915FF3"/>
    <w:rsid w:val="00916E44"/>
    <w:rsid w:val="00917054"/>
    <w:rsid w:val="00917236"/>
    <w:rsid w:val="0091727F"/>
    <w:rsid w:val="00917868"/>
    <w:rsid w:val="00917D0B"/>
    <w:rsid w:val="00917EED"/>
    <w:rsid w:val="009203A9"/>
    <w:rsid w:val="00920418"/>
    <w:rsid w:val="009223B4"/>
    <w:rsid w:val="00922CBC"/>
    <w:rsid w:val="0092342C"/>
    <w:rsid w:val="009236A3"/>
    <w:rsid w:val="00923B08"/>
    <w:rsid w:val="00923FD4"/>
    <w:rsid w:val="0092463B"/>
    <w:rsid w:val="00924A5F"/>
    <w:rsid w:val="00924B59"/>
    <w:rsid w:val="00924C6C"/>
    <w:rsid w:val="00924E24"/>
    <w:rsid w:val="00925C1D"/>
    <w:rsid w:val="00925CEA"/>
    <w:rsid w:val="00926450"/>
    <w:rsid w:val="00926F96"/>
    <w:rsid w:val="0092756B"/>
    <w:rsid w:val="00927698"/>
    <w:rsid w:val="00927F77"/>
    <w:rsid w:val="009302BC"/>
    <w:rsid w:val="00930502"/>
    <w:rsid w:val="00931A46"/>
    <w:rsid w:val="00932621"/>
    <w:rsid w:val="00932B7C"/>
    <w:rsid w:val="00932E96"/>
    <w:rsid w:val="00933960"/>
    <w:rsid w:val="00933E21"/>
    <w:rsid w:val="00934AC7"/>
    <w:rsid w:val="009357C1"/>
    <w:rsid w:val="00935AC9"/>
    <w:rsid w:val="00936ACD"/>
    <w:rsid w:val="00937CE8"/>
    <w:rsid w:val="0094013C"/>
    <w:rsid w:val="00940350"/>
    <w:rsid w:val="009412C9"/>
    <w:rsid w:val="00941700"/>
    <w:rsid w:val="009418E6"/>
    <w:rsid w:val="00941A02"/>
    <w:rsid w:val="00942143"/>
    <w:rsid w:val="0094235F"/>
    <w:rsid w:val="0094279F"/>
    <w:rsid w:val="009429A5"/>
    <w:rsid w:val="00942E5B"/>
    <w:rsid w:val="00943903"/>
    <w:rsid w:val="009444B6"/>
    <w:rsid w:val="009454FD"/>
    <w:rsid w:val="00946AD5"/>
    <w:rsid w:val="00946B98"/>
    <w:rsid w:val="00946F41"/>
    <w:rsid w:val="0095015D"/>
    <w:rsid w:val="0095036E"/>
    <w:rsid w:val="0095052A"/>
    <w:rsid w:val="00950EB5"/>
    <w:rsid w:val="00951C06"/>
    <w:rsid w:val="009529B2"/>
    <w:rsid w:val="00953AF4"/>
    <w:rsid w:val="00953C53"/>
    <w:rsid w:val="00954465"/>
    <w:rsid w:val="00954973"/>
    <w:rsid w:val="00954ABD"/>
    <w:rsid w:val="00954F42"/>
    <w:rsid w:val="00955E20"/>
    <w:rsid w:val="0095605A"/>
    <w:rsid w:val="00956D0B"/>
    <w:rsid w:val="00956D5A"/>
    <w:rsid w:val="009604E8"/>
    <w:rsid w:val="00960E5E"/>
    <w:rsid w:val="00960F5D"/>
    <w:rsid w:val="00961CE6"/>
    <w:rsid w:val="00962182"/>
    <w:rsid w:val="009621B2"/>
    <w:rsid w:val="00963F5A"/>
    <w:rsid w:val="00964C26"/>
    <w:rsid w:val="00964F17"/>
    <w:rsid w:val="00964FC4"/>
    <w:rsid w:val="00965151"/>
    <w:rsid w:val="009658F0"/>
    <w:rsid w:val="00965B22"/>
    <w:rsid w:val="00966C81"/>
    <w:rsid w:val="009671BD"/>
    <w:rsid w:val="00967757"/>
    <w:rsid w:val="00967E7F"/>
    <w:rsid w:val="0097125E"/>
    <w:rsid w:val="00971655"/>
    <w:rsid w:val="00971950"/>
    <w:rsid w:val="00971C63"/>
    <w:rsid w:val="00971EE6"/>
    <w:rsid w:val="009730A6"/>
    <w:rsid w:val="00973271"/>
    <w:rsid w:val="00973660"/>
    <w:rsid w:val="00973ECF"/>
    <w:rsid w:val="00974068"/>
    <w:rsid w:val="009741F8"/>
    <w:rsid w:val="009742FB"/>
    <w:rsid w:val="00974736"/>
    <w:rsid w:val="00974876"/>
    <w:rsid w:val="009748A2"/>
    <w:rsid w:val="00974DDC"/>
    <w:rsid w:val="00975139"/>
    <w:rsid w:val="0097532B"/>
    <w:rsid w:val="00975474"/>
    <w:rsid w:val="0097649B"/>
    <w:rsid w:val="0097652B"/>
    <w:rsid w:val="00976983"/>
    <w:rsid w:val="00977218"/>
    <w:rsid w:val="00977352"/>
    <w:rsid w:val="00977395"/>
    <w:rsid w:val="009775DF"/>
    <w:rsid w:val="009803D1"/>
    <w:rsid w:val="0098153C"/>
    <w:rsid w:val="0098181A"/>
    <w:rsid w:val="00982231"/>
    <w:rsid w:val="00982AF5"/>
    <w:rsid w:val="00983411"/>
    <w:rsid w:val="00984293"/>
    <w:rsid w:val="00984C4B"/>
    <w:rsid w:val="00985A69"/>
    <w:rsid w:val="00985CBA"/>
    <w:rsid w:val="00986D27"/>
    <w:rsid w:val="009879E2"/>
    <w:rsid w:val="009909E7"/>
    <w:rsid w:val="00990CDE"/>
    <w:rsid w:val="00990FD9"/>
    <w:rsid w:val="0099102F"/>
    <w:rsid w:val="00991435"/>
    <w:rsid w:val="00991876"/>
    <w:rsid w:val="00991A0A"/>
    <w:rsid w:val="00991EDD"/>
    <w:rsid w:val="00992B9F"/>
    <w:rsid w:val="009934D8"/>
    <w:rsid w:val="009934E3"/>
    <w:rsid w:val="00994B30"/>
    <w:rsid w:val="00994D62"/>
    <w:rsid w:val="00994F63"/>
    <w:rsid w:val="009963E7"/>
    <w:rsid w:val="00996D3A"/>
    <w:rsid w:val="009A25DE"/>
    <w:rsid w:val="009A2779"/>
    <w:rsid w:val="009A33FA"/>
    <w:rsid w:val="009A341D"/>
    <w:rsid w:val="009A38F8"/>
    <w:rsid w:val="009A4AE9"/>
    <w:rsid w:val="009A4CD0"/>
    <w:rsid w:val="009A5AA2"/>
    <w:rsid w:val="009A5E3A"/>
    <w:rsid w:val="009A5FAF"/>
    <w:rsid w:val="009A6C18"/>
    <w:rsid w:val="009B09C5"/>
    <w:rsid w:val="009B0D1C"/>
    <w:rsid w:val="009B15AA"/>
    <w:rsid w:val="009B204B"/>
    <w:rsid w:val="009B2A3A"/>
    <w:rsid w:val="009B2B01"/>
    <w:rsid w:val="009B2BD3"/>
    <w:rsid w:val="009B30EF"/>
    <w:rsid w:val="009B343D"/>
    <w:rsid w:val="009B3C96"/>
    <w:rsid w:val="009B47A7"/>
    <w:rsid w:val="009B5235"/>
    <w:rsid w:val="009B5878"/>
    <w:rsid w:val="009B5D53"/>
    <w:rsid w:val="009B77B5"/>
    <w:rsid w:val="009C0A54"/>
    <w:rsid w:val="009C1593"/>
    <w:rsid w:val="009C16F5"/>
    <w:rsid w:val="009C1B31"/>
    <w:rsid w:val="009C1DEC"/>
    <w:rsid w:val="009C1E47"/>
    <w:rsid w:val="009C2242"/>
    <w:rsid w:val="009C398C"/>
    <w:rsid w:val="009C3F50"/>
    <w:rsid w:val="009C40E1"/>
    <w:rsid w:val="009C4277"/>
    <w:rsid w:val="009C43D5"/>
    <w:rsid w:val="009C46E8"/>
    <w:rsid w:val="009C5993"/>
    <w:rsid w:val="009C64A9"/>
    <w:rsid w:val="009C71D5"/>
    <w:rsid w:val="009C7632"/>
    <w:rsid w:val="009C797F"/>
    <w:rsid w:val="009C7D77"/>
    <w:rsid w:val="009C7E36"/>
    <w:rsid w:val="009D059B"/>
    <w:rsid w:val="009D0E04"/>
    <w:rsid w:val="009D0E5F"/>
    <w:rsid w:val="009D153B"/>
    <w:rsid w:val="009D1847"/>
    <w:rsid w:val="009D1B03"/>
    <w:rsid w:val="009D1D7A"/>
    <w:rsid w:val="009D3635"/>
    <w:rsid w:val="009D4370"/>
    <w:rsid w:val="009D449A"/>
    <w:rsid w:val="009D454B"/>
    <w:rsid w:val="009D4588"/>
    <w:rsid w:val="009D6A7F"/>
    <w:rsid w:val="009D71D5"/>
    <w:rsid w:val="009D764E"/>
    <w:rsid w:val="009E1C0C"/>
    <w:rsid w:val="009E2E65"/>
    <w:rsid w:val="009E3977"/>
    <w:rsid w:val="009E3EBA"/>
    <w:rsid w:val="009E420B"/>
    <w:rsid w:val="009E4BA9"/>
    <w:rsid w:val="009E665B"/>
    <w:rsid w:val="009E6C80"/>
    <w:rsid w:val="009E6F01"/>
    <w:rsid w:val="009E72A9"/>
    <w:rsid w:val="009E7DAD"/>
    <w:rsid w:val="009F092B"/>
    <w:rsid w:val="009F0A4D"/>
    <w:rsid w:val="009F0AE8"/>
    <w:rsid w:val="009F20AF"/>
    <w:rsid w:val="009F26E8"/>
    <w:rsid w:val="009F29C6"/>
    <w:rsid w:val="009F30FC"/>
    <w:rsid w:val="009F32BC"/>
    <w:rsid w:val="009F3816"/>
    <w:rsid w:val="009F49D0"/>
    <w:rsid w:val="009F49F8"/>
    <w:rsid w:val="009F4B43"/>
    <w:rsid w:val="009F4F5E"/>
    <w:rsid w:val="009F54AD"/>
    <w:rsid w:val="009F72FD"/>
    <w:rsid w:val="009F7868"/>
    <w:rsid w:val="009F7CE4"/>
    <w:rsid w:val="00A001F3"/>
    <w:rsid w:val="00A01873"/>
    <w:rsid w:val="00A01E96"/>
    <w:rsid w:val="00A0291E"/>
    <w:rsid w:val="00A043B7"/>
    <w:rsid w:val="00A054DD"/>
    <w:rsid w:val="00A05B91"/>
    <w:rsid w:val="00A10300"/>
    <w:rsid w:val="00A10768"/>
    <w:rsid w:val="00A10A10"/>
    <w:rsid w:val="00A10EF8"/>
    <w:rsid w:val="00A11162"/>
    <w:rsid w:val="00A118BC"/>
    <w:rsid w:val="00A11AA2"/>
    <w:rsid w:val="00A11E21"/>
    <w:rsid w:val="00A130F8"/>
    <w:rsid w:val="00A13674"/>
    <w:rsid w:val="00A143A5"/>
    <w:rsid w:val="00A14530"/>
    <w:rsid w:val="00A159A5"/>
    <w:rsid w:val="00A168C3"/>
    <w:rsid w:val="00A16BEB"/>
    <w:rsid w:val="00A20001"/>
    <w:rsid w:val="00A2075B"/>
    <w:rsid w:val="00A215F0"/>
    <w:rsid w:val="00A2175D"/>
    <w:rsid w:val="00A2283B"/>
    <w:rsid w:val="00A228CE"/>
    <w:rsid w:val="00A22AEC"/>
    <w:rsid w:val="00A23C07"/>
    <w:rsid w:val="00A2495C"/>
    <w:rsid w:val="00A2510E"/>
    <w:rsid w:val="00A25E64"/>
    <w:rsid w:val="00A26920"/>
    <w:rsid w:val="00A26E11"/>
    <w:rsid w:val="00A277E7"/>
    <w:rsid w:val="00A27C77"/>
    <w:rsid w:val="00A27E0F"/>
    <w:rsid w:val="00A300FF"/>
    <w:rsid w:val="00A301B7"/>
    <w:rsid w:val="00A306E7"/>
    <w:rsid w:val="00A30C3D"/>
    <w:rsid w:val="00A31075"/>
    <w:rsid w:val="00A310C1"/>
    <w:rsid w:val="00A310CC"/>
    <w:rsid w:val="00A31D84"/>
    <w:rsid w:val="00A32039"/>
    <w:rsid w:val="00A325DB"/>
    <w:rsid w:val="00A326F9"/>
    <w:rsid w:val="00A32AE0"/>
    <w:rsid w:val="00A332C1"/>
    <w:rsid w:val="00A336A1"/>
    <w:rsid w:val="00A3372A"/>
    <w:rsid w:val="00A3390F"/>
    <w:rsid w:val="00A34DA2"/>
    <w:rsid w:val="00A369C5"/>
    <w:rsid w:val="00A36AD1"/>
    <w:rsid w:val="00A36C35"/>
    <w:rsid w:val="00A376B8"/>
    <w:rsid w:val="00A37700"/>
    <w:rsid w:val="00A378B6"/>
    <w:rsid w:val="00A37A58"/>
    <w:rsid w:val="00A37C87"/>
    <w:rsid w:val="00A37D64"/>
    <w:rsid w:val="00A430DD"/>
    <w:rsid w:val="00A43227"/>
    <w:rsid w:val="00A434E8"/>
    <w:rsid w:val="00A4364D"/>
    <w:rsid w:val="00A4391A"/>
    <w:rsid w:val="00A44AE0"/>
    <w:rsid w:val="00A459C2"/>
    <w:rsid w:val="00A45CE0"/>
    <w:rsid w:val="00A46503"/>
    <w:rsid w:val="00A46CCD"/>
    <w:rsid w:val="00A50A55"/>
    <w:rsid w:val="00A50D2D"/>
    <w:rsid w:val="00A5143D"/>
    <w:rsid w:val="00A51487"/>
    <w:rsid w:val="00A52ED0"/>
    <w:rsid w:val="00A53043"/>
    <w:rsid w:val="00A546E2"/>
    <w:rsid w:val="00A548AD"/>
    <w:rsid w:val="00A54A27"/>
    <w:rsid w:val="00A54F60"/>
    <w:rsid w:val="00A55504"/>
    <w:rsid w:val="00A55A40"/>
    <w:rsid w:val="00A55BB8"/>
    <w:rsid w:val="00A55C6B"/>
    <w:rsid w:val="00A56ECD"/>
    <w:rsid w:val="00A57E35"/>
    <w:rsid w:val="00A57E85"/>
    <w:rsid w:val="00A57F2F"/>
    <w:rsid w:val="00A60920"/>
    <w:rsid w:val="00A610A4"/>
    <w:rsid w:val="00A6138C"/>
    <w:rsid w:val="00A61ADE"/>
    <w:rsid w:val="00A62A14"/>
    <w:rsid w:val="00A632D2"/>
    <w:rsid w:val="00A63952"/>
    <w:rsid w:val="00A63E76"/>
    <w:rsid w:val="00A64041"/>
    <w:rsid w:val="00A641B6"/>
    <w:rsid w:val="00A6476E"/>
    <w:rsid w:val="00A64CD9"/>
    <w:rsid w:val="00A64E73"/>
    <w:rsid w:val="00A65133"/>
    <w:rsid w:val="00A651BA"/>
    <w:rsid w:val="00A652C5"/>
    <w:rsid w:val="00A65F47"/>
    <w:rsid w:val="00A660AC"/>
    <w:rsid w:val="00A6610B"/>
    <w:rsid w:val="00A6612E"/>
    <w:rsid w:val="00A673CF"/>
    <w:rsid w:val="00A719DB"/>
    <w:rsid w:val="00A71BDF"/>
    <w:rsid w:val="00A73787"/>
    <w:rsid w:val="00A73B31"/>
    <w:rsid w:val="00A73E4C"/>
    <w:rsid w:val="00A73EB2"/>
    <w:rsid w:val="00A74560"/>
    <w:rsid w:val="00A7500C"/>
    <w:rsid w:val="00A758EE"/>
    <w:rsid w:val="00A7598A"/>
    <w:rsid w:val="00A75C1F"/>
    <w:rsid w:val="00A75EC8"/>
    <w:rsid w:val="00A768E4"/>
    <w:rsid w:val="00A768F0"/>
    <w:rsid w:val="00A76AFB"/>
    <w:rsid w:val="00A76F0E"/>
    <w:rsid w:val="00A80BBF"/>
    <w:rsid w:val="00A81056"/>
    <w:rsid w:val="00A810FC"/>
    <w:rsid w:val="00A81733"/>
    <w:rsid w:val="00A81990"/>
    <w:rsid w:val="00A81C3E"/>
    <w:rsid w:val="00A827F3"/>
    <w:rsid w:val="00A831BC"/>
    <w:rsid w:val="00A84315"/>
    <w:rsid w:val="00A85C5A"/>
    <w:rsid w:val="00A87064"/>
    <w:rsid w:val="00A875A9"/>
    <w:rsid w:val="00A87604"/>
    <w:rsid w:val="00A877EC"/>
    <w:rsid w:val="00A908AA"/>
    <w:rsid w:val="00A91499"/>
    <w:rsid w:val="00A918C8"/>
    <w:rsid w:val="00A921AB"/>
    <w:rsid w:val="00A9238F"/>
    <w:rsid w:val="00A92472"/>
    <w:rsid w:val="00A93206"/>
    <w:rsid w:val="00A93796"/>
    <w:rsid w:val="00A93ED2"/>
    <w:rsid w:val="00A94324"/>
    <w:rsid w:val="00A94904"/>
    <w:rsid w:val="00A949B4"/>
    <w:rsid w:val="00A95C57"/>
    <w:rsid w:val="00A966C8"/>
    <w:rsid w:val="00A96A08"/>
    <w:rsid w:val="00A96EDF"/>
    <w:rsid w:val="00A97A9F"/>
    <w:rsid w:val="00A97B40"/>
    <w:rsid w:val="00AA0161"/>
    <w:rsid w:val="00AA09AE"/>
    <w:rsid w:val="00AA2113"/>
    <w:rsid w:val="00AA22B6"/>
    <w:rsid w:val="00AA2B7F"/>
    <w:rsid w:val="00AA41B4"/>
    <w:rsid w:val="00AA4E4C"/>
    <w:rsid w:val="00AA638F"/>
    <w:rsid w:val="00AA6AFE"/>
    <w:rsid w:val="00AA717F"/>
    <w:rsid w:val="00AA7E93"/>
    <w:rsid w:val="00AB0A8E"/>
    <w:rsid w:val="00AB1742"/>
    <w:rsid w:val="00AB1D08"/>
    <w:rsid w:val="00AB333E"/>
    <w:rsid w:val="00AB36A1"/>
    <w:rsid w:val="00AB4345"/>
    <w:rsid w:val="00AB45B2"/>
    <w:rsid w:val="00AB4B24"/>
    <w:rsid w:val="00AB4F71"/>
    <w:rsid w:val="00AB4F79"/>
    <w:rsid w:val="00AB50D9"/>
    <w:rsid w:val="00AB5BD7"/>
    <w:rsid w:val="00AB5C0D"/>
    <w:rsid w:val="00AB612F"/>
    <w:rsid w:val="00AB6B32"/>
    <w:rsid w:val="00AB7794"/>
    <w:rsid w:val="00AC0135"/>
    <w:rsid w:val="00AC02B5"/>
    <w:rsid w:val="00AC070D"/>
    <w:rsid w:val="00AC0BC2"/>
    <w:rsid w:val="00AC105B"/>
    <w:rsid w:val="00AC13EA"/>
    <w:rsid w:val="00AC1514"/>
    <w:rsid w:val="00AC1B94"/>
    <w:rsid w:val="00AC248B"/>
    <w:rsid w:val="00AC2E36"/>
    <w:rsid w:val="00AC2FF4"/>
    <w:rsid w:val="00AC36F9"/>
    <w:rsid w:val="00AC39D9"/>
    <w:rsid w:val="00AC4CFC"/>
    <w:rsid w:val="00AC5753"/>
    <w:rsid w:val="00AC5930"/>
    <w:rsid w:val="00AC5E51"/>
    <w:rsid w:val="00AC6557"/>
    <w:rsid w:val="00AC677B"/>
    <w:rsid w:val="00AC6D3E"/>
    <w:rsid w:val="00AC6F25"/>
    <w:rsid w:val="00AC7681"/>
    <w:rsid w:val="00AC76DA"/>
    <w:rsid w:val="00AD0036"/>
    <w:rsid w:val="00AD0594"/>
    <w:rsid w:val="00AD05A6"/>
    <w:rsid w:val="00AD0616"/>
    <w:rsid w:val="00AD0753"/>
    <w:rsid w:val="00AD1E73"/>
    <w:rsid w:val="00AD2202"/>
    <w:rsid w:val="00AD34FF"/>
    <w:rsid w:val="00AD4DE6"/>
    <w:rsid w:val="00AD5DDD"/>
    <w:rsid w:val="00AD634F"/>
    <w:rsid w:val="00AD63C1"/>
    <w:rsid w:val="00AD698C"/>
    <w:rsid w:val="00AD78EF"/>
    <w:rsid w:val="00AE014D"/>
    <w:rsid w:val="00AE0A48"/>
    <w:rsid w:val="00AE27A2"/>
    <w:rsid w:val="00AE2B44"/>
    <w:rsid w:val="00AE2F1F"/>
    <w:rsid w:val="00AE3356"/>
    <w:rsid w:val="00AE42A3"/>
    <w:rsid w:val="00AE43C4"/>
    <w:rsid w:val="00AE4EAC"/>
    <w:rsid w:val="00AE5609"/>
    <w:rsid w:val="00AE5633"/>
    <w:rsid w:val="00AE58B0"/>
    <w:rsid w:val="00AE636D"/>
    <w:rsid w:val="00AE678A"/>
    <w:rsid w:val="00AE6DBC"/>
    <w:rsid w:val="00AE7541"/>
    <w:rsid w:val="00AF16A9"/>
    <w:rsid w:val="00AF235D"/>
    <w:rsid w:val="00AF2AFF"/>
    <w:rsid w:val="00AF30DE"/>
    <w:rsid w:val="00AF3E95"/>
    <w:rsid w:val="00AF4AE6"/>
    <w:rsid w:val="00AF4FAD"/>
    <w:rsid w:val="00AF5F10"/>
    <w:rsid w:val="00AF688C"/>
    <w:rsid w:val="00AF6E3D"/>
    <w:rsid w:val="00AF7374"/>
    <w:rsid w:val="00AF7C67"/>
    <w:rsid w:val="00AF7F18"/>
    <w:rsid w:val="00B00145"/>
    <w:rsid w:val="00B020CC"/>
    <w:rsid w:val="00B024AA"/>
    <w:rsid w:val="00B02A6D"/>
    <w:rsid w:val="00B03324"/>
    <w:rsid w:val="00B03942"/>
    <w:rsid w:val="00B04459"/>
    <w:rsid w:val="00B059DF"/>
    <w:rsid w:val="00B05A13"/>
    <w:rsid w:val="00B06A99"/>
    <w:rsid w:val="00B06E6B"/>
    <w:rsid w:val="00B0701B"/>
    <w:rsid w:val="00B101A5"/>
    <w:rsid w:val="00B1029D"/>
    <w:rsid w:val="00B11AD7"/>
    <w:rsid w:val="00B11D10"/>
    <w:rsid w:val="00B11D75"/>
    <w:rsid w:val="00B12311"/>
    <w:rsid w:val="00B124E9"/>
    <w:rsid w:val="00B12B64"/>
    <w:rsid w:val="00B13240"/>
    <w:rsid w:val="00B13933"/>
    <w:rsid w:val="00B13CC4"/>
    <w:rsid w:val="00B14A0C"/>
    <w:rsid w:val="00B152A2"/>
    <w:rsid w:val="00B15FE9"/>
    <w:rsid w:val="00B1645F"/>
    <w:rsid w:val="00B16FF4"/>
    <w:rsid w:val="00B172C0"/>
    <w:rsid w:val="00B173E3"/>
    <w:rsid w:val="00B17E10"/>
    <w:rsid w:val="00B20058"/>
    <w:rsid w:val="00B20491"/>
    <w:rsid w:val="00B205AA"/>
    <w:rsid w:val="00B21022"/>
    <w:rsid w:val="00B2122A"/>
    <w:rsid w:val="00B219D7"/>
    <w:rsid w:val="00B227E4"/>
    <w:rsid w:val="00B2304F"/>
    <w:rsid w:val="00B232CB"/>
    <w:rsid w:val="00B24247"/>
    <w:rsid w:val="00B24FF7"/>
    <w:rsid w:val="00B27130"/>
    <w:rsid w:val="00B271B7"/>
    <w:rsid w:val="00B27711"/>
    <w:rsid w:val="00B27A11"/>
    <w:rsid w:val="00B3061F"/>
    <w:rsid w:val="00B307CA"/>
    <w:rsid w:val="00B31C70"/>
    <w:rsid w:val="00B322E9"/>
    <w:rsid w:val="00B328C0"/>
    <w:rsid w:val="00B341C5"/>
    <w:rsid w:val="00B347B4"/>
    <w:rsid w:val="00B3535A"/>
    <w:rsid w:val="00B35A07"/>
    <w:rsid w:val="00B36673"/>
    <w:rsid w:val="00B37226"/>
    <w:rsid w:val="00B37F88"/>
    <w:rsid w:val="00B40456"/>
    <w:rsid w:val="00B40DDB"/>
    <w:rsid w:val="00B417B8"/>
    <w:rsid w:val="00B42217"/>
    <w:rsid w:val="00B42BCA"/>
    <w:rsid w:val="00B43B78"/>
    <w:rsid w:val="00B4437A"/>
    <w:rsid w:val="00B45769"/>
    <w:rsid w:val="00B45793"/>
    <w:rsid w:val="00B45EB0"/>
    <w:rsid w:val="00B47892"/>
    <w:rsid w:val="00B4797B"/>
    <w:rsid w:val="00B47BE8"/>
    <w:rsid w:val="00B47D58"/>
    <w:rsid w:val="00B50596"/>
    <w:rsid w:val="00B506DB"/>
    <w:rsid w:val="00B50DC5"/>
    <w:rsid w:val="00B50DFB"/>
    <w:rsid w:val="00B5122D"/>
    <w:rsid w:val="00B5170F"/>
    <w:rsid w:val="00B51883"/>
    <w:rsid w:val="00B51DCD"/>
    <w:rsid w:val="00B5228A"/>
    <w:rsid w:val="00B523B1"/>
    <w:rsid w:val="00B524AF"/>
    <w:rsid w:val="00B527A3"/>
    <w:rsid w:val="00B52902"/>
    <w:rsid w:val="00B53444"/>
    <w:rsid w:val="00B53938"/>
    <w:rsid w:val="00B53AD1"/>
    <w:rsid w:val="00B54743"/>
    <w:rsid w:val="00B54987"/>
    <w:rsid w:val="00B552AA"/>
    <w:rsid w:val="00B56597"/>
    <w:rsid w:val="00B56A8D"/>
    <w:rsid w:val="00B57509"/>
    <w:rsid w:val="00B57651"/>
    <w:rsid w:val="00B57C42"/>
    <w:rsid w:val="00B60CD4"/>
    <w:rsid w:val="00B61001"/>
    <w:rsid w:val="00B61FD4"/>
    <w:rsid w:val="00B622E9"/>
    <w:rsid w:val="00B62A1E"/>
    <w:rsid w:val="00B62AC5"/>
    <w:rsid w:val="00B63444"/>
    <w:rsid w:val="00B636DA"/>
    <w:rsid w:val="00B638D5"/>
    <w:rsid w:val="00B640CD"/>
    <w:rsid w:val="00B66292"/>
    <w:rsid w:val="00B662C5"/>
    <w:rsid w:val="00B66765"/>
    <w:rsid w:val="00B66B19"/>
    <w:rsid w:val="00B66F95"/>
    <w:rsid w:val="00B67447"/>
    <w:rsid w:val="00B674DB"/>
    <w:rsid w:val="00B675F2"/>
    <w:rsid w:val="00B70BB1"/>
    <w:rsid w:val="00B71534"/>
    <w:rsid w:val="00B71979"/>
    <w:rsid w:val="00B71C6D"/>
    <w:rsid w:val="00B72062"/>
    <w:rsid w:val="00B723EC"/>
    <w:rsid w:val="00B72924"/>
    <w:rsid w:val="00B73E35"/>
    <w:rsid w:val="00B73F44"/>
    <w:rsid w:val="00B74628"/>
    <w:rsid w:val="00B746F1"/>
    <w:rsid w:val="00B74D5B"/>
    <w:rsid w:val="00B75DB2"/>
    <w:rsid w:val="00B76392"/>
    <w:rsid w:val="00B76438"/>
    <w:rsid w:val="00B76785"/>
    <w:rsid w:val="00B76EC4"/>
    <w:rsid w:val="00B7756C"/>
    <w:rsid w:val="00B77954"/>
    <w:rsid w:val="00B80A8D"/>
    <w:rsid w:val="00B80DCD"/>
    <w:rsid w:val="00B81D65"/>
    <w:rsid w:val="00B82360"/>
    <w:rsid w:val="00B82E8D"/>
    <w:rsid w:val="00B83B8B"/>
    <w:rsid w:val="00B84BA6"/>
    <w:rsid w:val="00B851D6"/>
    <w:rsid w:val="00B85426"/>
    <w:rsid w:val="00B85991"/>
    <w:rsid w:val="00B86B93"/>
    <w:rsid w:val="00B8718A"/>
    <w:rsid w:val="00B8739B"/>
    <w:rsid w:val="00B876D2"/>
    <w:rsid w:val="00B87A75"/>
    <w:rsid w:val="00B90390"/>
    <w:rsid w:val="00B91D79"/>
    <w:rsid w:val="00B9264D"/>
    <w:rsid w:val="00B9272B"/>
    <w:rsid w:val="00B92E3D"/>
    <w:rsid w:val="00B93011"/>
    <w:rsid w:val="00B9329F"/>
    <w:rsid w:val="00B93398"/>
    <w:rsid w:val="00B944BE"/>
    <w:rsid w:val="00B94D99"/>
    <w:rsid w:val="00B95B4B"/>
    <w:rsid w:val="00B95DED"/>
    <w:rsid w:val="00B9652C"/>
    <w:rsid w:val="00B969F9"/>
    <w:rsid w:val="00B96C00"/>
    <w:rsid w:val="00B97106"/>
    <w:rsid w:val="00B97825"/>
    <w:rsid w:val="00B97F9D"/>
    <w:rsid w:val="00BA0BF9"/>
    <w:rsid w:val="00BA0C1A"/>
    <w:rsid w:val="00BA0D0F"/>
    <w:rsid w:val="00BA1158"/>
    <w:rsid w:val="00BA1B30"/>
    <w:rsid w:val="00BA1B7E"/>
    <w:rsid w:val="00BA2DC4"/>
    <w:rsid w:val="00BA2ED9"/>
    <w:rsid w:val="00BA309F"/>
    <w:rsid w:val="00BA36BF"/>
    <w:rsid w:val="00BA3786"/>
    <w:rsid w:val="00BA38EF"/>
    <w:rsid w:val="00BA3B2F"/>
    <w:rsid w:val="00BA3D5D"/>
    <w:rsid w:val="00BA5147"/>
    <w:rsid w:val="00BA5C38"/>
    <w:rsid w:val="00BA5DC0"/>
    <w:rsid w:val="00BA65F7"/>
    <w:rsid w:val="00BA67DA"/>
    <w:rsid w:val="00BA6BCA"/>
    <w:rsid w:val="00BA6C74"/>
    <w:rsid w:val="00BA6EE5"/>
    <w:rsid w:val="00BA7508"/>
    <w:rsid w:val="00BA788E"/>
    <w:rsid w:val="00BA7FE4"/>
    <w:rsid w:val="00BB18F1"/>
    <w:rsid w:val="00BB1BFF"/>
    <w:rsid w:val="00BB23A8"/>
    <w:rsid w:val="00BB2459"/>
    <w:rsid w:val="00BB24C0"/>
    <w:rsid w:val="00BB2ADC"/>
    <w:rsid w:val="00BB3BB1"/>
    <w:rsid w:val="00BB3EBF"/>
    <w:rsid w:val="00BB3FA1"/>
    <w:rsid w:val="00BB4555"/>
    <w:rsid w:val="00BB4814"/>
    <w:rsid w:val="00BB4DE8"/>
    <w:rsid w:val="00BB52D9"/>
    <w:rsid w:val="00BB56A3"/>
    <w:rsid w:val="00BB62BB"/>
    <w:rsid w:val="00BB64E6"/>
    <w:rsid w:val="00BB6F8D"/>
    <w:rsid w:val="00BB761E"/>
    <w:rsid w:val="00BB79E7"/>
    <w:rsid w:val="00BC00FE"/>
    <w:rsid w:val="00BC05C5"/>
    <w:rsid w:val="00BC0FD1"/>
    <w:rsid w:val="00BC12B6"/>
    <w:rsid w:val="00BC16E8"/>
    <w:rsid w:val="00BC1A32"/>
    <w:rsid w:val="00BC1EA3"/>
    <w:rsid w:val="00BC25AF"/>
    <w:rsid w:val="00BC271C"/>
    <w:rsid w:val="00BC27B6"/>
    <w:rsid w:val="00BC2B94"/>
    <w:rsid w:val="00BC2E5F"/>
    <w:rsid w:val="00BC3963"/>
    <w:rsid w:val="00BC3C4F"/>
    <w:rsid w:val="00BC41AA"/>
    <w:rsid w:val="00BC421D"/>
    <w:rsid w:val="00BC49BC"/>
    <w:rsid w:val="00BC4AA6"/>
    <w:rsid w:val="00BC5689"/>
    <w:rsid w:val="00BC6387"/>
    <w:rsid w:val="00BC6450"/>
    <w:rsid w:val="00BC661A"/>
    <w:rsid w:val="00BD0098"/>
    <w:rsid w:val="00BD0308"/>
    <w:rsid w:val="00BD0356"/>
    <w:rsid w:val="00BD04BE"/>
    <w:rsid w:val="00BD1762"/>
    <w:rsid w:val="00BD1E20"/>
    <w:rsid w:val="00BD1F2D"/>
    <w:rsid w:val="00BD205C"/>
    <w:rsid w:val="00BD221D"/>
    <w:rsid w:val="00BD2B50"/>
    <w:rsid w:val="00BD307E"/>
    <w:rsid w:val="00BD42D9"/>
    <w:rsid w:val="00BD49B9"/>
    <w:rsid w:val="00BD4B49"/>
    <w:rsid w:val="00BD4B92"/>
    <w:rsid w:val="00BD5DB6"/>
    <w:rsid w:val="00BD61B2"/>
    <w:rsid w:val="00BD6B38"/>
    <w:rsid w:val="00BD7039"/>
    <w:rsid w:val="00BD7280"/>
    <w:rsid w:val="00BD73BF"/>
    <w:rsid w:val="00BE0F10"/>
    <w:rsid w:val="00BE1DF4"/>
    <w:rsid w:val="00BE2298"/>
    <w:rsid w:val="00BE3381"/>
    <w:rsid w:val="00BE3A11"/>
    <w:rsid w:val="00BE3A41"/>
    <w:rsid w:val="00BE408A"/>
    <w:rsid w:val="00BE5090"/>
    <w:rsid w:val="00BE58C8"/>
    <w:rsid w:val="00BE5C92"/>
    <w:rsid w:val="00BE68FB"/>
    <w:rsid w:val="00BE6E9B"/>
    <w:rsid w:val="00BE6F28"/>
    <w:rsid w:val="00BE76F8"/>
    <w:rsid w:val="00BE7A73"/>
    <w:rsid w:val="00BF00BC"/>
    <w:rsid w:val="00BF017E"/>
    <w:rsid w:val="00BF0AF6"/>
    <w:rsid w:val="00BF0B03"/>
    <w:rsid w:val="00BF1074"/>
    <w:rsid w:val="00BF1860"/>
    <w:rsid w:val="00BF1876"/>
    <w:rsid w:val="00BF24F5"/>
    <w:rsid w:val="00BF29FA"/>
    <w:rsid w:val="00BF2F1F"/>
    <w:rsid w:val="00BF39D1"/>
    <w:rsid w:val="00BF5BDC"/>
    <w:rsid w:val="00BF6229"/>
    <w:rsid w:val="00C00758"/>
    <w:rsid w:val="00C00EE9"/>
    <w:rsid w:val="00C01455"/>
    <w:rsid w:val="00C0161A"/>
    <w:rsid w:val="00C017B4"/>
    <w:rsid w:val="00C02163"/>
    <w:rsid w:val="00C023DC"/>
    <w:rsid w:val="00C03611"/>
    <w:rsid w:val="00C03D5B"/>
    <w:rsid w:val="00C03F6E"/>
    <w:rsid w:val="00C041C9"/>
    <w:rsid w:val="00C04D2B"/>
    <w:rsid w:val="00C04E05"/>
    <w:rsid w:val="00C04F7E"/>
    <w:rsid w:val="00C0618F"/>
    <w:rsid w:val="00C06414"/>
    <w:rsid w:val="00C06657"/>
    <w:rsid w:val="00C06CE5"/>
    <w:rsid w:val="00C07609"/>
    <w:rsid w:val="00C1046F"/>
    <w:rsid w:val="00C1119B"/>
    <w:rsid w:val="00C1121C"/>
    <w:rsid w:val="00C118CF"/>
    <w:rsid w:val="00C11DBB"/>
    <w:rsid w:val="00C128B6"/>
    <w:rsid w:val="00C12D15"/>
    <w:rsid w:val="00C13191"/>
    <w:rsid w:val="00C131B2"/>
    <w:rsid w:val="00C1373B"/>
    <w:rsid w:val="00C13C31"/>
    <w:rsid w:val="00C1493F"/>
    <w:rsid w:val="00C14C75"/>
    <w:rsid w:val="00C15081"/>
    <w:rsid w:val="00C15A2F"/>
    <w:rsid w:val="00C15DB4"/>
    <w:rsid w:val="00C1682D"/>
    <w:rsid w:val="00C17B8D"/>
    <w:rsid w:val="00C17ED3"/>
    <w:rsid w:val="00C202D3"/>
    <w:rsid w:val="00C213CE"/>
    <w:rsid w:val="00C21F83"/>
    <w:rsid w:val="00C221F5"/>
    <w:rsid w:val="00C22B81"/>
    <w:rsid w:val="00C2398F"/>
    <w:rsid w:val="00C25143"/>
    <w:rsid w:val="00C25419"/>
    <w:rsid w:val="00C25545"/>
    <w:rsid w:val="00C25568"/>
    <w:rsid w:val="00C259A8"/>
    <w:rsid w:val="00C260BF"/>
    <w:rsid w:val="00C262CE"/>
    <w:rsid w:val="00C262EF"/>
    <w:rsid w:val="00C26581"/>
    <w:rsid w:val="00C26EF6"/>
    <w:rsid w:val="00C27E06"/>
    <w:rsid w:val="00C305CE"/>
    <w:rsid w:val="00C308D9"/>
    <w:rsid w:val="00C30A58"/>
    <w:rsid w:val="00C30ADA"/>
    <w:rsid w:val="00C3122B"/>
    <w:rsid w:val="00C31283"/>
    <w:rsid w:val="00C316A8"/>
    <w:rsid w:val="00C31A95"/>
    <w:rsid w:val="00C32F31"/>
    <w:rsid w:val="00C331B2"/>
    <w:rsid w:val="00C351C0"/>
    <w:rsid w:val="00C40972"/>
    <w:rsid w:val="00C4144C"/>
    <w:rsid w:val="00C41533"/>
    <w:rsid w:val="00C42B76"/>
    <w:rsid w:val="00C42FE1"/>
    <w:rsid w:val="00C437D1"/>
    <w:rsid w:val="00C44ACC"/>
    <w:rsid w:val="00C44BD2"/>
    <w:rsid w:val="00C44F15"/>
    <w:rsid w:val="00C45493"/>
    <w:rsid w:val="00C45812"/>
    <w:rsid w:val="00C45C91"/>
    <w:rsid w:val="00C45DAF"/>
    <w:rsid w:val="00C46050"/>
    <w:rsid w:val="00C461AF"/>
    <w:rsid w:val="00C50AE4"/>
    <w:rsid w:val="00C5132E"/>
    <w:rsid w:val="00C51598"/>
    <w:rsid w:val="00C518E4"/>
    <w:rsid w:val="00C52301"/>
    <w:rsid w:val="00C52F34"/>
    <w:rsid w:val="00C53B4F"/>
    <w:rsid w:val="00C53E89"/>
    <w:rsid w:val="00C547D8"/>
    <w:rsid w:val="00C55378"/>
    <w:rsid w:val="00C55AB1"/>
    <w:rsid w:val="00C57C4A"/>
    <w:rsid w:val="00C609E9"/>
    <w:rsid w:val="00C60BDD"/>
    <w:rsid w:val="00C6120F"/>
    <w:rsid w:val="00C613D3"/>
    <w:rsid w:val="00C61A7A"/>
    <w:rsid w:val="00C61CDD"/>
    <w:rsid w:val="00C61EF0"/>
    <w:rsid w:val="00C62AE5"/>
    <w:rsid w:val="00C640A1"/>
    <w:rsid w:val="00C643B1"/>
    <w:rsid w:val="00C64FAF"/>
    <w:rsid w:val="00C65469"/>
    <w:rsid w:val="00C6549D"/>
    <w:rsid w:val="00C65DFF"/>
    <w:rsid w:val="00C6642E"/>
    <w:rsid w:val="00C66F3E"/>
    <w:rsid w:val="00C679AE"/>
    <w:rsid w:val="00C67A74"/>
    <w:rsid w:val="00C702AD"/>
    <w:rsid w:val="00C70AB8"/>
    <w:rsid w:val="00C70B5D"/>
    <w:rsid w:val="00C71036"/>
    <w:rsid w:val="00C712C5"/>
    <w:rsid w:val="00C718CE"/>
    <w:rsid w:val="00C72284"/>
    <w:rsid w:val="00C7275E"/>
    <w:rsid w:val="00C73472"/>
    <w:rsid w:val="00C7370A"/>
    <w:rsid w:val="00C737C5"/>
    <w:rsid w:val="00C73FBC"/>
    <w:rsid w:val="00C74B76"/>
    <w:rsid w:val="00C75304"/>
    <w:rsid w:val="00C76FCE"/>
    <w:rsid w:val="00C77023"/>
    <w:rsid w:val="00C77068"/>
    <w:rsid w:val="00C8007F"/>
    <w:rsid w:val="00C800F3"/>
    <w:rsid w:val="00C804BA"/>
    <w:rsid w:val="00C80C46"/>
    <w:rsid w:val="00C80C6F"/>
    <w:rsid w:val="00C80ED2"/>
    <w:rsid w:val="00C82EEC"/>
    <w:rsid w:val="00C831DB"/>
    <w:rsid w:val="00C83999"/>
    <w:rsid w:val="00C8482D"/>
    <w:rsid w:val="00C86015"/>
    <w:rsid w:val="00C869AE"/>
    <w:rsid w:val="00C871FE"/>
    <w:rsid w:val="00C87B7F"/>
    <w:rsid w:val="00C87CB7"/>
    <w:rsid w:val="00C9088C"/>
    <w:rsid w:val="00C9144A"/>
    <w:rsid w:val="00C9365E"/>
    <w:rsid w:val="00C93A5A"/>
    <w:rsid w:val="00C945D7"/>
    <w:rsid w:val="00C94970"/>
    <w:rsid w:val="00C95781"/>
    <w:rsid w:val="00C9769E"/>
    <w:rsid w:val="00CA07A6"/>
    <w:rsid w:val="00CA088C"/>
    <w:rsid w:val="00CA1C8A"/>
    <w:rsid w:val="00CA1E79"/>
    <w:rsid w:val="00CA25E4"/>
    <w:rsid w:val="00CA334C"/>
    <w:rsid w:val="00CA3540"/>
    <w:rsid w:val="00CA3D6D"/>
    <w:rsid w:val="00CA3D91"/>
    <w:rsid w:val="00CA5387"/>
    <w:rsid w:val="00CA5989"/>
    <w:rsid w:val="00CA5B61"/>
    <w:rsid w:val="00CA65F4"/>
    <w:rsid w:val="00CA6DED"/>
    <w:rsid w:val="00CA6E79"/>
    <w:rsid w:val="00CB0215"/>
    <w:rsid w:val="00CB02F2"/>
    <w:rsid w:val="00CB0724"/>
    <w:rsid w:val="00CB09A2"/>
    <w:rsid w:val="00CB2392"/>
    <w:rsid w:val="00CB2A04"/>
    <w:rsid w:val="00CB2DA5"/>
    <w:rsid w:val="00CB3BCB"/>
    <w:rsid w:val="00CB4F24"/>
    <w:rsid w:val="00CB6067"/>
    <w:rsid w:val="00CB6B8B"/>
    <w:rsid w:val="00CB7477"/>
    <w:rsid w:val="00CC01BD"/>
    <w:rsid w:val="00CC112B"/>
    <w:rsid w:val="00CC1156"/>
    <w:rsid w:val="00CC1B43"/>
    <w:rsid w:val="00CC1CD2"/>
    <w:rsid w:val="00CC1EC1"/>
    <w:rsid w:val="00CC27E4"/>
    <w:rsid w:val="00CC2EB8"/>
    <w:rsid w:val="00CC35C5"/>
    <w:rsid w:val="00CC4921"/>
    <w:rsid w:val="00CC49D4"/>
    <w:rsid w:val="00CC4E75"/>
    <w:rsid w:val="00CC54FF"/>
    <w:rsid w:val="00CC5685"/>
    <w:rsid w:val="00CC56F0"/>
    <w:rsid w:val="00CC7742"/>
    <w:rsid w:val="00CC799D"/>
    <w:rsid w:val="00CC7B06"/>
    <w:rsid w:val="00CD0783"/>
    <w:rsid w:val="00CD0CA0"/>
    <w:rsid w:val="00CD138A"/>
    <w:rsid w:val="00CD13C8"/>
    <w:rsid w:val="00CD1CE2"/>
    <w:rsid w:val="00CD1F76"/>
    <w:rsid w:val="00CD22B3"/>
    <w:rsid w:val="00CD35C9"/>
    <w:rsid w:val="00CD3D97"/>
    <w:rsid w:val="00CD460D"/>
    <w:rsid w:val="00CD485F"/>
    <w:rsid w:val="00CD5B40"/>
    <w:rsid w:val="00CD60F8"/>
    <w:rsid w:val="00CD6A12"/>
    <w:rsid w:val="00CD748C"/>
    <w:rsid w:val="00CD7C96"/>
    <w:rsid w:val="00CE0223"/>
    <w:rsid w:val="00CE1141"/>
    <w:rsid w:val="00CE1518"/>
    <w:rsid w:val="00CE1587"/>
    <w:rsid w:val="00CE17B4"/>
    <w:rsid w:val="00CE307F"/>
    <w:rsid w:val="00CE323E"/>
    <w:rsid w:val="00CE340A"/>
    <w:rsid w:val="00CE396A"/>
    <w:rsid w:val="00CE3A4B"/>
    <w:rsid w:val="00CE42E7"/>
    <w:rsid w:val="00CE47D4"/>
    <w:rsid w:val="00CE4C2B"/>
    <w:rsid w:val="00CE4F82"/>
    <w:rsid w:val="00CE51F9"/>
    <w:rsid w:val="00CE5623"/>
    <w:rsid w:val="00CE56FE"/>
    <w:rsid w:val="00CE5C76"/>
    <w:rsid w:val="00CE6D91"/>
    <w:rsid w:val="00CE6F5A"/>
    <w:rsid w:val="00CE71BD"/>
    <w:rsid w:val="00CE77FD"/>
    <w:rsid w:val="00CE7D31"/>
    <w:rsid w:val="00CE7D47"/>
    <w:rsid w:val="00CE7DF5"/>
    <w:rsid w:val="00CF139E"/>
    <w:rsid w:val="00CF3BF7"/>
    <w:rsid w:val="00CF3C9A"/>
    <w:rsid w:val="00CF405C"/>
    <w:rsid w:val="00CF42CF"/>
    <w:rsid w:val="00CF47F0"/>
    <w:rsid w:val="00CF4A19"/>
    <w:rsid w:val="00CF5841"/>
    <w:rsid w:val="00CF5988"/>
    <w:rsid w:val="00CF5AB5"/>
    <w:rsid w:val="00CF6E46"/>
    <w:rsid w:val="00CF7FC0"/>
    <w:rsid w:val="00D00BEE"/>
    <w:rsid w:val="00D0126E"/>
    <w:rsid w:val="00D0173E"/>
    <w:rsid w:val="00D01807"/>
    <w:rsid w:val="00D01A82"/>
    <w:rsid w:val="00D01BFA"/>
    <w:rsid w:val="00D0257E"/>
    <w:rsid w:val="00D02856"/>
    <w:rsid w:val="00D03424"/>
    <w:rsid w:val="00D03509"/>
    <w:rsid w:val="00D0386E"/>
    <w:rsid w:val="00D03D4C"/>
    <w:rsid w:val="00D03F3B"/>
    <w:rsid w:val="00D0441F"/>
    <w:rsid w:val="00D04F5B"/>
    <w:rsid w:val="00D0563A"/>
    <w:rsid w:val="00D0597A"/>
    <w:rsid w:val="00D05ADA"/>
    <w:rsid w:val="00D05C08"/>
    <w:rsid w:val="00D05D26"/>
    <w:rsid w:val="00D05E4F"/>
    <w:rsid w:val="00D101A1"/>
    <w:rsid w:val="00D102E9"/>
    <w:rsid w:val="00D1066A"/>
    <w:rsid w:val="00D115DD"/>
    <w:rsid w:val="00D11B39"/>
    <w:rsid w:val="00D11B9E"/>
    <w:rsid w:val="00D11CF9"/>
    <w:rsid w:val="00D11D6B"/>
    <w:rsid w:val="00D11F8E"/>
    <w:rsid w:val="00D12010"/>
    <w:rsid w:val="00D13453"/>
    <w:rsid w:val="00D13509"/>
    <w:rsid w:val="00D144E1"/>
    <w:rsid w:val="00D1571A"/>
    <w:rsid w:val="00D158FD"/>
    <w:rsid w:val="00D1688F"/>
    <w:rsid w:val="00D17121"/>
    <w:rsid w:val="00D17A21"/>
    <w:rsid w:val="00D17B23"/>
    <w:rsid w:val="00D20311"/>
    <w:rsid w:val="00D20B51"/>
    <w:rsid w:val="00D20D8B"/>
    <w:rsid w:val="00D2117F"/>
    <w:rsid w:val="00D21C71"/>
    <w:rsid w:val="00D21DA2"/>
    <w:rsid w:val="00D21EF4"/>
    <w:rsid w:val="00D23147"/>
    <w:rsid w:val="00D23387"/>
    <w:rsid w:val="00D23887"/>
    <w:rsid w:val="00D23AFD"/>
    <w:rsid w:val="00D23C1B"/>
    <w:rsid w:val="00D24B8B"/>
    <w:rsid w:val="00D24DEE"/>
    <w:rsid w:val="00D25317"/>
    <w:rsid w:val="00D254FC"/>
    <w:rsid w:val="00D25BB9"/>
    <w:rsid w:val="00D27554"/>
    <w:rsid w:val="00D27A1B"/>
    <w:rsid w:val="00D30076"/>
    <w:rsid w:val="00D3030B"/>
    <w:rsid w:val="00D32396"/>
    <w:rsid w:val="00D32856"/>
    <w:rsid w:val="00D32CF1"/>
    <w:rsid w:val="00D32FCF"/>
    <w:rsid w:val="00D330F7"/>
    <w:rsid w:val="00D34C97"/>
    <w:rsid w:val="00D35625"/>
    <w:rsid w:val="00D358A0"/>
    <w:rsid w:val="00D358E6"/>
    <w:rsid w:val="00D35E10"/>
    <w:rsid w:val="00D36AD0"/>
    <w:rsid w:val="00D36CDE"/>
    <w:rsid w:val="00D37487"/>
    <w:rsid w:val="00D377E3"/>
    <w:rsid w:val="00D400A7"/>
    <w:rsid w:val="00D406AD"/>
    <w:rsid w:val="00D41181"/>
    <w:rsid w:val="00D413D5"/>
    <w:rsid w:val="00D436B1"/>
    <w:rsid w:val="00D44602"/>
    <w:rsid w:val="00D44C42"/>
    <w:rsid w:val="00D4636A"/>
    <w:rsid w:val="00D46BA9"/>
    <w:rsid w:val="00D473F8"/>
    <w:rsid w:val="00D47448"/>
    <w:rsid w:val="00D47BEC"/>
    <w:rsid w:val="00D47FF4"/>
    <w:rsid w:val="00D50493"/>
    <w:rsid w:val="00D50A1F"/>
    <w:rsid w:val="00D510F4"/>
    <w:rsid w:val="00D51F3E"/>
    <w:rsid w:val="00D53A77"/>
    <w:rsid w:val="00D53AB7"/>
    <w:rsid w:val="00D54461"/>
    <w:rsid w:val="00D5564C"/>
    <w:rsid w:val="00D55670"/>
    <w:rsid w:val="00D55B9A"/>
    <w:rsid w:val="00D55DB2"/>
    <w:rsid w:val="00D56957"/>
    <w:rsid w:val="00D56CF2"/>
    <w:rsid w:val="00D56F13"/>
    <w:rsid w:val="00D575E0"/>
    <w:rsid w:val="00D57BAD"/>
    <w:rsid w:val="00D60AD7"/>
    <w:rsid w:val="00D6101A"/>
    <w:rsid w:val="00D6154F"/>
    <w:rsid w:val="00D624B5"/>
    <w:rsid w:val="00D62535"/>
    <w:rsid w:val="00D63422"/>
    <w:rsid w:val="00D6363F"/>
    <w:rsid w:val="00D644BD"/>
    <w:rsid w:val="00D6542E"/>
    <w:rsid w:val="00D65836"/>
    <w:rsid w:val="00D66959"/>
    <w:rsid w:val="00D66E8B"/>
    <w:rsid w:val="00D66E9A"/>
    <w:rsid w:val="00D6775F"/>
    <w:rsid w:val="00D67BB5"/>
    <w:rsid w:val="00D706DC"/>
    <w:rsid w:val="00D7090C"/>
    <w:rsid w:val="00D70F02"/>
    <w:rsid w:val="00D71037"/>
    <w:rsid w:val="00D71BB3"/>
    <w:rsid w:val="00D725F4"/>
    <w:rsid w:val="00D729C9"/>
    <w:rsid w:val="00D734FA"/>
    <w:rsid w:val="00D73E6A"/>
    <w:rsid w:val="00D741E7"/>
    <w:rsid w:val="00D7580F"/>
    <w:rsid w:val="00D7643D"/>
    <w:rsid w:val="00D767A3"/>
    <w:rsid w:val="00D769A4"/>
    <w:rsid w:val="00D77C96"/>
    <w:rsid w:val="00D80891"/>
    <w:rsid w:val="00D818D1"/>
    <w:rsid w:val="00D81E92"/>
    <w:rsid w:val="00D82364"/>
    <w:rsid w:val="00D83279"/>
    <w:rsid w:val="00D8467A"/>
    <w:rsid w:val="00D84686"/>
    <w:rsid w:val="00D85715"/>
    <w:rsid w:val="00D85AAF"/>
    <w:rsid w:val="00D85F30"/>
    <w:rsid w:val="00D8615E"/>
    <w:rsid w:val="00D86566"/>
    <w:rsid w:val="00D86D36"/>
    <w:rsid w:val="00D8706C"/>
    <w:rsid w:val="00D87EE8"/>
    <w:rsid w:val="00D90DAD"/>
    <w:rsid w:val="00D9193B"/>
    <w:rsid w:val="00D92850"/>
    <w:rsid w:val="00D934C2"/>
    <w:rsid w:val="00D93F35"/>
    <w:rsid w:val="00D95A76"/>
    <w:rsid w:val="00D95CDF"/>
    <w:rsid w:val="00D9606B"/>
    <w:rsid w:val="00D9641B"/>
    <w:rsid w:val="00D967BA"/>
    <w:rsid w:val="00D97737"/>
    <w:rsid w:val="00D979AF"/>
    <w:rsid w:val="00D97A48"/>
    <w:rsid w:val="00D97B19"/>
    <w:rsid w:val="00DA0AE1"/>
    <w:rsid w:val="00DA0B3F"/>
    <w:rsid w:val="00DA0E64"/>
    <w:rsid w:val="00DA142A"/>
    <w:rsid w:val="00DA2044"/>
    <w:rsid w:val="00DA36A1"/>
    <w:rsid w:val="00DA3843"/>
    <w:rsid w:val="00DA3DEB"/>
    <w:rsid w:val="00DA4187"/>
    <w:rsid w:val="00DA461E"/>
    <w:rsid w:val="00DA4633"/>
    <w:rsid w:val="00DA4C62"/>
    <w:rsid w:val="00DA4F8B"/>
    <w:rsid w:val="00DA54B9"/>
    <w:rsid w:val="00DA55DF"/>
    <w:rsid w:val="00DA5F87"/>
    <w:rsid w:val="00DB040D"/>
    <w:rsid w:val="00DB1731"/>
    <w:rsid w:val="00DB2CF5"/>
    <w:rsid w:val="00DB4244"/>
    <w:rsid w:val="00DB4817"/>
    <w:rsid w:val="00DB503F"/>
    <w:rsid w:val="00DB6A17"/>
    <w:rsid w:val="00DB6EFE"/>
    <w:rsid w:val="00DB7025"/>
    <w:rsid w:val="00DB70CF"/>
    <w:rsid w:val="00DB7F46"/>
    <w:rsid w:val="00DC029A"/>
    <w:rsid w:val="00DC0BA6"/>
    <w:rsid w:val="00DC0EEE"/>
    <w:rsid w:val="00DC1DD6"/>
    <w:rsid w:val="00DC1EA7"/>
    <w:rsid w:val="00DC201F"/>
    <w:rsid w:val="00DC27D7"/>
    <w:rsid w:val="00DC2876"/>
    <w:rsid w:val="00DC30A7"/>
    <w:rsid w:val="00DC331F"/>
    <w:rsid w:val="00DC3403"/>
    <w:rsid w:val="00DC3857"/>
    <w:rsid w:val="00DC3C78"/>
    <w:rsid w:val="00DC592F"/>
    <w:rsid w:val="00DC5ABD"/>
    <w:rsid w:val="00DC5C78"/>
    <w:rsid w:val="00DC60EC"/>
    <w:rsid w:val="00DC60F8"/>
    <w:rsid w:val="00DC6989"/>
    <w:rsid w:val="00DC7248"/>
    <w:rsid w:val="00DD04F5"/>
    <w:rsid w:val="00DD14C0"/>
    <w:rsid w:val="00DD1811"/>
    <w:rsid w:val="00DD1B72"/>
    <w:rsid w:val="00DD1D27"/>
    <w:rsid w:val="00DD2387"/>
    <w:rsid w:val="00DD297F"/>
    <w:rsid w:val="00DD2CB3"/>
    <w:rsid w:val="00DD37EA"/>
    <w:rsid w:val="00DD3B30"/>
    <w:rsid w:val="00DD3D26"/>
    <w:rsid w:val="00DD3E07"/>
    <w:rsid w:val="00DD430C"/>
    <w:rsid w:val="00DD475E"/>
    <w:rsid w:val="00DD4E84"/>
    <w:rsid w:val="00DD5520"/>
    <w:rsid w:val="00DD5E11"/>
    <w:rsid w:val="00DD67D6"/>
    <w:rsid w:val="00DD6F68"/>
    <w:rsid w:val="00DD72FF"/>
    <w:rsid w:val="00DD778E"/>
    <w:rsid w:val="00DE0359"/>
    <w:rsid w:val="00DE1DA5"/>
    <w:rsid w:val="00DE2087"/>
    <w:rsid w:val="00DE2281"/>
    <w:rsid w:val="00DE2844"/>
    <w:rsid w:val="00DE3867"/>
    <w:rsid w:val="00DE3A7A"/>
    <w:rsid w:val="00DE3ACF"/>
    <w:rsid w:val="00DE43E9"/>
    <w:rsid w:val="00DE4C88"/>
    <w:rsid w:val="00DE51B7"/>
    <w:rsid w:val="00DE5FC9"/>
    <w:rsid w:val="00DE6672"/>
    <w:rsid w:val="00DE67A4"/>
    <w:rsid w:val="00DE6809"/>
    <w:rsid w:val="00DE7150"/>
    <w:rsid w:val="00DE723E"/>
    <w:rsid w:val="00DE7C84"/>
    <w:rsid w:val="00DF02EC"/>
    <w:rsid w:val="00DF03F5"/>
    <w:rsid w:val="00DF0593"/>
    <w:rsid w:val="00DF088F"/>
    <w:rsid w:val="00DF0ECC"/>
    <w:rsid w:val="00DF16C2"/>
    <w:rsid w:val="00DF1DFF"/>
    <w:rsid w:val="00DF2C70"/>
    <w:rsid w:val="00DF3452"/>
    <w:rsid w:val="00DF3C5E"/>
    <w:rsid w:val="00DF4F35"/>
    <w:rsid w:val="00DF542B"/>
    <w:rsid w:val="00DF770E"/>
    <w:rsid w:val="00E00F76"/>
    <w:rsid w:val="00E011C0"/>
    <w:rsid w:val="00E013A3"/>
    <w:rsid w:val="00E01457"/>
    <w:rsid w:val="00E01635"/>
    <w:rsid w:val="00E01A3A"/>
    <w:rsid w:val="00E02335"/>
    <w:rsid w:val="00E03824"/>
    <w:rsid w:val="00E03FCC"/>
    <w:rsid w:val="00E04509"/>
    <w:rsid w:val="00E04848"/>
    <w:rsid w:val="00E049E0"/>
    <w:rsid w:val="00E04D0F"/>
    <w:rsid w:val="00E05049"/>
    <w:rsid w:val="00E0529F"/>
    <w:rsid w:val="00E06872"/>
    <w:rsid w:val="00E06923"/>
    <w:rsid w:val="00E06A22"/>
    <w:rsid w:val="00E07780"/>
    <w:rsid w:val="00E12340"/>
    <w:rsid w:val="00E12623"/>
    <w:rsid w:val="00E14490"/>
    <w:rsid w:val="00E14578"/>
    <w:rsid w:val="00E14880"/>
    <w:rsid w:val="00E15671"/>
    <w:rsid w:val="00E160B0"/>
    <w:rsid w:val="00E209A5"/>
    <w:rsid w:val="00E20B8B"/>
    <w:rsid w:val="00E21856"/>
    <w:rsid w:val="00E21E75"/>
    <w:rsid w:val="00E22458"/>
    <w:rsid w:val="00E22A67"/>
    <w:rsid w:val="00E2306E"/>
    <w:rsid w:val="00E231E9"/>
    <w:rsid w:val="00E23724"/>
    <w:rsid w:val="00E23B43"/>
    <w:rsid w:val="00E24C19"/>
    <w:rsid w:val="00E25230"/>
    <w:rsid w:val="00E26445"/>
    <w:rsid w:val="00E270E5"/>
    <w:rsid w:val="00E27A41"/>
    <w:rsid w:val="00E300AD"/>
    <w:rsid w:val="00E3018A"/>
    <w:rsid w:val="00E30925"/>
    <w:rsid w:val="00E30A88"/>
    <w:rsid w:val="00E30ECC"/>
    <w:rsid w:val="00E30EF5"/>
    <w:rsid w:val="00E31343"/>
    <w:rsid w:val="00E31A06"/>
    <w:rsid w:val="00E322EB"/>
    <w:rsid w:val="00E32E2D"/>
    <w:rsid w:val="00E337E9"/>
    <w:rsid w:val="00E33A10"/>
    <w:rsid w:val="00E348AA"/>
    <w:rsid w:val="00E35610"/>
    <w:rsid w:val="00E3567E"/>
    <w:rsid w:val="00E37176"/>
    <w:rsid w:val="00E374E1"/>
    <w:rsid w:val="00E374F5"/>
    <w:rsid w:val="00E3760B"/>
    <w:rsid w:val="00E37823"/>
    <w:rsid w:val="00E37AAE"/>
    <w:rsid w:val="00E37C2C"/>
    <w:rsid w:val="00E37CB7"/>
    <w:rsid w:val="00E37FD3"/>
    <w:rsid w:val="00E411E9"/>
    <w:rsid w:val="00E4158F"/>
    <w:rsid w:val="00E42A95"/>
    <w:rsid w:val="00E43BB1"/>
    <w:rsid w:val="00E43EF9"/>
    <w:rsid w:val="00E44A48"/>
    <w:rsid w:val="00E44EC5"/>
    <w:rsid w:val="00E45657"/>
    <w:rsid w:val="00E45667"/>
    <w:rsid w:val="00E458C1"/>
    <w:rsid w:val="00E458E7"/>
    <w:rsid w:val="00E45F6A"/>
    <w:rsid w:val="00E4657E"/>
    <w:rsid w:val="00E4728A"/>
    <w:rsid w:val="00E473FA"/>
    <w:rsid w:val="00E47CA3"/>
    <w:rsid w:val="00E47CEB"/>
    <w:rsid w:val="00E504E8"/>
    <w:rsid w:val="00E50747"/>
    <w:rsid w:val="00E5091C"/>
    <w:rsid w:val="00E50DBD"/>
    <w:rsid w:val="00E519DC"/>
    <w:rsid w:val="00E51DC3"/>
    <w:rsid w:val="00E51EFF"/>
    <w:rsid w:val="00E525A5"/>
    <w:rsid w:val="00E52E4E"/>
    <w:rsid w:val="00E53A50"/>
    <w:rsid w:val="00E53DD9"/>
    <w:rsid w:val="00E553BC"/>
    <w:rsid w:val="00E555D2"/>
    <w:rsid w:val="00E556BD"/>
    <w:rsid w:val="00E55DB3"/>
    <w:rsid w:val="00E55FA5"/>
    <w:rsid w:val="00E56468"/>
    <w:rsid w:val="00E56B41"/>
    <w:rsid w:val="00E574E8"/>
    <w:rsid w:val="00E57BF1"/>
    <w:rsid w:val="00E61326"/>
    <w:rsid w:val="00E61EB8"/>
    <w:rsid w:val="00E62CB9"/>
    <w:rsid w:val="00E62E2A"/>
    <w:rsid w:val="00E630D4"/>
    <w:rsid w:val="00E63455"/>
    <w:rsid w:val="00E649EA"/>
    <w:rsid w:val="00E64AD7"/>
    <w:rsid w:val="00E64DD7"/>
    <w:rsid w:val="00E64F7D"/>
    <w:rsid w:val="00E65768"/>
    <w:rsid w:val="00E65832"/>
    <w:rsid w:val="00E65899"/>
    <w:rsid w:val="00E65A56"/>
    <w:rsid w:val="00E670CE"/>
    <w:rsid w:val="00E709AD"/>
    <w:rsid w:val="00E70D7C"/>
    <w:rsid w:val="00E71203"/>
    <w:rsid w:val="00E71317"/>
    <w:rsid w:val="00E7140B"/>
    <w:rsid w:val="00E71FC5"/>
    <w:rsid w:val="00E72063"/>
    <w:rsid w:val="00E7248D"/>
    <w:rsid w:val="00E724AC"/>
    <w:rsid w:val="00E72BEB"/>
    <w:rsid w:val="00E7321E"/>
    <w:rsid w:val="00E741A4"/>
    <w:rsid w:val="00E74D9D"/>
    <w:rsid w:val="00E7559F"/>
    <w:rsid w:val="00E757D9"/>
    <w:rsid w:val="00E75F02"/>
    <w:rsid w:val="00E763F7"/>
    <w:rsid w:val="00E76C3E"/>
    <w:rsid w:val="00E77139"/>
    <w:rsid w:val="00E807DA"/>
    <w:rsid w:val="00E80A34"/>
    <w:rsid w:val="00E8175D"/>
    <w:rsid w:val="00E819A2"/>
    <w:rsid w:val="00E84E3A"/>
    <w:rsid w:val="00E850E6"/>
    <w:rsid w:val="00E85151"/>
    <w:rsid w:val="00E851F5"/>
    <w:rsid w:val="00E85937"/>
    <w:rsid w:val="00E862E6"/>
    <w:rsid w:val="00E86A05"/>
    <w:rsid w:val="00E86BA6"/>
    <w:rsid w:val="00E870BF"/>
    <w:rsid w:val="00E87174"/>
    <w:rsid w:val="00E879DB"/>
    <w:rsid w:val="00E87D4E"/>
    <w:rsid w:val="00E90738"/>
    <w:rsid w:val="00E91564"/>
    <w:rsid w:val="00E9165A"/>
    <w:rsid w:val="00E9184F"/>
    <w:rsid w:val="00E91E11"/>
    <w:rsid w:val="00E922E5"/>
    <w:rsid w:val="00E93C63"/>
    <w:rsid w:val="00E940B8"/>
    <w:rsid w:val="00E94144"/>
    <w:rsid w:val="00E94467"/>
    <w:rsid w:val="00E944CA"/>
    <w:rsid w:val="00E961FE"/>
    <w:rsid w:val="00E962D1"/>
    <w:rsid w:val="00E963DC"/>
    <w:rsid w:val="00E9668B"/>
    <w:rsid w:val="00E96F16"/>
    <w:rsid w:val="00E9709E"/>
    <w:rsid w:val="00E97274"/>
    <w:rsid w:val="00E97458"/>
    <w:rsid w:val="00EA040E"/>
    <w:rsid w:val="00EA05AF"/>
    <w:rsid w:val="00EA1381"/>
    <w:rsid w:val="00EA16AD"/>
    <w:rsid w:val="00EA1C72"/>
    <w:rsid w:val="00EA245D"/>
    <w:rsid w:val="00EA2605"/>
    <w:rsid w:val="00EA3634"/>
    <w:rsid w:val="00EA3DC6"/>
    <w:rsid w:val="00EA40BA"/>
    <w:rsid w:val="00EA4AB9"/>
    <w:rsid w:val="00EA4D3F"/>
    <w:rsid w:val="00EA53CC"/>
    <w:rsid w:val="00EA5912"/>
    <w:rsid w:val="00EA60EB"/>
    <w:rsid w:val="00EA77BD"/>
    <w:rsid w:val="00EA7F7B"/>
    <w:rsid w:val="00EB0911"/>
    <w:rsid w:val="00EB215C"/>
    <w:rsid w:val="00EB2182"/>
    <w:rsid w:val="00EB29F2"/>
    <w:rsid w:val="00EB4BDF"/>
    <w:rsid w:val="00EB4C18"/>
    <w:rsid w:val="00EB4E23"/>
    <w:rsid w:val="00EB5108"/>
    <w:rsid w:val="00EB54A7"/>
    <w:rsid w:val="00EB5CDF"/>
    <w:rsid w:val="00EB6B4F"/>
    <w:rsid w:val="00EB6CBE"/>
    <w:rsid w:val="00EB713C"/>
    <w:rsid w:val="00EC0188"/>
    <w:rsid w:val="00EC0462"/>
    <w:rsid w:val="00EC046E"/>
    <w:rsid w:val="00EC1338"/>
    <w:rsid w:val="00EC13B7"/>
    <w:rsid w:val="00EC1BBD"/>
    <w:rsid w:val="00EC25CE"/>
    <w:rsid w:val="00EC292F"/>
    <w:rsid w:val="00EC2D3D"/>
    <w:rsid w:val="00EC351C"/>
    <w:rsid w:val="00EC3597"/>
    <w:rsid w:val="00EC392A"/>
    <w:rsid w:val="00EC40E3"/>
    <w:rsid w:val="00EC4389"/>
    <w:rsid w:val="00EC43B9"/>
    <w:rsid w:val="00EC4F9D"/>
    <w:rsid w:val="00EC5E19"/>
    <w:rsid w:val="00EC5E1E"/>
    <w:rsid w:val="00EC6034"/>
    <w:rsid w:val="00EC6F32"/>
    <w:rsid w:val="00EC6F88"/>
    <w:rsid w:val="00EC72C9"/>
    <w:rsid w:val="00EC74B5"/>
    <w:rsid w:val="00EC7A54"/>
    <w:rsid w:val="00ED0947"/>
    <w:rsid w:val="00ED105B"/>
    <w:rsid w:val="00ED1073"/>
    <w:rsid w:val="00ED1233"/>
    <w:rsid w:val="00ED2139"/>
    <w:rsid w:val="00ED2F2B"/>
    <w:rsid w:val="00ED36E7"/>
    <w:rsid w:val="00ED3A28"/>
    <w:rsid w:val="00ED3E98"/>
    <w:rsid w:val="00ED4463"/>
    <w:rsid w:val="00ED477C"/>
    <w:rsid w:val="00ED4C8E"/>
    <w:rsid w:val="00ED4D69"/>
    <w:rsid w:val="00ED533C"/>
    <w:rsid w:val="00ED548E"/>
    <w:rsid w:val="00ED56C1"/>
    <w:rsid w:val="00ED5AF0"/>
    <w:rsid w:val="00ED61AA"/>
    <w:rsid w:val="00ED658E"/>
    <w:rsid w:val="00ED6882"/>
    <w:rsid w:val="00ED6CBE"/>
    <w:rsid w:val="00ED71CE"/>
    <w:rsid w:val="00ED72F3"/>
    <w:rsid w:val="00ED7440"/>
    <w:rsid w:val="00ED752A"/>
    <w:rsid w:val="00ED7A3E"/>
    <w:rsid w:val="00EE0174"/>
    <w:rsid w:val="00EE12A7"/>
    <w:rsid w:val="00EE1416"/>
    <w:rsid w:val="00EE2F42"/>
    <w:rsid w:val="00EE362F"/>
    <w:rsid w:val="00EE3843"/>
    <w:rsid w:val="00EE4322"/>
    <w:rsid w:val="00EE48DE"/>
    <w:rsid w:val="00EE5A0B"/>
    <w:rsid w:val="00EE5CD1"/>
    <w:rsid w:val="00EE61C5"/>
    <w:rsid w:val="00EF0959"/>
    <w:rsid w:val="00EF0B5B"/>
    <w:rsid w:val="00EF0CBC"/>
    <w:rsid w:val="00EF0E19"/>
    <w:rsid w:val="00EF15F1"/>
    <w:rsid w:val="00EF29F0"/>
    <w:rsid w:val="00EF3F08"/>
    <w:rsid w:val="00EF3FD2"/>
    <w:rsid w:val="00EF4CE5"/>
    <w:rsid w:val="00EF5003"/>
    <w:rsid w:val="00EF6A03"/>
    <w:rsid w:val="00EF71D3"/>
    <w:rsid w:val="00EF73A2"/>
    <w:rsid w:val="00F00911"/>
    <w:rsid w:val="00F00B5E"/>
    <w:rsid w:val="00F00D70"/>
    <w:rsid w:val="00F01A97"/>
    <w:rsid w:val="00F02D81"/>
    <w:rsid w:val="00F02F8E"/>
    <w:rsid w:val="00F02FE6"/>
    <w:rsid w:val="00F03438"/>
    <w:rsid w:val="00F037E4"/>
    <w:rsid w:val="00F0437C"/>
    <w:rsid w:val="00F051BE"/>
    <w:rsid w:val="00F053C6"/>
    <w:rsid w:val="00F05AA7"/>
    <w:rsid w:val="00F07162"/>
    <w:rsid w:val="00F074F3"/>
    <w:rsid w:val="00F07EA5"/>
    <w:rsid w:val="00F10332"/>
    <w:rsid w:val="00F10B23"/>
    <w:rsid w:val="00F10E88"/>
    <w:rsid w:val="00F1119D"/>
    <w:rsid w:val="00F114AE"/>
    <w:rsid w:val="00F1195B"/>
    <w:rsid w:val="00F12107"/>
    <w:rsid w:val="00F13151"/>
    <w:rsid w:val="00F13227"/>
    <w:rsid w:val="00F13C11"/>
    <w:rsid w:val="00F13C17"/>
    <w:rsid w:val="00F13CB1"/>
    <w:rsid w:val="00F14930"/>
    <w:rsid w:val="00F14DDC"/>
    <w:rsid w:val="00F1507A"/>
    <w:rsid w:val="00F15546"/>
    <w:rsid w:val="00F15933"/>
    <w:rsid w:val="00F15CE6"/>
    <w:rsid w:val="00F16D9B"/>
    <w:rsid w:val="00F17212"/>
    <w:rsid w:val="00F17920"/>
    <w:rsid w:val="00F17EF0"/>
    <w:rsid w:val="00F20595"/>
    <w:rsid w:val="00F20D89"/>
    <w:rsid w:val="00F215E2"/>
    <w:rsid w:val="00F21660"/>
    <w:rsid w:val="00F21923"/>
    <w:rsid w:val="00F21FFC"/>
    <w:rsid w:val="00F22BB3"/>
    <w:rsid w:val="00F22D2A"/>
    <w:rsid w:val="00F2378A"/>
    <w:rsid w:val="00F250DF"/>
    <w:rsid w:val="00F257B6"/>
    <w:rsid w:val="00F259EB"/>
    <w:rsid w:val="00F26122"/>
    <w:rsid w:val="00F27952"/>
    <w:rsid w:val="00F30CC9"/>
    <w:rsid w:val="00F30F90"/>
    <w:rsid w:val="00F313A9"/>
    <w:rsid w:val="00F3159D"/>
    <w:rsid w:val="00F3190B"/>
    <w:rsid w:val="00F31FF1"/>
    <w:rsid w:val="00F3387D"/>
    <w:rsid w:val="00F345C9"/>
    <w:rsid w:val="00F34B49"/>
    <w:rsid w:val="00F34C1A"/>
    <w:rsid w:val="00F34FAB"/>
    <w:rsid w:val="00F36E3F"/>
    <w:rsid w:val="00F36FB5"/>
    <w:rsid w:val="00F37275"/>
    <w:rsid w:val="00F372AE"/>
    <w:rsid w:val="00F376E9"/>
    <w:rsid w:val="00F4005D"/>
    <w:rsid w:val="00F40246"/>
    <w:rsid w:val="00F40A6D"/>
    <w:rsid w:val="00F40C2C"/>
    <w:rsid w:val="00F40CA9"/>
    <w:rsid w:val="00F4100E"/>
    <w:rsid w:val="00F41422"/>
    <w:rsid w:val="00F41549"/>
    <w:rsid w:val="00F41837"/>
    <w:rsid w:val="00F420F9"/>
    <w:rsid w:val="00F43C26"/>
    <w:rsid w:val="00F43CA0"/>
    <w:rsid w:val="00F43EE0"/>
    <w:rsid w:val="00F44327"/>
    <w:rsid w:val="00F4463B"/>
    <w:rsid w:val="00F44A26"/>
    <w:rsid w:val="00F45192"/>
    <w:rsid w:val="00F45429"/>
    <w:rsid w:val="00F45A86"/>
    <w:rsid w:val="00F50D64"/>
    <w:rsid w:val="00F50F1A"/>
    <w:rsid w:val="00F51826"/>
    <w:rsid w:val="00F51BB1"/>
    <w:rsid w:val="00F53503"/>
    <w:rsid w:val="00F54B2E"/>
    <w:rsid w:val="00F54BB8"/>
    <w:rsid w:val="00F54BCC"/>
    <w:rsid w:val="00F55030"/>
    <w:rsid w:val="00F55288"/>
    <w:rsid w:val="00F563E1"/>
    <w:rsid w:val="00F5688E"/>
    <w:rsid w:val="00F56DD2"/>
    <w:rsid w:val="00F601BE"/>
    <w:rsid w:val="00F601E9"/>
    <w:rsid w:val="00F606CC"/>
    <w:rsid w:val="00F60880"/>
    <w:rsid w:val="00F608CB"/>
    <w:rsid w:val="00F60A58"/>
    <w:rsid w:val="00F60B77"/>
    <w:rsid w:val="00F61183"/>
    <w:rsid w:val="00F619A4"/>
    <w:rsid w:val="00F63948"/>
    <w:rsid w:val="00F640E6"/>
    <w:rsid w:val="00F65A77"/>
    <w:rsid w:val="00F66088"/>
    <w:rsid w:val="00F704C1"/>
    <w:rsid w:val="00F70778"/>
    <w:rsid w:val="00F71410"/>
    <w:rsid w:val="00F71C67"/>
    <w:rsid w:val="00F724C6"/>
    <w:rsid w:val="00F73704"/>
    <w:rsid w:val="00F74439"/>
    <w:rsid w:val="00F746B6"/>
    <w:rsid w:val="00F74B36"/>
    <w:rsid w:val="00F74BB0"/>
    <w:rsid w:val="00F74DCA"/>
    <w:rsid w:val="00F74F5C"/>
    <w:rsid w:val="00F74FD1"/>
    <w:rsid w:val="00F75547"/>
    <w:rsid w:val="00F761F6"/>
    <w:rsid w:val="00F7696F"/>
    <w:rsid w:val="00F77091"/>
    <w:rsid w:val="00F7737F"/>
    <w:rsid w:val="00F80069"/>
    <w:rsid w:val="00F8096B"/>
    <w:rsid w:val="00F816A1"/>
    <w:rsid w:val="00F81B7C"/>
    <w:rsid w:val="00F8209B"/>
    <w:rsid w:val="00F8255A"/>
    <w:rsid w:val="00F825F9"/>
    <w:rsid w:val="00F82FD1"/>
    <w:rsid w:val="00F83074"/>
    <w:rsid w:val="00F8448A"/>
    <w:rsid w:val="00F85489"/>
    <w:rsid w:val="00F858E6"/>
    <w:rsid w:val="00F85D5D"/>
    <w:rsid w:val="00F8608B"/>
    <w:rsid w:val="00F86B15"/>
    <w:rsid w:val="00F86F83"/>
    <w:rsid w:val="00F86FDF"/>
    <w:rsid w:val="00F90107"/>
    <w:rsid w:val="00F9023C"/>
    <w:rsid w:val="00F9038A"/>
    <w:rsid w:val="00F92477"/>
    <w:rsid w:val="00F9250F"/>
    <w:rsid w:val="00F9286A"/>
    <w:rsid w:val="00F92F03"/>
    <w:rsid w:val="00F934E9"/>
    <w:rsid w:val="00F945B9"/>
    <w:rsid w:val="00F95E05"/>
    <w:rsid w:val="00F96A4E"/>
    <w:rsid w:val="00F96CF7"/>
    <w:rsid w:val="00F978C2"/>
    <w:rsid w:val="00F97CD9"/>
    <w:rsid w:val="00F97F35"/>
    <w:rsid w:val="00FA0562"/>
    <w:rsid w:val="00FA0576"/>
    <w:rsid w:val="00FA0608"/>
    <w:rsid w:val="00FA0866"/>
    <w:rsid w:val="00FA0998"/>
    <w:rsid w:val="00FA1392"/>
    <w:rsid w:val="00FA1C04"/>
    <w:rsid w:val="00FA1F85"/>
    <w:rsid w:val="00FA2418"/>
    <w:rsid w:val="00FA3DA0"/>
    <w:rsid w:val="00FA5131"/>
    <w:rsid w:val="00FA6F5A"/>
    <w:rsid w:val="00FA7347"/>
    <w:rsid w:val="00FA7A3A"/>
    <w:rsid w:val="00FB007D"/>
    <w:rsid w:val="00FB0C53"/>
    <w:rsid w:val="00FB0FDB"/>
    <w:rsid w:val="00FB2662"/>
    <w:rsid w:val="00FB29F4"/>
    <w:rsid w:val="00FB34F2"/>
    <w:rsid w:val="00FB4B25"/>
    <w:rsid w:val="00FB50B4"/>
    <w:rsid w:val="00FB75E6"/>
    <w:rsid w:val="00FB795B"/>
    <w:rsid w:val="00FC0A2A"/>
    <w:rsid w:val="00FC0E31"/>
    <w:rsid w:val="00FC1966"/>
    <w:rsid w:val="00FC1CE9"/>
    <w:rsid w:val="00FC224C"/>
    <w:rsid w:val="00FC2F2D"/>
    <w:rsid w:val="00FC34C1"/>
    <w:rsid w:val="00FC3D5B"/>
    <w:rsid w:val="00FC4526"/>
    <w:rsid w:val="00FC4AC5"/>
    <w:rsid w:val="00FC4B1E"/>
    <w:rsid w:val="00FC5235"/>
    <w:rsid w:val="00FC53A3"/>
    <w:rsid w:val="00FC54B6"/>
    <w:rsid w:val="00FC597A"/>
    <w:rsid w:val="00FC6039"/>
    <w:rsid w:val="00FC632A"/>
    <w:rsid w:val="00FC6368"/>
    <w:rsid w:val="00FC7FAB"/>
    <w:rsid w:val="00FD093C"/>
    <w:rsid w:val="00FD0A25"/>
    <w:rsid w:val="00FD1A15"/>
    <w:rsid w:val="00FD2918"/>
    <w:rsid w:val="00FD34D2"/>
    <w:rsid w:val="00FD384F"/>
    <w:rsid w:val="00FD3B16"/>
    <w:rsid w:val="00FD4910"/>
    <w:rsid w:val="00FD4B97"/>
    <w:rsid w:val="00FD502C"/>
    <w:rsid w:val="00FD5158"/>
    <w:rsid w:val="00FD5595"/>
    <w:rsid w:val="00FD56C6"/>
    <w:rsid w:val="00FD5AC2"/>
    <w:rsid w:val="00FD5CEB"/>
    <w:rsid w:val="00FD63FD"/>
    <w:rsid w:val="00FD64A1"/>
    <w:rsid w:val="00FD66AA"/>
    <w:rsid w:val="00FD70A6"/>
    <w:rsid w:val="00FD7B72"/>
    <w:rsid w:val="00FE009F"/>
    <w:rsid w:val="00FE09D4"/>
    <w:rsid w:val="00FE0A66"/>
    <w:rsid w:val="00FE0C80"/>
    <w:rsid w:val="00FE0ECE"/>
    <w:rsid w:val="00FE1770"/>
    <w:rsid w:val="00FE1F37"/>
    <w:rsid w:val="00FE2E42"/>
    <w:rsid w:val="00FE38E5"/>
    <w:rsid w:val="00FE399E"/>
    <w:rsid w:val="00FE3C04"/>
    <w:rsid w:val="00FE4441"/>
    <w:rsid w:val="00FE4544"/>
    <w:rsid w:val="00FE4E24"/>
    <w:rsid w:val="00FE55EB"/>
    <w:rsid w:val="00FE60C3"/>
    <w:rsid w:val="00FE61B4"/>
    <w:rsid w:val="00FE6231"/>
    <w:rsid w:val="00FE637A"/>
    <w:rsid w:val="00FE68B5"/>
    <w:rsid w:val="00FE6DE9"/>
    <w:rsid w:val="00FE7650"/>
    <w:rsid w:val="00FE796C"/>
    <w:rsid w:val="00FE7E3C"/>
    <w:rsid w:val="00FF0A67"/>
    <w:rsid w:val="00FF0C86"/>
    <w:rsid w:val="00FF1367"/>
    <w:rsid w:val="00FF1BB4"/>
    <w:rsid w:val="00FF265B"/>
    <w:rsid w:val="00FF3C9C"/>
    <w:rsid w:val="00FF3D23"/>
    <w:rsid w:val="00FF59C0"/>
    <w:rsid w:val="00FF64E8"/>
    <w:rsid w:val="00FF6AFD"/>
    <w:rsid w:val="00FF7128"/>
    <w:rsid w:val="00FF7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0401">
      <o:colormru v:ext="edit" colors="silve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0547D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8"/>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EB5CDF"/>
    <w:pPr>
      <w:numPr>
        <w:numId w:val="9"/>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NormalWeb">
    <w:name w:val="Normal (Web)"/>
    <w:basedOn w:val="Normal"/>
    <w:uiPriority w:val="99"/>
    <w:semiHidden/>
    <w:unhideWhenUsed/>
    <w:locked/>
    <w:rsid w:val="00BC6450"/>
    <w:rPr>
      <w:rFonts w:ascii="Times New Roman" w:hAnsi="Times New Roman"/>
      <w:sz w:val="24"/>
      <w:szCs w:val="24"/>
    </w:rPr>
  </w:style>
  <w:style w:type="paragraph" w:styleId="Revision">
    <w:name w:val="Revision"/>
    <w:hidden/>
    <w:uiPriority w:val="99"/>
    <w:semiHidden/>
    <w:rsid w:val="00807C76"/>
    <w:rPr>
      <w:lang w:eastAsia="en-US"/>
    </w:rPr>
  </w:style>
  <w:style w:type="character" w:styleId="FollowedHyperlink">
    <w:name w:val="FollowedHyperlink"/>
    <w:basedOn w:val="DefaultParagraphFont"/>
    <w:uiPriority w:val="99"/>
    <w:semiHidden/>
    <w:unhideWhenUsed/>
    <w:rsid w:val="003829C3"/>
    <w:rPr>
      <w:color w:val="800080" w:themeColor="followedHyperlink"/>
      <w:u w:val="single"/>
    </w:rPr>
  </w:style>
  <w:style w:type="paragraph" w:styleId="ListBullet">
    <w:name w:val="List Bullet"/>
    <w:basedOn w:val="Normal"/>
    <w:uiPriority w:val="99"/>
    <w:semiHidden/>
    <w:unhideWhenUsed/>
    <w:locked/>
    <w:rsid w:val="00746797"/>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8"/>
      </w:numPr>
    </w:pPr>
  </w:style>
  <w:style w:type="numbering" w:customStyle="1" w:styleId="Heading1Char">
    <w:name w:val="OldAERheadings"/>
    <w:pPr>
      <w:numPr>
        <w:numId w:val="7"/>
      </w:numPr>
    </w:pPr>
  </w:style>
  <w:style w:type="numbering" w:customStyle="1" w:styleId="Heading2Char">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483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3895143">
      <w:bodyDiv w:val="1"/>
      <w:marLeft w:val="0"/>
      <w:marRight w:val="0"/>
      <w:marTop w:val="0"/>
      <w:marBottom w:val="0"/>
      <w:divBdr>
        <w:top w:val="none" w:sz="0" w:space="0" w:color="auto"/>
        <w:left w:val="none" w:sz="0" w:space="0" w:color="auto"/>
        <w:bottom w:val="none" w:sz="0" w:space="0" w:color="auto"/>
        <w:right w:val="none" w:sz="0" w:space="0" w:color="auto"/>
      </w:divBdr>
      <w:divsChild>
        <w:div w:id="767769839">
          <w:marLeft w:val="0"/>
          <w:marRight w:val="0"/>
          <w:marTop w:val="0"/>
          <w:marBottom w:val="0"/>
          <w:divBdr>
            <w:top w:val="none" w:sz="0" w:space="0" w:color="auto"/>
            <w:left w:val="none" w:sz="0" w:space="0" w:color="auto"/>
            <w:bottom w:val="none" w:sz="0" w:space="0" w:color="auto"/>
            <w:right w:val="none" w:sz="0" w:space="0" w:color="auto"/>
          </w:divBdr>
          <w:divsChild>
            <w:div w:id="10184142">
              <w:marLeft w:val="0"/>
              <w:marRight w:val="0"/>
              <w:marTop w:val="0"/>
              <w:marBottom w:val="0"/>
              <w:divBdr>
                <w:top w:val="none" w:sz="0" w:space="0" w:color="auto"/>
                <w:left w:val="none" w:sz="0" w:space="0" w:color="auto"/>
                <w:bottom w:val="none" w:sz="0" w:space="0" w:color="auto"/>
                <w:right w:val="none" w:sz="0" w:space="0" w:color="auto"/>
              </w:divBdr>
              <w:divsChild>
                <w:div w:id="1078476808">
                  <w:marLeft w:val="0"/>
                  <w:marRight w:val="0"/>
                  <w:marTop w:val="0"/>
                  <w:marBottom w:val="0"/>
                  <w:divBdr>
                    <w:top w:val="none" w:sz="0" w:space="0" w:color="auto"/>
                    <w:left w:val="none" w:sz="0" w:space="0" w:color="auto"/>
                    <w:bottom w:val="none" w:sz="0" w:space="0" w:color="auto"/>
                    <w:right w:val="none" w:sz="0" w:space="0" w:color="auto"/>
                  </w:divBdr>
                  <w:divsChild>
                    <w:div w:id="1123500031">
                      <w:marLeft w:val="0"/>
                      <w:marRight w:val="0"/>
                      <w:marTop w:val="0"/>
                      <w:marBottom w:val="0"/>
                      <w:divBdr>
                        <w:top w:val="none" w:sz="0" w:space="0" w:color="auto"/>
                        <w:left w:val="none" w:sz="0" w:space="0" w:color="auto"/>
                        <w:bottom w:val="none" w:sz="0" w:space="0" w:color="auto"/>
                        <w:right w:val="none" w:sz="0" w:space="0" w:color="auto"/>
                      </w:divBdr>
                      <w:divsChild>
                        <w:div w:id="876622630">
                          <w:marLeft w:val="0"/>
                          <w:marRight w:val="0"/>
                          <w:marTop w:val="0"/>
                          <w:marBottom w:val="0"/>
                          <w:divBdr>
                            <w:top w:val="none" w:sz="0" w:space="0" w:color="auto"/>
                            <w:left w:val="none" w:sz="0" w:space="0" w:color="auto"/>
                            <w:bottom w:val="none" w:sz="0" w:space="0" w:color="auto"/>
                            <w:right w:val="none" w:sz="0" w:space="0" w:color="auto"/>
                          </w:divBdr>
                          <w:divsChild>
                            <w:div w:id="1129472899">
                              <w:marLeft w:val="0"/>
                              <w:marRight w:val="0"/>
                              <w:marTop w:val="0"/>
                              <w:marBottom w:val="0"/>
                              <w:divBdr>
                                <w:top w:val="none" w:sz="0" w:space="0" w:color="auto"/>
                                <w:left w:val="none" w:sz="0" w:space="0" w:color="auto"/>
                                <w:bottom w:val="none" w:sz="0" w:space="0" w:color="auto"/>
                                <w:right w:val="none" w:sz="0" w:space="0" w:color="auto"/>
                              </w:divBdr>
                              <w:divsChild>
                                <w:div w:id="562450376">
                                  <w:marLeft w:val="0"/>
                                  <w:marRight w:val="0"/>
                                  <w:marTop w:val="0"/>
                                  <w:marBottom w:val="0"/>
                                  <w:divBdr>
                                    <w:top w:val="none" w:sz="0" w:space="0" w:color="auto"/>
                                    <w:left w:val="none" w:sz="0" w:space="0" w:color="auto"/>
                                    <w:bottom w:val="none" w:sz="0" w:space="0" w:color="auto"/>
                                    <w:right w:val="none" w:sz="0" w:space="0" w:color="auto"/>
                                  </w:divBdr>
                                  <w:divsChild>
                                    <w:div w:id="2004894305">
                                      <w:marLeft w:val="240"/>
                                      <w:marRight w:val="240"/>
                                      <w:marTop w:val="240"/>
                                      <w:marBottom w:val="0"/>
                                      <w:divBdr>
                                        <w:top w:val="none" w:sz="0" w:space="0" w:color="auto"/>
                                        <w:left w:val="none" w:sz="0" w:space="0" w:color="auto"/>
                                        <w:bottom w:val="none" w:sz="0" w:space="0" w:color="auto"/>
                                        <w:right w:val="none" w:sz="0" w:space="0" w:color="auto"/>
                                      </w:divBdr>
                                      <w:divsChild>
                                        <w:div w:id="1518033439">
                                          <w:marLeft w:val="0"/>
                                          <w:marRight w:val="0"/>
                                          <w:marTop w:val="0"/>
                                          <w:marBottom w:val="0"/>
                                          <w:divBdr>
                                            <w:top w:val="none" w:sz="0" w:space="0" w:color="auto"/>
                                            <w:left w:val="none" w:sz="0" w:space="0" w:color="auto"/>
                                            <w:bottom w:val="none" w:sz="0" w:space="0" w:color="auto"/>
                                            <w:right w:val="none" w:sz="0" w:space="0" w:color="auto"/>
                                          </w:divBdr>
                                          <w:divsChild>
                                            <w:div w:id="426191323">
                                              <w:marLeft w:val="0"/>
                                              <w:marRight w:val="0"/>
                                              <w:marTop w:val="0"/>
                                              <w:marBottom w:val="0"/>
                                              <w:divBdr>
                                                <w:top w:val="none" w:sz="0" w:space="0" w:color="auto"/>
                                                <w:left w:val="none" w:sz="0" w:space="0" w:color="auto"/>
                                                <w:bottom w:val="none" w:sz="0" w:space="0" w:color="auto"/>
                                                <w:right w:val="none" w:sz="0" w:space="0" w:color="auto"/>
                                              </w:divBdr>
                                              <w:divsChild>
                                                <w:div w:id="846553779">
                                                  <w:marLeft w:val="0"/>
                                                  <w:marRight w:val="0"/>
                                                  <w:marTop w:val="0"/>
                                                  <w:marBottom w:val="0"/>
                                                  <w:divBdr>
                                                    <w:top w:val="none" w:sz="0" w:space="0" w:color="auto"/>
                                                    <w:left w:val="none" w:sz="0" w:space="0" w:color="auto"/>
                                                    <w:bottom w:val="none" w:sz="0" w:space="0" w:color="auto"/>
                                                    <w:right w:val="none" w:sz="0" w:space="0" w:color="auto"/>
                                                  </w:divBdr>
                                                  <w:divsChild>
                                                    <w:div w:id="1277984308">
                                                      <w:marLeft w:val="0"/>
                                                      <w:marRight w:val="0"/>
                                                      <w:marTop w:val="0"/>
                                                      <w:marBottom w:val="0"/>
                                                      <w:divBdr>
                                                        <w:top w:val="none" w:sz="0" w:space="0" w:color="auto"/>
                                                        <w:left w:val="none" w:sz="0" w:space="0" w:color="auto"/>
                                                        <w:bottom w:val="none" w:sz="0" w:space="0" w:color="auto"/>
                                                        <w:right w:val="none" w:sz="0" w:space="0" w:color="auto"/>
                                                      </w:divBdr>
                                                      <w:divsChild>
                                                        <w:div w:id="312681433">
                                                          <w:marLeft w:val="0"/>
                                                          <w:marRight w:val="0"/>
                                                          <w:marTop w:val="0"/>
                                                          <w:marBottom w:val="0"/>
                                                          <w:divBdr>
                                                            <w:top w:val="none" w:sz="0" w:space="0" w:color="auto"/>
                                                            <w:left w:val="none" w:sz="0" w:space="0" w:color="auto"/>
                                                            <w:bottom w:val="none" w:sz="0" w:space="0" w:color="auto"/>
                                                            <w:right w:val="none" w:sz="0" w:space="0" w:color="auto"/>
                                                          </w:divBdr>
                                                          <w:divsChild>
                                                            <w:div w:id="1365180903">
                                                              <w:marLeft w:val="0"/>
                                                              <w:marRight w:val="0"/>
                                                              <w:marTop w:val="0"/>
                                                              <w:marBottom w:val="0"/>
                                                              <w:divBdr>
                                                                <w:top w:val="none" w:sz="0" w:space="0" w:color="auto"/>
                                                                <w:left w:val="none" w:sz="0" w:space="0" w:color="auto"/>
                                                                <w:bottom w:val="none" w:sz="0" w:space="0" w:color="auto"/>
                                                                <w:right w:val="none" w:sz="0" w:space="0" w:color="auto"/>
                                                              </w:divBdr>
                                                              <w:divsChild>
                                                                <w:div w:id="631180004">
                                                                  <w:marLeft w:val="0"/>
                                                                  <w:marRight w:val="0"/>
                                                                  <w:marTop w:val="0"/>
                                                                  <w:marBottom w:val="0"/>
                                                                  <w:divBdr>
                                                                    <w:top w:val="none" w:sz="0" w:space="0" w:color="auto"/>
                                                                    <w:left w:val="none" w:sz="0" w:space="0" w:color="auto"/>
                                                                    <w:bottom w:val="none" w:sz="0" w:space="0" w:color="auto"/>
                                                                    <w:right w:val="none" w:sz="0" w:space="0" w:color="auto"/>
                                                                  </w:divBdr>
                                                                  <w:divsChild>
                                                                    <w:div w:id="939332784">
                                                                      <w:marLeft w:val="0"/>
                                                                      <w:marRight w:val="0"/>
                                                                      <w:marTop w:val="0"/>
                                                                      <w:marBottom w:val="0"/>
                                                                      <w:divBdr>
                                                                        <w:top w:val="none" w:sz="0" w:space="0" w:color="auto"/>
                                                                        <w:left w:val="none" w:sz="0" w:space="0" w:color="auto"/>
                                                                        <w:bottom w:val="none" w:sz="0" w:space="0" w:color="auto"/>
                                                                        <w:right w:val="none" w:sz="0" w:space="0" w:color="auto"/>
                                                                      </w:divBdr>
                                                                      <w:divsChild>
                                                                        <w:div w:id="388041310">
                                                                          <w:marLeft w:val="0"/>
                                                                          <w:marRight w:val="0"/>
                                                                          <w:marTop w:val="0"/>
                                                                          <w:marBottom w:val="120"/>
                                                                          <w:divBdr>
                                                                            <w:top w:val="none" w:sz="0" w:space="0" w:color="auto"/>
                                                                            <w:left w:val="none" w:sz="0" w:space="0" w:color="auto"/>
                                                                            <w:bottom w:val="none" w:sz="0" w:space="0" w:color="auto"/>
                                                                            <w:right w:val="none" w:sz="0" w:space="0" w:color="auto"/>
                                                                          </w:divBdr>
                                                                          <w:divsChild>
                                                                            <w:div w:id="497888827">
                                                                              <w:marLeft w:val="0"/>
                                                                              <w:marRight w:val="0"/>
                                                                              <w:marTop w:val="0"/>
                                                                              <w:marBottom w:val="0"/>
                                                                              <w:divBdr>
                                                                                <w:top w:val="none" w:sz="0" w:space="0" w:color="auto"/>
                                                                                <w:left w:val="none" w:sz="0" w:space="0" w:color="auto"/>
                                                                                <w:bottom w:val="none" w:sz="0" w:space="0" w:color="auto"/>
                                                                                <w:right w:val="none" w:sz="0" w:space="0" w:color="auto"/>
                                                                              </w:divBdr>
                                                                              <w:divsChild>
                                                                                <w:div w:id="719281946">
                                                                                  <w:marLeft w:val="0"/>
                                                                                  <w:marRight w:val="0"/>
                                                                                  <w:marTop w:val="0"/>
                                                                                  <w:marBottom w:val="0"/>
                                                                                  <w:divBdr>
                                                                                    <w:top w:val="none" w:sz="0" w:space="0" w:color="auto"/>
                                                                                    <w:left w:val="none" w:sz="0" w:space="0" w:color="auto"/>
                                                                                    <w:bottom w:val="none" w:sz="0" w:space="0" w:color="auto"/>
                                                                                    <w:right w:val="none" w:sz="0" w:space="0" w:color="auto"/>
                                                                                  </w:divBdr>
                                                                                  <w:divsChild>
                                                                                    <w:div w:id="1593583887">
                                                                                      <w:marLeft w:val="0"/>
                                                                                      <w:marRight w:val="0"/>
                                                                                      <w:marTop w:val="0"/>
                                                                                      <w:marBottom w:val="0"/>
                                                                                      <w:divBdr>
                                                                                        <w:top w:val="none" w:sz="0" w:space="0" w:color="auto"/>
                                                                                        <w:left w:val="none" w:sz="0" w:space="0" w:color="auto"/>
                                                                                        <w:bottom w:val="none" w:sz="0" w:space="0" w:color="auto"/>
                                                                                        <w:right w:val="none" w:sz="0" w:space="0" w:color="auto"/>
                                                                                      </w:divBdr>
                                                                                      <w:divsChild>
                                                                                        <w:div w:id="1218854822">
                                                                                          <w:marLeft w:val="0"/>
                                                                                          <w:marRight w:val="0"/>
                                                                                          <w:marTop w:val="0"/>
                                                                                          <w:marBottom w:val="0"/>
                                                                                          <w:divBdr>
                                                                                            <w:top w:val="none" w:sz="0" w:space="0" w:color="auto"/>
                                                                                            <w:left w:val="none" w:sz="0" w:space="0" w:color="auto"/>
                                                                                            <w:bottom w:val="none" w:sz="0" w:space="0" w:color="auto"/>
                                                                                            <w:right w:val="none" w:sz="0" w:space="0" w:color="auto"/>
                                                                                          </w:divBdr>
                                                                                          <w:divsChild>
                                                                                            <w:div w:id="463811372">
                                                                                              <w:marLeft w:val="0"/>
                                                                                              <w:marRight w:val="0"/>
                                                                                              <w:marTop w:val="0"/>
                                                                                              <w:marBottom w:val="0"/>
                                                                                              <w:divBdr>
                                                                                                <w:top w:val="none" w:sz="0" w:space="0" w:color="auto"/>
                                                                                                <w:left w:val="none" w:sz="0" w:space="0" w:color="auto"/>
                                                                                                <w:bottom w:val="none" w:sz="0" w:space="0" w:color="auto"/>
                                                                                                <w:right w:val="none" w:sz="0" w:space="0" w:color="auto"/>
                                                                                              </w:divBdr>
                                                                                              <w:divsChild>
                                                                                                <w:div w:id="1593930083">
                                                                                                  <w:marLeft w:val="0"/>
                                                                                                  <w:marRight w:val="0"/>
                                                                                                  <w:marTop w:val="0"/>
                                                                                                  <w:marBottom w:val="0"/>
                                                                                                  <w:divBdr>
                                                                                                    <w:top w:val="none" w:sz="0" w:space="0" w:color="auto"/>
                                                                                                    <w:left w:val="none" w:sz="0" w:space="0" w:color="auto"/>
                                                                                                    <w:bottom w:val="none" w:sz="0" w:space="0" w:color="auto"/>
                                                                                                    <w:right w:val="none" w:sz="0" w:space="0" w:color="auto"/>
                                                                                                  </w:divBdr>
                                                                                                  <w:divsChild>
                                                                                                    <w:div w:id="8449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614314">
      <w:bodyDiv w:val="1"/>
      <w:marLeft w:val="0"/>
      <w:marRight w:val="0"/>
      <w:marTop w:val="0"/>
      <w:marBottom w:val="0"/>
      <w:divBdr>
        <w:top w:val="none" w:sz="0" w:space="0" w:color="auto"/>
        <w:left w:val="none" w:sz="0" w:space="0" w:color="auto"/>
        <w:bottom w:val="none" w:sz="0" w:space="0" w:color="auto"/>
        <w:right w:val="none" w:sz="0" w:space="0" w:color="auto"/>
      </w:divBdr>
    </w:div>
    <w:div w:id="1431272597">
      <w:bodyDiv w:val="1"/>
      <w:marLeft w:val="0"/>
      <w:marRight w:val="0"/>
      <w:marTop w:val="0"/>
      <w:marBottom w:val="0"/>
      <w:divBdr>
        <w:top w:val="none" w:sz="0" w:space="0" w:color="auto"/>
        <w:left w:val="none" w:sz="0" w:space="0" w:color="auto"/>
        <w:bottom w:val="none" w:sz="0" w:space="0" w:color="auto"/>
        <w:right w:val="none" w:sz="0" w:space="0" w:color="auto"/>
      </w:divBdr>
    </w:div>
    <w:div w:id="15772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ublishing.unit@acc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DD79-6B92-46FE-B938-183C5753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2E1FCBE8</Template>
  <TotalTime>1597</TotalTime>
  <Pages>19</Pages>
  <Words>5057</Words>
  <Characters>28827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33817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dc:description/>
  <cp:lastModifiedBy>Yap, Kenny</cp:lastModifiedBy>
  <cp:revision>83</cp:revision>
  <cp:lastPrinted>2015-01-13T03:54:00Z</cp:lastPrinted>
  <dcterms:created xsi:type="dcterms:W3CDTF">2014-11-27T23:48:00Z</dcterms:created>
  <dcterms:modified xsi:type="dcterms:W3CDTF">2015-01-28T03:16:00Z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8312829</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\\cdchnas-evs02\home$\kyap\20150123 - 3.1.1 - final decision - amendments to the transmission and distribution ptrms (D2014-00161885).docx</vt:lpwstr>
  </property>
</Properties>
</file>