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alias w:val="Title"/>
        <w:id w:val="4150108"/>
        <w:placeholder>
          <w:docPart w:val="7E1DDAB1DC6B46D3A2A88E155D7316EF"/>
        </w:placeholder>
        <w:dataBinding w:prefixMappings="xmlns:ns0='http://purl.org/dc/elements/1.1/' xmlns:ns1='http://schemas.openxmlformats.org/package/2006/metadata/core-properties' " w:xpath="/ns1:coreProperties[1]/ns0:title[1]" w:storeItemID="{6C3C8BC8-F283-45AE-878A-BAB7291924A1}"/>
        <w:text/>
      </w:sdtPr>
      <w:sdtEndPr/>
      <w:sdtContent>
        <w:p w:rsidR="00273480" w:rsidRPr="006E0B49" w:rsidRDefault="00F43C19" w:rsidP="004305FC">
          <w:pPr>
            <w:pStyle w:val="Heading1"/>
          </w:pPr>
          <w:r>
            <w:t>Frontier’s response to AEMO/ElectraNet information release</w:t>
          </w:r>
        </w:p>
      </w:sdtContent>
    </w:sdt>
    <w:p w:rsidR="009E6D32" w:rsidRDefault="00F43C19" w:rsidP="009E6D32">
      <w:pPr>
        <w:pStyle w:val="Subtitle"/>
      </w:pPr>
      <w:r>
        <w:t>PRepared for macquarie generation</w:t>
      </w:r>
    </w:p>
    <w:p w:rsidR="009E6D32" w:rsidRDefault="00F43C19" w:rsidP="009E6D32">
      <w:pPr>
        <w:pStyle w:val="Rubric"/>
      </w:pPr>
      <w:r>
        <w:t>This note comments on the information released by AEMO and ElectraNet in response to various submissions and information requests made by interested parties as part of the AER’s determination as to whether the preferred option identified by AEMO and ElectraNet satisfies the Regulatory Investment Test for Transmission (RIT-T). This note comments on the data and responses made by AEMO and ElectraNet as published on the AER’s website.</w:t>
      </w:r>
      <w:r>
        <w:rPr>
          <w:rStyle w:val="FootnoteReference"/>
        </w:rPr>
        <w:footnoteReference w:id="1"/>
      </w:r>
    </w:p>
    <w:p w:rsidR="005D1292" w:rsidRDefault="00DF18BD" w:rsidP="009E6D32">
      <w:r>
        <w:t>In a submission prepared for Macquarie Generation and submitted to the AER’s determination process</w:t>
      </w:r>
      <w:r>
        <w:rPr>
          <w:rStyle w:val="FootnoteReference"/>
        </w:rPr>
        <w:footnoteReference w:id="2"/>
      </w:r>
      <w:r>
        <w:t xml:space="preserve">, Frontier </w:t>
      </w:r>
      <w:r w:rsidR="00581B53">
        <w:t xml:space="preserve">Economics (Frontier) attempted to verify the magnitude of the gross market benefits reported by AEMO and ElectraNet under </w:t>
      </w:r>
      <w:r w:rsidR="005D1292">
        <w:t xml:space="preserve">Heywood upgrade </w:t>
      </w:r>
      <w:r w:rsidR="00581B53">
        <w:t>Option 1b. Having undertaken independent modelling of the proposed Option 1b upgrade – and a detailed assessment of the data and information released by AEMO and ElectraNet in its Project Assessment Conclusions Report (PACR) – Frontier was unable to replicate gross market benefits of a comparable ma</w:t>
      </w:r>
      <w:r w:rsidR="005D1292">
        <w:t>gnitude.</w:t>
      </w:r>
    </w:p>
    <w:p w:rsidR="009E6D32" w:rsidRDefault="00581B53" w:rsidP="009E6D32">
      <w:r>
        <w:t xml:space="preserve">Frontier noted several important additional pieces of data and information </w:t>
      </w:r>
      <w:r w:rsidR="00385228">
        <w:t>that should be released by AEMO and ElectraNet in order to assist interested parties in understanding and interrogating the gross market benefits purported</w:t>
      </w:r>
      <w:r w:rsidR="005D1292">
        <w:t xml:space="preserve"> to result from the transmission upgrade</w:t>
      </w:r>
      <w:r w:rsidR="00385228">
        <w:t xml:space="preserve">. This note responds </w:t>
      </w:r>
      <w:r w:rsidR="005D1292">
        <w:t xml:space="preserve">to </w:t>
      </w:r>
      <w:r w:rsidR="004D4AF9">
        <w:t>the</w:t>
      </w:r>
      <w:r w:rsidR="00385228">
        <w:t xml:space="preserve"> additional pieces of information that AEMO and ElectraNet have released subsequent </w:t>
      </w:r>
      <w:r w:rsidR="00045946">
        <w:t>to Macquarie Generation’s initial submission</w:t>
      </w:r>
      <w:r w:rsidR="00385228">
        <w:t>.</w:t>
      </w:r>
    </w:p>
    <w:p w:rsidR="000F48E9" w:rsidRDefault="00F10855" w:rsidP="004D4AF9">
      <w:pPr>
        <w:pStyle w:val="Heading3"/>
      </w:pPr>
      <w:r>
        <w:t>Forecast flow-duration curves and constrained-flow distributions</w:t>
      </w:r>
    </w:p>
    <w:p w:rsidR="004635CF" w:rsidRDefault="004635CF" w:rsidP="00F10855">
      <w:r>
        <w:t xml:space="preserve">AEMO and ElectraNet have provided </w:t>
      </w:r>
      <w:r w:rsidR="005B1F11">
        <w:t>charts o</w:t>
      </w:r>
      <w:r>
        <w:t xml:space="preserve">f flow-duration curves for various forecast years under both the Base case and Option 1b upgrade for flows across the Heywood interconnector. In addition, AEMO and ElectraNet have provided histograms of the number of hours of binding constraints, at different levels of flow, for constraints on the Heywood interconnector both in the Base case and under Option 1b. Frontier would note that we requested that AEMO and ElectraNet release the actual half-hourly forecast </w:t>
      </w:r>
      <w:r w:rsidRPr="004635CF">
        <w:rPr>
          <w:b/>
        </w:rPr>
        <w:t>data</w:t>
      </w:r>
      <w:r>
        <w:t xml:space="preserve"> for flows and (dynamic) import and export limits for all forecast years under both the B</w:t>
      </w:r>
      <w:r w:rsidR="005B1F11">
        <w:t>ase case and Option 1b upgrade, and that at this time this data has not been released.</w:t>
      </w:r>
    </w:p>
    <w:p w:rsidR="004C1403" w:rsidRDefault="004635CF" w:rsidP="00F10855">
      <w:r>
        <w:lastRenderedPageBreak/>
        <w:t xml:space="preserve">The purpose of releasing forecast flow and limit data is to allow market participants to interrogate and understand how the pattern of congestion between VIC and SA is forecast to change between the Base case and Option 1b upgrade. As noted by AEMO and ElectraNet, the pattern of forecast congestion limiting flows between VIC and SA is a key driver of the level of gross market benefits reported </w:t>
      </w:r>
      <w:r w:rsidR="004C1403">
        <w:t>under the various options.</w:t>
      </w:r>
    </w:p>
    <w:p w:rsidR="004635CF" w:rsidRDefault="004635CF" w:rsidP="00F10855">
      <w:r>
        <w:t xml:space="preserve">Based on the modelling and analysis performed by Frontier, it would appear that the level of forecast congestion due to intra-regional constraints is overwhelmingly the </w:t>
      </w:r>
      <w:r w:rsidRPr="00D40BCD">
        <w:rPr>
          <w:b/>
        </w:rPr>
        <w:t>major</w:t>
      </w:r>
      <w:r>
        <w:t xml:space="preserve"> driver of the purported gross market benefits</w:t>
      </w:r>
      <w:r w:rsidR="00D40BCD">
        <w:t xml:space="preserve"> of the various options</w:t>
      </w:r>
      <w:r>
        <w:t xml:space="preserve">. This </w:t>
      </w:r>
      <w:r w:rsidR="00D40BCD">
        <w:t xml:space="preserve">belief is based on the results of the modelling and analysis undertaken by Frontier, which did not model intra-regional constraints and consequently found a significantly lower level of forecast gross market benefits under Option 1b. This is despite every attempt having been made to </w:t>
      </w:r>
      <w:r w:rsidR="005B1F11">
        <w:t xml:space="preserve">use a set of input assumptions that are as </w:t>
      </w:r>
      <w:r w:rsidR="00D40BCD">
        <w:t xml:space="preserve">consistent </w:t>
      </w:r>
      <w:r w:rsidR="005B1F11">
        <w:t>as possible to those used by AEMO and ElectraNet in modelling the Revised Central scenario.</w:t>
      </w:r>
    </w:p>
    <w:p w:rsidR="004635CF" w:rsidRDefault="00D40BCD" w:rsidP="00F10855">
      <w:r>
        <w:t xml:space="preserve">In Frontier’s view, given the importance of the pattern of </w:t>
      </w:r>
      <w:r w:rsidR="004C1403">
        <w:t xml:space="preserve">inter-regional </w:t>
      </w:r>
      <w:r>
        <w:t>congestion driven by forecasts of patterns of binding intra-regional constraints, release of detailed half-hourly modelling outputs that will allow interested parties to understand and interrogate these forecast flow patterns is justified and warranted.</w:t>
      </w:r>
    </w:p>
    <w:p w:rsidR="004635CF" w:rsidRDefault="004635CF" w:rsidP="00F10855">
      <w:r>
        <w:t xml:space="preserve">Without having had access </w:t>
      </w:r>
      <w:r w:rsidR="00D40BCD">
        <w:t>to the actual underlying half-hourly flow and limit data, Frontier would note the following with regard to the histograms of binding flows between VIC and SA that AEMO and ElectraNet did provide.</w:t>
      </w:r>
    </w:p>
    <w:p w:rsidR="00E774C7" w:rsidRDefault="00E774C7" w:rsidP="00E774C7">
      <w:pPr>
        <w:pStyle w:val="Caption"/>
      </w:pPr>
      <w:bookmarkStart w:id="1" w:name="_Ref360808245"/>
      <w:r>
        <w:t xml:space="preserve">Figure </w:t>
      </w:r>
      <w:r w:rsidR="00A2244A">
        <w:fldChar w:fldCharType="begin"/>
      </w:r>
      <w:r w:rsidR="00A2244A">
        <w:instrText xml:space="preserve"> SEQ Figure \* ARABIC </w:instrText>
      </w:r>
      <w:r w:rsidR="00A2244A">
        <w:fldChar w:fldCharType="separate"/>
      </w:r>
      <w:r w:rsidR="009C224F">
        <w:rPr>
          <w:noProof/>
        </w:rPr>
        <w:t>1</w:t>
      </w:r>
      <w:r w:rsidR="00A2244A">
        <w:rPr>
          <w:noProof/>
        </w:rPr>
        <w:fldChar w:fldCharType="end"/>
      </w:r>
      <w:bookmarkEnd w:id="1"/>
      <w:r>
        <w:t xml:space="preserve">: </w:t>
      </w:r>
      <w:r w:rsidR="00956C76">
        <w:t>AEMO/ElectraNet forecast of Heywood congestion (2016/17)</w:t>
      </w:r>
    </w:p>
    <w:tbl>
      <w:tblPr>
        <w:tblStyle w:val="FEFigure"/>
        <w:tblW w:w="0" w:type="auto"/>
        <w:jc w:val="center"/>
        <w:tblLook w:val="04A0" w:firstRow="1" w:lastRow="0" w:firstColumn="1" w:lastColumn="0" w:noHBand="0" w:noVBand="1"/>
      </w:tblPr>
      <w:tblGrid>
        <w:gridCol w:w="7795"/>
      </w:tblGrid>
      <w:tr w:rsidR="00E774C7" w:rsidTr="003F7986">
        <w:trPr>
          <w:jc w:val="center"/>
        </w:trPr>
        <w:tc>
          <w:tcPr>
            <w:tcW w:w="7795" w:type="dxa"/>
          </w:tcPr>
          <w:p w:rsidR="00E774C7" w:rsidRPr="00D47DE9" w:rsidRDefault="00E774C7" w:rsidP="003F7986">
            <w:pPr>
              <w:pStyle w:val="TableText"/>
            </w:pPr>
            <w:r>
              <w:rPr>
                <w:noProof/>
                <w:lang w:eastAsia="en-AU"/>
              </w:rPr>
              <w:drawing>
                <wp:inline distT="0" distB="0" distL="0" distR="0">
                  <wp:extent cx="4805045" cy="276034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805045" cy="2760345"/>
                          </a:xfrm>
                          <a:prstGeom prst="rect">
                            <a:avLst/>
                          </a:prstGeom>
                          <a:noFill/>
                          <a:ln w="9525">
                            <a:noFill/>
                            <a:miter lim="800000"/>
                            <a:headEnd/>
                            <a:tailEnd/>
                          </a:ln>
                        </pic:spPr>
                      </pic:pic>
                    </a:graphicData>
                  </a:graphic>
                </wp:inline>
              </w:drawing>
            </w:r>
          </w:p>
        </w:tc>
      </w:tr>
    </w:tbl>
    <w:p w:rsidR="00E774C7" w:rsidRDefault="00E774C7" w:rsidP="00E774C7">
      <w:pPr>
        <w:pStyle w:val="SourceText"/>
      </w:pPr>
      <w:r>
        <w:t>Source: AEMO and ElectraNet</w:t>
      </w:r>
    </w:p>
    <w:p w:rsidR="00956C76" w:rsidRDefault="007618A9" w:rsidP="007618A9">
      <w:r>
        <w:lastRenderedPageBreak/>
        <w:t xml:space="preserve">First, the level of congestion forecast in the Base case appears to be much larger than that experienced in recent history. </w:t>
      </w:r>
      <w:r w:rsidR="00FF5948">
        <w:t xml:space="preserve">Outlined in </w:t>
      </w:r>
      <w:r w:rsidR="00621E61">
        <w:fldChar w:fldCharType="begin"/>
      </w:r>
      <w:r w:rsidR="00012B36">
        <w:instrText xml:space="preserve"> REF _Ref360808245 \h </w:instrText>
      </w:r>
      <w:r w:rsidR="00621E61">
        <w:fldChar w:fldCharType="separate"/>
      </w:r>
      <w:r w:rsidR="009C224F">
        <w:t xml:space="preserve">Figure </w:t>
      </w:r>
      <w:r w:rsidR="009C224F">
        <w:rPr>
          <w:noProof/>
        </w:rPr>
        <w:t>1</w:t>
      </w:r>
      <w:r w:rsidR="00621E61">
        <w:fldChar w:fldCharType="end"/>
      </w:r>
      <w:r w:rsidR="00FF5948">
        <w:t xml:space="preserve"> is </w:t>
      </w:r>
      <w:r w:rsidR="00956C76">
        <w:t>a</w:t>
      </w:r>
      <w:r w:rsidR="00FF5948">
        <w:t xml:space="preserve"> histogram of constrained flows between VIC and SA </w:t>
      </w:r>
      <w:r w:rsidR="00E774C7">
        <w:t xml:space="preserve">on the Heywood interconnector </w:t>
      </w:r>
      <w:r w:rsidR="00FF5948">
        <w:t xml:space="preserve">under the Base case for 2016/17 as provided by AEMO and </w:t>
      </w:r>
      <w:proofErr w:type="gramStart"/>
      <w:r w:rsidR="00FF5948">
        <w:t>ElectraNet.</w:t>
      </w:r>
      <w:proofErr w:type="gramEnd"/>
      <w:r w:rsidR="00956C76">
        <w:t xml:space="preserve"> The chart indicates a peak of roughly 1,300 hours a year during which Heywood is forecast to experiencing binding import constraints into SA from VIC. This level of forecast peak congestion is expected to occur at a flow level between 350 and 400 MW.</w:t>
      </w:r>
    </w:p>
    <w:p w:rsidR="00956C76" w:rsidRDefault="00956C76" w:rsidP="00956C76">
      <w:pPr>
        <w:pStyle w:val="Caption"/>
      </w:pPr>
      <w:r>
        <w:t xml:space="preserve"> </w:t>
      </w:r>
      <w:bookmarkStart w:id="2" w:name="_Ref360808266"/>
      <w:r>
        <w:t xml:space="preserve">Figure </w:t>
      </w:r>
      <w:r w:rsidR="00A2244A">
        <w:fldChar w:fldCharType="begin"/>
      </w:r>
      <w:r w:rsidR="00A2244A">
        <w:instrText xml:space="preserve"> SEQ Figure \* ARABIC </w:instrText>
      </w:r>
      <w:r w:rsidR="00A2244A">
        <w:fldChar w:fldCharType="separate"/>
      </w:r>
      <w:r w:rsidR="009C224F">
        <w:rPr>
          <w:noProof/>
        </w:rPr>
        <w:t>2</w:t>
      </w:r>
      <w:r w:rsidR="00A2244A">
        <w:rPr>
          <w:noProof/>
        </w:rPr>
        <w:fldChar w:fldCharType="end"/>
      </w:r>
      <w:bookmarkEnd w:id="2"/>
      <w:r>
        <w:t>: Historical incidence of congestion on Heywood</w:t>
      </w:r>
    </w:p>
    <w:tbl>
      <w:tblPr>
        <w:tblStyle w:val="FEFigure"/>
        <w:tblW w:w="0" w:type="auto"/>
        <w:jc w:val="center"/>
        <w:tblLook w:val="04A0" w:firstRow="1" w:lastRow="0" w:firstColumn="1" w:lastColumn="0" w:noHBand="0" w:noVBand="1"/>
      </w:tblPr>
      <w:tblGrid>
        <w:gridCol w:w="7795"/>
      </w:tblGrid>
      <w:tr w:rsidR="00956C76" w:rsidTr="003F7986">
        <w:trPr>
          <w:jc w:val="center"/>
        </w:trPr>
        <w:tc>
          <w:tcPr>
            <w:tcW w:w="7795" w:type="dxa"/>
          </w:tcPr>
          <w:p w:rsidR="00956C76" w:rsidRPr="00D47DE9" w:rsidRDefault="00956C76" w:rsidP="003F7986">
            <w:pPr>
              <w:pStyle w:val="TableText"/>
            </w:pPr>
            <w:r>
              <w:rPr>
                <w:noProof/>
                <w:lang w:eastAsia="en-AU"/>
              </w:rPr>
              <w:drawing>
                <wp:inline distT="0" distB="0" distL="0" distR="0">
                  <wp:extent cx="4806315" cy="286766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806315" cy="2867660"/>
                          </a:xfrm>
                          <a:prstGeom prst="rect">
                            <a:avLst/>
                          </a:prstGeom>
                          <a:noFill/>
                          <a:ln w="9525">
                            <a:noFill/>
                            <a:miter lim="800000"/>
                            <a:headEnd/>
                            <a:tailEnd/>
                          </a:ln>
                        </pic:spPr>
                      </pic:pic>
                    </a:graphicData>
                  </a:graphic>
                </wp:inline>
              </w:drawing>
            </w:r>
          </w:p>
        </w:tc>
      </w:tr>
    </w:tbl>
    <w:p w:rsidR="00956C76" w:rsidRDefault="00956C76" w:rsidP="00956C76">
      <w:pPr>
        <w:pStyle w:val="SourceText"/>
      </w:pPr>
      <w:r>
        <w:t>Source: Frontier analysis of AEMO 5-minute flow data</w:t>
      </w:r>
    </w:p>
    <w:p w:rsidR="00956C76" w:rsidRDefault="00012B36" w:rsidP="007618A9">
      <w:r>
        <w:t xml:space="preserve">Outlined in </w:t>
      </w:r>
      <w:r w:rsidR="00621E61">
        <w:fldChar w:fldCharType="begin"/>
      </w:r>
      <w:r>
        <w:instrText xml:space="preserve"> REF _Ref360808266 \h </w:instrText>
      </w:r>
      <w:r w:rsidR="00621E61">
        <w:fldChar w:fldCharType="separate"/>
      </w:r>
      <w:r w:rsidR="009C224F">
        <w:t xml:space="preserve">Figure </w:t>
      </w:r>
      <w:r w:rsidR="009C224F">
        <w:rPr>
          <w:noProof/>
        </w:rPr>
        <w:t>2</w:t>
      </w:r>
      <w:r w:rsidR="00621E61">
        <w:fldChar w:fldCharType="end"/>
      </w:r>
      <w:r w:rsidR="00956C76">
        <w:t xml:space="preserve"> is a comparable chart showing the historical incidence of congestion on the Heywood interconnector for differing levels of flow between VIC and </w:t>
      </w:r>
      <w:proofErr w:type="gramStart"/>
      <w:r w:rsidR="00956C76">
        <w:t>SA.</w:t>
      </w:r>
      <w:proofErr w:type="gramEnd"/>
      <w:r w:rsidR="00956C76">
        <w:t xml:space="preserve"> </w:t>
      </w:r>
      <w:r w:rsidR="00AD4675">
        <w:t>This data is based on Frontier’s analysis of public 5-minute flow and import/export limit data</w:t>
      </w:r>
      <w:r w:rsidR="00AD4675">
        <w:rPr>
          <w:rStyle w:val="FootnoteReference"/>
        </w:rPr>
        <w:footnoteReference w:id="3"/>
      </w:r>
      <w:r w:rsidR="00AD4675">
        <w:t xml:space="preserve"> over the last 7 financial years. Data for 2012/13 is as of the end of May 2013. Frontier’s analysis of the historical incidence of congestion on Heywood is based on taking a count of 5-minute inte</w:t>
      </w:r>
      <w:r w:rsidR="009D35E9">
        <w:t>rvals when MW flows</w:t>
      </w:r>
      <w:r w:rsidR="00AD4675">
        <w:t xml:space="preserve"> </w:t>
      </w:r>
      <w:r w:rsidR="009D35E9">
        <w:t xml:space="preserve">are either at, or within a small margin of, 5-minute import or export limits. The analysis suggests </w:t>
      </w:r>
      <w:r w:rsidR="00FA71CA">
        <w:t xml:space="preserve">that over the past 7 years the </w:t>
      </w:r>
      <w:r>
        <w:t xml:space="preserve">average </w:t>
      </w:r>
      <w:r w:rsidR="00FA71CA">
        <w:t xml:space="preserve">incidence of the level of peak levels of </w:t>
      </w:r>
      <w:r>
        <w:t xml:space="preserve">export </w:t>
      </w:r>
      <w:r w:rsidR="00FA71CA">
        <w:t xml:space="preserve">congestion </w:t>
      </w:r>
      <w:r>
        <w:t xml:space="preserve">from VIC to SA </w:t>
      </w:r>
      <w:r w:rsidR="00FA71CA">
        <w:t>have been lower than AEMO and ElectraNet are forecasting: generally on the order of 400-500 hours a year as opposed to roughly 1,300 hours per year.</w:t>
      </w:r>
    </w:p>
    <w:p w:rsidR="003E56F8" w:rsidRDefault="00012B36" w:rsidP="007618A9">
      <w:r>
        <w:lastRenderedPageBreak/>
        <w:t>W</w:t>
      </w:r>
      <w:r w:rsidR="003E56F8">
        <w:t xml:space="preserve">ithout access to actual half-hourly flow and import/export limit data it is not possible for interested parties to assess the reasonableness of either the level of congestion forecast in the Base case or how much that congestion is alleviated under Option 1b. </w:t>
      </w:r>
      <w:r w:rsidR="00723DD3">
        <w:t xml:space="preserve">Frontier would re-iterate our suggestion that the following </w:t>
      </w:r>
      <w:r w:rsidR="00723DD3" w:rsidRPr="00C374C1">
        <w:rPr>
          <w:b/>
        </w:rPr>
        <w:t>data</w:t>
      </w:r>
      <w:r w:rsidR="00723DD3">
        <w:t xml:space="preserve"> be released for the Base case and Options 1b</w:t>
      </w:r>
      <w:r>
        <w:t xml:space="preserve"> upgrade. Further, we would suggest that the same data also be provided for the Option 4 upgrade, given </w:t>
      </w:r>
      <w:r w:rsidR="009122E1">
        <w:t xml:space="preserve">that this Option should be comparable to the base case we modelled with no binding intra-regional constraints affecting flows between Victoria and South Australia. Accordingly, we request the following </w:t>
      </w:r>
      <w:r>
        <w:t xml:space="preserve">additional information </w:t>
      </w:r>
      <w:r w:rsidR="009122E1">
        <w:t>be released in respect of the modelling undertaken for the Base Case, Option 1b and Option 4</w:t>
      </w:r>
      <w:r>
        <w:t>:</w:t>
      </w:r>
    </w:p>
    <w:p w:rsidR="00723DD3" w:rsidRDefault="00723DD3" w:rsidP="00723DD3">
      <w:pPr>
        <w:pStyle w:val="FEBullet2"/>
      </w:pPr>
      <w:r>
        <w:t>Half-hourly MW flow between VIC and SA for each year of the forecast period.</w:t>
      </w:r>
    </w:p>
    <w:p w:rsidR="00723DD3" w:rsidRDefault="00723DD3" w:rsidP="00723DD3">
      <w:pPr>
        <w:pStyle w:val="FEBullet2"/>
      </w:pPr>
      <w:r>
        <w:t>Half-hourly (dynamic) import and export limits constraining flows between VIC and SA for each year of the forecast period that are implied by the intra-regional constraints that are being modelled by AEMO and ElectraNet.</w:t>
      </w:r>
    </w:p>
    <w:p w:rsidR="00DD20D5" w:rsidRDefault="00962FB5" w:rsidP="00962FB5">
      <w:pPr>
        <w:pStyle w:val="Heading3"/>
      </w:pPr>
      <w:r>
        <w:t>Forecast fuel prices</w:t>
      </w:r>
    </w:p>
    <w:p w:rsidR="00962FB5" w:rsidRDefault="0073707E" w:rsidP="00962FB5">
      <w:r>
        <w:t xml:space="preserve">Frontier notes that when extrapolating fuel prices </w:t>
      </w:r>
      <w:r w:rsidR="00012B36">
        <w:t xml:space="preserve">for the period post 2030 </w:t>
      </w:r>
      <w:r>
        <w:t>AEMO has taken a 10-year average growth rate, as discussed in their information release (Section 1.4). In some cases, this extrapolation has resulted in a very aggressive assumed fuel price trajectory in the period 2030-2050 – an example for several gas plant</w:t>
      </w:r>
      <w:r w:rsidR="00964C27">
        <w:t>s</w:t>
      </w:r>
      <w:r w:rsidR="00012B36">
        <w:t xml:space="preserve"> is outlined in </w:t>
      </w:r>
      <w:r w:rsidR="00621E61">
        <w:fldChar w:fldCharType="begin"/>
      </w:r>
      <w:r w:rsidR="00012B36">
        <w:instrText xml:space="preserve"> REF _Ref360808529 \h </w:instrText>
      </w:r>
      <w:r w:rsidR="00621E61">
        <w:fldChar w:fldCharType="separate"/>
      </w:r>
      <w:r w:rsidR="009C224F">
        <w:t xml:space="preserve">Figure </w:t>
      </w:r>
      <w:r w:rsidR="009C224F">
        <w:rPr>
          <w:noProof/>
        </w:rPr>
        <w:t>3</w:t>
      </w:r>
      <w:r w:rsidR="00621E61">
        <w:fldChar w:fldCharType="end"/>
      </w:r>
      <w:r>
        <w:t xml:space="preserve">. </w:t>
      </w:r>
    </w:p>
    <w:p w:rsidR="00964C27" w:rsidRDefault="00964C27" w:rsidP="006415EE">
      <w:pPr>
        <w:pStyle w:val="Caption"/>
      </w:pPr>
      <w:bookmarkStart w:id="3" w:name="_Ref360808529"/>
      <w:r>
        <w:t xml:space="preserve">Figure </w:t>
      </w:r>
      <w:r w:rsidR="00A2244A">
        <w:fldChar w:fldCharType="begin"/>
      </w:r>
      <w:r w:rsidR="00A2244A">
        <w:instrText xml:space="preserve"> SEQ Figure \* ARABIC </w:instrText>
      </w:r>
      <w:r w:rsidR="00A2244A">
        <w:fldChar w:fldCharType="separate"/>
      </w:r>
      <w:r w:rsidR="009C224F">
        <w:rPr>
          <w:noProof/>
        </w:rPr>
        <w:t>3</w:t>
      </w:r>
      <w:r w:rsidR="00A2244A">
        <w:rPr>
          <w:noProof/>
        </w:rPr>
        <w:fldChar w:fldCharType="end"/>
      </w:r>
      <w:bookmarkEnd w:id="3"/>
      <w:r>
        <w:t>: Extrapolated fuel prices of certain gas plant</w:t>
      </w:r>
    </w:p>
    <w:tbl>
      <w:tblPr>
        <w:tblStyle w:val="FEFigure"/>
        <w:tblW w:w="0" w:type="auto"/>
        <w:jc w:val="center"/>
        <w:tblLook w:val="04A0" w:firstRow="1" w:lastRow="0" w:firstColumn="1" w:lastColumn="0" w:noHBand="0" w:noVBand="1"/>
      </w:tblPr>
      <w:tblGrid>
        <w:gridCol w:w="7795"/>
      </w:tblGrid>
      <w:tr w:rsidR="00964C27" w:rsidTr="004A6C93">
        <w:trPr>
          <w:jc w:val="center"/>
        </w:trPr>
        <w:tc>
          <w:tcPr>
            <w:tcW w:w="7795" w:type="dxa"/>
          </w:tcPr>
          <w:p w:rsidR="00964C27" w:rsidRPr="00D47DE9" w:rsidRDefault="00964C27" w:rsidP="006415EE">
            <w:pPr>
              <w:pStyle w:val="TableText"/>
            </w:pPr>
            <w:r>
              <w:rPr>
                <w:noProof/>
                <w:lang w:eastAsia="en-AU"/>
              </w:rPr>
              <w:drawing>
                <wp:inline distT="0" distB="0" distL="0" distR="0">
                  <wp:extent cx="4806315" cy="275082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4806315" cy="2750820"/>
                          </a:xfrm>
                          <a:prstGeom prst="rect">
                            <a:avLst/>
                          </a:prstGeom>
                          <a:noFill/>
                          <a:ln w="9525">
                            <a:noFill/>
                            <a:miter lim="800000"/>
                            <a:headEnd/>
                            <a:tailEnd/>
                          </a:ln>
                        </pic:spPr>
                      </pic:pic>
                    </a:graphicData>
                  </a:graphic>
                </wp:inline>
              </w:drawing>
            </w:r>
          </w:p>
        </w:tc>
      </w:tr>
    </w:tbl>
    <w:p w:rsidR="00964C27" w:rsidRDefault="00964C27" w:rsidP="006415EE">
      <w:pPr>
        <w:pStyle w:val="SourceText"/>
      </w:pPr>
      <w:r>
        <w:t>Source: Frontier analysis of AEMO and ElectraNet data</w:t>
      </w:r>
    </w:p>
    <w:p w:rsidR="0073707E" w:rsidRPr="00962FB5" w:rsidRDefault="0073707E" w:rsidP="00962FB5">
      <w:r>
        <w:lastRenderedPageBreak/>
        <w:t>In Frontier’s view</w:t>
      </w:r>
      <w:r w:rsidR="00964C27">
        <w:t xml:space="preserve"> gas prices at these levels are unrealistic, given this level ($10/GJ+) is far above both a range of forecast LNG netback prices facing the eastern-Australia gas market and forecast production costs of non-conventional CSM gas is Queensland and South Australia. In the long run Frontier would expect one</w:t>
      </w:r>
      <w:r w:rsidR="00012B36">
        <w:t xml:space="preserve"> or both</w:t>
      </w:r>
      <w:r w:rsidR="00964C27">
        <w:t xml:space="preserve"> of these factors to constrain long-run gas prices at a level below what is implied by AEMO and ElectraNet’s gas price extrapolation.</w:t>
      </w:r>
    </w:p>
    <w:p w:rsidR="00771400" w:rsidRDefault="00771400" w:rsidP="001F4666"/>
    <w:sectPr w:rsidR="00771400" w:rsidSect="005E04F3">
      <w:headerReference w:type="even" r:id="rId13"/>
      <w:headerReference w:type="default" r:id="rId14"/>
      <w:footerReference w:type="even" r:id="rId15"/>
      <w:footerReference w:type="default" r:id="rId16"/>
      <w:headerReference w:type="first" r:id="rId17"/>
      <w:footerReference w:type="first" r:id="rId18"/>
      <w:pgSz w:w="11899" w:h="16843" w:code="9"/>
      <w:pgMar w:top="1871" w:right="2160" w:bottom="1871" w:left="2160" w:header="431"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10E" w:rsidRDefault="00F3510E" w:rsidP="0028152A">
      <w:r>
        <w:separator/>
      </w:r>
    </w:p>
  </w:endnote>
  <w:endnote w:type="continuationSeparator" w:id="0">
    <w:p w:rsidR="00F3510E" w:rsidRDefault="00F3510E" w:rsidP="0028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8" w:type="dxa"/>
      <w:tblInd w:w="-424" w:type="dxa"/>
      <w:tblLook w:val="01E0" w:firstRow="1" w:lastRow="1" w:firstColumn="1" w:lastColumn="1" w:noHBand="0" w:noVBand="0"/>
    </w:tblPr>
    <w:tblGrid>
      <w:gridCol w:w="8045"/>
      <w:gridCol w:w="603"/>
    </w:tblGrid>
    <w:tr w:rsidR="00740C64" w:rsidTr="00964C27">
      <w:sdt>
        <w:sdtPr>
          <w:alias w:val="Title"/>
          <w:id w:val="118955206"/>
          <w:placeholder>
            <w:docPart w:val="61E2E09EAB354510B71FEE11EAB1B5C5"/>
          </w:placeholder>
          <w:dataBinding w:prefixMappings="xmlns:ns0='http://purl.org/dc/elements/1.1/' xmlns:ns1='http://schemas.openxmlformats.org/package/2006/metadata/core-properties' " w:xpath="/ns1:coreProperties[1]/ns0:title[1]" w:storeItemID="{6C3C8BC8-F283-45AE-878A-BAB7291924A1}"/>
          <w:text/>
        </w:sdtPr>
        <w:sdtEndPr/>
        <w:sdtContent>
          <w:tc>
            <w:tcPr>
              <w:tcW w:w="8045" w:type="dxa"/>
            </w:tcPr>
            <w:p w:rsidR="00740C64" w:rsidRPr="0081360C" w:rsidRDefault="00F43C19" w:rsidP="0028152A">
              <w:pPr>
                <w:pStyle w:val="Footer"/>
              </w:pPr>
              <w:r>
                <w:t>Frontier’s response to AEMO/ElectraNet information release</w:t>
              </w:r>
            </w:p>
          </w:tc>
        </w:sdtContent>
      </w:sdt>
      <w:tc>
        <w:tcPr>
          <w:tcW w:w="603" w:type="dxa"/>
        </w:tcPr>
        <w:p w:rsidR="00740C64" w:rsidRDefault="00740C64" w:rsidP="00964C27">
          <w:pPr>
            <w:pStyle w:val="Footer"/>
            <w:tabs>
              <w:tab w:val="center" w:pos="902"/>
              <w:tab w:val="right" w:pos="1804"/>
            </w:tabs>
          </w:pPr>
        </w:p>
      </w:tc>
    </w:tr>
  </w:tbl>
  <w:p w:rsidR="00740C64" w:rsidRPr="00C35C22" w:rsidRDefault="00740C64" w:rsidP="002815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55" w:type="dxa"/>
      <w:tblInd w:w="-298" w:type="dxa"/>
      <w:tblLook w:val="01E0" w:firstRow="1" w:lastRow="1" w:firstColumn="1" w:lastColumn="1" w:noHBand="0" w:noVBand="0"/>
    </w:tblPr>
    <w:tblGrid>
      <w:gridCol w:w="676"/>
      <w:gridCol w:w="8079"/>
    </w:tblGrid>
    <w:tr w:rsidR="00602807" w:rsidRPr="006E0B49" w:rsidTr="009122E1">
      <w:tc>
        <w:tcPr>
          <w:tcW w:w="676" w:type="dxa"/>
        </w:tcPr>
        <w:p w:rsidR="00602807" w:rsidRPr="006E0B49" w:rsidRDefault="00602807" w:rsidP="00D5622D">
          <w:pPr>
            <w:pStyle w:val="Footer"/>
          </w:pPr>
        </w:p>
      </w:tc>
      <w:sdt>
        <w:sdtPr>
          <w:alias w:val="Title"/>
          <w:id w:val="118955205"/>
          <w:placeholder>
            <w:docPart w:val="CBAC6FCD4045492D80922D6558C55E91"/>
          </w:placeholder>
          <w:dataBinding w:prefixMappings="xmlns:ns0='http://purl.org/dc/elements/1.1/' xmlns:ns1='http://schemas.openxmlformats.org/package/2006/metadata/core-properties' " w:xpath="/ns1:coreProperties[1]/ns0:title[1]" w:storeItemID="{6C3C8BC8-F283-45AE-878A-BAB7291924A1}"/>
          <w:text/>
        </w:sdtPr>
        <w:sdtEndPr/>
        <w:sdtContent>
          <w:tc>
            <w:tcPr>
              <w:tcW w:w="8079" w:type="dxa"/>
            </w:tcPr>
            <w:p w:rsidR="00602807" w:rsidRPr="005E04F3" w:rsidRDefault="00F43C19" w:rsidP="005E04F3">
              <w:pPr>
                <w:pStyle w:val="Footer"/>
                <w:jc w:val="right"/>
              </w:pPr>
              <w:r>
                <w:t>Frontier’s response to AEMO/ElectraNet information release</w:t>
              </w:r>
            </w:p>
          </w:tc>
        </w:sdtContent>
      </w:sdt>
    </w:tr>
  </w:tbl>
  <w:p w:rsidR="00602807" w:rsidRPr="006E0B49" w:rsidRDefault="00602807" w:rsidP="002815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37" w:type="dxa"/>
      <w:tblInd w:w="-256" w:type="dxa"/>
      <w:tblLook w:val="01E0" w:firstRow="1" w:lastRow="1" w:firstColumn="1" w:lastColumn="1" w:noHBand="0" w:noVBand="0"/>
    </w:tblPr>
    <w:tblGrid>
      <w:gridCol w:w="3483"/>
      <w:gridCol w:w="5154"/>
    </w:tblGrid>
    <w:tr w:rsidR="00602807" w:rsidRPr="006E0B49" w:rsidTr="009E067E">
      <w:tc>
        <w:tcPr>
          <w:tcW w:w="3483" w:type="dxa"/>
        </w:tcPr>
        <w:p w:rsidR="00602807" w:rsidRPr="006E0B49" w:rsidRDefault="00602807" w:rsidP="0028007B">
          <w:pPr>
            <w:pStyle w:val="Footer"/>
            <w:rPr>
              <w:noProof/>
            </w:rPr>
          </w:pPr>
        </w:p>
      </w:tc>
      <w:tc>
        <w:tcPr>
          <w:tcW w:w="5154" w:type="dxa"/>
        </w:tcPr>
        <w:p w:rsidR="00602807" w:rsidRPr="006E0B49" w:rsidRDefault="00602807" w:rsidP="005E04F3">
          <w:pPr>
            <w:pStyle w:val="Footer1"/>
            <w:jc w:val="right"/>
          </w:pPr>
        </w:p>
      </w:tc>
    </w:tr>
  </w:tbl>
  <w:p w:rsidR="00602807" w:rsidRPr="006C0A78" w:rsidRDefault="00602807" w:rsidP="006C0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10E" w:rsidRDefault="00F3510E" w:rsidP="0028152A">
      <w:r>
        <w:separator/>
      </w:r>
    </w:p>
  </w:footnote>
  <w:footnote w:type="continuationSeparator" w:id="0">
    <w:p w:rsidR="00F3510E" w:rsidRDefault="00F3510E" w:rsidP="0028152A">
      <w:r>
        <w:continuationSeparator/>
      </w:r>
    </w:p>
  </w:footnote>
  <w:footnote w:id="1">
    <w:p w:rsidR="00F43C19" w:rsidRDefault="00F43C19">
      <w:pPr>
        <w:pStyle w:val="FootnoteText"/>
      </w:pPr>
      <w:r>
        <w:rPr>
          <w:rStyle w:val="FootnoteReference"/>
        </w:rPr>
        <w:footnoteRef/>
      </w:r>
      <w:r>
        <w:t xml:space="preserve"> </w:t>
      </w:r>
      <w:r>
        <w:tab/>
      </w:r>
      <w:proofErr w:type="gramStart"/>
      <w:r>
        <w:t xml:space="preserve">Available </w:t>
      </w:r>
      <w:hyperlink r:id="rId1" w:history="1">
        <w:r w:rsidRPr="00F43C19">
          <w:rPr>
            <w:rStyle w:val="Hyperlink"/>
          </w:rPr>
          <w:t>here</w:t>
        </w:r>
      </w:hyperlink>
      <w:r>
        <w:t xml:space="preserve"> and </w:t>
      </w:r>
      <w:hyperlink r:id="rId2" w:history="1">
        <w:r w:rsidRPr="00F43C19">
          <w:rPr>
            <w:rStyle w:val="Hyperlink"/>
          </w:rPr>
          <w:t>here</w:t>
        </w:r>
      </w:hyperlink>
      <w:r>
        <w:t>.</w:t>
      </w:r>
      <w:proofErr w:type="gramEnd"/>
    </w:p>
  </w:footnote>
  <w:footnote w:id="2">
    <w:p w:rsidR="00DF18BD" w:rsidRDefault="00DF18BD">
      <w:pPr>
        <w:pStyle w:val="FootnoteText"/>
      </w:pPr>
      <w:r>
        <w:rPr>
          <w:rStyle w:val="FootnoteReference"/>
        </w:rPr>
        <w:footnoteRef/>
      </w:r>
      <w:r>
        <w:t xml:space="preserve"> </w:t>
      </w:r>
      <w:r>
        <w:tab/>
      </w:r>
      <w:proofErr w:type="gramStart"/>
      <w:r>
        <w:t xml:space="preserve">Available </w:t>
      </w:r>
      <w:hyperlink r:id="rId3" w:history="1">
        <w:r w:rsidRPr="00DF18BD">
          <w:rPr>
            <w:rStyle w:val="Hyperlink"/>
          </w:rPr>
          <w:t>here</w:t>
        </w:r>
      </w:hyperlink>
      <w:r>
        <w:t>.</w:t>
      </w:r>
      <w:proofErr w:type="gramEnd"/>
    </w:p>
  </w:footnote>
  <w:footnote w:id="3">
    <w:p w:rsidR="00AD4675" w:rsidRDefault="00AD4675">
      <w:pPr>
        <w:pStyle w:val="FootnoteText"/>
      </w:pPr>
      <w:r>
        <w:rPr>
          <w:rStyle w:val="FootnoteReference"/>
        </w:rPr>
        <w:footnoteRef/>
      </w:r>
      <w:r>
        <w:t xml:space="preserve"> </w:t>
      </w:r>
      <w:r>
        <w:tab/>
        <w:t xml:space="preserve">The data accessed by Frontier is available </w:t>
      </w:r>
      <w:hyperlink r:id="rId4" w:history="1">
        <w:r w:rsidRPr="00AD4675">
          <w:rPr>
            <w:rStyle w:val="Hyperlink"/>
          </w:rPr>
          <w:t>here</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93" w:type="dxa"/>
      <w:tblInd w:w="-424" w:type="dxa"/>
      <w:tblLook w:val="01E0" w:firstRow="1" w:lastRow="1" w:firstColumn="1" w:lastColumn="1" w:noHBand="0" w:noVBand="0"/>
    </w:tblPr>
    <w:tblGrid>
      <w:gridCol w:w="674"/>
      <w:gridCol w:w="2977"/>
      <w:gridCol w:w="5042"/>
    </w:tblGrid>
    <w:tr w:rsidR="000F48E9" w:rsidRPr="00853024" w:rsidTr="009E067E">
      <w:tc>
        <w:tcPr>
          <w:tcW w:w="674" w:type="dxa"/>
        </w:tcPr>
        <w:p w:rsidR="000F48E9" w:rsidRPr="006077BB" w:rsidRDefault="00621E61" w:rsidP="00AC24CE">
          <w:pPr>
            <w:pStyle w:val="Header"/>
            <w:tabs>
              <w:tab w:val="clear" w:pos="284"/>
              <w:tab w:val="clear" w:pos="8640"/>
            </w:tabs>
            <w:spacing w:before="60" w:after="60"/>
            <w:rPr>
              <w:noProof/>
              <w:color w:val="E83F35"/>
            </w:rPr>
          </w:pPr>
          <w:r w:rsidRPr="006077BB">
            <w:rPr>
              <w:noProof/>
              <w:color w:val="E83F35"/>
            </w:rPr>
            <w:fldChar w:fldCharType="begin"/>
          </w:r>
          <w:r w:rsidR="00DD20D5" w:rsidRPr="006077BB">
            <w:rPr>
              <w:noProof/>
              <w:color w:val="E83F35"/>
            </w:rPr>
            <w:instrText xml:space="preserve"> page \* MERGEFORMAT </w:instrText>
          </w:r>
          <w:r w:rsidRPr="006077BB">
            <w:rPr>
              <w:noProof/>
              <w:color w:val="E83F35"/>
            </w:rPr>
            <w:fldChar w:fldCharType="separate"/>
          </w:r>
          <w:r w:rsidR="00A2244A">
            <w:rPr>
              <w:noProof/>
              <w:color w:val="E83F35"/>
            </w:rPr>
            <w:t>4</w:t>
          </w:r>
          <w:r w:rsidRPr="006077BB">
            <w:rPr>
              <w:noProof/>
              <w:color w:val="E83F35"/>
            </w:rPr>
            <w:fldChar w:fldCharType="end"/>
          </w:r>
        </w:p>
      </w:tc>
      <w:tc>
        <w:tcPr>
          <w:tcW w:w="2977" w:type="dxa"/>
        </w:tcPr>
        <w:p w:rsidR="000F48E9" w:rsidRPr="006077BB" w:rsidRDefault="00B1684B" w:rsidP="00DD20D5">
          <w:pPr>
            <w:pStyle w:val="Header"/>
            <w:tabs>
              <w:tab w:val="clear" w:pos="284"/>
              <w:tab w:val="clear" w:pos="8640"/>
            </w:tabs>
            <w:spacing w:before="60" w:after="60"/>
            <w:jc w:val="left"/>
            <w:rPr>
              <w:noProof/>
            </w:rPr>
          </w:pPr>
          <w:r>
            <w:rPr>
              <w:noProof/>
            </w:rPr>
            <w:t>July 2013</w:t>
          </w:r>
          <w:r w:rsidR="00DD20D5" w:rsidRPr="006077BB">
            <w:rPr>
              <w:noProof/>
              <w:color w:val="E83F35"/>
            </w:rPr>
            <w:t xml:space="preserve">  |</w:t>
          </w:r>
          <w:r w:rsidR="00DD20D5" w:rsidRPr="006077BB">
            <w:rPr>
              <w:noProof/>
              <w:color w:val="auto"/>
            </w:rPr>
            <w:t xml:space="preserve">  F</w:t>
          </w:r>
          <w:r w:rsidR="00DD20D5" w:rsidRPr="006077BB">
            <w:rPr>
              <w:noProof/>
            </w:rPr>
            <w:t>rontier Economics</w:t>
          </w:r>
          <w:r w:rsidR="00DD20D5" w:rsidRPr="006077BB">
            <w:rPr>
              <w:noProof/>
              <w:color w:val="E83F35"/>
            </w:rPr>
            <w:t xml:space="preserve"> </w:t>
          </w:r>
        </w:p>
      </w:tc>
      <w:tc>
        <w:tcPr>
          <w:tcW w:w="5042" w:type="dxa"/>
        </w:tcPr>
        <w:p w:rsidR="000F48E9" w:rsidRPr="00853024" w:rsidRDefault="000F48E9" w:rsidP="00AC24CE">
          <w:pPr>
            <w:pStyle w:val="Header"/>
            <w:tabs>
              <w:tab w:val="clear" w:pos="284"/>
              <w:tab w:val="clear" w:pos="8640"/>
            </w:tabs>
            <w:spacing w:before="60" w:after="60"/>
            <w:jc w:val="right"/>
            <w:rPr>
              <w:noProof/>
              <w:szCs w:val="16"/>
            </w:rPr>
          </w:pPr>
        </w:p>
      </w:tc>
    </w:tr>
  </w:tbl>
  <w:p w:rsidR="000F48E9" w:rsidRDefault="000F48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55" w:type="dxa"/>
      <w:tblInd w:w="-326" w:type="dxa"/>
      <w:tblLook w:val="01E0" w:firstRow="1" w:lastRow="1" w:firstColumn="1" w:lastColumn="1" w:noHBand="0" w:noVBand="0"/>
    </w:tblPr>
    <w:tblGrid>
      <w:gridCol w:w="5396"/>
      <w:gridCol w:w="2693"/>
      <w:gridCol w:w="666"/>
    </w:tblGrid>
    <w:tr w:rsidR="00602807" w:rsidRPr="00853024" w:rsidTr="009E067E">
      <w:tc>
        <w:tcPr>
          <w:tcW w:w="5396" w:type="dxa"/>
        </w:tcPr>
        <w:p w:rsidR="00602807" w:rsidRPr="006077BB" w:rsidRDefault="00602807" w:rsidP="0028007B">
          <w:pPr>
            <w:pStyle w:val="Header"/>
            <w:tabs>
              <w:tab w:val="clear" w:pos="284"/>
              <w:tab w:val="clear" w:pos="8640"/>
            </w:tabs>
            <w:spacing w:before="60" w:after="60"/>
            <w:rPr>
              <w:noProof/>
              <w:color w:val="E83F35"/>
            </w:rPr>
          </w:pPr>
        </w:p>
      </w:tc>
      <w:tc>
        <w:tcPr>
          <w:tcW w:w="2693" w:type="dxa"/>
        </w:tcPr>
        <w:p w:rsidR="00602807" w:rsidRPr="006077BB" w:rsidRDefault="00B1684B" w:rsidP="0028007B">
          <w:pPr>
            <w:pStyle w:val="Header"/>
            <w:tabs>
              <w:tab w:val="clear" w:pos="284"/>
              <w:tab w:val="clear" w:pos="8640"/>
            </w:tabs>
            <w:spacing w:before="60" w:after="60"/>
            <w:jc w:val="right"/>
            <w:rPr>
              <w:noProof/>
            </w:rPr>
          </w:pPr>
          <w:r>
            <w:rPr>
              <w:noProof/>
            </w:rPr>
            <w:t>July 2013</w:t>
          </w:r>
          <w:r w:rsidR="00602807" w:rsidRPr="006077BB">
            <w:rPr>
              <w:noProof/>
              <w:color w:val="E83F35"/>
            </w:rPr>
            <w:t xml:space="preserve">  |</w:t>
          </w:r>
          <w:r w:rsidR="00602807" w:rsidRPr="006077BB">
            <w:rPr>
              <w:noProof/>
              <w:color w:val="auto"/>
            </w:rPr>
            <w:t xml:space="preserve">  F</w:t>
          </w:r>
          <w:r w:rsidR="00602807" w:rsidRPr="006077BB">
            <w:rPr>
              <w:noProof/>
            </w:rPr>
            <w:t>rontier Economics</w:t>
          </w:r>
        </w:p>
      </w:tc>
      <w:tc>
        <w:tcPr>
          <w:tcW w:w="666" w:type="dxa"/>
        </w:tcPr>
        <w:p w:rsidR="00602807" w:rsidRPr="00853024" w:rsidRDefault="00621E61" w:rsidP="0028007B">
          <w:pPr>
            <w:pStyle w:val="Header"/>
            <w:tabs>
              <w:tab w:val="clear" w:pos="284"/>
              <w:tab w:val="clear" w:pos="8640"/>
            </w:tabs>
            <w:spacing w:before="60" w:after="60"/>
            <w:jc w:val="right"/>
            <w:rPr>
              <w:noProof/>
              <w:szCs w:val="16"/>
            </w:rPr>
          </w:pPr>
          <w:r w:rsidRPr="006077BB">
            <w:rPr>
              <w:noProof/>
              <w:color w:val="E83F35"/>
            </w:rPr>
            <w:fldChar w:fldCharType="begin"/>
          </w:r>
          <w:r w:rsidR="00602807" w:rsidRPr="006077BB">
            <w:rPr>
              <w:noProof/>
              <w:color w:val="E83F35"/>
            </w:rPr>
            <w:instrText xml:space="preserve"> page \* MERGEFORMAT </w:instrText>
          </w:r>
          <w:r w:rsidRPr="006077BB">
            <w:rPr>
              <w:noProof/>
              <w:color w:val="E83F35"/>
            </w:rPr>
            <w:fldChar w:fldCharType="separate"/>
          </w:r>
          <w:r w:rsidR="00A2244A">
            <w:rPr>
              <w:noProof/>
              <w:color w:val="E83F35"/>
            </w:rPr>
            <w:t>5</w:t>
          </w:r>
          <w:r w:rsidRPr="006077BB">
            <w:rPr>
              <w:noProof/>
              <w:color w:val="E83F35"/>
            </w:rPr>
            <w:fldChar w:fldCharType="end"/>
          </w:r>
        </w:p>
      </w:tc>
    </w:tr>
  </w:tbl>
  <w:p w:rsidR="00602807" w:rsidRDefault="006028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55" w:type="dxa"/>
      <w:tblInd w:w="-326" w:type="dxa"/>
      <w:tblLook w:val="01E0" w:firstRow="1" w:lastRow="1" w:firstColumn="1" w:lastColumn="1" w:noHBand="0" w:noVBand="0"/>
    </w:tblPr>
    <w:tblGrid>
      <w:gridCol w:w="4829"/>
      <w:gridCol w:w="3260"/>
      <w:gridCol w:w="666"/>
    </w:tblGrid>
    <w:tr w:rsidR="00C01E10" w:rsidRPr="00853024" w:rsidTr="00CA4511">
      <w:tc>
        <w:tcPr>
          <w:tcW w:w="4829" w:type="dxa"/>
        </w:tcPr>
        <w:p w:rsidR="00C01E10" w:rsidRPr="006077BB" w:rsidRDefault="00C01E10" w:rsidP="00F171D9">
          <w:pPr>
            <w:pStyle w:val="Header"/>
            <w:tabs>
              <w:tab w:val="clear" w:pos="284"/>
              <w:tab w:val="clear" w:pos="8640"/>
            </w:tabs>
            <w:spacing w:before="60" w:after="60"/>
            <w:rPr>
              <w:noProof/>
              <w:color w:val="E83F35"/>
            </w:rPr>
          </w:pPr>
        </w:p>
      </w:tc>
      <w:tc>
        <w:tcPr>
          <w:tcW w:w="3260" w:type="dxa"/>
        </w:tcPr>
        <w:p w:rsidR="00C01E10" w:rsidRPr="006077BB" w:rsidRDefault="00B1684B" w:rsidP="00D77848">
          <w:pPr>
            <w:pStyle w:val="Header"/>
            <w:tabs>
              <w:tab w:val="clear" w:pos="284"/>
              <w:tab w:val="clear" w:pos="8640"/>
            </w:tabs>
            <w:spacing w:before="60" w:after="60"/>
            <w:jc w:val="right"/>
            <w:rPr>
              <w:noProof/>
            </w:rPr>
          </w:pPr>
          <w:r>
            <w:rPr>
              <w:noProof/>
            </w:rPr>
            <w:t>July 2013</w:t>
          </w:r>
          <w:r w:rsidR="00C01E10" w:rsidRPr="006077BB">
            <w:rPr>
              <w:noProof/>
              <w:color w:val="E83F35"/>
            </w:rPr>
            <w:t xml:space="preserve">  |</w:t>
          </w:r>
          <w:r w:rsidR="00C01E10" w:rsidRPr="006077BB">
            <w:rPr>
              <w:noProof/>
              <w:color w:val="auto"/>
            </w:rPr>
            <w:t xml:space="preserve">  F</w:t>
          </w:r>
          <w:r w:rsidR="00C01E10" w:rsidRPr="006077BB">
            <w:rPr>
              <w:noProof/>
            </w:rPr>
            <w:t>rontier Economics</w:t>
          </w:r>
        </w:p>
      </w:tc>
      <w:tc>
        <w:tcPr>
          <w:tcW w:w="666" w:type="dxa"/>
        </w:tcPr>
        <w:p w:rsidR="00C01E10" w:rsidRPr="00853024" w:rsidRDefault="00621E61" w:rsidP="00F171D9">
          <w:pPr>
            <w:pStyle w:val="Header"/>
            <w:tabs>
              <w:tab w:val="clear" w:pos="284"/>
              <w:tab w:val="clear" w:pos="8640"/>
            </w:tabs>
            <w:spacing w:before="60" w:after="60"/>
            <w:jc w:val="right"/>
            <w:rPr>
              <w:noProof/>
              <w:szCs w:val="16"/>
            </w:rPr>
          </w:pPr>
          <w:r w:rsidRPr="006077BB">
            <w:rPr>
              <w:noProof/>
              <w:color w:val="E83F35"/>
            </w:rPr>
            <w:fldChar w:fldCharType="begin"/>
          </w:r>
          <w:r w:rsidR="00C01E10" w:rsidRPr="006077BB">
            <w:rPr>
              <w:noProof/>
              <w:color w:val="E83F35"/>
            </w:rPr>
            <w:instrText xml:space="preserve"> page \* MERGEFORMAT </w:instrText>
          </w:r>
          <w:r w:rsidRPr="006077BB">
            <w:rPr>
              <w:noProof/>
              <w:color w:val="E83F35"/>
            </w:rPr>
            <w:fldChar w:fldCharType="separate"/>
          </w:r>
          <w:r w:rsidR="00A2244A">
            <w:rPr>
              <w:noProof/>
              <w:color w:val="E83F35"/>
            </w:rPr>
            <w:t>1</w:t>
          </w:r>
          <w:r w:rsidRPr="006077BB">
            <w:rPr>
              <w:noProof/>
              <w:color w:val="E83F35"/>
            </w:rPr>
            <w:fldChar w:fldCharType="end"/>
          </w:r>
        </w:p>
      </w:tc>
    </w:tr>
  </w:tbl>
  <w:p w:rsidR="00C01E10" w:rsidRDefault="00C01E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E50"/>
    <w:multiLevelType w:val="hybridMultilevel"/>
    <w:tmpl w:val="FE9655C8"/>
    <w:lvl w:ilvl="0" w:tplc="28CA3764">
      <w:start w:val="1"/>
      <w:numFmt w:val="decimal"/>
      <w:pStyle w:val="NormalNumbered"/>
      <w:lvlText w:val="%1"/>
      <w:lvlJc w:val="left"/>
      <w:pPr>
        <w:tabs>
          <w:tab w:val="num" w:pos="0"/>
        </w:tabs>
        <w:ind w:left="0" w:hanging="851"/>
      </w:pPr>
      <w:rPr>
        <w:rFonts w:ascii="Garamond" w:hAnsi="Garamond" w:hint="default"/>
        <w:b w:val="0"/>
        <w:i w:val="0"/>
        <w:color w:val="7F7F7F" w:themeColor="text1" w:themeTint="80"/>
        <w:sz w:val="20"/>
      </w:rPr>
    </w:lvl>
    <w:lvl w:ilvl="1" w:tplc="3D4034B4">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
    <w:nsid w:val="0D801A20"/>
    <w:multiLevelType w:val="multilevel"/>
    <w:tmpl w:val="A4A83A72"/>
    <w:styleLink w:val="FEabc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nsid w:val="137514DD"/>
    <w:multiLevelType w:val="multilevel"/>
    <w:tmpl w:val="146A66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62E08F6"/>
    <w:multiLevelType w:val="multilevel"/>
    <w:tmpl w:val="A7CA8346"/>
    <w:numStyleLink w:val="FEParagraphList"/>
  </w:abstractNum>
  <w:abstractNum w:abstractNumId="4">
    <w:nsid w:val="165F5DA2"/>
    <w:multiLevelType w:val="multilevel"/>
    <w:tmpl w:val="BB16F2D0"/>
    <w:lvl w:ilvl="0">
      <w:start w:val="1"/>
      <w:numFmt w:val="decimal"/>
      <w:lvlText w:val="%1"/>
      <w:lvlJc w:val="left"/>
      <w:pPr>
        <w:tabs>
          <w:tab w:val="num" w:pos="0"/>
        </w:tabs>
        <w:ind w:left="0" w:hanging="851"/>
      </w:pPr>
      <w:rPr>
        <w:rFonts w:hint="default"/>
      </w:rPr>
    </w:lvl>
    <w:lvl w:ilvl="1">
      <w:start w:val="1"/>
      <w:numFmt w:val="decimal"/>
      <w:lvlText w:val="%1.%2"/>
      <w:lvlJc w:val="left"/>
      <w:pPr>
        <w:tabs>
          <w:tab w:val="num" w:pos="0"/>
        </w:tabs>
        <w:ind w:left="0" w:hanging="851"/>
      </w:pPr>
      <w:rPr>
        <w:rFonts w:hint="default"/>
        <w:b/>
        <w:i w:val="0"/>
        <w:caps w:val="0"/>
        <w:strike w:val="0"/>
        <w:dstrike w:val="0"/>
        <w:outline w:val="0"/>
        <w:shadow w:val="0"/>
        <w:emboss w:val="0"/>
        <w:imprint w:val="0"/>
        <w:vanish w:val="0"/>
        <w:color w:val="E83F35"/>
        <w:sz w:val="32"/>
        <w:vertAlign w:val="baseline"/>
      </w:rPr>
    </w:lvl>
    <w:lvl w:ilvl="2">
      <w:start w:val="1"/>
      <w:numFmt w:val="decimal"/>
      <w:lvlText w:val="%1.%2.%3"/>
      <w:lvlJc w:val="left"/>
      <w:pPr>
        <w:tabs>
          <w:tab w:val="num" w:pos="0"/>
        </w:tabs>
        <w:ind w:left="0" w:hanging="851"/>
      </w:pPr>
      <w:rPr>
        <w:rFonts w:hint="default"/>
      </w:rPr>
    </w:lvl>
    <w:lvl w:ilvl="3">
      <w:start w:val="1"/>
      <w:numFmt w:val="none"/>
      <w:lvlText w:val=""/>
      <w:lvlJc w:val="left"/>
      <w:pPr>
        <w:tabs>
          <w:tab w:val="num" w:pos="0"/>
        </w:tabs>
        <w:ind w:left="0" w:firstLine="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2052162D"/>
    <w:multiLevelType w:val="multilevel"/>
    <w:tmpl w:val="A7CA8346"/>
    <w:numStyleLink w:val="FEParagraphList"/>
  </w:abstractNum>
  <w:abstractNum w:abstractNumId="6">
    <w:nsid w:val="278A1720"/>
    <w:multiLevelType w:val="multilevel"/>
    <w:tmpl w:val="A7CA8346"/>
    <w:numStyleLink w:val="FEParagraphList"/>
  </w:abstractNum>
  <w:abstractNum w:abstractNumId="7">
    <w:nsid w:val="30EC1061"/>
    <w:multiLevelType w:val="multilevel"/>
    <w:tmpl w:val="A7CA8346"/>
    <w:styleLink w:val="FEParagraphList"/>
    <w:lvl w:ilvl="0">
      <w:start w:val="1"/>
      <w:numFmt w:val="bullet"/>
      <w:pStyle w:val="FEBullet1"/>
      <w:lvlText w:val=""/>
      <w:lvlJc w:val="left"/>
      <w:pPr>
        <w:ind w:left="360" w:hanging="360"/>
      </w:pPr>
      <w:rPr>
        <w:rFonts w:ascii="Wingdings" w:hAnsi="Wingdings" w:hint="default"/>
        <w:color w:val="E83F35" w:themeColor="text2"/>
        <w:sz w:val="22"/>
      </w:rPr>
    </w:lvl>
    <w:lvl w:ilvl="1">
      <w:start w:val="1"/>
      <w:numFmt w:val="bullet"/>
      <w:lvlText w:val="●"/>
      <w:lvlJc w:val="left"/>
      <w:pPr>
        <w:ind w:left="720" w:hanging="360"/>
      </w:pPr>
      <w:rPr>
        <w:rFonts w:ascii="Garamond" w:hAnsi="Garamond" w:hint="default"/>
        <w:color w:val="E83F35" w:themeColor="text2"/>
      </w:rPr>
    </w:lvl>
    <w:lvl w:ilvl="2">
      <w:start w:val="1"/>
      <w:numFmt w:val="bullet"/>
      <w:pStyle w:val="FEBullet3b"/>
      <w:lvlText w:val=""/>
      <w:lvlJc w:val="left"/>
      <w:pPr>
        <w:ind w:left="1080" w:hanging="360"/>
      </w:pPr>
      <w:rPr>
        <w:rFonts w:ascii="Wingdings" w:hAnsi="Wingdings" w:hint="default"/>
        <w:color w:val="E83F35" w:themeColor="text2"/>
        <w:sz w:val="12"/>
      </w:rPr>
    </w:lvl>
    <w:lvl w:ilvl="3">
      <w:start w:val="1"/>
      <w:numFmt w:val="bullet"/>
      <w:pStyle w:val="FEBullet4"/>
      <w:lvlText w:val=""/>
      <w:lvlJc w:val="left"/>
      <w:pPr>
        <w:ind w:left="1440" w:hanging="360"/>
      </w:pPr>
      <w:rPr>
        <w:rFonts w:ascii="Symbol" w:hAnsi="Symbol" w:hint="default"/>
        <w:color w:val="E83F35" w:themeColor="text2"/>
      </w:rPr>
    </w:lvl>
    <w:lvl w:ilvl="4">
      <w:start w:val="1"/>
      <w:numFmt w:val="bullet"/>
      <w:lvlText w:val=""/>
      <w:lvlJc w:val="left"/>
      <w:pPr>
        <w:ind w:left="1800" w:hanging="360"/>
      </w:pPr>
      <w:rPr>
        <w:rFonts w:ascii="Symbol" w:hAnsi="Symbol" w:hint="default"/>
        <w:color w:val="E83F35" w:themeColor="text2"/>
      </w:rPr>
    </w:lvl>
    <w:lvl w:ilvl="5">
      <w:start w:val="1"/>
      <w:numFmt w:val="bullet"/>
      <w:lvlText w:val=""/>
      <w:lvlJc w:val="left"/>
      <w:pPr>
        <w:ind w:left="2160" w:hanging="360"/>
      </w:pPr>
      <w:rPr>
        <w:rFonts w:ascii="Symbol" w:hAnsi="Symbol" w:hint="default"/>
        <w:color w:val="E83F35" w:themeColor="text2"/>
      </w:rPr>
    </w:lvl>
    <w:lvl w:ilvl="6">
      <w:start w:val="1"/>
      <w:numFmt w:val="bullet"/>
      <w:lvlText w:val=""/>
      <w:lvlJc w:val="left"/>
      <w:pPr>
        <w:ind w:left="2520" w:hanging="360"/>
      </w:pPr>
      <w:rPr>
        <w:rFonts w:ascii="Symbol" w:hAnsi="Symbol" w:hint="default"/>
        <w:color w:val="E83F35" w:themeColor="text2"/>
      </w:rPr>
    </w:lvl>
    <w:lvl w:ilvl="7">
      <w:start w:val="1"/>
      <w:numFmt w:val="bullet"/>
      <w:lvlText w:val=""/>
      <w:lvlJc w:val="left"/>
      <w:pPr>
        <w:ind w:left="2880" w:hanging="360"/>
      </w:pPr>
      <w:rPr>
        <w:rFonts w:ascii="Symbol" w:hAnsi="Symbol" w:hint="default"/>
        <w:color w:val="E83F35" w:themeColor="text2"/>
      </w:rPr>
    </w:lvl>
    <w:lvl w:ilvl="8">
      <w:start w:val="1"/>
      <w:numFmt w:val="bullet"/>
      <w:lvlText w:val=""/>
      <w:lvlJc w:val="left"/>
      <w:pPr>
        <w:ind w:left="3240" w:hanging="360"/>
      </w:pPr>
      <w:rPr>
        <w:rFonts w:ascii="Symbol" w:hAnsi="Symbol" w:hint="default"/>
        <w:color w:val="E83F35" w:themeColor="text2"/>
      </w:rPr>
    </w:lvl>
  </w:abstractNum>
  <w:abstractNum w:abstractNumId="8">
    <w:nsid w:val="3D231BFA"/>
    <w:multiLevelType w:val="multilevel"/>
    <w:tmpl w:val="A7CA8346"/>
    <w:numStyleLink w:val="FEParagraphList"/>
  </w:abstractNum>
  <w:abstractNum w:abstractNumId="9">
    <w:nsid w:val="40263FFA"/>
    <w:multiLevelType w:val="multilevel"/>
    <w:tmpl w:val="0C09001D"/>
    <w:styleLink w:val="FEBulletList"/>
    <w:lvl w:ilvl="0">
      <w:start w:val="1"/>
      <w:numFmt w:val="bullet"/>
      <w:pStyle w:val="FEBullet2"/>
      <w:lvlText w:val="●"/>
      <w:lvlJc w:val="left"/>
      <w:pPr>
        <w:ind w:left="360" w:hanging="360"/>
      </w:pPr>
      <w:rPr>
        <w:rFonts w:ascii="Garamond" w:hAnsi="Garamond" w:hint="default"/>
        <w:color w:val="E83F35" w:themeColor="text2"/>
      </w:rPr>
    </w:lvl>
    <w:lvl w:ilvl="1">
      <w:start w:val="1"/>
      <w:numFmt w:val="bullet"/>
      <w:lvlText w:val=""/>
      <w:lvlJc w:val="left"/>
      <w:pPr>
        <w:ind w:left="720" w:hanging="360"/>
      </w:pPr>
      <w:rPr>
        <w:rFonts w:ascii="Wingdings" w:hAnsi="Wingdings" w:hint="default"/>
        <w:color w:val="E83F35" w:themeColor="text2"/>
        <w:sz w:val="12"/>
      </w:rPr>
    </w:lvl>
    <w:lvl w:ilvl="2">
      <w:start w:val="1"/>
      <w:numFmt w:val="bullet"/>
      <w:lvlText w:val=""/>
      <w:lvlJc w:val="left"/>
      <w:pPr>
        <w:ind w:left="1080" w:hanging="360"/>
      </w:pPr>
      <w:rPr>
        <w:rFonts w:ascii="Symbol" w:hAnsi="Symbol" w:hint="default"/>
        <w:color w:val="E83F35" w:themeColor="text2"/>
      </w:rPr>
    </w:lvl>
    <w:lvl w:ilvl="3">
      <w:start w:val="1"/>
      <w:numFmt w:val="bullet"/>
      <w:lvlText w:val=""/>
      <w:lvlJc w:val="left"/>
      <w:pPr>
        <w:ind w:left="1440" w:hanging="360"/>
      </w:pPr>
      <w:rPr>
        <w:rFonts w:ascii="Symbol" w:hAnsi="Symbol" w:hint="default"/>
        <w:color w:val="E83F35" w:themeColor="text2"/>
      </w:rPr>
    </w:lvl>
    <w:lvl w:ilvl="4">
      <w:start w:val="1"/>
      <w:numFmt w:val="bullet"/>
      <w:lvlText w:val=""/>
      <w:lvlJc w:val="left"/>
      <w:pPr>
        <w:ind w:left="1800" w:hanging="360"/>
      </w:pPr>
      <w:rPr>
        <w:rFonts w:ascii="Symbol" w:hAnsi="Symbol" w:hint="default"/>
        <w:color w:val="E83F35" w:themeColor="text2"/>
      </w:rPr>
    </w:lvl>
    <w:lvl w:ilvl="5">
      <w:start w:val="1"/>
      <w:numFmt w:val="bullet"/>
      <w:lvlText w:val=""/>
      <w:lvlJc w:val="left"/>
      <w:pPr>
        <w:ind w:left="2160" w:hanging="360"/>
      </w:pPr>
      <w:rPr>
        <w:rFonts w:ascii="Symbol" w:hAnsi="Symbol" w:hint="default"/>
        <w:color w:val="E83F35" w:themeColor="text2"/>
      </w:rPr>
    </w:lvl>
    <w:lvl w:ilvl="6">
      <w:start w:val="1"/>
      <w:numFmt w:val="bullet"/>
      <w:lvlText w:val=""/>
      <w:lvlJc w:val="left"/>
      <w:pPr>
        <w:ind w:left="2520" w:hanging="360"/>
      </w:pPr>
      <w:rPr>
        <w:rFonts w:ascii="Symbol" w:hAnsi="Symbol" w:hint="default"/>
        <w:color w:val="E83F35" w:themeColor="text2"/>
      </w:rPr>
    </w:lvl>
    <w:lvl w:ilvl="7">
      <w:start w:val="1"/>
      <w:numFmt w:val="bullet"/>
      <w:lvlText w:val=""/>
      <w:lvlJc w:val="left"/>
      <w:pPr>
        <w:ind w:left="2880" w:hanging="360"/>
      </w:pPr>
      <w:rPr>
        <w:rFonts w:ascii="Symbol" w:hAnsi="Symbol" w:hint="default"/>
        <w:color w:val="E83F35" w:themeColor="text2"/>
      </w:rPr>
    </w:lvl>
    <w:lvl w:ilvl="8">
      <w:start w:val="1"/>
      <w:numFmt w:val="bullet"/>
      <w:lvlText w:val=""/>
      <w:lvlJc w:val="left"/>
      <w:pPr>
        <w:ind w:left="3240" w:hanging="360"/>
      </w:pPr>
      <w:rPr>
        <w:rFonts w:ascii="Symbol" w:hAnsi="Symbol" w:hint="default"/>
        <w:color w:val="E83F35" w:themeColor="text2"/>
      </w:rPr>
    </w:lvl>
  </w:abstractNum>
  <w:abstractNum w:abstractNumId="10">
    <w:nsid w:val="4D4F14D5"/>
    <w:multiLevelType w:val="multilevel"/>
    <w:tmpl w:val="A7CA8346"/>
    <w:numStyleLink w:val="FEParagraphList"/>
  </w:abstractNum>
  <w:abstractNum w:abstractNumId="11">
    <w:nsid w:val="5A343C30"/>
    <w:multiLevelType w:val="multilevel"/>
    <w:tmpl w:val="A7CA8346"/>
    <w:numStyleLink w:val="FEParagraphList"/>
  </w:abstractNum>
  <w:abstractNum w:abstractNumId="12">
    <w:nsid w:val="69BB07DB"/>
    <w:multiLevelType w:val="multilevel"/>
    <w:tmpl w:val="86969356"/>
    <w:lvl w:ilvl="0">
      <w:start w:val="1"/>
      <w:numFmt w:val="bullet"/>
      <w:lvlText w:val=""/>
      <w:lvlJc w:val="left"/>
      <w:pPr>
        <w:tabs>
          <w:tab w:val="num" w:pos="425"/>
        </w:tabs>
        <w:ind w:left="425" w:hanging="425"/>
      </w:pPr>
      <w:rPr>
        <w:rFonts w:ascii="Symbol" w:hAnsi="Symbol" w:hint="default"/>
        <w:b/>
        <w:i w:val="0"/>
        <w:color w:val="E83F35"/>
        <w:sz w:val="36"/>
      </w:rPr>
    </w:lvl>
    <w:lvl w:ilvl="1">
      <w:start w:val="1"/>
      <w:numFmt w:val="bullet"/>
      <w:lvlText w:val=""/>
      <w:lvlJc w:val="left"/>
      <w:pPr>
        <w:tabs>
          <w:tab w:val="num" w:pos="851"/>
        </w:tabs>
        <w:ind w:left="851" w:hanging="426"/>
      </w:pPr>
      <w:rPr>
        <w:rFonts w:ascii="Wingdings" w:hAnsi="Wingdings" w:hint="default"/>
        <w:color w:val="E83F35"/>
        <w:sz w:val="28"/>
      </w:rPr>
    </w:lvl>
    <w:lvl w:ilvl="2">
      <w:start w:val="1"/>
      <w:numFmt w:val="bullet"/>
      <w:lvlText w:val=""/>
      <w:lvlJc w:val="left"/>
      <w:pPr>
        <w:tabs>
          <w:tab w:val="num" w:pos="1276"/>
        </w:tabs>
        <w:ind w:left="1276" w:hanging="425"/>
      </w:pPr>
      <w:rPr>
        <w:rFonts w:ascii="Symbol" w:hAnsi="Symbol" w:hint="default"/>
        <w:color w:val="auto"/>
        <w:sz w:val="16"/>
      </w:rPr>
    </w:lvl>
    <w:lvl w:ilvl="3">
      <w:start w:val="1"/>
      <w:numFmt w:val="bullet"/>
      <w:lvlText w:val=""/>
      <w:lvlJc w:val="left"/>
      <w:pPr>
        <w:tabs>
          <w:tab w:val="num" w:pos="1701"/>
        </w:tabs>
        <w:ind w:left="1701" w:hanging="425"/>
      </w:pPr>
      <w:rPr>
        <w:rFonts w:ascii="Wingdings" w:hAnsi="Wingdings"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nsid w:val="6BC24D7F"/>
    <w:multiLevelType w:val="multilevel"/>
    <w:tmpl w:val="A7CA8346"/>
    <w:numStyleLink w:val="FEParagraphList"/>
  </w:abstractNum>
  <w:abstractNum w:abstractNumId="14">
    <w:nsid w:val="747F750D"/>
    <w:multiLevelType w:val="multilevel"/>
    <w:tmpl w:val="A7CA8346"/>
    <w:numStyleLink w:val="FEParagraphList"/>
  </w:abstractNum>
  <w:abstractNum w:abstractNumId="15">
    <w:nsid w:val="756036FB"/>
    <w:multiLevelType w:val="multilevel"/>
    <w:tmpl w:val="0C09001D"/>
    <w:numStyleLink w:val="FEBulletList"/>
  </w:abstractNum>
  <w:num w:numId="1">
    <w:abstractNumId w:val="12"/>
  </w:num>
  <w:num w:numId="2">
    <w:abstractNumId w:val="0"/>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
  </w:num>
  <w:num w:numId="8">
    <w:abstractNumId w:val="8"/>
    <w:lvlOverride w:ilvl="0">
      <w:lvl w:ilvl="0">
        <w:numFmt w:val="decimal"/>
        <w:lvlText w:val=""/>
        <w:lvlJc w:val="left"/>
      </w:lvl>
    </w:lvlOverride>
    <w:lvlOverride w:ilvl="1">
      <w:lvl w:ilvl="1">
        <w:numFmt w:val="decimal"/>
        <w:lvlText w:val=""/>
        <w:lvlJc w:val="left"/>
      </w:lvl>
    </w:lvlOverride>
    <w:lvlOverride w:ilvl="2">
      <w:lvl w:ilvl="2">
        <w:start w:val="1"/>
        <w:numFmt w:val="bullet"/>
        <w:lvlText w:val=""/>
        <w:lvlJc w:val="left"/>
        <w:pPr>
          <w:ind w:left="1080" w:hanging="360"/>
        </w:pPr>
        <w:rPr>
          <w:rFonts w:ascii="Wingdings" w:hAnsi="Wingdings" w:hint="default"/>
          <w:color w:val="E83F35" w:themeColor="text2"/>
          <w:sz w:val="12"/>
          <w:szCs w:val="12"/>
        </w:rPr>
      </w:lvl>
    </w:lvlOverride>
  </w:num>
  <w:num w:numId="9">
    <w:abstractNumId w:val="15"/>
  </w:num>
  <w:num w:numId="10">
    <w:abstractNumId w:val="2"/>
  </w:num>
  <w:num w:numId="11">
    <w:abstractNumId w:val="3"/>
    <w:lvlOverride w:ilvl="0">
      <w:lvl w:ilvl="0">
        <w:numFmt w:val="decimal"/>
        <w:lvlText w:val=""/>
        <w:lvlJc w:val="left"/>
      </w:lvl>
    </w:lvlOverride>
    <w:lvlOverride w:ilvl="1">
      <w:lvl w:ilvl="1">
        <w:numFmt w:val="decimal"/>
        <w:lvlText w:val=""/>
        <w:lvlJc w:val="left"/>
      </w:lvl>
    </w:lvlOverride>
    <w:lvlOverride w:ilvl="2">
      <w:lvl w:ilvl="2">
        <w:start w:val="1"/>
        <w:numFmt w:val="bullet"/>
        <w:lvlText w:val=""/>
        <w:lvlJc w:val="left"/>
        <w:pPr>
          <w:ind w:left="1080" w:hanging="360"/>
        </w:pPr>
        <w:rPr>
          <w:rFonts w:ascii="Wingdings" w:hAnsi="Wingdings" w:hint="default"/>
          <w:color w:val="E83F35" w:themeColor="text2"/>
          <w:sz w:val="12"/>
          <w:szCs w:val="12"/>
        </w:rPr>
      </w:lvl>
    </w:lvlOverride>
  </w:num>
  <w:num w:numId="12">
    <w:abstractNumId w:val="14"/>
    <w:lvlOverride w:ilvl="0">
      <w:lvl w:ilvl="0">
        <w:numFmt w:val="decimal"/>
        <w:lvlText w:val=""/>
        <w:lvlJc w:val="left"/>
      </w:lvl>
    </w:lvlOverride>
    <w:lvlOverride w:ilvl="1">
      <w:lvl w:ilvl="1">
        <w:numFmt w:val="decimal"/>
        <w:lvlText w:val=""/>
        <w:lvlJc w:val="left"/>
      </w:lvl>
    </w:lvlOverride>
    <w:lvlOverride w:ilvl="2">
      <w:lvl w:ilvl="2">
        <w:start w:val="1"/>
        <w:numFmt w:val="bullet"/>
        <w:lvlText w:val=""/>
        <w:lvlJc w:val="left"/>
        <w:pPr>
          <w:ind w:left="1080" w:hanging="360"/>
        </w:pPr>
        <w:rPr>
          <w:rFonts w:ascii="Wingdings" w:hAnsi="Wingdings" w:hint="default"/>
          <w:color w:val="E83F35" w:themeColor="text2"/>
          <w:sz w:val="12"/>
          <w:szCs w:val="12"/>
        </w:rPr>
      </w:lvl>
    </w:lvlOverride>
  </w:num>
  <w:num w:numId="13">
    <w:abstractNumId w:val="5"/>
    <w:lvlOverride w:ilvl="0">
      <w:lvl w:ilvl="0">
        <w:numFmt w:val="decimal"/>
        <w:lvlText w:val=""/>
        <w:lvlJc w:val="left"/>
      </w:lvl>
    </w:lvlOverride>
    <w:lvlOverride w:ilvl="1">
      <w:lvl w:ilvl="1">
        <w:numFmt w:val="decimal"/>
        <w:lvlText w:val=""/>
        <w:lvlJc w:val="left"/>
      </w:lvl>
    </w:lvlOverride>
    <w:lvlOverride w:ilvl="2">
      <w:lvl w:ilvl="2">
        <w:start w:val="1"/>
        <w:numFmt w:val="bullet"/>
        <w:lvlText w:val=""/>
        <w:lvlJc w:val="left"/>
        <w:pPr>
          <w:ind w:left="1080" w:hanging="360"/>
        </w:pPr>
        <w:rPr>
          <w:rFonts w:ascii="Wingdings" w:hAnsi="Wingdings" w:hint="default"/>
          <w:color w:val="E83F35" w:themeColor="text2"/>
          <w:sz w:val="12"/>
          <w:szCs w:val="12"/>
        </w:rPr>
      </w:lvl>
    </w:lvlOverride>
  </w:num>
  <w:num w:numId="14">
    <w:abstractNumId w:val="6"/>
    <w:lvlOverride w:ilvl="0">
      <w:lvl w:ilvl="0">
        <w:numFmt w:val="decimal"/>
        <w:lvlText w:val=""/>
        <w:lvlJc w:val="left"/>
      </w:lvl>
    </w:lvlOverride>
    <w:lvlOverride w:ilvl="1">
      <w:lvl w:ilvl="1">
        <w:numFmt w:val="decimal"/>
        <w:lvlText w:val=""/>
        <w:lvlJc w:val="left"/>
      </w:lvl>
    </w:lvlOverride>
    <w:lvlOverride w:ilvl="2">
      <w:lvl w:ilvl="2">
        <w:start w:val="1"/>
        <w:numFmt w:val="bullet"/>
        <w:lvlText w:val=""/>
        <w:lvlJc w:val="left"/>
        <w:pPr>
          <w:ind w:left="1080" w:hanging="360"/>
        </w:pPr>
        <w:rPr>
          <w:rFonts w:ascii="Wingdings" w:hAnsi="Wingdings" w:hint="default"/>
          <w:color w:val="E83F35" w:themeColor="text2"/>
          <w:sz w:val="12"/>
          <w:szCs w:val="12"/>
        </w:rPr>
      </w:lvl>
    </w:lvlOverride>
  </w:num>
  <w:num w:numId="15">
    <w:abstractNumId w:val="13"/>
  </w:num>
  <w:num w:numId="16">
    <w:abstractNumId w:val="10"/>
  </w:num>
  <w:num w:numId="1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720"/>
  <w:evenAndOddHeaders/>
  <w:drawingGridHorizontalSpacing w:val="120"/>
  <w:displayHorizontalDrawingGridEvery w:val="0"/>
  <w:displayVerticalDrawingGridEvery w:val="0"/>
  <w:noPunctuationKerning/>
  <w:characterSpacingControl w:val="doNotCompress"/>
  <w:hdrShapeDefaults>
    <o:shapedefaults v:ext="edit" spidmax="130049">
      <o:colormru v:ext="edit" colors="#d90000,#e83f35"/>
      <o:colormenu v:ext="edit" fillcolor="red" strokecolor="none"/>
    </o:shapedefaults>
  </w:hdrShapeDefaults>
  <w:footnotePr>
    <w:footnote w:id="-1"/>
    <w:footnote w:id="0"/>
  </w:footnotePr>
  <w:endnotePr>
    <w:endnote w:id="-1"/>
    <w:endnote w:id="0"/>
  </w:endnotePr>
  <w:compat>
    <w:compatSetting w:name="compatibilityMode" w:uri="http://schemas.microsoft.com/office/word" w:val="12"/>
  </w:compat>
  <w:docVars>
    <w:docVar w:name="currentname" w:val="C:\Documents and Settings\ghuang\Local Settings\Temporary Internet Files\Content.Outlook\8HSEPM2Q\13-09-05 Frontier non-confidential response to ElectraNet-AEMO.docx"/>
  </w:docVars>
  <w:rsids>
    <w:rsidRoot w:val="00F43C19"/>
    <w:rsid w:val="00001425"/>
    <w:rsid w:val="000037E1"/>
    <w:rsid w:val="00011297"/>
    <w:rsid w:val="00012B36"/>
    <w:rsid w:val="00017DC5"/>
    <w:rsid w:val="00025690"/>
    <w:rsid w:val="00025FB0"/>
    <w:rsid w:val="0002625D"/>
    <w:rsid w:val="00045946"/>
    <w:rsid w:val="000470FE"/>
    <w:rsid w:val="000556D9"/>
    <w:rsid w:val="00060CC1"/>
    <w:rsid w:val="0006116D"/>
    <w:rsid w:val="00062108"/>
    <w:rsid w:val="0006349F"/>
    <w:rsid w:val="00064555"/>
    <w:rsid w:val="00070448"/>
    <w:rsid w:val="000752DE"/>
    <w:rsid w:val="000767AB"/>
    <w:rsid w:val="00085F4A"/>
    <w:rsid w:val="000A2E1F"/>
    <w:rsid w:val="000B076C"/>
    <w:rsid w:val="000B2E99"/>
    <w:rsid w:val="000C0B84"/>
    <w:rsid w:val="000C1159"/>
    <w:rsid w:val="000D107D"/>
    <w:rsid w:val="000D4AA1"/>
    <w:rsid w:val="000E4C3C"/>
    <w:rsid w:val="000F0EBF"/>
    <w:rsid w:val="000F48E9"/>
    <w:rsid w:val="000F59F6"/>
    <w:rsid w:val="001023EC"/>
    <w:rsid w:val="00111727"/>
    <w:rsid w:val="001117C6"/>
    <w:rsid w:val="00113865"/>
    <w:rsid w:val="00114BA6"/>
    <w:rsid w:val="001154E5"/>
    <w:rsid w:val="001221A4"/>
    <w:rsid w:val="00125C46"/>
    <w:rsid w:val="001442D0"/>
    <w:rsid w:val="00152F08"/>
    <w:rsid w:val="00156D28"/>
    <w:rsid w:val="00164B88"/>
    <w:rsid w:val="001706B7"/>
    <w:rsid w:val="00171B1A"/>
    <w:rsid w:val="001744A3"/>
    <w:rsid w:val="00176E7F"/>
    <w:rsid w:val="001921F5"/>
    <w:rsid w:val="00194655"/>
    <w:rsid w:val="0019516D"/>
    <w:rsid w:val="001A185C"/>
    <w:rsid w:val="001B1FEA"/>
    <w:rsid w:val="001B706C"/>
    <w:rsid w:val="001C7BBC"/>
    <w:rsid w:val="001D0DC4"/>
    <w:rsid w:val="001D2AD3"/>
    <w:rsid w:val="001D2FC7"/>
    <w:rsid w:val="001E11AB"/>
    <w:rsid w:val="001E5550"/>
    <w:rsid w:val="001F4666"/>
    <w:rsid w:val="002020EE"/>
    <w:rsid w:val="00204B05"/>
    <w:rsid w:val="0021673B"/>
    <w:rsid w:val="0022537C"/>
    <w:rsid w:val="00227F1C"/>
    <w:rsid w:val="00232E94"/>
    <w:rsid w:val="00250685"/>
    <w:rsid w:val="00254E43"/>
    <w:rsid w:val="0025701E"/>
    <w:rsid w:val="00257825"/>
    <w:rsid w:val="00267D70"/>
    <w:rsid w:val="002701C3"/>
    <w:rsid w:val="00273480"/>
    <w:rsid w:val="0028007B"/>
    <w:rsid w:val="0028152A"/>
    <w:rsid w:val="00281E84"/>
    <w:rsid w:val="00281F26"/>
    <w:rsid w:val="0029265D"/>
    <w:rsid w:val="002A50E9"/>
    <w:rsid w:val="002A6DFE"/>
    <w:rsid w:val="002A7719"/>
    <w:rsid w:val="002B0A46"/>
    <w:rsid w:val="002B2071"/>
    <w:rsid w:val="002B24CA"/>
    <w:rsid w:val="002B53AF"/>
    <w:rsid w:val="002E11C2"/>
    <w:rsid w:val="002E3366"/>
    <w:rsid w:val="002E3B61"/>
    <w:rsid w:val="002F09B6"/>
    <w:rsid w:val="002F304C"/>
    <w:rsid w:val="0030249B"/>
    <w:rsid w:val="0030267E"/>
    <w:rsid w:val="0032125B"/>
    <w:rsid w:val="003255EF"/>
    <w:rsid w:val="00334214"/>
    <w:rsid w:val="0033426C"/>
    <w:rsid w:val="003441AA"/>
    <w:rsid w:val="00352453"/>
    <w:rsid w:val="003604D7"/>
    <w:rsid w:val="00370BA8"/>
    <w:rsid w:val="00376601"/>
    <w:rsid w:val="003815C9"/>
    <w:rsid w:val="00385228"/>
    <w:rsid w:val="00387610"/>
    <w:rsid w:val="00392BC4"/>
    <w:rsid w:val="00395409"/>
    <w:rsid w:val="003A213B"/>
    <w:rsid w:val="003A5C36"/>
    <w:rsid w:val="003A642D"/>
    <w:rsid w:val="003B0C10"/>
    <w:rsid w:val="003B637D"/>
    <w:rsid w:val="003B6B68"/>
    <w:rsid w:val="003C697A"/>
    <w:rsid w:val="003C69E0"/>
    <w:rsid w:val="003C732E"/>
    <w:rsid w:val="003C7F60"/>
    <w:rsid w:val="003D38FD"/>
    <w:rsid w:val="003E0B9D"/>
    <w:rsid w:val="003E0ED6"/>
    <w:rsid w:val="003E56F8"/>
    <w:rsid w:val="003F36E9"/>
    <w:rsid w:val="004023EB"/>
    <w:rsid w:val="00407384"/>
    <w:rsid w:val="0040789E"/>
    <w:rsid w:val="004103E0"/>
    <w:rsid w:val="00411665"/>
    <w:rsid w:val="00412E1F"/>
    <w:rsid w:val="00414616"/>
    <w:rsid w:val="00423298"/>
    <w:rsid w:val="00423929"/>
    <w:rsid w:val="0042523E"/>
    <w:rsid w:val="004305FC"/>
    <w:rsid w:val="00432D67"/>
    <w:rsid w:val="00437890"/>
    <w:rsid w:val="00437C00"/>
    <w:rsid w:val="00445265"/>
    <w:rsid w:val="00450D82"/>
    <w:rsid w:val="0046342F"/>
    <w:rsid w:val="004635CF"/>
    <w:rsid w:val="00466992"/>
    <w:rsid w:val="00466BBD"/>
    <w:rsid w:val="00476A46"/>
    <w:rsid w:val="00492A01"/>
    <w:rsid w:val="004C1403"/>
    <w:rsid w:val="004D1226"/>
    <w:rsid w:val="004D4AF9"/>
    <w:rsid w:val="004E1F12"/>
    <w:rsid w:val="004E2C95"/>
    <w:rsid w:val="004E524B"/>
    <w:rsid w:val="004F065B"/>
    <w:rsid w:val="004F2E9D"/>
    <w:rsid w:val="004F799D"/>
    <w:rsid w:val="00500E9C"/>
    <w:rsid w:val="0050577A"/>
    <w:rsid w:val="00506623"/>
    <w:rsid w:val="005203F6"/>
    <w:rsid w:val="00524320"/>
    <w:rsid w:val="00532E52"/>
    <w:rsid w:val="00541A5E"/>
    <w:rsid w:val="00542F95"/>
    <w:rsid w:val="00554BF1"/>
    <w:rsid w:val="00560625"/>
    <w:rsid w:val="00562588"/>
    <w:rsid w:val="005676C2"/>
    <w:rsid w:val="005677BC"/>
    <w:rsid w:val="00581B53"/>
    <w:rsid w:val="00582259"/>
    <w:rsid w:val="0058276B"/>
    <w:rsid w:val="00593420"/>
    <w:rsid w:val="005A7CAE"/>
    <w:rsid w:val="005B1F11"/>
    <w:rsid w:val="005B5414"/>
    <w:rsid w:val="005D1292"/>
    <w:rsid w:val="005D2A77"/>
    <w:rsid w:val="005D57BC"/>
    <w:rsid w:val="005E04F3"/>
    <w:rsid w:val="005E29EB"/>
    <w:rsid w:val="005E35C6"/>
    <w:rsid w:val="005E4899"/>
    <w:rsid w:val="005E51F5"/>
    <w:rsid w:val="005F2C7D"/>
    <w:rsid w:val="005F3083"/>
    <w:rsid w:val="00602807"/>
    <w:rsid w:val="00603FF4"/>
    <w:rsid w:val="006077BB"/>
    <w:rsid w:val="006106AD"/>
    <w:rsid w:val="006119C9"/>
    <w:rsid w:val="00620ADF"/>
    <w:rsid w:val="00621036"/>
    <w:rsid w:val="00621E61"/>
    <w:rsid w:val="00622C36"/>
    <w:rsid w:val="006324D0"/>
    <w:rsid w:val="00651FFA"/>
    <w:rsid w:val="0066333C"/>
    <w:rsid w:val="006646EF"/>
    <w:rsid w:val="00673111"/>
    <w:rsid w:val="006737B4"/>
    <w:rsid w:val="00674616"/>
    <w:rsid w:val="00683E76"/>
    <w:rsid w:val="006852A8"/>
    <w:rsid w:val="006B68CE"/>
    <w:rsid w:val="006C0A78"/>
    <w:rsid w:val="006C6A32"/>
    <w:rsid w:val="006D02D9"/>
    <w:rsid w:val="006D3BC3"/>
    <w:rsid w:val="006D4E92"/>
    <w:rsid w:val="006E0B49"/>
    <w:rsid w:val="006E0F22"/>
    <w:rsid w:val="006E6613"/>
    <w:rsid w:val="006E777D"/>
    <w:rsid w:val="006F0332"/>
    <w:rsid w:val="00702B87"/>
    <w:rsid w:val="007101E8"/>
    <w:rsid w:val="00710910"/>
    <w:rsid w:val="0071261F"/>
    <w:rsid w:val="00714ADB"/>
    <w:rsid w:val="00723DD3"/>
    <w:rsid w:val="00725835"/>
    <w:rsid w:val="0073707E"/>
    <w:rsid w:val="00737431"/>
    <w:rsid w:val="00740C64"/>
    <w:rsid w:val="007415D1"/>
    <w:rsid w:val="00744DCF"/>
    <w:rsid w:val="0074544A"/>
    <w:rsid w:val="0075346D"/>
    <w:rsid w:val="00755C96"/>
    <w:rsid w:val="007618A9"/>
    <w:rsid w:val="0076426E"/>
    <w:rsid w:val="0076733B"/>
    <w:rsid w:val="00771400"/>
    <w:rsid w:val="00771D00"/>
    <w:rsid w:val="0078308E"/>
    <w:rsid w:val="00783935"/>
    <w:rsid w:val="00794172"/>
    <w:rsid w:val="007A5A78"/>
    <w:rsid w:val="007B25A9"/>
    <w:rsid w:val="007B48C2"/>
    <w:rsid w:val="007C4028"/>
    <w:rsid w:val="007C61B7"/>
    <w:rsid w:val="007C7D47"/>
    <w:rsid w:val="007E0A95"/>
    <w:rsid w:val="007F4F4D"/>
    <w:rsid w:val="00805F42"/>
    <w:rsid w:val="0081360C"/>
    <w:rsid w:val="00815B29"/>
    <w:rsid w:val="0081644B"/>
    <w:rsid w:val="00823788"/>
    <w:rsid w:val="00827371"/>
    <w:rsid w:val="00831175"/>
    <w:rsid w:val="00834300"/>
    <w:rsid w:val="008402CB"/>
    <w:rsid w:val="00843032"/>
    <w:rsid w:val="0084563C"/>
    <w:rsid w:val="00852E4C"/>
    <w:rsid w:val="00853024"/>
    <w:rsid w:val="0085328F"/>
    <w:rsid w:val="00861B27"/>
    <w:rsid w:val="0086647A"/>
    <w:rsid w:val="0087118A"/>
    <w:rsid w:val="008841E7"/>
    <w:rsid w:val="00891C86"/>
    <w:rsid w:val="008943B7"/>
    <w:rsid w:val="0089621F"/>
    <w:rsid w:val="008A45DE"/>
    <w:rsid w:val="008A4CED"/>
    <w:rsid w:val="008A761C"/>
    <w:rsid w:val="008B2BAB"/>
    <w:rsid w:val="008C0229"/>
    <w:rsid w:val="008C2257"/>
    <w:rsid w:val="008C381E"/>
    <w:rsid w:val="008C41F9"/>
    <w:rsid w:val="008C510B"/>
    <w:rsid w:val="008E1334"/>
    <w:rsid w:val="008E4B50"/>
    <w:rsid w:val="008E5A3F"/>
    <w:rsid w:val="008F692E"/>
    <w:rsid w:val="008F7654"/>
    <w:rsid w:val="008F7ADC"/>
    <w:rsid w:val="00900209"/>
    <w:rsid w:val="009122E1"/>
    <w:rsid w:val="00914E47"/>
    <w:rsid w:val="0093694A"/>
    <w:rsid w:val="009373A5"/>
    <w:rsid w:val="00941C73"/>
    <w:rsid w:val="0094408C"/>
    <w:rsid w:val="00947318"/>
    <w:rsid w:val="009523D8"/>
    <w:rsid w:val="00956C76"/>
    <w:rsid w:val="0095729F"/>
    <w:rsid w:val="009612B2"/>
    <w:rsid w:val="00962FB5"/>
    <w:rsid w:val="00964C27"/>
    <w:rsid w:val="00974768"/>
    <w:rsid w:val="00987D45"/>
    <w:rsid w:val="009A12C8"/>
    <w:rsid w:val="009C224F"/>
    <w:rsid w:val="009C5C43"/>
    <w:rsid w:val="009D0019"/>
    <w:rsid w:val="009D0300"/>
    <w:rsid w:val="009D3208"/>
    <w:rsid w:val="009D34FB"/>
    <w:rsid w:val="009D35E9"/>
    <w:rsid w:val="009E067E"/>
    <w:rsid w:val="009E25CB"/>
    <w:rsid w:val="009E6D32"/>
    <w:rsid w:val="00A031AA"/>
    <w:rsid w:val="00A2244A"/>
    <w:rsid w:val="00A2752C"/>
    <w:rsid w:val="00A364C3"/>
    <w:rsid w:val="00A37310"/>
    <w:rsid w:val="00A452D7"/>
    <w:rsid w:val="00A45436"/>
    <w:rsid w:val="00A4561C"/>
    <w:rsid w:val="00A5318F"/>
    <w:rsid w:val="00A66488"/>
    <w:rsid w:val="00A676EA"/>
    <w:rsid w:val="00A733D0"/>
    <w:rsid w:val="00A80D41"/>
    <w:rsid w:val="00A80F2F"/>
    <w:rsid w:val="00A83EB1"/>
    <w:rsid w:val="00A866AC"/>
    <w:rsid w:val="00AA0259"/>
    <w:rsid w:val="00AA384E"/>
    <w:rsid w:val="00AA49BE"/>
    <w:rsid w:val="00AB098B"/>
    <w:rsid w:val="00AB4784"/>
    <w:rsid w:val="00AC1339"/>
    <w:rsid w:val="00AC2663"/>
    <w:rsid w:val="00AC3084"/>
    <w:rsid w:val="00AC6A63"/>
    <w:rsid w:val="00AD2500"/>
    <w:rsid w:val="00AD4675"/>
    <w:rsid w:val="00AD4C75"/>
    <w:rsid w:val="00AD4E0F"/>
    <w:rsid w:val="00AD78D6"/>
    <w:rsid w:val="00AD7B02"/>
    <w:rsid w:val="00AE0A5A"/>
    <w:rsid w:val="00AE209A"/>
    <w:rsid w:val="00AE5742"/>
    <w:rsid w:val="00B007AB"/>
    <w:rsid w:val="00B03A8A"/>
    <w:rsid w:val="00B06EA7"/>
    <w:rsid w:val="00B11C10"/>
    <w:rsid w:val="00B1684B"/>
    <w:rsid w:val="00B17031"/>
    <w:rsid w:val="00B5094D"/>
    <w:rsid w:val="00B51024"/>
    <w:rsid w:val="00B516CE"/>
    <w:rsid w:val="00B51D84"/>
    <w:rsid w:val="00B53387"/>
    <w:rsid w:val="00B56E7B"/>
    <w:rsid w:val="00B605A6"/>
    <w:rsid w:val="00B64F5B"/>
    <w:rsid w:val="00B67687"/>
    <w:rsid w:val="00B9423E"/>
    <w:rsid w:val="00B94388"/>
    <w:rsid w:val="00B9544D"/>
    <w:rsid w:val="00B976C2"/>
    <w:rsid w:val="00BB161D"/>
    <w:rsid w:val="00BB3BF0"/>
    <w:rsid w:val="00BC7685"/>
    <w:rsid w:val="00BC79A3"/>
    <w:rsid w:val="00BD4036"/>
    <w:rsid w:val="00BD78C3"/>
    <w:rsid w:val="00BF1439"/>
    <w:rsid w:val="00BF3CA7"/>
    <w:rsid w:val="00BF647A"/>
    <w:rsid w:val="00C01E10"/>
    <w:rsid w:val="00C06D9E"/>
    <w:rsid w:val="00C11AED"/>
    <w:rsid w:val="00C1422D"/>
    <w:rsid w:val="00C14ACB"/>
    <w:rsid w:val="00C15BDE"/>
    <w:rsid w:val="00C25150"/>
    <w:rsid w:val="00C32285"/>
    <w:rsid w:val="00C33B91"/>
    <w:rsid w:val="00C34E00"/>
    <w:rsid w:val="00C359CF"/>
    <w:rsid w:val="00C35B42"/>
    <w:rsid w:val="00C35C22"/>
    <w:rsid w:val="00C374C1"/>
    <w:rsid w:val="00C4111A"/>
    <w:rsid w:val="00C432D0"/>
    <w:rsid w:val="00C47CD7"/>
    <w:rsid w:val="00C5264C"/>
    <w:rsid w:val="00C65892"/>
    <w:rsid w:val="00C712FC"/>
    <w:rsid w:val="00C837A3"/>
    <w:rsid w:val="00C865AF"/>
    <w:rsid w:val="00C95DC8"/>
    <w:rsid w:val="00CA2A04"/>
    <w:rsid w:val="00CA4511"/>
    <w:rsid w:val="00CD0C9C"/>
    <w:rsid w:val="00CE0E05"/>
    <w:rsid w:val="00CF150C"/>
    <w:rsid w:val="00CF2296"/>
    <w:rsid w:val="00CF27CB"/>
    <w:rsid w:val="00D01327"/>
    <w:rsid w:val="00D12222"/>
    <w:rsid w:val="00D16334"/>
    <w:rsid w:val="00D16B73"/>
    <w:rsid w:val="00D25AC8"/>
    <w:rsid w:val="00D40BCD"/>
    <w:rsid w:val="00D42B05"/>
    <w:rsid w:val="00D46D75"/>
    <w:rsid w:val="00D52775"/>
    <w:rsid w:val="00D5622D"/>
    <w:rsid w:val="00D616FD"/>
    <w:rsid w:val="00D65F38"/>
    <w:rsid w:val="00D70D88"/>
    <w:rsid w:val="00D77848"/>
    <w:rsid w:val="00D81663"/>
    <w:rsid w:val="00D82AA0"/>
    <w:rsid w:val="00D83F92"/>
    <w:rsid w:val="00D90448"/>
    <w:rsid w:val="00D93A87"/>
    <w:rsid w:val="00D94525"/>
    <w:rsid w:val="00D96499"/>
    <w:rsid w:val="00D9792D"/>
    <w:rsid w:val="00D979B3"/>
    <w:rsid w:val="00DA6E14"/>
    <w:rsid w:val="00DB6C35"/>
    <w:rsid w:val="00DC1892"/>
    <w:rsid w:val="00DC7ED8"/>
    <w:rsid w:val="00DD0A95"/>
    <w:rsid w:val="00DD20D5"/>
    <w:rsid w:val="00DD365E"/>
    <w:rsid w:val="00DD4023"/>
    <w:rsid w:val="00DD41D1"/>
    <w:rsid w:val="00DD6630"/>
    <w:rsid w:val="00DE3ED0"/>
    <w:rsid w:val="00DE5518"/>
    <w:rsid w:val="00DE66EA"/>
    <w:rsid w:val="00DF18BD"/>
    <w:rsid w:val="00E120A9"/>
    <w:rsid w:val="00E13D4F"/>
    <w:rsid w:val="00E1411C"/>
    <w:rsid w:val="00E23716"/>
    <w:rsid w:val="00E25CD6"/>
    <w:rsid w:val="00E36A0F"/>
    <w:rsid w:val="00E378F6"/>
    <w:rsid w:val="00E53792"/>
    <w:rsid w:val="00E62EEB"/>
    <w:rsid w:val="00E63012"/>
    <w:rsid w:val="00E70C5D"/>
    <w:rsid w:val="00E71717"/>
    <w:rsid w:val="00E74477"/>
    <w:rsid w:val="00E74F23"/>
    <w:rsid w:val="00E774C7"/>
    <w:rsid w:val="00E778B5"/>
    <w:rsid w:val="00E8003C"/>
    <w:rsid w:val="00E834A1"/>
    <w:rsid w:val="00E872C9"/>
    <w:rsid w:val="00E909FE"/>
    <w:rsid w:val="00E90B9C"/>
    <w:rsid w:val="00E93245"/>
    <w:rsid w:val="00E94664"/>
    <w:rsid w:val="00E979D7"/>
    <w:rsid w:val="00E97FA2"/>
    <w:rsid w:val="00EA1D62"/>
    <w:rsid w:val="00EA4ABB"/>
    <w:rsid w:val="00EA4E5A"/>
    <w:rsid w:val="00EA4E6F"/>
    <w:rsid w:val="00EA58E2"/>
    <w:rsid w:val="00EB715C"/>
    <w:rsid w:val="00EC113A"/>
    <w:rsid w:val="00EC1D75"/>
    <w:rsid w:val="00EC7220"/>
    <w:rsid w:val="00ED15BA"/>
    <w:rsid w:val="00ED24BE"/>
    <w:rsid w:val="00ED642C"/>
    <w:rsid w:val="00ED7436"/>
    <w:rsid w:val="00EE1E63"/>
    <w:rsid w:val="00EE2360"/>
    <w:rsid w:val="00EF2E08"/>
    <w:rsid w:val="00EF5157"/>
    <w:rsid w:val="00EF5907"/>
    <w:rsid w:val="00F00D69"/>
    <w:rsid w:val="00F01F1A"/>
    <w:rsid w:val="00F10855"/>
    <w:rsid w:val="00F11819"/>
    <w:rsid w:val="00F178C5"/>
    <w:rsid w:val="00F34A9E"/>
    <w:rsid w:val="00F3510E"/>
    <w:rsid w:val="00F35B03"/>
    <w:rsid w:val="00F43C19"/>
    <w:rsid w:val="00F442A3"/>
    <w:rsid w:val="00F60DE0"/>
    <w:rsid w:val="00F71AF5"/>
    <w:rsid w:val="00F769C6"/>
    <w:rsid w:val="00F84A8C"/>
    <w:rsid w:val="00F90DE9"/>
    <w:rsid w:val="00FA12A5"/>
    <w:rsid w:val="00FA334C"/>
    <w:rsid w:val="00FA702E"/>
    <w:rsid w:val="00FA71CA"/>
    <w:rsid w:val="00FB4B51"/>
    <w:rsid w:val="00FB6024"/>
    <w:rsid w:val="00FC2F78"/>
    <w:rsid w:val="00FC414A"/>
    <w:rsid w:val="00FC77E0"/>
    <w:rsid w:val="00FC7DD2"/>
    <w:rsid w:val="00FD7007"/>
    <w:rsid w:val="00FE3EB9"/>
    <w:rsid w:val="00FE5DFC"/>
    <w:rsid w:val="00FE7286"/>
    <w:rsid w:val="00FF49B4"/>
    <w:rsid w:val="00FF59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colormru v:ext="edit" colors="#d90000,#e83f35"/>
      <o:colormenu v:ext="edit" fillcolor="red"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w:hAnsi="Garamond" w:cs="Times New Roman"/>
        <w:lang w:val="en-AU" w:eastAsia="en-AU" w:bidi="ar-SA"/>
      </w:rPr>
    </w:rPrDefault>
    <w:pPrDefault>
      <w:pPr>
        <w:spacing w:before="120" w:after="12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able of figures" w:uiPriority="99"/>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uiPriority w:val="1"/>
    <w:qFormat/>
    <w:rsid w:val="00771400"/>
    <w:pPr>
      <w:spacing w:line="264" w:lineRule="auto"/>
      <w:jc w:val="both"/>
    </w:pPr>
    <w:rPr>
      <w:sz w:val="24"/>
      <w:lang w:eastAsia="en-US"/>
    </w:rPr>
  </w:style>
  <w:style w:type="paragraph" w:styleId="Heading1">
    <w:name w:val="heading 1"/>
    <w:basedOn w:val="Normal"/>
    <w:next w:val="Normal"/>
    <w:qFormat/>
    <w:rsid w:val="009E6D32"/>
    <w:pPr>
      <w:keepNext/>
      <w:spacing w:before="0" w:after="240" w:line="288" w:lineRule="auto"/>
      <w:jc w:val="left"/>
      <w:outlineLvl w:val="0"/>
    </w:pPr>
    <w:rPr>
      <w:rFonts w:asciiTheme="majorHAnsi" w:hAnsiTheme="majorHAnsi"/>
      <w:b/>
      <w:color w:val="E83F35" w:themeColor="text2"/>
      <w:kern w:val="32"/>
      <w:sz w:val="36"/>
    </w:rPr>
  </w:style>
  <w:style w:type="paragraph" w:styleId="Heading2">
    <w:name w:val="heading 2"/>
    <w:basedOn w:val="Heading1"/>
    <w:next w:val="Normal"/>
    <w:qFormat/>
    <w:rsid w:val="004E524B"/>
    <w:pPr>
      <w:numPr>
        <w:ilvl w:val="1"/>
      </w:numPr>
      <w:spacing w:before="360" w:after="0"/>
      <w:outlineLvl w:val="1"/>
    </w:pPr>
    <w:rPr>
      <w:bCs/>
      <w:sz w:val="32"/>
    </w:rPr>
  </w:style>
  <w:style w:type="paragraph" w:styleId="Heading3">
    <w:name w:val="heading 3"/>
    <w:basedOn w:val="Heading2"/>
    <w:next w:val="Normal"/>
    <w:autoRedefine/>
    <w:qFormat/>
    <w:rsid w:val="008F7654"/>
    <w:pPr>
      <w:numPr>
        <w:ilvl w:val="0"/>
      </w:numPr>
      <w:spacing w:before="240"/>
      <w:outlineLvl w:val="2"/>
    </w:pPr>
    <w:rPr>
      <w:sz w:val="28"/>
      <w:szCs w:val="24"/>
    </w:rPr>
  </w:style>
  <w:style w:type="paragraph" w:styleId="Heading4">
    <w:name w:val="heading 4"/>
    <w:basedOn w:val="Normal"/>
    <w:next w:val="Normal"/>
    <w:qFormat/>
    <w:rsid w:val="008F7654"/>
    <w:pPr>
      <w:keepNext/>
      <w:spacing w:before="240" w:after="0" w:line="288" w:lineRule="auto"/>
      <w:outlineLvl w:val="3"/>
    </w:pPr>
    <w:rPr>
      <w:rFonts w:ascii="Arial" w:hAnsi="Arial"/>
      <w:b/>
      <w:i/>
      <w:color w:val="E83F35"/>
      <w:szCs w:val="28"/>
    </w:rPr>
  </w:style>
  <w:style w:type="paragraph" w:styleId="Heading5">
    <w:name w:val="heading 5"/>
    <w:basedOn w:val="Normal"/>
    <w:next w:val="Normal"/>
    <w:rsid w:val="00B516CE"/>
    <w:pPr>
      <w:keepNext/>
      <w:numPr>
        <w:ilvl w:val="4"/>
        <w:numId w:val="3"/>
      </w:numPr>
      <w:outlineLvl w:val="4"/>
    </w:pPr>
    <w:rPr>
      <w:i/>
      <w:iCs/>
      <w:sz w:val="18"/>
    </w:rPr>
  </w:style>
  <w:style w:type="paragraph" w:styleId="Heading6">
    <w:name w:val="heading 6"/>
    <w:basedOn w:val="Normal"/>
    <w:next w:val="Normal"/>
    <w:rsid w:val="00B516CE"/>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rsid w:val="00B516CE"/>
    <w:pPr>
      <w:numPr>
        <w:ilvl w:val="6"/>
        <w:numId w:val="3"/>
      </w:numPr>
      <w:spacing w:before="240" w:after="60"/>
      <w:outlineLvl w:val="6"/>
    </w:pPr>
    <w:rPr>
      <w:rFonts w:ascii="Times New Roman" w:hAnsi="Times New Roman"/>
      <w:szCs w:val="24"/>
    </w:rPr>
  </w:style>
  <w:style w:type="paragraph" w:styleId="Heading8">
    <w:name w:val="heading 8"/>
    <w:basedOn w:val="Normal"/>
    <w:next w:val="Normal"/>
    <w:rsid w:val="00B516CE"/>
    <w:pPr>
      <w:numPr>
        <w:ilvl w:val="7"/>
        <w:numId w:val="3"/>
      </w:numPr>
      <w:spacing w:before="240" w:after="60"/>
      <w:outlineLvl w:val="7"/>
    </w:pPr>
    <w:rPr>
      <w:rFonts w:ascii="Times New Roman" w:hAnsi="Times New Roman"/>
      <w:i/>
      <w:iCs/>
      <w:szCs w:val="24"/>
    </w:rPr>
  </w:style>
  <w:style w:type="paragraph" w:styleId="Heading9">
    <w:name w:val="heading 9"/>
    <w:basedOn w:val="Normal"/>
    <w:next w:val="Normal"/>
    <w:rsid w:val="00B516CE"/>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rsid w:val="000A2E1F"/>
    <w:pPr>
      <w:keepNext/>
      <w:spacing w:before="240"/>
      <w:jc w:val="left"/>
    </w:pPr>
    <w:rPr>
      <w:rFonts w:asciiTheme="majorHAnsi" w:hAnsiTheme="majorHAnsi" w:cs="Arial"/>
      <w:sz w:val="20"/>
    </w:rPr>
  </w:style>
  <w:style w:type="paragraph" w:styleId="Footer">
    <w:name w:val="footer"/>
    <w:basedOn w:val="Normal"/>
    <w:link w:val="FooterChar"/>
    <w:rsid w:val="0081360C"/>
    <w:pPr>
      <w:tabs>
        <w:tab w:val="right" w:pos="8640"/>
      </w:tabs>
      <w:spacing w:before="0" w:after="0"/>
      <w:jc w:val="left"/>
    </w:pPr>
    <w:rPr>
      <w:rFonts w:ascii="Arial" w:hAnsi="Arial" w:cs="Arial"/>
      <w:color w:val="E83F35"/>
      <w:spacing w:val="4"/>
      <w:sz w:val="28"/>
    </w:rPr>
  </w:style>
  <w:style w:type="paragraph" w:styleId="FootnoteText">
    <w:name w:val="footnote text"/>
    <w:basedOn w:val="Normal"/>
    <w:semiHidden/>
    <w:rsid w:val="00370BA8"/>
    <w:pPr>
      <w:ind w:left="567" w:hanging="567"/>
    </w:pPr>
    <w:rPr>
      <w:sz w:val="18"/>
    </w:rPr>
  </w:style>
  <w:style w:type="paragraph" w:styleId="Header">
    <w:name w:val="header"/>
    <w:basedOn w:val="Normal"/>
    <w:rsid w:val="00370BA8"/>
    <w:pPr>
      <w:tabs>
        <w:tab w:val="left" w:pos="284"/>
        <w:tab w:val="right" w:pos="8640"/>
      </w:tabs>
      <w:spacing w:after="0"/>
    </w:pPr>
    <w:rPr>
      <w:rFonts w:ascii="Arial" w:hAnsi="Arial"/>
      <w:color w:val="000000"/>
      <w:sz w:val="16"/>
    </w:rPr>
  </w:style>
  <w:style w:type="paragraph" w:customStyle="1" w:styleId="Copyright">
    <w:name w:val="Copyright"/>
    <w:basedOn w:val="Normal"/>
    <w:rsid w:val="0081644B"/>
    <w:rPr>
      <w:rFonts w:asciiTheme="majorHAnsi" w:hAnsiTheme="majorHAnsi"/>
      <w:sz w:val="16"/>
      <w:szCs w:val="16"/>
    </w:rPr>
  </w:style>
  <w:style w:type="paragraph" w:styleId="Title">
    <w:name w:val="Title"/>
    <w:basedOn w:val="Normal"/>
    <w:next w:val="Subtitle"/>
    <w:rsid w:val="00FE5DFC"/>
    <w:pPr>
      <w:spacing w:before="0" w:after="60" w:line="288" w:lineRule="auto"/>
      <w:jc w:val="left"/>
      <w:outlineLvl w:val="0"/>
    </w:pPr>
    <w:rPr>
      <w:rFonts w:ascii="Arial" w:hAnsi="Arial" w:cs="Arial"/>
      <w:b/>
      <w:bCs/>
      <w:kern w:val="28"/>
      <w:sz w:val="40"/>
      <w:szCs w:val="32"/>
    </w:rPr>
  </w:style>
  <w:style w:type="paragraph" w:styleId="Subtitle">
    <w:name w:val="Subtitle"/>
    <w:basedOn w:val="Normal"/>
    <w:next w:val="Normal"/>
    <w:rsid w:val="004E524B"/>
    <w:pPr>
      <w:spacing w:before="0" w:after="360" w:line="288" w:lineRule="auto"/>
      <w:jc w:val="left"/>
      <w:outlineLvl w:val="1"/>
    </w:pPr>
    <w:rPr>
      <w:rFonts w:asciiTheme="majorHAnsi" w:hAnsiTheme="majorHAnsi" w:cs="Arial"/>
      <w:caps/>
      <w:color w:val="E83F35" w:themeColor="text2"/>
      <w:szCs w:val="24"/>
    </w:rPr>
  </w:style>
  <w:style w:type="paragraph" w:customStyle="1" w:styleId="Disclaimer">
    <w:name w:val="Disclaimer"/>
    <w:basedOn w:val="Normal"/>
    <w:rsid w:val="00F178C5"/>
    <w:rPr>
      <w:rFonts w:asciiTheme="majorHAnsi" w:hAnsiTheme="majorHAnsi" w:cs="Arial"/>
      <w:sz w:val="18"/>
    </w:rPr>
  </w:style>
  <w:style w:type="table" w:styleId="Table3Deffects1">
    <w:name w:val="Table 3D effects 1"/>
    <w:basedOn w:val="TableNormal"/>
    <w:rsid w:val="000F0EBF"/>
    <w:pPr>
      <w:spacing w:line="264"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Quote">
    <w:name w:val="Quote"/>
    <w:basedOn w:val="Normal"/>
    <w:next w:val="Normal"/>
    <w:link w:val="QuoteChar"/>
    <w:uiPriority w:val="1"/>
    <w:qFormat/>
    <w:rsid w:val="001E11AB"/>
    <w:pPr>
      <w:spacing w:before="180" w:after="180"/>
      <w:ind w:left="425"/>
    </w:pPr>
    <w:rPr>
      <w:rFonts w:asciiTheme="majorHAnsi" w:hAnsiTheme="majorHAnsi"/>
      <w:iCs/>
      <w:sz w:val="19"/>
    </w:rPr>
  </w:style>
  <w:style w:type="paragraph" w:customStyle="1" w:styleId="NormalNumbered">
    <w:name w:val="Normal Numbered"/>
    <w:basedOn w:val="Normal"/>
    <w:link w:val="NormalNumberedChar"/>
    <w:uiPriority w:val="1"/>
    <w:qFormat/>
    <w:rsid w:val="00BF1439"/>
    <w:pPr>
      <w:numPr>
        <w:numId w:val="2"/>
      </w:numPr>
    </w:pPr>
  </w:style>
  <w:style w:type="paragraph" w:customStyle="1" w:styleId="SourceText">
    <w:name w:val="Source Text"/>
    <w:basedOn w:val="Heading5"/>
    <w:rsid w:val="003A642D"/>
    <w:pPr>
      <w:keepNext w:val="0"/>
      <w:numPr>
        <w:ilvl w:val="0"/>
        <w:numId w:val="0"/>
      </w:numPr>
      <w:spacing w:after="240"/>
      <w:jc w:val="left"/>
    </w:pPr>
    <w:rPr>
      <w:rFonts w:ascii="Arial" w:hAnsi="Arial" w:cs="Arial"/>
      <w:sz w:val="16"/>
    </w:rPr>
  </w:style>
  <w:style w:type="paragraph" w:customStyle="1" w:styleId="TableText">
    <w:name w:val="Table Text"/>
    <w:basedOn w:val="Normal"/>
    <w:qFormat/>
    <w:rsid w:val="004E524B"/>
    <w:pPr>
      <w:jc w:val="center"/>
    </w:pPr>
    <w:rPr>
      <w:rFonts w:asciiTheme="majorHAnsi" w:hAnsiTheme="majorHAnsi" w:cs="Arial"/>
      <w:sz w:val="18"/>
    </w:rPr>
  </w:style>
  <w:style w:type="paragraph" w:styleId="TOC1">
    <w:name w:val="toc 1"/>
    <w:basedOn w:val="Normal"/>
    <w:next w:val="Normal"/>
    <w:autoRedefine/>
    <w:uiPriority w:val="39"/>
    <w:rsid w:val="00E74477"/>
    <w:pPr>
      <w:tabs>
        <w:tab w:val="right" w:pos="7569"/>
      </w:tabs>
      <w:ind w:left="709" w:hanging="709"/>
    </w:pPr>
    <w:rPr>
      <w:rFonts w:asciiTheme="majorHAnsi" w:eastAsia="Times New Roman" w:hAnsiTheme="majorHAnsi"/>
      <w:b/>
      <w:noProof/>
      <w:color w:val="E83F35" w:themeColor="text2"/>
      <w:szCs w:val="40"/>
      <w:lang w:val="en-US"/>
    </w:rPr>
  </w:style>
  <w:style w:type="paragraph" w:styleId="TOC2">
    <w:name w:val="toc 2"/>
    <w:basedOn w:val="TOC1"/>
    <w:next w:val="Normal"/>
    <w:autoRedefine/>
    <w:uiPriority w:val="39"/>
    <w:rsid w:val="00E74477"/>
    <w:rPr>
      <w:b w:val="0"/>
      <w:color w:val="auto"/>
      <w:sz w:val="22"/>
      <w:szCs w:val="24"/>
      <w:lang w:val="la-Latn"/>
    </w:rPr>
  </w:style>
  <w:style w:type="paragraph" w:styleId="TOC3">
    <w:name w:val="toc 3"/>
    <w:basedOn w:val="TOC2"/>
    <w:next w:val="Normal"/>
    <w:autoRedefine/>
    <w:uiPriority w:val="39"/>
    <w:rsid w:val="00DE66EA"/>
    <w:pPr>
      <w:ind w:right="284"/>
    </w:pPr>
  </w:style>
  <w:style w:type="character" w:customStyle="1" w:styleId="QuoteChar">
    <w:name w:val="Quote Char"/>
    <w:basedOn w:val="DefaultParagraphFont"/>
    <w:link w:val="Quote"/>
    <w:uiPriority w:val="1"/>
    <w:rsid w:val="001E11AB"/>
    <w:rPr>
      <w:rFonts w:asciiTheme="majorHAnsi" w:hAnsiTheme="majorHAnsi"/>
      <w:iCs/>
      <w:sz w:val="19"/>
      <w:lang w:eastAsia="en-US"/>
    </w:rPr>
  </w:style>
  <w:style w:type="paragraph" w:customStyle="1" w:styleId="NormalLarge">
    <w:name w:val="Normal Large"/>
    <w:basedOn w:val="Normal"/>
    <w:rsid w:val="00FE5DFC"/>
    <w:rPr>
      <w:rFonts w:ascii="Arial" w:hAnsi="Arial"/>
    </w:rPr>
  </w:style>
  <w:style w:type="paragraph" w:customStyle="1" w:styleId="FEContact">
    <w:name w:val="FEContact"/>
    <w:basedOn w:val="Normal"/>
    <w:rsid w:val="008E5A3F"/>
    <w:pPr>
      <w:spacing w:before="60" w:after="60"/>
      <w:jc w:val="right"/>
    </w:pPr>
    <w:rPr>
      <w:rFonts w:asciiTheme="majorHAnsi" w:hAnsiTheme="majorHAnsi"/>
      <w:sz w:val="16"/>
    </w:rPr>
  </w:style>
  <w:style w:type="character" w:styleId="FollowedHyperlink">
    <w:name w:val="FollowedHyperlink"/>
    <w:basedOn w:val="DefaultParagraphFont"/>
    <w:rsid w:val="003C7F60"/>
    <w:rPr>
      <w:color w:val="E83F35" w:themeColor="text2"/>
      <w:u w:val="single"/>
    </w:rPr>
  </w:style>
  <w:style w:type="character" w:styleId="Hyperlink">
    <w:name w:val="Hyperlink"/>
    <w:basedOn w:val="DefaultParagraphFont"/>
    <w:uiPriority w:val="99"/>
    <w:rsid w:val="003C7F60"/>
    <w:rPr>
      <w:color w:val="E83F35" w:themeColor="text2"/>
      <w:u w:val="single"/>
    </w:rPr>
  </w:style>
  <w:style w:type="paragraph" w:styleId="TableofFigures">
    <w:name w:val="table of figures"/>
    <w:aliases w:val="TOF"/>
    <w:basedOn w:val="TOC2"/>
    <w:next w:val="Normal"/>
    <w:uiPriority w:val="99"/>
    <w:rsid w:val="002F304C"/>
    <w:pPr>
      <w:ind w:left="480" w:hanging="480"/>
    </w:pPr>
    <w:rPr>
      <w:rFonts w:ascii="Arial" w:hAnsi="Arial"/>
    </w:rPr>
  </w:style>
  <w:style w:type="character" w:styleId="FootnoteReference">
    <w:name w:val="footnote reference"/>
    <w:basedOn w:val="DefaultParagraphFont"/>
    <w:semiHidden/>
    <w:rsid w:val="00370BA8"/>
    <w:rPr>
      <w:vertAlign w:val="superscript"/>
    </w:rPr>
  </w:style>
  <w:style w:type="paragraph" w:styleId="BalloonText">
    <w:name w:val="Balloon Text"/>
    <w:basedOn w:val="Normal"/>
    <w:link w:val="BalloonTextChar"/>
    <w:rsid w:val="006C6A3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6C6A32"/>
    <w:rPr>
      <w:rFonts w:ascii="Tahoma" w:hAnsi="Tahoma" w:cs="Tahoma"/>
      <w:sz w:val="16"/>
      <w:szCs w:val="16"/>
      <w:lang w:val="en-GB" w:eastAsia="en-US"/>
    </w:rPr>
  </w:style>
  <w:style w:type="paragraph" w:styleId="TOCHeading">
    <w:name w:val="TOC Heading"/>
    <w:basedOn w:val="Title"/>
    <w:next w:val="Normal"/>
    <w:uiPriority w:val="39"/>
    <w:unhideWhenUsed/>
    <w:rsid w:val="00EF5907"/>
    <w:pPr>
      <w:keepLines/>
      <w:spacing w:before="480" w:after="0" w:line="276" w:lineRule="auto"/>
      <w:outlineLvl w:val="9"/>
    </w:pPr>
    <w:rPr>
      <w:rFonts w:asciiTheme="majorHAnsi" w:eastAsiaTheme="majorEastAsia" w:hAnsiTheme="majorHAnsi" w:cstheme="majorBidi"/>
      <w:bCs w:val="0"/>
      <w:color w:val="E83F35" w:themeColor="text2"/>
      <w:kern w:val="0"/>
      <w:szCs w:val="28"/>
      <w:lang w:val="en-US"/>
    </w:rPr>
  </w:style>
  <w:style w:type="paragraph" w:customStyle="1" w:styleId="FEContactRed">
    <w:name w:val="FEContactRed"/>
    <w:basedOn w:val="Normal"/>
    <w:next w:val="FEContact"/>
    <w:rsid w:val="00232E94"/>
    <w:pPr>
      <w:spacing w:after="60"/>
      <w:jc w:val="right"/>
    </w:pPr>
    <w:rPr>
      <w:rFonts w:ascii="Arial" w:eastAsia="Times New Roman" w:hAnsi="Arial"/>
      <w:color w:val="E83F35" w:themeColor="text2"/>
      <w:sz w:val="16"/>
    </w:rPr>
  </w:style>
  <w:style w:type="paragraph" w:customStyle="1" w:styleId="Heading1Nonumbers">
    <w:name w:val="Heading 1 No numbers"/>
    <w:basedOn w:val="Heading1"/>
    <w:next w:val="Normal"/>
    <w:rsid w:val="004E524B"/>
    <w:rPr>
      <w:rFonts w:eastAsia="Times New Roman"/>
      <w:bCs/>
    </w:rPr>
  </w:style>
  <w:style w:type="paragraph" w:customStyle="1" w:styleId="TOCSubheading">
    <w:name w:val="TOC Subheading"/>
    <w:basedOn w:val="TOCHeading"/>
    <w:next w:val="Normal"/>
    <w:rsid w:val="003C7F60"/>
    <w:pPr>
      <w:spacing w:before="120" w:after="120"/>
    </w:pPr>
    <w:rPr>
      <w:sz w:val="28"/>
      <w:lang w:val="en-AU"/>
    </w:rPr>
  </w:style>
  <w:style w:type="table" w:styleId="TableGrid">
    <w:name w:val="Table Grid"/>
    <w:basedOn w:val="TableNormal"/>
    <w:rsid w:val="00ED15BA"/>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FEFigure">
    <w:name w:val="FE Figure"/>
    <w:basedOn w:val="TableNormal"/>
    <w:rsid w:val="002020EE"/>
    <w:tblPr>
      <w:tblInd w:w="0" w:type="dxa"/>
      <w:tblBorders>
        <w:top w:val="single" w:sz="8" w:space="0" w:color="E83F35"/>
        <w:left w:val="single" w:sz="8" w:space="0" w:color="E83F35"/>
        <w:bottom w:val="single" w:sz="8" w:space="0" w:color="E83F35"/>
        <w:right w:val="single" w:sz="8" w:space="0" w:color="E83F35"/>
      </w:tblBorders>
      <w:tblCellMar>
        <w:top w:w="0" w:type="dxa"/>
        <w:left w:w="108" w:type="dxa"/>
        <w:bottom w:w="0" w:type="dxa"/>
        <w:right w:w="108" w:type="dxa"/>
      </w:tblCellMar>
    </w:tblPr>
    <w:tcPr>
      <w:shd w:val="clear" w:color="auto" w:fill="auto"/>
    </w:tcPr>
  </w:style>
  <w:style w:type="paragraph" w:customStyle="1" w:styleId="SummaryText">
    <w:name w:val="SummaryText"/>
    <w:basedOn w:val="Normal"/>
    <w:rsid w:val="00BD78C3"/>
    <w:pPr>
      <w:pBdr>
        <w:top w:val="single" w:sz="24" w:space="1" w:color="E83F35" w:themeColor="text2"/>
        <w:left w:val="single" w:sz="24" w:space="4" w:color="E83F35" w:themeColor="text2"/>
        <w:bottom w:val="single" w:sz="24" w:space="1" w:color="E83F35" w:themeColor="text2"/>
        <w:right w:val="single" w:sz="24" w:space="4" w:color="E83F35" w:themeColor="text2"/>
      </w:pBdr>
      <w:shd w:val="clear" w:color="auto" w:fill="E83F35" w:themeFill="text2"/>
      <w:spacing w:after="240"/>
      <w:ind w:left="85" w:right="85"/>
    </w:pPr>
    <w:rPr>
      <w:rFonts w:asciiTheme="majorHAnsi" w:hAnsiTheme="majorHAnsi"/>
      <w:color w:val="FFFFFF" w:themeColor="background2"/>
      <w:sz w:val="20"/>
    </w:rPr>
  </w:style>
  <w:style w:type="paragraph" w:customStyle="1" w:styleId="SummaryTitle">
    <w:name w:val="SummaryTitle"/>
    <w:basedOn w:val="SummaryText"/>
    <w:next w:val="SummaryText"/>
    <w:rsid w:val="00BD78C3"/>
    <w:pPr>
      <w:keepNext/>
      <w:spacing w:before="240" w:after="120"/>
    </w:pPr>
    <w:rPr>
      <w:b/>
      <w:i/>
      <w:sz w:val="22"/>
    </w:rPr>
  </w:style>
  <w:style w:type="numbering" w:customStyle="1" w:styleId="FEBulletList">
    <w:name w:val="FE Bullet List"/>
    <w:uiPriority w:val="99"/>
    <w:rsid w:val="00376601"/>
    <w:pPr>
      <w:numPr>
        <w:numId w:val="5"/>
      </w:numPr>
    </w:pPr>
  </w:style>
  <w:style w:type="numbering" w:customStyle="1" w:styleId="FEParagraphList">
    <w:name w:val="FE Paragraph List"/>
    <w:uiPriority w:val="99"/>
    <w:rsid w:val="00376601"/>
    <w:pPr>
      <w:numPr>
        <w:numId w:val="6"/>
      </w:numPr>
    </w:pPr>
  </w:style>
  <w:style w:type="character" w:styleId="PlaceholderText">
    <w:name w:val="Placeholder Text"/>
    <w:basedOn w:val="DefaultParagraphFont"/>
    <w:uiPriority w:val="99"/>
    <w:semiHidden/>
    <w:rsid w:val="00E25CD6"/>
    <w:rPr>
      <w:color w:val="808080"/>
    </w:rPr>
  </w:style>
  <w:style w:type="character" w:styleId="CommentReference">
    <w:name w:val="annotation reference"/>
    <w:basedOn w:val="DefaultParagraphFont"/>
    <w:rsid w:val="00E25CD6"/>
    <w:rPr>
      <w:sz w:val="16"/>
      <w:szCs w:val="16"/>
    </w:rPr>
  </w:style>
  <w:style w:type="paragraph" w:styleId="CommentText">
    <w:name w:val="annotation text"/>
    <w:basedOn w:val="Normal"/>
    <w:link w:val="CommentTextChar"/>
    <w:rsid w:val="00E25CD6"/>
    <w:pPr>
      <w:spacing w:line="240" w:lineRule="auto"/>
    </w:pPr>
    <w:rPr>
      <w:sz w:val="20"/>
    </w:rPr>
  </w:style>
  <w:style w:type="character" w:customStyle="1" w:styleId="CommentTextChar">
    <w:name w:val="Comment Text Char"/>
    <w:basedOn w:val="DefaultParagraphFont"/>
    <w:link w:val="CommentText"/>
    <w:rsid w:val="00E25CD6"/>
    <w:rPr>
      <w:lang w:eastAsia="en-US"/>
    </w:rPr>
  </w:style>
  <w:style w:type="paragraph" w:styleId="CommentSubject">
    <w:name w:val="annotation subject"/>
    <w:basedOn w:val="CommentText"/>
    <w:next w:val="CommentText"/>
    <w:link w:val="CommentSubjectChar"/>
    <w:rsid w:val="00E25CD6"/>
    <w:rPr>
      <w:b/>
      <w:bCs/>
    </w:rPr>
  </w:style>
  <w:style w:type="character" w:customStyle="1" w:styleId="CommentSubjectChar">
    <w:name w:val="Comment Subject Char"/>
    <w:basedOn w:val="CommentTextChar"/>
    <w:link w:val="CommentSubject"/>
    <w:rsid w:val="00E25CD6"/>
    <w:rPr>
      <w:b/>
      <w:bCs/>
      <w:lang w:eastAsia="en-US"/>
    </w:rPr>
  </w:style>
  <w:style w:type="table" w:customStyle="1" w:styleId="FETable">
    <w:name w:val="FE Table"/>
    <w:basedOn w:val="TableNormal"/>
    <w:qFormat/>
    <w:rsid w:val="00FE7286"/>
    <w:pPr>
      <w:jc w:val="center"/>
    </w:pPr>
    <w:rPr>
      <w:rFonts w:asciiTheme="majorHAnsi" w:eastAsiaTheme="minorHAnsi" w:hAnsiTheme="majorHAnsi"/>
      <w:sz w:val="18"/>
      <w:lang w:eastAsia="en-US"/>
    </w:rPr>
    <w:tblPr>
      <w:tblStyleRowBandSize w:val="1"/>
      <w:tblStyleColBandSize w:val="1"/>
      <w:jc w:val="center"/>
      <w:tblInd w:w="0" w:type="dxa"/>
      <w:tblBorders>
        <w:top w:val="single" w:sz="12" w:space="0" w:color="E83F35" w:themeColor="text2"/>
        <w:bottom w:val="single" w:sz="12" w:space="0" w:color="E83F35" w:themeColor="text2"/>
        <w:insideH w:val="single" w:sz="4" w:space="0" w:color="808080" w:themeColor="background1" w:themeShade="80"/>
      </w:tblBorders>
      <w:tblCellMar>
        <w:top w:w="0" w:type="dxa"/>
        <w:left w:w="108" w:type="dxa"/>
        <w:bottom w:w="0" w:type="dxa"/>
        <w:right w:w="108" w:type="dxa"/>
      </w:tblCellMar>
    </w:tblPr>
    <w:trPr>
      <w:jc w:val="center"/>
    </w:trPr>
    <w:tcPr>
      <w:vAlign w:val="center"/>
    </w:tcPr>
    <w:tblStylePr w:type="firstRow">
      <w:rPr>
        <w:rFonts w:asciiTheme="majorHAnsi" w:hAnsiTheme="majorHAnsi"/>
        <w:b/>
        <w:color w:val="FFFFFF" w:themeColor="background2"/>
        <w:sz w:val="19"/>
      </w:rPr>
      <w:tblPr/>
      <w:tcPr>
        <w:tcBorders>
          <w:top w:val="single" w:sz="4" w:space="0" w:color="E83F35" w:themeColor="text2"/>
          <w:left w:val="nil"/>
          <w:bottom w:val="single" w:sz="4" w:space="0" w:color="E83F35" w:themeColor="text2"/>
          <w:right w:val="nil"/>
          <w:insideH w:val="nil"/>
          <w:insideV w:val="single" w:sz="4" w:space="0" w:color="FFFFFF" w:themeColor="background2"/>
        </w:tcBorders>
        <w:shd w:val="clear" w:color="auto" w:fill="E83F35" w:themeFill="text2"/>
      </w:tcPr>
    </w:tblStylePr>
    <w:tblStylePr w:type="lastRow">
      <w:rPr>
        <w:b/>
      </w:rPr>
      <w:tblPr/>
      <w:tcPr>
        <w:tcBorders>
          <w:top w:val="single" w:sz="12" w:space="0" w:color="E83F35" w:themeColor="text2"/>
        </w:tcBorders>
      </w:tcPr>
    </w:tblStylePr>
    <w:tblStylePr w:type="firstCol">
      <w:pPr>
        <w:jc w:val="left"/>
      </w:pPr>
      <w:rPr>
        <w:rFonts w:asciiTheme="majorHAnsi" w:hAnsiTheme="majorHAnsi"/>
        <w:b w:val="0"/>
        <w:sz w:val="18"/>
      </w:rPr>
      <w:tblPr/>
      <w:tcPr>
        <w:tcBorders>
          <w:top w:val="nil"/>
          <w:left w:val="nil"/>
          <w:bottom w:val="single" w:sz="12" w:space="0" w:color="E83F35" w:themeColor="text2"/>
          <w:right w:val="nil"/>
          <w:insideH w:val="single" w:sz="4" w:space="0" w:color="7F7F7F" w:themeColor="text1" w:themeTint="80"/>
          <w:insideV w:val="single" w:sz="4" w:space="0" w:color="7F7F7F" w:themeColor="text1" w:themeTint="80"/>
          <w:tl2br w:val="nil"/>
          <w:tr2bl w:val="nil"/>
        </w:tcBorders>
      </w:tcPr>
    </w:tblStylePr>
    <w:tblStylePr w:type="lastCol">
      <w:pPr>
        <w:jc w:val="center"/>
      </w:pPr>
      <w:rPr>
        <w:rFonts w:asciiTheme="majorHAnsi" w:hAnsiTheme="majorHAnsi"/>
        <w:b w:val="0"/>
        <w:sz w:val="18"/>
      </w:rPr>
      <w:tblPr/>
      <w:tcPr>
        <w:tcBorders>
          <w:top w:val="nil"/>
          <w:left w:val="nil"/>
          <w:bottom w:val="single" w:sz="12" w:space="0" w:color="E83F35" w:themeColor="text2"/>
          <w:right w:val="nil"/>
          <w:insideH w:val="single" w:sz="4" w:space="0" w:color="7F7F7F" w:themeColor="text1" w:themeTint="80"/>
          <w:insideV w:val="single" w:sz="4" w:space="0" w:color="7F7F7F" w:themeColor="text1" w:themeTint="80"/>
          <w:tl2br w:val="nil"/>
          <w:tr2bl w:val="nil"/>
        </w:tcBorders>
      </w:tcPr>
    </w:tblStylePr>
    <w:tblStylePr w:type="band1Vert">
      <w:pPr>
        <w:jc w:val="center"/>
      </w:pPr>
      <w:tblPr/>
      <w:tcPr>
        <w:tcBorders>
          <w:bottom w:val="single" w:sz="12" w:space="0" w:color="E83F35" w:themeColor="text2"/>
          <w:insideH w:val="single" w:sz="4" w:space="0" w:color="7F7F7F" w:themeColor="text1" w:themeTint="80"/>
        </w:tcBorders>
      </w:tcPr>
    </w:tblStylePr>
    <w:tblStylePr w:type="band2Vert">
      <w:pPr>
        <w:jc w:val="center"/>
      </w:pPr>
      <w:tblPr/>
      <w:tcPr>
        <w:tcBorders>
          <w:insideH w:val="single" w:sz="4" w:space="0" w:color="7F7F7F" w:themeColor="text1" w:themeTint="80"/>
        </w:tcBorders>
        <w:shd w:val="clear" w:color="auto" w:fill="F2F2F2" w:themeFill="background2" w:themeFillShade="F2"/>
      </w:tcPr>
    </w:tblStylePr>
    <w:tblStylePr w:type="band1Horz">
      <w:tblPr/>
      <w:tcPr>
        <w:tcBorders>
          <w:left w:val="nil"/>
          <w:right w:val="nil"/>
          <w:insideV w:val="single" w:sz="4" w:space="0" w:color="7F7F7F" w:themeColor="text1" w:themeTint="80"/>
        </w:tcBorders>
      </w:tcPr>
    </w:tblStylePr>
    <w:tblStylePr w:type="band2Horz">
      <w:tblPr/>
      <w:tcPr>
        <w:tcBorders>
          <w:insideV w:val="single" w:sz="4" w:space="0" w:color="7F7F7F" w:themeColor="text1" w:themeTint="80"/>
        </w:tcBorders>
        <w:shd w:val="clear" w:color="auto" w:fill="F2F2F2" w:themeFill="background2" w:themeFillShade="F2"/>
      </w:tcPr>
    </w:tblStylePr>
  </w:style>
  <w:style w:type="paragraph" w:styleId="ListParagraph">
    <w:name w:val="List Paragraph"/>
    <w:basedOn w:val="Normal"/>
    <w:link w:val="ListParagraphChar"/>
    <w:uiPriority w:val="34"/>
    <w:rsid w:val="00F769C6"/>
    <w:pPr>
      <w:ind w:left="720"/>
    </w:pPr>
  </w:style>
  <w:style w:type="numbering" w:customStyle="1" w:styleId="FEabcList">
    <w:name w:val="FE abc List"/>
    <w:uiPriority w:val="99"/>
    <w:rsid w:val="004D1226"/>
    <w:pPr>
      <w:numPr>
        <w:numId w:val="7"/>
      </w:numPr>
    </w:pPr>
  </w:style>
  <w:style w:type="character" w:customStyle="1" w:styleId="NormalNumberedChar">
    <w:name w:val="Normal Numbered Char"/>
    <w:basedOn w:val="DefaultParagraphFont"/>
    <w:link w:val="NormalNumbered"/>
    <w:uiPriority w:val="1"/>
    <w:rsid w:val="008C381E"/>
    <w:rPr>
      <w:sz w:val="24"/>
      <w:lang w:eastAsia="en-US"/>
    </w:rPr>
  </w:style>
  <w:style w:type="paragraph" w:styleId="BodyText">
    <w:name w:val="Body Text"/>
    <w:basedOn w:val="Normal"/>
    <w:link w:val="BodyTextChar"/>
    <w:rsid w:val="00E93245"/>
    <w:pPr>
      <w:spacing w:line="240" w:lineRule="auto"/>
    </w:pPr>
    <w:rPr>
      <w:rFonts w:ascii="Arial" w:hAnsi="Arial" w:cs="Arial"/>
      <w:color w:val="FFFFFF"/>
      <w:sz w:val="18"/>
    </w:rPr>
  </w:style>
  <w:style w:type="character" w:customStyle="1" w:styleId="BodyTextChar">
    <w:name w:val="Body Text Char"/>
    <w:basedOn w:val="DefaultParagraphFont"/>
    <w:link w:val="BodyText"/>
    <w:rsid w:val="00E93245"/>
    <w:rPr>
      <w:rFonts w:ascii="Arial" w:hAnsi="Arial" w:cs="Arial"/>
      <w:color w:val="FFFFFF"/>
      <w:sz w:val="18"/>
      <w:lang w:eastAsia="en-US"/>
    </w:rPr>
  </w:style>
  <w:style w:type="paragraph" w:customStyle="1" w:styleId="Footer1">
    <w:name w:val="Footer 1"/>
    <w:basedOn w:val="Footer"/>
    <w:rsid w:val="00FA334C"/>
    <w:rPr>
      <w:noProof/>
      <w:color w:val="7F7F7F" w:themeColor="text1" w:themeTint="80"/>
      <w:sz w:val="16"/>
    </w:rPr>
  </w:style>
  <w:style w:type="paragraph" w:customStyle="1" w:styleId="FEBullet1">
    <w:name w:val="FE Bullet 1"/>
    <w:basedOn w:val="ListParagraph"/>
    <w:link w:val="FEBullet1Char"/>
    <w:uiPriority w:val="2"/>
    <w:qFormat/>
    <w:rsid w:val="008C381E"/>
    <w:pPr>
      <w:numPr>
        <w:numId w:val="17"/>
      </w:numPr>
    </w:pPr>
  </w:style>
  <w:style w:type="paragraph" w:customStyle="1" w:styleId="FEBullet2">
    <w:name w:val="FE Bullet 2"/>
    <w:basedOn w:val="ListParagraph"/>
    <w:link w:val="FEBullet2Char"/>
    <w:uiPriority w:val="2"/>
    <w:qFormat/>
    <w:rsid w:val="00524320"/>
    <w:pPr>
      <w:numPr>
        <w:numId w:val="9"/>
      </w:numPr>
    </w:pPr>
  </w:style>
  <w:style w:type="character" w:customStyle="1" w:styleId="ListParagraphChar">
    <w:name w:val="List Paragraph Char"/>
    <w:basedOn w:val="DefaultParagraphFont"/>
    <w:link w:val="ListParagraph"/>
    <w:uiPriority w:val="34"/>
    <w:rsid w:val="008C381E"/>
    <w:rPr>
      <w:sz w:val="24"/>
      <w:lang w:eastAsia="en-US"/>
    </w:rPr>
  </w:style>
  <w:style w:type="character" w:customStyle="1" w:styleId="FEBullet1Char">
    <w:name w:val="FE Bullet 1 Char"/>
    <w:basedOn w:val="ListParagraphChar"/>
    <w:link w:val="FEBullet1"/>
    <w:uiPriority w:val="2"/>
    <w:rsid w:val="008C381E"/>
    <w:rPr>
      <w:sz w:val="24"/>
      <w:lang w:eastAsia="en-US"/>
    </w:rPr>
  </w:style>
  <w:style w:type="paragraph" w:customStyle="1" w:styleId="FEBullet3b">
    <w:name w:val="FE Bullet 3b"/>
    <w:basedOn w:val="ListParagraph"/>
    <w:link w:val="FEBullet3bChar"/>
    <w:uiPriority w:val="2"/>
    <w:qFormat/>
    <w:rsid w:val="003255EF"/>
    <w:pPr>
      <w:numPr>
        <w:ilvl w:val="2"/>
        <w:numId w:val="17"/>
      </w:numPr>
    </w:pPr>
  </w:style>
  <w:style w:type="paragraph" w:customStyle="1" w:styleId="FEBullet4">
    <w:name w:val="FE Bullet 4"/>
    <w:basedOn w:val="ListParagraph"/>
    <w:link w:val="FEBullet4Char"/>
    <w:uiPriority w:val="2"/>
    <w:rsid w:val="003255EF"/>
    <w:pPr>
      <w:numPr>
        <w:ilvl w:val="3"/>
        <w:numId w:val="17"/>
      </w:numPr>
    </w:pPr>
  </w:style>
  <w:style w:type="character" w:customStyle="1" w:styleId="FEBullet3bChar">
    <w:name w:val="FE Bullet 3b Char"/>
    <w:basedOn w:val="ListParagraphChar"/>
    <w:link w:val="FEBullet3b"/>
    <w:uiPriority w:val="2"/>
    <w:rsid w:val="003255EF"/>
    <w:rPr>
      <w:sz w:val="24"/>
      <w:lang w:eastAsia="en-US"/>
    </w:rPr>
  </w:style>
  <w:style w:type="character" w:customStyle="1" w:styleId="FEBullet4Char">
    <w:name w:val="FE Bullet 4 Char"/>
    <w:basedOn w:val="ListParagraphChar"/>
    <w:link w:val="FEBullet4"/>
    <w:uiPriority w:val="2"/>
    <w:rsid w:val="003255EF"/>
    <w:rPr>
      <w:sz w:val="24"/>
      <w:lang w:eastAsia="en-US"/>
    </w:rPr>
  </w:style>
  <w:style w:type="character" w:customStyle="1" w:styleId="FEBullet2Char">
    <w:name w:val="FE Bullet 2 Char"/>
    <w:basedOn w:val="ListParagraphChar"/>
    <w:link w:val="FEBullet2"/>
    <w:uiPriority w:val="2"/>
    <w:rsid w:val="00524320"/>
    <w:rPr>
      <w:sz w:val="24"/>
      <w:lang w:eastAsia="en-US"/>
    </w:rPr>
  </w:style>
  <w:style w:type="paragraph" w:customStyle="1" w:styleId="Rubric">
    <w:name w:val="Rubric"/>
    <w:basedOn w:val="Normal"/>
    <w:next w:val="Normal"/>
    <w:rsid w:val="009E6D32"/>
    <w:pPr>
      <w:spacing w:after="240"/>
    </w:pPr>
    <w:rPr>
      <w:i/>
      <w:color w:val="808080"/>
      <w:lang w:val="en-GB"/>
    </w:rPr>
  </w:style>
  <w:style w:type="character" w:customStyle="1" w:styleId="FooterChar">
    <w:name w:val="Footer Char"/>
    <w:basedOn w:val="DefaultParagraphFont"/>
    <w:link w:val="Footer"/>
    <w:rsid w:val="005E04F3"/>
    <w:rPr>
      <w:rFonts w:ascii="Arial" w:hAnsi="Arial" w:cs="Arial"/>
      <w:color w:val="E83F35"/>
      <w:spacing w:val="4"/>
      <w:sz w:val="28"/>
      <w:lang w:eastAsia="en-US"/>
    </w:rPr>
  </w:style>
  <w:style w:type="paragraph" w:customStyle="1" w:styleId="FEBullet3a">
    <w:name w:val="FE Bullet 3a"/>
    <w:basedOn w:val="FEBullet3b"/>
    <w:link w:val="FEBullet3aChar"/>
    <w:uiPriority w:val="2"/>
    <w:qFormat/>
    <w:rsid w:val="00771400"/>
    <w:pPr>
      <w:ind w:left="714" w:hanging="357"/>
    </w:pPr>
  </w:style>
  <w:style w:type="character" w:customStyle="1" w:styleId="FEBullet3aChar">
    <w:name w:val="FE Bullet 3a Char"/>
    <w:basedOn w:val="FEBullet3bChar"/>
    <w:link w:val="FEBullet3a"/>
    <w:uiPriority w:val="2"/>
    <w:rsid w:val="00771400"/>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sites/default/files/Market%20benefits%20of%20Heywood%20upgrade%20-%20Final%20Report.pdf" TargetMode="External"/><Relationship Id="rId2" Type="http://schemas.openxmlformats.org/officeDocument/2006/relationships/hyperlink" Target="http://www.aer.gov.au/sites/default/files/Heywood%20Interconnector%20Upgrade%20RIT-T%20-%20AER%20Information%20request%201%20-%20Attachment%20C.xlsx" TargetMode="External"/><Relationship Id="rId1" Type="http://schemas.openxmlformats.org/officeDocument/2006/relationships/hyperlink" Target="http://www.aer.gov.au/sites/default/files/Heywood%20Interconnector%20Upgrade%20RIT-T%20-%20AER%20Information%20request%201%20-%20Letter%20%28with%20Attachments%20A%20%26%20B%29.pdf" TargetMode="External"/><Relationship Id="rId4" Type="http://schemas.openxmlformats.org/officeDocument/2006/relationships/hyperlink" Target="http://www.nemweb.com.au/REPORTS/ARCHIVE/DispatchIS_Re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jat\AppData\Roaming\Microsoft\Templates\FE%20Note%20New.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1DDAB1DC6B46D3A2A88E155D7316EF"/>
        <w:category>
          <w:name w:val="General"/>
          <w:gallery w:val="placeholder"/>
        </w:category>
        <w:types>
          <w:type w:val="bbPlcHdr"/>
        </w:types>
        <w:behaviors>
          <w:behavior w:val="content"/>
        </w:behaviors>
        <w:guid w:val="{F890D888-3D5F-45E5-A127-2E79BD7A3F06}"/>
      </w:docPartPr>
      <w:docPartBody>
        <w:p w:rsidR="00D931AF" w:rsidRDefault="000B1B95">
          <w:pPr>
            <w:pStyle w:val="7E1DDAB1DC6B46D3A2A88E155D7316EF"/>
          </w:pPr>
          <w:r w:rsidRPr="00AB3EC8">
            <w:rPr>
              <w:rStyle w:val="PlaceholderText"/>
            </w:rPr>
            <w:t>[Title]</w:t>
          </w:r>
        </w:p>
      </w:docPartBody>
    </w:docPart>
    <w:docPart>
      <w:docPartPr>
        <w:name w:val="61E2E09EAB354510B71FEE11EAB1B5C5"/>
        <w:category>
          <w:name w:val="General"/>
          <w:gallery w:val="placeholder"/>
        </w:category>
        <w:types>
          <w:type w:val="bbPlcHdr"/>
        </w:types>
        <w:behaviors>
          <w:behavior w:val="content"/>
        </w:behaviors>
        <w:guid w:val="{1C0A3E31-1916-46B2-9651-9F7CF3D69685}"/>
      </w:docPartPr>
      <w:docPartBody>
        <w:p w:rsidR="00D931AF" w:rsidRDefault="000B1B95">
          <w:pPr>
            <w:pStyle w:val="61E2E09EAB354510B71FEE11EAB1B5C5"/>
          </w:pPr>
          <w:r w:rsidRPr="00FE6A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B1B95"/>
    <w:rsid w:val="000B1B95"/>
    <w:rsid w:val="005C2649"/>
    <w:rsid w:val="005D4826"/>
    <w:rsid w:val="00C5372A"/>
    <w:rsid w:val="00D931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1AF"/>
    <w:rPr>
      <w:color w:val="808080"/>
    </w:rPr>
  </w:style>
  <w:style w:type="paragraph" w:customStyle="1" w:styleId="7E1DDAB1DC6B46D3A2A88E155D7316EF">
    <w:name w:val="7E1DDAB1DC6B46D3A2A88E155D7316EF"/>
    <w:rsid w:val="00D931AF"/>
  </w:style>
  <w:style w:type="paragraph" w:customStyle="1" w:styleId="0CF593D268B84774B05C4D5F5DBD78A5">
    <w:name w:val="0CF593D268B84774B05C4D5F5DBD78A5"/>
    <w:rsid w:val="00D931AF"/>
  </w:style>
  <w:style w:type="paragraph" w:customStyle="1" w:styleId="FDB6918275F24A829E71F834AF63D18A">
    <w:name w:val="FDB6918275F24A829E71F834AF63D18A"/>
    <w:rsid w:val="00D931AF"/>
  </w:style>
  <w:style w:type="paragraph" w:customStyle="1" w:styleId="61E2E09EAB354510B71FEE11EAB1B5C5">
    <w:name w:val="61E2E09EAB354510B71FEE11EAB1B5C5"/>
    <w:rsid w:val="00D931AF"/>
  </w:style>
  <w:style w:type="paragraph" w:customStyle="1" w:styleId="7B5DE612295C483799FE777621B2C960">
    <w:name w:val="7B5DE612295C483799FE777621B2C960"/>
    <w:rsid w:val="00D931AF"/>
  </w:style>
  <w:style w:type="paragraph" w:customStyle="1" w:styleId="074AC89C46784E6FB6A0268B0A043065">
    <w:name w:val="074AC89C46784E6FB6A0268B0A043065"/>
    <w:rsid w:val="00D931AF"/>
  </w:style>
  <w:style w:type="paragraph" w:customStyle="1" w:styleId="CBAC6FCD4045492D80922D6558C55E91">
    <w:name w:val="CBAC6FCD4045492D80922D6558C55E91"/>
    <w:rsid w:val="00D931AF"/>
  </w:style>
  <w:style w:type="paragraph" w:customStyle="1" w:styleId="1C4009773E4E4BB895D8CD50A10039CC">
    <w:name w:val="1C4009773E4E4BB895D8CD50A10039CC"/>
    <w:rsid w:val="00D931AF"/>
  </w:style>
  <w:style w:type="paragraph" w:customStyle="1" w:styleId="A3D9CFABC03C414FA50E31829E7AD150">
    <w:name w:val="A3D9CFABC03C414FA50E31829E7AD150"/>
    <w:rsid w:val="00D931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FE Colours">
      <a:dk1>
        <a:sysClr val="windowText" lastClr="000000"/>
      </a:dk1>
      <a:lt1>
        <a:sysClr val="window" lastClr="FFFFFF"/>
      </a:lt1>
      <a:dk2>
        <a:srgbClr val="E83F35"/>
      </a:dk2>
      <a:lt2>
        <a:srgbClr val="FFFFFF"/>
      </a:lt2>
      <a:accent1>
        <a:srgbClr val="E83F35"/>
      </a:accent1>
      <a:accent2>
        <a:srgbClr val="782327"/>
      </a:accent2>
      <a:accent3>
        <a:srgbClr val="99BFC2"/>
      </a:accent3>
      <a:accent4>
        <a:srgbClr val="156570"/>
      </a:accent4>
      <a:accent5>
        <a:srgbClr val="B4A76C"/>
      </a:accent5>
      <a:accent6>
        <a:srgbClr val="F79646"/>
      </a:accent6>
      <a:hlink>
        <a:srgbClr val="E83F35"/>
      </a:hlink>
      <a:folHlink>
        <a:srgbClr val="E83F35"/>
      </a:folHlink>
    </a:clrScheme>
    <a:fontScheme name="FE Fonts">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7B06-E706-4315-B8BC-A32DA6B8AC4A}">
  <ds:schemaRefs>
    <ds:schemaRef ds:uri="http://schemas.microsoft.com/office/2006/customDocumentInformationPanel"/>
  </ds:schemaRefs>
</ds:datastoreItem>
</file>

<file path=customXml/itemProps2.xml><?xml version="1.0" encoding="utf-8"?>
<ds:datastoreItem xmlns:ds="http://schemas.openxmlformats.org/officeDocument/2006/customXml" ds:itemID="{9D4D3301-0E5D-4C6C-8366-041693C9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 Note New.dotm</Template>
  <TotalTime>1</TotalTime>
  <Pages>5</Pages>
  <Words>1193</Words>
  <Characters>6540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Frontier’s response to AEMO/ElectraNet information release</vt:lpstr>
    </vt:vector>
  </TitlesOfParts>
  <Company>Frontier Economics</Company>
  <LinksUpToDate>false</LinksUpToDate>
  <CharactersWithSpaces>7718</CharactersWithSpaces>
  <SharedDoc>false</SharedDoc>
  <HLinks>
    <vt:vector size="24" baseType="variant">
      <vt:variant>
        <vt:i4>1572924</vt:i4>
      </vt:variant>
      <vt:variant>
        <vt:i4>26</vt:i4>
      </vt:variant>
      <vt:variant>
        <vt:i4>0</vt:i4>
      </vt:variant>
      <vt:variant>
        <vt:i4>5</vt:i4>
      </vt:variant>
      <vt:variant>
        <vt:lpwstr/>
      </vt:variant>
      <vt:variant>
        <vt:lpwstr>_Toc208832556</vt:lpwstr>
      </vt:variant>
      <vt:variant>
        <vt:i4>1572924</vt:i4>
      </vt:variant>
      <vt:variant>
        <vt:i4>20</vt:i4>
      </vt:variant>
      <vt:variant>
        <vt:i4>0</vt:i4>
      </vt:variant>
      <vt:variant>
        <vt:i4>5</vt:i4>
      </vt:variant>
      <vt:variant>
        <vt:lpwstr/>
      </vt:variant>
      <vt:variant>
        <vt:lpwstr>_Toc208832555</vt:lpwstr>
      </vt:variant>
      <vt:variant>
        <vt:i4>1572924</vt:i4>
      </vt:variant>
      <vt:variant>
        <vt:i4>14</vt:i4>
      </vt:variant>
      <vt:variant>
        <vt:i4>0</vt:i4>
      </vt:variant>
      <vt:variant>
        <vt:i4>5</vt:i4>
      </vt:variant>
      <vt:variant>
        <vt:lpwstr/>
      </vt:variant>
      <vt:variant>
        <vt:lpwstr>_Toc208832554</vt:lpwstr>
      </vt:variant>
      <vt:variant>
        <vt:i4>1572924</vt:i4>
      </vt:variant>
      <vt:variant>
        <vt:i4>8</vt:i4>
      </vt:variant>
      <vt:variant>
        <vt:i4>0</vt:i4>
      </vt:variant>
      <vt:variant>
        <vt:i4>5</vt:i4>
      </vt:variant>
      <vt:variant>
        <vt:lpwstr/>
      </vt:variant>
      <vt:variant>
        <vt:lpwstr>_Toc208832553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Frontier’s response to AEMO/ElectraNet information release</dc:title>
  <dc:creator>Frontier Economics</dc:creator>
  <dc:description>Confidential</dc:description>
  <cp:lastModifiedBy>ghuang</cp:lastModifiedBy>
  <cp:revision>2</cp:revision>
  <cp:lastPrinted>2008-09-08T05:18:00Z</cp:lastPrinted>
  <dcterms:created xsi:type="dcterms:W3CDTF">2013-09-05T05:07:00Z</dcterms:created>
  <dcterms:modified xsi:type="dcterms:W3CDTF">2013-09-05T05:07:00Z</dcterms:modified>
  <cp:category>Note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Draft</vt:lpwstr>
  </property>
</Properties>
</file>