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25538598"/>
        <w:docPartObj>
          <w:docPartGallery w:val="Cover Pages"/>
          <w:docPartUnique/>
        </w:docPartObj>
      </w:sdtPr>
      <w:sdtEndPr/>
      <w:sdtContent>
        <w:p w14:paraId="5CB68048" w14:textId="77777777" w:rsidR="00643782" w:rsidRPr="00FA042E" w:rsidRDefault="00643782" w:rsidP="00643782">
          <w:r w:rsidRPr="00643782">
            <w:rPr>
              <w:noProof/>
            </w:rPr>
            <w:drawing>
              <wp:anchor distT="0" distB="0" distL="114300" distR="114300" simplePos="0" relativeHeight="251659264" behindDoc="1" locked="0" layoutInCell="1" allowOverlap="1" wp14:anchorId="7B494045" wp14:editId="4433922C">
                <wp:simplePos x="0" y="0"/>
                <wp:positionH relativeFrom="page">
                  <wp:align>left</wp:align>
                </wp:positionH>
                <wp:positionV relativeFrom="paragraph">
                  <wp:posOffset>-1283335</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14:paraId="60642F3C" w14:textId="77777777" w:rsidR="00643782" w:rsidRPr="00FA042E" w:rsidRDefault="00643782" w:rsidP="00643782"/>
        <w:p w14:paraId="7E74EBE8" w14:textId="77777777" w:rsidR="00643782" w:rsidRPr="00FA042E" w:rsidRDefault="00643782" w:rsidP="00643782"/>
        <w:p w14:paraId="668B1EB0" w14:textId="77777777" w:rsidR="00643782" w:rsidRPr="00FA042E" w:rsidRDefault="00643782" w:rsidP="00643782"/>
        <w:p w14:paraId="02252613" w14:textId="77777777" w:rsidR="00643782" w:rsidRPr="00FA042E" w:rsidRDefault="00643782" w:rsidP="00643782"/>
        <w:p w14:paraId="66325C19" w14:textId="77777777" w:rsidR="00643782" w:rsidRPr="00FA042E" w:rsidRDefault="00643782" w:rsidP="00643782"/>
        <w:p w14:paraId="350429F0" w14:textId="77777777" w:rsidR="00643782" w:rsidRPr="00FA042E" w:rsidRDefault="00643782" w:rsidP="00643782"/>
        <w:p w14:paraId="7BC9BA85" w14:textId="77777777" w:rsidR="00643782" w:rsidRPr="00FA042E" w:rsidRDefault="00643782" w:rsidP="00643782"/>
        <w:p w14:paraId="05057476" w14:textId="77777777" w:rsidR="00643782" w:rsidRPr="00FA042E" w:rsidRDefault="00643782" w:rsidP="00643782"/>
        <w:p w14:paraId="7900CDA4" w14:textId="104A804B" w:rsidR="00643782" w:rsidRPr="00FA042E" w:rsidRDefault="00751AA3" w:rsidP="00643782">
          <w:pPr>
            <w:pStyle w:val="ReportTitle"/>
          </w:pPr>
          <w:r>
            <w:t>Investor Reference Group</w:t>
          </w:r>
        </w:p>
        <w:p w14:paraId="2EDE0956" w14:textId="0446409F" w:rsidR="00643782" w:rsidRPr="00FA042E" w:rsidRDefault="00B86D38" w:rsidP="00643782">
          <w:pPr>
            <w:pStyle w:val="ReportSubtitle"/>
          </w:pPr>
          <w:r>
            <w:t xml:space="preserve">Draft </w:t>
          </w:r>
          <w:r w:rsidR="00751AA3">
            <w:t>Terms of Reference</w:t>
          </w:r>
        </w:p>
        <w:p w14:paraId="1718EC5B" w14:textId="281460D5" w:rsidR="00643782" w:rsidRPr="00FA042E" w:rsidRDefault="00751AA3" w:rsidP="00643782">
          <w:pPr>
            <w:pStyle w:val="ReportDate"/>
          </w:pPr>
          <w:r>
            <w:t>July</w:t>
          </w:r>
          <w:r w:rsidR="00643782">
            <w:t xml:space="preserve"> 2020</w:t>
          </w:r>
        </w:p>
        <w:p w14:paraId="79E7BC11" w14:textId="4C27CDC3" w:rsidR="00643782" w:rsidRDefault="00643782" w:rsidP="00643782">
          <w:r w:rsidRPr="00FA042E">
            <w:br w:type="page"/>
          </w:r>
        </w:p>
      </w:sdtContent>
    </w:sdt>
    <w:p w14:paraId="4A26D335" w14:textId="77777777" w:rsidR="00643782" w:rsidRPr="00643782" w:rsidRDefault="00643782" w:rsidP="00643782">
      <w:pPr>
        <w:pStyle w:val="Heading1"/>
      </w:pPr>
      <w:r>
        <w:lastRenderedPageBreak/>
        <w:t xml:space="preserve">Introduction </w:t>
      </w:r>
    </w:p>
    <w:p w14:paraId="4E817BFC" w14:textId="071D47E1" w:rsidR="00643782" w:rsidRPr="00643782" w:rsidRDefault="00FF42E8" w:rsidP="00643782">
      <w:pPr>
        <w:pStyle w:val="BodyText"/>
      </w:pPr>
      <w:r>
        <w:t xml:space="preserve">These terms of reference set out </w:t>
      </w:r>
      <w:r w:rsidR="003A6519">
        <w:t xml:space="preserve">how the </w:t>
      </w:r>
      <w:r w:rsidR="00805E33">
        <w:t xml:space="preserve">Investor Reference Group (IRG) will contribute to the development of the </w:t>
      </w:r>
      <w:r w:rsidR="003A6519">
        <w:t>Australian Energy Regulator</w:t>
      </w:r>
      <w:r w:rsidR="00805E33">
        <w:t>'s</w:t>
      </w:r>
      <w:r w:rsidR="003A6519">
        <w:t xml:space="preserve"> (AER)</w:t>
      </w:r>
      <w:r>
        <w:t xml:space="preserve"> </w:t>
      </w:r>
      <w:r w:rsidR="00B86D38">
        <w:t>2022 R</w:t>
      </w:r>
      <w:r w:rsidR="00805E33">
        <w:t>ate of return instrument</w:t>
      </w:r>
      <w:r w:rsidR="00B86D38">
        <w:t xml:space="preserve"> (2022 Instrument)</w:t>
      </w:r>
      <w:r w:rsidR="00805E33">
        <w:t>. This includes involvement in the</w:t>
      </w:r>
      <w:r w:rsidR="00B86D38">
        <w:t xml:space="preserve"> main phase of the 2022 rate of return review, </w:t>
      </w:r>
      <w:r w:rsidR="00805E33">
        <w:t xml:space="preserve">from </w:t>
      </w:r>
      <w:r w:rsidR="00DE3063">
        <w:t>mid-</w:t>
      </w:r>
      <w:r w:rsidR="00B86D38">
        <w:t>2021 through to the publication of the new instrument in December 2022. It also includes preparatory activities in advance of the main phase, including the AER's working paper series on rate of return topics and the AER's 2020 review of the regulatory treatment of inflation.</w:t>
      </w:r>
      <w:r>
        <w:t xml:space="preserve"> </w:t>
      </w:r>
    </w:p>
    <w:p w14:paraId="587E4352" w14:textId="43D18B25" w:rsidR="00643782" w:rsidRPr="00643782" w:rsidRDefault="00643782" w:rsidP="00643782">
      <w:pPr>
        <w:pStyle w:val="BodyText"/>
      </w:pPr>
      <w:r>
        <w:t xml:space="preserve">The purpose of the IRG is to allow the </w:t>
      </w:r>
      <w:r w:rsidRPr="00643782">
        <w:t xml:space="preserve">AER to obtain direct and ongoing feedback from </w:t>
      </w:r>
      <w:r w:rsidR="00B86D38">
        <w:t>an investor perspective, in order to inform the AER's decisions on rate of return and inflation and ultimately the 2022 Instrument</w:t>
      </w:r>
      <w:r w:rsidR="002E7B8F">
        <w:t>.</w:t>
      </w:r>
    </w:p>
    <w:p w14:paraId="7EE97348" w14:textId="559C61B4" w:rsidR="00643782" w:rsidRDefault="00643782" w:rsidP="00643782">
      <w:pPr>
        <w:pStyle w:val="BodyText"/>
      </w:pPr>
      <w:r>
        <w:t xml:space="preserve">The IRG </w:t>
      </w:r>
      <w:r w:rsidR="009A7E7A">
        <w:t>forms a stakeholder representative body, focusing on information sharing</w:t>
      </w:r>
      <w:r>
        <w:t xml:space="preserve"> </w:t>
      </w:r>
      <w:r w:rsidR="00751AA3">
        <w:t xml:space="preserve">and presentation </w:t>
      </w:r>
      <w:r>
        <w:t xml:space="preserve">and will not be responsible for any decision-making. </w:t>
      </w:r>
      <w:r w:rsidR="00EC327C">
        <w:t xml:space="preserve">The IRG will provide insights as to the views of </w:t>
      </w:r>
      <w:r w:rsidR="00B86D38">
        <w:t xml:space="preserve">its </w:t>
      </w:r>
      <w:r w:rsidR="00EC327C">
        <w:t>members in the form of meeting minutes, submissions and meetings directly with the AER.</w:t>
      </w:r>
      <w:r w:rsidR="00B86D38">
        <w:t xml:space="preserve"> The IRG may also be involved in meetings with other stakeholder representatives, such as the AER's Consumer Reference Group (CRG) and Retailer Reference Group (RRG).</w:t>
      </w:r>
    </w:p>
    <w:p w14:paraId="24BA2352" w14:textId="303381AF" w:rsidR="00B86D38" w:rsidRPr="00643782" w:rsidRDefault="00B86D38" w:rsidP="00643782">
      <w:pPr>
        <w:pStyle w:val="BodyText"/>
      </w:pPr>
      <w:r>
        <w:t>The AER's high-level timeline for the development of the 2022 Instrument is set out in its Pathway to 2022 position paper, published in May 2020.</w:t>
      </w:r>
      <w:r>
        <w:rPr>
          <w:rStyle w:val="FootnoteReference"/>
        </w:rPr>
        <w:footnoteReference w:id="2"/>
      </w:r>
      <w:r>
        <w:t xml:space="preserve"> This document includes descriptions of the key process steps and notes the important role for the IRG, CRG and RRG.</w:t>
      </w:r>
    </w:p>
    <w:p w14:paraId="5CF890D5" w14:textId="77777777" w:rsidR="00643782" w:rsidRPr="00643782" w:rsidRDefault="00643782" w:rsidP="00643782">
      <w:pPr>
        <w:pStyle w:val="Heading1"/>
      </w:pPr>
      <w:r>
        <w:lastRenderedPageBreak/>
        <w:t>Composition</w:t>
      </w:r>
    </w:p>
    <w:p w14:paraId="1406B4E0" w14:textId="77777777" w:rsidR="00643782" w:rsidRPr="00643782" w:rsidRDefault="00643782" w:rsidP="00052FA9">
      <w:pPr>
        <w:pStyle w:val="Bulletpoint"/>
      </w:pPr>
      <w:r>
        <w:t>The AER is responsible for determining the size and composition of the IRG.</w:t>
      </w:r>
    </w:p>
    <w:p w14:paraId="6055C0FA" w14:textId="00147FDC" w:rsidR="00643782" w:rsidRPr="00643782" w:rsidRDefault="00052FA9" w:rsidP="00052FA9">
      <w:pPr>
        <w:pStyle w:val="Bulletpoint"/>
      </w:pPr>
      <w:r>
        <w:t>The IRG will</w:t>
      </w:r>
      <w:r w:rsidR="00842768">
        <w:t xml:space="preserve"> comprise members</w:t>
      </w:r>
      <w:r w:rsidR="00AB2AF3">
        <w:t xml:space="preserve"> from </w:t>
      </w:r>
      <w:r w:rsidR="006421E7">
        <w:t xml:space="preserve">a </w:t>
      </w:r>
      <w:r w:rsidR="00AB2AF3">
        <w:t>range</w:t>
      </w:r>
      <w:r w:rsidR="006421E7">
        <w:t xml:space="preserve"> of c</w:t>
      </w:r>
      <w:r w:rsidR="00842768">
        <w:t>ompanies and investing entities, who will put forward representatives to attend</w:t>
      </w:r>
      <w:r w:rsidR="00B86D38">
        <w:t>.</w:t>
      </w:r>
      <w:r w:rsidR="00842768">
        <w:t xml:space="preserve"> </w:t>
      </w:r>
    </w:p>
    <w:p w14:paraId="77F85CCB" w14:textId="062EF804" w:rsidR="00DE3063" w:rsidRDefault="00643782" w:rsidP="00052FA9">
      <w:pPr>
        <w:pStyle w:val="Bulletpoint"/>
      </w:pPr>
      <w:r>
        <w:t xml:space="preserve">The AER will </w:t>
      </w:r>
      <w:r w:rsidR="006421E7">
        <w:t xml:space="preserve">periodically </w:t>
      </w:r>
      <w:r>
        <w:t xml:space="preserve">review the </w:t>
      </w:r>
      <w:r w:rsidR="006421E7">
        <w:t xml:space="preserve">relevant </w:t>
      </w:r>
      <w:r>
        <w:t xml:space="preserve">skills, experience, expertise and diversity represented by the </w:t>
      </w:r>
      <w:r w:rsidR="006421E7">
        <w:t xml:space="preserve">members to ensure that they aid the </w:t>
      </w:r>
      <w:r w:rsidR="00842768">
        <w:t>group</w:t>
      </w:r>
      <w:r w:rsidR="00573850">
        <w:t>.</w:t>
      </w:r>
    </w:p>
    <w:p w14:paraId="54D91B39" w14:textId="3489CE89" w:rsidR="00643782" w:rsidRPr="00643782" w:rsidRDefault="00DE3063" w:rsidP="0063516E">
      <w:pPr>
        <w:pStyle w:val="Bulletpoint"/>
      </w:pPr>
      <w:r>
        <w:t xml:space="preserve">The AER expects that </w:t>
      </w:r>
      <w:r w:rsidR="00842768">
        <w:t xml:space="preserve">there </w:t>
      </w:r>
      <w:r>
        <w:t xml:space="preserve">will </w:t>
      </w:r>
      <w:r w:rsidR="00842768">
        <w:t xml:space="preserve">not </w:t>
      </w:r>
      <w:r>
        <w:t xml:space="preserve">be </w:t>
      </w:r>
      <w:r w:rsidR="00842768">
        <w:t>more than one representative from the same member company</w:t>
      </w:r>
      <w:r>
        <w:t xml:space="preserve"> on the IRG</w:t>
      </w:r>
      <w:r w:rsidR="00842768">
        <w:t>.</w:t>
      </w:r>
      <w:r>
        <w:t xml:space="preserve"> However, companies </w:t>
      </w:r>
      <w:r w:rsidR="00B65B6F">
        <w:t>may nominate a secondary representative in the event the primary representative cannot attend meetings.</w:t>
      </w:r>
      <w:r w:rsidR="00842768">
        <w:t xml:space="preserve"> </w:t>
      </w:r>
      <w:r w:rsidR="006421E7">
        <w:t xml:space="preserve"> </w:t>
      </w:r>
      <w:r w:rsidR="00643782" w:rsidRPr="00643782">
        <w:t xml:space="preserve"> </w:t>
      </w:r>
    </w:p>
    <w:p w14:paraId="27F642D5" w14:textId="6077889A" w:rsidR="00643782" w:rsidRDefault="00643782" w:rsidP="00052FA9">
      <w:pPr>
        <w:pStyle w:val="Bulletpoint"/>
      </w:pPr>
      <w:r>
        <w:t xml:space="preserve">At any time, without notice or cause, the AER may </w:t>
      </w:r>
      <w:r w:rsidRPr="00643782">
        <w:t xml:space="preserve">invite additional </w:t>
      </w:r>
      <w:r w:rsidR="00B86D38">
        <w:t>m</w:t>
      </w:r>
      <w:r w:rsidRPr="00643782">
        <w:t xml:space="preserve">embers to join the IRG or terminate existing </w:t>
      </w:r>
      <w:r w:rsidR="00B86D38">
        <w:t>m</w:t>
      </w:r>
      <w:r w:rsidRPr="00643782">
        <w:t xml:space="preserve">embers. </w:t>
      </w:r>
    </w:p>
    <w:p w14:paraId="6C718B45" w14:textId="5ED9D799" w:rsidR="00B65B6F" w:rsidRDefault="00B65B6F" w:rsidP="00052FA9">
      <w:pPr>
        <w:pStyle w:val="Bulletpoint"/>
      </w:pPr>
      <w:r>
        <w:t>Re-nomination of representatives from members will need prior approval of the AER.</w:t>
      </w:r>
    </w:p>
    <w:p w14:paraId="6630DE86" w14:textId="03BB3399" w:rsidR="00DE3063" w:rsidRPr="00643782" w:rsidRDefault="00DE3063" w:rsidP="00052FA9">
      <w:pPr>
        <w:pStyle w:val="Bulletpoint"/>
      </w:pPr>
      <w:r>
        <w:t>The AER will publish a list of IRG members on its website.</w:t>
      </w:r>
    </w:p>
    <w:p w14:paraId="70C9CE86" w14:textId="77777777" w:rsidR="00643782" w:rsidRPr="00643782" w:rsidRDefault="00643782" w:rsidP="00643782">
      <w:pPr>
        <w:pStyle w:val="Heading1"/>
      </w:pPr>
      <w:r>
        <w:t xml:space="preserve">Process </w:t>
      </w:r>
    </w:p>
    <w:p w14:paraId="0904F095" w14:textId="77777777" w:rsidR="00643782" w:rsidRPr="00643782" w:rsidRDefault="00643782" w:rsidP="00643782">
      <w:pPr>
        <w:pStyle w:val="Heading2"/>
      </w:pPr>
      <w:r>
        <w:t xml:space="preserve">Meetings </w:t>
      </w:r>
    </w:p>
    <w:p w14:paraId="6D0631F0" w14:textId="358BE1B6" w:rsidR="002F1DCF" w:rsidRDefault="00643782" w:rsidP="00E97215">
      <w:pPr>
        <w:pStyle w:val="Bulletpoint"/>
      </w:pPr>
      <w:r>
        <w:t xml:space="preserve">The AER </w:t>
      </w:r>
      <w:r w:rsidR="002F1DCF">
        <w:t xml:space="preserve">will host </w:t>
      </w:r>
      <w:r w:rsidR="00DE3063">
        <w:t>periodic</w:t>
      </w:r>
      <w:r w:rsidR="002F1DCF">
        <w:t xml:space="preserve"> meetings between the AER and the IRG </w:t>
      </w:r>
      <w:r w:rsidR="002F1DCF" w:rsidRPr="002F1DCF">
        <w:t>(including through provision of teleconference facilities, as appropriate)</w:t>
      </w:r>
      <w:r w:rsidR="002F1DCF">
        <w:t>.</w:t>
      </w:r>
    </w:p>
    <w:p w14:paraId="7311CA80" w14:textId="78A307A6" w:rsidR="002F1DCF" w:rsidRPr="002F1DCF" w:rsidRDefault="002F1DCF" w:rsidP="00E97215">
      <w:pPr>
        <w:pStyle w:val="Bulletpoint"/>
      </w:pPr>
      <w:r w:rsidRPr="002F1DCF">
        <w:t xml:space="preserve">The AER-IRG meetings will be at intervals determined by the AER. </w:t>
      </w:r>
      <w:r>
        <w:t xml:space="preserve">The broad expectation is that there </w:t>
      </w:r>
      <w:r w:rsidRPr="002F1DCF">
        <w:t xml:space="preserve">will </w:t>
      </w:r>
      <w:r>
        <w:t xml:space="preserve">be monthly AER-IRG meetings </w:t>
      </w:r>
      <w:r w:rsidRPr="002F1DCF">
        <w:t>during the main phase of the 2022 re</w:t>
      </w:r>
      <w:r>
        <w:t>v</w:t>
      </w:r>
      <w:r w:rsidRPr="002F1DCF">
        <w:t>i</w:t>
      </w:r>
      <w:r>
        <w:t>e</w:t>
      </w:r>
      <w:r w:rsidRPr="002F1DCF">
        <w:t>w.</w:t>
      </w:r>
      <w:r w:rsidR="00DE3063">
        <w:t xml:space="preserve"> These meetings will be less frequent in quieter periods.</w:t>
      </w:r>
    </w:p>
    <w:p w14:paraId="1D8E2806" w14:textId="64C0630B" w:rsidR="00643782" w:rsidRPr="00643782" w:rsidRDefault="002F1DCF" w:rsidP="00E97215">
      <w:pPr>
        <w:pStyle w:val="Bulletpoint"/>
      </w:pPr>
      <w:r>
        <w:t xml:space="preserve">The AER </w:t>
      </w:r>
      <w:r w:rsidR="00BE0AA3">
        <w:t>will</w:t>
      </w:r>
      <w:r w:rsidR="00643782">
        <w:t xml:space="preserve"> provide reasonable notice to Members detailing the time, date</w:t>
      </w:r>
      <w:r w:rsidR="00BE0AA3">
        <w:t xml:space="preserve"> and location </w:t>
      </w:r>
      <w:r>
        <w:t xml:space="preserve">(or dial-in details) </w:t>
      </w:r>
      <w:r w:rsidR="00BE0AA3">
        <w:t>of</w:t>
      </w:r>
      <w:r>
        <w:t xml:space="preserve"> these meetings</w:t>
      </w:r>
      <w:r w:rsidR="00643782">
        <w:t xml:space="preserve">. </w:t>
      </w:r>
    </w:p>
    <w:p w14:paraId="71A221E1" w14:textId="7962646A" w:rsidR="00643782" w:rsidRPr="00643782" w:rsidRDefault="00643782" w:rsidP="00E97215">
      <w:pPr>
        <w:pStyle w:val="Bulletpoint"/>
      </w:pPr>
      <w:r w:rsidRPr="00643782">
        <w:t xml:space="preserve">Representatives will use reasonable endeavours to attend IRG meetings </w:t>
      </w:r>
      <w:r w:rsidR="002F1DCF">
        <w:t>(including online attendance, as appropriate)</w:t>
      </w:r>
      <w:r w:rsidR="00DE3063">
        <w:t xml:space="preserve"> and maintain a reasonable level of attendance across time</w:t>
      </w:r>
      <w:r w:rsidRPr="00643782">
        <w:t xml:space="preserve">. </w:t>
      </w:r>
    </w:p>
    <w:p w14:paraId="24223983" w14:textId="77777777" w:rsidR="00643782" w:rsidRPr="00643782" w:rsidRDefault="00643782" w:rsidP="00643782">
      <w:pPr>
        <w:pStyle w:val="Heading2"/>
      </w:pPr>
      <w:r>
        <w:t>Reporting</w:t>
      </w:r>
      <w:bookmarkStart w:id="0" w:name="_GoBack"/>
      <w:bookmarkEnd w:id="0"/>
    </w:p>
    <w:p w14:paraId="3E15172E" w14:textId="788B0426" w:rsidR="00643782" w:rsidRDefault="003A6519" w:rsidP="00643782">
      <w:pPr>
        <w:pStyle w:val="Bulletpoint"/>
      </w:pPr>
      <w:r>
        <w:t>Any formal communication between the IRG and the AER will be detailed on the AER's website to maintain transparency.</w:t>
      </w:r>
    </w:p>
    <w:p w14:paraId="3EB35874" w14:textId="1F87EE94" w:rsidR="00DE3063" w:rsidRDefault="003A6519" w:rsidP="007C44BF">
      <w:pPr>
        <w:pStyle w:val="Bulletpoint"/>
      </w:pPr>
      <w:r>
        <w:t xml:space="preserve">All meetings should have </w:t>
      </w:r>
      <w:r w:rsidR="00DE3063">
        <w:t xml:space="preserve">a meeting record </w:t>
      </w:r>
      <w:r>
        <w:t>taken to be placed on the AER website.</w:t>
      </w:r>
      <w:r w:rsidR="00AB2AF3">
        <w:t xml:space="preserve"> AER staff will prepare the record of each meeting.</w:t>
      </w:r>
    </w:p>
    <w:p w14:paraId="0344B611" w14:textId="08BE941F" w:rsidR="002F1DCF" w:rsidRDefault="00DE3063" w:rsidP="00E97215">
      <w:pPr>
        <w:pStyle w:val="Bulletpoint"/>
      </w:pPr>
      <w:r>
        <w:t xml:space="preserve">As a public record, confidential or sensitive information should not be included in these meeting notes. </w:t>
      </w:r>
    </w:p>
    <w:p w14:paraId="1126C77B" w14:textId="6F9EE945" w:rsidR="00E2359E" w:rsidRDefault="002D11EA" w:rsidP="002D11EA">
      <w:pPr>
        <w:pStyle w:val="Heading2"/>
      </w:pPr>
      <w:r>
        <w:t>Submissions</w:t>
      </w:r>
    </w:p>
    <w:p w14:paraId="3E67DED3" w14:textId="08452CC5" w:rsidR="002D11EA" w:rsidRDefault="00CB279E" w:rsidP="002D11EA">
      <w:pPr>
        <w:pStyle w:val="Bulletpoint"/>
        <w:rPr>
          <w:lang w:eastAsia="en-US"/>
        </w:rPr>
      </w:pPr>
      <w:r>
        <w:t xml:space="preserve">The IRG </w:t>
      </w:r>
      <w:r w:rsidR="00AB2AF3">
        <w:t xml:space="preserve">is </w:t>
      </w:r>
      <w:r>
        <w:t>invited by the AER to submit on any of the Path</w:t>
      </w:r>
      <w:r w:rsidR="00DE3063">
        <w:t>way</w:t>
      </w:r>
      <w:r>
        <w:t xml:space="preserve"> to 2022 working papers</w:t>
      </w:r>
      <w:r w:rsidR="00DE3063">
        <w:t xml:space="preserve">; the 2020 inflation review; </w:t>
      </w:r>
      <w:r>
        <w:t xml:space="preserve">and any relevant section of the 2022 Instrument </w:t>
      </w:r>
      <w:r w:rsidR="00DE3063">
        <w:t>r</w:t>
      </w:r>
      <w:r>
        <w:t>eview.</w:t>
      </w:r>
    </w:p>
    <w:p w14:paraId="6AA4E6AD" w14:textId="57F6A961" w:rsidR="00CB279E" w:rsidRDefault="00CB279E" w:rsidP="002D11EA">
      <w:pPr>
        <w:pStyle w:val="Bulletpoint"/>
        <w:rPr>
          <w:lang w:eastAsia="en-US"/>
        </w:rPr>
      </w:pPr>
      <w:r>
        <w:t>The IRG should follow relevant instructions on submissions regarding deadlines and where submissions should be sent</w:t>
      </w:r>
      <w:r w:rsidR="00DE3063">
        <w:t>.</w:t>
      </w:r>
    </w:p>
    <w:p w14:paraId="51F1E180" w14:textId="60D34227" w:rsidR="00EC327C" w:rsidRDefault="00EC327C" w:rsidP="002D11EA">
      <w:pPr>
        <w:pStyle w:val="Bulletpoint"/>
        <w:rPr>
          <w:lang w:eastAsia="en-US"/>
        </w:rPr>
      </w:pPr>
      <w:r>
        <w:t xml:space="preserve">The submissions should represent the views of the membership as closely as possible. Views should not be misrepresented. </w:t>
      </w:r>
    </w:p>
    <w:p w14:paraId="200EF63C" w14:textId="239DC20A" w:rsidR="00CB279E" w:rsidRPr="002D11EA" w:rsidRDefault="00751AA3" w:rsidP="002D11EA">
      <w:pPr>
        <w:pStyle w:val="Bulletpoint"/>
        <w:rPr>
          <w:lang w:eastAsia="en-US"/>
        </w:rPr>
      </w:pPr>
      <w:r>
        <w:t>Any questions and responses between the IRG and AER relevant to the submissions will be made public prior to the submission deadline</w:t>
      </w:r>
      <w:r w:rsidR="00AB2AF3">
        <w:t>.</w:t>
      </w:r>
    </w:p>
    <w:p w14:paraId="64827181" w14:textId="77777777" w:rsidR="00643782" w:rsidRPr="00BF3F4F" w:rsidRDefault="00643782" w:rsidP="00643782">
      <w:pPr>
        <w:pStyle w:val="BodyText"/>
      </w:pPr>
    </w:p>
    <w:p w14:paraId="3948E943" w14:textId="77777777" w:rsidR="002C18D5" w:rsidRPr="00643782" w:rsidRDefault="002C18D5" w:rsidP="00643782"/>
    <w:sectPr w:rsidR="002C18D5" w:rsidRPr="00643782" w:rsidSect="00E137FB">
      <w:footerReference w:type="even" r:id="rId10"/>
      <w:footerReference w:type="default" r:id="rId11"/>
      <w:footerReference w:type="first" r:id="rId12"/>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28C87" w14:textId="77777777" w:rsidR="000213E1" w:rsidRDefault="000213E1" w:rsidP="004B4412">
      <w:r>
        <w:separator/>
      </w:r>
    </w:p>
    <w:p w14:paraId="7BB604CF" w14:textId="77777777" w:rsidR="000213E1" w:rsidRDefault="000213E1"/>
    <w:p w14:paraId="10E37D60" w14:textId="77777777" w:rsidR="000213E1" w:rsidRDefault="000213E1"/>
  </w:endnote>
  <w:endnote w:type="continuationSeparator" w:id="0">
    <w:p w14:paraId="747CD5F2" w14:textId="77777777" w:rsidR="000213E1" w:rsidRDefault="000213E1" w:rsidP="004B4412">
      <w:r>
        <w:continuationSeparator/>
      </w:r>
    </w:p>
    <w:p w14:paraId="7428AD5C" w14:textId="77777777" w:rsidR="000213E1" w:rsidRDefault="000213E1"/>
    <w:p w14:paraId="578F8A59" w14:textId="77777777" w:rsidR="000213E1" w:rsidRDefault="00021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F96F1" w14:textId="77777777" w:rsidR="000213E1" w:rsidRPr="00A91A9E" w:rsidRDefault="000213E1" w:rsidP="009547F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14:paraId="675E9C80" w14:textId="77777777" w:rsidR="000213E1" w:rsidRDefault="000213E1"/>
  <w:p w14:paraId="33A6CB91" w14:textId="77777777" w:rsidR="000213E1" w:rsidRDefault="000213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9A4A" w14:textId="1B171A2C" w:rsidR="000213E1" w:rsidRDefault="00AB2AF3" w:rsidP="00CC7F1D">
    <w:pPr>
      <w:pStyle w:val="Footer"/>
      <w:tabs>
        <w:tab w:val="clear" w:pos="9026"/>
        <w:tab w:val="right" w:pos="8505"/>
      </w:tabs>
    </w:pPr>
    <w:fldSimple w:instr=" STYLEREF  &quot;Report Title&quot;  \* MERGEFORMAT ">
      <w:r w:rsidR="00E97215" w:rsidRPr="00E97215">
        <w:rPr>
          <w:b/>
          <w:bCs/>
          <w:noProof/>
          <w:lang w:val="en-US"/>
        </w:rPr>
        <w:t>Investor Reference</w:t>
      </w:r>
      <w:r w:rsidR="00E97215">
        <w:rPr>
          <w:noProof/>
        </w:rPr>
        <w:t xml:space="preserve"> Group</w:t>
      </w:r>
    </w:fldSimple>
    <w:r w:rsidR="000213E1">
      <w:t xml:space="preserve"> | </w:t>
    </w:r>
    <w:r w:rsidR="00B86D38">
      <w:t>Draft Terms of reference</w:t>
    </w:r>
    <w:r w:rsidR="000213E1">
      <w:t xml:space="preserve"> | </w:t>
    </w:r>
    <w:r w:rsidR="00B86D38">
      <w:t xml:space="preserve">July </w:t>
    </w:r>
    <w:r w:rsidR="000213E1">
      <w:t>2020</w:t>
    </w:r>
    <w:r w:rsidR="000213E1">
      <w:tab/>
    </w:r>
    <w:r w:rsidR="000213E1">
      <w:fldChar w:fldCharType="begin"/>
    </w:r>
    <w:r w:rsidR="000213E1">
      <w:instrText xml:space="preserve"> PAGE   \* MERGEFORMAT </w:instrText>
    </w:r>
    <w:r w:rsidR="000213E1">
      <w:fldChar w:fldCharType="separate"/>
    </w:r>
    <w:r w:rsidR="00E97215">
      <w:rPr>
        <w:noProof/>
      </w:rPr>
      <w:t>4</w:t>
    </w:r>
    <w:r w:rsidR="000213E1">
      <w:rPr>
        <w:noProof/>
      </w:rPr>
      <w:fldChar w:fldCharType="end"/>
    </w:r>
  </w:p>
  <w:p w14:paraId="4B70D828" w14:textId="77777777" w:rsidR="000213E1" w:rsidRDefault="000213E1"/>
  <w:p w14:paraId="4321571D" w14:textId="77777777" w:rsidR="000213E1" w:rsidRDefault="000213E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504A0" w14:textId="48535BC2" w:rsidR="000213E1" w:rsidRDefault="00AB2AF3" w:rsidP="00CC7F1D">
    <w:pPr>
      <w:pStyle w:val="Footer"/>
      <w:tabs>
        <w:tab w:val="clear" w:pos="9026"/>
        <w:tab w:val="right" w:pos="8505"/>
      </w:tabs>
    </w:pPr>
    <w:fldSimple w:instr=" STYLEREF  &quot;Report Title&quot;  \* MERGEFORMAT ">
      <w:r w:rsidR="00573850">
        <w:rPr>
          <w:noProof/>
        </w:rPr>
        <w:t>Investor Reference Group</w:t>
      </w:r>
    </w:fldSimple>
    <w:r w:rsidR="000213E1">
      <w:t xml:space="preserve"> | Draft working paper | June 2020</w:t>
    </w:r>
    <w:r w:rsidR="000213E1">
      <w:tab/>
    </w:r>
    <w:r w:rsidR="000213E1">
      <w:fldChar w:fldCharType="begin"/>
    </w:r>
    <w:r w:rsidR="000213E1">
      <w:instrText xml:space="preserve"> PAGE   \* MERGEFORMAT </w:instrText>
    </w:r>
    <w:r w:rsidR="000213E1">
      <w:fldChar w:fldCharType="separate"/>
    </w:r>
    <w:r w:rsidR="00573850">
      <w:rPr>
        <w:noProof/>
      </w:rPr>
      <w:t>1</w:t>
    </w:r>
    <w:r w:rsidR="000213E1">
      <w:fldChar w:fldCharType="end"/>
    </w:r>
  </w:p>
  <w:p w14:paraId="07BF37C9" w14:textId="77777777" w:rsidR="000213E1" w:rsidRDefault="000213E1">
    <w:pPr>
      <w:pStyle w:val="Footer"/>
    </w:pPr>
  </w:p>
  <w:p w14:paraId="4DCBBC56" w14:textId="77777777" w:rsidR="000213E1" w:rsidRDefault="000213E1"/>
  <w:p w14:paraId="1C05106D" w14:textId="77777777" w:rsidR="000213E1" w:rsidRDefault="000213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D3DC9" w14:textId="77777777" w:rsidR="000213E1" w:rsidRDefault="000213E1" w:rsidP="00182906">
      <w:r>
        <w:separator/>
      </w:r>
    </w:p>
  </w:footnote>
  <w:footnote w:type="continuationSeparator" w:id="0">
    <w:p w14:paraId="242A5599" w14:textId="77777777" w:rsidR="000213E1" w:rsidRDefault="000213E1" w:rsidP="00182906">
      <w:r>
        <w:continuationSeparator/>
      </w:r>
    </w:p>
  </w:footnote>
  <w:footnote w:type="continuationNotice" w:id="1">
    <w:p w14:paraId="54796D60" w14:textId="77777777" w:rsidR="000213E1" w:rsidRDefault="000213E1"/>
  </w:footnote>
  <w:footnote w:id="2">
    <w:p w14:paraId="20AE19D5" w14:textId="748337B0" w:rsidR="00B86D38" w:rsidRDefault="00B86D38">
      <w:pPr>
        <w:pStyle w:val="FootnoteText"/>
      </w:pPr>
      <w:r>
        <w:rPr>
          <w:rStyle w:val="FootnoteReference"/>
        </w:rPr>
        <w:footnoteRef/>
      </w:r>
      <w:r>
        <w:t xml:space="preserve"> </w:t>
      </w:r>
      <w:r>
        <w:tab/>
        <w:t xml:space="preserve">AER, </w:t>
      </w:r>
      <w:r w:rsidRPr="00573850">
        <w:rPr>
          <w:rStyle w:val="Emphasis"/>
        </w:rPr>
        <w:t>Pathway to the 2022 rate of return instrument, Position paper</w:t>
      </w:r>
      <w:r>
        <w:t xml:space="preserve">, May 2020. Available at </w:t>
      </w:r>
      <w:hyperlink r:id="rId1" w:history="1">
        <w:r w:rsidRPr="00B86D38">
          <w:t>https://www.aer.gov.au/publications/guidelines-schemes-models/rate-of-return-instrument-2022/preparation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15:restartNumberingAfterBreak="0">
    <w:nsid w:val="FFFFFF7F"/>
    <w:multiLevelType w:val="singleLevel"/>
    <w:tmpl w:val="C9043968"/>
    <w:lvl w:ilvl="0">
      <w:start w:val="1"/>
      <w:numFmt w:val="decimal"/>
      <w:pStyle w:val="ListNumber2"/>
      <w:lvlText w:val="%1."/>
      <w:lvlJc w:val="left"/>
      <w:pPr>
        <w:ind w:left="700" w:hanging="360"/>
      </w:p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15:restartNumberingAfterBreak="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851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89909CC"/>
    <w:multiLevelType w:val="hybridMultilevel"/>
    <w:tmpl w:val="473897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0DD2542B"/>
    <w:multiLevelType w:val="hybridMultilevel"/>
    <w:tmpl w:val="B456B974"/>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15:restartNumberingAfterBreak="0">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49693F"/>
    <w:multiLevelType w:val="hybridMultilevel"/>
    <w:tmpl w:val="DD686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805994"/>
    <w:multiLevelType w:val="hybridMultilevel"/>
    <w:tmpl w:val="B21C6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284407"/>
    <w:multiLevelType w:val="multilevel"/>
    <w:tmpl w:val="8D126B30"/>
    <w:name w:val="w10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701" w:hanging="850"/>
      </w:pPr>
      <w:rPr>
        <w:rFonts w:hint="default"/>
      </w:rPr>
    </w:lvl>
    <w:lvl w:ilvl="3">
      <w:start w:val="1"/>
      <w:numFmt w:val="decimal"/>
      <w:lvlText w:val="(%4)"/>
      <w:lvlJc w:val="left"/>
      <w:pPr>
        <w:tabs>
          <w:tab w:val="num" w:pos="1701"/>
        </w:tabs>
        <w:ind w:left="2552" w:hanging="851"/>
      </w:pPr>
      <w:rPr>
        <w:rFonts w:hint="default"/>
      </w:rPr>
    </w:lvl>
    <w:lvl w:ilvl="4">
      <w:start w:val="1"/>
      <w:numFmt w:val="upperLetter"/>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15:restartNumberingAfterBreak="0">
    <w:nsid w:val="38A609F6"/>
    <w:multiLevelType w:val="hybridMultilevel"/>
    <w:tmpl w:val="3D22C3D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6" w15:restartNumberingAfterBreak="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3C0F28"/>
    <w:multiLevelType w:val="hybridMultilevel"/>
    <w:tmpl w:val="2BFE1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15:restartNumberingAfterBreak="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4"/>
  </w:num>
  <w:num w:numId="14">
    <w:abstractNumId w:val="14"/>
  </w:num>
  <w:num w:numId="15">
    <w:abstractNumId w:val="18"/>
  </w:num>
  <w:num w:numId="16">
    <w:abstractNumId w:val="27"/>
  </w:num>
  <w:num w:numId="17">
    <w:abstractNumId w:val="13"/>
  </w:num>
  <w:num w:numId="18">
    <w:abstractNumId w:val="22"/>
  </w:num>
  <w:num w:numId="19">
    <w:abstractNumId w:val="12"/>
  </w:num>
  <w:num w:numId="20">
    <w:abstractNumId w:val="28"/>
  </w:num>
  <w:num w:numId="21">
    <w:abstractNumId w:val="33"/>
  </w:num>
  <w:num w:numId="22">
    <w:abstractNumId w:val="19"/>
  </w:num>
  <w:num w:numId="23">
    <w:abstractNumId w:val="2"/>
    <w:lvlOverride w:ilvl="0">
      <w:startOverride w:val="1"/>
    </w:lvlOverride>
  </w:num>
  <w:num w:numId="24">
    <w:abstractNumId w:val="22"/>
    <w:lvlOverride w:ilvl="0">
      <w:startOverride w:val="1"/>
    </w:lvlOverride>
  </w:num>
  <w:num w:numId="25">
    <w:abstractNumId w:val="31"/>
  </w:num>
  <w:num w:numId="26">
    <w:abstractNumId w:val="26"/>
  </w:num>
  <w:num w:numId="27">
    <w:abstractNumId w:val="9"/>
  </w:num>
  <w:num w:numId="28">
    <w:abstractNumId w:val="16"/>
  </w:num>
  <w:num w:numId="29">
    <w:abstractNumId w:val="10"/>
  </w:num>
  <w:num w:numId="30">
    <w:abstractNumId w:val="30"/>
  </w:num>
  <w:num w:numId="31">
    <w:abstractNumId w:val="25"/>
  </w:num>
  <w:num w:numId="32">
    <w:abstractNumId w:val="11"/>
  </w:num>
  <w:num w:numId="33">
    <w:abstractNumId w:val="17"/>
  </w:num>
  <w:num w:numId="34">
    <w:abstractNumId w:val="29"/>
  </w:num>
  <w:num w:numId="35">
    <w:abstractNumId w:val="20"/>
  </w:num>
  <w:num w:numId="36">
    <w:abstractNumId w:val="2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Document1"/>
  </w:docVars>
  <w:rsids>
    <w:rsidRoot w:val="004766B9"/>
    <w:rsid w:val="00002E2C"/>
    <w:rsid w:val="000033E3"/>
    <w:rsid w:val="000068B1"/>
    <w:rsid w:val="000068F5"/>
    <w:rsid w:val="000075CC"/>
    <w:rsid w:val="00017EE7"/>
    <w:rsid w:val="00020A42"/>
    <w:rsid w:val="00020F46"/>
    <w:rsid w:val="00021202"/>
    <w:rsid w:val="000213E1"/>
    <w:rsid w:val="000232BF"/>
    <w:rsid w:val="0002517F"/>
    <w:rsid w:val="00025EF6"/>
    <w:rsid w:val="00032F18"/>
    <w:rsid w:val="0003578C"/>
    <w:rsid w:val="00045FF7"/>
    <w:rsid w:val="00050A94"/>
    <w:rsid w:val="00051FC4"/>
    <w:rsid w:val="00052761"/>
    <w:rsid w:val="00052FA9"/>
    <w:rsid w:val="000548BA"/>
    <w:rsid w:val="00063247"/>
    <w:rsid w:val="00070F9F"/>
    <w:rsid w:val="0007137B"/>
    <w:rsid w:val="00074341"/>
    <w:rsid w:val="000765A8"/>
    <w:rsid w:val="000777F1"/>
    <w:rsid w:val="00080C8B"/>
    <w:rsid w:val="00083C41"/>
    <w:rsid w:val="00083C7B"/>
    <w:rsid w:val="00083D37"/>
    <w:rsid w:val="00084F0F"/>
    <w:rsid w:val="00085663"/>
    <w:rsid w:val="00085EBF"/>
    <w:rsid w:val="00090A38"/>
    <w:rsid w:val="0009393F"/>
    <w:rsid w:val="000947CE"/>
    <w:rsid w:val="00096450"/>
    <w:rsid w:val="00096C01"/>
    <w:rsid w:val="000A1210"/>
    <w:rsid w:val="000A6930"/>
    <w:rsid w:val="000A6C7B"/>
    <w:rsid w:val="000A7F1B"/>
    <w:rsid w:val="000B0A99"/>
    <w:rsid w:val="000B303E"/>
    <w:rsid w:val="000B392A"/>
    <w:rsid w:val="000B44C6"/>
    <w:rsid w:val="000D122C"/>
    <w:rsid w:val="000D53D4"/>
    <w:rsid w:val="000E1819"/>
    <w:rsid w:val="000E6C72"/>
    <w:rsid w:val="000E74EC"/>
    <w:rsid w:val="000E760A"/>
    <w:rsid w:val="000F19B8"/>
    <w:rsid w:val="000F383F"/>
    <w:rsid w:val="000F443E"/>
    <w:rsid w:val="000F55D9"/>
    <w:rsid w:val="00104AF7"/>
    <w:rsid w:val="00106A4E"/>
    <w:rsid w:val="00107CC7"/>
    <w:rsid w:val="00112878"/>
    <w:rsid w:val="001148C6"/>
    <w:rsid w:val="00116EB2"/>
    <w:rsid w:val="00124609"/>
    <w:rsid w:val="0012467E"/>
    <w:rsid w:val="0013025D"/>
    <w:rsid w:val="00130C3C"/>
    <w:rsid w:val="001360BC"/>
    <w:rsid w:val="001411A7"/>
    <w:rsid w:val="00143A6C"/>
    <w:rsid w:val="0014484F"/>
    <w:rsid w:val="0014573B"/>
    <w:rsid w:val="00151A49"/>
    <w:rsid w:val="001521AC"/>
    <w:rsid w:val="001524C5"/>
    <w:rsid w:val="00152746"/>
    <w:rsid w:val="00155E06"/>
    <w:rsid w:val="001573E4"/>
    <w:rsid w:val="00160756"/>
    <w:rsid w:val="00163B2D"/>
    <w:rsid w:val="00163C95"/>
    <w:rsid w:val="0016753C"/>
    <w:rsid w:val="00170114"/>
    <w:rsid w:val="0017142F"/>
    <w:rsid w:val="0017232E"/>
    <w:rsid w:val="00174102"/>
    <w:rsid w:val="00174727"/>
    <w:rsid w:val="00174DBB"/>
    <w:rsid w:val="00177A16"/>
    <w:rsid w:val="00180157"/>
    <w:rsid w:val="001813B1"/>
    <w:rsid w:val="00182906"/>
    <w:rsid w:val="00182B4F"/>
    <w:rsid w:val="001832DA"/>
    <w:rsid w:val="001833D8"/>
    <w:rsid w:val="00183417"/>
    <w:rsid w:val="00184153"/>
    <w:rsid w:val="00185CB9"/>
    <w:rsid w:val="001860BD"/>
    <w:rsid w:val="00186F77"/>
    <w:rsid w:val="001926A4"/>
    <w:rsid w:val="00192AD5"/>
    <w:rsid w:val="001956E9"/>
    <w:rsid w:val="001A0EA3"/>
    <w:rsid w:val="001A18D2"/>
    <w:rsid w:val="001A29A2"/>
    <w:rsid w:val="001A4789"/>
    <w:rsid w:val="001A6478"/>
    <w:rsid w:val="001B45A0"/>
    <w:rsid w:val="001C196B"/>
    <w:rsid w:val="001C682D"/>
    <w:rsid w:val="001C7938"/>
    <w:rsid w:val="001C7DAB"/>
    <w:rsid w:val="001D055E"/>
    <w:rsid w:val="001D3450"/>
    <w:rsid w:val="001D483E"/>
    <w:rsid w:val="001E4AC0"/>
    <w:rsid w:val="001E7689"/>
    <w:rsid w:val="001F1870"/>
    <w:rsid w:val="001F2B43"/>
    <w:rsid w:val="001F3198"/>
    <w:rsid w:val="001F492E"/>
    <w:rsid w:val="001F5380"/>
    <w:rsid w:val="001F6DA3"/>
    <w:rsid w:val="001F7930"/>
    <w:rsid w:val="00200115"/>
    <w:rsid w:val="002010BC"/>
    <w:rsid w:val="00201177"/>
    <w:rsid w:val="0020211A"/>
    <w:rsid w:val="00202E03"/>
    <w:rsid w:val="002040B6"/>
    <w:rsid w:val="0020492C"/>
    <w:rsid w:val="002055FF"/>
    <w:rsid w:val="002070C3"/>
    <w:rsid w:val="00207FDC"/>
    <w:rsid w:val="00212BAA"/>
    <w:rsid w:val="0021429F"/>
    <w:rsid w:val="00216A3E"/>
    <w:rsid w:val="002173BF"/>
    <w:rsid w:val="0021756B"/>
    <w:rsid w:val="002210E6"/>
    <w:rsid w:val="002238D8"/>
    <w:rsid w:val="00224DB9"/>
    <w:rsid w:val="00233775"/>
    <w:rsid w:val="002337F8"/>
    <w:rsid w:val="00242D98"/>
    <w:rsid w:val="00245784"/>
    <w:rsid w:val="002459FE"/>
    <w:rsid w:val="00251205"/>
    <w:rsid w:val="00251612"/>
    <w:rsid w:val="00251745"/>
    <w:rsid w:val="00256BC8"/>
    <w:rsid w:val="002572BB"/>
    <w:rsid w:val="00260D4C"/>
    <w:rsid w:val="00263AC0"/>
    <w:rsid w:val="00263CE7"/>
    <w:rsid w:val="00266557"/>
    <w:rsid w:val="0026772D"/>
    <w:rsid w:val="00274507"/>
    <w:rsid w:val="0027512B"/>
    <w:rsid w:val="002757B3"/>
    <w:rsid w:val="002826B0"/>
    <w:rsid w:val="00286874"/>
    <w:rsid w:val="002875EE"/>
    <w:rsid w:val="002903A4"/>
    <w:rsid w:val="002906E3"/>
    <w:rsid w:val="00290BD9"/>
    <w:rsid w:val="002954AA"/>
    <w:rsid w:val="00295925"/>
    <w:rsid w:val="002962E9"/>
    <w:rsid w:val="00296B65"/>
    <w:rsid w:val="00297643"/>
    <w:rsid w:val="002A35BB"/>
    <w:rsid w:val="002A3C22"/>
    <w:rsid w:val="002A3FEA"/>
    <w:rsid w:val="002A7DEF"/>
    <w:rsid w:val="002B6022"/>
    <w:rsid w:val="002B76D7"/>
    <w:rsid w:val="002B7911"/>
    <w:rsid w:val="002C07E8"/>
    <w:rsid w:val="002C1734"/>
    <w:rsid w:val="002C18D5"/>
    <w:rsid w:val="002C5B4D"/>
    <w:rsid w:val="002D0009"/>
    <w:rsid w:val="002D11EA"/>
    <w:rsid w:val="002D1F58"/>
    <w:rsid w:val="002D4E70"/>
    <w:rsid w:val="002D5E8A"/>
    <w:rsid w:val="002E1BE5"/>
    <w:rsid w:val="002E2BFC"/>
    <w:rsid w:val="002E4B79"/>
    <w:rsid w:val="002E7B8F"/>
    <w:rsid w:val="002F19C6"/>
    <w:rsid w:val="002F1DCF"/>
    <w:rsid w:val="002F2ABE"/>
    <w:rsid w:val="002F3FB7"/>
    <w:rsid w:val="002F4A04"/>
    <w:rsid w:val="002F5435"/>
    <w:rsid w:val="002F7986"/>
    <w:rsid w:val="00301367"/>
    <w:rsid w:val="00301B40"/>
    <w:rsid w:val="00301B89"/>
    <w:rsid w:val="003024DD"/>
    <w:rsid w:val="0030380B"/>
    <w:rsid w:val="00305A2E"/>
    <w:rsid w:val="00305CC8"/>
    <w:rsid w:val="00307F6D"/>
    <w:rsid w:val="00313715"/>
    <w:rsid w:val="0031722C"/>
    <w:rsid w:val="003177A2"/>
    <w:rsid w:val="00324978"/>
    <w:rsid w:val="003271B5"/>
    <w:rsid w:val="00327A1E"/>
    <w:rsid w:val="00331264"/>
    <w:rsid w:val="00332F14"/>
    <w:rsid w:val="00334C8D"/>
    <w:rsid w:val="00340921"/>
    <w:rsid w:val="003472DF"/>
    <w:rsid w:val="00350E38"/>
    <w:rsid w:val="003518B3"/>
    <w:rsid w:val="0035377B"/>
    <w:rsid w:val="0035436A"/>
    <w:rsid w:val="00357A15"/>
    <w:rsid w:val="003614CA"/>
    <w:rsid w:val="003616FE"/>
    <w:rsid w:val="00361BA1"/>
    <w:rsid w:val="003645D3"/>
    <w:rsid w:val="003719E1"/>
    <w:rsid w:val="00372DBD"/>
    <w:rsid w:val="003731E8"/>
    <w:rsid w:val="00373D09"/>
    <w:rsid w:val="003749A5"/>
    <w:rsid w:val="00377AC6"/>
    <w:rsid w:val="00377BA4"/>
    <w:rsid w:val="003811E9"/>
    <w:rsid w:val="0038382C"/>
    <w:rsid w:val="00383C4B"/>
    <w:rsid w:val="00383E40"/>
    <w:rsid w:val="003846F1"/>
    <w:rsid w:val="00387231"/>
    <w:rsid w:val="0039361F"/>
    <w:rsid w:val="003A1A1D"/>
    <w:rsid w:val="003A3718"/>
    <w:rsid w:val="003A59BB"/>
    <w:rsid w:val="003A6519"/>
    <w:rsid w:val="003A739F"/>
    <w:rsid w:val="003B2D1B"/>
    <w:rsid w:val="003B5C76"/>
    <w:rsid w:val="003B5C8E"/>
    <w:rsid w:val="003C1B07"/>
    <w:rsid w:val="003C5AA6"/>
    <w:rsid w:val="003C7FB3"/>
    <w:rsid w:val="003D0577"/>
    <w:rsid w:val="003D173F"/>
    <w:rsid w:val="003D4106"/>
    <w:rsid w:val="003D7C68"/>
    <w:rsid w:val="003E0C44"/>
    <w:rsid w:val="003E128A"/>
    <w:rsid w:val="003E1980"/>
    <w:rsid w:val="003E2AEA"/>
    <w:rsid w:val="003E3E43"/>
    <w:rsid w:val="003E44D5"/>
    <w:rsid w:val="003F0A77"/>
    <w:rsid w:val="003F1021"/>
    <w:rsid w:val="003F627F"/>
    <w:rsid w:val="003F7B12"/>
    <w:rsid w:val="00403577"/>
    <w:rsid w:val="00404380"/>
    <w:rsid w:val="004051C3"/>
    <w:rsid w:val="00410C6F"/>
    <w:rsid w:val="00413D4D"/>
    <w:rsid w:val="00415BBB"/>
    <w:rsid w:val="00417C24"/>
    <w:rsid w:val="00417FB6"/>
    <w:rsid w:val="00421B16"/>
    <w:rsid w:val="00421BC8"/>
    <w:rsid w:val="00422E49"/>
    <w:rsid w:val="004468B9"/>
    <w:rsid w:val="00447E5C"/>
    <w:rsid w:val="00454B80"/>
    <w:rsid w:val="0046636B"/>
    <w:rsid w:val="0046685B"/>
    <w:rsid w:val="00466FA3"/>
    <w:rsid w:val="00473893"/>
    <w:rsid w:val="004766B9"/>
    <w:rsid w:val="004801AB"/>
    <w:rsid w:val="00480B4B"/>
    <w:rsid w:val="00483E13"/>
    <w:rsid w:val="00484526"/>
    <w:rsid w:val="00485DC4"/>
    <w:rsid w:val="0049695D"/>
    <w:rsid w:val="004A3168"/>
    <w:rsid w:val="004A43D1"/>
    <w:rsid w:val="004A445D"/>
    <w:rsid w:val="004A7C4A"/>
    <w:rsid w:val="004B085B"/>
    <w:rsid w:val="004B0ECD"/>
    <w:rsid w:val="004B1607"/>
    <w:rsid w:val="004B18C4"/>
    <w:rsid w:val="004B2AEF"/>
    <w:rsid w:val="004B354A"/>
    <w:rsid w:val="004B4412"/>
    <w:rsid w:val="004B640A"/>
    <w:rsid w:val="004B6E53"/>
    <w:rsid w:val="004C05A2"/>
    <w:rsid w:val="004C1F8F"/>
    <w:rsid w:val="004C348C"/>
    <w:rsid w:val="004C491A"/>
    <w:rsid w:val="004C58FC"/>
    <w:rsid w:val="004C62E5"/>
    <w:rsid w:val="004D55BA"/>
    <w:rsid w:val="004D60F2"/>
    <w:rsid w:val="004D6D4C"/>
    <w:rsid w:val="004D77E8"/>
    <w:rsid w:val="004E1148"/>
    <w:rsid w:val="004E125A"/>
    <w:rsid w:val="004E22EC"/>
    <w:rsid w:val="004E3942"/>
    <w:rsid w:val="004E5738"/>
    <w:rsid w:val="004E5BCA"/>
    <w:rsid w:val="004E6DCE"/>
    <w:rsid w:val="004F10ED"/>
    <w:rsid w:val="004F3F7F"/>
    <w:rsid w:val="004F54C1"/>
    <w:rsid w:val="004F5B43"/>
    <w:rsid w:val="004F77AB"/>
    <w:rsid w:val="00503EA9"/>
    <w:rsid w:val="00507550"/>
    <w:rsid w:val="00510124"/>
    <w:rsid w:val="00510F1C"/>
    <w:rsid w:val="0051111A"/>
    <w:rsid w:val="0051399A"/>
    <w:rsid w:val="005148BC"/>
    <w:rsid w:val="00515C15"/>
    <w:rsid w:val="00516F7A"/>
    <w:rsid w:val="00523B38"/>
    <w:rsid w:val="00530128"/>
    <w:rsid w:val="00531F5C"/>
    <w:rsid w:val="00532467"/>
    <w:rsid w:val="005368AA"/>
    <w:rsid w:val="00537C6E"/>
    <w:rsid w:val="00540DB9"/>
    <w:rsid w:val="005411E4"/>
    <w:rsid w:val="00542527"/>
    <w:rsid w:val="0054755D"/>
    <w:rsid w:val="00550F10"/>
    <w:rsid w:val="005515A6"/>
    <w:rsid w:val="00551940"/>
    <w:rsid w:val="00551BF1"/>
    <w:rsid w:val="00551DC7"/>
    <w:rsid w:val="005568CA"/>
    <w:rsid w:val="00556B5D"/>
    <w:rsid w:val="0056038B"/>
    <w:rsid w:val="0056080A"/>
    <w:rsid w:val="00560989"/>
    <w:rsid w:val="0056200A"/>
    <w:rsid w:val="00562632"/>
    <w:rsid w:val="00564A4D"/>
    <w:rsid w:val="00565062"/>
    <w:rsid w:val="00567BA5"/>
    <w:rsid w:val="00570DF4"/>
    <w:rsid w:val="00571B35"/>
    <w:rsid w:val="00571D57"/>
    <w:rsid w:val="005720A9"/>
    <w:rsid w:val="00573850"/>
    <w:rsid w:val="0057593B"/>
    <w:rsid w:val="00577A09"/>
    <w:rsid w:val="005829C2"/>
    <w:rsid w:val="005847D0"/>
    <w:rsid w:val="00584D8F"/>
    <w:rsid w:val="00591CBC"/>
    <w:rsid w:val="005925C4"/>
    <w:rsid w:val="0059478B"/>
    <w:rsid w:val="005A0506"/>
    <w:rsid w:val="005A2D3E"/>
    <w:rsid w:val="005A404D"/>
    <w:rsid w:val="005A5567"/>
    <w:rsid w:val="005B1E3C"/>
    <w:rsid w:val="005B30E6"/>
    <w:rsid w:val="005B582F"/>
    <w:rsid w:val="005C26CC"/>
    <w:rsid w:val="005C4261"/>
    <w:rsid w:val="005C54CB"/>
    <w:rsid w:val="005C721F"/>
    <w:rsid w:val="005D1C60"/>
    <w:rsid w:val="005D6B1E"/>
    <w:rsid w:val="005E0E3C"/>
    <w:rsid w:val="005E2EB5"/>
    <w:rsid w:val="005E5375"/>
    <w:rsid w:val="005E5744"/>
    <w:rsid w:val="005E64DE"/>
    <w:rsid w:val="005F3771"/>
    <w:rsid w:val="005F4680"/>
    <w:rsid w:val="005F6FE9"/>
    <w:rsid w:val="005F758F"/>
    <w:rsid w:val="005F7CE3"/>
    <w:rsid w:val="005F7E46"/>
    <w:rsid w:val="00600569"/>
    <w:rsid w:val="00602833"/>
    <w:rsid w:val="00606603"/>
    <w:rsid w:val="00606AA1"/>
    <w:rsid w:val="0061055E"/>
    <w:rsid w:val="00611D6D"/>
    <w:rsid w:val="00613EE3"/>
    <w:rsid w:val="00614CF6"/>
    <w:rsid w:val="00615C6B"/>
    <w:rsid w:val="00620050"/>
    <w:rsid w:val="006225B0"/>
    <w:rsid w:val="00624603"/>
    <w:rsid w:val="00626C67"/>
    <w:rsid w:val="006309AB"/>
    <w:rsid w:val="00632D6D"/>
    <w:rsid w:val="006335A7"/>
    <w:rsid w:val="006352FA"/>
    <w:rsid w:val="00635976"/>
    <w:rsid w:val="00640E2C"/>
    <w:rsid w:val="006421E7"/>
    <w:rsid w:val="00642C3E"/>
    <w:rsid w:val="00643782"/>
    <w:rsid w:val="00645D2B"/>
    <w:rsid w:val="006460BF"/>
    <w:rsid w:val="00646446"/>
    <w:rsid w:val="00646786"/>
    <w:rsid w:val="00652072"/>
    <w:rsid w:val="006534B4"/>
    <w:rsid w:val="0065444C"/>
    <w:rsid w:val="00655A82"/>
    <w:rsid w:val="00656EED"/>
    <w:rsid w:val="00657D99"/>
    <w:rsid w:val="00660011"/>
    <w:rsid w:val="006629CD"/>
    <w:rsid w:val="00662F6B"/>
    <w:rsid w:val="00663087"/>
    <w:rsid w:val="00663DAD"/>
    <w:rsid w:val="00664F7F"/>
    <w:rsid w:val="00670957"/>
    <w:rsid w:val="00671406"/>
    <w:rsid w:val="0067151D"/>
    <w:rsid w:val="006760F0"/>
    <w:rsid w:val="00676679"/>
    <w:rsid w:val="00686D00"/>
    <w:rsid w:val="00687B68"/>
    <w:rsid w:val="00687CDA"/>
    <w:rsid w:val="0069393C"/>
    <w:rsid w:val="006A0A27"/>
    <w:rsid w:val="006A0B01"/>
    <w:rsid w:val="006A0B34"/>
    <w:rsid w:val="006A40C0"/>
    <w:rsid w:val="006A587A"/>
    <w:rsid w:val="006A6055"/>
    <w:rsid w:val="006A624B"/>
    <w:rsid w:val="006A6303"/>
    <w:rsid w:val="006B2C9F"/>
    <w:rsid w:val="006B4CF9"/>
    <w:rsid w:val="006B5D62"/>
    <w:rsid w:val="006B7AC8"/>
    <w:rsid w:val="006C1FEB"/>
    <w:rsid w:val="006C2EE1"/>
    <w:rsid w:val="006C34E4"/>
    <w:rsid w:val="006C43CA"/>
    <w:rsid w:val="006C4564"/>
    <w:rsid w:val="006C64F5"/>
    <w:rsid w:val="006D550F"/>
    <w:rsid w:val="006E0859"/>
    <w:rsid w:val="006E536F"/>
    <w:rsid w:val="006E6A15"/>
    <w:rsid w:val="006F047F"/>
    <w:rsid w:val="006F1830"/>
    <w:rsid w:val="006F5803"/>
    <w:rsid w:val="00701B88"/>
    <w:rsid w:val="00701CAB"/>
    <w:rsid w:val="00701EB9"/>
    <w:rsid w:val="00701F1A"/>
    <w:rsid w:val="00703DE9"/>
    <w:rsid w:val="00704159"/>
    <w:rsid w:val="00707563"/>
    <w:rsid w:val="0071155F"/>
    <w:rsid w:val="00712023"/>
    <w:rsid w:val="0071555F"/>
    <w:rsid w:val="00720F21"/>
    <w:rsid w:val="0072348C"/>
    <w:rsid w:val="00724A37"/>
    <w:rsid w:val="00725806"/>
    <w:rsid w:val="007303C3"/>
    <w:rsid w:val="00734309"/>
    <w:rsid w:val="00736763"/>
    <w:rsid w:val="00743223"/>
    <w:rsid w:val="00743922"/>
    <w:rsid w:val="0074606A"/>
    <w:rsid w:val="00746E01"/>
    <w:rsid w:val="00747EA2"/>
    <w:rsid w:val="00751AA3"/>
    <w:rsid w:val="00756BDF"/>
    <w:rsid w:val="00756C06"/>
    <w:rsid w:val="00757BDF"/>
    <w:rsid w:val="007617B5"/>
    <w:rsid w:val="00761903"/>
    <w:rsid w:val="00763E5D"/>
    <w:rsid w:val="0076510B"/>
    <w:rsid w:val="00766283"/>
    <w:rsid w:val="00766576"/>
    <w:rsid w:val="0076710E"/>
    <w:rsid w:val="00767740"/>
    <w:rsid w:val="0077307B"/>
    <w:rsid w:val="00773F18"/>
    <w:rsid w:val="00777EE6"/>
    <w:rsid w:val="00781705"/>
    <w:rsid w:val="00782C38"/>
    <w:rsid w:val="00782EEA"/>
    <w:rsid w:val="00787D3F"/>
    <w:rsid w:val="00787F04"/>
    <w:rsid w:val="00791907"/>
    <w:rsid w:val="00792EEA"/>
    <w:rsid w:val="00795069"/>
    <w:rsid w:val="007972F4"/>
    <w:rsid w:val="00797D26"/>
    <w:rsid w:val="007A127E"/>
    <w:rsid w:val="007A4D1F"/>
    <w:rsid w:val="007A4E1E"/>
    <w:rsid w:val="007A5CF0"/>
    <w:rsid w:val="007A7B70"/>
    <w:rsid w:val="007B2C72"/>
    <w:rsid w:val="007B7A37"/>
    <w:rsid w:val="007B7D0E"/>
    <w:rsid w:val="007C1C53"/>
    <w:rsid w:val="007C4B99"/>
    <w:rsid w:val="007C6BF9"/>
    <w:rsid w:val="007C725C"/>
    <w:rsid w:val="007C74BB"/>
    <w:rsid w:val="007C7705"/>
    <w:rsid w:val="007C78BA"/>
    <w:rsid w:val="007D0E17"/>
    <w:rsid w:val="007D73F5"/>
    <w:rsid w:val="007E128B"/>
    <w:rsid w:val="007E1A7A"/>
    <w:rsid w:val="007E26D6"/>
    <w:rsid w:val="007E4904"/>
    <w:rsid w:val="007E4CB5"/>
    <w:rsid w:val="007E5AC0"/>
    <w:rsid w:val="007E610D"/>
    <w:rsid w:val="007F066B"/>
    <w:rsid w:val="007F0D95"/>
    <w:rsid w:val="0080002A"/>
    <w:rsid w:val="008033C4"/>
    <w:rsid w:val="0080514A"/>
    <w:rsid w:val="00805D74"/>
    <w:rsid w:val="00805E33"/>
    <w:rsid w:val="00806C88"/>
    <w:rsid w:val="0081034E"/>
    <w:rsid w:val="00813B78"/>
    <w:rsid w:val="008171E6"/>
    <w:rsid w:val="008174C4"/>
    <w:rsid w:val="00817683"/>
    <w:rsid w:val="00822E83"/>
    <w:rsid w:val="00824DDA"/>
    <w:rsid w:val="00830EE2"/>
    <w:rsid w:val="008338CD"/>
    <w:rsid w:val="008344F6"/>
    <w:rsid w:val="0083510F"/>
    <w:rsid w:val="008404A1"/>
    <w:rsid w:val="00841AC6"/>
    <w:rsid w:val="00842768"/>
    <w:rsid w:val="00843704"/>
    <w:rsid w:val="00843C12"/>
    <w:rsid w:val="008503EF"/>
    <w:rsid w:val="00851209"/>
    <w:rsid w:val="0085679D"/>
    <w:rsid w:val="008570B4"/>
    <w:rsid w:val="008577FE"/>
    <w:rsid w:val="00857B70"/>
    <w:rsid w:val="00861FD2"/>
    <w:rsid w:val="00864EEB"/>
    <w:rsid w:val="00870F26"/>
    <w:rsid w:val="00871B2D"/>
    <w:rsid w:val="00871FEE"/>
    <w:rsid w:val="0087207C"/>
    <w:rsid w:val="00872B78"/>
    <w:rsid w:val="008837AC"/>
    <w:rsid w:val="008876E4"/>
    <w:rsid w:val="00887D4C"/>
    <w:rsid w:val="00891AA0"/>
    <w:rsid w:val="00894344"/>
    <w:rsid w:val="00894EE1"/>
    <w:rsid w:val="0089572E"/>
    <w:rsid w:val="008A20C0"/>
    <w:rsid w:val="008A2EA9"/>
    <w:rsid w:val="008A3E3C"/>
    <w:rsid w:val="008A57EF"/>
    <w:rsid w:val="008A587D"/>
    <w:rsid w:val="008B097F"/>
    <w:rsid w:val="008B2B58"/>
    <w:rsid w:val="008C5486"/>
    <w:rsid w:val="008D1661"/>
    <w:rsid w:val="008D1E77"/>
    <w:rsid w:val="008D28B8"/>
    <w:rsid w:val="008D5598"/>
    <w:rsid w:val="008E3644"/>
    <w:rsid w:val="008E7031"/>
    <w:rsid w:val="008F1CC7"/>
    <w:rsid w:val="008F2354"/>
    <w:rsid w:val="008F29E1"/>
    <w:rsid w:val="008F5323"/>
    <w:rsid w:val="008F58BD"/>
    <w:rsid w:val="009041CF"/>
    <w:rsid w:val="00905518"/>
    <w:rsid w:val="00910041"/>
    <w:rsid w:val="00914849"/>
    <w:rsid w:val="00922F57"/>
    <w:rsid w:val="009233EE"/>
    <w:rsid w:val="00934840"/>
    <w:rsid w:val="009433FB"/>
    <w:rsid w:val="0094606B"/>
    <w:rsid w:val="009460AA"/>
    <w:rsid w:val="00950FCA"/>
    <w:rsid w:val="0095106C"/>
    <w:rsid w:val="00951978"/>
    <w:rsid w:val="009547FD"/>
    <w:rsid w:val="00956981"/>
    <w:rsid w:val="00957FBC"/>
    <w:rsid w:val="009600C7"/>
    <w:rsid w:val="00962514"/>
    <w:rsid w:val="00962E99"/>
    <w:rsid w:val="009661DE"/>
    <w:rsid w:val="0097074C"/>
    <w:rsid w:val="009711C3"/>
    <w:rsid w:val="00977253"/>
    <w:rsid w:val="009775EE"/>
    <w:rsid w:val="00980619"/>
    <w:rsid w:val="009856B7"/>
    <w:rsid w:val="00992DA4"/>
    <w:rsid w:val="00993162"/>
    <w:rsid w:val="00995237"/>
    <w:rsid w:val="00995B37"/>
    <w:rsid w:val="009A0462"/>
    <w:rsid w:val="009A339E"/>
    <w:rsid w:val="009A5FC3"/>
    <w:rsid w:val="009A7E7A"/>
    <w:rsid w:val="009B351E"/>
    <w:rsid w:val="009B6776"/>
    <w:rsid w:val="009B6902"/>
    <w:rsid w:val="009B6B03"/>
    <w:rsid w:val="009B74B0"/>
    <w:rsid w:val="009C2400"/>
    <w:rsid w:val="009C36E0"/>
    <w:rsid w:val="009C510C"/>
    <w:rsid w:val="009C72AE"/>
    <w:rsid w:val="009D6B46"/>
    <w:rsid w:val="009E0108"/>
    <w:rsid w:val="009E3B10"/>
    <w:rsid w:val="009E3EDB"/>
    <w:rsid w:val="009E51D5"/>
    <w:rsid w:val="009E7E48"/>
    <w:rsid w:val="009F4940"/>
    <w:rsid w:val="009F5BA1"/>
    <w:rsid w:val="009F736C"/>
    <w:rsid w:val="00A02A88"/>
    <w:rsid w:val="00A0562E"/>
    <w:rsid w:val="00A0726D"/>
    <w:rsid w:val="00A07510"/>
    <w:rsid w:val="00A11610"/>
    <w:rsid w:val="00A13131"/>
    <w:rsid w:val="00A15743"/>
    <w:rsid w:val="00A17A5C"/>
    <w:rsid w:val="00A215DF"/>
    <w:rsid w:val="00A22495"/>
    <w:rsid w:val="00A32FBB"/>
    <w:rsid w:val="00A35FD0"/>
    <w:rsid w:val="00A41705"/>
    <w:rsid w:val="00A4478A"/>
    <w:rsid w:val="00A447CA"/>
    <w:rsid w:val="00A44852"/>
    <w:rsid w:val="00A45F8B"/>
    <w:rsid w:val="00A4682E"/>
    <w:rsid w:val="00A4718D"/>
    <w:rsid w:val="00A50F22"/>
    <w:rsid w:val="00A57D04"/>
    <w:rsid w:val="00A60023"/>
    <w:rsid w:val="00A60A26"/>
    <w:rsid w:val="00A60B02"/>
    <w:rsid w:val="00A61598"/>
    <w:rsid w:val="00A62EC1"/>
    <w:rsid w:val="00A63E2B"/>
    <w:rsid w:val="00A6413B"/>
    <w:rsid w:val="00A660CB"/>
    <w:rsid w:val="00A67875"/>
    <w:rsid w:val="00A70AC7"/>
    <w:rsid w:val="00A7101F"/>
    <w:rsid w:val="00A73792"/>
    <w:rsid w:val="00A73EDE"/>
    <w:rsid w:val="00A75077"/>
    <w:rsid w:val="00A84F46"/>
    <w:rsid w:val="00A860E7"/>
    <w:rsid w:val="00A871F4"/>
    <w:rsid w:val="00A950BE"/>
    <w:rsid w:val="00AA3736"/>
    <w:rsid w:val="00AB2AF3"/>
    <w:rsid w:val="00AB391E"/>
    <w:rsid w:val="00AC1352"/>
    <w:rsid w:val="00AC1847"/>
    <w:rsid w:val="00AC1B2C"/>
    <w:rsid w:val="00AC3264"/>
    <w:rsid w:val="00AC4664"/>
    <w:rsid w:val="00AC4A04"/>
    <w:rsid w:val="00AC7024"/>
    <w:rsid w:val="00AD0301"/>
    <w:rsid w:val="00AD281F"/>
    <w:rsid w:val="00AD2888"/>
    <w:rsid w:val="00AD31C1"/>
    <w:rsid w:val="00AD531E"/>
    <w:rsid w:val="00AE1BF1"/>
    <w:rsid w:val="00AE3FC6"/>
    <w:rsid w:val="00AE45C1"/>
    <w:rsid w:val="00AE4BDF"/>
    <w:rsid w:val="00AE5461"/>
    <w:rsid w:val="00AF0857"/>
    <w:rsid w:val="00AF0C7E"/>
    <w:rsid w:val="00AF0DD2"/>
    <w:rsid w:val="00AF1ED6"/>
    <w:rsid w:val="00AF4EDF"/>
    <w:rsid w:val="00AF64D6"/>
    <w:rsid w:val="00AF7967"/>
    <w:rsid w:val="00B0144E"/>
    <w:rsid w:val="00B05963"/>
    <w:rsid w:val="00B06DF3"/>
    <w:rsid w:val="00B13048"/>
    <w:rsid w:val="00B13FFC"/>
    <w:rsid w:val="00B1455F"/>
    <w:rsid w:val="00B147EE"/>
    <w:rsid w:val="00B1716D"/>
    <w:rsid w:val="00B17A1D"/>
    <w:rsid w:val="00B207A0"/>
    <w:rsid w:val="00B21906"/>
    <w:rsid w:val="00B21BE5"/>
    <w:rsid w:val="00B26792"/>
    <w:rsid w:val="00B317E3"/>
    <w:rsid w:val="00B3391B"/>
    <w:rsid w:val="00B33D54"/>
    <w:rsid w:val="00B34D39"/>
    <w:rsid w:val="00B37E38"/>
    <w:rsid w:val="00B50B05"/>
    <w:rsid w:val="00B514DD"/>
    <w:rsid w:val="00B52AF0"/>
    <w:rsid w:val="00B54F4D"/>
    <w:rsid w:val="00B56E03"/>
    <w:rsid w:val="00B609CF"/>
    <w:rsid w:val="00B61661"/>
    <w:rsid w:val="00B61A82"/>
    <w:rsid w:val="00B6452A"/>
    <w:rsid w:val="00B65839"/>
    <w:rsid w:val="00B65B6F"/>
    <w:rsid w:val="00B66713"/>
    <w:rsid w:val="00B66F82"/>
    <w:rsid w:val="00B7070A"/>
    <w:rsid w:val="00B73547"/>
    <w:rsid w:val="00B76014"/>
    <w:rsid w:val="00B76388"/>
    <w:rsid w:val="00B8080B"/>
    <w:rsid w:val="00B816CA"/>
    <w:rsid w:val="00B818CF"/>
    <w:rsid w:val="00B82FBD"/>
    <w:rsid w:val="00B85DAB"/>
    <w:rsid w:val="00B86D38"/>
    <w:rsid w:val="00B87C39"/>
    <w:rsid w:val="00B90A2D"/>
    <w:rsid w:val="00B927D8"/>
    <w:rsid w:val="00B9541E"/>
    <w:rsid w:val="00B96B84"/>
    <w:rsid w:val="00B97110"/>
    <w:rsid w:val="00B972C5"/>
    <w:rsid w:val="00BA3C98"/>
    <w:rsid w:val="00BA45DC"/>
    <w:rsid w:val="00BA4665"/>
    <w:rsid w:val="00BA4E0A"/>
    <w:rsid w:val="00BA66A9"/>
    <w:rsid w:val="00BB2FB2"/>
    <w:rsid w:val="00BB3304"/>
    <w:rsid w:val="00BB5F13"/>
    <w:rsid w:val="00BB74CA"/>
    <w:rsid w:val="00BC1C34"/>
    <w:rsid w:val="00BC1E1A"/>
    <w:rsid w:val="00BC3AE5"/>
    <w:rsid w:val="00BD2A98"/>
    <w:rsid w:val="00BD3446"/>
    <w:rsid w:val="00BD6D27"/>
    <w:rsid w:val="00BE00BE"/>
    <w:rsid w:val="00BE0AA3"/>
    <w:rsid w:val="00BE19E7"/>
    <w:rsid w:val="00BE1F1B"/>
    <w:rsid w:val="00BE2816"/>
    <w:rsid w:val="00BE2E50"/>
    <w:rsid w:val="00BE47B5"/>
    <w:rsid w:val="00BF0373"/>
    <w:rsid w:val="00BF5E08"/>
    <w:rsid w:val="00BF65FE"/>
    <w:rsid w:val="00C00127"/>
    <w:rsid w:val="00C02AAD"/>
    <w:rsid w:val="00C03615"/>
    <w:rsid w:val="00C06B41"/>
    <w:rsid w:val="00C1132B"/>
    <w:rsid w:val="00C11BE8"/>
    <w:rsid w:val="00C11E5C"/>
    <w:rsid w:val="00C13314"/>
    <w:rsid w:val="00C2592D"/>
    <w:rsid w:val="00C25FA6"/>
    <w:rsid w:val="00C379D0"/>
    <w:rsid w:val="00C40D00"/>
    <w:rsid w:val="00C424F3"/>
    <w:rsid w:val="00C42E3F"/>
    <w:rsid w:val="00C431D0"/>
    <w:rsid w:val="00C45030"/>
    <w:rsid w:val="00C47DAC"/>
    <w:rsid w:val="00C53360"/>
    <w:rsid w:val="00C538A9"/>
    <w:rsid w:val="00C53B5A"/>
    <w:rsid w:val="00C54F5A"/>
    <w:rsid w:val="00C54F96"/>
    <w:rsid w:val="00C5617D"/>
    <w:rsid w:val="00C569B4"/>
    <w:rsid w:val="00C635F0"/>
    <w:rsid w:val="00C646D2"/>
    <w:rsid w:val="00C64E2C"/>
    <w:rsid w:val="00C65E93"/>
    <w:rsid w:val="00C667F3"/>
    <w:rsid w:val="00C66A10"/>
    <w:rsid w:val="00C67A92"/>
    <w:rsid w:val="00C75173"/>
    <w:rsid w:val="00C765E6"/>
    <w:rsid w:val="00C8065B"/>
    <w:rsid w:val="00C826E1"/>
    <w:rsid w:val="00C83998"/>
    <w:rsid w:val="00C86679"/>
    <w:rsid w:val="00C8705D"/>
    <w:rsid w:val="00C931FF"/>
    <w:rsid w:val="00C96D33"/>
    <w:rsid w:val="00C96DC7"/>
    <w:rsid w:val="00CA0091"/>
    <w:rsid w:val="00CA489E"/>
    <w:rsid w:val="00CA5B2C"/>
    <w:rsid w:val="00CA5C13"/>
    <w:rsid w:val="00CA741B"/>
    <w:rsid w:val="00CA7B44"/>
    <w:rsid w:val="00CB1756"/>
    <w:rsid w:val="00CB279E"/>
    <w:rsid w:val="00CB4F09"/>
    <w:rsid w:val="00CB4FEA"/>
    <w:rsid w:val="00CB666B"/>
    <w:rsid w:val="00CB6923"/>
    <w:rsid w:val="00CC213C"/>
    <w:rsid w:val="00CC7F1D"/>
    <w:rsid w:val="00CD14A8"/>
    <w:rsid w:val="00CD7E1E"/>
    <w:rsid w:val="00CE4AB0"/>
    <w:rsid w:val="00CF2D59"/>
    <w:rsid w:val="00CF393D"/>
    <w:rsid w:val="00CF55CB"/>
    <w:rsid w:val="00CF5E28"/>
    <w:rsid w:val="00CF7A47"/>
    <w:rsid w:val="00D01373"/>
    <w:rsid w:val="00D01CF0"/>
    <w:rsid w:val="00D0442A"/>
    <w:rsid w:val="00D07DE4"/>
    <w:rsid w:val="00D1071D"/>
    <w:rsid w:val="00D11224"/>
    <w:rsid w:val="00D1450E"/>
    <w:rsid w:val="00D16241"/>
    <w:rsid w:val="00D17F17"/>
    <w:rsid w:val="00D2706E"/>
    <w:rsid w:val="00D310DA"/>
    <w:rsid w:val="00D350E8"/>
    <w:rsid w:val="00D414AB"/>
    <w:rsid w:val="00D43EB7"/>
    <w:rsid w:val="00D46209"/>
    <w:rsid w:val="00D52A95"/>
    <w:rsid w:val="00D5343A"/>
    <w:rsid w:val="00D603C1"/>
    <w:rsid w:val="00D61388"/>
    <w:rsid w:val="00D61A54"/>
    <w:rsid w:val="00D6230E"/>
    <w:rsid w:val="00D64D3F"/>
    <w:rsid w:val="00D64DEA"/>
    <w:rsid w:val="00D6642C"/>
    <w:rsid w:val="00D7168E"/>
    <w:rsid w:val="00D71E57"/>
    <w:rsid w:val="00D8037E"/>
    <w:rsid w:val="00D80893"/>
    <w:rsid w:val="00D81049"/>
    <w:rsid w:val="00D81EF4"/>
    <w:rsid w:val="00D857E6"/>
    <w:rsid w:val="00D92CF1"/>
    <w:rsid w:val="00D92D38"/>
    <w:rsid w:val="00D932ED"/>
    <w:rsid w:val="00D950F5"/>
    <w:rsid w:val="00D95538"/>
    <w:rsid w:val="00D96DD0"/>
    <w:rsid w:val="00DA0473"/>
    <w:rsid w:val="00DA0488"/>
    <w:rsid w:val="00DA27BC"/>
    <w:rsid w:val="00DA3DF5"/>
    <w:rsid w:val="00DA3EF8"/>
    <w:rsid w:val="00DB04B5"/>
    <w:rsid w:val="00DB0F93"/>
    <w:rsid w:val="00DB1A67"/>
    <w:rsid w:val="00DB1C30"/>
    <w:rsid w:val="00DB32F3"/>
    <w:rsid w:val="00DB389A"/>
    <w:rsid w:val="00DB5074"/>
    <w:rsid w:val="00DB6C4A"/>
    <w:rsid w:val="00DB723B"/>
    <w:rsid w:val="00DB7ED6"/>
    <w:rsid w:val="00DC7981"/>
    <w:rsid w:val="00DD2047"/>
    <w:rsid w:val="00DE3063"/>
    <w:rsid w:val="00DE4EFA"/>
    <w:rsid w:val="00DE5520"/>
    <w:rsid w:val="00DE7FDA"/>
    <w:rsid w:val="00DF3154"/>
    <w:rsid w:val="00DF4956"/>
    <w:rsid w:val="00DF5DFD"/>
    <w:rsid w:val="00DF631D"/>
    <w:rsid w:val="00E0156D"/>
    <w:rsid w:val="00E04818"/>
    <w:rsid w:val="00E06442"/>
    <w:rsid w:val="00E075F6"/>
    <w:rsid w:val="00E1036F"/>
    <w:rsid w:val="00E137FB"/>
    <w:rsid w:val="00E15112"/>
    <w:rsid w:val="00E16751"/>
    <w:rsid w:val="00E2195C"/>
    <w:rsid w:val="00E22820"/>
    <w:rsid w:val="00E2293E"/>
    <w:rsid w:val="00E22AD3"/>
    <w:rsid w:val="00E2359E"/>
    <w:rsid w:val="00E23993"/>
    <w:rsid w:val="00E23A5D"/>
    <w:rsid w:val="00E25B8C"/>
    <w:rsid w:val="00E3188B"/>
    <w:rsid w:val="00E32246"/>
    <w:rsid w:val="00E3504B"/>
    <w:rsid w:val="00E37B00"/>
    <w:rsid w:val="00E43D7D"/>
    <w:rsid w:val="00E44693"/>
    <w:rsid w:val="00E50508"/>
    <w:rsid w:val="00E511DB"/>
    <w:rsid w:val="00E56CEB"/>
    <w:rsid w:val="00E60164"/>
    <w:rsid w:val="00E63E11"/>
    <w:rsid w:val="00E65393"/>
    <w:rsid w:val="00E65C85"/>
    <w:rsid w:val="00E66199"/>
    <w:rsid w:val="00E67081"/>
    <w:rsid w:val="00E71C26"/>
    <w:rsid w:val="00E72E06"/>
    <w:rsid w:val="00E73AE3"/>
    <w:rsid w:val="00E74B09"/>
    <w:rsid w:val="00E755EC"/>
    <w:rsid w:val="00E7624D"/>
    <w:rsid w:val="00E842F3"/>
    <w:rsid w:val="00E85870"/>
    <w:rsid w:val="00E8597A"/>
    <w:rsid w:val="00E87478"/>
    <w:rsid w:val="00E9361E"/>
    <w:rsid w:val="00E97215"/>
    <w:rsid w:val="00EA0D33"/>
    <w:rsid w:val="00EA297F"/>
    <w:rsid w:val="00EA3D42"/>
    <w:rsid w:val="00EA6B1B"/>
    <w:rsid w:val="00EB14F0"/>
    <w:rsid w:val="00EB2357"/>
    <w:rsid w:val="00EB3D19"/>
    <w:rsid w:val="00EB3FD5"/>
    <w:rsid w:val="00EB505D"/>
    <w:rsid w:val="00EB573E"/>
    <w:rsid w:val="00EB5889"/>
    <w:rsid w:val="00EB625C"/>
    <w:rsid w:val="00EC209B"/>
    <w:rsid w:val="00EC327C"/>
    <w:rsid w:val="00EC3405"/>
    <w:rsid w:val="00EC387B"/>
    <w:rsid w:val="00EC41A3"/>
    <w:rsid w:val="00ED1317"/>
    <w:rsid w:val="00ED32A9"/>
    <w:rsid w:val="00EE0A15"/>
    <w:rsid w:val="00EE27F4"/>
    <w:rsid w:val="00EE28F3"/>
    <w:rsid w:val="00EE514A"/>
    <w:rsid w:val="00EE5E98"/>
    <w:rsid w:val="00EE6482"/>
    <w:rsid w:val="00EF5110"/>
    <w:rsid w:val="00EF67EC"/>
    <w:rsid w:val="00F00EB4"/>
    <w:rsid w:val="00F00FB6"/>
    <w:rsid w:val="00F1556E"/>
    <w:rsid w:val="00F15882"/>
    <w:rsid w:val="00F171E0"/>
    <w:rsid w:val="00F17512"/>
    <w:rsid w:val="00F20BD3"/>
    <w:rsid w:val="00F24A6B"/>
    <w:rsid w:val="00F304D6"/>
    <w:rsid w:val="00F3157C"/>
    <w:rsid w:val="00F32ADA"/>
    <w:rsid w:val="00F32EAB"/>
    <w:rsid w:val="00F35F0A"/>
    <w:rsid w:val="00F373A5"/>
    <w:rsid w:val="00F37D44"/>
    <w:rsid w:val="00F42FB4"/>
    <w:rsid w:val="00F4350F"/>
    <w:rsid w:val="00F46AC2"/>
    <w:rsid w:val="00F47559"/>
    <w:rsid w:val="00F504A8"/>
    <w:rsid w:val="00F52D1E"/>
    <w:rsid w:val="00F53CE0"/>
    <w:rsid w:val="00F546AB"/>
    <w:rsid w:val="00F5726D"/>
    <w:rsid w:val="00F64C7B"/>
    <w:rsid w:val="00F676DD"/>
    <w:rsid w:val="00F70FCC"/>
    <w:rsid w:val="00F71778"/>
    <w:rsid w:val="00F75A26"/>
    <w:rsid w:val="00F835C9"/>
    <w:rsid w:val="00F835DA"/>
    <w:rsid w:val="00F83696"/>
    <w:rsid w:val="00F83FAD"/>
    <w:rsid w:val="00F846BE"/>
    <w:rsid w:val="00F8584D"/>
    <w:rsid w:val="00F8599D"/>
    <w:rsid w:val="00F86DA2"/>
    <w:rsid w:val="00F93F10"/>
    <w:rsid w:val="00F952A0"/>
    <w:rsid w:val="00F95B72"/>
    <w:rsid w:val="00F961D4"/>
    <w:rsid w:val="00FA01B1"/>
    <w:rsid w:val="00FA042E"/>
    <w:rsid w:val="00FA185E"/>
    <w:rsid w:val="00FA3C7F"/>
    <w:rsid w:val="00FA7DD0"/>
    <w:rsid w:val="00FB2854"/>
    <w:rsid w:val="00FB5343"/>
    <w:rsid w:val="00FB60CA"/>
    <w:rsid w:val="00FB69C9"/>
    <w:rsid w:val="00FB74E2"/>
    <w:rsid w:val="00FB7539"/>
    <w:rsid w:val="00FC1AFE"/>
    <w:rsid w:val="00FC642B"/>
    <w:rsid w:val="00FD0DCB"/>
    <w:rsid w:val="00FD5614"/>
    <w:rsid w:val="00FD7C0C"/>
    <w:rsid w:val="00FD7CE7"/>
    <w:rsid w:val="00FE0BE1"/>
    <w:rsid w:val="00FE13C1"/>
    <w:rsid w:val="00FE1DE9"/>
    <w:rsid w:val="00FE39C2"/>
    <w:rsid w:val="00FE3C32"/>
    <w:rsid w:val="00FE64AE"/>
    <w:rsid w:val="00FF305B"/>
    <w:rsid w:val="00FF42E8"/>
    <w:rsid w:val="00FF4AC4"/>
    <w:rsid w:val="00FF60F4"/>
    <w:rsid w:val="00FF72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7622D9"/>
  <w15:docId w15:val="{0CD9BA89-1A8A-4426-9C32-F8D15F3A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0"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iPriority="2"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3782"/>
    <w:pPr>
      <w:spacing w:before="0" w:after="120"/>
    </w:pPr>
    <w:rPr>
      <w:rFonts w:ascii="Arial" w:eastAsia="Arial" w:hAnsi="Arial" w:cs="Arial"/>
      <w:sz w:val="20"/>
      <w:szCs w:val="20"/>
      <w:lang w:eastAsia="en-AU"/>
    </w:rPr>
  </w:style>
  <w:style w:type="paragraph" w:styleId="Heading1">
    <w:name w:val="heading 1"/>
    <w:basedOn w:val="Normal"/>
    <w:next w:val="Normal"/>
    <w:link w:val="Heading1Char"/>
    <w:uiPriority w:val="1"/>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2"/>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3"/>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4"/>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rPr>
  </w:style>
  <w:style w:type="paragraph" w:customStyle="1" w:styleId="Heading4notnumbered">
    <w:name w:val="Heading 4 not numbered"/>
    <w:basedOn w:val="Heading4"/>
    <w:rsid w:val="00130C3C"/>
    <w:pPr>
      <w:numPr>
        <w:ilvl w:val="0"/>
        <w:numId w:val="0"/>
      </w:numPr>
    </w:pPr>
    <w:rPr>
      <w:rFonts w:eastAsia="Times New Roman" w:cs="Times New Roman"/>
      <w:iCs w:val="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rPr>
  </w:style>
  <w:style w:type="paragraph" w:styleId="Header">
    <w:name w:val="header"/>
    <w:basedOn w:val="Normal"/>
    <w:link w:val="HeaderChar"/>
    <w:unhideWhenUsed/>
    <w:qFormat/>
    <w:rsid w:val="008344F6"/>
    <w:pPr>
      <w:tabs>
        <w:tab w:val="center" w:pos="4513"/>
        <w:tab w:val="right" w:pos="9026"/>
      </w:tabs>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pPr>
    <w:rPr>
      <w:b/>
      <w:color w:val="076A92" w:themeColor="text1"/>
      <w:sz w:val="24"/>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ind w:left="220" w:hanging="220"/>
    </w:pPr>
  </w:style>
  <w:style w:type="paragraph" w:styleId="Index2">
    <w:name w:val="index 2"/>
    <w:basedOn w:val="Normal"/>
    <w:next w:val="Normal"/>
    <w:autoRedefine/>
    <w:uiPriority w:val="99"/>
    <w:unhideWhenUsed/>
    <w:rsid w:val="00F171E0"/>
    <w:pPr>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182906"/>
    <w:pPr>
      <w:widowControl w:val="0"/>
      <w:tabs>
        <w:tab w:val="left" w:pos="340"/>
      </w:tabs>
      <w:spacing w:line="240" w:lineRule="exact"/>
      <w:ind w:left="340" w:hanging="340"/>
    </w:pPr>
    <w:rPr>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cs="Times New Roman"/>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rPr>
  </w:style>
  <w:style w:type="paragraph" w:customStyle="1" w:styleId="Copyright">
    <w:name w:val="Copyright"/>
    <w:basedOn w:val="Normal"/>
    <w:next w:val="Normal"/>
    <w:link w:val="CopyrightChar"/>
    <w:rsid w:val="00951978"/>
    <w:pPr>
      <w:spacing w:line="288" w:lineRule="auto"/>
    </w:p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rPr>
      <w:rFonts w:asciiTheme="majorHAnsi" w:eastAsiaTheme="majorEastAsia" w:hAnsiTheme="majorHAnsi" w:cstheme="majorBidi"/>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ind w:left="660" w:hanging="220"/>
    </w:pPr>
  </w:style>
  <w:style w:type="paragraph" w:styleId="Index4">
    <w:name w:val="index 4"/>
    <w:basedOn w:val="Normal"/>
    <w:next w:val="Normal"/>
    <w:autoRedefine/>
    <w:uiPriority w:val="99"/>
    <w:unhideWhenUsed/>
    <w:rsid w:val="00F171E0"/>
    <w:pPr>
      <w:ind w:left="880" w:hanging="220"/>
    </w:pPr>
  </w:style>
  <w:style w:type="paragraph" w:styleId="Index5">
    <w:name w:val="index 5"/>
    <w:basedOn w:val="Normal"/>
    <w:next w:val="Normal"/>
    <w:autoRedefine/>
    <w:uiPriority w:val="99"/>
    <w:unhideWhenUsed/>
    <w:rsid w:val="00F171E0"/>
    <w:pPr>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ind w:left="567" w:right="793"/>
    </w:pPr>
    <w:rPr>
      <w:rFonts w:eastAsia="Times New Roman" w:cs="Times New Roman"/>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1A18D2"/>
  </w:style>
  <w:style w:type="character" w:customStyle="1" w:styleId="CommentTextChar">
    <w:name w:val="Comment Text Char"/>
    <w:basedOn w:val="DefaultParagraphFont"/>
    <w:link w:val="CommentText"/>
    <w:uiPriority w:val="99"/>
    <w:rsid w:val="001A18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18D2"/>
    <w:rPr>
      <w:b/>
      <w:bCs/>
    </w:rPr>
  </w:style>
  <w:style w:type="character" w:customStyle="1" w:styleId="CommentSubjectChar">
    <w:name w:val="Comment Subject Char"/>
    <w:basedOn w:val="CommentTextChar"/>
    <w:link w:val="CommentSubject"/>
    <w:uiPriority w:val="99"/>
    <w:semiHidden/>
    <w:rsid w:val="001A18D2"/>
    <w:rPr>
      <w:rFonts w:ascii="Arial" w:hAnsi="Arial"/>
      <w:b/>
      <w:bCs/>
      <w:sz w:val="20"/>
      <w:szCs w:val="20"/>
    </w:rPr>
  </w:style>
  <w:style w:type="paragraph" w:styleId="BodyText">
    <w:name w:val="Body Text"/>
    <w:basedOn w:val="Normal"/>
    <w:link w:val="BodyTextChar"/>
    <w:uiPriority w:val="99"/>
    <w:unhideWhenUsed/>
    <w:rsid w:val="001F1870"/>
  </w:style>
  <w:style w:type="character" w:customStyle="1" w:styleId="BodyTextChar">
    <w:name w:val="Body Text Char"/>
    <w:basedOn w:val="DefaultParagraphFont"/>
    <w:link w:val="BodyText"/>
    <w:uiPriority w:val="99"/>
    <w:rsid w:val="001F1870"/>
    <w:rPr>
      <w:rFonts w:ascii="Arial" w:hAnsi="Arial"/>
    </w:rPr>
  </w:style>
  <w:style w:type="paragraph" w:styleId="NormalWeb">
    <w:name w:val="Normal (Web)"/>
    <w:basedOn w:val="Normal"/>
    <w:uiPriority w:val="99"/>
    <w:semiHidden/>
    <w:unhideWhenUsed/>
    <w:rsid w:val="007A5CF0"/>
    <w:rPr>
      <w:rFonts w:ascii="Times New Roman" w:hAnsi="Times New Roman" w:cs="Times New Roman"/>
      <w:sz w:val="24"/>
      <w:szCs w:val="24"/>
    </w:rPr>
  </w:style>
  <w:style w:type="table" w:styleId="TableGridLight">
    <w:name w:val="Grid Table Light"/>
    <w:basedOn w:val="TableNormal"/>
    <w:uiPriority w:val="40"/>
    <w:rsid w:val="009C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3461">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817572842">
      <w:bodyDiv w:val="1"/>
      <w:marLeft w:val="0"/>
      <w:marRight w:val="0"/>
      <w:marTop w:val="0"/>
      <w:marBottom w:val="0"/>
      <w:divBdr>
        <w:top w:val="none" w:sz="0" w:space="0" w:color="auto"/>
        <w:left w:val="none" w:sz="0" w:space="0" w:color="auto"/>
        <w:bottom w:val="none" w:sz="0" w:space="0" w:color="auto"/>
        <w:right w:val="none" w:sz="0" w:space="0" w:color="auto"/>
      </w:divBdr>
    </w:div>
    <w:div w:id="96450594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54638968">
      <w:bodyDiv w:val="1"/>
      <w:marLeft w:val="0"/>
      <w:marRight w:val="0"/>
      <w:marTop w:val="0"/>
      <w:marBottom w:val="0"/>
      <w:divBdr>
        <w:top w:val="none" w:sz="0" w:space="0" w:color="auto"/>
        <w:left w:val="none" w:sz="0" w:space="0" w:color="auto"/>
        <w:bottom w:val="none" w:sz="0" w:space="0" w:color="auto"/>
        <w:right w:val="none" w:sz="0" w:space="0" w:color="auto"/>
      </w:divBdr>
    </w:div>
    <w:div w:id="1219777093">
      <w:bodyDiv w:val="1"/>
      <w:marLeft w:val="0"/>
      <w:marRight w:val="0"/>
      <w:marTop w:val="0"/>
      <w:marBottom w:val="0"/>
      <w:divBdr>
        <w:top w:val="none" w:sz="0" w:space="0" w:color="auto"/>
        <w:left w:val="none" w:sz="0" w:space="0" w:color="auto"/>
        <w:bottom w:val="none" w:sz="0" w:space="0" w:color="auto"/>
        <w:right w:val="none" w:sz="0" w:space="0" w:color="auto"/>
      </w:divBdr>
    </w:div>
    <w:div w:id="1544245070">
      <w:bodyDiv w:val="1"/>
      <w:marLeft w:val="0"/>
      <w:marRight w:val="0"/>
      <w:marTop w:val="0"/>
      <w:marBottom w:val="0"/>
      <w:divBdr>
        <w:top w:val="none" w:sz="0" w:space="0" w:color="auto"/>
        <w:left w:val="none" w:sz="0" w:space="0" w:color="auto"/>
        <w:bottom w:val="none" w:sz="0" w:space="0" w:color="auto"/>
        <w:right w:val="none" w:sz="0" w:space="0" w:color="auto"/>
      </w:divBdr>
    </w:div>
    <w:div w:id="20704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publications/guidelines-schemes-models/rate-of-return-instrument-2022/prepa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CCC\Workgroup\AER\AER%20Report%20Template%20Jul%202016.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469A07-6009-49F9-952C-D396BA83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Jul 2016</Template>
  <TotalTime>72</TotalTime>
  <Pages>4</Pages>
  <Words>650</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Ben Stonehouse6</dc:creator>
  <cp:lastModifiedBy>Stonehouse, Ben</cp:lastModifiedBy>
  <cp:revision>7</cp:revision>
  <cp:lastPrinted>2020-06-23T03:49:00Z</cp:lastPrinted>
  <dcterms:created xsi:type="dcterms:W3CDTF">2020-07-03T04:46:00Z</dcterms:created>
  <dcterms:modified xsi:type="dcterms:W3CDTF">2020-07-28T01:32:00Z</dcterms:modified>
</cp:coreProperties>
</file>