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CC2" w:rsidRPr="0020711E" w:rsidRDefault="0090504E" w:rsidP="008C3722">
      <w:pPr>
        <w:pStyle w:val="HeadingOrange"/>
        <w:rPr>
          <w:rStyle w:val="AERtextsize8"/>
        </w:rPr>
      </w:pPr>
      <w:r w:rsidRPr="0090504E">
        <w:rPr>
          <w:noProof/>
          <w:lang w:eastAsia="en-AU"/>
        </w:rPr>
        <w:drawing>
          <wp:anchor distT="0" distB="0" distL="114300" distR="114300" simplePos="0" relativeHeight="251666432" behindDoc="1" locked="0" layoutInCell="1" allowOverlap="1" wp14:anchorId="128D9BA6" wp14:editId="5D98F6C9">
            <wp:simplePos x="0" y="0"/>
            <wp:positionH relativeFrom="column">
              <wp:posOffset>-899829</wp:posOffset>
            </wp:positionH>
            <wp:positionV relativeFrom="paragraph">
              <wp:posOffset>-946150</wp:posOffset>
            </wp:positionV>
            <wp:extent cx="7657657" cy="10792047"/>
            <wp:effectExtent l="0" t="0" r="0" b="0"/>
            <wp:wrapNone/>
            <wp:docPr id="3"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9" cstate="print"/>
                    <a:srcRect/>
                    <a:stretch>
                      <a:fillRect/>
                    </a:stretch>
                  </pic:blipFill>
                  <pic:spPr bwMode="auto">
                    <a:xfrm>
                      <a:off x="0" y="0"/>
                      <a:ext cx="7657657" cy="10792047"/>
                    </a:xfrm>
                    <a:prstGeom prst="rect">
                      <a:avLst/>
                    </a:prstGeom>
                    <a:noFill/>
                    <a:ln w="9525">
                      <a:noFill/>
                      <a:miter lim="800000"/>
                      <a:headEnd/>
                      <a:tailEnd/>
                    </a:ln>
                  </pic:spPr>
                </pic:pic>
              </a:graphicData>
            </a:graphic>
          </wp:anchor>
        </w:drawing>
      </w:r>
      <w:r w:rsidR="00CC49D4" w:rsidRPr="00824CC8">
        <w:rPr>
          <w:noProof/>
          <w:lang w:eastAsia="en-AU"/>
        </w:rPr>
        <w:drawing>
          <wp:anchor distT="0" distB="0" distL="114300" distR="114300" simplePos="0" relativeHeight="251661312" behindDoc="1" locked="0" layoutInCell="1" allowOverlap="1" wp14:anchorId="504061CC" wp14:editId="50F4B4B6">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10"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p>
    <w:p w:rsidR="009658F0" w:rsidRDefault="009658F0" w:rsidP="000A1CC2">
      <w:pPr>
        <w:pStyle w:val="AERtitle1"/>
      </w:pPr>
    </w:p>
    <w:p w:rsidR="009658F0" w:rsidRDefault="009658F0" w:rsidP="000A1CC2">
      <w:pPr>
        <w:pStyle w:val="AERtitle1"/>
      </w:pPr>
    </w:p>
    <w:p w:rsidR="0090504E" w:rsidRDefault="0090504E" w:rsidP="000A1CC2">
      <w:pPr>
        <w:pStyle w:val="AERtitle1"/>
      </w:pPr>
    </w:p>
    <w:p w:rsidR="0090504E" w:rsidRDefault="0090504E" w:rsidP="000A1CC2">
      <w:pPr>
        <w:pStyle w:val="AERtitle1"/>
      </w:pPr>
    </w:p>
    <w:p w:rsidR="000A1CC2" w:rsidRDefault="0090504E" w:rsidP="000A1CC2">
      <w:pPr>
        <w:pStyle w:val="AERtitle1"/>
      </w:pPr>
      <w:r>
        <w:t>Issues paper</w:t>
      </w:r>
    </w:p>
    <w:p w:rsidR="0090504E" w:rsidRDefault="0090504E" w:rsidP="000A1CC2">
      <w:pPr>
        <w:pStyle w:val="AERtitle1"/>
      </w:pPr>
    </w:p>
    <w:p w:rsidR="0090504E" w:rsidRDefault="0090504E" w:rsidP="000A1CC2">
      <w:pPr>
        <w:pStyle w:val="AERtitle1"/>
      </w:pPr>
      <w:r>
        <w:t>Draft amendments to the AER's transmission Pricing Methodology</w:t>
      </w:r>
      <w:r w:rsidR="006D568A">
        <w:t xml:space="preserve"> Guidelines</w:t>
      </w:r>
      <w:r>
        <w:t>:</w:t>
      </w:r>
    </w:p>
    <w:p w:rsidR="0090504E" w:rsidRDefault="0090504E" w:rsidP="000A1CC2">
      <w:pPr>
        <w:pStyle w:val="AERtitle1"/>
      </w:pPr>
      <w:r>
        <w:t>Inter-regional transmission charge</w:t>
      </w:r>
    </w:p>
    <w:p w:rsidR="000A1CC2" w:rsidRDefault="000A1CC2" w:rsidP="000A1CC2">
      <w:pPr>
        <w:pStyle w:val="AERtitle1"/>
      </w:pPr>
    </w:p>
    <w:p w:rsidR="0090504E" w:rsidRDefault="0090504E" w:rsidP="000B15CA">
      <w:pPr>
        <w:pStyle w:val="AERtitle2"/>
      </w:pPr>
    </w:p>
    <w:p w:rsidR="0090504E" w:rsidRDefault="0090504E" w:rsidP="000B15CA">
      <w:pPr>
        <w:pStyle w:val="AERtitle2"/>
      </w:pPr>
    </w:p>
    <w:p w:rsidR="0090504E" w:rsidRDefault="0090504E" w:rsidP="000B15CA">
      <w:pPr>
        <w:pStyle w:val="AERtitle2"/>
      </w:pPr>
    </w:p>
    <w:p w:rsidR="0090504E" w:rsidRDefault="0090504E" w:rsidP="000B15CA">
      <w:pPr>
        <w:pStyle w:val="AERtitle2"/>
      </w:pPr>
    </w:p>
    <w:p w:rsidR="0090504E" w:rsidRDefault="0090504E" w:rsidP="000B15CA">
      <w:pPr>
        <w:pStyle w:val="AERtitle2"/>
      </w:pPr>
    </w:p>
    <w:p w:rsidR="00AF3E95" w:rsidRDefault="00A70A55" w:rsidP="000B15CA">
      <w:pPr>
        <w:pStyle w:val="AERtitle2"/>
      </w:pPr>
      <w:r>
        <w:t>April</w:t>
      </w:r>
      <w:r w:rsidR="0090504E">
        <w:t xml:space="preserve"> 2014</w:t>
      </w:r>
    </w:p>
    <w:p w:rsidR="000B15CA" w:rsidRDefault="000B15CA" w:rsidP="00F97CD9">
      <w:pPr>
        <w:pStyle w:val="AERbodytextnospace"/>
      </w:pPr>
    </w:p>
    <w:p w:rsidR="004E73F7" w:rsidRDefault="004E73F7" w:rsidP="00F97CD9">
      <w:pPr>
        <w:pStyle w:val="AERbodytextnospace"/>
      </w:pPr>
    </w:p>
    <w:p w:rsidR="00CC49D4" w:rsidRPr="00412D01" w:rsidRDefault="00CC49D4" w:rsidP="00DD4E84">
      <w:pPr>
        <w:pStyle w:val="AERbodytextnospace"/>
        <w:numPr>
          <w:ilvl w:val="0"/>
          <w:numId w:val="0"/>
        </w:numPr>
      </w:pPr>
    </w:p>
    <w:p w:rsidR="0090504E" w:rsidRDefault="0090504E" w:rsidP="0090504E">
      <w:pPr>
        <w:pStyle w:val="AERbodytextnospace"/>
        <w:numPr>
          <w:ilvl w:val="0"/>
          <w:numId w:val="0"/>
        </w:numPr>
        <w:rPr>
          <w:rStyle w:val="AERtextbold"/>
        </w:rPr>
      </w:pPr>
      <w:bookmarkStart w:id="0" w:name="_Toc360023682"/>
      <w:bookmarkStart w:id="1" w:name="_Toc360024843"/>
      <w:r>
        <w:rPr>
          <w:rStyle w:val="AERtextbold"/>
        </w:rPr>
        <w:t>'</w:t>
      </w:r>
    </w:p>
    <w:p w:rsidR="0090504E" w:rsidRDefault="0090504E" w:rsidP="0090504E">
      <w:pPr>
        <w:pStyle w:val="AERbodytextnospace"/>
        <w:numPr>
          <w:ilvl w:val="0"/>
          <w:numId w:val="0"/>
        </w:numPr>
        <w:rPr>
          <w:rStyle w:val="AERtextbold"/>
        </w:rPr>
      </w:pPr>
    </w:p>
    <w:p w:rsidR="0090504E" w:rsidRDefault="0090504E" w:rsidP="0090504E">
      <w:pPr>
        <w:pStyle w:val="AERbodytextnospace"/>
        <w:numPr>
          <w:ilvl w:val="0"/>
          <w:numId w:val="0"/>
        </w:numPr>
        <w:rPr>
          <w:rStyle w:val="AERtextbold"/>
        </w:rPr>
      </w:pPr>
    </w:p>
    <w:p w:rsidR="0090504E" w:rsidRPr="008F1A4A" w:rsidRDefault="0090504E" w:rsidP="0090504E">
      <w:pPr>
        <w:pStyle w:val="AERbodytextnospace"/>
        <w:numPr>
          <w:ilvl w:val="0"/>
          <w:numId w:val="0"/>
        </w:numPr>
        <w:rPr>
          <w:rStyle w:val="AERtextbold"/>
        </w:rPr>
      </w:pPr>
      <w:r w:rsidRPr="008F1A4A">
        <w:rPr>
          <w:rStyle w:val="AERtextbold"/>
        </w:rPr>
        <w:lastRenderedPageBreak/>
        <w:t xml:space="preserve">© </w:t>
      </w:r>
      <w:r>
        <w:rPr>
          <w:rStyle w:val="AERtextbold"/>
        </w:rPr>
        <w:t>Commonwealth of Australia 2014</w:t>
      </w:r>
      <w:r w:rsidRPr="008F1A4A">
        <w:rPr>
          <w:rStyle w:val="AERtextbold"/>
        </w:rPr>
        <w:t xml:space="preserve"> </w:t>
      </w:r>
    </w:p>
    <w:p w:rsidR="0090504E" w:rsidRPr="00F6235D" w:rsidRDefault="0090504E" w:rsidP="0090504E">
      <w:r w:rsidRPr="00F6235D">
        <w:t xml:space="preserve">This work is copyright. Apart from any use permitted by the Copyright Act 1968, no part may be reproduced without permission of the Australian Competition and </w:t>
      </w:r>
      <w:r w:rsidR="00054A7E">
        <w:t>Customer</w:t>
      </w:r>
      <w:r w:rsidRPr="00F6235D">
        <w:t xml:space="preserve"> Commission. Requests and inquiries concerning reproduction and rights should be addressed to the Director Publishing, Australian Competition and </w:t>
      </w:r>
      <w:r w:rsidR="00054A7E">
        <w:t>Customer</w:t>
      </w:r>
      <w:r w:rsidRPr="00F6235D">
        <w:t xml:space="preserve"> Commission, GPO Box 3131, Canberra ACT 2601.</w:t>
      </w:r>
    </w:p>
    <w:p w:rsidR="0090504E" w:rsidRDefault="0090504E" w:rsidP="0090504E">
      <w:r>
        <w:t>Inquiries about this document should be addressed to:</w:t>
      </w:r>
    </w:p>
    <w:p w:rsidR="0090504E" w:rsidRDefault="0090504E" w:rsidP="0090504E">
      <w:pPr>
        <w:pStyle w:val="AERbodytextnospace"/>
      </w:pPr>
      <w:r>
        <w:t>Australian Energy Regulator</w:t>
      </w:r>
    </w:p>
    <w:p w:rsidR="0090504E" w:rsidRDefault="0090504E" w:rsidP="0090504E">
      <w:pPr>
        <w:pStyle w:val="AERbodytextnospace"/>
      </w:pPr>
      <w:r>
        <w:t>GPO Box 520</w:t>
      </w:r>
    </w:p>
    <w:p w:rsidR="0090504E" w:rsidRDefault="0090504E" w:rsidP="0090504E">
      <w:pPr>
        <w:pStyle w:val="AERbodytextnospace"/>
      </w:pPr>
      <w:r>
        <w:t>Melbourne  Vic  3001</w:t>
      </w:r>
    </w:p>
    <w:p w:rsidR="0090504E" w:rsidRDefault="0090504E" w:rsidP="0090504E">
      <w:pPr>
        <w:pStyle w:val="AERbodytextnospace"/>
      </w:pPr>
      <w:r>
        <w:t>Tel: (03) 9290 1444</w:t>
      </w:r>
    </w:p>
    <w:p w:rsidR="0090504E" w:rsidRDefault="0090504E" w:rsidP="0090504E">
      <w:pPr>
        <w:pStyle w:val="AERbodytextnospace"/>
      </w:pPr>
      <w:r>
        <w:t>Fax: (03) 9290 1457</w:t>
      </w:r>
    </w:p>
    <w:p w:rsidR="0090504E" w:rsidRDefault="0090504E" w:rsidP="0090504E">
      <w:pPr>
        <w:pStyle w:val="AERbodytextnospace"/>
      </w:pPr>
      <w:r>
        <w:t xml:space="preserve">Email: </w:t>
      </w:r>
      <w:hyperlink r:id="rId11" w:history="1">
        <w:r w:rsidRPr="003E184A">
          <w:rPr>
            <w:rStyle w:val="Hyperlink"/>
          </w:rPr>
          <w:t>AERInquiry@aer.gov.au</w:t>
        </w:r>
      </w:hyperlink>
    </w:p>
    <w:p w:rsidR="0090504E" w:rsidRPr="008F1A4A" w:rsidRDefault="0090504E" w:rsidP="0090504E"/>
    <w:p w:rsidR="00F739FF" w:rsidRDefault="0090504E" w:rsidP="0090504E">
      <w:r>
        <w:t>AER reference:</w:t>
      </w:r>
      <w:r w:rsidR="00F739FF">
        <w:t xml:space="preserve"> </w:t>
      </w:r>
    </w:p>
    <w:p w:rsidR="00F739FF" w:rsidRDefault="0090504E" w:rsidP="0090504E">
      <w:r>
        <w:t xml:space="preserve">   </w:t>
      </w:r>
    </w:p>
    <w:p w:rsidR="0090504E" w:rsidRDefault="00F739FF" w:rsidP="00F739FF">
      <w:pPr>
        <w:spacing w:after="0" w:line="240" w:lineRule="auto"/>
        <w:jc w:val="left"/>
      </w:pPr>
      <w:r>
        <w:br w:type="page"/>
      </w:r>
    </w:p>
    <w:p w:rsidR="00AF3E95" w:rsidRDefault="00AF3E95" w:rsidP="00F97CD9">
      <w:pPr>
        <w:pStyle w:val="UnnumberedHeading"/>
        <w:numPr>
          <w:ilvl w:val="0"/>
          <w:numId w:val="2"/>
        </w:numPr>
      </w:pPr>
      <w:bookmarkStart w:id="2" w:name="_Toc383529627"/>
      <w:r>
        <w:lastRenderedPageBreak/>
        <w:t>Contents</w:t>
      </w:r>
      <w:bookmarkEnd w:id="0"/>
      <w:bookmarkEnd w:id="1"/>
      <w:bookmarkEnd w:id="2"/>
    </w:p>
    <w:p w:rsidR="00FD2E70" w:rsidRDefault="00824CC8">
      <w:pPr>
        <w:pStyle w:val="TOC1"/>
        <w:tabs>
          <w:tab w:val="right" w:leader="dot" w:pos="9016"/>
        </w:tabs>
        <w:rPr>
          <w:rFonts w:asciiTheme="minorHAnsi" w:eastAsiaTheme="minorEastAsia" w:hAnsiTheme="minorHAnsi" w:cstheme="minorBidi"/>
          <w:b w:val="0"/>
          <w:bCs w:val="0"/>
          <w:noProof/>
          <w:sz w:val="22"/>
          <w:szCs w:val="22"/>
          <w:lang w:eastAsia="en-AU"/>
        </w:rPr>
      </w:pPr>
      <w:r w:rsidRPr="00AC1B94">
        <w:fldChar w:fldCharType="begin"/>
      </w:r>
      <w:r w:rsidRPr="00971655">
        <w:instrText xml:space="preserve"> TOC \o "1-2" \h \z \u </w:instrText>
      </w:r>
      <w:r w:rsidRPr="00AC1B94">
        <w:fldChar w:fldCharType="separate"/>
      </w:r>
      <w:hyperlink w:anchor="_Toc383529627" w:history="1">
        <w:r w:rsidR="00FD2E70" w:rsidRPr="00401C9E">
          <w:rPr>
            <w:rStyle w:val="Hyperlink"/>
            <w:noProof/>
          </w:rPr>
          <w:t>Contents</w:t>
        </w:r>
        <w:r w:rsidR="00FD2E70">
          <w:rPr>
            <w:noProof/>
            <w:webHidden/>
          </w:rPr>
          <w:tab/>
        </w:r>
        <w:r w:rsidR="00FD2E70">
          <w:rPr>
            <w:noProof/>
            <w:webHidden/>
          </w:rPr>
          <w:fldChar w:fldCharType="begin"/>
        </w:r>
        <w:r w:rsidR="00FD2E70">
          <w:rPr>
            <w:noProof/>
            <w:webHidden/>
          </w:rPr>
          <w:instrText xml:space="preserve"> PAGEREF _Toc383529627 \h </w:instrText>
        </w:r>
        <w:r w:rsidR="00FD2E70">
          <w:rPr>
            <w:noProof/>
            <w:webHidden/>
          </w:rPr>
        </w:r>
        <w:r w:rsidR="00FD2E70">
          <w:rPr>
            <w:noProof/>
            <w:webHidden/>
          </w:rPr>
          <w:fldChar w:fldCharType="separate"/>
        </w:r>
        <w:r w:rsidR="00936337">
          <w:rPr>
            <w:noProof/>
            <w:webHidden/>
          </w:rPr>
          <w:t>3</w:t>
        </w:r>
        <w:r w:rsidR="00FD2E70">
          <w:rPr>
            <w:noProof/>
            <w:webHidden/>
          </w:rPr>
          <w:fldChar w:fldCharType="end"/>
        </w:r>
      </w:hyperlink>
    </w:p>
    <w:p w:rsidR="00FD2E70" w:rsidRDefault="00FB5D5F">
      <w:pPr>
        <w:pStyle w:val="TOC1"/>
        <w:tabs>
          <w:tab w:val="right" w:leader="dot" w:pos="9016"/>
        </w:tabs>
        <w:rPr>
          <w:rFonts w:asciiTheme="minorHAnsi" w:eastAsiaTheme="minorEastAsia" w:hAnsiTheme="minorHAnsi" w:cstheme="minorBidi"/>
          <w:b w:val="0"/>
          <w:bCs w:val="0"/>
          <w:noProof/>
          <w:sz w:val="22"/>
          <w:szCs w:val="22"/>
          <w:lang w:eastAsia="en-AU"/>
        </w:rPr>
      </w:pPr>
      <w:hyperlink w:anchor="_Toc383529628" w:history="1">
        <w:r w:rsidR="00FD2E70" w:rsidRPr="00401C9E">
          <w:rPr>
            <w:rStyle w:val="Hyperlink"/>
            <w:noProof/>
          </w:rPr>
          <w:t>Overview</w:t>
        </w:r>
        <w:r w:rsidR="00FD2E70">
          <w:rPr>
            <w:noProof/>
            <w:webHidden/>
          </w:rPr>
          <w:tab/>
        </w:r>
        <w:r w:rsidR="00FD2E70">
          <w:rPr>
            <w:noProof/>
            <w:webHidden/>
          </w:rPr>
          <w:fldChar w:fldCharType="begin"/>
        </w:r>
        <w:r w:rsidR="00FD2E70">
          <w:rPr>
            <w:noProof/>
            <w:webHidden/>
          </w:rPr>
          <w:instrText xml:space="preserve"> PAGEREF _Toc383529628 \h </w:instrText>
        </w:r>
        <w:r w:rsidR="00FD2E70">
          <w:rPr>
            <w:noProof/>
            <w:webHidden/>
          </w:rPr>
        </w:r>
        <w:r w:rsidR="00FD2E70">
          <w:rPr>
            <w:noProof/>
            <w:webHidden/>
          </w:rPr>
          <w:fldChar w:fldCharType="separate"/>
        </w:r>
        <w:r w:rsidR="00936337">
          <w:rPr>
            <w:noProof/>
            <w:webHidden/>
          </w:rPr>
          <w:t>4</w:t>
        </w:r>
        <w:r w:rsidR="00FD2E70">
          <w:rPr>
            <w:noProof/>
            <w:webHidden/>
          </w:rPr>
          <w:fldChar w:fldCharType="end"/>
        </w:r>
      </w:hyperlink>
    </w:p>
    <w:p w:rsidR="00FD2E70" w:rsidRDefault="00FB5D5F">
      <w:pPr>
        <w:pStyle w:val="TOC2"/>
        <w:tabs>
          <w:tab w:val="right" w:leader="dot" w:pos="9016"/>
        </w:tabs>
        <w:rPr>
          <w:rFonts w:asciiTheme="minorHAnsi" w:eastAsiaTheme="minorEastAsia" w:hAnsiTheme="minorHAnsi" w:cstheme="minorBidi"/>
          <w:iCs w:val="0"/>
          <w:noProof/>
          <w:sz w:val="22"/>
          <w:szCs w:val="22"/>
          <w:lang w:eastAsia="en-AU"/>
        </w:rPr>
      </w:pPr>
      <w:hyperlink w:anchor="_Toc383529629" w:history="1">
        <w:r w:rsidR="00FD2E70" w:rsidRPr="00401C9E">
          <w:rPr>
            <w:rStyle w:val="Hyperlink"/>
            <w:noProof/>
          </w:rPr>
          <w:t>Consultation</w:t>
        </w:r>
        <w:r w:rsidR="00FD2E70">
          <w:rPr>
            <w:noProof/>
            <w:webHidden/>
          </w:rPr>
          <w:tab/>
        </w:r>
        <w:r w:rsidR="00FD2E70">
          <w:rPr>
            <w:noProof/>
            <w:webHidden/>
          </w:rPr>
          <w:fldChar w:fldCharType="begin"/>
        </w:r>
        <w:r w:rsidR="00FD2E70">
          <w:rPr>
            <w:noProof/>
            <w:webHidden/>
          </w:rPr>
          <w:instrText xml:space="preserve"> PAGEREF _Toc383529629 \h </w:instrText>
        </w:r>
        <w:r w:rsidR="00FD2E70">
          <w:rPr>
            <w:noProof/>
            <w:webHidden/>
          </w:rPr>
        </w:r>
        <w:r w:rsidR="00FD2E70">
          <w:rPr>
            <w:noProof/>
            <w:webHidden/>
          </w:rPr>
          <w:fldChar w:fldCharType="separate"/>
        </w:r>
        <w:r w:rsidR="00936337">
          <w:rPr>
            <w:noProof/>
            <w:webHidden/>
          </w:rPr>
          <w:t>4</w:t>
        </w:r>
        <w:r w:rsidR="00FD2E70">
          <w:rPr>
            <w:noProof/>
            <w:webHidden/>
          </w:rPr>
          <w:fldChar w:fldCharType="end"/>
        </w:r>
      </w:hyperlink>
    </w:p>
    <w:p w:rsidR="00FD2E70" w:rsidRDefault="00FB5D5F">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3529630" w:history="1">
        <w:r w:rsidR="00FD2E70" w:rsidRPr="00401C9E">
          <w:rPr>
            <w:rStyle w:val="Hyperlink"/>
            <w:noProof/>
          </w:rPr>
          <w:t>1</w:t>
        </w:r>
        <w:r w:rsidR="00FD2E70">
          <w:rPr>
            <w:rFonts w:asciiTheme="minorHAnsi" w:eastAsiaTheme="minorEastAsia" w:hAnsiTheme="minorHAnsi" w:cstheme="minorBidi"/>
            <w:b w:val="0"/>
            <w:bCs w:val="0"/>
            <w:noProof/>
            <w:sz w:val="22"/>
            <w:szCs w:val="22"/>
            <w:lang w:eastAsia="en-AU"/>
          </w:rPr>
          <w:tab/>
        </w:r>
        <w:r w:rsidR="00FD2E70" w:rsidRPr="00401C9E">
          <w:rPr>
            <w:rStyle w:val="Hyperlink"/>
            <w:noProof/>
          </w:rPr>
          <w:t>Background</w:t>
        </w:r>
        <w:r w:rsidR="00FD2E70">
          <w:rPr>
            <w:noProof/>
            <w:webHidden/>
          </w:rPr>
          <w:tab/>
        </w:r>
        <w:r w:rsidR="00FD2E70">
          <w:rPr>
            <w:noProof/>
            <w:webHidden/>
          </w:rPr>
          <w:fldChar w:fldCharType="begin"/>
        </w:r>
        <w:r w:rsidR="00FD2E70">
          <w:rPr>
            <w:noProof/>
            <w:webHidden/>
          </w:rPr>
          <w:instrText xml:space="preserve"> PAGEREF _Toc383529630 \h </w:instrText>
        </w:r>
        <w:r w:rsidR="00FD2E70">
          <w:rPr>
            <w:noProof/>
            <w:webHidden/>
          </w:rPr>
        </w:r>
        <w:r w:rsidR="00FD2E70">
          <w:rPr>
            <w:noProof/>
            <w:webHidden/>
          </w:rPr>
          <w:fldChar w:fldCharType="separate"/>
        </w:r>
        <w:r w:rsidR="00936337">
          <w:rPr>
            <w:noProof/>
            <w:webHidden/>
          </w:rPr>
          <w:t>5</w:t>
        </w:r>
        <w:r w:rsidR="00FD2E70">
          <w:rPr>
            <w:noProof/>
            <w:webHidden/>
          </w:rPr>
          <w:fldChar w:fldCharType="end"/>
        </w:r>
      </w:hyperlink>
    </w:p>
    <w:p w:rsidR="00FD2E70" w:rsidRDefault="00FB5D5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3529631" w:history="1">
        <w:r w:rsidR="00FD2E70" w:rsidRPr="00401C9E">
          <w:rPr>
            <w:rStyle w:val="Hyperlink"/>
            <w:noProof/>
          </w:rPr>
          <w:t>1.1</w:t>
        </w:r>
        <w:r w:rsidR="00FD2E70">
          <w:rPr>
            <w:rFonts w:asciiTheme="minorHAnsi" w:eastAsiaTheme="minorEastAsia" w:hAnsiTheme="minorHAnsi" w:cstheme="minorBidi"/>
            <w:iCs w:val="0"/>
            <w:noProof/>
            <w:sz w:val="22"/>
            <w:szCs w:val="22"/>
            <w:lang w:eastAsia="en-AU"/>
          </w:rPr>
          <w:tab/>
        </w:r>
        <w:r w:rsidR="00FD2E70" w:rsidRPr="00401C9E">
          <w:rPr>
            <w:rStyle w:val="Hyperlink"/>
            <w:noProof/>
          </w:rPr>
          <w:t>Initial rule change request</w:t>
        </w:r>
        <w:r w:rsidR="00FD2E70">
          <w:rPr>
            <w:noProof/>
            <w:webHidden/>
          </w:rPr>
          <w:tab/>
        </w:r>
        <w:r w:rsidR="00FD2E70">
          <w:rPr>
            <w:noProof/>
            <w:webHidden/>
          </w:rPr>
          <w:fldChar w:fldCharType="begin"/>
        </w:r>
        <w:r w:rsidR="00FD2E70">
          <w:rPr>
            <w:noProof/>
            <w:webHidden/>
          </w:rPr>
          <w:instrText xml:space="preserve"> PAGEREF _Toc383529631 \h </w:instrText>
        </w:r>
        <w:r w:rsidR="00FD2E70">
          <w:rPr>
            <w:noProof/>
            <w:webHidden/>
          </w:rPr>
        </w:r>
        <w:r w:rsidR="00FD2E70">
          <w:rPr>
            <w:noProof/>
            <w:webHidden/>
          </w:rPr>
          <w:fldChar w:fldCharType="separate"/>
        </w:r>
        <w:r w:rsidR="00936337">
          <w:rPr>
            <w:noProof/>
            <w:webHidden/>
          </w:rPr>
          <w:t>5</w:t>
        </w:r>
        <w:r w:rsidR="00FD2E70">
          <w:rPr>
            <w:noProof/>
            <w:webHidden/>
          </w:rPr>
          <w:fldChar w:fldCharType="end"/>
        </w:r>
      </w:hyperlink>
    </w:p>
    <w:p w:rsidR="00FD2E70" w:rsidRDefault="00FB5D5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3529632" w:history="1">
        <w:r w:rsidR="00FD2E70" w:rsidRPr="00401C9E">
          <w:rPr>
            <w:rStyle w:val="Hyperlink"/>
            <w:noProof/>
          </w:rPr>
          <w:t>1.2</w:t>
        </w:r>
        <w:r w:rsidR="00FD2E70">
          <w:rPr>
            <w:rFonts w:asciiTheme="minorHAnsi" w:eastAsiaTheme="minorEastAsia" w:hAnsiTheme="minorHAnsi" w:cstheme="minorBidi"/>
            <w:iCs w:val="0"/>
            <w:noProof/>
            <w:sz w:val="22"/>
            <w:szCs w:val="22"/>
            <w:lang w:eastAsia="en-AU"/>
          </w:rPr>
          <w:tab/>
        </w:r>
        <w:r w:rsidR="00FD2E70" w:rsidRPr="00401C9E">
          <w:rPr>
            <w:rStyle w:val="Hyperlink"/>
            <w:noProof/>
          </w:rPr>
          <w:t>Final rule determination</w:t>
        </w:r>
        <w:r w:rsidR="00FD2E70">
          <w:rPr>
            <w:noProof/>
            <w:webHidden/>
          </w:rPr>
          <w:tab/>
        </w:r>
        <w:r w:rsidR="00FD2E70">
          <w:rPr>
            <w:noProof/>
            <w:webHidden/>
          </w:rPr>
          <w:fldChar w:fldCharType="begin"/>
        </w:r>
        <w:r w:rsidR="00FD2E70">
          <w:rPr>
            <w:noProof/>
            <w:webHidden/>
          </w:rPr>
          <w:instrText xml:space="preserve"> PAGEREF _Toc383529632 \h </w:instrText>
        </w:r>
        <w:r w:rsidR="00FD2E70">
          <w:rPr>
            <w:noProof/>
            <w:webHidden/>
          </w:rPr>
        </w:r>
        <w:r w:rsidR="00FD2E70">
          <w:rPr>
            <w:noProof/>
            <w:webHidden/>
          </w:rPr>
          <w:fldChar w:fldCharType="separate"/>
        </w:r>
        <w:r w:rsidR="00936337">
          <w:rPr>
            <w:noProof/>
            <w:webHidden/>
          </w:rPr>
          <w:t>5</w:t>
        </w:r>
        <w:r w:rsidR="00FD2E70">
          <w:rPr>
            <w:noProof/>
            <w:webHidden/>
          </w:rPr>
          <w:fldChar w:fldCharType="end"/>
        </w:r>
      </w:hyperlink>
    </w:p>
    <w:p w:rsidR="00FD2E70" w:rsidRDefault="00FB5D5F">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3529633" w:history="1">
        <w:r w:rsidR="00FD2E70" w:rsidRPr="00401C9E">
          <w:rPr>
            <w:rStyle w:val="Hyperlink"/>
            <w:noProof/>
          </w:rPr>
          <w:t>2</w:t>
        </w:r>
        <w:r w:rsidR="00FD2E70">
          <w:rPr>
            <w:rFonts w:asciiTheme="minorHAnsi" w:eastAsiaTheme="minorEastAsia" w:hAnsiTheme="minorHAnsi" w:cstheme="minorBidi"/>
            <w:b w:val="0"/>
            <w:bCs w:val="0"/>
            <w:noProof/>
            <w:sz w:val="22"/>
            <w:szCs w:val="22"/>
            <w:lang w:eastAsia="en-AU"/>
          </w:rPr>
          <w:tab/>
        </w:r>
        <w:r w:rsidR="00FD2E70" w:rsidRPr="00401C9E">
          <w:rPr>
            <w:rStyle w:val="Hyperlink"/>
            <w:noProof/>
          </w:rPr>
          <w:t>Pricing methodology guidelines</w:t>
        </w:r>
        <w:r w:rsidR="00FD2E70">
          <w:rPr>
            <w:noProof/>
            <w:webHidden/>
          </w:rPr>
          <w:tab/>
        </w:r>
        <w:r w:rsidR="00FD2E70">
          <w:rPr>
            <w:noProof/>
            <w:webHidden/>
          </w:rPr>
          <w:fldChar w:fldCharType="begin"/>
        </w:r>
        <w:r w:rsidR="00FD2E70">
          <w:rPr>
            <w:noProof/>
            <w:webHidden/>
          </w:rPr>
          <w:instrText xml:space="preserve"> PAGEREF _Toc383529633 \h </w:instrText>
        </w:r>
        <w:r w:rsidR="00FD2E70">
          <w:rPr>
            <w:noProof/>
            <w:webHidden/>
          </w:rPr>
        </w:r>
        <w:r w:rsidR="00FD2E70">
          <w:rPr>
            <w:noProof/>
            <w:webHidden/>
          </w:rPr>
          <w:fldChar w:fldCharType="separate"/>
        </w:r>
        <w:r w:rsidR="00936337">
          <w:rPr>
            <w:noProof/>
            <w:webHidden/>
          </w:rPr>
          <w:t>10</w:t>
        </w:r>
        <w:r w:rsidR="00FD2E70">
          <w:rPr>
            <w:noProof/>
            <w:webHidden/>
          </w:rPr>
          <w:fldChar w:fldCharType="end"/>
        </w:r>
      </w:hyperlink>
    </w:p>
    <w:p w:rsidR="00FD2E70" w:rsidRDefault="00FB5D5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3529634" w:history="1">
        <w:r w:rsidR="00FD2E70" w:rsidRPr="00401C9E">
          <w:rPr>
            <w:rStyle w:val="Hyperlink"/>
            <w:noProof/>
          </w:rPr>
          <w:t>2.1</w:t>
        </w:r>
        <w:r w:rsidR="00FD2E70">
          <w:rPr>
            <w:rFonts w:asciiTheme="minorHAnsi" w:eastAsiaTheme="minorEastAsia" w:hAnsiTheme="minorHAnsi" w:cstheme="minorBidi"/>
            <w:iCs w:val="0"/>
            <w:noProof/>
            <w:sz w:val="22"/>
            <w:szCs w:val="22"/>
            <w:lang w:eastAsia="en-AU"/>
          </w:rPr>
          <w:tab/>
        </w:r>
        <w:r w:rsidR="00FD2E70" w:rsidRPr="00401C9E">
          <w:rPr>
            <w:rStyle w:val="Hyperlink"/>
            <w:noProof/>
          </w:rPr>
          <w:t>Amendment requirements</w:t>
        </w:r>
        <w:r w:rsidR="00FD2E70">
          <w:rPr>
            <w:noProof/>
            <w:webHidden/>
          </w:rPr>
          <w:tab/>
        </w:r>
        <w:r w:rsidR="00FD2E70">
          <w:rPr>
            <w:noProof/>
            <w:webHidden/>
          </w:rPr>
          <w:fldChar w:fldCharType="begin"/>
        </w:r>
        <w:r w:rsidR="00FD2E70">
          <w:rPr>
            <w:noProof/>
            <w:webHidden/>
          </w:rPr>
          <w:instrText xml:space="preserve"> PAGEREF _Toc383529634 \h </w:instrText>
        </w:r>
        <w:r w:rsidR="00FD2E70">
          <w:rPr>
            <w:noProof/>
            <w:webHidden/>
          </w:rPr>
        </w:r>
        <w:r w:rsidR="00FD2E70">
          <w:rPr>
            <w:noProof/>
            <w:webHidden/>
          </w:rPr>
          <w:fldChar w:fldCharType="separate"/>
        </w:r>
        <w:r w:rsidR="00936337">
          <w:rPr>
            <w:noProof/>
            <w:webHidden/>
          </w:rPr>
          <w:t>10</w:t>
        </w:r>
        <w:r w:rsidR="00FD2E70">
          <w:rPr>
            <w:noProof/>
            <w:webHidden/>
          </w:rPr>
          <w:fldChar w:fldCharType="end"/>
        </w:r>
      </w:hyperlink>
    </w:p>
    <w:p w:rsidR="00FD2E70" w:rsidRDefault="00FB5D5F">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3529635" w:history="1">
        <w:r w:rsidR="00FD2E70" w:rsidRPr="00401C9E">
          <w:rPr>
            <w:rStyle w:val="Hyperlink"/>
            <w:noProof/>
          </w:rPr>
          <w:t>2.2</w:t>
        </w:r>
        <w:r w:rsidR="00FD2E70">
          <w:rPr>
            <w:rFonts w:asciiTheme="minorHAnsi" w:eastAsiaTheme="minorEastAsia" w:hAnsiTheme="minorHAnsi" w:cstheme="minorBidi"/>
            <w:iCs w:val="0"/>
            <w:noProof/>
            <w:sz w:val="22"/>
            <w:szCs w:val="22"/>
            <w:lang w:eastAsia="en-AU"/>
          </w:rPr>
          <w:tab/>
        </w:r>
        <w:r w:rsidR="00FD2E70" w:rsidRPr="00401C9E">
          <w:rPr>
            <w:rStyle w:val="Hyperlink"/>
            <w:noProof/>
          </w:rPr>
          <w:t>Proposed amendments</w:t>
        </w:r>
        <w:r w:rsidR="00FD2E70">
          <w:rPr>
            <w:noProof/>
            <w:webHidden/>
          </w:rPr>
          <w:tab/>
        </w:r>
        <w:r w:rsidR="00FD2E70">
          <w:rPr>
            <w:noProof/>
            <w:webHidden/>
          </w:rPr>
          <w:fldChar w:fldCharType="begin"/>
        </w:r>
        <w:r w:rsidR="00FD2E70">
          <w:rPr>
            <w:noProof/>
            <w:webHidden/>
          </w:rPr>
          <w:instrText xml:space="preserve"> PAGEREF _Toc383529635 \h </w:instrText>
        </w:r>
        <w:r w:rsidR="00FD2E70">
          <w:rPr>
            <w:noProof/>
            <w:webHidden/>
          </w:rPr>
        </w:r>
        <w:r w:rsidR="00FD2E70">
          <w:rPr>
            <w:noProof/>
            <w:webHidden/>
          </w:rPr>
          <w:fldChar w:fldCharType="separate"/>
        </w:r>
        <w:r w:rsidR="00936337">
          <w:rPr>
            <w:noProof/>
            <w:webHidden/>
          </w:rPr>
          <w:t>11</w:t>
        </w:r>
        <w:r w:rsidR="00FD2E70">
          <w:rPr>
            <w:noProof/>
            <w:webHidden/>
          </w:rPr>
          <w:fldChar w:fldCharType="end"/>
        </w:r>
      </w:hyperlink>
    </w:p>
    <w:p w:rsidR="00F739FF" w:rsidRDefault="00824CC8" w:rsidP="00DF16C2">
      <w:pPr>
        <w:pStyle w:val="TOC1"/>
      </w:pPr>
      <w:r w:rsidRPr="00AC1B94">
        <w:fldChar w:fldCharType="end"/>
      </w:r>
    </w:p>
    <w:p w:rsidR="00F739FF" w:rsidRDefault="00F739FF">
      <w:pPr>
        <w:spacing w:after="0" w:line="240" w:lineRule="auto"/>
        <w:jc w:val="left"/>
        <w:rPr>
          <w:b/>
          <w:bCs/>
        </w:rPr>
      </w:pPr>
      <w:r>
        <w:br w:type="page"/>
      </w:r>
    </w:p>
    <w:p w:rsidR="009658F0" w:rsidRDefault="0090504E" w:rsidP="00F97CD9">
      <w:pPr>
        <w:pStyle w:val="UnnumberedHeading"/>
        <w:numPr>
          <w:ilvl w:val="0"/>
          <w:numId w:val="2"/>
        </w:numPr>
      </w:pPr>
      <w:bookmarkStart w:id="3" w:name="_Toc383529628"/>
      <w:r>
        <w:lastRenderedPageBreak/>
        <w:t>Overview</w:t>
      </w:r>
      <w:bookmarkEnd w:id="3"/>
    </w:p>
    <w:p w:rsidR="0090504E" w:rsidRDefault="0090504E" w:rsidP="0090504E">
      <w:r>
        <w:t>W</w:t>
      </w:r>
      <w:r w:rsidR="001A6547">
        <w:t xml:space="preserve">e </w:t>
      </w:r>
      <w:r>
        <w:t xml:space="preserve">are responsible for the economic regulation of transmission service providers in the national electricity market (NEM). We regulate </w:t>
      </w:r>
      <w:r w:rsidR="00DF4918">
        <w:t>transmission service providers</w:t>
      </w:r>
      <w:r>
        <w:t xml:space="preserve"> in accordance with the national electricity rules (NER) and the national electricity law (NEL).</w:t>
      </w:r>
    </w:p>
    <w:p w:rsidR="00A67171" w:rsidRDefault="00373BE0" w:rsidP="003059DF">
      <w:r>
        <w:t>O</w:t>
      </w:r>
      <w:r w:rsidR="0090504E">
        <w:t>n 28 February 2013, the Australian Energy Market Commission (</w:t>
      </w:r>
      <w:r w:rsidR="00BC3D90">
        <w:t>the Commission</w:t>
      </w:r>
      <w:r w:rsidR="0090504E">
        <w:t xml:space="preserve">) published </w:t>
      </w:r>
      <w:r w:rsidR="000E662F">
        <w:t xml:space="preserve">its </w:t>
      </w:r>
      <w:r w:rsidR="0090504E">
        <w:t xml:space="preserve">final determination and final rule </w:t>
      </w:r>
      <w:r w:rsidR="00084B3E">
        <w:t>implementing inter-regional tran</w:t>
      </w:r>
      <w:r w:rsidR="00A67171">
        <w:t>smission charging arrangements. The final rule provides for an additional transmission network charge—a</w:t>
      </w:r>
      <w:r w:rsidR="00D90DD3">
        <w:t xml:space="preserve"> </w:t>
      </w:r>
      <w:r w:rsidR="00F56010">
        <w:t>l</w:t>
      </w:r>
      <w:r w:rsidR="00A67171">
        <w:t xml:space="preserve">oad export charge—which will be levied between </w:t>
      </w:r>
      <w:r w:rsidR="00BC3D90">
        <w:t>transmission network providers</w:t>
      </w:r>
      <w:r w:rsidR="00DF4918">
        <w:t xml:space="preserve"> in adjacent regions of the NEM from 1 July 2015.</w:t>
      </w:r>
    </w:p>
    <w:p w:rsidR="00BC3D90" w:rsidRDefault="00660DAE" w:rsidP="003059DF">
      <w:r>
        <w:t>The</w:t>
      </w:r>
      <w:r w:rsidR="008866D1">
        <w:t xml:space="preserve"> modified load export </w:t>
      </w:r>
      <w:r>
        <w:t xml:space="preserve">charge </w:t>
      </w:r>
      <w:r w:rsidR="00BC3D90">
        <w:t>will</w:t>
      </w:r>
      <w:r w:rsidR="00837602">
        <w:t xml:space="preserve"> lead</w:t>
      </w:r>
      <w:r w:rsidR="00B06E9A">
        <w:t xml:space="preserve"> to</w:t>
      </w:r>
      <w:r w:rsidR="00837602">
        <w:t xml:space="preserve"> </w:t>
      </w:r>
      <w:r w:rsidR="00B06E9A">
        <w:t xml:space="preserve">some </w:t>
      </w:r>
      <w:r w:rsidR="00837602">
        <w:t>c</w:t>
      </w:r>
      <w:r w:rsidR="00B06E9A">
        <w:t>ustomers paying</w:t>
      </w:r>
      <w:r w:rsidR="00393D88">
        <w:t xml:space="preserve"> </w:t>
      </w:r>
      <w:r w:rsidR="00B06E9A">
        <w:t>more for</w:t>
      </w:r>
      <w:r w:rsidR="00F46AE8">
        <w:t xml:space="preserve"> </w:t>
      </w:r>
      <w:r w:rsidR="001B5F84">
        <w:t xml:space="preserve">transmission services </w:t>
      </w:r>
      <w:r w:rsidR="00F237C8">
        <w:t>and</w:t>
      </w:r>
      <w:r w:rsidR="001B5F84">
        <w:t xml:space="preserve"> </w:t>
      </w:r>
      <w:r w:rsidR="00B06E9A">
        <w:t>others</w:t>
      </w:r>
      <w:r w:rsidR="00F237C8">
        <w:t xml:space="preserve"> paying</w:t>
      </w:r>
      <w:r w:rsidR="00393D88">
        <w:t xml:space="preserve"> </w:t>
      </w:r>
      <w:r w:rsidR="00B06E9A">
        <w:t>less</w:t>
      </w:r>
      <w:r w:rsidR="00BC3D90">
        <w:t xml:space="preserve">, depending on which region </w:t>
      </w:r>
      <w:r w:rsidR="00DF4918">
        <w:t>in</w:t>
      </w:r>
      <w:r w:rsidR="00BC3D90">
        <w:t xml:space="preserve"> the NEM they are located.</w:t>
      </w:r>
    </w:p>
    <w:p w:rsidR="008866D1" w:rsidRDefault="00936337" w:rsidP="003059DF">
      <w:r>
        <w:t>Modelling conducted by the Commission showed that the</w:t>
      </w:r>
      <w:r w:rsidR="00BC3D90">
        <w:t xml:space="preserve"> rise or fall in an average residential bill is </w:t>
      </w:r>
      <w:r w:rsidR="001B5F84">
        <w:t xml:space="preserve">expected to </w:t>
      </w:r>
      <w:r w:rsidR="00393D88">
        <w:t>be about 1 per cent</w:t>
      </w:r>
      <w:r w:rsidR="001B5F84">
        <w:t>.</w:t>
      </w:r>
      <w:r w:rsidR="00583A4A">
        <w:rPr>
          <w:rStyle w:val="FootnoteReference"/>
        </w:rPr>
        <w:footnoteReference w:id="1"/>
      </w:r>
      <w:r w:rsidR="00B06E9A">
        <w:t xml:space="preserve"> </w:t>
      </w:r>
      <w:r w:rsidR="00DE1CC8">
        <w:t>As well, the</w:t>
      </w:r>
      <w:r w:rsidR="00B06E9A">
        <w:t xml:space="preserve"> aggregate revenues of all transmission busine</w:t>
      </w:r>
      <w:r w:rsidR="00F237C8">
        <w:t xml:space="preserve">sses in the NEM will not change. </w:t>
      </w:r>
      <w:r w:rsidR="00393D88">
        <w:t>T</w:t>
      </w:r>
      <w:r w:rsidR="00B06E9A">
        <w:t xml:space="preserve">he load export charge reallocates </w:t>
      </w:r>
      <w:r w:rsidR="00F237C8" w:rsidRPr="00393D88">
        <w:rPr>
          <w:i/>
        </w:rPr>
        <w:t>existing</w:t>
      </w:r>
      <w:r w:rsidR="00F237C8">
        <w:t xml:space="preserve"> </w:t>
      </w:r>
      <w:r w:rsidR="00393D88">
        <w:t>costs</w:t>
      </w:r>
      <w:r w:rsidR="00B06E9A">
        <w:t xml:space="preserve"> between </w:t>
      </w:r>
      <w:r w:rsidR="00393D88">
        <w:t xml:space="preserve">regions; it </w:t>
      </w:r>
      <w:r w:rsidR="00393D88" w:rsidRPr="00FD2E70">
        <w:t>does not</w:t>
      </w:r>
      <w:r w:rsidR="00FD2E70">
        <w:t xml:space="preserve"> introduce new costs from which additional revenue can be recovered.</w:t>
      </w:r>
    </w:p>
    <w:p w:rsidR="009F7CE4" w:rsidRDefault="0090504E" w:rsidP="003059DF">
      <w:r>
        <w:t xml:space="preserve">The </w:t>
      </w:r>
      <w:r w:rsidR="003A57BA">
        <w:t>Commission</w:t>
      </w:r>
      <w:r w:rsidR="00DC7B21">
        <w:t>’s</w:t>
      </w:r>
      <w:r>
        <w:t xml:space="preserve"> final rule requires </w:t>
      </w:r>
      <w:r w:rsidR="00DC7B21">
        <w:t>the</w:t>
      </w:r>
      <w:r w:rsidR="008A06D6">
        <w:t xml:space="preserve"> transmission</w:t>
      </w:r>
      <w:r w:rsidR="00DC7B21">
        <w:t xml:space="preserve"> businesses </w:t>
      </w:r>
      <w:r>
        <w:t>to amend their pricing m</w:t>
      </w:r>
      <w:r w:rsidR="001D77C4">
        <w:t>ethodologies by 27 February 2015</w:t>
      </w:r>
      <w:r>
        <w:t>. To facilitate this, we are required to amend our transmissio</w:t>
      </w:r>
      <w:r w:rsidR="00E77B88">
        <w:t>n Pricing Methodology Guidelines</w:t>
      </w:r>
      <w:r w:rsidR="008340EB">
        <w:t xml:space="preserve"> (the Guidelines)</w:t>
      </w:r>
      <w:r w:rsidR="003059DF">
        <w:t>.</w:t>
      </w:r>
      <w:r w:rsidR="00A400B4">
        <w:rPr>
          <w:rStyle w:val="FootnoteReference"/>
        </w:rPr>
        <w:footnoteReference w:id="2"/>
      </w:r>
      <w:r w:rsidR="000B7214" w:rsidRPr="000B7214">
        <w:t xml:space="preserve"> </w:t>
      </w:r>
      <w:r w:rsidR="000B7214">
        <w:t xml:space="preserve">Before </w:t>
      </w:r>
      <w:r w:rsidR="00730F63">
        <w:t>this happens</w:t>
      </w:r>
      <w:r w:rsidR="000B7214">
        <w:t xml:space="preserve"> we are</w:t>
      </w:r>
      <w:r w:rsidR="00730F63">
        <w:t>, however,</w:t>
      </w:r>
      <w:r w:rsidR="000B7214">
        <w:t xml:space="preserve"> required to publish our proposed amendments with an invitation to stakeholders to provide submissions.</w:t>
      </w:r>
      <w:r w:rsidR="00730F63">
        <w:rPr>
          <w:rStyle w:val="FootnoteReference"/>
        </w:rPr>
        <w:footnoteReference w:id="3"/>
      </w:r>
      <w:r w:rsidR="000B7214">
        <w:t xml:space="preserve"> </w:t>
      </w:r>
      <w:r w:rsidR="00730F63">
        <w:t>This issues p</w:t>
      </w:r>
      <w:r w:rsidR="00654283">
        <w:t xml:space="preserve">aper furthers that requirement. </w:t>
      </w:r>
      <w:r w:rsidR="00932794">
        <w:t>Appendix A provides general information about transmission pricing.</w:t>
      </w:r>
    </w:p>
    <w:p w:rsidR="0090504E" w:rsidRDefault="0090504E" w:rsidP="0090504E">
      <w:pPr>
        <w:pStyle w:val="Heading2"/>
        <w:numPr>
          <w:ilvl w:val="0"/>
          <w:numId w:val="0"/>
        </w:numPr>
      </w:pPr>
      <w:bookmarkStart w:id="4" w:name="_Toc383529629"/>
      <w:r>
        <w:t>Consultation</w:t>
      </w:r>
      <w:bookmarkEnd w:id="4"/>
    </w:p>
    <w:p w:rsidR="00E535F0" w:rsidRPr="00B90C6F" w:rsidRDefault="0090504E" w:rsidP="00E535F0">
      <w:pPr>
        <w:pStyle w:val="AERbodytext"/>
      </w:pPr>
      <w:r w:rsidRPr="0090504E">
        <w:rPr>
          <w:rFonts w:eastAsia="Calibri"/>
        </w:rPr>
        <w:t xml:space="preserve">Stakeholders may provide written submissions on </w:t>
      </w:r>
      <w:r w:rsidR="00E535F0">
        <w:rPr>
          <w:rFonts w:eastAsia="Calibri"/>
        </w:rPr>
        <w:t>this issues paper and the proposed</w:t>
      </w:r>
      <w:r w:rsidR="00F90A5C">
        <w:rPr>
          <w:rFonts w:eastAsia="Calibri"/>
        </w:rPr>
        <w:t xml:space="preserve"> amendments by</w:t>
      </w:r>
      <w:r w:rsidRPr="0090504E">
        <w:rPr>
          <w:rFonts w:eastAsia="Calibri"/>
        </w:rPr>
        <w:t xml:space="preserve"> </w:t>
      </w:r>
      <w:r w:rsidRPr="00654283">
        <w:rPr>
          <w:rFonts w:eastAsia="Calibri"/>
        </w:rPr>
        <w:t xml:space="preserve">COB </w:t>
      </w:r>
      <w:r w:rsidR="0090561F">
        <w:rPr>
          <w:rFonts w:eastAsia="Calibri"/>
        </w:rPr>
        <w:t>30</w:t>
      </w:r>
      <w:r w:rsidR="00654283" w:rsidRPr="00654283">
        <w:rPr>
          <w:rFonts w:eastAsia="Calibri"/>
        </w:rPr>
        <w:t xml:space="preserve"> </w:t>
      </w:r>
      <w:r w:rsidR="00654283">
        <w:rPr>
          <w:rFonts w:eastAsia="Calibri"/>
        </w:rPr>
        <w:t>May</w:t>
      </w:r>
      <w:r w:rsidRPr="00654283">
        <w:rPr>
          <w:rFonts w:eastAsia="Calibri"/>
        </w:rPr>
        <w:t xml:space="preserve"> 2014</w:t>
      </w:r>
      <w:r w:rsidR="00F90A5C">
        <w:rPr>
          <w:rFonts w:eastAsia="Calibri"/>
        </w:rPr>
        <w:t>. Submission</w:t>
      </w:r>
      <w:r w:rsidR="008D648E">
        <w:rPr>
          <w:rFonts w:eastAsia="Calibri"/>
        </w:rPr>
        <w:t>s</w:t>
      </w:r>
      <w:r w:rsidRPr="0090504E">
        <w:rPr>
          <w:rFonts w:eastAsia="Calibri"/>
        </w:rPr>
        <w:t xml:space="preserve"> </w:t>
      </w:r>
      <w:r w:rsidR="008D648E">
        <w:rPr>
          <w:rFonts w:eastAsia="Calibri"/>
        </w:rPr>
        <w:t>may</w:t>
      </w:r>
      <w:r w:rsidRPr="0090504E">
        <w:rPr>
          <w:rFonts w:eastAsia="Calibri"/>
        </w:rPr>
        <w:t xml:space="preserve"> be sent electronically to</w:t>
      </w:r>
      <w:r w:rsidR="007C2FBF">
        <w:rPr>
          <w:rFonts w:eastAsia="Calibri"/>
        </w:rPr>
        <w:t xml:space="preserve"> </w:t>
      </w:r>
      <w:hyperlink r:id="rId12" w:history="1">
        <w:r w:rsidR="00654283" w:rsidRPr="00DD0F79">
          <w:rPr>
            <w:rStyle w:val="Hyperlink"/>
            <w:rFonts w:eastAsia="Calibri"/>
          </w:rPr>
          <w:t>AERinquiry@aer.gov.au</w:t>
        </w:r>
      </w:hyperlink>
      <w:r w:rsidR="00654283">
        <w:rPr>
          <w:rFonts w:eastAsia="Calibri"/>
        </w:rPr>
        <w:t xml:space="preserve">. </w:t>
      </w:r>
      <w:r w:rsidR="007C2FBF" w:rsidRPr="004A6A1A">
        <w:rPr>
          <w:rStyle w:val="AERbody"/>
          <w:rFonts w:eastAsia="Calibri"/>
        </w:rPr>
        <w:t xml:space="preserve">Inquiries should be directed to the </w:t>
      </w:r>
      <w:r w:rsidR="007C2FBF">
        <w:rPr>
          <w:rStyle w:val="AERbody"/>
          <w:rFonts w:eastAsia="Calibri"/>
        </w:rPr>
        <w:t xml:space="preserve">AER </w:t>
      </w:r>
      <w:r w:rsidR="007C2FBF" w:rsidRPr="004A6A1A">
        <w:rPr>
          <w:rStyle w:val="AERbody"/>
          <w:rFonts w:eastAsia="Calibri"/>
        </w:rPr>
        <w:t xml:space="preserve">Network Regulation Branch </w:t>
      </w:r>
      <w:r w:rsidR="007C2FBF">
        <w:rPr>
          <w:rStyle w:val="AERbody"/>
          <w:rFonts w:eastAsia="Calibri"/>
        </w:rPr>
        <w:t>on (03) 9290 1800</w:t>
      </w:r>
      <w:r w:rsidR="007C2FBF" w:rsidRPr="004A6A1A">
        <w:rPr>
          <w:rStyle w:val="AERbody"/>
          <w:rFonts w:eastAsia="Calibri"/>
        </w:rPr>
        <w:t>.</w:t>
      </w:r>
      <w:r w:rsidR="007C2FBF" w:rsidRPr="00B90C6F">
        <w:t xml:space="preserve"> </w:t>
      </w:r>
    </w:p>
    <w:tbl>
      <w:tblPr>
        <w:tblStyle w:val="AERtable-text"/>
        <w:tblW w:w="0" w:type="auto"/>
        <w:tblLook w:val="04A0" w:firstRow="1" w:lastRow="0" w:firstColumn="1" w:lastColumn="0" w:noHBand="0" w:noVBand="1"/>
      </w:tblPr>
      <w:tblGrid>
        <w:gridCol w:w="4621"/>
        <w:gridCol w:w="4621"/>
      </w:tblGrid>
      <w:tr w:rsidR="00526D76" w:rsidTr="00526D76">
        <w:trPr>
          <w:cnfStyle w:val="100000000000" w:firstRow="1" w:lastRow="0" w:firstColumn="0" w:lastColumn="0" w:oddVBand="0" w:evenVBand="0" w:oddHBand="0" w:evenHBand="0" w:firstRowFirstColumn="0" w:firstRowLastColumn="0" w:lastRowFirstColumn="0" w:lastRowLastColumn="0"/>
        </w:trPr>
        <w:tc>
          <w:tcPr>
            <w:tcW w:w="4621" w:type="dxa"/>
          </w:tcPr>
          <w:p w:rsidR="00526D76" w:rsidRDefault="00526D76" w:rsidP="00526D76">
            <w:pPr>
              <w:pStyle w:val="AERbodytext"/>
            </w:pPr>
            <w:r>
              <w:t>Milestone</w:t>
            </w:r>
          </w:p>
        </w:tc>
        <w:tc>
          <w:tcPr>
            <w:tcW w:w="4621" w:type="dxa"/>
          </w:tcPr>
          <w:p w:rsidR="00526D76" w:rsidRDefault="00526D76" w:rsidP="00526D76">
            <w:pPr>
              <w:pStyle w:val="AERbodytext"/>
            </w:pPr>
            <w:r>
              <w:t>Date</w:t>
            </w:r>
          </w:p>
        </w:tc>
      </w:tr>
      <w:tr w:rsidR="00BC3D90" w:rsidTr="00526D76">
        <w:tc>
          <w:tcPr>
            <w:tcW w:w="4621" w:type="dxa"/>
          </w:tcPr>
          <w:p w:rsidR="00BC3D90" w:rsidRDefault="00FD2E70" w:rsidP="00FD2E70">
            <w:pPr>
              <w:pStyle w:val="AERbodytext"/>
            </w:pPr>
            <w:r>
              <w:t>Consultation closes on the proposed</w:t>
            </w:r>
            <w:r w:rsidR="00BC3D90">
              <w:t xml:space="preserve"> </w:t>
            </w:r>
            <w:r>
              <w:t>amendments</w:t>
            </w:r>
            <w:r w:rsidR="00BC3D90">
              <w:t xml:space="preserve"> </w:t>
            </w:r>
          </w:p>
        </w:tc>
        <w:tc>
          <w:tcPr>
            <w:tcW w:w="4621" w:type="dxa"/>
          </w:tcPr>
          <w:p w:rsidR="00BC3D90" w:rsidRDefault="0090561F" w:rsidP="00526D76">
            <w:pPr>
              <w:pStyle w:val="AERbodytext"/>
            </w:pPr>
            <w:r>
              <w:t>30</w:t>
            </w:r>
            <w:r w:rsidR="00654283">
              <w:t xml:space="preserve"> May 2014</w:t>
            </w:r>
          </w:p>
        </w:tc>
      </w:tr>
      <w:tr w:rsidR="00526D76" w:rsidTr="00526D76">
        <w:trPr>
          <w:cnfStyle w:val="000000010000" w:firstRow="0" w:lastRow="0" w:firstColumn="0" w:lastColumn="0" w:oddVBand="0" w:evenVBand="0" w:oddHBand="0" w:evenHBand="1" w:firstRowFirstColumn="0" w:firstRowLastColumn="0" w:lastRowFirstColumn="0" w:lastRowLastColumn="0"/>
        </w:trPr>
        <w:tc>
          <w:tcPr>
            <w:tcW w:w="4621" w:type="dxa"/>
          </w:tcPr>
          <w:p w:rsidR="00526D76" w:rsidRDefault="00526D76" w:rsidP="00526D76">
            <w:pPr>
              <w:pStyle w:val="AERbodytext"/>
            </w:pPr>
            <w:r>
              <w:t>Pricing methodology guidelines amended</w:t>
            </w:r>
          </w:p>
        </w:tc>
        <w:tc>
          <w:tcPr>
            <w:tcW w:w="4621" w:type="dxa"/>
          </w:tcPr>
          <w:p w:rsidR="00526D76" w:rsidRDefault="00526D76" w:rsidP="00526D76">
            <w:pPr>
              <w:pStyle w:val="AERbodytext"/>
            </w:pPr>
            <w:r>
              <w:t>30 September 2014</w:t>
            </w:r>
          </w:p>
        </w:tc>
      </w:tr>
      <w:tr w:rsidR="00526D76" w:rsidTr="00526D76">
        <w:tc>
          <w:tcPr>
            <w:tcW w:w="4621" w:type="dxa"/>
          </w:tcPr>
          <w:p w:rsidR="00526D76" w:rsidRDefault="00526D76" w:rsidP="00526D76">
            <w:pPr>
              <w:pStyle w:val="AERbodytext"/>
            </w:pPr>
            <w:r>
              <w:t>TNSP pricing methodologies must be amended</w:t>
            </w:r>
          </w:p>
        </w:tc>
        <w:tc>
          <w:tcPr>
            <w:tcW w:w="4621" w:type="dxa"/>
          </w:tcPr>
          <w:p w:rsidR="00526D76" w:rsidRDefault="00526D76" w:rsidP="00526D76">
            <w:pPr>
              <w:pStyle w:val="AERbodytext"/>
            </w:pPr>
            <w:r>
              <w:t>27 February 2015</w:t>
            </w:r>
          </w:p>
        </w:tc>
      </w:tr>
      <w:tr w:rsidR="00526D76" w:rsidTr="00526D76">
        <w:trPr>
          <w:cnfStyle w:val="000000010000" w:firstRow="0" w:lastRow="0" w:firstColumn="0" w:lastColumn="0" w:oddVBand="0" w:evenVBand="0" w:oddHBand="0" w:evenHBand="1" w:firstRowFirstColumn="0" w:firstRowLastColumn="0" w:lastRowFirstColumn="0" w:lastRowLastColumn="0"/>
        </w:trPr>
        <w:tc>
          <w:tcPr>
            <w:tcW w:w="4621" w:type="dxa"/>
          </w:tcPr>
          <w:p w:rsidR="00526D76" w:rsidRDefault="00526D76" w:rsidP="00526D76">
            <w:pPr>
              <w:pStyle w:val="AERbodytext"/>
            </w:pPr>
            <w:r>
              <w:t>TNSPs are required to publish first modified load export charge</w:t>
            </w:r>
          </w:p>
        </w:tc>
        <w:tc>
          <w:tcPr>
            <w:tcW w:w="4621" w:type="dxa"/>
          </w:tcPr>
          <w:p w:rsidR="00526D76" w:rsidRDefault="00526D76" w:rsidP="00526D76">
            <w:pPr>
              <w:pStyle w:val="AERbodytext"/>
            </w:pPr>
            <w:r>
              <w:t>15 March 2015</w:t>
            </w:r>
          </w:p>
        </w:tc>
      </w:tr>
      <w:tr w:rsidR="00526D76" w:rsidTr="00526D76">
        <w:tc>
          <w:tcPr>
            <w:tcW w:w="4621" w:type="dxa"/>
          </w:tcPr>
          <w:p w:rsidR="00526D76" w:rsidRDefault="00526D76" w:rsidP="00526D76">
            <w:pPr>
              <w:pStyle w:val="AERbodytext"/>
            </w:pPr>
            <w:r>
              <w:t>Commencement date for inter-regional transmission charging arrangements</w:t>
            </w:r>
            <w:r w:rsidR="00FD2E70">
              <w:t xml:space="preserve"> (modified load export charge)</w:t>
            </w:r>
          </w:p>
        </w:tc>
        <w:tc>
          <w:tcPr>
            <w:tcW w:w="4621" w:type="dxa"/>
          </w:tcPr>
          <w:p w:rsidR="00526D76" w:rsidRDefault="00526D76" w:rsidP="00526D76">
            <w:pPr>
              <w:pStyle w:val="AERbodytext"/>
            </w:pPr>
            <w:r>
              <w:t>1 July 2015</w:t>
            </w:r>
          </w:p>
        </w:tc>
      </w:tr>
    </w:tbl>
    <w:p w:rsidR="008E27CD" w:rsidRDefault="008E27CD" w:rsidP="008E27CD">
      <w:pPr>
        <w:pStyle w:val="Heading1"/>
      </w:pPr>
      <w:bookmarkStart w:id="5" w:name="_Toc383529630"/>
      <w:r>
        <w:lastRenderedPageBreak/>
        <w:t>Background</w:t>
      </w:r>
      <w:bookmarkEnd w:id="5"/>
    </w:p>
    <w:p w:rsidR="008E27CD" w:rsidRDefault="008E27CD" w:rsidP="008E27CD">
      <w:pPr>
        <w:pStyle w:val="AERbodytext"/>
        <w:numPr>
          <w:ilvl w:val="0"/>
          <w:numId w:val="0"/>
        </w:numPr>
      </w:pPr>
      <w:r>
        <w:t xml:space="preserve">In 2010 the Ministerial Council on Energy (MCE) (now known as the </w:t>
      </w:r>
      <w:r w:rsidR="00730F63">
        <w:t>Council of Australian Governments Energy Council</w:t>
      </w:r>
      <w:r>
        <w:t>) submitted a rule change request proposing the introduction of inter-regional transmission charging arrangements. On 28 February 2013, the AEMC made its final rule determination</w:t>
      </w:r>
      <w:r w:rsidR="007C2FBF">
        <w:t xml:space="preserve"> on this matter</w:t>
      </w:r>
      <w:r>
        <w:t xml:space="preserve">. It gives effect to aspects of the proposed rule but with modifications that the </w:t>
      </w:r>
      <w:r w:rsidR="00DF4918">
        <w:t>Commission</w:t>
      </w:r>
      <w:r>
        <w:t xml:space="preserve"> considered ‘more preferable’.</w:t>
      </w:r>
      <w:r>
        <w:rPr>
          <w:rStyle w:val="FootnoteReference"/>
        </w:rPr>
        <w:footnoteReference w:id="4"/>
      </w:r>
      <w:r>
        <w:t xml:space="preserve"> </w:t>
      </w:r>
    </w:p>
    <w:p w:rsidR="008E27CD" w:rsidRDefault="008E27CD" w:rsidP="008E27CD">
      <w:pPr>
        <w:pStyle w:val="Heading2"/>
      </w:pPr>
      <w:bookmarkStart w:id="6" w:name="_Toc383529631"/>
      <w:r>
        <w:t>Initial rule change request</w:t>
      </w:r>
      <w:bookmarkEnd w:id="6"/>
    </w:p>
    <w:p w:rsidR="00D90DD3" w:rsidRDefault="008E27CD" w:rsidP="008E27CD">
      <w:pPr>
        <w:pStyle w:val="AERbodytext"/>
        <w:numPr>
          <w:ilvl w:val="0"/>
          <w:numId w:val="0"/>
        </w:numPr>
      </w:pPr>
      <w:r>
        <w:t xml:space="preserve">The NEM comprises interconnected regions. In the course of inter-regional electricity trade, </w:t>
      </w:r>
      <w:r w:rsidR="00054A7E">
        <w:t>customer</w:t>
      </w:r>
      <w:r>
        <w:t>s use transmission systems in regions besides their own. This is for the transport of electricity from the point at which it is generated to where it feeds into an interconnector.</w:t>
      </w:r>
    </w:p>
    <w:p w:rsidR="008E27CD" w:rsidRDefault="008E27CD" w:rsidP="008E27CD">
      <w:pPr>
        <w:pStyle w:val="AERbodytext"/>
        <w:numPr>
          <w:ilvl w:val="0"/>
          <w:numId w:val="0"/>
        </w:numPr>
      </w:pPr>
      <w:r>
        <w:t>Notwithstanding, at the time of t</w:t>
      </w:r>
      <w:r w:rsidR="00DF4918">
        <w:t>he MCE’s rule change proposal transmission companies</w:t>
      </w:r>
      <w:r>
        <w:t xml:space="preserve"> could not recover revenue from </w:t>
      </w:r>
      <w:r w:rsidR="00054A7E">
        <w:t>customer</w:t>
      </w:r>
      <w:r>
        <w:t xml:space="preserve">s in an importing </w:t>
      </w:r>
      <w:r w:rsidR="00DF4918">
        <w:t>region for the cost of using their</w:t>
      </w:r>
      <w:r>
        <w:t xml:space="preserve"> </w:t>
      </w:r>
      <w:r w:rsidR="00DF4918">
        <w:t>network</w:t>
      </w:r>
      <w:r>
        <w:t xml:space="preserve">. This was because </w:t>
      </w:r>
      <w:r w:rsidR="00DF4918">
        <w:t>they</w:t>
      </w:r>
      <w:r>
        <w:t xml:space="preserve"> could only levy charges from </w:t>
      </w:r>
      <w:r w:rsidR="00054A7E">
        <w:t>customer</w:t>
      </w:r>
      <w:r>
        <w:t xml:space="preserve">s </w:t>
      </w:r>
      <w:r w:rsidRPr="00730F63">
        <w:rPr>
          <w:rStyle w:val="AERtextitalic"/>
        </w:rPr>
        <w:t>within</w:t>
      </w:r>
      <w:r>
        <w:t xml:space="preserve"> their own region. That is, inter-regional transmission </w:t>
      </w:r>
      <w:r w:rsidR="00BB08E9">
        <w:t xml:space="preserve">revenue recovery </w:t>
      </w:r>
      <w:r w:rsidR="00131033">
        <w:t>arrangements</w:t>
      </w:r>
      <w:r>
        <w:t xml:space="preserve"> </w:t>
      </w:r>
      <w:r w:rsidR="00DF4918">
        <w:t>were not available</w:t>
      </w:r>
      <w:r>
        <w:t>.</w:t>
      </w:r>
    </w:p>
    <w:p w:rsidR="008E27CD" w:rsidRDefault="008E27CD" w:rsidP="008E27CD">
      <w:pPr>
        <w:pStyle w:val="AERbodytext"/>
        <w:numPr>
          <w:ilvl w:val="0"/>
          <w:numId w:val="0"/>
        </w:numPr>
      </w:pPr>
      <w:r>
        <w:t xml:space="preserve">For example, South Australia and Victoria are adjacent regions in the NEM. Electricity can flow between each region in both directions. If South Australia imported electricity from Victoria, then in order for the electricity to reach South Australia it must first travel through the Victorian transmission system. In this scenario, the absence of inter-regional transmission arrangements means that the Victorian </w:t>
      </w:r>
      <w:r w:rsidR="00664D51">
        <w:t xml:space="preserve">transmission network service provider </w:t>
      </w:r>
      <w:r>
        <w:t xml:space="preserve">(SP AusNet) cannot recover any revenue from South Australian </w:t>
      </w:r>
      <w:r w:rsidR="00054A7E">
        <w:t>customer</w:t>
      </w:r>
      <w:r>
        <w:t xml:space="preserve">s. This is </w:t>
      </w:r>
      <w:r w:rsidR="00F56010">
        <w:t xml:space="preserve">despite facilitating </w:t>
      </w:r>
      <w:r>
        <w:t xml:space="preserve">the transport of electricity which those </w:t>
      </w:r>
      <w:r w:rsidR="00054A7E">
        <w:t>customer</w:t>
      </w:r>
      <w:r>
        <w:t>s have imported</w:t>
      </w:r>
      <w:r w:rsidR="00664D51">
        <w:t xml:space="preserve"> and consumed</w:t>
      </w:r>
      <w:r>
        <w:t xml:space="preserve">. </w:t>
      </w:r>
      <w:r w:rsidR="00472238">
        <w:t>In turn, the South Australian customers would only be charged for the transport of electricity (sourced from Victoria) after it crosses into the South Australian border and is carried by the South Australian transmission network (</w:t>
      </w:r>
      <w:proofErr w:type="spellStart"/>
      <w:r w:rsidR="00472238">
        <w:t>ElectraNet</w:t>
      </w:r>
      <w:proofErr w:type="spellEnd"/>
      <w:r w:rsidR="00472238">
        <w:t>).</w:t>
      </w:r>
    </w:p>
    <w:p w:rsidR="00F46AE8" w:rsidRDefault="008E27CD" w:rsidP="008E27CD">
      <w:pPr>
        <w:pStyle w:val="AERbodytext"/>
        <w:numPr>
          <w:ilvl w:val="0"/>
          <w:numId w:val="0"/>
        </w:numPr>
      </w:pPr>
      <w:r>
        <w:t>The absence of inter-regional transmission charging arrangements gives rise to a reduction in the cost reflectivity of network charges</w:t>
      </w:r>
      <w:r w:rsidR="00C33C81">
        <w:t>. This is because</w:t>
      </w:r>
      <w:r>
        <w:t xml:space="preserve"> </w:t>
      </w:r>
      <w:r w:rsidR="00054A7E">
        <w:t>customer</w:t>
      </w:r>
      <w:r>
        <w:t>s are not exposed to the full costs they impose on the transmission system.</w:t>
      </w:r>
      <w:r>
        <w:rPr>
          <w:rStyle w:val="FootnoteReference"/>
        </w:rPr>
        <w:footnoteReference w:id="5"/>
      </w:r>
      <w:r>
        <w:t xml:space="preserve"> </w:t>
      </w:r>
      <w:r w:rsidR="00F56010">
        <w:t>C</w:t>
      </w:r>
      <w:r w:rsidR="000A5791">
        <w:t xml:space="preserve">ross-subsidies </w:t>
      </w:r>
      <w:r w:rsidR="00F56010">
        <w:t>therefore arise.</w:t>
      </w:r>
      <w:r w:rsidR="00123F4F">
        <w:t xml:space="preserve"> C</w:t>
      </w:r>
      <w:r w:rsidR="00054A7E">
        <w:t>ustomer</w:t>
      </w:r>
      <w:r>
        <w:t>s</w:t>
      </w:r>
      <w:r w:rsidR="00131033">
        <w:t xml:space="preserve"> in regions that</w:t>
      </w:r>
      <w:r w:rsidR="00F56010">
        <w:t xml:space="preserve"> </w:t>
      </w:r>
      <w:r>
        <w:t xml:space="preserve">export more electricity than they import, end up cross-subsidising </w:t>
      </w:r>
      <w:r w:rsidR="00054A7E">
        <w:t>customer</w:t>
      </w:r>
      <w:r>
        <w:t>s with positive net electricity flows.</w:t>
      </w:r>
      <w:r>
        <w:rPr>
          <w:rStyle w:val="FootnoteReference"/>
        </w:rPr>
        <w:footnoteReference w:id="6"/>
      </w:r>
    </w:p>
    <w:p w:rsidR="008E27CD" w:rsidRDefault="008E27CD" w:rsidP="008E27CD">
      <w:pPr>
        <w:pStyle w:val="AERbodytext"/>
        <w:numPr>
          <w:ilvl w:val="0"/>
          <w:numId w:val="0"/>
        </w:numPr>
      </w:pPr>
      <w:r>
        <w:t>The MCE proposed inter-regional transmission arrangements whereby the co-ordinating network service providers in adjacent regions of the NEM levy a ‘load export charge’ on each other. It stated that the charge levied would reflect the flow of electricity from one region to adjacent regions.</w:t>
      </w:r>
      <w:r>
        <w:rPr>
          <w:rStyle w:val="FootnoteReference"/>
        </w:rPr>
        <w:footnoteReference w:id="7"/>
      </w:r>
    </w:p>
    <w:p w:rsidR="008E27CD" w:rsidRDefault="008E27CD" w:rsidP="008E27CD">
      <w:pPr>
        <w:pStyle w:val="Heading2"/>
      </w:pPr>
      <w:bookmarkStart w:id="7" w:name="_Toc383529632"/>
      <w:r>
        <w:t>Final rule determination</w:t>
      </w:r>
      <w:bookmarkEnd w:id="7"/>
    </w:p>
    <w:p w:rsidR="00C311EA" w:rsidRDefault="00C311EA" w:rsidP="003A57BA">
      <w:pPr>
        <w:pStyle w:val="AERbodytext"/>
        <w:numPr>
          <w:ilvl w:val="0"/>
          <w:numId w:val="0"/>
        </w:numPr>
      </w:pPr>
      <w:r>
        <w:t>The Commission’s final rule gives effect to a ‘modified’ load export charge.</w:t>
      </w:r>
      <w:r w:rsidRPr="00C311EA">
        <w:t xml:space="preserve"> </w:t>
      </w:r>
      <w:r>
        <w:t>It is calculated in a similar wa</w:t>
      </w:r>
      <w:r w:rsidR="00B14903">
        <w:t xml:space="preserve">y to </w:t>
      </w:r>
      <w:r w:rsidR="00F81623">
        <w:t>the MCE’s proposal but with</w:t>
      </w:r>
      <w:r w:rsidR="00B14903">
        <w:t xml:space="preserve"> some exception</w:t>
      </w:r>
      <w:r w:rsidR="00932794">
        <w:t>s</w:t>
      </w:r>
      <w:r w:rsidR="00B14903">
        <w:t xml:space="preserve"> relating to the costs it recovers and the level of prescription given in its calculation. </w:t>
      </w:r>
      <w:r w:rsidR="00F81623">
        <w:t>T</w:t>
      </w:r>
      <w:r w:rsidR="00216996">
        <w:t>he</w:t>
      </w:r>
      <w:r>
        <w:t xml:space="preserve"> key features of the modified load export charge are:</w:t>
      </w:r>
    </w:p>
    <w:p w:rsidR="003A57BA" w:rsidRDefault="000067AF" w:rsidP="003A57BA">
      <w:pPr>
        <w:pStyle w:val="AERbulletlistfirststyle"/>
      </w:pPr>
      <w:r>
        <w:t xml:space="preserve">it </w:t>
      </w:r>
      <w:r w:rsidR="003A57BA">
        <w:t xml:space="preserve">does not affect the total revenues </w:t>
      </w:r>
      <w:r w:rsidR="00131033">
        <w:t>transmission companies</w:t>
      </w:r>
      <w:r w:rsidR="003A57BA">
        <w:t xml:space="preserve"> earn </w:t>
      </w:r>
      <w:r w:rsidR="00C311EA">
        <w:t xml:space="preserve">(section </w:t>
      </w:r>
      <w:r w:rsidR="00FE02AA">
        <w:fldChar w:fldCharType="begin"/>
      </w:r>
      <w:r w:rsidR="00FE02AA">
        <w:instrText xml:space="preserve"> REF _Ref380140898 \r \h </w:instrText>
      </w:r>
      <w:r w:rsidR="00FE02AA">
        <w:fldChar w:fldCharType="separate"/>
      </w:r>
      <w:r w:rsidR="00936337">
        <w:t>1.2.1</w:t>
      </w:r>
      <w:r w:rsidR="00FE02AA">
        <w:fldChar w:fldCharType="end"/>
      </w:r>
      <w:r w:rsidR="00C311EA">
        <w:t>)</w:t>
      </w:r>
    </w:p>
    <w:p w:rsidR="000067AF" w:rsidRDefault="000067AF" w:rsidP="000067AF">
      <w:pPr>
        <w:pStyle w:val="AERbulletlistfirststyle"/>
      </w:pPr>
      <w:r>
        <w:lastRenderedPageBreak/>
        <w:t xml:space="preserve">it </w:t>
      </w:r>
      <w:r w:rsidR="003A57BA">
        <w:t>recovers the cost of locational transmission use of system (</w:t>
      </w:r>
      <w:proofErr w:type="spellStart"/>
      <w:r w:rsidR="003A57BA">
        <w:t>TUoS</w:t>
      </w:r>
      <w:proofErr w:type="spellEnd"/>
      <w:r w:rsidR="003A57BA">
        <w:t>) services only</w:t>
      </w:r>
      <w:r w:rsidR="00C311EA">
        <w:t xml:space="preserve"> (section </w:t>
      </w:r>
      <w:r w:rsidR="00FE02AA">
        <w:fldChar w:fldCharType="begin"/>
      </w:r>
      <w:r w:rsidR="00FE02AA">
        <w:instrText xml:space="preserve"> REF _Ref380140878 \r \h </w:instrText>
      </w:r>
      <w:r w:rsidR="00FE02AA">
        <w:fldChar w:fldCharType="separate"/>
      </w:r>
      <w:r w:rsidR="00936337">
        <w:t>1.2.2</w:t>
      </w:r>
      <w:r w:rsidR="00FE02AA">
        <w:fldChar w:fldCharType="end"/>
      </w:r>
      <w:r w:rsidR="00C311EA">
        <w:t>)</w:t>
      </w:r>
    </w:p>
    <w:p w:rsidR="000067AF" w:rsidRDefault="005A2F0D" w:rsidP="000067AF">
      <w:pPr>
        <w:pStyle w:val="AERbulletlistfirststyle"/>
      </w:pPr>
      <w:r>
        <w:t>the final rule</w:t>
      </w:r>
      <w:r w:rsidR="00B14903">
        <w:t xml:space="preserve"> prescribes</w:t>
      </w:r>
      <w:r>
        <w:t xml:space="preserve"> a methodology for allocating costs for the recovery of the load export charge which </w:t>
      </w:r>
      <w:r w:rsidR="00F81623">
        <w:t>must be consistently applied across the NEM</w:t>
      </w:r>
      <w:r w:rsidR="0011553A">
        <w:t xml:space="preserve"> </w:t>
      </w:r>
      <w:r w:rsidR="00131033">
        <w:t xml:space="preserve">(section </w:t>
      </w:r>
      <w:r w:rsidR="00131033">
        <w:fldChar w:fldCharType="begin"/>
      </w:r>
      <w:r w:rsidR="00131033">
        <w:instrText xml:space="preserve"> REF _Ref383435590 \r \h </w:instrText>
      </w:r>
      <w:r w:rsidR="00131033">
        <w:fldChar w:fldCharType="separate"/>
      </w:r>
      <w:r w:rsidR="00936337">
        <w:t>1.2.3</w:t>
      </w:r>
      <w:r w:rsidR="00131033">
        <w:fldChar w:fldCharType="end"/>
      </w:r>
      <w:r>
        <w:t>)</w:t>
      </w:r>
    </w:p>
    <w:p w:rsidR="005A2F0D" w:rsidRDefault="00B14903" w:rsidP="000067AF">
      <w:pPr>
        <w:pStyle w:val="AERbulletlistfirststyle"/>
      </w:pPr>
      <w:proofErr w:type="gramStart"/>
      <w:r>
        <w:t>the</w:t>
      </w:r>
      <w:proofErr w:type="gramEnd"/>
      <w:r>
        <w:t xml:space="preserve"> co-ordinating network service providers in each region of the NEM are</w:t>
      </w:r>
      <w:r w:rsidR="00F81623">
        <w:t xml:space="preserve"> responsible for calculating, billing and paying the modified load export charge</w:t>
      </w:r>
      <w:r>
        <w:t xml:space="preserve"> </w:t>
      </w:r>
      <w:r w:rsidR="005A2F0D">
        <w:t>(section</w:t>
      </w:r>
      <w:r w:rsidR="00131033">
        <w:t xml:space="preserve"> </w:t>
      </w:r>
      <w:r w:rsidR="00131033">
        <w:fldChar w:fldCharType="begin"/>
      </w:r>
      <w:r w:rsidR="00131033">
        <w:instrText xml:space="preserve"> REF _Ref383435620 \r \h </w:instrText>
      </w:r>
      <w:r w:rsidR="00131033">
        <w:fldChar w:fldCharType="separate"/>
      </w:r>
      <w:r w:rsidR="00936337">
        <w:t>1.2.4</w:t>
      </w:r>
      <w:r w:rsidR="00131033">
        <w:fldChar w:fldCharType="end"/>
      </w:r>
      <w:r w:rsidR="005A2F0D">
        <w:t>).</w:t>
      </w:r>
    </w:p>
    <w:p w:rsidR="008E27CD" w:rsidRDefault="003A57BA" w:rsidP="008E27CD">
      <w:pPr>
        <w:pStyle w:val="Heading3"/>
      </w:pPr>
      <w:bookmarkStart w:id="8" w:name="_Ref380140898"/>
      <w:r>
        <w:t>Total revenue</w:t>
      </w:r>
      <w:bookmarkEnd w:id="8"/>
    </w:p>
    <w:p w:rsidR="00BA18A2" w:rsidRDefault="00AE05FB" w:rsidP="00AE05FB">
      <w:pPr>
        <w:pStyle w:val="AERbodytext"/>
      </w:pPr>
      <w:r>
        <w:t>The Commission has noted that the ‘introduction of a modified load export charge will not affect the total revenues earned by transmission business; it will only affect how those revenues are allocated between consumers in the [NEM]’.</w:t>
      </w:r>
      <w:r w:rsidR="00936337">
        <w:rPr>
          <w:rStyle w:val="FootnoteReference"/>
        </w:rPr>
        <w:footnoteReference w:id="8"/>
      </w:r>
      <w:r>
        <w:t xml:space="preserve"> This is because a transmission business may recover less from their own consumers under the new arrangements, but more from consumers in a neighbouring region.</w:t>
      </w:r>
      <w:r w:rsidR="00936337" w:rsidDel="00AE05FB">
        <w:t xml:space="preserve"> </w:t>
      </w:r>
    </w:p>
    <w:p w:rsidR="00014923" w:rsidRDefault="00014923" w:rsidP="00014923">
      <w:pPr>
        <w:pStyle w:val="AERbodytext"/>
      </w:pPr>
      <w:r>
        <w:t>The Commission modelled the effect of the modified load export charge. It stated that for ‘the period modelled (2009-12) the network charge paid or received by a region ranged from approximately 1 per cent to 6 per cent of allowable revenues (on average over the three years)’.</w:t>
      </w:r>
      <w:r>
        <w:rPr>
          <w:rStyle w:val="FootnoteReference"/>
        </w:rPr>
        <w:footnoteReference w:id="9"/>
      </w:r>
      <w:r>
        <w:t xml:space="preserve"> The effect that this would have on customers is not expected to be large. The Commission estimated that the rule will lead to an increase or decrease in the average residential customer’s final bill of about 1 per cent.</w:t>
      </w:r>
      <w:r>
        <w:rPr>
          <w:rStyle w:val="FootnoteReference"/>
        </w:rPr>
        <w:footnoteReference w:id="10"/>
      </w:r>
      <w:r>
        <w:t xml:space="preserve"> </w:t>
      </w:r>
    </w:p>
    <w:p w:rsidR="008E27CD" w:rsidRDefault="008E27CD" w:rsidP="003A57BA">
      <w:pPr>
        <w:pStyle w:val="Heading3"/>
      </w:pPr>
      <w:bookmarkStart w:id="9" w:name="_Ref380140878"/>
      <w:r>
        <w:t>Cost component</w:t>
      </w:r>
      <w:bookmarkEnd w:id="9"/>
      <w:r w:rsidR="006C6A8D">
        <w:t xml:space="preserve"> </w:t>
      </w:r>
    </w:p>
    <w:p w:rsidR="00F12A41" w:rsidRDefault="00D0148C" w:rsidP="00F12A41">
      <w:pPr>
        <w:pStyle w:val="AERbodytext"/>
      </w:pPr>
      <w:r>
        <w:t>T</w:t>
      </w:r>
      <w:r w:rsidR="002E39EC">
        <w:t xml:space="preserve">he modified load export charge will </w:t>
      </w:r>
      <w:r w:rsidR="0075776B">
        <w:t xml:space="preserve">only </w:t>
      </w:r>
      <w:r w:rsidR="002E39EC">
        <w:t xml:space="preserve">recover the cost of </w:t>
      </w:r>
      <w:r w:rsidR="002E39EC" w:rsidRPr="008A12BA">
        <w:rPr>
          <w:rStyle w:val="AERbody"/>
        </w:rPr>
        <w:t>locational</w:t>
      </w:r>
      <w:r w:rsidR="002E39EC">
        <w:t xml:space="preserve"> </w:t>
      </w:r>
      <w:r w:rsidR="007A3825">
        <w:t>transmission use of system (</w:t>
      </w:r>
      <w:proofErr w:type="spellStart"/>
      <w:r w:rsidR="003C5373">
        <w:t>TUoS</w:t>
      </w:r>
      <w:proofErr w:type="spellEnd"/>
      <w:r w:rsidR="007A3825">
        <w:t>)</w:t>
      </w:r>
      <w:r w:rsidR="002E39EC">
        <w:t xml:space="preserve"> services.</w:t>
      </w:r>
      <w:r w:rsidR="00F12A41">
        <w:t xml:space="preserve"> </w:t>
      </w:r>
      <w:r w:rsidR="00877D36">
        <w:t xml:space="preserve">This component comprises some 50 per cent of the total </w:t>
      </w:r>
      <w:proofErr w:type="spellStart"/>
      <w:r w:rsidR="00877D36">
        <w:t>TUoS</w:t>
      </w:r>
      <w:proofErr w:type="spellEnd"/>
      <w:r w:rsidR="00877D36">
        <w:t xml:space="preserve"> charge. </w:t>
      </w:r>
      <w:r w:rsidR="00AB396B">
        <w:t>The Commission’s decision on which costs to include</w:t>
      </w:r>
      <w:r w:rsidR="00C16DEB">
        <w:t>, and which to exclude,</w:t>
      </w:r>
      <w:r w:rsidR="00AB396B">
        <w:t xml:space="preserve"> was based on </w:t>
      </w:r>
      <w:r w:rsidR="005D20C1">
        <w:t>whether they</w:t>
      </w:r>
      <w:r w:rsidR="00012F8B">
        <w:t xml:space="preserve"> would provide economic signals to customers.</w:t>
      </w:r>
      <w:r w:rsidR="00C16DEB">
        <w:rPr>
          <w:rStyle w:val="FootnoteReference"/>
        </w:rPr>
        <w:footnoteReference w:id="11"/>
      </w:r>
    </w:p>
    <w:p w:rsidR="00B5388C" w:rsidRDefault="00012F8B" w:rsidP="00F12A41">
      <w:pPr>
        <w:pStyle w:val="AERbodytext"/>
      </w:pPr>
      <w:r>
        <w:t>Under intra-regional transmission arrangements, p</w:t>
      </w:r>
      <w:r w:rsidR="0075776B">
        <w:t>rice</w:t>
      </w:r>
      <w:r w:rsidR="00436FBB">
        <w:t>s for</w:t>
      </w:r>
      <w:r w:rsidR="0075776B">
        <w:t xml:space="preserve"> locational</w:t>
      </w:r>
      <w:r w:rsidR="00B5388C">
        <w:t xml:space="preserve"> </w:t>
      </w:r>
      <w:proofErr w:type="spellStart"/>
      <w:r w:rsidR="00B5388C">
        <w:t>TUoS</w:t>
      </w:r>
      <w:proofErr w:type="spellEnd"/>
      <w:r w:rsidR="008340EB">
        <w:t xml:space="preserve"> services</w:t>
      </w:r>
      <w:r w:rsidR="00B5388C">
        <w:t xml:space="preserve"> </w:t>
      </w:r>
      <w:r w:rsidR="00436FBB">
        <w:t>are</w:t>
      </w:r>
      <w:r w:rsidR="0075776B">
        <w:t xml:space="preserve"> </w:t>
      </w:r>
      <w:r w:rsidR="00B5388C">
        <w:t>based on the distance customers</w:t>
      </w:r>
      <w:r w:rsidR="00436FBB">
        <w:t xml:space="preserve"> are </w:t>
      </w:r>
      <w:r w:rsidR="00B5388C">
        <w:t>from generators</w:t>
      </w:r>
      <w:r w:rsidR="0075776B">
        <w:t xml:space="preserve"> </w:t>
      </w:r>
      <w:r w:rsidR="00B5388C">
        <w:t xml:space="preserve">and </w:t>
      </w:r>
      <w:r w:rsidR="0075776B">
        <w:t xml:space="preserve">their demand </w:t>
      </w:r>
      <w:r w:rsidR="00436FBB">
        <w:t>at times of ‘peak utilisation’</w:t>
      </w:r>
      <w:r w:rsidR="0075776B">
        <w:t>. These factors provide economic signals</w:t>
      </w:r>
      <w:r w:rsidR="00436FBB">
        <w:t xml:space="preserve"> to customers, in terms of their location </w:t>
      </w:r>
      <w:r w:rsidR="00F12A41">
        <w:t>and their demand</w:t>
      </w:r>
      <w:r w:rsidR="00436FBB">
        <w:t xml:space="preserve">. </w:t>
      </w:r>
      <w:r w:rsidR="00F12A41">
        <w:t>The</w:t>
      </w:r>
      <w:r w:rsidR="00436FBB">
        <w:t xml:space="preserve"> </w:t>
      </w:r>
      <w:r w:rsidR="0075776B">
        <w:t>Commission</w:t>
      </w:r>
      <w:r w:rsidR="00F12A41">
        <w:t xml:space="preserve"> thus </w:t>
      </w:r>
      <w:r w:rsidR="0075776B">
        <w:t xml:space="preserve">included </w:t>
      </w:r>
      <w:r>
        <w:t xml:space="preserve">costs attributable to the </w:t>
      </w:r>
      <w:r w:rsidR="0075776B">
        <w:t>locational</w:t>
      </w:r>
      <w:r>
        <w:t xml:space="preserve"> component of</w:t>
      </w:r>
      <w:r w:rsidR="0075776B">
        <w:t xml:space="preserve"> </w:t>
      </w:r>
      <w:proofErr w:type="spellStart"/>
      <w:r w:rsidR="0075776B">
        <w:t>TUoS</w:t>
      </w:r>
      <w:proofErr w:type="spellEnd"/>
      <w:r w:rsidR="0075776B">
        <w:t xml:space="preserve"> services in</w:t>
      </w:r>
      <w:r>
        <w:t xml:space="preserve"> the</w:t>
      </w:r>
      <w:r w:rsidR="0075776B">
        <w:t xml:space="preserve"> modified load export charge.</w:t>
      </w:r>
      <w:r w:rsidR="00B5388C">
        <w:t xml:space="preserve"> </w:t>
      </w:r>
    </w:p>
    <w:p w:rsidR="00466109" w:rsidRDefault="00466109" w:rsidP="00566A40">
      <w:pPr>
        <w:pStyle w:val="AERbodytext"/>
      </w:pPr>
      <w:r>
        <w:t xml:space="preserve">Other costs are </w:t>
      </w:r>
      <w:r w:rsidR="003C5373">
        <w:t>incurred in</w:t>
      </w:r>
      <w:r>
        <w:t xml:space="preserve"> facilitating inter-regional</w:t>
      </w:r>
      <w:r w:rsidR="003C5373">
        <w:t xml:space="preserve"> electricity trade</w:t>
      </w:r>
      <w:r>
        <w:t>.</w:t>
      </w:r>
      <w:r w:rsidR="00730F63">
        <w:t xml:space="preserve"> Namely, non-locational </w:t>
      </w:r>
      <w:proofErr w:type="spellStart"/>
      <w:r w:rsidR="00730F63">
        <w:t>TUoS</w:t>
      </w:r>
      <w:proofErr w:type="spellEnd"/>
      <w:r w:rsidR="00730F63">
        <w:t xml:space="preserve"> and shared transmission services.</w:t>
      </w:r>
      <w:r>
        <w:t xml:space="preserve"> </w:t>
      </w:r>
      <w:r w:rsidR="003C5373">
        <w:t>However, the way in which they are recovered focuses on the sunk costs of transmission businesses rather than providing economic signals</w:t>
      </w:r>
      <w:r w:rsidR="004A0ED5">
        <w:t xml:space="preserve">. Hence </w:t>
      </w:r>
      <w:r w:rsidR="00012F8B">
        <w:t xml:space="preserve">the </w:t>
      </w:r>
      <w:r w:rsidR="00F12A41">
        <w:t>Commission</w:t>
      </w:r>
      <w:r w:rsidR="008D50C7">
        <w:t xml:space="preserve"> </w:t>
      </w:r>
      <w:r w:rsidR="003C5373">
        <w:t>decided not to include them</w:t>
      </w:r>
      <w:r w:rsidR="008D50C7">
        <w:t xml:space="preserve"> in</w:t>
      </w:r>
      <w:r w:rsidR="002609C3">
        <w:t xml:space="preserve"> </w:t>
      </w:r>
      <w:r w:rsidR="003C5373">
        <w:t xml:space="preserve">the </w:t>
      </w:r>
      <w:r w:rsidR="002609C3">
        <w:t>modified load export charge.</w:t>
      </w:r>
      <w:r w:rsidR="008D50C7">
        <w:rPr>
          <w:rStyle w:val="FootnoteReference"/>
        </w:rPr>
        <w:footnoteReference w:id="12"/>
      </w:r>
      <w:r>
        <w:t xml:space="preserve"> </w:t>
      </w:r>
    </w:p>
    <w:p w:rsidR="008E27CD" w:rsidRDefault="00120018" w:rsidP="003A57BA">
      <w:pPr>
        <w:pStyle w:val="Heading3"/>
      </w:pPr>
      <w:bookmarkStart w:id="10" w:name="_Ref383435590"/>
      <w:r>
        <w:t>Pr</w:t>
      </w:r>
      <w:r w:rsidR="008C1DA5">
        <w:t>escribed method</w:t>
      </w:r>
      <w:bookmarkEnd w:id="10"/>
    </w:p>
    <w:p w:rsidR="00942305" w:rsidRDefault="00942305" w:rsidP="00942305">
      <w:bookmarkStart w:id="11" w:name="_Ref380155995"/>
      <w:r>
        <w:t>The rule prescribes the method that must be used to calculate the modified load export charge. This is intended to arrive at a consistent approach across the NEM in applying the rule</w:t>
      </w:r>
      <w:r w:rsidR="007A3825">
        <w:t>,</w:t>
      </w:r>
      <w:r>
        <w:t xml:space="preserve"> so that the charges levied between regions vary </w:t>
      </w:r>
      <w:r w:rsidR="007A3825">
        <w:t xml:space="preserve">only on the basis of costs, rather than </w:t>
      </w:r>
      <w:r w:rsidR="00877D36">
        <w:t>because of different approaches or methodologies.</w:t>
      </w:r>
    </w:p>
    <w:p w:rsidR="00942305" w:rsidRDefault="00942305" w:rsidP="00942305">
      <w:r>
        <w:lastRenderedPageBreak/>
        <w:t xml:space="preserve">The method for calculating the modified load export charge follows the same cost allocation process used in relation to intra-regional locational </w:t>
      </w:r>
      <w:proofErr w:type="spellStart"/>
      <w:r>
        <w:t>TUoS</w:t>
      </w:r>
      <w:proofErr w:type="spellEnd"/>
      <w:r>
        <w:t xml:space="preserve"> services. The reason for this is that the modified load export charge recovers the same cost component (see section </w:t>
      </w:r>
      <w:r>
        <w:fldChar w:fldCharType="begin"/>
      </w:r>
      <w:r>
        <w:instrText xml:space="preserve"> REF _Ref380140878 \r \h </w:instrText>
      </w:r>
      <w:r>
        <w:fldChar w:fldCharType="separate"/>
      </w:r>
      <w:r w:rsidR="00936337">
        <w:t>1.2.2</w:t>
      </w:r>
      <w:r>
        <w:fldChar w:fldCharType="end"/>
      </w:r>
      <w:r>
        <w:t xml:space="preserve">). </w:t>
      </w:r>
      <w:r w:rsidR="00877D36">
        <w:t>That said</w:t>
      </w:r>
      <w:proofErr w:type="gramStart"/>
      <w:r>
        <w:t>,</w:t>
      </w:r>
      <w:proofErr w:type="gramEnd"/>
      <w:r>
        <w:t xml:space="preserve"> the method for allocating costs for the modified load export charge is more prescriptive than for</w:t>
      </w:r>
      <w:r w:rsidR="004A0ED5">
        <w:t xml:space="preserve"> intra-regional</w:t>
      </w:r>
      <w:r>
        <w:t xml:space="preserve"> locational </w:t>
      </w:r>
      <w:proofErr w:type="spellStart"/>
      <w:r>
        <w:t>TUoS</w:t>
      </w:r>
      <w:proofErr w:type="spellEnd"/>
      <w:r>
        <w:t xml:space="preserve"> services. </w:t>
      </w:r>
    </w:p>
    <w:p w:rsidR="00942305" w:rsidRDefault="00131033" w:rsidP="009717ED">
      <w:pPr>
        <w:pStyle w:val="AERbulletlistfirststyle"/>
        <w:numPr>
          <w:ilvl w:val="0"/>
          <w:numId w:val="0"/>
        </w:numPr>
      </w:pPr>
      <w:r>
        <w:fldChar w:fldCharType="begin"/>
      </w:r>
      <w:r>
        <w:instrText xml:space="preserve"> REF _Ref383002747 \h </w:instrText>
      </w:r>
      <w:r>
        <w:fldChar w:fldCharType="separate"/>
      </w:r>
      <w:r w:rsidR="00936337">
        <w:t xml:space="preserve">Figure </w:t>
      </w:r>
      <w:r w:rsidR="00936337">
        <w:rPr>
          <w:noProof/>
        </w:rPr>
        <w:t>1</w:t>
      </w:r>
      <w:r w:rsidR="00936337">
        <w:t>.</w:t>
      </w:r>
      <w:r w:rsidR="00936337">
        <w:rPr>
          <w:noProof/>
        </w:rPr>
        <w:t>1</w:t>
      </w:r>
      <w:r>
        <w:fldChar w:fldCharType="end"/>
      </w:r>
      <w:r>
        <w:t xml:space="preserve"> </w:t>
      </w:r>
      <w:r w:rsidR="00942305">
        <w:t xml:space="preserve">compares </w:t>
      </w:r>
      <w:r w:rsidR="000D3672">
        <w:t>both</w:t>
      </w:r>
      <w:r w:rsidR="00942305">
        <w:t xml:space="preserve"> cost allocation processes</w:t>
      </w:r>
      <w:r w:rsidR="008763B6">
        <w:t>.</w:t>
      </w:r>
      <w:r w:rsidR="00942305">
        <w:t xml:space="preserve"> </w:t>
      </w:r>
      <w:r w:rsidR="00C16DEB">
        <w:t xml:space="preserve">The modified load export charge shares the same revenue source as the locational component of </w:t>
      </w:r>
      <w:proofErr w:type="spellStart"/>
      <w:r w:rsidR="00C16DEB">
        <w:t>TUoS</w:t>
      </w:r>
      <w:proofErr w:type="spellEnd"/>
      <w:r w:rsidR="00C16DEB">
        <w:t xml:space="preserve"> services. Nonetheless, the process that must be followed in the allocation of that revenue </w:t>
      </w:r>
      <w:r w:rsidR="009717ED">
        <w:t xml:space="preserve">is </w:t>
      </w:r>
      <w:r w:rsidR="00C16DEB">
        <w:t>more prescriptive. T</w:t>
      </w:r>
      <w:r w:rsidR="009717ED">
        <w:t xml:space="preserve">he cost </w:t>
      </w:r>
      <w:r w:rsidR="003922A9">
        <w:t xml:space="preserve">reflective network pricing </w:t>
      </w:r>
      <w:r w:rsidR="009717ED">
        <w:t>approach and the peak utilisation method that</w:t>
      </w:r>
      <w:r w:rsidR="003922A9">
        <w:t xml:space="preserve"> </w:t>
      </w:r>
      <w:r w:rsidR="003922A9" w:rsidRPr="009717ED">
        <w:rPr>
          <w:i/>
        </w:rPr>
        <w:t>must</w:t>
      </w:r>
      <w:r w:rsidR="003922A9">
        <w:t xml:space="preserve"> be used</w:t>
      </w:r>
      <w:r w:rsidR="00C16DEB">
        <w:t xml:space="preserve"> </w:t>
      </w:r>
      <w:r w:rsidR="00041367">
        <w:t>are</w:t>
      </w:r>
      <w:r w:rsidR="00C16DEB">
        <w:t xml:space="preserve"> prescribed</w:t>
      </w:r>
      <w:r w:rsidR="009717ED">
        <w:t xml:space="preserve">. </w:t>
      </w:r>
    </w:p>
    <w:p w:rsidR="009912FE" w:rsidRDefault="00BA6D6C" w:rsidP="00BA6D6C">
      <w:pPr>
        <w:pStyle w:val="Caption"/>
      </w:pPr>
      <w:bookmarkStart w:id="12" w:name="_Ref383002747"/>
      <w:bookmarkEnd w:id="11"/>
      <w:proofErr w:type="gramStart"/>
      <w:r>
        <w:t xml:space="preserve">Figure </w:t>
      </w:r>
      <w:r w:rsidR="00FB5D5F">
        <w:fldChar w:fldCharType="begin"/>
      </w:r>
      <w:r w:rsidR="00FB5D5F">
        <w:instrText xml:space="preserve"> STYLEREF 1 \s </w:instrText>
      </w:r>
      <w:r w:rsidR="00FB5D5F">
        <w:fldChar w:fldCharType="separate"/>
      </w:r>
      <w:r w:rsidR="00936337">
        <w:rPr>
          <w:noProof/>
        </w:rPr>
        <w:t>1</w:t>
      </w:r>
      <w:r w:rsidR="00FB5D5F">
        <w:rPr>
          <w:noProof/>
        </w:rPr>
        <w:fldChar w:fldCharType="end"/>
      </w:r>
      <w:r w:rsidR="000675A3">
        <w:t>.</w:t>
      </w:r>
      <w:proofErr w:type="gramEnd"/>
      <w:r w:rsidR="000675A3">
        <w:fldChar w:fldCharType="begin"/>
      </w:r>
      <w:r w:rsidR="000675A3">
        <w:instrText xml:space="preserve"> SEQ Figure \* ARABIC \s 1 </w:instrText>
      </w:r>
      <w:r w:rsidR="000675A3">
        <w:fldChar w:fldCharType="separate"/>
      </w:r>
      <w:r w:rsidR="00936337">
        <w:rPr>
          <w:noProof/>
        </w:rPr>
        <w:t>1</w:t>
      </w:r>
      <w:r w:rsidR="000675A3">
        <w:fldChar w:fldCharType="end"/>
      </w:r>
      <w:bookmarkEnd w:id="12"/>
      <w:r w:rsidR="009912FE">
        <w:tab/>
      </w:r>
      <w:r w:rsidR="003922A9">
        <w:t xml:space="preserve">The cost allocation process for the modified load export charge (compared with intra-regional locational </w:t>
      </w:r>
      <w:proofErr w:type="spellStart"/>
      <w:r w:rsidR="003922A9">
        <w:t>TUoS</w:t>
      </w:r>
      <w:proofErr w:type="spellEnd"/>
      <w:r w:rsidR="003922A9">
        <w:t xml:space="preserve"> services)</w:t>
      </w:r>
      <w:r w:rsidR="000E3EC8">
        <w:t xml:space="preserve"> </w:t>
      </w:r>
    </w:p>
    <w:p w:rsidR="0075077F" w:rsidRDefault="00510C7F" w:rsidP="0075077F">
      <w:pPr>
        <w:pStyle w:val="AERbodytext"/>
        <w:spacing w:after="0" w:line="360" w:lineRule="auto"/>
        <w:jc w:val="center"/>
      </w:pPr>
      <w:r w:rsidRPr="00510C7F">
        <w:t xml:space="preserve"> </w:t>
      </w:r>
      <w:r w:rsidR="009E6BFC">
        <w:rPr>
          <w:noProof/>
          <w:lang w:eastAsia="en-AU"/>
        </w:rPr>
        <w:drawing>
          <wp:inline distT="0" distB="0" distL="0" distR="0" wp14:anchorId="56C58FA5" wp14:editId="74248B80">
            <wp:extent cx="5683910" cy="356981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9665" cy="3573431"/>
                    </a:xfrm>
                    <a:prstGeom prst="rect">
                      <a:avLst/>
                    </a:prstGeom>
                    <a:noFill/>
                    <a:ln>
                      <a:noFill/>
                    </a:ln>
                  </pic:spPr>
                </pic:pic>
              </a:graphicData>
            </a:graphic>
          </wp:inline>
        </w:drawing>
      </w:r>
    </w:p>
    <w:p w:rsidR="0075077F" w:rsidRDefault="0075077F" w:rsidP="0075077F">
      <w:pPr>
        <w:pStyle w:val="AERbodytext"/>
        <w:spacing w:after="0" w:line="360" w:lineRule="auto"/>
        <w:jc w:val="center"/>
      </w:pPr>
    </w:p>
    <w:p w:rsidR="00213B79" w:rsidRDefault="00005082" w:rsidP="00CA11B1">
      <w:pPr>
        <w:pStyle w:val="AERbulletlistfirststyle"/>
        <w:numPr>
          <w:ilvl w:val="0"/>
          <w:numId w:val="0"/>
        </w:numPr>
      </w:pPr>
      <w:r>
        <w:t xml:space="preserve">In practice, </w:t>
      </w:r>
      <w:r w:rsidR="00F568DA">
        <w:t>the</w:t>
      </w:r>
      <w:r w:rsidR="00C16DEB">
        <w:t xml:space="preserve"> </w:t>
      </w:r>
      <w:r w:rsidR="004A0ED5">
        <w:t>final</w:t>
      </w:r>
      <w:r w:rsidR="00F568DA">
        <w:t xml:space="preserve"> rule requires </w:t>
      </w:r>
      <w:r w:rsidR="004957CE">
        <w:t xml:space="preserve">two </w:t>
      </w:r>
      <w:r w:rsidR="00123084">
        <w:t>runs of a similar</w:t>
      </w:r>
      <w:r w:rsidR="002E4C17">
        <w:t xml:space="preserve"> cost allocation </w:t>
      </w:r>
      <w:r w:rsidR="009B1546">
        <w:t>methodology</w:t>
      </w:r>
      <w:r w:rsidR="00065303">
        <w:t>:</w:t>
      </w:r>
    </w:p>
    <w:p w:rsidR="00213B79" w:rsidRDefault="00213B79" w:rsidP="00213B79">
      <w:pPr>
        <w:pStyle w:val="AERbulletlistfirststyle"/>
      </w:pPr>
      <w:r>
        <w:t>the first</w:t>
      </w:r>
      <w:r w:rsidR="00123084">
        <w:t xml:space="preserve"> run</w:t>
      </w:r>
      <w:r>
        <w:t xml:space="preserve"> </w:t>
      </w:r>
      <w:r w:rsidR="00BA6D6C">
        <w:t xml:space="preserve">allocates revenue </w:t>
      </w:r>
      <w:r>
        <w:t xml:space="preserve">to the connection points of customers </w:t>
      </w:r>
      <w:r w:rsidRPr="002E4BC8">
        <w:rPr>
          <w:i/>
        </w:rPr>
        <w:t>within</w:t>
      </w:r>
      <w:r>
        <w:t xml:space="preserve"> </w:t>
      </w:r>
      <w:r w:rsidR="00770666">
        <w:t>a co-ordinating network service provider’s</w:t>
      </w:r>
      <w:r w:rsidR="004B5A6E">
        <w:t xml:space="preserve"> </w:t>
      </w:r>
      <w:r w:rsidR="00F97223">
        <w:t>reg</w:t>
      </w:r>
      <w:r w:rsidR="00BA6D6C">
        <w:t>ion (</w:t>
      </w:r>
      <w:r w:rsidR="00E668FD">
        <w:t xml:space="preserve">see the </w:t>
      </w:r>
      <w:r w:rsidR="00BA6D6C">
        <w:t>blue text boxes</w:t>
      </w:r>
      <w:r w:rsidR="00005082">
        <w:t xml:space="preserve"> on the left-hand side</w:t>
      </w:r>
      <w:r w:rsidR="00BA6D6C">
        <w:t xml:space="preserve"> in</w:t>
      </w:r>
      <w:r w:rsidR="003F39A6">
        <w:t xml:space="preserve"> </w:t>
      </w:r>
      <w:r w:rsidR="003F39A6">
        <w:fldChar w:fldCharType="begin"/>
      </w:r>
      <w:r w:rsidR="003F39A6">
        <w:instrText xml:space="preserve"> REF _Ref383002747 \h </w:instrText>
      </w:r>
      <w:r w:rsidR="003F39A6">
        <w:fldChar w:fldCharType="separate"/>
      </w:r>
      <w:r w:rsidR="00936337">
        <w:t xml:space="preserve">Figure </w:t>
      </w:r>
      <w:r w:rsidR="00936337">
        <w:rPr>
          <w:noProof/>
        </w:rPr>
        <w:t>1</w:t>
      </w:r>
      <w:r w:rsidR="00936337">
        <w:t>.</w:t>
      </w:r>
      <w:r w:rsidR="00936337">
        <w:rPr>
          <w:noProof/>
        </w:rPr>
        <w:t>1</w:t>
      </w:r>
      <w:r w:rsidR="003F39A6">
        <w:fldChar w:fldCharType="end"/>
      </w:r>
      <w:r w:rsidR="00F97223">
        <w:t>)</w:t>
      </w:r>
    </w:p>
    <w:p w:rsidR="009717ED" w:rsidRDefault="00213B79" w:rsidP="00287A3D">
      <w:pPr>
        <w:pStyle w:val="AERbulletlistfirststyle"/>
      </w:pPr>
      <w:proofErr w:type="gramStart"/>
      <w:r>
        <w:t>the</w:t>
      </w:r>
      <w:proofErr w:type="gramEnd"/>
      <w:r>
        <w:t xml:space="preserve"> second</w:t>
      </w:r>
      <w:r w:rsidR="00123084">
        <w:t xml:space="preserve"> run</w:t>
      </w:r>
      <w:r>
        <w:t xml:space="preserve"> </w:t>
      </w:r>
      <w:r w:rsidR="00770666">
        <w:t xml:space="preserve">is the same as the first but </w:t>
      </w:r>
      <w:r w:rsidR="00770666" w:rsidRPr="00041367">
        <w:rPr>
          <w:i/>
        </w:rPr>
        <w:t>the</w:t>
      </w:r>
      <w:r w:rsidR="00296E37" w:rsidRPr="00041367">
        <w:rPr>
          <w:i/>
        </w:rPr>
        <w:t xml:space="preserve"> connection points</w:t>
      </w:r>
      <w:r w:rsidR="00770666" w:rsidRPr="00041367">
        <w:rPr>
          <w:i/>
        </w:rPr>
        <w:t xml:space="preserve"> with TNSPs in adjacent regions are included</w:t>
      </w:r>
      <w:r w:rsidR="00770666">
        <w:t xml:space="preserve"> and a prescribed cost allocation metho</w:t>
      </w:r>
      <w:r w:rsidR="00F97223">
        <w:t>dology must be followed (</w:t>
      </w:r>
      <w:r w:rsidR="00E668FD">
        <w:t xml:space="preserve">see the </w:t>
      </w:r>
      <w:r w:rsidR="00F97223">
        <w:t>orange text boxes</w:t>
      </w:r>
      <w:r w:rsidR="00005082">
        <w:t xml:space="preserve"> on the right-hand side</w:t>
      </w:r>
      <w:r w:rsidR="00F97223">
        <w:t xml:space="preserve"> in</w:t>
      </w:r>
      <w:r w:rsidR="003F39A6">
        <w:t xml:space="preserve"> </w:t>
      </w:r>
      <w:r w:rsidR="003F39A6">
        <w:fldChar w:fldCharType="begin"/>
      </w:r>
      <w:r w:rsidR="003F39A6">
        <w:instrText xml:space="preserve"> REF _Ref383002747 \h </w:instrText>
      </w:r>
      <w:r w:rsidR="003F39A6">
        <w:fldChar w:fldCharType="separate"/>
      </w:r>
      <w:r w:rsidR="00936337">
        <w:t xml:space="preserve">Figure </w:t>
      </w:r>
      <w:r w:rsidR="00936337">
        <w:rPr>
          <w:noProof/>
        </w:rPr>
        <w:t>1</w:t>
      </w:r>
      <w:r w:rsidR="00936337">
        <w:t>.</w:t>
      </w:r>
      <w:r w:rsidR="00936337">
        <w:rPr>
          <w:noProof/>
        </w:rPr>
        <w:t>1</w:t>
      </w:r>
      <w:r w:rsidR="003F39A6">
        <w:fldChar w:fldCharType="end"/>
      </w:r>
      <w:r w:rsidR="00F97223">
        <w:t>)</w:t>
      </w:r>
      <w:r w:rsidR="00770666">
        <w:t>.</w:t>
      </w:r>
    </w:p>
    <w:p w:rsidR="00041367" w:rsidRDefault="00D455E1" w:rsidP="00D27F5A">
      <w:pPr>
        <w:pStyle w:val="AERbodytext"/>
        <w:numPr>
          <w:ilvl w:val="0"/>
          <w:numId w:val="0"/>
        </w:numPr>
      </w:pPr>
      <w:r>
        <w:t xml:space="preserve">The first run is not a new requirement; it is how TNSPs allocate costs and derive charges for the locational component of intra-regional </w:t>
      </w:r>
      <w:proofErr w:type="spellStart"/>
      <w:r>
        <w:t>TUoS</w:t>
      </w:r>
      <w:proofErr w:type="spellEnd"/>
      <w:r>
        <w:t xml:space="preserve"> services. </w:t>
      </w:r>
    </w:p>
    <w:p w:rsidR="00D455E1" w:rsidRDefault="00287A3D" w:rsidP="00D27F5A">
      <w:pPr>
        <w:pStyle w:val="AERbodytext"/>
        <w:numPr>
          <w:ilvl w:val="0"/>
          <w:numId w:val="0"/>
        </w:numPr>
      </w:pPr>
      <w:r>
        <w:t>The second run</w:t>
      </w:r>
      <w:r w:rsidR="00F50099">
        <w:t xml:space="preserve"> derive</w:t>
      </w:r>
      <w:r w:rsidR="00C16DEB">
        <w:t>s</w:t>
      </w:r>
      <w:r w:rsidR="00F50099">
        <w:t xml:space="preserve"> the modified load export charge </w:t>
      </w:r>
      <w:r w:rsidR="00D455E1">
        <w:t>for an adjacent region</w:t>
      </w:r>
      <w:r w:rsidR="00F50099">
        <w:t>.</w:t>
      </w:r>
      <w:r w:rsidR="00C938B2">
        <w:t xml:space="preserve"> </w:t>
      </w:r>
      <w:r w:rsidR="00041367">
        <w:t>Its most important feature is that it includes</w:t>
      </w:r>
      <w:r w:rsidR="00D455E1">
        <w:t xml:space="preserve"> the intercon</w:t>
      </w:r>
      <w:r w:rsidR="00041367">
        <w:t>nections with adjoining regions. In that way,</w:t>
      </w:r>
      <w:r w:rsidR="00D455E1">
        <w:t xml:space="preserve"> neighbouring transmission systems are</w:t>
      </w:r>
      <w:r w:rsidR="00F50099">
        <w:t xml:space="preserve"> treated as if </w:t>
      </w:r>
      <w:r w:rsidR="00D455E1">
        <w:t>they were</w:t>
      </w:r>
      <w:r w:rsidR="00F50099">
        <w:t xml:space="preserve"> a load on the</w:t>
      </w:r>
      <w:r w:rsidR="00D455E1">
        <w:t xml:space="preserve"> regional</w:t>
      </w:r>
      <w:r w:rsidR="00F50099">
        <w:t xml:space="preserve"> boundary. </w:t>
      </w:r>
    </w:p>
    <w:p w:rsidR="008C1DA5" w:rsidRPr="008756F8" w:rsidRDefault="003F39A6" w:rsidP="00D27F5A">
      <w:pPr>
        <w:pStyle w:val="AERbodytext"/>
        <w:numPr>
          <w:ilvl w:val="0"/>
          <w:numId w:val="0"/>
        </w:numPr>
      </w:pPr>
      <w:r>
        <w:lastRenderedPageBreak/>
        <w:fldChar w:fldCharType="begin"/>
      </w:r>
      <w:r>
        <w:instrText xml:space="preserve"> REF _Ref383002762 \h </w:instrText>
      </w:r>
      <w:r>
        <w:fldChar w:fldCharType="separate"/>
      </w:r>
      <w:r w:rsidR="00936337">
        <w:t xml:space="preserve">Figure </w:t>
      </w:r>
      <w:r w:rsidR="00936337">
        <w:rPr>
          <w:noProof/>
        </w:rPr>
        <w:t>1</w:t>
      </w:r>
      <w:r w:rsidR="00936337">
        <w:t>.</w:t>
      </w:r>
      <w:r w:rsidR="00936337">
        <w:rPr>
          <w:noProof/>
        </w:rPr>
        <w:t>2</w:t>
      </w:r>
      <w:r>
        <w:fldChar w:fldCharType="end"/>
      </w:r>
      <w:r>
        <w:t xml:space="preserve"> </w:t>
      </w:r>
      <w:r w:rsidR="003875BC">
        <w:t xml:space="preserve">provides a simplified example of how </w:t>
      </w:r>
      <w:r w:rsidR="00D455E1">
        <w:t xml:space="preserve">each run </w:t>
      </w:r>
      <w:r w:rsidR="007D59B8">
        <w:t xml:space="preserve">will </w:t>
      </w:r>
      <w:r>
        <w:t>be applied</w:t>
      </w:r>
      <w:r w:rsidR="008756F8">
        <w:t xml:space="preserve">. For the purposes of the example </w:t>
      </w:r>
      <w:r>
        <w:t>“</w:t>
      </w:r>
      <w:r w:rsidR="00FF20E0">
        <w:t>c</w:t>
      </w:r>
      <w:r>
        <w:t>onnection point C”</w:t>
      </w:r>
      <w:r w:rsidR="008756F8">
        <w:t xml:space="preserve"> is the point at which electricity exits the region and flows into a neighbouring TNSP’s transmission system.</w:t>
      </w:r>
      <w:r w:rsidR="00DF3140">
        <w:t xml:space="preserve"> The first run (intra-regional charges</w:t>
      </w:r>
      <w:r w:rsidR="0075077F">
        <w:t xml:space="preserve">/locational </w:t>
      </w:r>
      <w:proofErr w:type="spellStart"/>
      <w:r w:rsidR="0075077F">
        <w:t>TUoS</w:t>
      </w:r>
      <w:proofErr w:type="spellEnd"/>
      <w:r w:rsidR="0075077F">
        <w:t xml:space="preserve"> services</w:t>
      </w:r>
      <w:r w:rsidR="00DF3140">
        <w:t>) is shown on the left</w:t>
      </w:r>
      <w:r w:rsidR="0075077F">
        <w:t xml:space="preserve">. The </w:t>
      </w:r>
      <w:r w:rsidR="00DF3140">
        <w:t>second run (inter-regional charges/modified load export charge) is</w:t>
      </w:r>
      <w:r w:rsidR="0075077F">
        <w:t xml:space="preserve"> </w:t>
      </w:r>
      <w:r w:rsidR="00DF3140">
        <w:t>on the right.</w:t>
      </w:r>
    </w:p>
    <w:p w:rsidR="000675A3" w:rsidRDefault="000675A3" w:rsidP="000675A3">
      <w:pPr>
        <w:pStyle w:val="Caption"/>
      </w:pPr>
      <w:bookmarkStart w:id="13" w:name="_Ref383002762"/>
      <w:proofErr w:type="gramStart"/>
      <w:r>
        <w:t xml:space="preserve">Figure </w:t>
      </w:r>
      <w:r w:rsidR="00FB5D5F">
        <w:fldChar w:fldCharType="begin"/>
      </w:r>
      <w:r w:rsidR="00FB5D5F">
        <w:instrText xml:space="preserve"> STYLERE</w:instrText>
      </w:r>
      <w:r w:rsidR="00FB5D5F">
        <w:instrText xml:space="preserve">F 1 \s </w:instrText>
      </w:r>
      <w:r w:rsidR="00FB5D5F">
        <w:fldChar w:fldCharType="separate"/>
      </w:r>
      <w:r w:rsidR="00936337">
        <w:rPr>
          <w:noProof/>
        </w:rPr>
        <w:t>1</w:t>
      </w:r>
      <w:r w:rsidR="00FB5D5F">
        <w:rPr>
          <w:noProof/>
        </w:rPr>
        <w:fldChar w:fldCharType="end"/>
      </w:r>
      <w:r>
        <w:t>.</w:t>
      </w:r>
      <w:proofErr w:type="gramEnd"/>
      <w:r>
        <w:fldChar w:fldCharType="begin"/>
      </w:r>
      <w:r>
        <w:instrText xml:space="preserve"> SEQ Figure \* ARABIC \s 1 </w:instrText>
      </w:r>
      <w:r>
        <w:fldChar w:fldCharType="separate"/>
      </w:r>
      <w:r w:rsidR="00936337">
        <w:rPr>
          <w:noProof/>
        </w:rPr>
        <w:t>2</w:t>
      </w:r>
      <w:r>
        <w:fldChar w:fldCharType="end"/>
      </w:r>
      <w:bookmarkEnd w:id="13"/>
      <w:r>
        <w:tab/>
        <w:t>S</w:t>
      </w:r>
      <w:r w:rsidR="00436D26">
        <w:t>implified example of the intra- and inter-regional costs allocations</w:t>
      </w:r>
    </w:p>
    <w:p w:rsidR="00FA0DFE" w:rsidRPr="007D59B8" w:rsidRDefault="007D59B8" w:rsidP="00287A3D">
      <w:pPr>
        <w:pStyle w:val="AERbodytext"/>
        <w:jc w:val="center"/>
        <w:rPr>
          <w:b/>
        </w:rPr>
      </w:pPr>
      <w:r>
        <w:rPr>
          <w:b/>
          <w:noProof/>
          <w:lang w:eastAsia="en-AU"/>
        </w:rPr>
        <w:drawing>
          <wp:inline distT="0" distB="0" distL="0" distR="0" wp14:anchorId="3908902E" wp14:editId="18901718">
            <wp:extent cx="5398615" cy="388437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2885" cy="3887444"/>
                    </a:xfrm>
                    <a:prstGeom prst="rect">
                      <a:avLst/>
                    </a:prstGeom>
                    <a:noFill/>
                    <a:ln>
                      <a:noFill/>
                    </a:ln>
                  </pic:spPr>
                </pic:pic>
              </a:graphicData>
            </a:graphic>
          </wp:inline>
        </w:drawing>
      </w:r>
    </w:p>
    <w:bookmarkStart w:id="14" w:name="_Ref380502763"/>
    <w:p w:rsidR="006B6ED7" w:rsidRDefault="00FF20E0" w:rsidP="00FF20E0">
      <w:pPr>
        <w:pStyle w:val="AERbodytext"/>
      </w:pPr>
      <w:r>
        <w:fldChar w:fldCharType="begin"/>
      </w:r>
      <w:r>
        <w:instrText xml:space="preserve"> REF _Ref383002762 \h </w:instrText>
      </w:r>
      <w:r>
        <w:fldChar w:fldCharType="separate"/>
      </w:r>
      <w:r w:rsidR="00936337">
        <w:t xml:space="preserve">Figure </w:t>
      </w:r>
      <w:r w:rsidR="00936337">
        <w:rPr>
          <w:noProof/>
        </w:rPr>
        <w:t>1</w:t>
      </w:r>
      <w:r w:rsidR="00936337">
        <w:t>.</w:t>
      </w:r>
      <w:r w:rsidR="00936337">
        <w:rPr>
          <w:noProof/>
        </w:rPr>
        <w:t>2</w:t>
      </w:r>
      <w:r>
        <w:fldChar w:fldCharType="end"/>
      </w:r>
      <w:r>
        <w:t xml:space="preserve"> shows that on the first run costs are only allocated to connection points A and B. On the second, howev</w:t>
      </w:r>
      <w:r w:rsidR="008756F8">
        <w:t>er,</w:t>
      </w:r>
      <w:r>
        <w:t xml:space="preserve"> connection point C is included in the cost allocation process. </w:t>
      </w:r>
    </w:p>
    <w:p w:rsidR="00FF20E0" w:rsidRDefault="00FF20E0" w:rsidP="00FF20E0">
      <w:pPr>
        <w:pStyle w:val="AERbodytext"/>
      </w:pPr>
      <w:r>
        <w:t xml:space="preserve">The revenue allocated </w:t>
      </w:r>
      <w:r w:rsidR="006B6ED7">
        <w:t>to connection point C</w:t>
      </w:r>
      <w:r w:rsidR="008756F8">
        <w:t xml:space="preserve"> ($2 million) is </w:t>
      </w:r>
      <w:r w:rsidR="006B6ED7">
        <w:t xml:space="preserve">the </w:t>
      </w:r>
      <w:r w:rsidR="008756F8">
        <w:t>modified load export charge</w:t>
      </w:r>
      <w:r w:rsidR="006B6ED7">
        <w:t xml:space="preserve"> that will be</w:t>
      </w:r>
      <w:r w:rsidR="008756F8">
        <w:t xml:space="preserve"> billed to the neighbouring region</w:t>
      </w:r>
      <w:r>
        <w:t>. By including both intra- and in</w:t>
      </w:r>
      <w:r w:rsidR="006B6ED7">
        <w:t>ter-regional connection points</w:t>
      </w:r>
      <w:r>
        <w:t xml:space="preserve">, the modified load export charge is </w:t>
      </w:r>
      <w:r w:rsidR="006B6ED7">
        <w:t>proportional</w:t>
      </w:r>
      <w:r>
        <w:t xml:space="preserve"> to the costs </w:t>
      </w:r>
      <w:r w:rsidR="00A02A5B">
        <w:t xml:space="preserve">associated with </w:t>
      </w:r>
      <w:r w:rsidR="00F50099">
        <w:t>providing</w:t>
      </w:r>
      <w:r w:rsidR="005049E5">
        <w:t xml:space="preserve"> intra</w:t>
      </w:r>
      <w:r>
        <w:t xml:space="preserve">-regional </w:t>
      </w:r>
      <w:proofErr w:type="spellStart"/>
      <w:r>
        <w:t>TUoS</w:t>
      </w:r>
      <w:proofErr w:type="spellEnd"/>
      <w:r>
        <w:t xml:space="preserve"> services</w:t>
      </w:r>
      <w:r w:rsidR="005049E5">
        <w:t>.</w:t>
      </w:r>
    </w:p>
    <w:p w:rsidR="00DB23BC" w:rsidRDefault="00DB23BC" w:rsidP="00DB23BC">
      <w:pPr>
        <w:pStyle w:val="Heading3"/>
      </w:pPr>
      <w:bookmarkStart w:id="15" w:name="_Ref383435620"/>
      <w:r>
        <w:t>Billing arrangements</w:t>
      </w:r>
      <w:bookmarkEnd w:id="14"/>
      <w:bookmarkEnd w:id="15"/>
    </w:p>
    <w:p w:rsidR="00055BDB" w:rsidRDefault="00055BDB" w:rsidP="00055BDB">
      <w:pPr>
        <w:pStyle w:val="AERbodytext"/>
      </w:pPr>
      <w:r>
        <w:t>The co-ordinating network service provider in a region is responsible for calculating</w:t>
      </w:r>
      <w:r w:rsidR="00AE7637">
        <w:t>, paying and receiving</w:t>
      </w:r>
      <w:r>
        <w:t xml:space="preserve"> the modified load export charge</w:t>
      </w:r>
      <w:r w:rsidR="00E40690">
        <w:t xml:space="preserve"> recoverable</w:t>
      </w:r>
      <w:r>
        <w:t xml:space="preserve"> from</w:t>
      </w:r>
      <w:r w:rsidR="00AE7637">
        <w:t xml:space="preserve"> or owing to</w:t>
      </w:r>
      <w:r w:rsidR="00E40690">
        <w:t xml:space="preserve"> </w:t>
      </w:r>
      <w:r>
        <w:t>neighbouring region</w:t>
      </w:r>
      <w:r w:rsidR="00E40690">
        <w:t>(</w:t>
      </w:r>
      <w:r>
        <w:t>s</w:t>
      </w:r>
      <w:r w:rsidR="00E40690">
        <w:t>)</w:t>
      </w:r>
      <w:r>
        <w:t>.</w:t>
      </w:r>
      <w:r w:rsidR="00E40690">
        <w:t xml:space="preserve"> </w:t>
      </w:r>
    </w:p>
    <w:p w:rsidR="00055BDB" w:rsidRDefault="00055BDB" w:rsidP="00E40690">
      <w:pPr>
        <w:pStyle w:val="AERbodytext"/>
      </w:pPr>
      <w:r>
        <w:t xml:space="preserve">In some regions, a co-ordinating network service provider has already been appointed. Where there is more than one transmission business in a region, the NER requires that they appoint </w:t>
      </w:r>
      <w:r w:rsidR="00930F7E">
        <w:t xml:space="preserve">a </w:t>
      </w:r>
      <w:r>
        <w:t>co-ordinating network service provider</w:t>
      </w:r>
      <w:r w:rsidR="00E40690">
        <w:t xml:space="preserve"> who is responsible for the allocation of all relevant aggregate annual revenue requirement (AARR) in that region</w:t>
      </w:r>
      <w:r>
        <w:t>.</w:t>
      </w:r>
      <w:r w:rsidR="00E40690">
        <w:rPr>
          <w:rStyle w:val="FootnoteReference"/>
        </w:rPr>
        <w:footnoteReference w:id="13"/>
      </w:r>
      <w:r>
        <w:t xml:space="preserve"> </w:t>
      </w:r>
    </w:p>
    <w:p w:rsidR="00E40690" w:rsidRDefault="00055BDB" w:rsidP="00E40690">
      <w:pPr>
        <w:pStyle w:val="AERbodytext"/>
      </w:pPr>
      <w:r>
        <w:lastRenderedPageBreak/>
        <w:t xml:space="preserve">Other regions do not have multiple transmission businesses and therefore a co-ordinating network service provider has not been appointed. </w:t>
      </w:r>
      <w:r w:rsidR="00BF5F7D">
        <w:t xml:space="preserve">In this case the co-ordinating network provider is the TNSP for that region. </w:t>
      </w:r>
      <w:r>
        <w:t xml:space="preserve">The final rule </w:t>
      </w:r>
      <w:r w:rsidR="00E40690">
        <w:t>states</w:t>
      </w:r>
      <w:r>
        <w:t xml:space="preserve"> that where there is a single transmission business in a region, ‘reference… to a co-ordinating network service provider is to be read as a reference to that Transmission Network Service Provider’.</w:t>
      </w:r>
      <w:r>
        <w:rPr>
          <w:rStyle w:val="FootnoteReference"/>
        </w:rPr>
        <w:footnoteReference w:id="14"/>
      </w:r>
    </w:p>
    <w:p w:rsidR="004A0ED5" w:rsidRDefault="004A0ED5" w:rsidP="004A0ED5">
      <w:pPr>
        <w:pStyle w:val="HeadingBoldBlue"/>
      </w:pPr>
      <w:r>
        <w:t>How billing will work</w:t>
      </w:r>
    </w:p>
    <w:p w:rsidR="00AE7637" w:rsidRDefault="008606A6" w:rsidP="00D90981">
      <w:pPr>
        <w:pStyle w:val="AERbodytext"/>
      </w:pPr>
      <w:r>
        <w:t xml:space="preserve">The flow of electricity is likely to change over the course of a year. The modified load export charge is therefore recovered via net payments. </w:t>
      </w:r>
    </w:p>
    <w:p w:rsidR="00D42025" w:rsidRDefault="00E01843" w:rsidP="00E01843">
      <w:pPr>
        <w:pStyle w:val="AERbulletlistthirdstyle"/>
        <w:numPr>
          <w:ilvl w:val="0"/>
          <w:numId w:val="0"/>
        </w:numPr>
      </w:pPr>
      <w:r>
        <w:t xml:space="preserve">The net payments a co-ordinating network service provider makes comes out of the allowable revenue in </w:t>
      </w:r>
      <w:r w:rsidR="00930F7E">
        <w:t>its</w:t>
      </w:r>
      <w:r>
        <w:t xml:space="preserve"> regi</w:t>
      </w:r>
      <w:r w:rsidR="00930F7E">
        <w:t>on</w:t>
      </w:r>
      <w:r>
        <w:t>. The other transmis</w:t>
      </w:r>
      <w:r w:rsidR="00930F7E">
        <w:t>sion businesses in its region</w:t>
      </w:r>
      <w:r>
        <w:t xml:space="preserve"> contribute to and share in the net payments that are made between neighbouring regions.    </w:t>
      </w:r>
    </w:p>
    <w:p w:rsidR="00BC2C36" w:rsidRDefault="00930F7E" w:rsidP="00E01843">
      <w:pPr>
        <w:pStyle w:val="AERbulletlistthirdstyle"/>
        <w:numPr>
          <w:ilvl w:val="0"/>
          <w:numId w:val="0"/>
        </w:numPr>
      </w:pPr>
      <w:r>
        <w:t xml:space="preserve">The payment or receipt of a modified load export charge is passed through to </w:t>
      </w:r>
      <w:r w:rsidR="00BC2C36">
        <w:t>customers. Thi</w:t>
      </w:r>
      <w:r>
        <w:t>s is by way of an adjustment to the revenue recoverable for</w:t>
      </w:r>
      <w:r w:rsidR="00AD07AE">
        <w:t xml:space="preserve"> the</w:t>
      </w:r>
      <w:r>
        <w:t xml:space="preserve"> locational component of </w:t>
      </w:r>
      <w:proofErr w:type="spellStart"/>
      <w:r>
        <w:t>TUoS</w:t>
      </w:r>
      <w:proofErr w:type="spellEnd"/>
      <w:r w:rsidR="004A0ED5">
        <w:t xml:space="preserve"> </w:t>
      </w:r>
      <w:r>
        <w:t>services</w:t>
      </w:r>
      <w:r w:rsidR="004A0ED5">
        <w:t>.</w:t>
      </w:r>
    </w:p>
    <w:p w:rsidR="008606A6" w:rsidRDefault="008606A6" w:rsidP="008606A6">
      <w:pPr>
        <w:pStyle w:val="AERrevisionbox"/>
      </w:pPr>
      <w:r>
        <w:rPr>
          <w:b/>
        </w:rPr>
        <w:t>Example</w:t>
      </w:r>
    </w:p>
    <w:p w:rsidR="008606A6" w:rsidRDefault="008606A6" w:rsidP="00AD07AE">
      <w:pPr>
        <w:pStyle w:val="AERrevisionbox"/>
      </w:pPr>
      <w:r>
        <w:t>As co-ordi</w:t>
      </w:r>
      <w:r w:rsidR="00AE7637">
        <w:t>nating network service providers</w:t>
      </w:r>
      <w:r>
        <w:t xml:space="preserve">, </w:t>
      </w:r>
      <w:proofErr w:type="spellStart"/>
      <w:r w:rsidR="009B1546">
        <w:t>ElectraNet</w:t>
      </w:r>
      <w:proofErr w:type="spellEnd"/>
      <w:r w:rsidR="00AE7637">
        <w:t xml:space="preserve"> </w:t>
      </w:r>
      <w:r w:rsidR="0076297B">
        <w:t xml:space="preserve">in </w:t>
      </w:r>
      <w:r w:rsidR="00AE7637">
        <w:t>South Australia</w:t>
      </w:r>
      <w:r w:rsidR="009B1546">
        <w:t xml:space="preserve"> and </w:t>
      </w:r>
      <w:r>
        <w:t>the Australian Energy Market Operator</w:t>
      </w:r>
      <w:r w:rsidR="0076297B">
        <w:t xml:space="preserve"> in</w:t>
      </w:r>
      <w:r w:rsidR="00AB698E">
        <w:t xml:space="preserve"> </w:t>
      </w:r>
      <w:r w:rsidR="00AE7637">
        <w:t>Victoria</w:t>
      </w:r>
      <w:r w:rsidR="001549AD">
        <w:t xml:space="preserve"> are</w:t>
      </w:r>
      <w:r w:rsidR="00C721AE">
        <w:t xml:space="preserve"> </w:t>
      </w:r>
      <w:r w:rsidR="001549AD">
        <w:t xml:space="preserve">responsible for </w:t>
      </w:r>
      <w:r>
        <w:t>calculating</w:t>
      </w:r>
      <w:r w:rsidR="001549AD">
        <w:t xml:space="preserve"> the modified load export charge. </w:t>
      </w:r>
    </w:p>
    <w:p w:rsidR="00AE7637" w:rsidRDefault="008606A6" w:rsidP="00AE7637">
      <w:pPr>
        <w:pStyle w:val="AERrevisionbox"/>
      </w:pPr>
      <w:r>
        <w:t>The flow of electricity</w:t>
      </w:r>
      <w:r w:rsidR="00AE7637">
        <w:t xml:space="preserve"> between </w:t>
      </w:r>
      <w:r w:rsidR="00E34C4A">
        <w:t>their respective regions</w:t>
      </w:r>
      <w:r>
        <w:t xml:space="preserve"> is likely to change over a course of the year. Sometimes</w:t>
      </w:r>
      <w:r w:rsidR="00AE7637">
        <w:t xml:space="preserve"> </w:t>
      </w:r>
      <w:r>
        <w:t>South Australia</w:t>
      </w:r>
      <w:r w:rsidR="00AE7637">
        <w:t xml:space="preserve"> </w:t>
      </w:r>
      <w:r>
        <w:t>will be a net importer</w:t>
      </w:r>
      <w:r w:rsidR="00AE7637">
        <w:t>,</w:t>
      </w:r>
      <w:r>
        <w:t xml:space="preserve"> and at other times Victoria will be. </w:t>
      </w:r>
    </w:p>
    <w:p w:rsidR="009B1546" w:rsidRDefault="00AE7637" w:rsidP="00AE7637">
      <w:pPr>
        <w:pStyle w:val="AERrevisionbox"/>
      </w:pPr>
      <w:r>
        <w:t>T</w:t>
      </w:r>
      <w:r w:rsidR="008606A6">
        <w:t>he final rule</w:t>
      </w:r>
      <w:r>
        <w:t xml:space="preserve"> thus</w:t>
      </w:r>
      <w:r w:rsidR="008606A6">
        <w:t xml:space="preserve"> requires </w:t>
      </w:r>
      <w:r w:rsidR="004A0ED5">
        <w:t>a</w:t>
      </w:r>
      <w:r w:rsidR="00E34C4A">
        <w:t xml:space="preserve"> </w:t>
      </w:r>
      <w:r w:rsidR="004A0ED5">
        <w:t>reconciliation process</w:t>
      </w:r>
      <w:r w:rsidR="008606A6">
        <w:t xml:space="preserve">. </w:t>
      </w:r>
      <w:proofErr w:type="spellStart"/>
      <w:r w:rsidR="001549AD">
        <w:t>ElectraNet</w:t>
      </w:r>
      <w:proofErr w:type="spellEnd"/>
      <w:r w:rsidR="001549AD">
        <w:t xml:space="preserve"> would calculate the</w:t>
      </w:r>
      <w:r>
        <w:t xml:space="preserve"> </w:t>
      </w:r>
      <w:r w:rsidR="001549AD">
        <w:t>modified load export c</w:t>
      </w:r>
      <w:r>
        <w:t xml:space="preserve">harge recoverable from Victoria and AEMO would </w:t>
      </w:r>
      <w:r w:rsidR="00833800">
        <w:t>do the same for</w:t>
      </w:r>
      <w:r>
        <w:t xml:space="preserve"> South Australia. </w:t>
      </w:r>
      <w:r w:rsidR="00833800">
        <w:t>Those amounts</w:t>
      </w:r>
      <w:r>
        <w:t xml:space="preserve"> </w:t>
      </w:r>
      <w:r w:rsidR="008606A6">
        <w:t>would then be netted</w:t>
      </w:r>
      <w:r>
        <w:t xml:space="preserve"> out</w:t>
      </w:r>
      <w:r w:rsidR="00C721AE">
        <w:t xml:space="preserve"> </w:t>
      </w:r>
      <w:r w:rsidR="008606A6">
        <w:t xml:space="preserve">to a single payment which one of them </w:t>
      </w:r>
      <w:r>
        <w:t>incurs and the other receives</w:t>
      </w:r>
      <w:r w:rsidR="008606A6">
        <w:t>.</w:t>
      </w:r>
    </w:p>
    <w:p w:rsidR="00E34C4A" w:rsidRDefault="00E01843" w:rsidP="00AE7637">
      <w:pPr>
        <w:pStyle w:val="AERrevisionbox"/>
      </w:pPr>
      <w:r>
        <w:rPr>
          <w:i/>
        </w:rPr>
        <w:t>Multiple transmission businesses</w:t>
      </w:r>
    </w:p>
    <w:p w:rsidR="00E34C4A" w:rsidRDefault="00E34C4A" w:rsidP="00B243E2">
      <w:pPr>
        <w:pStyle w:val="AERrevisionbox"/>
      </w:pPr>
      <w:r>
        <w:t xml:space="preserve">In some regions, there are multiple transmission businesses. Each </w:t>
      </w:r>
      <w:r w:rsidR="004A0ED5">
        <w:t xml:space="preserve">of them—not just the co-ordinating network service provider—will be </w:t>
      </w:r>
      <w:r>
        <w:t>required to contribute to the payment of the modified load export</w:t>
      </w:r>
      <w:r w:rsidR="004A0ED5">
        <w:t xml:space="preserve"> charge</w:t>
      </w:r>
      <w:r>
        <w:t>. Similarly they</w:t>
      </w:r>
      <w:r w:rsidR="004A0ED5">
        <w:t xml:space="preserve"> all </w:t>
      </w:r>
      <w:r>
        <w:t xml:space="preserve">share in </w:t>
      </w:r>
      <w:r w:rsidR="004A0ED5">
        <w:t>the</w:t>
      </w:r>
      <w:r>
        <w:t xml:space="preserve"> receipt</w:t>
      </w:r>
      <w:r w:rsidR="004A0ED5">
        <w:t xml:space="preserve"> of </w:t>
      </w:r>
      <w:r w:rsidR="000B6E59">
        <w:t xml:space="preserve">any </w:t>
      </w:r>
      <w:r w:rsidR="004A0ED5">
        <w:t>payments</w:t>
      </w:r>
      <w:r>
        <w:t xml:space="preserve">.  </w:t>
      </w:r>
    </w:p>
    <w:p w:rsidR="00B243E2" w:rsidRDefault="00C9546C" w:rsidP="000B6E59">
      <w:pPr>
        <w:pStyle w:val="AERrevisionbox"/>
        <w:numPr>
          <w:ilvl w:val="0"/>
          <w:numId w:val="0"/>
        </w:numPr>
      </w:pPr>
      <w:r>
        <w:t>As well as</w:t>
      </w:r>
      <w:r w:rsidR="000B6E59">
        <w:t xml:space="preserve"> </w:t>
      </w:r>
      <w:proofErr w:type="spellStart"/>
      <w:r w:rsidR="000B6E59">
        <w:t>ElectraNet</w:t>
      </w:r>
      <w:proofErr w:type="spellEnd"/>
      <w:r w:rsidR="000B6E59">
        <w:t xml:space="preserve">, </w:t>
      </w:r>
      <w:proofErr w:type="spellStart"/>
      <w:r w:rsidR="000B6E59">
        <w:t>Murraylink</w:t>
      </w:r>
      <w:proofErr w:type="spellEnd"/>
      <w:r w:rsidR="000B6E59">
        <w:t xml:space="preserve"> provides transmission services in South Australia. If </w:t>
      </w:r>
      <w:r w:rsidR="0076297B">
        <w:t xml:space="preserve">that state </w:t>
      </w:r>
      <w:r w:rsidR="000B6E59">
        <w:t xml:space="preserve">was a net importer of electricity one year, then </w:t>
      </w:r>
      <w:proofErr w:type="spellStart"/>
      <w:r w:rsidR="000B6E59">
        <w:t>Murraylink</w:t>
      </w:r>
      <w:proofErr w:type="spellEnd"/>
      <w:r w:rsidR="000B6E59">
        <w:t xml:space="preserve"> would have to contribute to the payment made to Victoria. To facilitate this </w:t>
      </w:r>
      <w:proofErr w:type="spellStart"/>
      <w:r w:rsidR="00B243E2">
        <w:t>ElectraNet</w:t>
      </w:r>
      <w:proofErr w:type="spellEnd"/>
      <w:r w:rsidR="00B243E2">
        <w:t xml:space="preserve"> </w:t>
      </w:r>
      <w:r w:rsidR="000B6E59">
        <w:t xml:space="preserve">is required to bill </w:t>
      </w:r>
      <w:proofErr w:type="spellStart"/>
      <w:r w:rsidR="000B6E59">
        <w:t>Murraylink</w:t>
      </w:r>
      <w:proofErr w:type="spellEnd"/>
      <w:r w:rsidR="000B6E59">
        <w:t>.</w:t>
      </w:r>
      <w:r w:rsidR="00B243E2">
        <w:t xml:space="preserve"> </w:t>
      </w:r>
    </w:p>
    <w:p w:rsidR="00E01843" w:rsidRDefault="000B6E59" w:rsidP="00B243E2">
      <w:pPr>
        <w:pStyle w:val="AERrevisionbox"/>
      </w:pPr>
      <w:r>
        <w:t>The same approach applies when payments are received. If</w:t>
      </w:r>
      <w:r w:rsidR="00E01843">
        <w:t xml:space="preserve"> AEMO</w:t>
      </w:r>
      <w:r>
        <w:t xml:space="preserve"> received a payment from </w:t>
      </w:r>
      <w:proofErr w:type="spellStart"/>
      <w:r>
        <w:t>ElectraNet</w:t>
      </w:r>
      <w:proofErr w:type="spellEnd"/>
      <w:r>
        <w:t xml:space="preserve">, then </w:t>
      </w:r>
      <w:r w:rsidR="00E01843">
        <w:t xml:space="preserve">it </w:t>
      </w:r>
      <w:r>
        <w:t>would</w:t>
      </w:r>
      <w:r w:rsidR="00E01843">
        <w:t xml:space="preserve"> </w:t>
      </w:r>
      <w:r>
        <w:t xml:space="preserve">be </w:t>
      </w:r>
      <w:r w:rsidR="00E01843">
        <w:t>required to share the additional revenue with</w:t>
      </w:r>
      <w:r>
        <w:t xml:space="preserve"> other transmission businesses in Victoria—</w:t>
      </w:r>
      <w:r w:rsidR="0076297B">
        <w:t>that is</w:t>
      </w:r>
      <w:r>
        <w:t xml:space="preserve">, </w:t>
      </w:r>
      <w:r w:rsidR="00E01843">
        <w:t>SP Au</w:t>
      </w:r>
      <w:r>
        <w:t>sNet</w:t>
      </w:r>
      <w:r w:rsidR="00E01843">
        <w:t>.</w:t>
      </w:r>
    </w:p>
    <w:p w:rsidR="00BC2C36" w:rsidRDefault="00BC2C36" w:rsidP="00B243E2">
      <w:pPr>
        <w:pStyle w:val="AERrevisionbox"/>
      </w:pPr>
      <w:r>
        <w:t xml:space="preserve">The paying out and the receipt of a net payment for the modified load export charge is </w:t>
      </w:r>
      <w:r w:rsidR="00C94272">
        <w:t>made</w:t>
      </w:r>
      <w:r>
        <w:t xml:space="preserve"> </w:t>
      </w:r>
      <w:r w:rsidR="000B6E59">
        <w:t>via</w:t>
      </w:r>
      <w:r>
        <w:t xml:space="preserve"> a negative or positive adjustment to the locational component of prescribed </w:t>
      </w:r>
      <w:proofErr w:type="spellStart"/>
      <w:r>
        <w:t>TUoS</w:t>
      </w:r>
      <w:proofErr w:type="spellEnd"/>
      <w:r>
        <w:t xml:space="preserve"> services. </w:t>
      </w:r>
    </w:p>
    <w:p w:rsidR="00D42025" w:rsidRDefault="00D42025" w:rsidP="00AE7637">
      <w:pPr>
        <w:pStyle w:val="AERrevisionbox"/>
      </w:pPr>
    </w:p>
    <w:p w:rsidR="008E27CD" w:rsidRDefault="008E27CD" w:rsidP="008E27CD">
      <w:pPr>
        <w:pStyle w:val="Heading1"/>
      </w:pPr>
      <w:bookmarkStart w:id="16" w:name="_Toc383529633"/>
      <w:r>
        <w:lastRenderedPageBreak/>
        <w:t>Pricing methodology guidelines</w:t>
      </w:r>
      <w:bookmarkEnd w:id="16"/>
    </w:p>
    <w:p w:rsidR="008E27CD" w:rsidRDefault="008E27CD" w:rsidP="008E27CD">
      <w:pPr>
        <w:rPr>
          <w:rStyle w:val="AERbody"/>
        </w:rPr>
      </w:pPr>
      <w:r>
        <w:rPr>
          <w:rStyle w:val="AERbody"/>
        </w:rPr>
        <w:t xml:space="preserve">The </w:t>
      </w:r>
      <w:r w:rsidR="003A57BA">
        <w:rPr>
          <w:rStyle w:val="AERbody"/>
        </w:rPr>
        <w:t>Commission</w:t>
      </w:r>
      <w:r w:rsidR="006F2008">
        <w:rPr>
          <w:rStyle w:val="AERbody"/>
        </w:rPr>
        <w:t>’s</w:t>
      </w:r>
      <w:r>
        <w:rPr>
          <w:rStyle w:val="AERbody"/>
        </w:rPr>
        <w:t xml:space="preserve"> rule requir</w:t>
      </w:r>
      <w:r w:rsidR="00C94272">
        <w:rPr>
          <w:rStyle w:val="AERbody"/>
        </w:rPr>
        <w:t xml:space="preserve">es us to amend the </w:t>
      </w:r>
      <w:r>
        <w:rPr>
          <w:rStyle w:val="AERbody"/>
        </w:rPr>
        <w:t xml:space="preserve">Guidelines. In this section, </w:t>
      </w:r>
      <w:r w:rsidR="000D723E">
        <w:rPr>
          <w:rStyle w:val="AERbody"/>
        </w:rPr>
        <w:t xml:space="preserve">we outline our </w:t>
      </w:r>
      <w:r>
        <w:rPr>
          <w:rStyle w:val="AERbody"/>
        </w:rPr>
        <w:t>proposed amendment</w:t>
      </w:r>
      <w:r w:rsidR="000D723E">
        <w:rPr>
          <w:rStyle w:val="AERbody"/>
        </w:rPr>
        <w:t>s.</w:t>
      </w:r>
    </w:p>
    <w:p w:rsidR="008E27CD" w:rsidRPr="003A1874" w:rsidRDefault="008E27CD" w:rsidP="008E27CD">
      <w:pPr>
        <w:pStyle w:val="Heading2"/>
        <w:rPr>
          <w:rStyle w:val="AERbody"/>
          <w:color w:val="E36C0A"/>
          <w:sz w:val="28"/>
        </w:rPr>
      </w:pPr>
      <w:bookmarkStart w:id="17" w:name="_Toc383529634"/>
      <w:r w:rsidRPr="003A1874">
        <w:rPr>
          <w:rStyle w:val="AERbody"/>
          <w:color w:val="E36C0A"/>
          <w:sz w:val="28"/>
        </w:rPr>
        <w:t>Amendment requirements</w:t>
      </w:r>
      <w:bookmarkEnd w:id="17"/>
    </w:p>
    <w:p w:rsidR="008E27CD" w:rsidRDefault="008E27CD" w:rsidP="008E27CD">
      <w:pPr>
        <w:rPr>
          <w:rStyle w:val="AERbody"/>
        </w:rPr>
      </w:pPr>
      <w:r>
        <w:rPr>
          <w:rStyle w:val="AERbody"/>
        </w:rPr>
        <w:t>The requirements for the Guidelines are set out in clause 6A.25.2 of the NER. The</w:t>
      </w:r>
      <w:r w:rsidR="00C94272">
        <w:rPr>
          <w:rStyle w:val="AERbody"/>
        </w:rPr>
        <w:t xml:space="preserve"> amendments that must be made because of the modified load export charge are</w:t>
      </w:r>
      <w:r>
        <w:rPr>
          <w:rStyle w:val="AERbody"/>
        </w:rPr>
        <w:t xml:space="preserve"> highlighted below.</w:t>
      </w:r>
    </w:p>
    <w:p w:rsidR="008E27CD" w:rsidRPr="000F3105" w:rsidRDefault="008E27CD" w:rsidP="008E27CD">
      <w:pPr>
        <w:rPr>
          <w:rStyle w:val="AERtextbold"/>
        </w:rPr>
      </w:pPr>
      <w:r>
        <w:rPr>
          <w:rStyle w:val="AERbody"/>
        </w:rPr>
        <w:tab/>
      </w:r>
      <w:r w:rsidRPr="000F3105">
        <w:rPr>
          <w:rStyle w:val="AERtextbold"/>
        </w:rPr>
        <w:t>NER, clause 6A.25.2</w:t>
      </w:r>
    </w:p>
    <w:p w:rsidR="008E27CD" w:rsidRDefault="008E27CD" w:rsidP="008E27CD">
      <w:pPr>
        <w:pStyle w:val="AERquote"/>
      </w:pPr>
      <w:r>
        <w:t>The pricing methodology guidelines must specify or clarify:</w:t>
      </w:r>
    </w:p>
    <w:p w:rsidR="008E27CD" w:rsidRDefault="008E27CD" w:rsidP="008E27CD">
      <w:pPr>
        <w:pStyle w:val="AERquote"/>
      </w:pPr>
      <w:r>
        <w:t>(a) the information that is to accompany a proposed pricing methodology being information that is necessary to allow the AER to forma view as to whether the proposed methodology is consistent with and gives effect to, the Pricing Principles for Prescribed Transmission Services and the requirements of this Part J;</w:t>
      </w:r>
    </w:p>
    <w:p w:rsidR="008E27CD" w:rsidRDefault="008E27CD" w:rsidP="008E27CD">
      <w:pPr>
        <w:pStyle w:val="AERquote"/>
      </w:pPr>
      <w:r>
        <w:t xml:space="preserve">(b) </w:t>
      </w:r>
      <w:proofErr w:type="gramStart"/>
      <w:r>
        <w:t>permitted</w:t>
      </w:r>
      <w:proofErr w:type="gramEnd"/>
      <w:r>
        <w:t xml:space="preserve"> pricing structures for recovery of the locational component of providing prescribed TUOS services under clause 6A.23.4(e), having regard to:</w:t>
      </w:r>
    </w:p>
    <w:p w:rsidR="008E27CD" w:rsidRDefault="008E27CD" w:rsidP="008E27CD">
      <w:pPr>
        <w:pStyle w:val="AERquoteindent1"/>
      </w:pPr>
      <w:r>
        <w:t xml:space="preserve">(1) </w:t>
      </w:r>
      <w:proofErr w:type="gramStart"/>
      <w:r>
        <w:t>the</w:t>
      </w:r>
      <w:proofErr w:type="gramEnd"/>
      <w:r>
        <w:t xml:space="preserve"> desirability of consistent pricing structures across the NEM; and</w:t>
      </w:r>
    </w:p>
    <w:p w:rsidR="008E27CD" w:rsidRDefault="008E27CD" w:rsidP="008E27CD">
      <w:pPr>
        <w:pStyle w:val="AERquoteindent1"/>
      </w:pPr>
      <w:r>
        <w:t xml:space="preserve">(2) </w:t>
      </w:r>
      <w:proofErr w:type="gramStart"/>
      <w:r>
        <w:t>the</w:t>
      </w:r>
      <w:proofErr w:type="gramEnd"/>
      <w:r>
        <w:t xml:space="preserve"> role of the pricing structures in signalling efficient investment decisions and network  utilisation decisions;</w:t>
      </w:r>
    </w:p>
    <w:p w:rsidR="008E27CD" w:rsidRDefault="008E27CD" w:rsidP="008E27CD">
      <w:pPr>
        <w:pStyle w:val="AERquote"/>
      </w:pPr>
      <w:r>
        <w:t xml:space="preserve">(c) </w:t>
      </w:r>
      <w:proofErr w:type="gramStart"/>
      <w:r>
        <w:t>in</w:t>
      </w:r>
      <w:proofErr w:type="gramEnd"/>
      <w:r>
        <w:t xml:space="preserve"> relation to prices set on a postage-stamp basis, permissible postage stamping structures for the prices for prescribed common transmission services and the recovery of the adjusted non-locational component of providing prescribed TUOS services having regard to:</w:t>
      </w:r>
    </w:p>
    <w:p w:rsidR="008E27CD" w:rsidRDefault="008E27CD" w:rsidP="008E27CD">
      <w:pPr>
        <w:pStyle w:val="AERquoteindent1"/>
      </w:pPr>
      <w:r>
        <w:t xml:space="preserve">(1) </w:t>
      </w:r>
      <w:proofErr w:type="gramStart"/>
      <w:r>
        <w:t>the</w:t>
      </w:r>
      <w:proofErr w:type="gramEnd"/>
      <w:r>
        <w:t xml:space="preserve"> desirability of a consistent approach across the NEM, particularly for Transmission Customers that have operations in multiple participating jurisdictions; and</w:t>
      </w:r>
    </w:p>
    <w:p w:rsidR="008E27CD" w:rsidRDefault="008E27CD" w:rsidP="008E27CD">
      <w:pPr>
        <w:pStyle w:val="AERquoteindent1"/>
      </w:pPr>
      <w:r>
        <w:t xml:space="preserve">(2) </w:t>
      </w:r>
      <w:proofErr w:type="gramStart"/>
      <w:r>
        <w:t>the</w:t>
      </w:r>
      <w:proofErr w:type="gramEnd"/>
      <w:r>
        <w:t xml:space="preserve"> desirability of signalling to actual and potential Transmission Network Users efficient investment decisions and network utilisation decisions.</w:t>
      </w:r>
    </w:p>
    <w:p w:rsidR="008E27CD" w:rsidRDefault="008E27CD" w:rsidP="008E27CD">
      <w:pPr>
        <w:pStyle w:val="AERquote"/>
      </w:pPr>
      <w:r>
        <w:t xml:space="preserve">(d) </w:t>
      </w:r>
      <w:proofErr w:type="gramStart"/>
      <w:r>
        <w:t>the</w:t>
      </w:r>
      <w:proofErr w:type="gramEnd"/>
      <w:r>
        <w:t xml:space="preserve"> type of transmission system assets that are directly attributable to each category of prescribed transmission services, having regard to the desirability of consistency of cost allocation across the NEM;</w:t>
      </w:r>
    </w:p>
    <w:p w:rsidR="008E27CD" w:rsidRPr="007B3DBD" w:rsidRDefault="00D67C2F" w:rsidP="008E27CD">
      <w:pPr>
        <w:pStyle w:val="AERquote"/>
        <w:rPr>
          <w:color w:val="FF0000"/>
          <w:u w:val="single"/>
        </w:rPr>
      </w:pPr>
      <w:r>
        <w:t>(f</w:t>
      </w:r>
      <w:r w:rsidR="008E27CD">
        <w:t xml:space="preserve">) </w:t>
      </w:r>
      <w:proofErr w:type="gramStart"/>
      <w:r w:rsidR="008E27CD">
        <w:t>those</w:t>
      </w:r>
      <w:proofErr w:type="gramEnd"/>
      <w:r w:rsidR="008E27CD">
        <w:t xml:space="preserve"> parts (if any) of a proposed pricing methodology or the information accompanying it, that will not be publicly disclosed without the consent of the Transmission Network Service Provider</w:t>
      </w:r>
      <w:r w:rsidR="008E27CD" w:rsidRPr="007B3DBD">
        <w:rPr>
          <w:color w:val="FF0000"/>
          <w:u w:val="single"/>
        </w:rPr>
        <w:t>; and</w:t>
      </w:r>
    </w:p>
    <w:p w:rsidR="008E27CD" w:rsidRPr="007B3DBD" w:rsidRDefault="00D67C2F" w:rsidP="008E27CD">
      <w:pPr>
        <w:pStyle w:val="AERquote"/>
        <w:rPr>
          <w:color w:val="FF0000"/>
          <w:u w:val="single"/>
        </w:rPr>
      </w:pPr>
      <w:r>
        <w:rPr>
          <w:color w:val="FF0000"/>
          <w:u w:val="single"/>
        </w:rPr>
        <w:t>(g</w:t>
      </w:r>
      <w:r w:rsidR="008E27CD" w:rsidRPr="007B3DBD">
        <w:rPr>
          <w:color w:val="FF0000"/>
          <w:u w:val="single"/>
        </w:rPr>
        <w:t>) the matters which Transmission Network Service Providers that are also Co-Ordinating Network Service Providers must include in their pricing methodologies in accordance with clause 6A.24.1(b1) for:</w:t>
      </w:r>
    </w:p>
    <w:p w:rsidR="008E27CD" w:rsidRPr="007B3DBD" w:rsidRDefault="008E27CD" w:rsidP="008E27CD">
      <w:pPr>
        <w:pStyle w:val="AERquoteindent1"/>
        <w:rPr>
          <w:color w:val="FF0000"/>
          <w:u w:val="single"/>
        </w:rPr>
      </w:pPr>
      <w:r w:rsidRPr="007B3DBD">
        <w:rPr>
          <w:color w:val="FF0000"/>
          <w:u w:val="single"/>
        </w:rPr>
        <w:t xml:space="preserve">(1) </w:t>
      </w:r>
      <w:proofErr w:type="gramStart"/>
      <w:r w:rsidRPr="007B3DBD">
        <w:rPr>
          <w:color w:val="FF0000"/>
          <w:u w:val="single"/>
        </w:rPr>
        <w:t>the</w:t>
      </w:r>
      <w:proofErr w:type="gramEnd"/>
      <w:r w:rsidRPr="007B3DBD">
        <w:rPr>
          <w:color w:val="FF0000"/>
          <w:u w:val="single"/>
        </w:rPr>
        <w:t xml:space="preserve"> allocation of the AARR for prescribed transmission services provided by Transmission Network Service Providers within that region, including the allocation of the AARR as agreed between Transmission Network Service Providers in accordance with clause 6A.29.3;</w:t>
      </w:r>
    </w:p>
    <w:p w:rsidR="008E27CD" w:rsidRPr="007B3DBD" w:rsidRDefault="008E27CD" w:rsidP="008E27CD">
      <w:pPr>
        <w:pStyle w:val="AERquoteindent1"/>
        <w:rPr>
          <w:color w:val="FF0000"/>
          <w:u w:val="single"/>
        </w:rPr>
      </w:pPr>
      <w:r w:rsidRPr="007B3DBD">
        <w:rPr>
          <w:color w:val="FF0000"/>
          <w:u w:val="single"/>
        </w:rPr>
        <w:t xml:space="preserve">(2) </w:t>
      </w:r>
      <w:proofErr w:type="gramStart"/>
      <w:r w:rsidRPr="007B3DBD">
        <w:rPr>
          <w:color w:val="FF0000"/>
          <w:u w:val="single"/>
        </w:rPr>
        <w:t>the</w:t>
      </w:r>
      <w:proofErr w:type="gramEnd"/>
      <w:r w:rsidRPr="007B3DBD">
        <w:rPr>
          <w:color w:val="FF0000"/>
          <w:u w:val="single"/>
        </w:rPr>
        <w:t xml:space="preserve"> calculation of modified load export charges consistent with clause 6A.29A.2; and</w:t>
      </w:r>
    </w:p>
    <w:p w:rsidR="008E27CD" w:rsidRPr="007B3DBD" w:rsidRDefault="008E27CD" w:rsidP="008E27CD">
      <w:pPr>
        <w:pStyle w:val="AERquoteindent1"/>
        <w:rPr>
          <w:color w:val="FF0000"/>
          <w:u w:val="single"/>
        </w:rPr>
      </w:pPr>
      <w:r w:rsidRPr="007B3DBD">
        <w:rPr>
          <w:color w:val="FF0000"/>
          <w:u w:val="single"/>
        </w:rPr>
        <w:t xml:space="preserve">(3) </w:t>
      </w:r>
      <w:proofErr w:type="gramStart"/>
      <w:r w:rsidRPr="007B3DBD">
        <w:rPr>
          <w:color w:val="FF0000"/>
          <w:u w:val="single"/>
        </w:rPr>
        <w:t>the</w:t>
      </w:r>
      <w:proofErr w:type="gramEnd"/>
      <w:r w:rsidRPr="007B3DBD">
        <w:rPr>
          <w:color w:val="FF0000"/>
          <w:u w:val="single"/>
        </w:rPr>
        <w:t xml:space="preserve"> allocation of billing of modified load export charges: </w:t>
      </w:r>
    </w:p>
    <w:p w:rsidR="008E27CD" w:rsidRPr="007B3DBD" w:rsidRDefault="008E27CD" w:rsidP="008E27CD">
      <w:pPr>
        <w:pStyle w:val="AERquoteindent2"/>
        <w:rPr>
          <w:color w:val="FF0000"/>
          <w:u w:val="single"/>
        </w:rPr>
      </w:pPr>
      <w:r w:rsidRPr="007B3DBD">
        <w:rPr>
          <w:color w:val="FF0000"/>
          <w:u w:val="single"/>
        </w:rPr>
        <w:t>(</w:t>
      </w:r>
      <w:proofErr w:type="spellStart"/>
      <w:r w:rsidRPr="007B3DBD">
        <w:rPr>
          <w:color w:val="FF0000"/>
          <w:u w:val="single"/>
        </w:rPr>
        <w:t>i</w:t>
      </w:r>
      <w:proofErr w:type="spellEnd"/>
      <w:r w:rsidRPr="007B3DBD">
        <w:rPr>
          <w:color w:val="FF0000"/>
          <w:u w:val="single"/>
        </w:rPr>
        <w:t xml:space="preserve">) </w:t>
      </w:r>
      <w:proofErr w:type="gramStart"/>
      <w:r w:rsidRPr="007B3DBD">
        <w:rPr>
          <w:color w:val="FF0000"/>
          <w:u w:val="single"/>
        </w:rPr>
        <w:t>receivable</w:t>
      </w:r>
      <w:proofErr w:type="gramEnd"/>
      <w:r w:rsidRPr="007B3DBD">
        <w:rPr>
          <w:color w:val="FF0000"/>
          <w:u w:val="single"/>
        </w:rPr>
        <w:t xml:space="preserve"> by other Co-Ordinating Network Service Providers in interconnected regions; and</w:t>
      </w:r>
    </w:p>
    <w:p w:rsidR="008E27CD" w:rsidRPr="007B3DBD" w:rsidRDefault="008E27CD" w:rsidP="008E27CD">
      <w:pPr>
        <w:pStyle w:val="AERquoteindent2"/>
        <w:rPr>
          <w:color w:val="FF0000"/>
          <w:u w:val="single"/>
        </w:rPr>
      </w:pPr>
      <w:r w:rsidRPr="007B3DBD">
        <w:rPr>
          <w:color w:val="FF0000"/>
          <w:u w:val="single"/>
        </w:rPr>
        <w:t xml:space="preserve">(ii) </w:t>
      </w:r>
      <w:proofErr w:type="gramStart"/>
      <w:r w:rsidRPr="007B3DBD">
        <w:rPr>
          <w:color w:val="FF0000"/>
          <w:u w:val="single"/>
        </w:rPr>
        <w:t>payable</w:t>
      </w:r>
      <w:proofErr w:type="gramEnd"/>
      <w:r w:rsidRPr="007B3DBD">
        <w:rPr>
          <w:color w:val="FF0000"/>
          <w:u w:val="single"/>
        </w:rPr>
        <w:t xml:space="preserve"> to other Co-Ordinating Network Service Providers in interconnected regions,</w:t>
      </w:r>
    </w:p>
    <w:p w:rsidR="008E27CD" w:rsidRPr="008B1297" w:rsidRDefault="008E27CD" w:rsidP="008E27CD">
      <w:pPr>
        <w:pStyle w:val="AERquoteindent2"/>
        <w:rPr>
          <w:color w:val="FF0000"/>
          <w:u w:val="single"/>
        </w:rPr>
      </w:pPr>
      <w:proofErr w:type="gramStart"/>
      <w:r w:rsidRPr="007B3DBD">
        <w:rPr>
          <w:color w:val="FF0000"/>
          <w:u w:val="single"/>
        </w:rPr>
        <w:t>to</w:t>
      </w:r>
      <w:proofErr w:type="gramEnd"/>
      <w:r w:rsidRPr="007B3DBD">
        <w:rPr>
          <w:color w:val="FF0000"/>
          <w:u w:val="single"/>
        </w:rPr>
        <w:t xml:space="preserve"> each Transmission Network Service Provider within its region under clause 6A.29</w:t>
      </w:r>
      <w:r w:rsidR="00D90981">
        <w:rPr>
          <w:color w:val="FF0000"/>
          <w:u w:val="single"/>
        </w:rPr>
        <w:t>A</w:t>
      </w:r>
      <w:r w:rsidRPr="007B3DBD">
        <w:rPr>
          <w:color w:val="FF0000"/>
          <w:u w:val="single"/>
        </w:rPr>
        <w:t xml:space="preserve">.5.  </w:t>
      </w:r>
    </w:p>
    <w:p w:rsidR="00610B9B" w:rsidRDefault="008E27CD" w:rsidP="00D90981">
      <w:pPr>
        <w:pStyle w:val="Heading2"/>
      </w:pPr>
      <w:bookmarkStart w:id="18" w:name="_Toc383529635"/>
      <w:r>
        <w:lastRenderedPageBreak/>
        <w:t>Proposed amendments</w:t>
      </w:r>
      <w:bookmarkEnd w:id="18"/>
    </w:p>
    <w:p w:rsidR="004F7AD2" w:rsidRDefault="002D14F8" w:rsidP="004F7AD2">
      <w:pPr>
        <w:pStyle w:val="AERbodytext"/>
        <w:numPr>
          <w:ilvl w:val="0"/>
          <w:numId w:val="0"/>
        </w:numPr>
      </w:pPr>
      <w:r>
        <w:t xml:space="preserve">In this section, our proposed amendments to the </w:t>
      </w:r>
      <w:r w:rsidR="000B6E59">
        <w:t>Guidelines</w:t>
      </w:r>
      <w:r>
        <w:t xml:space="preserve"> are outlined</w:t>
      </w:r>
      <w:r w:rsidR="000B6E59">
        <w:t>. We have numbered each proposed amendment,</w:t>
      </w:r>
      <w:r>
        <w:t xml:space="preserve"> which we invite stakeholders to refer to in</w:t>
      </w:r>
      <w:r w:rsidR="000B6E59">
        <w:t xml:space="preserve"> any</w:t>
      </w:r>
      <w:r>
        <w:t xml:space="preserve"> submissions</w:t>
      </w:r>
      <w:r w:rsidR="000B6E59">
        <w:t xml:space="preserve"> they provide</w:t>
      </w:r>
      <w:r>
        <w:t xml:space="preserve">.  </w:t>
      </w:r>
    </w:p>
    <w:p w:rsidR="00D537F0" w:rsidRDefault="00121A40" w:rsidP="004F7AD2">
      <w:pPr>
        <w:pStyle w:val="AERbodytext"/>
        <w:numPr>
          <w:ilvl w:val="0"/>
          <w:numId w:val="0"/>
        </w:numPr>
      </w:pPr>
      <w:r>
        <w:t xml:space="preserve">For a pricing methodology to be approved it must give effect to the pricing principles in the NER </w:t>
      </w:r>
      <w:r w:rsidR="00C45868">
        <w:t>and</w:t>
      </w:r>
      <w:r>
        <w:t xml:space="preserve"> comply with the Guidelines.</w:t>
      </w:r>
      <w:r w:rsidR="002748B3">
        <w:rPr>
          <w:rStyle w:val="FootnoteReference"/>
        </w:rPr>
        <w:footnoteReference w:id="15"/>
      </w:r>
      <w:r>
        <w:t xml:space="preserve"> The pricing principles </w:t>
      </w:r>
      <w:r w:rsidR="00C45868">
        <w:t>contain</w:t>
      </w:r>
      <w:r>
        <w:t xml:space="preserve"> the substantive requirements. </w:t>
      </w:r>
      <w:r w:rsidR="00C45868">
        <w:t xml:space="preserve">The </w:t>
      </w:r>
      <w:r>
        <w:t>Guidelines</w:t>
      </w:r>
      <w:r w:rsidR="00C45868">
        <w:t xml:space="preserve"> specify</w:t>
      </w:r>
      <w:r w:rsidR="002748B3">
        <w:t xml:space="preserve"> the </w:t>
      </w:r>
      <w:r w:rsidR="002748B3" w:rsidRPr="00C45868">
        <w:rPr>
          <w:i/>
        </w:rPr>
        <w:t>information</w:t>
      </w:r>
      <w:r w:rsidR="00C45868">
        <w:t xml:space="preserve"> that we require</w:t>
      </w:r>
      <w:r w:rsidR="002748B3">
        <w:t xml:space="preserve"> </w:t>
      </w:r>
      <w:r w:rsidR="005E6123">
        <w:t>to be satisfied</w:t>
      </w:r>
      <w:r w:rsidR="00C45868">
        <w:t xml:space="preserve"> that</w:t>
      </w:r>
      <w:r w:rsidR="005E6123">
        <w:t xml:space="preserve"> </w:t>
      </w:r>
      <w:r w:rsidR="00C45868">
        <w:t>a business has</w:t>
      </w:r>
      <w:r w:rsidR="005E6123">
        <w:t xml:space="preserve"> give</w:t>
      </w:r>
      <w:r w:rsidR="00C45868">
        <w:t>n</w:t>
      </w:r>
      <w:r w:rsidR="005E6123">
        <w:t xml:space="preserve"> effect to</w:t>
      </w:r>
      <w:r w:rsidR="00932794">
        <w:t xml:space="preserve"> the NER pricing principles</w:t>
      </w:r>
      <w:r>
        <w:t>.</w:t>
      </w:r>
      <w:r w:rsidR="00F30170">
        <w:rPr>
          <w:rStyle w:val="FootnoteReference"/>
        </w:rPr>
        <w:footnoteReference w:id="16"/>
      </w:r>
    </w:p>
    <w:p w:rsidR="004F7AD2" w:rsidRDefault="004F7AD2" w:rsidP="00D90981">
      <w:pPr>
        <w:pStyle w:val="Heading3"/>
      </w:pPr>
      <w:r>
        <w:t>Allocation of the AARR</w:t>
      </w:r>
    </w:p>
    <w:p w:rsidR="009C7BCF" w:rsidRDefault="00D67C2F" w:rsidP="004B288B">
      <w:pPr>
        <w:pStyle w:val="AERbodytext"/>
      </w:pPr>
      <w:r>
        <w:t xml:space="preserve">The </w:t>
      </w:r>
      <w:r w:rsidR="004B288B">
        <w:t>final</w:t>
      </w:r>
      <w:r w:rsidR="00926869">
        <w:t xml:space="preserve"> rule requires the G</w:t>
      </w:r>
      <w:r>
        <w:t>uidelines to</w:t>
      </w:r>
      <w:r w:rsidR="00926869">
        <w:t xml:space="preserve"> be amended so that when</w:t>
      </w:r>
      <w:r>
        <w:t xml:space="preserve"> a co-ordinating network service provider</w:t>
      </w:r>
      <w:r w:rsidR="00926869">
        <w:t xml:space="preserve"> submits its pricing methodology</w:t>
      </w:r>
      <w:r w:rsidR="00534021">
        <w:t xml:space="preserve"> for approval</w:t>
      </w:r>
      <w:r w:rsidR="00926869">
        <w:t xml:space="preserve"> it is required to specify how the</w:t>
      </w:r>
      <w:r w:rsidR="004B288B">
        <w:t xml:space="preserve"> </w:t>
      </w:r>
      <w:r>
        <w:t xml:space="preserve">annual </w:t>
      </w:r>
      <w:r w:rsidR="009C7BCF">
        <w:t xml:space="preserve">aggregate </w:t>
      </w:r>
      <w:r w:rsidR="00926869">
        <w:t xml:space="preserve">revenue requirement (AARR) </w:t>
      </w:r>
      <w:r w:rsidR="004B288B">
        <w:t>in its region</w:t>
      </w:r>
      <w:r w:rsidR="00926869">
        <w:t xml:space="preserve"> will be allocated</w:t>
      </w:r>
      <w:r>
        <w:t>.</w:t>
      </w:r>
      <w:r>
        <w:rPr>
          <w:rStyle w:val="FootnoteReference"/>
        </w:rPr>
        <w:footnoteReference w:id="17"/>
      </w:r>
      <w:r w:rsidR="004B288B">
        <w:t xml:space="preserve"> </w:t>
      </w:r>
    </w:p>
    <w:p w:rsidR="002D14F8" w:rsidRDefault="00F30170" w:rsidP="00D537F0">
      <w:pPr>
        <w:pStyle w:val="AERbodytext"/>
      </w:pPr>
      <w:r>
        <w:t>The Guidelines are required to address clause 6A.29.3 of the NER.</w:t>
      </w:r>
      <w:r>
        <w:rPr>
          <w:rStyle w:val="FootnoteReference"/>
        </w:rPr>
        <w:footnoteReference w:id="18"/>
      </w:r>
      <w:r>
        <w:t xml:space="preserve"> It states that</w:t>
      </w:r>
      <w:r w:rsidR="009C7BCF">
        <w:t xml:space="preserve"> a co-ordinating network service provider responsible for the allocation of </w:t>
      </w:r>
      <w:r w:rsidR="00C45868">
        <w:t xml:space="preserve">the </w:t>
      </w:r>
      <w:r w:rsidR="009C7BCF">
        <w:t xml:space="preserve">AARR in a region </w:t>
      </w:r>
      <w:r w:rsidR="00FD596A">
        <w:t>may</w:t>
      </w:r>
      <w:r w:rsidR="009C7BCF">
        <w:t xml:space="preserve"> allocate the AARR of interconnected regions as well, </w:t>
      </w:r>
      <w:r w:rsidR="00FD596A">
        <w:t xml:space="preserve">if the </w:t>
      </w:r>
      <w:r w:rsidR="009C7BCF">
        <w:t xml:space="preserve">relevant transmission business or businesses </w:t>
      </w:r>
      <w:r w:rsidR="00FD596A">
        <w:t>have agreed</w:t>
      </w:r>
      <w:r w:rsidR="00926869">
        <w:t xml:space="preserve"> to such an arrangement</w:t>
      </w:r>
      <w:r w:rsidR="009C7BCF">
        <w:t>.</w:t>
      </w:r>
      <w:r w:rsidR="00121A40">
        <w:t xml:space="preserve"> </w:t>
      </w:r>
    </w:p>
    <w:p w:rsidR="004F7AD2" w:rsidRPr="004F7AD2" w:rsidRDefault="00233874" w:rsidP="004F7AD2">
      <w:pPr>
        <w:pStyle w:val="AERrevisionbox"/>
        <w:numPr>
          <w:ilvl w:val="0"/>
          <w:numId w:val="0"/>
        </w:numPr>
        <w:rPr>
          <w:rStyle w:val="AERtextbold"/>
        </w:rPr>
      </w:pPr>
      <w:r>
        <w:rPr>
          <w:rStyle w:val="AERtextbold"/>
        </w:rPr>
        <w:t>Pro</w:t>
      </w:r>
      <w:r w:rsidR="00833800">
        <w:rPr>
          <w:rStyle w:val="AERtextbold"/>
        </w:rPr>
        <w:t>posal 1</w:t>
      </w:r>
    </w:p>
    <w:p w:rsidR="00FD596A" w:rsidRDefault="004B288B" w:rsidP="00FD596A">
      <w:pPr>
        <w:pStyle w:val="AERrevisionbox"/>
        <w:numPr>
          <w:ilvl w:val="0"/>
          <w:numId w:val="0"/>
        </w:numPr>
      </w:pPr>
      <w:r>
        <w:t xml:space="preserve">Where a </w:t>
      </w:r>
      <w:r w:rsidR="009C7BCF">
        <w:t>TNSP</w:t>
      </w:r>
      <w:r>
        <w:t xml:space="preserve"> </w:t>
      </w:r>
      <w:r w:rsidR="00233874">
        <w:t>is the</w:t>
      </w:r>
      <w:r>
        <w:t xml:space="preserve"> co-ordinating </w:t>
      </w:r>
      <w:r w:rsidR="00625892">
        <w:t xml:space="preserve">network service provider for </w:t>
      </w:r>
      <w:r w:rsidR="009C7BCF">
        <w:t>a</w:t>
      </w:r>
      <w:r>
        <w:t xml:space="preserve"> region it</w:t>
      </w:r>
      <w:r w:rsidR="00625892">
        <w:t>s pricing methodology is required to detail</w:t>
      </w:r>
      <w:r>
        <w:t xml:space="preserve"> how it will</w:t>
      </w:r>
      <w:r w:rsidR="00625892">
        <w:t xml:space="preserve"> derive </w:t>
      </w:r>
      <w:r w:rsidR="009C7BCF">
        <w:t>the</w:t>
      </w:r>
      <w:r>
        <w:t xml:space="preserve"> AARR for prescribed tran</w:t>
      </w:r>
      <w:r w:rsidR="009C7BCF">
        <w:t>smission services in that region, including any allocation of the AARR</w:t>
      </w:r>
      <w:r w:rsidR="004F6D4F">
        <w:t xml:space="preserve"> in an interconnected region</w:t>
      </w:r>
      <w:r w:rsidR="009C7BCF">
        <w:t xml:space="preserve"> as agreed between TNSPs in accordance with clause 6A.29.3 of the NER.</w:t>
      </w:r>
      <w:r w:rsidR="00625892">
        <w:t xml:space="preserve"> </w:t>
      </w:r>
    </w:p>
    <w:p w:rsidR="00451F4D" w:rsidRDefault="00056198" w:rsidP="00D90981">
      <w:pPr>
        <w:pStyle w:val="Heading3"/>
      </w:pPr>
      <w:r>
        <w:t>The calculation of the modified load export charge</w:t>
      </w:r>
    </w:p>
    <w:p w:rsidR="00534021" w:rsidRDefault="00F50117" w:rsidP="004F6D4F">
      <w:pPr>
        <w:pStyle w:val="AERbodytext"/>
      </w:pPr>
      <w:r>
        <w:t>The final rule requires the Guidelines to be amended so that a pricing methodology a transmission business submits is required to</w:t>
      </w:r>
      <w:r w:rsidR="00534021">
        <w:t xml:space="preserve"> show how the modified load export charge will be calculated.</w:t>
      </w:r>
      <w:r w:rsidR="00534021">
        <w:rPr>
          <w:rStyle w:val="FootnoteReference"/>
        </w:rPr>
        <w:footnoteReference w:id="19"/>
      </w:r>
      <w:r w:rsidR="00534021">
        <w:t xml:space="preserve">  </w:t>
      </w:r>
    </w:p>
    <w:p w:rsidR="00833800" w:rsidRDefault="00534021" w:rsidP="004F6D4F">
      <w:pPr>
        <w:pStyle w:val="AERbodytext"/>
      </w:pPr>
      <w:r>
        <w:t>The</w:t>
      </w:r>
      <w:r w:rsidR="00926869">
        <w:t xml:space="preserve"> final rule </w:t>
      </w:r>
      <w:r>
        <w:t>specifies</w:t>
      </w:r>
      <w:r w:rsidR="00D537F0">
        <w:t xml:space="preserve"> </w:t>
      </w:r>
      <w:r w:rsidR="00D537F0" w:rsidRPr="000153BD">
        <w:rPr>
          <w:rStyle w:val="AERtextitalic"/>
        </w:rPr>
        <w:t>how</w:t>
      </w:r>
      <w:r w:rsidR="00D537F0">
        <w:t xml:space="preserve"> the modified load export charge</w:t>
      </w:r>
      <w:r w:rsidR="006E78E6">
        <w:t xml:space="preserve"> </w:t>
      </w:r>
      <w:r w:rsidR="00F50117">
        <w:t>is required to</w:t>
      </w:r>
      <w:r w:rsidR="00833800">
        <w:t xml:space="preserve"> be</w:t>
      </w:r>
      <w:r w:rsidR="006E78E6">
        <w:t xml:space="preserve"> calculated</w:t>
      </w:r>
      <w:r w:rsidR="00D537F0">
        <w:t>.</w:t>
      </w:r>
      <w:r w:rsidR="008D636C">
        <w:t xml:space="preserve"> </w:t>
      </w:r>
      <w:r>
        <w:t>In doing so it is prescriptive</w:t>
      </w:r>
      <w:r w:rsidR="008D636C">
        <w:t xml:space="preserve"> </w:t>
      </w:r>
      <w:r>
        <w:t>in terms of</w:t>
      </w:r>
      <w:r w:rsidR="006E78E6">
        <w:t xml:space="preserve"> which cost reflective network pricing and peak utilisation</w:t>
      </w:r>
      <w:r w:rsidR="00055BDB">
        <w:t xml:space="preserve"> </w:t>
      </w:r>
      <w:r w:rsidR="00833800">
        <w:t>methods</w:t>
      </w:r>
      <w:r w:rsidR="006E78E6">
        <w:t xml:space="preserve"> are to be used (see section </w:t>
      </w:r>
      <w:r w:rsidR="006E78E6">
        <w:fldChar w:fldCharType="begin"/>
      </w:r>
      <w:r w:rsidR="006E78E6">
        <w:instrText xml:space="preserve"> REF _Ref383435590 \r \h </w:instrText>
      </w:r>
      <w:r w:rsidR="006E78E6">
        <w:fldChar w:fldCharType="separate"/>
      </w:r>
      <w:r w:rsidR="00936337">
        <w:t>1.2.3</w:t>
      </w:r>
      <w:r w:rsidR="006E78E6">
        <w:fldChar w:fldCharType="end"/>
      </w:r>
      <w:r w:rsidR="006E78E6">
        <w:t xml:space="preserve">). </w:t>
      </w:r>
    </w:p>
    <w:p w:rsidR="008D636C" w:rsidRDefault="00833800" w:rsidP="004F6D4F">
      <w:pPr>
        <w:pStyle w:val="AERbodytext"/>
      </w:pPr>
      <w:r>
        <w:t>We</w:t>
      </w:r>
      <w:r w:rsidR="00534021">
        <w:t xml:space="preserve"> </w:t>
      </w:r>
      <w:r>
        <w:t>do not think that the Guidelines need to elaborate or provide further clarification on how a pricing methodology is required to give effect to the calculation of the modified load export charge. This is other than to state that a pricing methodology must spe</w:t>
      </w:r>
      <w:r w:rsidR="00534021">
        <w:t xml:space="preserve">cify that when calculating </w:t>
      </w:r>
      <w:r>
        <w:t xml:space="preserve">the modified load export charge a </w:t>
      </w:r>
      <w:r w:rsidR="00C45868">
        <w:t>co-ordinating network service provider</w:t>
      </w:r>
      <w:r>
        <w:t xml:space="preserve"> </w:t>
      </w:r>
      <w:r w:rsidR="00534021">
        <w:t>is required</w:t>
      </w:r>
      <w:r>
        <w:t xml:space="preserve"> </w:t>
      </w:r>
      <w:r w:rsidR="00534021">
        <w:t xml:space="preserve">to </w:t>
      </w:r>
      <w:r>
        <w:t xml:space="preserve">follow the </w:t>
      </w:r>
      <w:r w:rsidR="00534021">
        <w:t>method prescribed in clause 6A.29A.2 of the NER.</w:t>
      </w:r>
    </w:p>
    <w:p w:rsidR="002748B3" w:rsidRDefault="002748B3" w:rsidP="002748B3">
      <w:pPr>
        <w:pStyle w:val="AERbodytext"/>
        <w:numPr>
          <w:ilvl w:val="0"/>
          <w:numId w:val="0"/>
        </w:numPr>
      </w:pPr>
    </w:p>
    <w:p w:rsidR="002748B3" w:rsidRDefault="002748B3" w:rsidP="002748B3">
      <w:pPr>
        <w:pStyle w:val="AERbodytext"/>
        <w:numPr>
          <w:ilvl w:val="0"/>
          <w:numId w:val="0"/>
        </w:numPr>
      </w:pPr>
    </w:p>
    <w:p w:rsidR="00055BDB" w:rsidRPr="00055BDB" w:rsidRDefault="00833800" w:rsidP="00055BDB">
      <w:pPr>
        <w:pStyle w:val="AERrevisionbox"/>
        <w:rPr>
          <w:b/>
        </w:rPr>
      </w:pPr>
      <w:r>
        <w:rPr>
          <w:b/>
        </w:rPr>
        <w:lastRenderedPageBreak/>
        <w:t>Proposal 2</w:t>
      </w:r>
    </w:p>
    <w:p w:rsidR="00055BDB" w:rsidRDefault="00126B9E" w:rsidP="00055BDB">
      <w:pPr>
        <w:pStyle w:val="AERrevisionbox"/>
      </w:pPr>
      <w:r>
        <w:t xml:space="preserve">Where a TNSP is the co-ordinating network service provider for one or more regions, it is required to detail how it will calculate the modified load export charge payable to it by the co-ordinating network service provider for each interconnected region, in accordance with clause 6A.29A.2 of the NER. </w:t>
      </w:r>
    </w:p>
    <w:p w:rsidR="006E78E6" w:rsidRDefault="00D90981" w:rsidP="00D90981">
      <w:pPr>
        <w:pStyle w:val="Heading3"/>
      </w:pPr>
      <w:r>
        <w:t>The allocation of billing</w:t>
      </w:r>
    </w:p>
    <w:p w:rsidR="00A23502" w:rsidRDefault="00930D06" w:rsidP="00D42025">
      <w:pPr>
        <w:pStyle w:val="AERbulletlistfirststyle"/>
        <w:numPr>
          <w:ilvl w:val="0"/>
          <w:numId w:val="0"/>
        </w:numPr>
      </w:pPr>
      <w:r>
        <w:t>Tw</w:t>
      </w:r>
      <w:r w:rsidR="00C9546C">
        <w:t>o types of billing</w:t>
      </w:r>
      <w:r w:rsidR="00A23502">
        <w:t xml:space="preserve"> are addressed in the final rule (see section 1.2.4):</w:t>
      </w:r>
      <w:r w:rsidR="00A23502">
        <w:rPr>
          <w:rStyle w:val="FootnoteReference"/>
        </w:rPr>
        <w:footnoteReference w:id="20"/>
      </w:r>
    </w:p>
    <w:p w:rsidR="00A23502" w:rsidRDefault="00A23502" w:rsidP="00A23502">
      <w:pPr>
        <w:pStyle w:val="AERnumberedlistfirststyle"/>
      </w:pPr>
      <w:r>
        <w:t>Inter-regional billing. This occurs between</w:t>
      </w:r>
      <w:r w:rsidR="00930D06">
        <w:t xml:space="preserve"> co-ordinating network service providers</w:t>
      </w:r>
      <w:r>
        <w:t xml:space="preserve"> and results in a net payment </w:t>
      </w:r>
      <w:r w:rsidR="000B7A7C">
        <w:t>from one provider to the other</w:t>
      </w:r>
      <w:r w:rsidR="00930D06">
        <w:t xml:space="preserve">. </w:t>
      </w:r>
    </w:p>
    <w:p w:rsidR="00E01843" w:rsidRDefault="00A23502" w:rsidP="00A23502">
      <w:pPr>
        <w:pStyle w:val="AERnumberedlistfirststyle"/>
      </w:pPr>
      <w:r>
        <w:t>Intra-regional billing.</w:t>
      </w:r>
      <w:r w:rsidR="00930D06">
        <w:t xml:space="preserve"> </w:t>
      </w:r>
      <w:r>
        <w:t>This occurs where there are</w:t>
      </w:r>
      <w:r w:rsidR="00930D06">
        <w:t xml:space="preserve"> </w:t>
      </w:r>
      <w:r w:rsidR="00D2302B">
        <w:t xml:space="preserve">multiple </w:t>
      </w:r>
      <w:r w:rsidR="00930D06">
        <w:t>tr</w:t>
      </w:r>
      <w:r>
        <w:t xml:space="preserve">ansmission businesses </w:t>
      </w:r>
      <w:r w:rsidR="00823AA4">
        <w:t>within a given</w:t>
      </w:r>
      <w:r>
        <w:t xml:space="preserve"> region.</w:t>
      </w:r>
      <w:r w:rsidR="00930D06">
        <w:t xml:space="preserve"> </w:t>
      </w:r>
      <w:r w:rsidR="000B7A7C">
        <w:t>T</w:t>
      </w:r>
      <w:r w:rsidR="00D2302B">
        <w:t xml:space="preserve">o recover their contribution </w:t>
      </w:r>
      <w:r>
        <w:t>toward paying a modified load export charge</w:t>
      </w:r>
      <w:r w:rsidR="00D2302B">
        <w:t xml:space="preserve">, or </w:t>
      </w:r>
      <w:r w:rsidR="00F103D6">
        <w:t>so they can recover additional</w:t>
      </w:r>
      <w:r w:rsidR="00D2302B">
        <w:t xml:space="preserve"> revenue as their share in the receipt of</w:t>
      </w:r>
      <w:r w:rsidR="00F50117">
        <w:t xml:space="preserve"> </w:t>
      </w:r>
      <w:r w:rsidR="000B7A7C">
        <w:t>a modified load export charge, the co-ordinating network service provider is required to bill each business in its region.</w:t>
      </w:r>
    </w:p>
    <w:p w:rsidR="00BF1E67" w:rsidRDefault="00BF1E67" w:rsidP="00D42025">
      <w:pPr>
        <w:pStyle w:val="AERbulletlistfirststyle"/>
        <w:numPr>
          <w:ilvl w:val="0"/>
          <w:numId w:val="0"/>
        </w:numPr>
      </w:pPr>
      <w:r>
        <w:t xml:space="preserve">The Guidelines are not required to provide further clarification </w:t>
      </w:r>
      <w:r w:rsidR="00D2302B">
        <w:t xml:space="preserve">about </w:t>
      </w:r>
      <w:r w:rsidR="000B7A7C">
        <w:t>inter-regional billing</w:t>
      </w:r>
      <w:r w:rsidR="00F103D6">
        <w:t>. The final rule already sets out how co-ordinating network service providers are required to bill each other. They include the requirement to set out reasonable details of how the modified load export charge has been calculated and that they issue bills in equal monthly instalment.</w:t>
      </w:r>
      <w:r w:rsidR="00C45868">
        <w:rPr>
          <w:rStyle w:val="FootnoteReference"/>
        </w:rPr>
        <w:footnoteReference w:id="21"/>
      </w:r>
      <w:r w:rsidR="000B7A7C">
        <w:t xml:space="preserve"> At this stage, we do not intend on elaborating on these requirements in the Guidelines.</w:t>
      </w:r>
      <w:r w:rsidR="00F103D6">
        <w:t xml:space="preserve"> </w:t>
      </w:r>
    </w:p>
    <w:p w:rsidR="004F6D4F" w:rsidRDefault="00F103D6" w:rsidP="00F103D6">
      <w:pPr>
        <w:pStyle w:val="AERbulletlistfirststyle"/>
        <w:numPr>
          <w:ilvl w:val="0"/>
          <w:numId w:val="0"/>
        </w:numPr>
      </w:pPr>
      <w:r>
        <w:t>The final rule</w:t>
      </w:r>
      <w:r w:rsidR="000B7A7C">
        <w:t xml:space="preserve"> requires the Guidelines to address intra-regional billing</w:t>
      </w:r>
      <w:r w:rsidR="00BC2C36">
        <w:t>.</w:t>
      </w:r>
      <w:r>
        <w:t xml:space="preserve"> </w:t>
      </w:r>
      <w:r w:rsidR="000B7A7C">
        <w:t xml:space="preserve">In considering the amendment we </w:t>
      </w:r>
      <w:r w:rsidR="00C9546C">
        <w:t>should make</w:t>
      </w:r>
      <w:r w:rsidR="000B7A7C">
        <w:t>, we referred to the rule change determination.</w:t>
      </w:r>
    </w:p>
    <w:p w:rsidR="002C5039" w:rsidRDefault="008E5C19" w:rsidP="00F103D6">
      <w:pPr>
        <w:pStyle w:val="AERbulletlistfirststyle"/>
        <w:numPr>
          <w:ilvl w:val="0"/>
          <w:numId w:val="0"/>
        </w:numPr>
      </w:pPr>
      <w:r>
        <w:t xml:space="preserve">The Commission’s rule determination stated that its preferred approach for the recovery of the modified load export charge would be on the basis of intra-regional, rather than inter-regional, utilisation. </w:t>
      </w:r>
      <w:r w:rsidR="004A5999">
        <w:t>It decided ‘on this approach because it better reflects the fact that all customers derive benefits from (or can be considered to have caused the need for) inter-regional capability, not just those located near the border’.</w:t>
      </w:r>
      <w:r w:rsidR="004A5999">
        <w:rPr>
          <w:rStyle w:val="FootnoteReference"/>
        </w:rPr>
        <w:footnoteReference w:id="22"/>
      </w:r>
      <w:r w:rsidR="004A5999">
        <w:t xml:space="preserve"> </w:t>
      </w:r>
      <w:r>
        <w:t xml:space="preserve"> </w:t>
      </w:r>
      <w:r w:rsidR="004A5999">
        <w:t>We think that this intention should be reflected in the Guideline.</w:t>
      </w:r>
    </w:p>
    <w:p w:rsidR="00E13B53" w:rsidRDefault="00E13B53" w:rsidP="00E13B53">
      <w:pPr>
        <w:pStyle w:val="AERrevisionbox"/>
        <w:numPr>
          <w:ilvl w:val="0"/>
          <w:numId w:val="0"/>
        </w:numPr>
      </w:pPr>
      <w:r>
        <w:rPr>
          <w:b/>
        </w:rPr>
        <w:t>Proposal 3</w:t>
      </w:r>
    </w:p>
    <w:p w:rsidR="00E13B53" w:rsidRPr="00E13B53" w:rsidRDefault="00E13B53" w:rsidP="00E13B53">
      <w:pPr>
        <w:pStyle w:val="AERrevisionbox"/>
      </w:pPr>
      <w:r>
        <w:t xml:space="preserve">Where there is more than one transmission business in a region, the co-ordinating network service provider must provide details in its pricing methodology regarding how it will allocate any amounts receivable by or payment to other transmission businesses in accordance with clause 6A.29.5 of the NER.  </w:t>
      </w:r>
    </w:p>
    <w:p w:rsidR="00E13B53" w:rsidRPr="00E13B53" w:rsidRDefault="00E13B53" w:rsidP="00E13B53">
      <w:pPr>
        <w:pStyle w:val="AERrevisionbox"/>
        <w:rPr>
          <w:b/>
        </w:rPr>
      </w:pPr>
      <w:r>
        <w:rPr>
          <w:b/>
        </w:rPr>
        <w:t>Proposal 4</w:t>
      </w:r>
    </w:p>
    <w:p w:rsidR="002748B3" w:rsidRDefault="00E13B53" w:rsidP="002748B3">
      <w:pPr>
        <w:pStyle w:val="AERrevisionbox"/>
      </w:pPr>
      <w:r>
        <w:t>When allocating any amounts receivable by or payable to other transmission businesses as per clause 6A.29.5 of the NER, a co-ordinating network service provider is required to specify in its pricing methodology that the allocation of those amounts will be conducted according to intra-regional, rather than inter-regional, network utilisation.</w:t>
      </w:r>
    </w:p>
    <w:p w:rsidR="00E13B53" w:rsidRDefault="00E13B53" w:rsidP="00E13B53">
      <w:pPr>
        <w:pStyle w:val="Heading3"/>
      </w:pPr>
      <w:r>
        <w:lastRenderedPageBreak/>
        <w:t>Other issues</w:t>
      </w:r>
    </w:p>
    <w:p w:rsidR="00D06B1E" w:rsidRDefault="00D06B1E" w:rsidP="00E13B53">
      <w:r>
        <w:t xml:space="preserve">The final rule provides that the co-ordinating network service provider in each region is required to provide details of all modified load export charges to apply for the following financial year. </w:t>
      </w:r>
      <w:r w:rsidR="00E94BBA">
        <w:t>T</w:t>
      </w:r>
      <w:r>
        <w:t>his must be done in accordance with the Guidelines and by 15 March each year.</w:t>
      </w:r>
      <w:r w:rsidR="000B7A7C">
        <w:rPr>
          <w:rStyle w:val="FootnoteReference"/>
        </w:rPr>
        <w:footnoteReference w:id="23"/>
      </w:r>
      <w:r>
        <w:t xml:space="preserve"> </w:t>
      </w:r>
    </w:p>
    <w:p w:rsidR="00D06B1E" w:rsidRDefault="00D06B1E" w:rsidP="00E13B53">
      <w:r>
        <w:t>Prices for each of the categories of prescribed transmission services to apply for the following financial year are to be published by 15 May each year.</w:t>
      </w:r>
      <w:r w:rsidR="000B7A7C">
        <w:rPr>
          <w:rStyle w:val="FootnoteReference"/>
        </w:rPr>
        <w:footnoteReference w:id="24"/>
      </w:r>
      <w:r>
        <w:t xml:space="preserve"> </w:t>
      </w:r>
      <w:r w:rsidR="00E94BBA">
        <w:t>For clarification, p</w:t>
      </w:r>
      <w:r>
        <w:t>rices ar</w:t>
      </w:r>
      <w:r w:rsidR="00BF432D">
        <w:t>e the unit cost of the service</w:t>
      </w:r>
      <w:r w:rsidR="001F7DCE">
        <w:t>. C</w:t>
      </w:r>
      <w:r>
        <w:t>harge</w:t>
      </w:r>
      <w:r w:rsidR="00BF432D">
        <w:t>s are</w:t>
      </w:r>
      <w:r>
        <w:t xml:space="preserve"> derive</w:t>
      </w:r>
      <w:r w:rsidR="000B7A7C">
        <w:t>d</w:t>
      </w:r>
      <w:r>
        <w:t xml:space="preserve"> from the </w:t>
      </w:r>
      <w:r w:rsidR="00BF432D">
        <w:t>‘</w:t>
      </w:r>
      <w:r>
        <w:t>price</w:t>
      </w:r>
      <w:r w:rsidR="00BF432D">
        <w:t>’</w:t>
      </w:r>
      <w:r>
        <w:t xml:space="preserve"> multiplied by</w:t>
      </w:r>
      <w:r w:rsidR="00BF432D">
        <w:t xml:space="preserve"> energy</w:t>
      </w:r>
      <w:r>
        <w:t xml:space="preserve"> consumption</w:t>
      </w:r>
      <w:r w:rsidR="00FB5D5F">
        <w:t xml:space="preserve"> or demand</w:t>
      </w:r>
      <w:r>
        <w:t>.</w:t>
      </w:r>
    </w:p>
    <w:p w:rsidR="001F7DCE" w:rsidRDefault="00BF432D" w:rsidP="00E13B53">
      <w:pPr>
        <w:rPr>
          <w:iCs/>
        </w:rPr>
      </w:pPr>
      <w:r>
        <w:t>In order for a co-ordinating network service provider to publish transmission prices on time, it may have to rely on information from other transmission businesses. The NE</w:t>
      </w:r>
      <w:bookmarkStart w:id="19" w:name="_GoBack"/>
      <w:bookmarkEnd w:id="19"/>
      <w:r>
        <w:t xml:space="preserve">R requires </w:t>
      </w:r>
      <w:r>
        <w:rPr>
          <w:iCs/>
        </w:rPr>
        <w:t>‘e</w:t>
      </w:r>
      <w:r w:rsidRPr="00BF432D">
        <w:rPr>
          <w:iCs/>
        </w:rPr>
        <w:t xml:space="preserve">ach </w:t>
      </w:r>
      <w:r>
        <w:rPr>
          <w:iCs/>
        </w:rPr>
        <w:t>[TNSP]</w:t>
      </w:r>
      <w:r w:rsidRPr="00BF432D">
        <w:rPr>
          <w:iCs/>
        </w:rPr>
        <w:t xml:space="preserve"> within a region must promptly provide information reasonably requested by the Co-ordinating Network Service Provider for that region to enable the proper performance of the co-ordination function</w:t>
      </w:r>
      <w:r>
        <w:rPr>
          <w:iCs/>
        </w:rPr>
        <w:t xml:space="preserve">’. </w:t>
      </w:r>
    </w:p>
    <w:p w:rsidR="00BF432D" w:rsidRDefault="00BF432D" w:rsidP="00E13B53">
      <w:r>
        <w:rPr>
          <w:iCs/>
        </w:rPr>
        <w:t xml:space="preserve">We propose </w:t>
      </w:r>
      <w:r w:rsidR="001F7DCE">
        <w:rPr>
          <w:iCs/>
        </w:rPr>
        <w:t>amending the Guidelines so that</w:t>
      </w:r>
      <w:r>
        <w:rPr>
          <w:iCs/>
        </w:rPr>
        <w:t xml:space="preserve"> transmission businesses</w:t>
      </w:r>
      <w:r w:rsidR="007D44D8">
        <w:rPr>
          <w:iCs/>
        </w:rPr>
        <w:t xml:space="preserve"> are required to</w:t>
      </w:r>
      <w:r>
        <w:rPr>
          <w:iCs/>
        </w:rPr>
        <w:t xml:space="preserve"> </w:t>
      </w:r>
      <w:r w:rsidR="007D44D8">
        <w:rPr>
          <w:iCs/>
        </w:rPr>
        <w:t>clarify</w:t>
      </w:r>
      <w:r w:rsidR="001F7DCE">
        <w:rPr>
          <w:iCs/>
        </w:rPr>
        <w:t xml:space="preserve"> in their pricing methodologies</w:t>
      </w:r>
      <w:r>
        <w:rPr>
          <w:iCs/>
        </w:rPr>
        <w:t xml:space="preserve"> </w:t>
      </w:r>
      <w:r w:rsidR="007D44D8">
        <w:rPr>
          <w:iCs/>
        </w:rPr>
        <w:t>when</w:t>
      </w:r>
      <w:r>
        <w:rPr>
          <w:iCs/>
        </w:rPr>
        <w:t xml:space="preserve"> they will </w:t>
      </w:r>
      <w:r w:rsidR="007D44D8">
        <w:rPr>
          <w:iCs/>
        </w:rPr>
        <w:t>provide information to a</w:t>
      </w:r>
      <w:r w:rsidR="001F7DCE">
        <w:rPr>
          <w:iCs/>
        </w:rPr>
        <w:t xml:space="preserve"> co-ordi</w:t>
      </w:r>
      <w:r w:rsidR="007D44D8">
        <w:rPr>
          <w:iCs/>
        </w:rPr>
        <w:t>nating network service provider in their region</w:t>
      </w:r>
      <w:r>
        <w:rPr>
          <w:iCs/>
        </w:rPr>
        <w:t>.</w:t>
      </w:r>
    </w:p>
    <w:p w:rsidR="00BF432D" w:rsidRDefault="00BF432D" w:rsidP="00BF432D">
      <w:pPr>
        <w:pStyle w:val="AERrevisionbox"/>
      </w:pPr>
      <w:r>
        <w:rPr>
          <w:rStyle w:val="AERtextbold"/>
        </w:rPr>
        <w:t>Proposal 5</w:t>
      </w:r>
    </w:p>
    <w:p w:rsidR="00BF432D" w:rsidRDefault="00BF432D" w:rsidP="00BF432D">
      <w:pPr>
        <w:pStyle w:val="AERrevisionbox"/>
      </w:pPr>
      <w:r>
        <w:t>If a TNSP has appointed a co-ordinating network service provider in its region, then that TNSP must specify the timetable for provision of all necessary data to the co-ordinating network service provider for the calculation of the inter- and intra-regional transmission charges.</w:t>
      </w:r>
    </w:p>
    <w:p w:rsidR="00BF432D" w:rsidRDefault="00BF432D" w:rsidP="00BF432D">
      <w:pPr>
        <w:pStyle w:val="Heading3"/>
      </w:pPr>
      <w:r>
        <w:t>Questions</w:t>
      </w:r>
    </w:p>
    <w:p w:rsidR="00D06B1E" w:rsidRPr="0056043A" w:rsidRDefault="0056043A" w:rsidP="0056043A">
      <w:pPr>
        <w:pStyle w:val="AERrevisionbox"/>
      </w:pPr>
      <w:r>
        <w:rPr>
          <w:b/>
        </w:rPr>
        <w:t>Questions</w:t>
      </w:r>
    </w:p>
    <w:p w:rsidR="00A805D9" w:rsidRDefault="00BF432D" w:rsidP="00A805D9">
      <w:pPr>
        <w:pStyle w:val="AERrevisionbox"/>
        <w:numPr>
          <w:ilvl w:val="0"/>
          <w:numId w:val="0"/>
        </w:numPr>
      </w:pPr>
      <w:r>
        <w:t>1</w:t>
      </w:r>
      <w:r w:rsidR="00A805D9">
        <w:t>. Has the AER considered all the amendments that need to be made to the Guideline? If not, are there any other proposed amendments which should be considered?</w:t>
      </w:r>
    </w:p>
    <w:p w:rsidR="00C9546C" w:rsidRPr="00E13B53" w:rsidRDefault="00BF432D" w:rsidP="00A805D9">
      <w:pPr>
        <w:pStyle w:val="AERrevisionbox"/>
        <w:numPr>
          <w:ilvl w:val="0"/>
          <w:numId w:val="0"/>
        </w:numPr>
      </w:pPr>
      <w:r>
        <w:t>2</w:t>
      </w:r>
      <w:r w:rsidR="00A805D9">
        <w:t>. Do stakeholders have any other com</w:t>
      </w:r>
      <w:r w:rsidR="00C9546C">
        <w:t>ments, or suggestions, about the</w:t>
      </w:r>
      <w:r w:rsidR="00A805D9">
        <w:t xml:space="preserve"> amendments the</w:t>
      </w:r>
      <w:r w:rsidR="00C9546C">
        <w:t xml:space="preserve"> AER has proposed to make to the</w:t>
      </w:r>
      <w:r w:rsidR="00A805D9">
        <w:t xml:space="preserve"> Guidelines? </w:t>
      </w:r>
    </w:p>
    <w:p w:rsidR="003A1874" w:rsidRDefault="004E0246" w:rsidP="004E0246">
      <w:pPr>
        <w:pStyle w:val="Heading7"/>
      </w:pPr>
      <w:r>
        <w:lastRenderedPageBreak/>
        <w:t>Appendix A</w:t>
      </w:r>
    </w:p>
    <w:p w:rsidR="004E0246" w:rsidRDefault="004E0246" w:rsidP="004E0246">
      <w:pPr>
        <w:pStyle w:val="AERbodytext"/>
        <w:numPr>
          <w:ilvl w:val="0"/>
          <w:numId w:val="47"/>
        </w:numPr>
      </w:pPr>
      <w:r>
        <w:t xml:space="preserve">The NER pricing principles provide the overarching regulatory framework for a </w:t>
      </w:r>
      <w:r w:rsidR="000B7A7C">
        <w:t>transmission provider’s</w:t>
      </w:r>
      <w:r>
        <w:t xml:space="preserve"> pricing methodology.</w:t>
      </w:r>
      <w:r w:rsidR="00930D06">
        <w:t xml:space="preserve"> The following</w:t>
      </w:r>
      <w:r>
        <w:t xml:space="preserve"> provides an overview of the three steps the pricing principles require a pricing methodology to follow. </w:t>
      </w:r>
      <w:r w:rsidRPr="00412870">
        <w:t>The first two</w:t>
      </w:r>
      <w:r>
        <w:t xml:space="preserve"> steps</w:t>
      </w:r>
      <w:r w:rsidRPr="00412870">
        <w:t xml:space="preserve"> are commonly known as ‘cost allocation’.</w:t>
      </w:r>
      <w:r w:rsidRPr="00412870">
        <w:rPr>
          <w:rStyle w:val="FootnoteReference"/>
        </w:rPr>
        <w:footnoteReference w:id="25"/>
      </w:r>
      <w:r w:rsidRPr="00412870">
        <w:t xml:space="preserve"> The third involves developing</w:t>
      </w:r>
      <w:r>
        <w:t xml:space="preserve"> a pricing structure</w:t>
      </w:r>
      <w:r w:rsidRPr="00412870">
        <w:t>.</w:t>
      </w:r>
      <w:r>
        <w:rPr>
          <w:rStyle w:val="FootnoteReference"/>
        </w:rPr>
        <w:footnoteReference w:id="26"/>
      </w:r>
    </w:p>
    <w:p w:rsidR="004E0246" w:rsidRDefault="004E0246" w:rsidP="004E0246">
      <w:pPr>
        <w:pStyle w:val="Heading8"/>
      </w:pPr>
      <w:r>
        <w:t>Step one: allocation to services</w:t>
      </w:r>
    </w:p>
    <w:p w:rsidR="004E0246" w:rsidRDefault="004E0246" w:rsidP="004E0246">
      <w:r>
        <w:t xml:space="preserve">The first step required of </w:t>
      </w:r>
      <w:r w:rsidRPr="004E04E4">
        <w:t>a pricing methodology</w:t>
      </w:r>
      <w:r>
        <w:t xml:space="preserve"> is a description of how a </w:t>
      </w:r>
      <w:r w:rsidR="000B7A7C">
        <w:t>business</w:t>
      </w:r>
      <w:r>
        <w:t xml:space="preserve"> will derive its</w:t>
      </w:r>
      <w:r w:rsidRPr="004E04E4">
        <w:t xml:space="preserve"> annual service revenue requirement (ASRR)</w:t>
      </w:r>
      <w:r>
        <w:t xml:space="preserve">. This involves allocating a </w:t>
      </w:r>
      <w:r w:rsidR="000B7A7C">
        <w:t>business’</w:t>
      </w:r>
      <w:r>
        <w:t xml:space="preserve"> adjusted MAR, known as the aggregate annual revenue requirement (AARR), to each category of </w:t>
      </w:r>
      <w:r w:rsidRPr="004E04E4">
        <w:t>prescribed transmission services</w:t>
      </w:r>
      <w:r>
        <w:t xml:space="preserve"> that a </w:t>
      </w:r>
      <w:r w:rsidR="000B7A7C">
        <w:t>business</w:t>
      </w:r>
      <w:r>
        <w:t xml:space="preserve"> provides. In practice, </w:t>
      </w:r>
      <w:r w:rsidR="000B7A7C">
        <w:t>they</w:t>
      </w:r>
      <w:r>
        <w:t xml:space="preserve"> </w:t>
      </w:r>
      <w:r w:rsidRPr="00412870">
        <w:t>‘make an assessment of which assets were directly attributable on a causation basis to particular services at the date the Proposed Pricing Rule was published (24 August 2006)’.</w:t>
      </w:r>
      <w:r w:rsidRPr="00412870">
        <w:rPr>
          <w:rStyle w:val="FootnoteReference"/>
        </w:rPr>
        <w:footnoteReference w:id="27"/>
      </w:r>
    </w:p>
    <w:p w:rsidR="004E0246" w:rsidRDefault="004E0246" w:rsidP="004E0246">
      <w:pPr>
        <w:pStyle w:val="Heading8"/>
      </w:pPr>
      <w:bookmarkStart w:id="20" w:name="_Ref380503636"/>
      <w:r>
        <w:t>Step two: allocation to assets</w:t>
      </w:r>
      <w:bookmarkEnd w:id="20"/>
    </w:p>
    <w:p w:rsidR="004E0246" w:rsidRDefault="004E0246" w:rsidP="004E0246">
      <w:pPr>
        <w:pStyle w:val="AERbodytext"/>
        <w:numPr>
          <w:ilvl w:val="0"/>
          <w:numId w:val="47"/>
        </w:numPr>
      </w:pPr>
      <w:r w:rsidRPr="00412870">
        <w:t xml:space="preserve">The intention of </w:t>
      </w:r>
      <w:r>
        <w:t>the first step</w:t>
      </w:r>
      <w:r w:rsidRPr="00412870">
        <w:t xml:space="preserve"> is to allocate a </w:t>
      </w:r>
      <w:r w:rsidR="000B7A7C">
        <w:t>transmission provider’s</w:t>
      </w:r>
      <w:r w:rsidRPr="00412870">
        <w:t xml:space="preserve"> AARR </w:t>
      </w:r>
      <w:r w:rsidRPr="004E04E4">
        <w:rPr>
          <w:rStyle w:val="AERtextitalic"/>
        </w:rPr>
        <w:t>between</w:t>
      </w:r>
      <w:r w:rsidRPr="00412870">
        <w:t xml:space="preserve"> different categories of prescribed transmission services.</w:t>
      </w:r>
      <w:r>
        <w:t xml:space="preserve"> </w:t>
      </w:r>
      <w:r w:rsidRPr="00412870">
        <w:t xml:space="preserve">The second step required under the NER transmission pricing principles involves a cost allocation </w:t>
      </w:r>
      <w:r w:rsidRPr="002701AF">
        <w:rPr>
          <w:rStyle w:val="AERtextitalic"/>
        </w:rPr>
        <w:t>within</w:t>
      </w:r>
      <w:r w:rsidRPr="00412870">
        <w:t xml:space="preserve"> pr</w:t>
      </w:r>
      <w:r>
        <w:t>escribed transmission services. The requirements in this step vary according to the category of prescribed transmission service:</w:t>
      </w:r>
    </w:p>
    <w:p w:rsidR="004E0246" w:rsidRPr="00412870" w:rsidRDefault="004E0246" w:rsidP="004E0246">
      <w:pPr>
        <w:pStyle w:val="AERbulletlistfirststyle"/>
      </w:pPr>
      <w:r w:rsidRPr="00412870">
        <w:t>For prescribed exit and prescribed entry services, the ASRR must be allocated on the basis of an ‘</w:t>
      </w:r>
      <w:proofErr w:type="gramStart"/>
      <w:r w:rsidRPr="00412870">
        <w:t>attributable</w:t>
      </w:r>
      <w:proofErr w:type="gramEnd"/>
      <w:r w:rsidRPr="00412870">
        <w:t xml:space="preserve"> cost share’. This involves determining the relative cost of a service provided to a network user as a proportion of the total cost of providing all prescribed entry and exit services.</w:t>
      </w:r>
      <w:r w:rsidRPr="00412870">
        <w:rPr>
          <w:rStyle w:val="FootnoteReference"/>
        </w:rPr>
        <w:footnoteReference w:id="28"/>
      </w:r>
      <w:r w:rsidRPr="00412870">
        <w:t xml:space="preserve"> </w:t>
      </w:r>
    </w:p>
    <w:p w:rsidR="004E0246" w:rsidRPr="00B01DEA" w:rsidRDefault="004E0246" w:rsidP="004E0246">
      <w:pPr>
        <w:pStyle w:val="AERbulletlistfirststyle"/>
        <w:rPr>
          <w:rFonts w:eastAsia="Calibri"/>
        </w:rPr>
      </w:pPr>
      <w:r w:rsidRPr="00B01DEA">
        <w:t>The ASRR allocated to prescribed transmission use of system (</w:t>
      </w:r>
      <w:proofErr w:type="spellStart"/>
      <w:r w:rsidR="000B7A7C">
        <w:t>TUo</w:t>
      </w:r>
      <w:r w:rsidRPr="00B01DEA">
        <w:t>S</w:t>
      </w:r>
      <w:proofErr w:type="spellEnd"/>
      <w:r w:rsidRPr="00B01DEA">
        <w:t>) services must be allocated to transmission customer connection points on a locational and non-locational basis.</w:t>
      </w:r>
      <w:r w:rsidRPr="00B01DEA">
        <w:rPr>
          <w:rStyle w:val="FootnoteReference"/>
        </w:rPr>
        <w:footnoteReference w:id="29"/>
      </w:r>
      <w:r w:rsidRPr="00B01DEA">
        <w:t xml:space="preserve"> The locational component is based on ‘estimated proportionate use’. The non-locational component is </w:t>
      </w:r>
      <w:r w:rsidR="00BF5F7D">
        <w:t>‘</w:t>
      </w:r>
      <w:r w:rsidRPr="00B01DEA">
        <w:t>postage stamped</w:t>
      </w:r>
      <w:r w:rsidR="00BF5F7D">
        <w:t>’</w:t>
      </w:r>
      <w:r w:rsidRPr="00B01DEA">
        <w:t>, that is, the same $/</w:t>
      </w:r>
      <w:proofErr w:type="spellStart"/>
      <w:r w:rsidRPr="00B01DEA">
        <w:t>MWh</w:t>
      </w:r>
      <w:proofErr w:type="spellEnd"/>
      <w:r w:rsidRPr="00B01DEA">
        <w:t xml:space="preserve"> or $MW price is applied throughout the region. </w:t>
      </w:r>
      <w:r w:rsidRPr="00B01DEA">
        <w:rPr>
          <w:rFonts w:eastAsia="Calibri"/>
        </w:rPr>
        <w:t>The portion of the locational and non-locational components must be a 50 per cent share.</w:t>
      </w:r>
      <w:r w:rsidRPr="00B01DEA">
        <w:rPr>
          <w:rStyle w:val="FootnoteReference"/>
          <w:rFonts w:eastAsia="Calibri"/>
        </w:rPr>
        <w:footnoteReference w:id="30"/>
      </w:r>
    </w:p>
    <w:p w:rsidR="004E0246" w:rsidRPr="00B01DEA" w:rsidRDefault="004E0246" w:rsidP="004E0246">
      <w:pPr>
        <w:pStyle w:val="AERbulletlistfirststyle"/>
        <w:rPr>
          <w:rFonts w:eastAsia="Calibri"/>
        </w:rPr>
      </w:pPr>
      <w:r w:rsidRPr="00B01DEA">
        <w:t>The ASRR allocated to common transmission services must be recovered through a postage price. This is intended</w:t>
      </w:r>
      <w:r w:rsidRPr="00B01DEA">
        <w:rPr>
          <w:rFonts w:eastAsia="Calibri"/>
        </w:rPr>
        <w:t xml:space="preserve"> ‘to limit any rebalancing of Prescribed Transmission Service charges to Transmission Customers in different locations and help maintain the stability and predictability of the pricing arrangements’.</w:t>
      </w:r>
      <w:r w:rsidRPr="00B01DEA">
        <w:rPr>
          <w:rStyle w:val="FootnoteReference"/>
          <w:rFonts w:eastAsia="Calibri"/>
        </w:rPr>
        <w:footnoteReference w:id="31"/>
      </w:r>
      <w:r>
        <w:t xml:space="preserve">  </w:t>
      </w:r>
      <w:r w:rsidRPr="00412870">
        <w:t xml:space="preserve"> </w:t>
      </w:r>
      <w:r>
        <w:t xml:space="preserve"> </w:t>
      </w:r>
    </w:p>
    <w:p w:rsidR="004E0246" w:rsidRDefault="004E0246" w:rsidP="004E0246">
      <w:pPr>
        <w:pStyle w:val="Heading8"/>
      </w:pPr>
      <w:r>
        <w:t>Step three: pricing structure</w:t>
      </w:r>
    </w:p>
    <w:p w:rsidR="004E0246" w:rsidRPr="00904D3B" w:rsidRDefault="004E0246" w:rsidP="004E0246">
      <w:pPr>
        <w:pStyle w:val="AERbulletlistfirststyle"/>
        <w:numPr>
          <w:ilvl w:val="0"/>
          <w:numId w:val="0"/>
        </w:numPr>
      </w:pPr>
      <w:r w:rsidRPr="00412870">
        <w:t xml:space="preserve">For the recovery of the ASRR, a </w:t>
      </w:r>
      <w:r w:rsidR="000B7A7C">
        <w:t>business</w:t>
      </w:r>
      <w:r w:rsidRPr="00412870">
        <w:t xml:space="preserve"> is to develop separate prices for each category of prescribed transmission services in accordance with the NER transmission pricing principles. This is </w:t>
      </w:r>
      <w:r w:rsidRPr="00412870">
        <w:lastRenderedPageBreak/>
        <w:t>the third step which a transmission pricing methodology must address.</w:t>
      </w:r>
      <w:r>
        <w:t xml:space="preserve"> </w:t>
      </w:r>
      <w:r w:rsidRPr="00904D3B">
        <w:t>The pricing principles that guide price structures are:</w:t>
      </w:r>
    </w:p>
    <w:p w:rsidR="004E0246" w:rsidRPr="00615BD1" w:rsidRDefault="004E0246" w:rsidP="004E0246">
      <w:pPr>
        <w:pStyle w:val="AERbulletlistfirststyle"/>
      </w:pPr>
      <w:r w:rsidRPr="00615BD1">
        <w:t>For pres</w:t>
      </w:r>
      <w:r>
        <w:t xml:space="preserve">cribed entry and exit services, </w:t>
      </w:r>
      <w:r w:rsidRPr="00615BD1">
        <w:t>TNSPs must determine a fixed annual price at each connection point that recovers the share of the prescribed entry or exit ASRR allocated to that connect</w:t>
      </w:r>
      <w:r>
        <w:t>ion</w:t>
      </w:r>
      <w:r w:rsidRPr="00615BD1">
        <w:t xml:space="preserve"> point.</w:t>
      </w:r>
    </w:p>
    <w:p w:rsidR="004E0246" w:rsidRPr="00904D3B" w:rsidRDefault="004E0246" w:rsidP="004E0246">
      <w:pPr>
        <w:pStyle w:val="AERbulletlistfirststyle"/>
      </w:pPr>
      <w:r>
        <w:t>For common transmission service ASRR</w:t>
      </w:r>
      <w:r w:rsidRPr="00904D3B">
        <w:t xml:space="preserve"> and</w:t>
      </w:r>
      <w:r>
        <w:t xml:space="preserve"> n</w:t>
      </w:r>
      <w:r w:rsidRPr="00904D3B">
        <w:t xml:space="preserve">on-locational component of </w:t>
      </w:r>
      <w:r w:rsidR="000B7A7C">
        <w:t xml:space="preserve">the prescribed </w:t>
      </w:r>
      <w:proofErr w:type="spellStart"/>
      <w:r w:rsidR="000B7A7C">
        <w:t>TUo</w:t>
      </w:r>
      <w:r>
        <w:t>S</w:t>
      </w:r>
      <w:proofErr w:type="spellEnd"/>
      <w:r>
        <w:t xml:space="preserve"> service ASRR, </w:t>
      </w:r>
      <w:r w:rsidRPr="00904D3B">
        <w:t>prices must be postage stamped.</w:t>
      </w:r>
    </w:p>
    <w:p w:rsidR="00BD09C0" w:rsidRPr="00930D06" w:rsidRDefault="004E0246" w:rsidP="00930D06">
      <w:pPr>
        <w:pStyle w:val="AERbulletlistfirststyle"/>
      </w:pPr>
      <w:r w:rsidRPr="00615BD1">
        <w:t>For charges recovering the locational component of prescri</w:t>
      </w:r>
      <w:r w:rsidR="000B7A7C">
        <w:t xml:space="preserve">bed </w:t>
      </w:r>
      <w:proofErr w:type="spellStart"/>
      <w:r w:rsidR="000B7A7C">
        <w:t>TUo</w:t>
      </w:r>
      <w:r w:rsidRPr="00615BD1">
        <w:t>S</w:t>
      </w:r>
      <w:proofErr w:type="spellEnd"/>
      <w:r w:rsidRPr="00615BD1">
        <w:t xml:space="preserve"> services ASRR, the pricing structure must be based on demand at times of greatest network utilisation for which investment is likely to be contemplated. </w:t>
      </w:r>
    </w:p>
    <w:sectPr w:rsidR="00BD09C0" w:rsidRPr="00930D06" w:rsidSect="00264775">
      <w:footerReference w:type="even" r:id="rId15"/>
      <w:footerReference w:type="default" r:id="rId1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A40" w:rsidRPr="00AB4345" w:rsidRDefault="00121A40" w:rsidP="00AB4345">
      <w:r>
        <w:separator/>
      </w:r>
    </w:p>
  </w:endnote>
  <w:endnote w:type="continuationSeparator" w:id="0">
    <w:p w:rsidR="00121A40" w:rsidRPr="00AB4345" w:rsidRDefault="00121A40"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A40" w:rsidRPr="00824CC8" w:rsidRDefault="00FB5D5F" w:rsidP="00824CC8">
    <w:pPr>
      <w:pStyle w:val="Footer"/>
    </w:pPr>
    <w:sdt>
      <w:sdtPr>
        <w:id w:val="-1983842890"/>
        <w:docPartObj>
          <w:docPartGallery w:val="Page Numbers (Bottom of Page)"/>
          <w:docPartUnique/>
        </w:docPartObj>
      </w:sdtPr>
      <w:sdtEndPr/>
      <w:sdtContent>
        <w:r w:rsidR="00121A40" w:rsidRPr="00824CC8">
          <w:fldChar w:fldCharType="begin"/>
        </w:r>
        <w:r w:rsidR="00121A40" w:rsidRPr="00824CC8">
          <w:instrText xml:space="preserve"> PAGE   \* MERGEFORMAT </w:instrText>
        </w:r>
        <w:r w:rsidR="00121A40" w:rsidRPr="00824CC8">
          <w:fldChar w:fldCharType="separate"/>
        </w:r>
        <w:r>
          <w:rPr>
            <w:noProof/>
          </w:rPr>
          <w:t>12</w:t>
        </w:r>
        <w:r w:rsidR="00121A40" w:rsidRPr="00824CC8">
          <w:fldChar w:fldCharType="end"/>
        </w:r>
        <w:r w:rsidR="00121A40">
          <w:t xml:space="preserve">  </w:t>
        </w:r>
        <w:r w:rsidR="00121A40">
          <w:tab/>
          <w:t xml:space="preserve">                                                 </w:t>
        </w:r>
        <w:r w:rsidR="00121A40">
          <w:rPr>
            <w:rStyle w:val="AERbody"/>
          </w:rPr>
          <w:t>Issues paper</w:t>
        </w:r>
        <w:r w:rsidR="00121A40" w:rsidRPr="00824CC8">
          <w:rPr>
            <w:rStyle w:val="AERbody"/>
          </w:rPr>
          <w:t xml:space="preserve">| </w:t>
        </w:r>
        <w:r w:rsidR="00121A40">
          <w:rPr>
            <w:rStyle w:val="AERbody"/>
          </w:rPr>
          <w:t>Draft amendments to pricing methodology guidelines</w:t>
        </w:r>
      </w:sdtContent>
    </w:sdt>
    <w:r w:rsidR="00121A40">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A40" w:rsidRPr="00824CC8" w:rsidRDefault="00121A40" w:rsidP="00824CC8">
    <w:pPr>
      <w:pStyle w:val="Footer"/>
      <w:rPr>
        <w:rStyle w:val="AERbody"/>
      </w:rPr>
    </w:pPr>
    <w:r>
      <w:rPr>
        <w:rStyle w:val="AERbody"/>
      </w:rPr>
      <w:t xml:space="preserve">Draft amendments to pricing methodology guidelines </w:t>
    </w:r>
    <w:r w:rsidRPr="00210880">
      <w:rPr>
        <w:rStyle w:val="AERbody"/>
      </w:rPr>
      <w:t xml:space="preserve">| </w:t>
    </w:r>
    <w:r>
      <w:rPr>
        <w:rStyle w:val="AERbody"/>
      </w:rPr>
      <w:t>Issues paper</w:t>
    </w:r>
    <w:r w:rsidRPr="00210880">
      <w:rPr>
        <w:rStyle w:val="AERbody"/>
      </w:rPr>
      <w:tab/>
    </w:r>
    <w:r>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FB5D5F">
      <w:rPr>
        <w:rStyle w:val="AERbody"/>
        <w:noProof/>
      </w:rPr>
      <w:t>13</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A40" w:rsidRPr="00AB4345" w:rsidRDefault="00121A40" w:rsidP="00AB4345">
      <w:r>
        <w:separator/>
      </w:r>
    </w:p>
  </w:footnote>
  <w:footnote w:type="continuationSeparator" w:id="0">
    <w:p w:rsidR="00121A40" w:rsidRPr="00AB4345" w:rsidRDefault="00121A40" w:rsidP="00AB4345">
      <w:r>
        <w:continuationSeparator/>
      </w:r>
    </w:p>
  </w:footnote>
  <w:footnote w:id="1">
    <w:p w:rsidR="00121A40" w:rsidRDefault="00121A40">
      <w:pPr>
        <w:pStyle w:val="FootnoteText"/>
      </w:pPr>
      <w:r>
        <w:rPr>
          <w:rStyle w:val="FootnoteReference"/>
        </w:rPr>
        <w:footnoteRef/>
      </w:r>
      <w:r>
        <w:t xml:space="preserve"> </w:t>
      </w:r>
      <w:r>
        <w:tab/>
        <w:t xml:space="preserve">AEMC, </w:t>
      </w:r>
      <w:r w:rsidRPr="00E91D54">
        <w:rPr>
          <w:rStyle w:val="AERtextitalic"/>
        </w:rPr>
        <w:t>Rule determination: National electricity amendment (Inter-regional transmission charging)</w:t>
      </w:r>
      <w:r>
        <w:t>, 28 February 2013, p. 1.</w:t>
      </w:r>
    </w:p>
  </w:footnote>
  <w:footnote w:id="2">
    <w:p w:rsidR="00121A40" w:rsidRDefault="00121A40">
      <w:pPr>
        <w:pStyle w:val="FootnoteText"/>
      </w:pPr>
      <w:r>
        <w:rPr>
          <w:rStyle w:val="FootnoteReference"/>
        </w:rPr>
        <w:footnoteRef/>
      </w:r>
      <w:r>
        <w:t xml:space="preserve"> </w:t>
      </w:r>
      <w:r>
        <w:tab/>
      </w:r>
      <w:r w:rsidRPr="00F25E8F">
        <w:t>NER, clause 6A.20(e)</w:t>
      </w:r>
    </w:p>
  </w:footnote>
  <w:footnote w:id="3">
    <w:p w:rsidR="00730F63" w:rsidRDefault="00730F63">
      <w:pPr>
        <w:pStyle w:val="FootnoteText"/>
      </w:pPr>
      <w:r>
        <w:rPr>
          <w:rStyle w:val="FootnoteReference"/>
        </w:rPr>
        <w:footnoteRef/>
      </w:r>
      <w:r>
        <w:t xml:space="preserve"> </w:t>
      </w:r>
      <w:r>
        <w:tab/>
      </w:r>
      <w:proofErr w:type="gramStart"/>
      <w:r>
        <w:t>NER, clause 6A.25.1.</w:t>
      </w:r>
      <w:proofErr w:type="gramEnd"/>
    </w:p>
  </w:footnote>
  <w:footnote w:id="4">
    <w:p w:rsidR="00121A40" w:rsidRDefault="00121A40" w:rsidP="008E27CD">
      <w:pPr>
        <w:pStyle w:val="FootnoteText"/>
      </w:pPr>
      <w:r>
        <w:rPr>
          <w:rStyle w:val="FootnoteReference"/>
        </w:rPr>
        <w:footnoteRef/>
      </w:r>
      <w:r>
        <w:t xml:space="preserve"> </w:t>
      </w:r>
      <w:r>
        <w:tab/>
        <w:t xml:space="preserve">AEMC, </w:t>
      </w:r>
      <w:r w:rsidRPr="00E91D54">
        <w:rPr>
          <w:rStyle w:val="AERtextitalic"/>
        </w:rPr>
        <w:t>Rule determination: National electricity amendment (Inter-regional transmission charging)</w:t>
      </w:r>
      <w:r>
        <w:t>, 28 February 2013</w:t>
      </w:r>
    </w:p>
  </w:footnote>
  <w:footnote w:id="5">
    <w:p w:rsidR="00121A40" w:rsidRDefault="00121A40" w:rsidP="008E27CD">
      <w:pPr>
        <w:pStyle w:val="FootnoteText"/>
      </w:pPr>
      <w:r>
        <w:rPr>
          <w:rStyle w:val="FootnoteReference"/>
        </w:rPr>
        <w:footnoteRef/>
      </w:r>
      <w:r>
        <w:t xml:space="preserve"> </w:t>
      </w:r>
      <w:r>
        <w:tab/>
      </w:r>
      <w:proofErr w:type="gramStart"/>
      <w:r>
        <w:t>MCE, Rule change request – Inter-regional transmission charging, 15 February 2010, p. 4.</w:t>
      </w:r>
      <w:proofErr w:type="gramEnd"/>
    </w:p>
  </w:footnote>
  <w:footnote w:id="6">
    <w:p w:rsidR="00121A40" w:rsidRDefault="00121A40" w:rsidP="008E27CD">
      <w:pPr>
        <w:pStyle w:val="FootnoteText"/>
      </w:pPr>
      <w:r>
        <w:rPr>
          <w:rStyle w:val="FootnoteReference"/>
        </w:rPr>
        <w:footnoteRef/>
      </w:r>
      <w:r>
        <w:t xml:space="preserve"> </w:t>
      </w:r>
      <w:r>
        <w:tab/>
      </w:r>
      <w:proofErr w:type="gramStart"/>
      <w:r>
        <w:t>MCE, Rule change request – Inter-regional transmission charging, 15 February 2010, p. 4.</w:t>
      </w:r>
      <w:proofErr w:type="gramEnd"/>
    </w:p>
  </w:footnote>
  <w:footnote w:id="7">
    <w:p w:rsidR="00121A40" w:rsidRDefault="00121A40" w:rsidP="008E27CD">
      <w:pPr>
        <w:pStyle w:val="FootnoteText"/>
      </w:pPr>
      <w:r>
        <w:rPr>
          <w:rStyle w:val="FootnoteReference"/>
        </w:rPr>
        <w:footnoteRef/>
      </w:r>
      <w:r>
        <w:t xml:space="preserve"> </w:t>
      </w:r>
      <w:r>
        <w:tab/>
      </w:r>
      <w:proofErr w:type="gramStart"/>
      <w:r>
        <w:t>MCE, Rule change request – Inter-regional transmission charging, 15 February 2010, p. 2.</w:t>
      </w:r>
      <w:proofErr w:type="gramEnd"/>
    </w:p>
  </w:footnote>
  <w:footnote w:id="8">
    <w:p w:rsidR="00936337" w:rsidRDefault="00936337" w:rsidP="00936337">
      <w:pPr>
        <w:pStyle w:val="FootnoteText"/>
      </w:pPr>
      <w:r>
        <w:rPr>
          <w:rStyle w:val="FootnoteReference"/>
        </w:rPr>
        <w:footnoteRef/>
      </w:r>
      <w:r>
        <w:t xml:space="preserve"> </w:t>
      </w:r>
      <w:r>
        <w:tab/>
        <w:t xml:space="preserve">AEMC, </w:t>
      </w:r>
      <w:r w:rsidRPr="00E91D54">
        <w:rPr>
          <w:rStyle w:val="AERtextitalic"/>
        </w:rPr>
        <w:t>Rule determination: National electricity amendment (Inter-regional transmission charging)</w:t>
      </w:r>
      <w:r>
        <w:t>, 28 February 2013, ii.</w:t>
      </w:r>
    </w:p>
  </w:footnote>
  <w:footnote w:id="9">
    <w:p w:rsidR="00121A40" w:rsidRDefault="00121A40" w:rsidP="00014923">
      <w:pPr>
        <w:pStyle w:val="FootnoteText"/>
      </w:pPr>
      <w:r>
        <w:rPr>
          <w:rStyle w:val="FootnoteReference"/>
        </w:rPr>
        <w:footnoteRef/>
      </w:r>
      <w:r>
        <w:t xml:space="preserve"> </w:t>
      </w:r>
      <w:r>
        <w:tab/>
        <w:t xml:space="preserve">AEMC, </w:t>
      </w:r>
      <w:r w:rsidRPr="00E91D54">
        <w:rPr>
          <w:rStyle w:val="AERtextitalic"/>
        </w:rPr>
        <w:t>Rule determination: National electricity amendment (Inter-regional transmission charging)</w:t>
      </w:r>
      <w:r>
        <w:t xml:space="preserve">, 28 February 2013, </w:t>
      </w:r>
      <w:proofErr w:type="spellStart"/>
      <w:r>
        <w:t>i</w:t>
      </w:r>
      <w:proofErr w:type="spellEnd"/>
      <w:r>
        <w:t>.</w:t>
      </w:r>
    </w:p>
  </w:footnote>
  <w:footnote w:id="10">
    <w:p w:rsidR="00121A40" w:rsidRDefault="00121A40" w:rsidP="00014923">
      <w:pPr>
        <w:pStyle w:val="FootnoteText"/>
      </w:pPr>
      <w:r>
        <w:rPr>
          <w:rStyle w:val="FootnoteReference"/>
        </w:rPr>
        <w:footnoteRef/>
      </w:r>
      <w:r>
        <w:t xml:space="preserve"> </w:t>
      </w:r>
      <w:r>
        <w:tab/>
        <w:t xml:space="preserve">AEMC, </w:t>
      </w:r>
      <w:r w:rsidRPr="00E91D54">
        <w:rPr>
          <w:rStyle w:val="AERtextitalic"/>
        </w:rPr>
        <w:t>Rule determination: National electricity amendment (Inter-regional transmission charging)</w:t>
      </w:r>
      <w:r>
        <w:t xml:space="preserve">, 28 February 2013, </w:t>
      </w:r>
      <w:proofErr w:type="spellStart"/>
      <w:r>
        <w:t>i</w:t>
      </w:r>
      <w:proofErr w:type="spellEnd"/>
      <w:r>
        <w:t>.</w:t>
      </w:r>
    </w:p>
  </w:footnote>
  <w:footnote w:id="11">
    <w:p w:rsidR="00121A40" w:rsidRDefault="00121A40">
      <w:pPr>
        <w:pStyle w:val="FootnoteText"/>
      </w:pPr>
      <w:r>
        <w:rPr>
          <w:rStyle w:val="FootnoteReference"/>
        </w:rPr>
        <w:footnoteRef/>
      </w:r>
      <w:r>
        <w:t xml:space="preserve"> </w:t>
      </w:r>
      <w:r>
        <w:tab/>
        <w:t xml:space="preserve">AEMC, </w:t>
      </w:r>
      <w:r w:rsidRPr="00E91D54">
        <w:rPr>
          <w:rStyle w:val="AERtextitalic"/>
        </w:rPr>
        <w:t>Rule determination: National electricity amendment (Inter-regional transmission charging)</w:t>
      </w:r>
      <w:r>
        <w:t>, 28 February 2013, p. 26.</w:t>
      </w:r>
    </w:p>
  </w:footnote>
  <w:footnote w:id="12">
    <w:p w:rsidR="00121A40" w:rsidRDefault="00121A40">
      <w:pPr>
        <w:pStyle w:val="FootnoteText"/>
      </w:pPr>
      <w:r>
        <w:rPr>
          <w:rStyle w:val="FootnoteReference"/>
        </w:rPr>
        <w:footnoteRef/>
      </w:r>
      <w:r>
        <w:t xml:space="preserve"> </w:t>
      </w:r>
      <w:r>
        <w:tab/>
        <w:t xml:space="preserve">AEMC, </w:t>
      </w:r>
      <w:r w:rsidRPr="00E91D54">
        <w:rPr>
          <w:rStyle w:val="AERtextitalic"/>
        </w:rPr>
        <w:t>Rule determination: National electricity amendment (Inter-regional transmission charging)</w:t>
      </w:r>
      <w:r>
        <w:t>, 28 February 2013, p. 22</w:t>
      </w:r>
    </w:p>
  </w:footnote>
  <w:footnote w:id="13">
    <w:p w:rsidR="00121A40" w:rsidRDefault="00121A40" w:rsidP="00E40690">
      <w:pPr>
        <w:pStyle w:val="FootnoteText"/>
      </w:pPr>
      <w:r>
        <w:rPr>
          <w:rStyle w:val="FootnoteReference"/>
        </w:rPr>
        <w:footnoteRef/>
      </w:r>
      <w:r>
        <w:t xml:space="preserve"> </w:t>
      </w:r>
      <w:r>
        <w:tab/>
        <w:t xml:space="preserve">NER, clause </w:t>
      </w:r>
      <w:proofErr w:type="gramStart"/>
      <w:r>
        <w:t>6A.29.1(</w:t>
      </w:r>
      <w:proofErr w:type="gramEnd"/>
      <w:r>
        <w:t>a).</w:t>
      </w:r>
    </w:p>
  </w:footnote>
  <w:footnote w:id="14">
    <w:p w:rsidR="00121A40" w:rsidRDefault="00121A40" w:rsidP="00055BDB">
      <w:pPr>
        <w:pStyle w:val="FootnoteText"/>
      </w:pPr>
      <w:r>
        <w:rPr>
          <w:rStyle w:val="FootnoteReference"/>
        </w:rPr>
        <w:footnoteRef/>
      </w:r>
      <w:r>
        <w:t xml:space="preserve"> </w:t>
      </w:r>
      <w:r>
        <w:tab/>
      </w:r>
      <w:proofErr w:type="gramStart"/>
      <w:r>
        <w:t>NER, clause 6A.29A.1.</w:t>
      </w:r>
      <w:proofErr w:type="gramEnd"/>
    </w:p>
  </w:footnote>
  <w:footnote w:id="15">
    <w:p w:rsidR="002748B3" w:rsidRDefault="002748B3">
      <w:pPr>
        <w:pStyle w:val="FootnoteText"/>
      </w:pPr>
      <w:r>
        <w:rPr>
          <w:rStyle w:val="FootnoteReference"/>
        </w:rPr>
        <w:footnoteRef/>
      </w:r>
      <w:r>
        <w:t xml:space="preserve"> </w:t>
      </w:r>
      <w:r>
        <w:tab/>
        <w:t>NER, clause 6A.24.1(c</w:t>
      </w:r>
      <w:proofErr w:type="gramStart"/>
      <w:r>
        <w:t>)(</w:t>
      </w:r>
      <w:proofErr w:type="gramEnd"/>
      <w:r>
        <w:t>1) and (2).</w:t>
      </w:r>
    </w:p>
  </w:footnote>
  <w:footnote w:id="16">
    <w:p w:rsidR="00F30170" w:rsidRDefault="00F30170">
      <w:pPr>
        <w:pStyle w:val="FootnoteText"/>
      </w:pPr>
      <w:r>
        <w:rPr>
          <w:rStyle w:val="FootnoteReference"/>
        </w:rPr>
        <w:footnoteRef/>
      </w:r>
      <w:r>
        <w:t xml:space="preserve"> </w:t>
      </w:r>
      <w:r>
        <w:tab/>
        <w:t>NER, clause 6A.24.1(c</w:t>
      </w:r>
      <w:proofErr w:type="gramStart"/>
      <w:r>
        <w:t>)(</w:t>
      </w:r>
      <w:proofErr w:type="gramEnd"/>
      <w:r>
        <w:t>2).</w:t>
      </w:r>
    </w:p>
  </w:footnote>
  <w:footnote w:id="17">
    <w:p w:rsidR="00121A40" w:rsidRDefault="00121A40">
      <w:pPr>
        <w:pStyle w:val="FootnoteText"/>
      </w:pPr>
      <w:r>
        <w:rPr>
          <w:rStyle w:val="FootnoteReference"/>
        </w:rPr>
        <w:footnoteRef/>
      </w:r>
      <w:r>
        <w:t xml:space="preserve"> </w:t>
      </w:r>
      <w:r>
        <w:tab/>
        <w:t xml:space="preserve">NER, clause </w:t>
      </w:r>
      <w:proofErr w:type="gramStart"/>
      <w:r>
        <w:t>6A.25.2(</w:t>
      </w:r>
      <w:proofErr w:type="gramEnd"/>
      <w:r>
        <w:t>f)(1).</w:t>
      </w:r>
    </w:p>
  </w:footnote>
  <w:footnote w:id="18">
    <w:p w:rsidR="00F30170" w:rsidRDefault="00F30170">
      <w:pPr>
        <w:pStyle w:val="FootnoteText"/>
      </w:pPr>
      <w:r>
        <w:rPr>
          <w:rStyle w:val="FootnoteReference"/>
        </w:rPr>
        <w:footnoteRef/>
      </w:r>
      <w:r>
        <w:t xml:space="preserve"> </w:t>
      </w:r>
      <w:r>
        <w:tab/>
        <w:t xml:space="preserve">NER, clause </w:t>
      </w:r>
      <w:proofErr w:type="gramStart"/>
      <w:r>
        <w:t>6A.25.2(</w:t>
      </w:r>
      <w:proofErr w:type="gramEnd"/>
      <w:r>
        <w:t>f)(1).</w:t>
      </w:r>
    </w:p>
  </w:footnote>
  <w:footnote w:id="19">
    <w:p w:rsidR="00121A40" w:rsidRDefault="00121A40">
      <w:pPr>
        <w:pStyle w:val="FootnoteText"/>
      </w:pPr>
      <w:r>
        <w:rPr>
          <w:rStyle w:val="FootnoteReference"/>
        </w:rPr>
        <w:footnoteRef/>
      </w:r>
      <w:r>
        <w:t xml:space="preserve"> </w:t>
      </w:r>
      <w:r>
        <w:tab/>
        <w:t xml:space="preserve">NER, clause </w:t>
      </w:r>
      <w:proofErr w:type="gramStart"/>
      <w:r>
        <w:t>6A.25.2(</w:t>
      </w:r>
      <w:proofErr w:type="gramEnd"/>
      <w:r>
        <w:t>f)(2).</w:t>
      </w:r>
    </w:p>
  </w:footnote>
  <w:footnote w:id="20">
    <w:p w:rsidR="00A23502" w:rsidRDefault="00A23502" w:rsidP="00A23502">
      <w:pPr>
        <w:pStyle w:val="FootnoteText"/>
      </w:pPr>
      <w:r>
        <w:rPr>
          <w:rStyle w:val="FootnoteReference"/>
        </w:rPr>
        <w:footnoteRef/>
      </w:r>
      <w:r>
        <w:t xml:space="preserve"> </w:t>
      </w:r>
      <w:r>
        <w:tab/>
        <w:t>NER, clause 6A.29A.4</w:t>
      </w:r>
    </w:p>
  </w:footnote>
  <w:footnote w:id="21">
    <w:p w:rsidR="00C45868" w:rsidRDefault="00C45868">
      <w:pPr>
        <w:pStyle w:val="FootnoteText"/>
      </w:pPr>
      <w:r>
        <w:rPr>
          <w:rStyle w:val="FootnoteReference"/>
        </w:rPr>
        <w:footnoteRef/>
      </w:r>
      <w:r>
        <w:t xml:space="preserve"> </w:t>
      </w:r>
      <w:r>
        <w:tab/>
        <w:t xml:space="preserve">NER, clause </w:t>
      </w:r>
      <w:proofErr w:type="gramStart"/>
      <w:r>
        <w:t>6A.29A.4(</w:t>
      </w:r>
      <w:proofErr w:type="gramEnd"/>
      <w:r>
        <w:t>b).</w:t>
      </w:r>
    </w:p>
  </w:footnote>
  <w:footnote w:id="22">
    <w:p w:rsidR="00121A40" w:rsidRDefault="00121A40" w:rsidP="004A5999">
      <w:pPr>
        <w:pStyle w:val="FootnoteText"/>
      </w:pPr>
      <w:r>
        <w:rPr>
          <w:rStyle w:val="FootnoteReference"/>
        </w:rPr>
        <w:footnoteRef/>
      </w:r>
      <w:r>
        <w:t xml:space="preserve"> </w:t>
      </w:r>
      <w:r>
        <w:tab/>
        <w:t xml:space="preserve">AEMC, </w:t>
      </w:r>
      <w:r w:rsidRPr="00E91D54">
        <w:rPr>
          <w:rStyle w:val="AERtextitalic"/>
        </w:rPr>
        <w:t>Rule determination: National electricity amendment (Inter-regional transmission charging)</w:t>
      </w:r>
      <w:r>
        <w:t>, 28 February 2013, p. 26.</w:t>
      </w:r>
    </w:p>
    <w:p w:rsidR="00121A40" w:rsidRDefault="00121A40">
      <w:pPr>
        <w:pStyle w:val="FootnoteText"/>
      </w:pPr>
    </w:p>
  </w:footnote>
  <w:footnote w:id="23">
    <w:p w:rsidR="000B7A7C" w:rsidRDefault="000B7A7C">
      <w:pPr>
        <w:pStyle w:val="FootnoteText"/>
      </w:pPr>
      <w:r>
        <w:rPr>
          <w:rStyle w:val="FootnoteReference"/>
        </w:rPr>
        <w:footnoteRef/>
      </w:r>
      <w:r>
        <w:t xml:space="preserve"> </w:t>
      </w:r>
      <w:r>
        <w:tab/>
        <w:t xml:space="preserve">NER, clause </w:t>
      </w:r>
      <w:proofErr w:type="gramStart"/>
      <w:r>
        <w:t>6A.24.2(</w:t>
      </w:r>
      <w:proofErr w:type="gramEnd"/>
      <w:r>
        <w:t>b).</w:t>
      </w:r>
    </w:p>
  </w:footnote>
  <w:footnote w:id="24">
    <w:p w:rsidR="000B7A7C" w:rsidRDefault="000B7A7C">
      <w:pPr>
        <w:pStyle w:val="FootnoteText"/>
      </w:pPr>
      <w:r>
        <w:rPr>
          <w:rStyle w:val="FootnoteReference"/>
        </w:rPr>
        <w:footnoteRef/>
      </w:r>
      <w:r>
        <w:t xml:space="preserve"> </w:t>
      </w:r>
      <w:r>
        <w:tab/>
      </w:r>
      <w:proofErr w:type="gramStart"/>
      <w:r>
        <w:t>NER, clause 6A.24.2(c).</w:t>
      </w:r>
      <w:proofErr w:type="gramEnd"/>
    </w:p>
  </w:footnote>
  <w:footnote w:id="25">
    <w:p w:rsidR="00121A40" w:rsidRDefault="00121A40" w:rsidP="004E0246">
      <w:pPr>
        <w:pStyle w:val="FootnoteText"/>
      </w:pPr>
      <w:r>
        <w:rPr>
          <w:rStyle w:val="FootnoteReference"/>
        </w:rPr>
        <w:footnoteRef/>
      </w:r>
      <w:r>
        <w:t xml:space="preserve"> </w:t>
      </w:r>
      <w:r>
        <w:tab/>
        <w:t>AEMC, Rule determination: National electricity amendment (Pricing of prescribed transmission services) rule 2006 No 22, 21 December 2006, p.29.</w:t>
      </w:r>
    </w:p>
  </w:footnote>
  <w:footnote w:id="26">
    <w:p w:rsidR="00121A40" w:rsidRDefault="00121A40" w:rsidP="004E0246">
      <w:pPr>
        <w:pStyle w:val="FootnoteText"/>
      </w:pPr>
      <w:r>
        <w:rPr>
          <w:rStyle w:val="FootnoteReference"/>
        </w:rPr>
        <w:footnoteRef/>
      </w:r>
      <w:r>
        <w:t xml:space="preserve"> </w:t>
      </w:r>
      <w:r>
        <w:tab/>
        <w:t>AEMC, Rule determination: National electricity amendment (Pricing of prescribed transmission services) rule 2006 No 22, 21 December 2006, p.29.</w:t>
      </w:r>
    </w:p>
  </w:footnote>
  <w:footnote w:id="27">
    <w:p w:rsidR="00121A40" w:rsidRDefault="00121A40" w:rsidP="004E0246">
      <w:pPr>
        <w:pStyle w:val="FootnoteText"/>
      </w:pPr>
      <w:r>
        <w:rPr>
          <w:rStyle w:val="FootnoteReference"/>
        </w:rPr>
        <w:footnoteRef/>
      </w:r>
      <w:r>
        <w:t xml:space="preserve"> </w:t>
      </w:r>
      <w:r>
        <w:tab/>
        <w:t xml:space="preserve">AEMC, </w:t>
      </w:r>
      <w:r w:rsidRPr="00537ED0">
        <w:rPr>
          <w:rStyle w:val="AERtextitalic"/>
        </w:rPr>
        <w:t xml:space="preserve">Rule Determination: National Electricity Amendment (Pricing of Prescribed Transmission Services) Rule 2006 No </w:t>
      </w:r>
      <w:r w:rsidRPr="00476690">
        <w:rPr>
          <w:rStyle w:val="AERtextitalic"/>
        </w:rPr>
        <w:t>22</w:t>
      </w:r>
      <w:r>
        <w:t>, 21 December 2006, p. 30.</w:t>
      </w:r>
    </w:p>
  </w:footnote>
  <w:footnote w:id="28">
    <w:p w:rsidR="00121A40" w:rsidRDefault="00121A40" w:rsidP="004E0246">
      <w:pPr>
        <w:pStyle w:val="FootnoteText"/>
      </w:pPr>
      <w:r>
        <w:rPr>
          <w:rStyle w:val="FootnoteReference"/>
        </w:rPr>
        <w:footnoteRef/>
      </w:r>
      <w:r>
        <w:t xml:space="preserve"> </w:t>
      </w:r>
      <w:r>
        <w:tab/>
      </w:r>
      <w:proofErr w:type="gramStart"/>
      <w:r>
        <w:t>NER, clause 6A.22.3.</w:t>
      </w:r>
      <w:proofErr w:type="gramEnd"/>
    </w:p>
  </w:footnote>
  <w:footnote w:id="29">
    <w:p w:rsidR="00121A40" w:rsidRDefault="00121A40" w:rsidP="004E0246">
      <w:pPr>
        <w:pStyle w:val="FootnoteText"/>
      </w:pPr>
      <w:r>
        <w:rPr>
          <w:rStyle w:val="FootnoteReference"/>
        </w:rPr>
        <w:footnoteRef/>
      </w:r>
      <w:r>
        <w:t xml:space="preserve"> </w:t>
      </w:r>
      <w:r>
        <w:tab/>
      </w:r>
      <w:proofErr w:type="gramStart"/>
      <w:r>
        <w:t>NER, clause 6A.23.3.</w:t>
      </w:r>
      <w:proofErr w:type="gramEnd"/>
    </w:p>
  </w:footnote>
  <w:footnote w:id="30">
    <w:p w:rsidR="00121A40" w:rsidRDefault="00121A40" w:rsidP="004E0246">
      <w:pPr>
        <w:pStyle w:val="FootnoteText"/>
      </w:pPr>
      <w:r>
        <w:rPr>
          <w:rStyle w:val="FootnoteReference"/>
        </w:rPr>
        <w:footnoteRef/>
      </w:r>
      <w:r>
        <w:t xml:space="preserve"> </w:t>
      </w:r>
      <w:r>
        <w:tab/>
      </w:r>
      <w:r w:rsidRPr="00412870">
        <w:t>Alternatively, the allocation can be based on a reasonable estimate of future network utilisation and the likely need for future transmission investment with the objective of providing a more efficient locational price.</w:t>
      </w:r>
    </w:p>
  </w:footnote>
  <w:footnote w:id="31">
    <w:p w:rsidR="00121A40" w:rsidRDefault="00121A40" w:rsidP="004E0246">
      <w:pPr>
        <w:pStyle w:val="FootnoteText"/>
      </w:pPr>
      <w:r>
        <w:rPr>
          <w:rStyle w:val="FootnoteReference"/>
        </w:rPr>
        <w:footnoteRef/>
      </w:r>
      <w:r>
        <w:t xml:space="preserve"> </w:t>
      </w:r>
      <w:r>
        <w:tab/>
      </w:r>
      <w:r w:rsidRPr="00412870">
        <w:t xml:space="preserve">AEMC, Transmission pricing for prescribed transmission services: Rule proposal report, </w:t>
      </w:r>
      <w:proofErr w:type="gramStart"/>
      <w:r w:rsidRPr="00412870">
        <w:t>Proposed</w:t>
      </w:r>
      <w:proofErr w:type="gramEnd"/>
      <w:r w:rsidRPr="00412870">
        <w:t xml:space="preserve"> national electricity amendment (Pricing of prescribed transmission services) rule 2006, 24 August 2006 p. 61</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B6F676A0"/>
    <w:numStyleLink w:val="AERnumberedlist"/>
  </w:abstractNum>
  <w:abstractNum w:abstractNumId="3">
    <w:nsid w:val="0D511706"/>
    <w:multiLevelType w:val="hybridMultilevel"/>
    <w:tmpl w:val="023056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5">
    <w:nsid w:val="13597CF9"/>
    <w:multiLevelType w:val="multilevel"/>
    <w:tmpl w:val="B6F676A0"/>
    <w:numStyleLink w:val="AERnumberedlist"/>
  </w:abstractNum>
  <w:abstractNum w:abstractNumId="6">
    <w:nsid w:val="176B27A6"/>
    <w:multiLevelType w:val="multilevel"/>
    <w:tmpl w:val="950A1C52"/>
    <w:numStyleLink w:val="AERHeadings"/>
  </w:abstractNum>
  <w:abstractNum w:abstractNumId="7">
    <w:nsid w:val="1972601F"/>
    <w:multiLevelType w:val="multilevel"/>
    <w:tmpl w:val="950A1C52"/>
    <w:numStyleLink w:val="AERHeadings"/>
  </w:abstractNum>
  <w:abstractNum w:abstractNumId="8">
    <w:nsid w:val="1DFA331B"/>
    <w:multiLevelType w:val="multilevel"/>
    <w:tmpl w:val="B6F676A0"/>
    <w:numStyleLink w:val="AERnumberedlist"/>
  </w:abstractNum>
  <w:abstractNum w:abstractNumId="9">
    <w:nsid w:val="233428C7"/>
    <w:multiLevelType w:val="multilevel"/>
    <w:tmpl w:val="B6F676A0"/>
    <w:numStyleLink w:val="AERnumberedlist"/>
  </w:abstractNum>
  <w:abstractNum w:abstractNumId="10">
    <w:nsid w:val="2776270C"/>
    <w:multiLevelType w:val="multilevel"/>
    <w:tmpl w:val="B6F676A0"/>
    <w:numStyleLink w:val="AERnumberedlist"/>
  </w:abstractNum>
  <w:abstractNum w:abstractNumId="11">
    <w:nsid w:val="281977C0"/>
    <w:multiLevelType w:val="multilevel"/>
    <w:tmpl w:val="950A1C52"/>
    <w:numStyleLink w:val="AERHeadings"/>
  </w:abstractNum>
  <w:abstractNum w:abstractNumId="12">
    <w:nsid w:val="295C7239"/>
    <w:multiLevelType w:val="multilevel"/>
    <w:tmpl w:val="950A1C52"/>
    <w:numStyleLink w:val="AERHeadings"/>
  </w:abstractNum>
  <w:abstractNum w:abstractNumId="13">
    <w:nsid w:val="2C2D6B9E"/>
    <w:multiLevelType w:val="multilevel"/>
    <w:tmpl w:val="950A1C52"/>
    <w:numStyleLink w:val="AERHeadings"/>
  </w:abstractNum>
  <w:abstractNum w:abstractNumId="14">
    <w:nsid w:val="2DB12A3A"/>
    <w:multiLevelType w:val="multilevel"/>
    <w:tmpl w:val="950A1C52"/>
    <w:numStyleLink w:val="AERHeadings"/>
  </w:abstractNum>
  <w:abstractNum w:abstractNumId="15">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nsid w:val="333E0E05"/>
    <w:multiLevelType w:val="multilevel"/>
    <w:tmpl w:val="950A1C52"/>
    <w:numStyleLink w:val="AERHeadings"/>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C721288"/>
    <w:multiLevelType w:val="multilevel"/>
    <w:tmpl w:val="950A1C52"/>
    <w:numStyleLink w:val="AERHeadings"/>
  </w:abstractNum>
  <w:abstractNum w:abstractNumId="22">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3">
    <w:nsid w:val="4F037C49"/>
    <w:multiLevelType w:val="multilevel"/>
    <w:tmpl w:val="B6F676A0"/>
    <w:numStyleLink w:val="AERnumberedlist"/>
  </w:abstractNum>
  <w:abstractNum w:abstractNumId="24">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51487971"/>
    <w:multiLevelType w:val="multilevel"/>
    <w:tmpl w:val="B6F676A0"/>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1807103"/>
    <w:multiLevelType w:val="multilevel"/>
    <w:tmpl w:val="B6F676A0"/>
    <w:numStyleLink w:val="AERnumberedlist"/>
  </w:abstractNum>
  <w:abstractNum w:abstractNumId="27">
    <w:nsid w:val="5D386EA7"/>
    <w:multiLevelType w:val="multilevel"/>
    <w:tmpl w:val="950A1C52"/>
    <w:numStyleLink w:val="AERHeadings"/>
  </w:abstractNum>
  <w:abstractNum w:abstractNumId="28">
    <w:nsid w:val="5DCC1B18"/>
    <w:multiLevelType w:val="multilevel"/>
    <w:tmpl w:val="B6F676A0"/>
    <w:numStyleLink w:val="AERnumberedlist"/>
  </w:abstractNum>
  <w:abstractNum w:abstractNumId="29">
    <w:nsid w:val="61747B12"/>
    <w:multiLevelType w:val="hybridMultilevel"/>
    <w:tmpl w:val="84927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3C11F43"/>
    <w:multiLevelType w:val="hybridMultilevel"/>
    <w:tmpl w:val="6B62E612"/>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68247CF7"/>
    <w:multiLevelType w:val="multilevel"/>
    <w:tmpl w:val="950A1C52"/>
    <w:numStyleLink w:val="AERHeadings"/>
  </w:abstractNum>
  <w:abstractNum w:abstractNumId="32">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4595980"/>
    <w:multiLevelType w:val="multilevel"/>
    <w:tmpl w:val="950A1C52"/>
    <w:numStyleLink w:val="AERHeadings"/>
  </w:abstractNum>
  <w:abstractNum w:abstractNumId="34">
    <w:nsid w:val="74F81DDF"/>
    <w:multiLevelType w:val="multilevel"/>
    <w:tmpl w:val="950A1C52"/>
    <w:numStyleLink w:val="AERHeadings"/>
  </w:abstractNum>
  <w:abstractNum w:abstractNumId="35">
    <w:nsid w:val="787F66A4"/>
    <w:multiLevelType w:val="multilevel"/>
    <w:tmpl w:val="950A1C52"/>
    <w:numStyleLink w:val="AERHeadings"/>
  </w:abstractNum>
  <w:abstractNum w:abstractNumId="36">
    <w:nsid w:val="7AAC6DD7"/>
    <w:multiLevelType w:val="multilevel"/>
    <w:tmpl w:val="950A1C52"/>
    <w:numStyleLink w:val="AERHeadings"/>
  </w:abstractNum>
  <w:abstractNum w:abstractNumId="37">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BE97BF8"/>
    <w:multiLevelType w:val="multilevel"/>
    <w:tmpl w:val="950A1C52"/>
    <w:numStyleLink w:val="AERHeadings"/>
  </w:abstractNum>
  <w:abstractNum w:abstractNumId="39">
    <w:nsid w:val="7CDA0F5F"/>
    <w:multiLevelType w:val="multilevel"/>
    <w:tmpl w:val="950A1C52"/>
    <w:numStyleLink w:val="AERHeadings"/>
  </w:abstractNum>
  <w:num w:numId="1">
    <w:abstractNumId w:val="32"/>
  </w:num>
  <w:num w:numId="2">
    <w:abstractNumId w:val="15"/>
  </w:num>
  <w:num w:numId="3">
    <w:abstractNumId w:val="22"/>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2"/>
    <w:lvlOverride w:ilvl="0">
      <w:startOverride w:val="1"/>
    </w:lvlOverride>
  </w:num>
  <w:num w:numId="7">
    <w:abstractNumId w:val="20"/>
  </w:num>
  <w:num w:numId="8">
    <w:abstractNumId w:val="17"/>
  </w:num>
  <w:num w:numId="9">
    <w:abstractNumId w:val="37"/>
  </w:num>
  <w:num w:numId="10">
    <w:abstractNumId w:val="22"/>
    <w:lvlOverride w:ilvl="0">
      <w:startOverride w:val="1"/>
    </w:lvlOverride>
  </w:num>
  <w:num w:numId="11">
    <w:abstractNumId w:val="1"/>
  </w:num>
  <w:num w:numId="12">
    <w:abstractNumId w:val="22"/>
    <w:lvlOverride w:ilvl="0">
      <w:startOverride w:val="1"/>
    </w:lvlOverride>
  </w:num>
  <w:num w:numId="13">
    <w:abstractNumId w:val="25"/>
    <w:lvlOverride w:ilvl="0">
      <w:lvl w:ilvl="0">
        <w:start w:val="1"/>
        <w:numFmt w:val="none"/>
        <w:pStyle w:val="AERbodytext"/>
        <w:lvlText w:val="%1"/>
        <w:lvlJc w:val="left"/>
        <w:pPr>
          <w:tabs>
            <w:tab w:val="num" w:pos="0"/>
          </w:tabs>
          <w:ind w:left="0" w:firstLine="0"/>
        </w:pPr>
        <w:rPr>
          <w:rFonts w:hint="default"/>
        </w:rPr>
      </w:lvl>
    </w:lvlOverride>
    <w:lvlOverride w:ilvl="1">
      <w:lvl w:ilvl="1">
        <w:start w:val="1"/>
        <w:numFmt w:val="decimal"/>
        <w:pStyle w:val="AERnumberedlistfirststyle"/>
        <w:lvlText w:val="%2."/>
        <w:lvlJc w:val="left"/>
        <w:pPr>
          <w:tabs>
            <w:tab w:val="num" w:pos="357"/>
          </w:tabs>
          <w:ind w:left="357" w:hanging="35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pStyle w:val="AERnumberedlistsecondstyle"/>
        <w:lvlText w:val="%3."/>
        <w:lvlJc w:val="left"/>
        <w:pPr>
          <w:tabs>
            <w:tab w:val="num" w:pos="720"/>
          </w:tabs>
          <w:ind w:left="720" w:hanging="363"/>
        </w:pPr>
        <w:rPr>
          <w:rFonts w:hint="default"/>
        </w:rPr>
      </w:lvl>
    </w:lvlOverride>
    <w:lvlOverride w:ilvl="3">
      <w:lvl w:ilvl="3">
        <w:start w:val="1"/>
        <w:numFmt w:val="lowerRoman"/>
        <w:pStyle w:val="AERnumberedlistthirdstyle"/>
        <w:lvlText w:val="%4."/>
        <w:lvlJc w:val="left"/>
        <w:pPr>
          <w:tabs>
            <w:tab w:val="num" w:pos="1077"/>
          </w:tabs>
          <w:ind w:left="1077" w:hanging="357"/>
        </w:pPr>
        <w:rPr>
          <w:rFonts w:hint="default"/>
        </w:rPr>
      </w:lvl>
    </w:lvlOverride>
    <w:lvlOverride w:ilvl="4">
      <w:lvl w:ilvl="4">
        <w:start w:val="1"/>
        <w:numFmt w:val="decimal"/>
        <w:lvlRestart w:val="1"/>
        <w:pStyle w:val="AERnumberedlist2first"/>
        <w:lvlText w:val="(%5)"/>
        <w:lvlJc w:val="left"/>
        <w:pPr>
          <w:tabs>
            <w:tab w:val="num" w:pos="454"/>
          </w:tabs>
          <w:ind w:left="454" w:hanging="454"/>
        </w:pPr>
        <w:rPr>
          <w:rFonts w:hint="default"/>
        </w:rPr>
      </w:lvl>
    </w:lvlOverride>
    <w:lvlOverride w:ilvl="5">
      <w:lvl w:ilvl="5">
        <w:start w:val="1"/>
        <w:numFmt w:val="lowerLetter"/>
        <w:pStyle w:val="AERnumberedlist2second"/>
        <w:lvlText w:val="(%6)"/>
        <w:lvlJc w:val="left"/>
        <w:pPr>
          <w:tabs>
            <w:tab w:val="num" w:pos="811"/>
          </w:tabs>
          <w:ind w:left="811" w:hanging="357"/>
        </w:pPr>
        <w:rPr>
          <w:rFonts w:hint="default"/>
        </w:rPr>
      </w:lvl>
    </w:lvlOverride>
    <w:lvlOverride w:ilvl="6">
      <w:lvl w:ilvl="6">
        <w:start w:val="1"/>
        <w:numFmt w:val="lowerRoman"/>
        <w:pStyle w:val="AERnumberedlist2third"/>
        <w:lvlText w:val="(%7)"/>
        <w:lvlJc w:val="left"/>
        <w:pPr>
          <w:tabs>
            <w:tab w:val="num" w:pos="1446"/>
          </w:tabs>
          <w:ind w:left="1446" w:hanging="63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
  </w:num>
  <w:num w:numId="17">
    <w:abstractNumId w:val="23"/>
  </w:num>
  <w:num w:numId="18">
    <w:abstractNumId w:val="8"/>
  </w:num>
  <w:num w:numId="19">
    <w:abstractNumId w:val="10"/>
  </w:num>
  <w:num w:numId="20">
    <w:abstractNumId w:val="3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9"/>
  </w:num>
  <w:num w:numId="28">
    <w:abstractNumId w:val="18"/>
  </w:num>
  <w:num w:numId="29">
    <w:abstractNumId w:val="11"/>
  </w:num>
  <w:num w:numId="30">
    <w:abstractNumId w:val="6"/>
  </w:num>
  <w:num w:numId="31">
    <w:abstractNumId w:val="0"/>
  </w:num>
  <w:num w:numId="32">
    <w:abstractNumId w:val="7"/>
  </w:num>
  <w:num w:numId="33">
    <w:abstractNumId w:val="35"/>
  </w:num>
  <w:num w:numId="34">
    <w:abstractNumId w:val="31"/>
  </w:num>
  <w:num w:numId="35">
    <w:abstractNumId w:val="33"/>
  </w:num>
  <w:num w:numId="36">
    <w:abstractNumId w:val="38"/>
  </w:num>
  <w:num w:numId="37">
    <w:abstractNumId w:val="27"/>
  </w:num>
  <w:num w:numId="38">
    <w:abstractNumId w:val="13"/>
  </w:num>
  <w:num w:numId="39">
    <w:abstractNumId w:val="14"/>
  </w:num>
  <w:num w:numId="40">
    <w:abstractNumId w:val="21"/>
  </w:num>
  <w:num w:numId="41">
    <w:abstractNumId w:val="26"/>
  </w:num>
  <w:num w:numId="42">
    <w:abstractNumId w:val="5"/>
  </w:num>
  <w:num w:numId="43">
    <w:abstractNumId w:val="36"/>
    <w:lvlOverride w:ilvl="0">
      <w:lvl w:ilvl="0">
        <w:start w:val="1"/>
        <w:numFmt w:val="none"/>
        <w:pStyle w:val="UnnumberedHeading"/>
        <w:lvlText w:val="%1"/>
        <w:lvlJc w:val="left"/>
        <w:pPr>
          <w:tabs>
            <w:tab w:val="num" w:pos="0"/>
          </w:tabs>
          <w:ind w:left="0" w:firstLine="0"/>
        </w:pPr>
        <w:rPr>
          <w:rFonts w:hint="default"/>
        </w:rPr>
      </w:lvl>
    </w:lvlOverride>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lvlOverride w:ilvl="3">
      <w:lvl w:ilvl="3">
        <w:start w:val="1"/>
        <w:numFmt w:val="decimal"/>
        <w:pStyle w:val="Heading3"/>
        <w:lvlText w:val="%2.%3.%4"/>
        <w:lvlJc w:val="left"/>
        <w:pPr>
          <w:tabs>
            <w:tab w:val="num" w:pos="0"/>
          </w:tabs>
          <w:ind w:left="0" w:hanging="851"/>
        </w:pPr>
        <w:rPr>
          <w:rFonts w:hint="default"/>
        </w:rPr>
      </w:lvl>
    </w:lvlOverride>
    <w:lvlOverride w:ilvl="4">
      <w:lvl w:ilvl="4">
        <w:start w:val="1"/>
        <w:numFmt w:val="upperLetter"/>
        <w:lvlRestart w:val="1"/>
        <w:pStyle w:val="Heading7"/>
        <w:lvlText w:val="%5"/>
        <w:lvlJc w:val="left"/>
        <w:pPr>
          <w:tabs>
            <w:tab w:val="num" w:pos="0"/>
          </w:tabs>
          <w:ind w:left="0" w:hanging="851"/>
        </w:pPr>
        <w:rPr>
          <w:rFonts w:hint="default"/>
        </w:rPr>
      </w:lvl>
    </w:lvlOverride>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44">
    <w:abstractNumId w:val="24"/>
  </w:num>
  <w:num w:numId="45">
    <w:abstractNumId w:val="30"/>
  </w:num>
  <w:num w:numId="46">
    <w:abstractNumId w:val="25"/>
    <w:lvlOverride w:ilvl="0">
      <w:startOverride w:val="1"/>
      <w:lvl w:ilvl="0">
        <w:start w:val="1"/>
        <w:numFmt w:val="none"/>
        <w:pStyle w:val="AERbodytext"/>
        <w:lvlText w:val="%1"/>
        <w:lvlJc w:val="left"/>
        <w:pPr>
          <w:tabs>
            <w:tab w:val="num" w:pos="0"/>
          </w:tabs>
          <w:ind w:left="0" w:firstLine="0"/>
        </w:pPr>
        <w:rPr>
          <w:rFonts w:hint="default"/>
        </w:rPr>
      </w:lvl>
    </w:lvlOverride>
    <w:lvlOverride w:ilvl="1">
      <w:startOverride w:val="1"/>
      <w:lvl w:ilvl="1">
        <w:start w:val="1"/>
        <w:numFmt w:val="decimal"/>
        <w:pStyle w:val="AERnumberedlistfirststyle"/>
        <w:lvlText w:val="%2."/>
        <w:lvlJc w:val="left"/>
        <w:pPr>
          <w:tabs>
            <w:tab w:val="num" w:pos="357"/>
          </w:tabs>
          <w:ind w:left="357" w:hanging="35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lowerLetter"/>
        <w:pStyle w:val="AERnumberedlistsecondstyle"/>
        <w:lvlText w:val="%3."/>
        <w:lvlJc w:val="left"/>
        <w:pPr>
          <w:tabs>
            <w:tab w:val="num" w:pos="720"/>
          </w:tabs>
          <w:ind w:left="720" w:hanging="363"/>
        </w:pPr>
        <w:rPr>
          <w:rFonts w:hint="default"/>
        </w:rPr>
      </w:lvl>
    </w:lvlOverride>
    <w:lvlOverride w:ilvl="3">
      <w:startOverride w:val="1"/>
      <w:lvl w:ilvl="3">
        <w:start w:val="1"/>
        <w:numFmt w:val="lowerRoman"/>
        <w:pStyle w:val="AERnumberedlistthirdstyle"/>
        <w:lvlText w:val="%4."/>
        <w:lvlJc w:val="left"/>
        <w:pPr>
          <w:tabs>
            <w:tab w:val="num" w:pos="1077"/>
          </w:tabs>
          <w:ind w:left="1077" w:hanging="357"/>
        </w:pPr>
        <w:rPr>
          <w:rFonts w:hint="default"/>
        </w:rPr>
      </w:lvl>
    </w:lvlOverride>
    <w:lvlOverride w:ilvl="4">
      <w:startOverride w:val="1"/>
      <w:lvl w:ilvl="4">
        <w:start w:val="1"/>
        <w:numFmt w:val="decimal"/>
        <w:lvlRestart w:val="1"/>
        <w:pStyle w:val="AERnumberedlist2first"/>
        <w:lvlText w:val="(%5)"/>
        <w:lvlJc w:val="left"/>
        <w:pPr>
          <w:tabs>
            <w:tab w:val="num" w:pos="454"/>
          </w:tabs>
          <w:ind w:left="454" w:hanging="454"/>
        </w:pPr>
        <w:rPr>
          <w:rFonts w:hint="default"/>
        </w:rPr>
      </w:lvl>
    </w:lvlOverride>
    <w:lvlOverride w:ilvl="5">
      <w:startOverride w:val="1"/>
      <w:lvl w:ilvl="5">
        <w:start w:val="1"/>
        <w:numFmt w:val="lowerLetter"/>
        <w:pStyle w:val="AERnumberedlist2second"/>
        <w:lvlText w:val="(%6)"/>
        <w:lvlJc w:val="left"/>
        <w:pPr>
          <w:tabs>
            <w:tab w:val="num" w:pos="811"/>
          </w:tabs>
          <w:ind w:left="811" w:hanging="357"/>
        </w:pPr>
        <w:rPr>
          <w:rFonts w:hint="default"/>
        </w:rPr>
      </w:lvl>
    </w:lvlOverride>
    <w:lvlOverride w:ilvl="6">
      <w:startOverride w:val="1"/>
      <w:lvl w:ilvl="6">
        <w:start w:val="1"/>
        <w:numFmt w:val="lowerRoman"/>
        <w:pStyle w:val="AERnumberedlist2third"/>
        <w:lvlText w:val="(%7)"/>
        <w:lvlJc w:val="left"/>
        <w:pPr>
          <w:tabs>
            <w:tab w:val="num" w:pos="1446"/>
          </w:tabs>
          <w:ind w:left="1446" w:hanging="635"/>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7">
    <w:abstractNumId w:val="25"/>
  </w:num>
  <w:num w:numId="48">
    <w:abstractNumId w:val="29"/>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evenAndOddHeaders/>
  <w:drawingGridHorizontalSpacing w:val="10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docVars>
    <w:docVar w:name="currentname" w:val="\\SCBRFS001\home$\smoff\issues paper - inter-regional (D2014-00045808).docx"/>
  </w:docVars>
  <w:rsids>
    <w:rsidRoot w:val="000C052F"/>
    <w:rsid w:val="0000124D"/>
    <w:rsid w:val="00001A28"/>
    <w:rsid w:val="00003996"/>
    <w:rsid w:val="000039E7"/>
    <w:rsid w:val="00003BD8"/>
    <w:rsid w:val="00003F39"/>
    <w:rsid w:val="00005082"/>
    <w:rsid w:val="000067AF"/>
    <w:rsid w:val="00007302"/>
    <w:rsid w:val="00011129"/>
    <w:rsid w:val="00012F8B"/>
    <w:rsid w:val="00014923"/>
    <w:rsid w:val="000153BD"/>
    <w:rsid w:val="00015FEC"/>
    <w:rsid w:val="00022606"/>
    <w:rsid w:val="000236A9"/>
    <w:rsid w:val="00024393"/>
    <w:rsid w:val="00024595"/>
    <w:rsid w:val="00027E9A"/>
    <w:rsid w:val="0003106D"/>
    <w:rsid w:val="00031A1C"/>
    <w:rsid w:val="00040599"/>
    <w:rsid w:val="00040749"/>
    <w:rsid w:val="00041367"/>
    <w:rsid w:val="00045A33"/>
    <w:rsid w:val="000464C0"/>
    <w:rsid w:val="00051174"/>
    <w:rsid w:val="0005412E"/>
    <w:rsid w:val="00054A7E"/>
    <w:rsid w:val="00055795"/>
    <w:rsid w:val="00055BDB"/>
    <w:rsid w:val="00055D3A"/>
    <w:rsid w:val="00056198"/>
    <w:rsid w:val="00056568"/>
    <w:rsid w:val="00065303"/>
    <w:rsid w:val="00065A2B"/>
    <w:rsid w:val="00067308"/>
    <w:rsid w:val="000675A3"/>
    <w:rsid w:val="00072854"/>
    <w:rsid w:val="000749C5"/>
    <w:rsid w:val="00076270"/>
    <w:rsid w:val="000779AA"/>
    <w:rsid w:val="00081919"/>
    <w:rsid w:val="00081BBF"/>
    <w:rsid w:val="00082198"/>
    <w:rsid w:val="0008424C"/>
    <w:rsid w:val="00084B3E"/>
    <w:rsid w:val="00085245"/>
    <w:rsid w:val="00085281"/>
    <w:rsid w:val="00090A67"/>
    <w:rsid w:val="00091481"/>
    <w:rsid w:val="000917B2"/>
    <w:rsid w:val="00092708"/>
    <w:rsid w:val="0009571B"/>
    <w:rsid w:val="00097582"/>
    <w:rsid w:val="00097E8D"/>
    <w:rsid w:val="000A1CC2"/>
    <w:rsid w:val="000A39E9"/>
    <w:rsid w:val="000A3D33"/>
    <w:rsid w:val="000A47C6"/>
    <w:rsid w:val="000A5336"/>
    <w:rsid w:val="000A5342"/>
    <w:rsid w:val="000A5791"/>
    <w:rsid w:val="000A5A6C"/>
    <w:rsid w:val="000A7655"/>
    <w:rsid w:val="000B0887"/>
    <w:rsid w:val="000B121D"/>
    <w:rsid w:val="000B15CA"/>
    <w:rsid w:val="000B28BB"/>
    <w:rsid w:val="000B2B9E"/>
    <w:rsid w:val="000B3C59"/>
    <w:rsid w:val="000B3CA3"/>
    <w:rsid w:val="000B6E59"/>
    <w:rsid w:val="000B7214"/>
    <w:rsid w:val="000B7A7C"/>
    <w:rsid w:val="000C052F"/>
    <w:rsid w:val="000C0AE5"/>
    <w:rsid w:val="000C24F5"/>
    <w:rsid w:val="000C3430"/>
    <w:rsid w:val="000C69F0"/>
    <w:rsid w:val="000C7A57"/>
    <w:rsid w:val="000C7F30"/>
    <w:rsid w:val="000D03C2"/>
    <w:rsid w:val="000D04B1"/>
    <w:rsid w:val="000D3672"/>
    <w:rsid w:val="000D401F"/>
    <w:rsid w:val="000D43AE"/>
    <w:rsid w:val="000D479F"/>
    <w:rsid w:val="000D6007"/>
    <w:rsid w:val="000D723E"/>
    <w:rsid w:val="000E1A25"/>
    <w:rsid w:val="000E327B"/>
    <w:rsid w:val="000E3EC8"/>
    <w:rsid w:val="000E4ED6"/>
    <w:rsid w:val="000E662F"/>
    <w:rsid w:val="000F3105"/>
    <w:rsid w:val="000F3A6A"/>
    <w:rsid w:val="000F3B05"/>
    <w:rsid w:val="000F3CBC"/>
    <w:rsid w:val="000F44AE"/>
    <w:rsid w:val="000F660E"/>
    <w:rsid w:val="001029DD"/>
    <w:rsid w:val="001033B3"/>
    <w:rsid w:val="00105636"/>
    <w:rsid w:val="00110ACD"/>
    <w:rsid w:val="0011553A"/>
    <w:rsid w:val="00120018"/>
    <w:rsid w:val="001209CD"/>
    <w:rsid w:val="00121A40"/>
    <w:rsid w:val="00122E91"/>
    <w:rsid w:val="00123084"/>
    <w:rsid w:val="0012354F"/>
    <w:rsid w:val="00123F4F"/>
    <w:rsid w:val="00126B9E"/>
    <w:rsid w:val="00127F83"/>
    <w:rsid w:val="0013022D"/>
    <w:rsid w:val="00131033"/>
    <w:rsid w:val="001326A4"/>
    <w:rsid w:val="00137717"/>
    <w:rsid w:val="00137B86"/>
    <w:rsid w:val="00140036"/>
    <w:rsid w:val="00141388"/>
    <w:rsid w:val="00146440"/>
    <w:rsid w:val="00147B92"/>
    <w:rsid w:val="00152DED"/>
    <w:rsid w:val="001543D2"/>
    <w:rsid w:val="001549AD"/>
    <w:rsid w:val="0015524D"/>
    <w:rsid w:val="00156A50"/>
    <w:rsid w:val="00163BC4"/>
    <w:rsid w:val="00164223"/>
    <w:rsid w:val="00164BB7"/>
    <w:rsid w:val="001651CA"/>
    <w:rsid w:val="0017090E"/>
    <w:rsid w:val="00172371"/>
    <w:rsid w:val="00174026"/>
    <w:rsid w:val="001766EE"/>
    <w:rsid w:val="00182051"/>
    <w:rsid w:val="00183DC7"/>
    <w:rsid w:val="0018499A"/>
    <w:rsid w:val="00184D27"/>
    <w:rsid w:val="00184F50"/>
    <w:rsid w:val="001856EE"/>
    <w:rsid w:val="00190949"/>
    <w:rsid w:val="001917AF"/>
    <w:rsid w:val="00192329"/>
    <w:rsid w:val="0019497B"/>
    <w:rsid w:val="00194C3C"/>
    <w:rsid w:val="00196352"/>
    <w:rsid w:val="0019764D"/>
    <w:rsid w:val="001A5726"/>
    <w:rsid w:val="001A6547"/>
    <w:rsid w:val="001B5F84"/>
    <w:rsid w:val="001B6368"/>
    <w:rsid w:val="001B6A45"/>
    <w:rsid w:val="001C12E5"/>
    <w:rsid w:val="001C7D85"/>
    <w:rsid w:val="001D034F"/>
    <w:rsid w:val="001D1B4F"/>
    <w:rsid w:val="001D3B31"/>
    <w:rsid w:val="001D5E52"/>
    <w:rsid w:val="001D77C4"/>
    <w:rsid w:val="001E19AE"/>
    <w:rsid w:val="001E56E2"/>
    <w:rsid w:val="001E5F0E"/>
    <w:rsid w:val="001E637E"/>
    <w:rsid w:val="001E7177"/>
    <w:rsid w:val="001F4B82"/>
    <w:rsid w:val="001F520F"/>
    <w:rsid w:val="001F693F"/>
    <w:rsid w:val="001F7DCE"/>
    <w:rsid w:val="00201398"/>
    <w:rsid w:val="0020711E"/>
    <w:rsid w:val="00210880"/>
    <w:rsid w:val="00211B7D"/>
    <w:rsid w:val="00213B79"/>
    <w:rsid w:val="00216996"/>
    <w:rsid w:val="00221394"/>
    <w:rsid w:val="002257B9"/>
    <w:rsid w:val="0023137D"/>
    <w:rsid w:val="00231C9C"/>
    <w:rsid w:val="00232CAC"/>
    <w:rsid w:val="00233874"/>
    <w:rsid w:val="0023509F"/>
    <w:rsid w:val="00244B1D"/>
    <w:rsid w:val="00244CF3"/>
    <w:rsid w:val="002505D6"/>
    <w:rsid w:val="00251F51"/>
    <w:rsid w:val="002607E4"/>
    <w:rsid w:val="002609C3"/>
    <w:rsid w:val="00261C87"/>
    <w:rsid w:val="00261D59"/>
    <w:rsid w:val="00262A3E"/>
    <w:rsid w:val="00262DB8"/>
    <w:rsid w:val="00264775"/>
    <w:rsid w:val="0026542C"/>
    <w:rsid w:val="00266710"/>
    <w:rsid w:val="002701AF"/>
    <w:rsid w:val="00270BEE"/>
    <w:rsid w:val="002748B3"/>
    <w:rsid w:val="00274DEE"/>
    <w:rsid w:val="00275B8B"/>
    <w:rsid w:val="002805B8"/>
    <w:rsid w:val="00281E55"/>
    <w:rsid w:val="00284094"/>
    <w:rsid w:val="00286B4C"/>
    <w:rsid w:val="00287A3D"/>
    <w:rsid w:val="002904BD"/>
    <w:rsid w:val="00290AB9"/>
    <w:rsid w:val="002938CE"/>
    <w:rsid w:val="00295B8B"/>
    <w:rsid w:val="00296E37"/>
    <w:rsid w:val="002A5C84"/>
    <w:rsid w:val="002B0E11"/>
    <w:rsid w:val="002B1086"/>
    <w:rsid w:val="002B3712"/>
    <w:rsid w:val="002B37EB"/>
    <w:rsid w:val="002B6640"/>
    <w:rsid w:val="002B6BD6"/>
    <w:rsid w:val="002C1260"/>
    <w:rsid w:val="002C4C67"/>
    <w:rsid w:val="002C4DD3"/>
    <w:rsid w:val="002C5039"/>
    <w:rsid w:val="002C7EF5"/>
    <w:rsid w:val="002D1062"/>
    <w:rsid w:val="002D14EA"/>
    <w:rsid w:val="002D14F8"/>
    <w:rsid w:val="002D1FB6"/>
    <w:rsid w:val="002D3BA6"/>
    <w:rsid w:val="002D61AC"/>
    <w:rsid w:val="002E39EC"/>
    <w:rsid w:val="002E4720"/>
    <w:rsid w:val="002E4C17"/>
    <w:rsid w:val="002F2F59"/>
    <w:rsid w:val="00303452"/>
    <w:rsid w:val="003035BD"/>
    <w:rsid w:val="00303A37"/>
    <w:rsid w:val="00303CC7"/>
    <w:rsid w:val="00303E1C"/>
    <w:rsid w:val="003053A7"/>
    <w:rsid w:val="003059DF"/>
    <w:rsid w:val="00312598"/>
    <w:rsid w:val="00313A75"/>
    <w:rsid w:val="00314CCD"/>
    <w:rsid w:val="00316445"/>
    <w:rsid w:val="0031733E"/>
    <w:rsid w:val="003278C7"/>
    <w:rsid w:val="00330754"/>
    <w:rsid w:val="0033244F"/>
    <w:rsid w:val="003324F7"/>
    <w:rsid w:val="003332CD"/>
    <w:rsid w:val="00334A2A"/>
    <w:rsid w:val="00334F88"/>
    <w:rsid w:val="0034002D"/>
    <w:rsid w:val="00345168"/>
    <w:rsid w:val="003453D8"/>
    <w:rsid w:val="003501FB"/>
    <w:rsid w:val="00360A24"/>
    <w:rsid w:val="00362BA4"/>
    <w:rsid w:val="003637F8"/>
    <w:rsid w:val="0036455D"/>
    <w:rsid w:val="00364F61"/>
    <w:rsid w:val="003707DB"/>
    <w:rsid w:val="00373BE0"/>
    <w:rsid w:val="003743CC"/>
    <w:rsid w:val="00375AEC"/>
    <w:rsid w:val="00376236"/>
    <w:rsid w:val="0037652C"/>
    <w:rsid w:val="003766FC"/>
    <w:rsid w:val="00376873"/>
    <w:rsid w:val="003800E4"/>
    <w:rsid w:val="003802E3"/>
    <w:rsid w:val="00380FF5"/>
    <w:rsid w:val="00382448"/>
    <w:rsid w:val="00382B5E"/>
    <w:rsid w:val="0038417C"/>
    <w:rsid w:val="003875BC"/>
    <w:rsid w:val="003875E8"/>
    <w:rsid w:val="00387921"/>
    <w:rsid w:val="003922A9"/>
    <w:rsid w:val="00393D88"/>
    <w:rsid w:val="003940CF"/>
    <w:rsid w:val="003965D2"/>
    <w:rsid w:val="003A0628"/>
    <w:rsid w:val="003A1874"/>
    <w:rsid w:val="003A22FF"/>
    <w:rsid w:val="003A4BA7"/>
    <w:rsid w:val="003A57BA"/>
    <w:rsid w:val="003A6174"/>
    <w:rsid w:val="003A71B7"/>
    <w:rsid w:val="003B7665"/>
    <w:rsid w:val="003C193D"/>
    <w:rsid w:val="003C43B9"/>
    <w:rsid w:val="003C5373"/>
    <w:rsid w:val="003C63E5"/>
    <w:rsid w:val="003D5497"/>
    <w:rsid w:val="003D779D"/>
    <w:rsid w:val="003D7B6F"/>
    <w:rsid w:val="003E03F3"/>
    <w:rsid w:val="003E6625"/>
    <w:rsid w:val="003E70F0"/>
    <w:rsid w:val="003F0400"/>
    <w:rsid w:val="003F1C51"/>
    <w:rsid w:val="003F2764"/>
    <w:rsid w:val="003F2A77"/>
    <w:rsid w:val="003F39A6"/>
    <w:rsid w:val="004030AB"/>
    <w:rsid w:val="00405F64"/>
    <w:rsid w:val="00407A6F"/>
    <w:rsid w:val="00407E3C"/>
    <w:rsid w:val="00412282"/>
    <w:rsid w:val="00412870"/>
    <w:rsid w:val="00420A9E"/>
    <w:rsid w:val="00422C2B"/>
    <w:rsid w:val="004256BA"/>
    <w:rsid w:val="00425B9F"/>
    <w:rsid w:val="00431999"/>
    <w:rsid w:val="004321CB"/>
    <w:rsid w:val="004338F3"/>
    <w:rsid w:val="00435682"/>
    <w:rsid w:val="00436D26"/>
    <w:rsid w:val="00436FBB"/>
    <w:rsid w:val="004425AB"/>
    <w:rsid w:val="00442A70"/>
    <w:rsid w:val="00443CBC"/>
    <w:rsid w:val="00451066"/>
    <w:rsid w:val="00451F4D"/>
    <w:rsid w:val="0045261B"/>
    <w:rsid w:val="004540A2"/>
    <w:rsid w:val="00455EA4"/>
    <w:rsid w:val="00456081"/>
    <w:rsid w:val="00457E35"/>
    <w:rsid w:val="00460967"/>
    <w:rsid w:val="00463E89"/>
    <w:rsid w:val="00464F5D"/>
    <w:rsid w:val="0046541F"/>
    <w:rsid w:val="00466109"/>
    <w:rsid w:val="00470ED6"/>
    <w:rsid w:val="00472238"/>
    <w:rsid w:val="004729C1"/>
    <w:rsid w:val="004731FE"/>
    <w:rsid w:val="00473694"/>
    <w:rsid w:val="004744F3"/>
    <w:rsid w:val="00474FBD"/>
    <w:rsid w:val="004772CD"/>
    <w:rsid w:val="004778A3"/>
    <w:rsid w:val="00480311"/>
    <w:rsid w:val="004859AF"/>
    <w:rsid w:val="00491D7D"/>
    <w:rsid w:val="004920F7"/>
    <w:rsid w:val="00492F49"/>
    <w:rsid w:val="00493252"/>
    <w:rsid w:val="004957CE"/>
    <w:rsid w:val="0049613D"/>
    <w:rsid w:val="004A0ED5"/>
    <w:rsid w:val="004A4DFF"/>
    <w:rsid w:val="004A5999"/>
    <w:rsid w:val="004A6B4F"/>
    <w:rsid w:val="004B0A77"/>
    <w:rsid w:val="004B1935"/>
    <w:rsid w:val="004B288B"/>
    <w:rsid w:val="004B5028"/>
    <w:rsid w:val="004B5A6E"/>
    <w:rsid w:val="004B63A7"/>
    <w:rsid w:val="004C0600"/>
    <w:rsid w:val="004C1370"/>
    <w:rsid w:val="004C3F45"/>
    <w:rsid w:val="004D0967"/>
    <w:rsid w:val="004D2AEC"/>
    <w:rsid w:val="004D3D79"/>
    <w:rsid w:val="004E0246"/>
    <w:rsid w:val="004E04E4"/>
    <w:rsid w:val="004E40EF"/>
    <w:rsid w:val="004E538D"/>
    <w:rsid w:val="004E6163"/>
    <w:rsid w:val="004E73F7"/>
    <w:rsid w:val="004F5B36"/>
    <w:rsid w:val="004F62D0"/>
    <w:rsid w:val="004F6D4F"/>
    <w:rsid w:val="004F7137"/>
    <w:rsid w:val="004F76A0"/>
    <w:rsid w:val="004F7AD2"/>
    <w:rsid w:val="00500988"/>
    <w:rsid w:val="00500E7F"/>
    <w:rsid w:val="005015C0"/>
    <w:rsid w:val="0050318D"/>
    <w:rsid w:val="005049E5"/>
    <w:rsid w:val="00510C7F"/>
    <w:rsid w:val="00512570"/>
    <w:rsid w:val="00516397"/>
    <w:rsid w:val="00516FD1"/>
    <w:rsid w:val="0052128F"/>
    <w:rsid w:val="0052179D"/>
    <w:rsid w:val="00521F8F"/>
    <w:rsid w:val="00526D76"/>
    <w:rsid w:val="00526E83"/>
    <w:rsid w:val="005326BE"/>
    <w:rsid w:val="00533F67"/>
    <w:rsid w:val="00534021"/>
    <w:rsid w:val="005348F3"/>
    <w:rsid w:val="0053770D"/>
    <w:rsid w:val="00540878"/>
    <w:rsid w:val="00542927"/>
    <w:rsid w:val="00543B66"/>
    <w:rsid w:val="00543BE0"/>
    <w:rsid w:val="00543DEE"/>
    <w:rsid w:val="00544296"/>
    <w:rsid w:val="005456A9"/>
    <w:rsid w:val="005462FF"/>
    <w:rsid w:val="00546F61"/>
    <w:rsid w:val="0054753E"/>
    <w:rsid w:val="00554CA1"/>
    <w:rsid w:val="00555D52"/>
    <w:rsid w:val="00555E20"/>
    <w:rsid w:val="005566D7"/>
    <w:rsid w:val="0056043A"/>
    <w:rsid w:val="00561F7F"/>
    <w:rsid w:val="00563832"/>
    <w:rsid w:val="00566A40"/>
    <w:rsid w:val="00566B35"/>
    <w:rsid w:val="00566B8E"/>
    <w:rsid w:val="0056720B"/>
    <w:rsid w:val="00570415"/>
    <w:rsid w:val="00570F54"/>
    <w:rsid w:val="00572D57"/>
    <w:rsid w:val="005732CC"/>
    <w:rsid w:val="00573513"/>
    <w:rsid w:val="00573DBC"/>
    <w:rsid w:val="00575422"/>
    <w:rsid w:val="00580819"/>
    <w:rsid w:val="0058148D"/>
    <w:rsid w:val="00582AD6"/>
    <w:rsid w:val="005832A8"/>
    <w:rsid w:val="00583A4A"/>
    <w:rsid w:val="00583CE6"/>
    <w:rsid w:val="00584CE4"/>
    <w:rsid w:val="00587382"/>
    <w:rsid w:val="00590F2F"/>
    <w:rsid w:val="005938C6"/>
    <w:rsid w:val="00594287"/>
    <w:rsid w:val="00596991"/>
    <w:rsid w:val="005A0346"/>
    <w:rsid w:val="005A0431"/>
    <w:rsid w:val="005A2F0D"/>
    <w:rsid w:val="005A3A3C"/>
    <w:rsid w:val="005A5D51"/>
    <w:rsid w:val="005B3752"/>
    <w:rsid w:val="005B42E5"/>
    <w:rsid w:val="005B61C2"/>
    <w:rsid w:val="005C0ED8"/>
    <w:rsid w:val="005C1734"/>
    <w:rsid w:val="005C1AED"/>
    <w:rsid w:val="005C22BE"/>
    <w:rsid w:val="005C77DD"/>
    <w:rsid w:val="005D0730"/>
    <w:rsid w:val="005D119D"/>
    <w:rsid w:val="005D17FF"/>
    <w:rsid w:val="005D19E1"/>
    <w:rsid w:val="005D1CDA"/>
    <w:rsid w:val="005D20C1"/>
    <w:rsid w:val="005D26B7"/>
    <w:rsid w:val="005D2C8F"/>
    <w:rsid w:val="005D4AA1"/>
    <w:rsid w:val="005D5717"/>
    <w:rsid w:val="005D7BCF"/>
    <w:rsid w:val="005E0629"/>
    <w:rsid w:val="005E07CF"/>
    <w:rsid w:val="005E1278"/>
    <w:rsid w:val="005E20DB"/>
    <w:rsid w:val="005E4063"/>
    <w:rsid w:val="005E6123"/>
    <w:rsid w:val="005F1225"/>
    <w:rsid w:val="005F3C6D"/>
    <w:rsid w:val="005F4180"/>
    <w:rsid w:val="005F457C"/>
    <w:rsid w:val="005F60B8"/>
    <w:rsid w:val="005F61BA"/>
    <w:rsid w:val="00600729"/>
    <w:rsid w:val="0060146C"/>
    <w:rsid w:val="0060207D"/>
    <w:rsid w:val="00602A80"/>
    <w:rsid w:val="00602CE3"/>
    <w:rsid w:val="00602D26"/>
    <w:rsid w:val="006039F2"/>
    <w:rsid w:val="006054AF"/>
    <w:rsid w:val="006061B0"/>
    <w:rsid w:val="00606AB8"/>
    <w:rsid w:val="0060732E"/>
    <w:rsid w:val="006076A9"/>
    <w:rsid w:val="00610B9B"/>
    <w:rsid w:val="006129E1"/>
    <w:rsid w:val="00616D78"/>
    <w:rsid w:val="00616DCE"/>
    <w:rsid w:val="006209B9"/>
    <w:rsid w:val="00621E98"/>
    <w:rsid w:val="0062567D"/>
    <w:rsid w:val="00625892"/>
    <w:rsid w:val="00626982"/>
    <w:rsid w:val="006310A4"/>
    <w:rsid w:val="00632563"/>
    <w:rsid w:val="00632AFC"/>
    <w:rsid w:val="0063584C"/>
    <w:rsid w:val="00637B6F"/>
    <w:rsid w:val="0064358A"/>
    <w:rsid w:val="00645588"/>
    <w:rsid w:val="006508ED"/>
    <w:rsid w:val="0065391F"/>
    <w:rsid w:val="00654283"/>
    <w:rsid w:val="006544EA"/>
    <w:rsid w:val="00655316"/>
    <w:rsid w:val="00655DAB"/>
    <w:rsid w:val="00656ED7"/>
    <w:rsid w:val="00660DAE"/>
    <w:rsid w:val="00661B6E"/>
    <w:rsid w:val="00661F9A"/>
    <w:rsid w:val="00662BEB"/>
    <w:rsid w:val="0066399C"/>
    <w:rsid w:val="00664270"/>
    <w:rsid w:val="00664D51"/>
    <w:rsid w:val="0066569F"/>
    <w:rsid w:val="00667636"/>
    <w:rsid w:val="006727C7"/>
    <w:rsid w:val="00672FB1"/>
    <w:rsid w:val="006755F2"/>
    <w:rsid w:val="00676460"/>
    <w:rsid w:val="00682E10"/>
    <w:rsid w:val="00683FBE"/>
    <w:rsid w:val="006840F2"/>
    <w:rsid w:val="0068425C"/>
    <w:rsid w:val="00684B2C"/>
    <w:rsid w:val="00685124"/>
    <w:rsid w:val="00685B77"/>
    <w:rsid w:val="00687A57"/>
    <w:rsid w:val="0069004B"/>
    <w:rsid w:val="006927B8"/>
    <w:rsid w:val="00694D12"/>
    <w:rsid w:val="006A08D8"/>
    <w:rsid w:val="006A31A3"/>
    <w:rsid w:val="006A3264"/>
    <w:rsid w:val="006A7746"/>
    <w:rsid w:val="006B08EB"/>
    <w:rsid w:val="006B34BE"/>
    <w:rsid w:val="006B481F"/>
    <w:rsid w:val="006B4E20"/>
    <w:rsid w:val="006B51CC"/>
    <w:rsid w:val="006B6ED7"/>
    <w:rsid w:val="006C34DC"/>
    <w:rsid w:val="006C376C"/>
    <w:rsid w:val="006C37F4"/>
    <w:rsid w:val="006C3955"/>
    <w:rsid w:val="006C64EA"/>
    <w:rsid w:val="006C6A8D"/>
    <w:rsid w:val="006D19A8"/>
    <w:rsid w:val="006D1FF8"/>
    <w:rsid w:val="006D20D1"/>
    <w:rsid w:val="006D281A"/>
    <w:rsid w:val="006D3F25"/>
    <w:rsid w:val="006D568A"/>
    <w:rsid w:val="006D5CF3"/>
    <w:rsid w:val="006D72FA"/>
    <w:rsid w:val="006E1E82"/>
    <w:rsid w:val="006E2600"/>
    <w:rsid w:val="006E57CC"/>
    <w:rsid w:val="006E6B4B"/>
    <w:rsid w:val="006E78E6"/>
    <w:rsid w:val="006F03E4"/>
    <w:rsid w:val="006F062F"/>
    <w:rsid w:val="006F0B8C"/>
    <w:rsid w:val="006F2008"/>
    <w:rsid w:val="006F206F"/>
    <w:rsid w:val="006F2412"/>
    <w:rsid w:val="006F2CD6"/>
    <w:rsid w:val="006F638E"/>
    <w:rsid w:val="00702B27"/>
    <w:rsid w:val="00703E42"/>
    <w:rsid w:val="007054B3"/>
    <w:rsid w:val="00711DA8"/>
    <w:rsid w:val="00717A6C"/>
    <w:rsid w:val="00724B75"/>
    <w:rsid w:val="00727CC1"/>
    <w:rsid w:val="00730F63"/>
    <w:rsid w:val="0073197E"/>
    <w:rsid w:val="00731F33"/>
    <w:rsid w:val="00732293"/>
    <w:rsid w:val="007324A6"/>
    <w:rsid w:val="007329A3"/>
    <w:rsid w:val="00733B94"/>
    <w:rsid w:val="007368AD"/>
    <w:rsid w:val="00742DC0"/>
    <w:rsid w:val="007431DA"/>
    <w:rsid w:val="00745355"/>
    <w:rsid w:val="00747DF0"/>
    <w:rsid w:val="00750118"/>
    <w:rsid w:val="0075077F"/>
    <w:rsid w:val="00751AD2"/>
    <w:rsid w:val="00751C91"/>
    <w:rsid w:val="00751D2A"/>
    <w:rsid w:val="00755095"/>
    <w:rsid w:val="0075776B"/>
    <w:rsid w:val="0076297B"/>
    <w:rsid w:val="007640F3"/>
    <w:rsid w:val="00767B9C"/>
    <w:rsid w:val="00770666"/>
    <w:rsid w:val="007716D9"/>
    <w:rsid w:val="00773A61"/>
    <w:rsid w:val="00774638"/>
    <w:rsid w:val="00776CEC"/>
    <w:rsid w:val="00777CD7"/>
    <w:rsid w:val="0078512C"/>
    <w:rsid w:val="007932C3"/>
    <w:rsid w:val="00794C4C"/>
    <w:rsid w:val="00795844"/>
    <w:rsid w:val="00796A07"/>
    <w:rsid w:val="007A1ED0"/>
    <w:rsid w:val="007A35E7"/>
    <w:rsid w:val="007A3825"/>
    <w:rsid w:val="007A3E73"/>
    <w:rsid w:val="007B1F3E"/>
    <w:rsid w:val="007B3DBD"/>
    <w:rsid w:val="007C165C"/>
    <w:rsid w:val="007C2C58"/>
    <w:rsid w:val="007C2FBF"/>
    <w:rsid w:val="007C518F"/>
    <w:rsid w:val="007C62F9"/>
    <w:rsid w:val="007C6BDA"/>
    <w:rsid w:val="007C7E88"/>
    <w:rsid w:val="007D44D8"/>
    <w:rsid w:val="007D59B8"/>
    <w:rsid w:val="007D6DFF"/>
    <w:rsid w:val="007E033C"/>
    <w:rsid w:val="007E086C"/>
    <w:rsid w:val="007E0B71"/>
    <w:rsid w:val="007F10E3"/>
    <w:rsid w:val="007F2C0E"/>
    <w:rsid w:val="007F2F0A"/>
    <w:rsid w:val="007F5425"/>
    <w:rsid w:val="008004F0"/>
    <w:rsid w:val="00801B47"/>
    <w:rsid w:val="00801D0C"/>
    <w:rsid w:val="00802870"/>
    <w:rsid w:val="00802C94"/>
    <w:rsid w:val="00804AEB"/>
    <w:rsid w:val="00805C80"/>
    <w:rsid w:val="00810609"/>
    <w:rsid w:val="00815D81"/>
    <w:rsid w:val="00817C44"/>
    <w:rsid w:val="00823AA4"/>
    <w:rsid w:val="00824CC8"/>
    <w:rsid w:val="008263D5"/>
    <w:rsid w:val="00826AC9"/>
    <w:rsid w:val="00827D38"/>
    <w:rsid w:val="00827EB5"/>
    <w:rsid w:val="00833800"/>
    <w:rsid w:val="008340EB"/>
    <w:rsid w:val="008358F5"/>
    <w:rsid w:val="008363D7"/>
    <w:rsid w:val="00836B58"/>
    <w:rsid w:val="00836D17"/>
    <w:rsid w:val="00837602"/>
    <w:rsid w:val="00837B7F"/>
    <w:rsid w:val="00840A55"/>
    <w:rsid w:val="0084188D"/>
    <w:rsid w:val="00841E25"/>
    <w:rsid w:val="00844CC1"/>
    <w:rsid w:val="00845AC5"/>
    <w:rsid w:val="008464CD"/>
    <w:rsid w:val="00847872"/>
    <w:rsid w:val="00847C6F"/>
    <w:rsid w:val="00847ED0"/>
    <w:rsid w:val="00850584"/>
    <w:rsid w:val="008515EE"/>
    <w:rsid w:val="008527AF"/>
    <w:rsid w:val="00852CAA"/>
    <w:rsid w:val="00854220"/>
    <w:rsid w:val="00855D07"/>
    <w:rsid w:val="00855F90"/>
    <w:rsid w:val="0085664C"/>
    <w:rsid w:val="00856DF9"/>
    <w:rsid w:val="00857837"/>
    <w:rsid w:val="008606A6"/>
    <w:rsid w:val="00861163"/>
    <w:rsid w:val="00861C4E"/>
    <w:rsid w:val="00863B78"/>
    <w:rsid w:val="00863E05"/>
    <w:rsid w:val="008652D6"/>
    <w:rsid w:val="00865F18"/>
    <w:rsid w:val="00866D21"/>
    <w:rsid w:val="00872D85"/>
    <w:rsid w:val="00873081"/>
    <w:rsid w:val="008756F8"/>
    <w:rsid w:val="008763B6"/>
    <w:rsid w:val="00877D36"/>
    <w:rsid w:val="0088242B"/>
    <w:rsid w:val="008829E4"/>
    <w:rsid w:val="00883DDA"/>
    <w:rsid w:val="008866D1"/>
    <w:rsid w:val="0088756C"/>
    <w:rsid w:val="0089008E"/>
    <w:rsid w:val="00890D5B"/>
    <w:rsid w:val="00891771"/>
    <w:rsid w:val="00891FF9"/>
    <w:rsid w:val="00893367"/>
    <w:rsid w:val="00893D07"/>
    <w:rsid w:val="00893D4B"/>
    <w:rsid w:val="00895D6E"/>
    <w:rsid w:val="00897B9A"/>
    <w:rsid w:val="008A06D6"/>
    <w:rsid w:val="008A12BA"/>
    <w:rsid w:val="008A57A9"/>
    <w:rsid w:val="008B0CE2"/>
    <w:rsid w:val="008B1297"/>
    <w:rsid w:val="008B6275"/>
    <w:rsid w:val="008B7956"/>
    <w:rsid w:val="008C0249"/>
    <w:rsid w:val="008C08A2"/>
    <w:rsid w:val="008C1DA5"/>
    <w:rsid w:val="008C239C"/>
    <w:rsid w:val="008C3722"/>
    <w:rsid w:val="008C3B67"/>
    <w:rsid w:val="008C3F48"/>
    <w:rsid w:val="008C58A9"/>
    <w:rsid w:val="008C59FB"/>
    <w:rsid w:val="008C62DA"/>
    <w:rsid w:val="008D2541"/>
    <w:rsid w:val="008D4401"/>
    <w:rsid w:val="008D4879"/>
    <w:rsid w:val="008D4923"/>
    <w:rsid w:val="008D49B4"/>
    <w:rsid w:val="008D50C7"/>
    <w:rsid w:val="008D636C"/>
    <w:rsid w:val="008D648E"/>
    <w:rsid w:val="008D7498"/>
    <w:rsid w:val="008E27CD"/>
    <w:rsid w:val="008E457A"/>
    <w:rsid w:val="008E4720"/>
    <w:rsid w:val="008E5271"/>
    <w:rsid w:val="008E5C19"/>
    <w:rsid w:val="008F06C4"/>
    <w:rsid w:val="008F5412"/>
    <w:rsid w:val="0090185F"/>
    <w:rsid w:val="00902F71"/>
    <w:rsid w:val="00903F73"/>
    <w:rsid w:val="00904D3B"/>
    <w:rsid w:val="0090504E"/>
    <w:rsid w:val="0090561F"/>
    <w:rsid w:val="0090664D"/>
    <w:rsid w:val="00912E87"/>
    <w:rsid w:val="00913FF0"/>
    <w:rsid w:val="009149A4"/>
    <w:rsid w:val="00914CFF"/>
    <w:rsid w:val="009157EE"/>
    <w:rsid w:val="0091770A"/>
    <w:rsid w:val="00917DC1"/>
    <w:rsid w:val="009200D3"/>
    <w:rsid w:val="009235BC"/>
    <w:rsid w:val="00923FE1"/>
    <w:rsid w:val="00924940"/>
    <w:rsid w:val="009250A1"/>
    <w:rsid w:val="00926869"/>
    <w:rsid w:val="00926ADE"/>
    <w:rsid w:val="0093022D"/>
    <w:rsid w:val="00930D06"/>
    <w:rsid w:val="00930F7E"/>
    <w:rsid w:val="00931FA8"/>
    <w:rsid w:val="00932794"/>
    <w:rsid w:val="00932E96"/>
    <w:rsid w:val="009351D7"/>
    <w:rsid w:val="00936337"/>
    <w:rsid w:val="009418E6"/>
    <w:rsid w:val="00941BBA"/>
    <w:rsid w:val="00942305"/>
    <w:rsid w:val="0094235F"/>
    <w:rsid w:val="0094279F"/>
    <w:rsid w:val="00946B98"/>
    <w:rsid w:val="0095052A"/>
    <w:rsid w:val="0095104B"/>
    <w:rsid w:val="0095527F"/>
    <w:rsid w:val="009552E7"/>
    <w:rsid w:val="009565D9"/>
    <w:rsid w:val="00956AD0"/>
    <w:rsid w:val="00956F70"/>
    <w:rsid w:val="009615D2"/>
    <w:rsid w:val="00961C3A"/>
    <w:rsid w:val="00964E6A"/>
    <w:rsid w:val="009658F0"/>
    <w:rsid w:val="00966B89"/>
    <w:rsid w:val="00967C2D"/>
    <w:rsid w:val="00970926"/>
    <w:rsid w:val="00971655"/>
    <w:rsid w:val="009717ED"/>
    <w:rsid w:val="00971C63"/>
    <w:rsid w:val="00974EC4"/>
    <w:rsid w:val="00975AFB"/>
    <w:rsid w:val="00977466"/>
    <w:rsid w:val="00990EE0"/>
    <w:rsid w:val="009911DA"/>
    <w:rsid w:val="009912FE"/>
    <w:rsid w:val="00995DA2"/>
    <w:rsid w:val="00996B6B"/>
    <w:rsid w:val="009A230B"/>
    <w:rsid w:val="009A3219"/>
    <w:rsid w:val="009A4AE9"/>
    <w:rsid w:val="009A5B76"/>
    <w:rsid w:val="009B1313"/>
    <w:rsid w:val="009B1546"/>
    <w:rsid w:val="009B69BD"/>
    <w:rsid w:val="009C0237"/>
    <w:rsid w:val="009C0383"/>
    <w:rsid w:val="009C1C0B"/>
    <w:rsid w:val="009C2D75"/>
    <w:rsid w:val="009C62F5"/>
    <w:rsid w:val="009C71D5"/>
    <w:rsid w:val="009C7BCF"/>
    <w:rsid w:val="009C7DCD"/>
    <w:rsid w:val="009D0ECB"/>
    <w:rsid w:val="009D2FFB"/>
    <w:rsid w:val="009D322E"/>
    <w:rsid w:val="009D76DC"/>
    <w:rsid w:val="009E0B44"/>
    <w:rsid w:val="009E151E"/>
    <w:rsid w:val="009E4B8C"/>
    <w:rsid w:val="009E58DC"/>
    <w:rsid w:val="009E6BFC"/>
    <w:rsid w:val="009F2214"/>
    <w:rsid w:val="009F6226"/>
    <w:rsid w:val="009F6F42"/>
    <w:rsid w:val="009F757D"/>
    <w:rsid w:val="009F7CE4"/>
    <w:rsid w:val="00A00ADA"/>
    <w:rsid w:val="00A015A9"/>
    <w:rsid w:val="00A02A5B"/>
    <w:rsid w:val="00A039E4"/>
    <w:rsid w:val="00A05591"/>
    <w:rsid w:val="00A11162"/>
    <w:rsid w:val="00A17553"/>
    <w:rsid w:val="00A17908"/>
    <w:rsid w:val="00A23056"/>
    <w:rsid w:val="00A23502"/>
    <w:rsid w:val="00A23604"/>
    <w:rsid w:val="00A25632"/>
    <w:rsid w:val="00A269D8"/>
    <w:rsid w:val="00A27973"/>
    <w:rsid w:val="00A317EF"/>
    <w:rsid w:val="00A33391"/>
    <w:rsid w:val="00A3485D"/>
    <w:rsid w:val="00A36535"/>
    <w:rsid w:val="00A400B4"/>
    <w:rsid w:val="00A43227"/>
    <w:rsid w:val="00A43DEA"/>
    <w:rsid w:val="00A46CCD"/>
    <w:rsid w:val="00A53CA1"/>
    <w:rsid w:val="00A55290"/>
    <w:rsid w:val="00A57BB7"/>
    <w:rsid w:val="00A600BB"/>
    <w:rsid w:val="00A65133"/>
    <w:rsid w:val="00A652C5"/>
    <w:rsid w:val="00A66615"/>
    <w:rsid w:val="00A67171"/>
    <w:rsid w:val="00A7077A"/>
    <w:rsid w:val="00A70A55"/>
    <w:rsid w:val="00A70EC9"/>
    <w:rsid w:val="00A7231A"/>
    <w:rsid w:val="00A77478"/>
    <w:rsid w:val="00A805D9"/>
    <w:rsid w:val="00A82DEB"/>
    <w:rsid w:val="00A85C5A"/>
    <w:rsid w:val="00A85D43"/>
    <w:rsid w:val="00A86417"/>
    <w:rsid w:val="00A86C5C"/>
    <w:rsid w:val="00A8783C"/>
    <w:rsid w:val="00A92E8A"/>
    <w:rsid w:val="00A954CF"/>
    <w:rsid w:val="00A96A08"/>
    <w:rsid w:val="00A96A93"/>
    <w:rsid w:val="00AA0161"/>
    <w:rsid w:val="00AA0587"/>
    <w:rsid w:val="00AA2BD5"/>
    <w:rsid w:val="00AA3FD1"/>
    <w:rsid w:val="00AA558B"/>
    <w:rsid w:val="00AA7D79"/>
    <w:rsid w:val="00AB1139"/>
    <w:rsid w:val="00AB18BE"/>
    <w:rsid w:val="00AB1D08"/>
    <w:rsid w:val="00AB396B"/>
    <w:rsid w:val="00AB4345"/>
    <w:rsid w:val="00AB5BD7"/>
    <w:rsid w:val="00AB698E"/>
    <w:rsid w:val="00AC0135"/>
    <w:rsid w:val="00AC070D"/>
    <w:rsid w:val="00AC1B94"/>
    <w:rsid w:val="00AC3C8C"/>
    <w:rsid w:val="00AC4003"/>
    <w:rsid w:val="00AD0616"/>
    <w:rsid w:val="00AD07AE"/>
    <w:rsid w:val="00AD0E57"/>
    <w:rsid w:val="00AD34FF"/>
    <w:rsid w:val="00AD3B59"/>
    <w:rsid w:val="00AD4DE6"/>
    <w:rsid w:val="00AE05FB"/>
    <w:rsid w:val="00AE3FAA"/>
    <w:rsid w:val="00AE6DBC"/>
    <w:rsid w:val="00AE7637"/>
    <w:rsid w:val="00AF183E"/>
    <w:rsid w:val="00AF2BEA"/>
    <w:rsid w:val="00AF3839"/>
    <w:rsid w:val="00AF3E95"/>
    <w:rsid w:val="00AF44D4"/>
    <w:rsid w:val="00AF46C8"/>
    <w:rsid w:val="00AF4E2D"/>
    <w:rsid w:val="00AF5F61"/>
    <w:rsid w:val="00AF7279"/>
    <w:rsid w:val="00AF72A5"/>
    <w:rsid w:val="00AF7C67"/>
    <w:rsid w:val="00B01DEA"/>
    <w:rsid w:val="00B0643F"/>
    <w:rsid w:val="00B06E9A"/>
    <w:rsid w:val="00B07DFB"/>
    <w:rsid w:val="00B14219"/>
    <w:rsid w:val="00B14903"/>
    <w:rsid w:val="00B15FE9"/>
    <w:rsid w:val="00B17C99"/>
    <w:rsid w:val="00B17FD9"/>
    <w:rsid w:val="00B22839"/>
    <w:rsid w:val="00B243E2"/>
    <w:rsid w:val="00B26BEC"/>
    <w:rsid w:val="00B40351"/>
    <w:rsid w:val="00B4472F"/>
    <w:rsid w:val="00B45726"/>
    <w:rsid w:val="00B51883"/>
    <w:rsid w:val="00B53886"/>
    <w:rsid w:val="00B5388C"/>
    <w:rsid w:val="00B61FD4"/>
    <w:rsid w:val="00B62F3B"/>
    <w:rsid w:val="00B653D1"/>
    <w:rsid w:val="00B6627E"/>
    <w:rsid w:val="00B674DB"/>
    <w:rsid w:val="00B71843"/>
    <w:rsid w:val="00B75387"/>
    <w:rsid w:val="00B77244"/>
    <w:rsid w:val="00B77349"/>
    <w:rsid w:val="00B801BA"/>
    <w:rsid w:val="00B80316"/>
    <w:rsid w:val="00B82E8D"/>
    <w:rsid w:val="00B832E0"/>
    <w:rsid w:val="00B83BC3"/>
    <w:rsid w:val="00B84C4B"/>
    <w:rsid w:val="00B90C6F"/>
    <w:rsid w:val="00B91479"/>
    <w:rsid w:val="00B92356"/>
    <w:rsid w:val="00B9264D"/>
    <w:rsid w:val="00B9293E"/>
    <w:rsid w:val="00B92A9E"/>
    <w:rsid w:val="00B94D99"/>
    <w:rsid w:val="00BA18A2"/>
    <w:rsid w:val="00BA19AD"/>
    <w:rsid w:val="00BA22B5"/>
    <w:rsid w:val="00BA3767"/>
    <w:rsid w:val="00BA38A2"/>
    <w:rsid w:val="00BA3B6A"/>
    <w:rsid w:val="00BA3CBB"/>
    <w:rsid w:val="00BA6D6C"/>
    <w:rsid w:val="00BB08E9"/>
    <w:rsid w:val="00BB15BC"/>
    <w:rsid w:val="00BB3D15"/>
    <w:rsid w:val="00BB3FA1"/>
    <w:rsid w:val="00BB53B2"/>
    <w:rsid w:val="00BB62BB"/>
    <w:rsid w:val="00BC05C5"/>
    <w:rsid w:val="00BC2C36"/>
    <w:rsid w:val="00BC380A"/>
    <w:rsid w:val="00BC3D90"/>
    <w:rsid w:val="00BC4CAF"/>
    <w:rsid w:val="00BC5B34"/>
    <w:rsid w:val="00BC6139"/>
    <w:rsid w:val="00BD04BE"/>
    <w:rsid w:val="00BD06F0"/>
    <w:rsid w:val="00BD09C0"/>
    <w:rsid w:val="00BD0E0C"/>
    <w:rsid w:val="00BD2AC4"/>
    <w:rsid w:val="00BD2B08"/>
    <w:rsid w:val="00BD46A3"/>
    <w:rsid w:val="00BD6AF3"/>
    <w:rsid w:val="00BD73A6"/>
    <w:rsid w:val="00BD7761"/>
    <w:rsid w:val="00BD7C7F"/>
    <w:rsid w:val="00BE0495"/>
    <w:rsid w:val="00BE2A93"/>
    <w:rsid w:val="00BE3282"/>
    <w:rsid w:val="00BE448C"/>
    <w:rsid w:val="00BE6F28"/>
    <w:rsid w:val="00BE7FC9"/>
    <w:rsid w:val="00BF12F0"/>
    <w:rsid w:val="00BF1E67"/>
    <w:rsid w:val="00BF29FA"/>
    <w:rsid w:val="00BF432D"/>
    <w:rsid w:val="00BF5F7D"/>
    <w:rsid w:val="00C0046A"/>
    <w:rsid w:val="00C04D2B"/>
    <w:rsid w:val="00C0697E"/>
    <w:rsid w:val="00C06C82"/>
    <w:rsid w:val="00C0744B"/>
    <w:rsid w:val="00C147FD"/>
    <w:rsid w:val="00C15B1B"/>
    <w:rsid w:val="00C16DEB"/>
    <w:rsid w:val="00C244C5"/>
    <w:rsid w:val="00C25307"/>
    <w:rsid w:val="00C311EA"/>
    <w:rsid w:val="00C33C3B"/>
    <w:rsid w:val="00C33C81"/>
    <w:rsid w:val="00C45868"/>
    <w:rsid w:val="00C46721"/>
    <w:rsid w:val="00C4755D"/>
    <w:rsid w:val="00C513A0"/>
    <w:rsid w:val="00C54D63"/>
    <w:rsid w:val="00C56F0B"/>
    <w:rsid w:val="00C61592"/>
    <w:rsid w:val="00C61A4A"/>
    <w:rsid w:val="00C66395"/>
    <w:rsid w:val="00C721AE"/>
    <w:rsid w:val="00C72DEF"/>
    <w:rsid w:val="00C737C5"/>
    <w:rsid w:val="00C75353"/>
    <w:rsid w:val="00C7736A"/>
    <w:rsid w:val="00C8127D"/>
    <w:rsid w:val="00C8654C"/>
    <w:rsid w:val="00C87817"/>
    <w:rsid w:val="00C938B2"/>
    <w:rsid w:val="00C94272"/>
    <w:rsid w:val="00C94AA1"/>
    <w:rsid w:val="00C9546C"/>
    <w:rsid w:val="00C963D8"/>
    <w:rsid w:val="00CA11B1"/>
    <w:rsid w:val="00CA1664"/>
    <w:rsid w:val="00CA3540"/>
    <w:rsid w:val="00CA39CA"/>
    <w:rsid w:val="00CA575E"/>
    <w:rsid w:val="00CA6DED"/>
    <w:rsid w:val="00CA7693"/>
    <w:rsid w:val="00CA7D15"/>
    <w:rsid w:val="00CB20F8"/>
    <w:rsid w:val="00CB48F7"/>
    <w:rsid w:val="00CB4B52"/>
    <w:rsid w:val="00CB4C48"/>
    <w:rsid w:val="00CB71C0"/>
    <w:rsid w:val="00CC2819"/>
    <w:rsid w:val="00CC39D1"/>
    <w:rsid w:val="00CC49D4"/>
    <w:rsid w:val="00CD0167"/>
    <w:rsid w:val="00CD5C37"/>
    <w:rsid w:val="00CD6614"/>
    <w:rsid w:val="00CD6641"/>
    <w:rsid w:val="00CD6F89"/>
    <w:rsid w:val="00CE4F7D"/>
    <w:rsid w:val="00CE5627"/>
    <w:rsid w:val="00CE64FD"/>
    <w:rsid w:val="00CE688E"/>
    <w:rsid w:val="00CE6F5A"/>
    <w:rsid w:val="00CF11F8"/>
    <w:rsid w:val="00CF42CF"/>
    <w:rsid w:val="00D0148C"/>
    <w:rsid w:val="00D02432"/>
    <w:rsid w:val="00D06B1E"/>
    <w:rsid w:val="00D102E9"/>
    <w:rsid w:val="00D116C2"/>
    <w:rsid w:val="00D11A88"/>
    <w:rsid w:val="00D15331"/>
    <w:rsid w:val="00D1688F"/>
    <w:rsid w:val="00D16A4A"/>
    <w:rsid w:val="00D2117F"/>
    <w:rsid w:val="00D222D6"/>
    <w:rsid w:val="00D22A22"/>
    <w:rsid w:val="00D2302B"/>
    <w:rsid w:val="00D25317"/>
    <w:rsid w:val="00D25B19"/>
    <w:rsid w:val="00D27F5A"/>
    <w:rsid w:val="00D30DCE"/>
    <w:rsid w:val="00D3398F"/>
    <w:rsid w:val="00D33D22"/>
    <w:rsid w:val="00D35E0A"/>
    <w:rsid w:val="00D3612D"/>
    <w:rsid w:val="00D36857"/>
    <w:rsid w:val="00D37E45"/>
    <w:rsid w:val="00D42025"/>
    <w:rsid w:val="00D42BF8"/>
    <w:rsid w:val="00D4386D"/>
    <w:rsid w:val="00D455E1"/>
    <w:rsid w:val="00D46200"/>
    <w:rsid w:val="00D537F0"/>
    <w:rsid w:val="00D60D55"/>
    <w:rsid w:val="00D62A62"/>
    <w:rsid w:val="00D638AC"/>
    <w:rsid w:val="00D66DA7"/>
    <w:rsid w:val="00D66E8B"/>
    <w:rsid w:val="00D67340"/>
    <w:rsid w:val="00D67C2F"/>
    <w:rsid w:val="00D67CA4"/>
    <w:rsid w:val="00D77F57"/>
    <w:rsid w:val="00D807CC"/>
    <w:rsid w:val="00D81A99"/>
    <w:rsid w:val="00D8259A"/>
    <w:rsid w:val="00D82E22"/>
    <w:rsid w:val="00D85715"/>
    <w:rsid w:val="00D8706C"/>
    <w:rsid w:val="00D87DC0"/>
    <w:rsid w:val="00D9029C"/>
    <w:rsid w:val="00D90981"/>
    <w:rsid w:val="00D90DD3"/>
    <w:rsid w:val="00D91B36"/>
    <w:rsid w:val="00D93848"/>
    <w:rsid w:val="00D93A67"/>
    <w:rsid w:val="00D97C32"/>
    <w:rsid w:val="00DA4C62"/>
    <w:rsid w:val="00DB23BC"/>
    <w:rsid w:val="00DB4727"/>
    <w:rsid w:val="00DB6A17"/>
    <w:rsid w:val="00DC0217"/>
    <w:rsid w:val="00DC6010"/>
    <w:rsid w:val="00DC7B21"/>
    <w:rsid w:val="00DD1EE3"/>
    <w:rsid w:val="00DD4E84"/>
    <w:rsid w:val="00DD5520"/>
    <w:rsid w:val="00DD5D4A"/>
    <w:rsid w:val="00DD67D4"/>
    <w:rsid w:val="00DE1CC8"/>
    <w:rsid w:val="00DE2972"/>
    <w:rsid w:val="00DE3B9D"/>
    <w:rsid w:val="00DE4395"/>
    <w:rsid w:val="00DF16C2"/>
    <w:rsid w:val="00DF1B0F"/>
    <w:rsid w:val="00DF2FA5"/>
    <w:rsid w:val="00DF3140"/>
    <w:rsid w:val="00DF43FD"/>
    <w:rsid w:val="00DF4918"/>
    <w:rsid w:val="00E00F76"/>
    <w:rsid w:val="00E01797"/>
    <w:rsid w:val="00E01843"/>
    <w:rsid w:val="00E018B9"/>
    <w:rsid w:val="00E07A14"/>
    <w:rsid w:val="00E13B53"/>
    <w:rsid w:val="00E15506"/>
    <w:rsid w:val="00E173EA"/>
    <w:rsid w:val="00E204FA"/>
    <w:rsid w:val="00E21E75"/>
    <w:rsid w:val="00E239EE"/>
    <w:rsid w:val="00E27FF7"/>
    <w:rsid w:val="00E321BD"/>
    <w:rsid w:val="00E34C4A"/>
    <w:rsid w:val="00E35FEA"/>
    <w:rsid w:val="00E37AF5"/>
    <w:rsid w:val="00E40690"/>
    <w:rsid w:val="00E519DC"/>
    <w:rsid w:val="00E535F0"/>
    <w:rsid w:val="00E575A3"/>
    <w:rsid w:val="00E616A7"/>
    <w:rsid w:val="00E64D50"/>
    <w:rsid w:val="00E668FD"/>
    <w:rsid w:val="00E70566"/>
    <w:rsid w:val="00E70A89"/>
    <w:rsid w:val="00E71A26"/>
    <w:rsid w:val="00E74389"/>
    <w:rsid w:val="00E77B88"/>
    <w:rsid w:val="00E807DA"/>
    <w:rsid w:val="00E82875"/>
    <w:rsid w:val="00E84E3A"/>
    <w:rsid w:val="00E85ECE"/>
    <w:rsid w:val="00E8649A"/>
    <w:rsid w:val="00E91D54"/>
    <w:rsid w:val="00E92281"/>
    <w:rsid w:val="00E928E9"/>
    <w:rsid w:val="00E93342"/>
    <w:rsid w:val="00E94BBA"/>
    <w:rsid w:val="00E9756D"/>
    <w:rsid w:val="00EA05AF"/>
    <w:rsid w:val="00EA336B"/>
    <w:rsid w:val="00EB1564"/>
    <w:rsid w:val="00EB2674"/>
    <w:rsid w:val="00EB34C6"/>
    <w:rsid w:val="00EB44AE"/>
    <w:rsid w:val="00EB5C5B"/>
    <w:rsid w:val="00EB5CDF"/>
    <w:rsid w:val="00EB6860"/>
    <w:rsid w:val="00EC00BA"/>
    <w:rsid w:val="00EC43B9"/>
    <w:rsid w:val="00EC6FB6"/>
    <w:rsid w:val="00ED3E1C"/>
    <w:rsid w:val="00ED3E55"/>
    <w:rsid w:val="00ED4D69"/>
    <w:rsid w:val="00EE07CA"/>
    <w:rsid w:val="00EE14FC"/>
    <w:rsid w:val="00EE29F9"/>
    <w:rsid w:val="00EE29FE"/>
    <w:rsid w:val="00EE35F8"/>
    <w:rsid w:val="00EE362F"/>
    <w:rsid w:val="00EE3DCF"/>
    <w:rsid w:val="00EE44F5"/>
    <w:rsid w:val="00EE464D"/>
    <w:rsid w:val="00EE61C7"/>
    <w:rsid w:val="00EE7FAA"/>
    <w:rsid w:val="00EF05CC"/>
    <w:rsid w:val="00EF0E19"/>
    <w:rsid w:val="00EF171A"/>
    <w:rsid w:val="00EF1728"/>
    <w:rsid w:val="00EF4C50"/>
    <w:rsid w:val="00EF7A5A"/>
    <w:rsid w:val="00F002EB"/>
    <w:rsid w:val="00F07BD9"/>
    <w:rsid w:val="00F103D6"/>
    <w:rsid w:val="00F114AE"/>
    <w:rsid w:val="00F1160D"/>
    <w:rsid w:val="00F121AF"/>
    <w:rsid w:val="00F12A41"/>
    <w:rsid w:val="00F12E39"/>
    <w:rsid w:val="00F15128"/>
    <w:rsid w:val="00F157F8"/>
    <w:rsid w:val="00F1669E"/>
    <w:rsid w:val="00F20AA7"/>
    <w:rsid w:val="00F20AC7"/>
    <w:rsid w:val="00F21D9F"/>
    <w:rsid w:val="00F237C8"/>
    <w:rsid w:val="00F24179"/>
    <w:rsid w:val="00F257AB"/>
    <w:rsid w:val="00F25E8F"/>
    <w:rsid w:val="00F30170"/>
    <w:rsid w:val="00F32061"/>
    <w:rsid w:val="00F35969"/>
    <w:rsid w:val="00F43CA0"/>
    <w:rsid w:val="00F44A58"/>
    <w:rsid w:val="00F46AE8"/>
    <w:rsid w:val="00F5002F"/>
    <w:rsid w:val="00F50099"/>
    <w:rsid w:val="00F50117"/>
    <w:rsid w:val="00F50A7B"/>
    <w:rsid w:val="00F52F58"/>
    <w:rsid w:val="00F543E5"/>
    <w:rsid w:val="00F55030"/>
    <w:rsid w:val="00F56010"/>
    <w:rsid w:val="00F568DA"/>
    <w:rsid w:val="00F60D8E"/>
    <w:rsid w:val="00F6115F"/>
    <w:rsid w:val="00F61FED"/>
    <w:rsid w:val="00F6543C"/>
    <w:rsid w:val="00F70D2D"/>
    <w:rsid w:val="00F73632"/>
    <w:rsid w:val="00F739FF"/>
    <w:rsid w:val="00F7696F"/>
    <w:rsid w:val="00F81623"/>
    <w:rsid w:val="00F8209B"/>
    <w:rsid w:val="00F823A4"/>
    <w:rsid w:val="00F82F4A"/>
    <w:rsid w:val="00F830AE"/>
    <w:rsid w:val="00F90A5C"/>
    <w:rsid w:val="00F94EBB"/>
    <w:rsid w:val="00F951B8"/>
    <w:rsid w:val="00F96E09"/>
    <w:rsid w:val="00F97223"/>
    <w:rsid w:val="00F97CD9"/>
    <w:rsid w:val="00FA0576"/>
    <w:rsid w:val="00FA0A10"/>
    <w:rsid w:val="00FA0DFE"/>
    <w:rsid w:val="00FA1E56"/>
    <w:rsid w:val="00FA20A3"/>
    <w:rsid w:val="00FA7E64"/>
    <w:rsid w:val="00FB090B"/>
    <w:rsid w:val="00FB41E2"/>
    <w:rsid w:val="00FB50B4"/>
    <w:rsid w:val="00FB5D5F"/>
    <w:rsid w:val="00FB6DD4"/>
    <w:rsid w:val="00FC3061"/>
    <w:rsid w:val="00FC3D01"/>
    <w:rsid w:val="00FC7EFB"/>
    <w:rsid w:val="00FD2E70"/>
    <w:rsid w:val="00FD3E1D"/>
    <w:rsid w:val="00FD4B97"/>
    <w:rsid w:val="00FD596A"/>
    <w:rsid w:val="00FD6C2F"/>
    <w:rsid w:val="00FE02AA"/>
    <w:rsid w:val="00FE326B"/>
    <w:rsid w:val="00FE4C03"/>
    <w:rsid w:val="00FE5181"/>
    <w:rsid w:val="00FE5436"/>
    <w:rsid w:val="00FE55EB"/>
    <w:rsid w:val="00FF0466"/>
    <w:rsid w:val="00FF09FF"/>
    <w:rsid w:val="00FF20E0"/>
    <w:rsid w:val="00FF21DD"/>
    <w:rsid w:val="00FF3A54"/>
    <w:rsid w:val="00FF4E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8866D1"/>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43"/>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47"/>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 w:type="paragraph" w:styleId="Revision">
    <w:name w:val="Revision"/>
    <w:hidden/>
    <w:uiPriority w:val="99"/>
    <w:semiHidden/>
    <w:rsid w:val="00AB698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9099">
      <w:bodyDiv w:val="1"/>
      <w:marLeft w:val="0"/>
      <w:marRight w:val="0"/>
      <w:marTop w:val="0"/>
      <w:marBottom w:val="0"/>
      <w:divBdr>
        <w:top w:val="none" w:sz="0" w:space="0" w:color="auto"/>
        <w:left w:val="none" w:sz="0" w:space="0" w:color="auto"/>
        <w:bottom w:val="none" w:sz="0" w:space="0" w:color="auto"/>
        <w:right w:val="none" w:sz="0" w:space="0" w:color="auto"/>
      </w:divBdr>
      <w:divsChild>
        <w:div w:id="621040376">
          <w:marLeft w:val="0"/>
          <w:marRight w:val="0"/>
          <w:marTop w:val="0"/>
          <w:marBottom w:val="0"/>
          <w:divBdr>
            <w:top w:val="none" w:sz="0" w:space="0" w:color="auto"/>
            <w:left w:val="none" w:sz="0" w:space="0" w:color="auto"/>
            <w:bottom w:val="none" w:sz="0" w:space="0" w:color="auto"/>
            <w:right w:val="none" w:sz="0" w:space="0" w:color="auto"/>
          </w:divBdr>
          <w:divsChild>
            <w:div w:id="511649485">
              <w:marLeft w:val="0"/>
              <w:marRight w:val="0"/>
              <w:marTop w:val="0"/>
              <w:marBottom w:val="0"/>
              <w:divBdr>
                <w:top w:val="none" w:sz="0" w:space="0" w:color="auto"/>
                <w:left w:val="none" w:sz="0" w:space="0" w:color="auto"/>
                <w:bottom w:val="none" w:sz="0" w:space="0" w:color="auto"/>
                <w:right w:val="none" w:sz="0" w:space="0" w:color="auto"/>
              </w:divBdr>
              <w:divsChild>
                <w:div w:id="1176769618">
                  <w:marLeft w:val="0"/>
                  <w:marRight w:val="0"/>
                  <w:marTop w:val="0"/>
                  <w:marBottom w:val="0"/>
                  <w:divBdr>
                    <w:top w:val="none" w:sz="0" w:space="0" w:color="auto"/>
                    <w:left w:val="none" w:sz="0" w:space="0" w:color="auto"/>
                    <w:bottom w:val="none" w:sz="0" w:space="0" w:color="auto"/>
                    <w:right w:val="none" w:sz="0" w:space="0" w:color="auto"/>
                  </w:divBdr>
                  <w:divsChild>
                    <w:div w:id="160049790">
                      <w:marLeft w:val="0"/>
                      <w:marRight w:val="0"/>
                      <w:marTop w:val="0"/>
                      <w:marBottom w:val="0"/>
                      <w:divBdr>
                        <w:top w:val="none" w:sz="0" w:space="0" w:color="auto"/>
                        <w:left w:val="none" w:sz="0" w:space="0" w:color="auto"/>
                        <w:bottom w:val="none" w:sz="0" w:space="0" w:color="auto"/>
                        <w:right w:val="none" w:sz="0" w:space="0" w:color="auto"/>
                      </w:divBdr>
                      <w:divsChild>
                        <w:div w:id="831726581">
                          <w:marLeft w:val="0"/>
                          <w:marRight w:val="0"/>
                          <w:marTop w:val="0"/>
                          <w:marBottom w:val="0"/>
                          <w:divBdr>
                            <w:top w:val="none" w:sz="0" w:space="0" w:color="auto"/>
                            <w:left w:val="none" w:sz="0" w:space="0" w:color="auto"/>
                            <w:bottom w:val="none" w:sz="0" w:space="0" w:color="auto"/>
                            <w:right w:val="none" w:sz="0" w:space="0" w:color="auto"/>
                          </w:divBdr>
                          <w:divsChild>
                            <w:div w:id="1587768999">
                              <w:marLeft w:val="0"/>
                              <w:marRight w:val="0"/>
                              <w:marTop w:val="0"/>
                              <w:marBottom w:val="0"/>
                              <w:divBdr>
                                <w:top w:val="none" w:sz="0" w:space="0" w:color="auto"/>
                                <w:left w:val="none" w:sz="0" w:space="0" w:color="auto"/>
                                <w:bottom w:val="none" w:sz="0" w:space="0" w:color="auto"/>
                                <w:right w:val="none" w:sz="0" w:space="0" w:color="auto"/>
                              </w:divBdr>
                              <w:divsChild>
                                <w:div w:id="1603759181">
                                  <w:marLeft w:val="0"/>
                                  <w:marRight w:val="0"/>
                                  <w:marTop w:val="0"/>
                                  <w:marBottom w:val="0"/>
                                  <w:divBdr>
                                    <w:top w:val="none" w:sz="0" w:space="0" w:color="auto"/>
                                    <w:left w:val="none" w:sz="0" w:space="0" w:color="auto"/>
                                    <w:bottom w:val="none" w:sz="0" w:space="0" w:color="auto"/>
                                    <w:right w:val="none" w:sz="0" w:space="0" w:color="auto"/>
                                  </w:divBdr>
                                  <w:divsChild>
                                    <w:div w:id="1100029102">
                                      <w:marLeft w:val="240"/>
                                      <w:marRight w:val="240"/>
                                      <w:marTop w:val="240"/>
                                      <w:marBottom w:val="0"/>
                                      <w:divBdr>
                                        <w:top w:val="none" w:sz="0" w:space="0" w:color="auto"/>
                                        <w:left w:val="none" w:sz="0" w:space="0" w:color="auto"/>
                                        <w:bottom w:val="none" w:sz="0" w:space="0" w:color="auto"/>
                                        <w:right w:val="none" w:sz="0" w:space="0" w:color="auto"/>
                                      </w:divBdr>
                                      <w:divsChild>
                                        <w:div w:id="1099522370">
                                          <w:marLeft w:val="0"/>
                                          <w:marRight w:val="0"/>
                                          <w:marTop w:val="0"/>
                                          <w:marBottom w:val="0"/>
                                          <w:divBdr>
                                            <w:top w:val="none" w:sz="0" w:space="0" w:color="auto"/>
                                            <w:left w:val="none" w:sz="0" w:space="0" w:color="auto"/>
                                            <w:bottom w:val="none" w:sz="0" w:space="0" w:color="auto"/>
                                            <w:right w:val="none" w:sz="0" w:space="0" w:color="auto"/>
                                          </w:divBdr>
                                          <w:divsChild>
                                            <w:div w:id="116793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5587548">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318613500">
      <w:bodyDiv w:val="1"/>
      <w:marLeft w:val="0"/>
      <w:marRight w:val="0"/>
      <w:marTop w:val="0"/>
      <w:marBottom w:val="0"/>
      <w:divBdr>
        <w:top w:val="none" w:sz="0" w:space="0" w:color="auto"/>
        <w:left w:val="none" w:sz="0" w:space="0" w:color="auto"/>
        <w:bottom w:val="none" w:sz="0" w:space="0" w:color="auto"/>
        <w:right w:val="none" w:sz="0" w:space="0" w:color="auto"/>
      </w:divBdr>
    </w:div>
    <w:div w:id="153815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ERinquiry@aer.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D3D94-1B76-4E2D-A016-B1169A7FD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D25CE1C7.dotm</Template>
  <TotalTime>2</TotalTime>
  <Pages>15</Pages>
  <Words>4445</Words>
  <Characters>25343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29729</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dc:creator>
  <cp:keywords/>
  <cp:lastModifiedBy>Moffitt, Shannon</cp:lastModifiedBy>
  <cp:revision>3</cp:revision>
  <cp:lastPrinted>2014-04-11T02:10:00Z</cp:lastPrinted>
  <dcterms:created xsi:type="dcterms:W3CDTF">2014-04-11T03:35:00Z</dcterms:created>
  <dcterms:modified xsi:type="dcterms:W3CDTF">2014-04-14T00:38:00Z</dcterms:modified>
</cp:coreProperties>
</file>